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497EB">
      <w:pPr>
        <w:spacing w:line="360" w:lineRule="auto"/>
        <w:jc w:val="center"/>
        <w:rPr>
          <w:rFonts w:ascii="宋体" w:hAnsi="宋体" w:cs="宋体"/>
          <w:b/>
          <w:color w:val="000000" w:themeColor="text1"/>
          <w:sz w:val="24"/>
          <w14:textFill>
            <w14:solidFill>
              <w14:schemeClr w14:val="tx1"/>
            </w14:solidFill>
          </w14:textFill>
        </w:rPr>
      </w:pPr>
    </w:p>
    <w:p w14:paraId="0E6B6779">
      <w:pPr>
        <w:spacing w:line="360" w:lineRule="auto"/>
        <w:jc w:val="center"/>
        <w:rPr>
          <w:rFonts w:ascii="宋体" w:hAnsi="宋体" w:cs="宋体"/>
          <w:b/>
          <w:color w:val="000000" w:themeColor="text1"/>
          <w:sz w:val="24"/>
          <w14:textFill>
            <w14:solidFill>
              <w14:schemeClr w14:val="tx1"/>
            </w14:solidFill>
          </w14:textFill>
        </w:rPr>
      </w:pPr>
    </w:p>
    <w:p w14:paraId="14009F68">
      <w:pPr>
        <w:adjustRightInd/>
        <w:spacing w:line="360" w:lineRule="auto"/>
        <w:jc w:val="center"/>
        <w:rPr>
          <w:rFonts w:ascii="宋体" w:hAnsi="宋体" w:cs="宋体"/>
          <w:b/>
          <w:color w:val="000000" w:themeColor="text1"/>
          <w:sz w:val="44"/>
          <w:szCs w:val="44"/>
          <w14:textFill>
            <w14:solidFill>
              <w14:schemeClr w14:val="tx1"/>
            </w14:solidFill>
          </w14:textFill>
        </w:rPr>
      </w:pPr>
    </w:p>
    <w:p w14:paraId="56816129">
      <w:pPr>
        <w:spacing w:line="360" w:lineRule="auto"/>
        <w:jc w:val="center"/>
        <w:rPr>
          <w:rFonts w:ascii="宋体" w:hAnsi="宋体" w:cs="宋体"/>
          <w:b/>
          <w:color w:val="000000" w:themeColor="text1"/>
          <w:sz w:val="44"/>
          <w:szCs w:val="44"/>
          <w14:textFill>
            <w14:solidFill>
              <w14:schemeClr w14:val="tx1"/>
            </w14:solidFill>
          </w14:textFill>
        </w:rPr>
      </w:pPr>
    </w:p>
    <w:p w14:paraId="7C7BF941">
      <w:pPr>
        <w:adjustRightInd/>
        <w:spacing w:line="360" w:lineRule="auto"/>
        <w:jc w:val="center"/>
        <w:rPr>
          <w:rFonts w:ascii="宋体" w:hAnsi="宋体" w:cs="宋体"/>
          <w:b/>
          <w:color w:val="000000" w:themeColor="text1"/>
          <w:sz w:val="48"/>
          <w:szCs w:val="48"/>
          <w14:textFill>
            <w14:solidFill>
              <w14:schemeClr w14:val="tx1"/>
            </w14:solidFill>
          </w14:textFill>
        </w:rPr>
      </w:pPr>
    </w:p>
    <w:p w14:paraId="2BE2F6D3">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浙江中医药大学富春校区北区食堂智慧化建设工程</w:t>
      </w:r>
    </w:p>
    <w:p w14:paraId="52FEF99B">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14:paraId="0E932E42">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14:paraId="2B17AE40">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：HSZB-2025-305（1）</w:t>
      </w:r>
    </w:p>
    <w:p w14:paraId="1901EF87">
      <w:pPr>
        <w:adjustRightInd/>
        <w:spacing w:line="360" w:lineRule="auto"/>
        <w:rPr>
          <w:rFonts w:ascii="宋体" w:hAnsi="宋体" w:cs="宋体"/>
          <w:color w:val="000000" w:themeColor="text1"/>
          <w:sz w:val="28"/>
          <w:szCs w:val="20"/>
          <w14:textFill>
            <w14:solidFill>
              <w14:schemeClr w14:val="tx1"/>
            </w14:solidFill>
          </w14:textFill>
        </w:rPr>
      </w:pPr>
    </w:p>
    <w:p w14:paraId="7D3D3AB5">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C2A89FB">
      <w:pPr>
        <w:spacing w:line="360" w:lineRule="auto"/>
        <w:jc w:val="center"/>
        <w:rPr>
          <w:rFonts w:ascii="宋体" w:hAnsi="宋体" w:cs="宋体"/>
          <w:b/>
          <w:color w:val="000000" w:themeColor="text1"/>
          <w:sz w:val="44"/>
          <w:szCs w:val="44"/>
          <w14:textFill>
            <w14:solidFill>
              <w14:schemeClr w14:val="tx1"/>
            </w14:solidFill>
          </w14:textFill>
        </w:rPr>
      </w:pPr>
    </w:p>
    <w:p w14:paraId="23DDCC91">
      <w:pPr>
        <w:spacing w:line="360" w:lineRule="auto"/>
        <w:jc w:val="center"/>
        <w:rPr>
          <w:rFonts w:ascii="宋体" w:hAnsi="宋体" w:cs="宋体"/>
          <w:color w:val="000000" w:themeColor="text1"/>
          <w:sz w:val="24"/>
          <w14:textFill>
            <w14:solidFill>
              <w14:schemeClr w14:val="tx1"/>
            </w14:solidFill>
          </w14:textFill>
        </w:rPr>
      </w:pPr>
    </w:p>
    <w:p w14:paraId="3C9A3FDF">
      <w:pPr>
        <w:spacing w:line="360" w:lineRule="auto"/>
        <w:jc w:val="center"/>
        <w:rPr>
          <w:rFonts w:ascii="宋体" w:hAnsi="宋体" w:cs="宋体"/>
          <w:color w:val="000000" w:themeColor="text1"/>
          <w:sz w:val="24"/>
          <w14:textFill>
            <w14:solidFill>
              <w14:schemeClr w14:val="tx1"/>
            </w14:solidFill>
          </w14:textFill>
        </w:rPr>
      </w:pPr>
    </w:p>
    <w:p w14:paraId="3D95BF77">
      <w:pPr>
        <w:spacing w:line="360" w:lineRule="auto"/>
        <w:rPr>
          <w:rFonts w:ascii="宋体" w:hAnsi="宋体" w:cs="宋体"/>
          <w:color w:val="000000" w:themeColor="text1"/>
          <w:sz w:val="32"/>
          <w:szCs w:val="32"/>
          <w14:textFill>
            <w14:solidFill>
              <w14:schemeClr w14:val="tx1"/>
            </w14:solidFill>
          </w14:textFill>
        </w:rPr>
      </w:pPr>
    </w:p>
    <w:p w14:paraId="5E817E28">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浙江中医药大学</w:t>
      </w:r>
    </w:p>
    <w:p w14:paraId="0EB1C8FC">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浙江豪圣建设项目管理有限公司</w:t>
      </w:r>
    </w:p>
    <w:p w14:paraId="012E8E4B">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十一</w:t>
      </w:r>
      <w:bookmarkStart w:id="544" w:name="_GoBack"/>
      <w:bookmarkEnd w:id="544"/>
      <w:r>
        <w:rPr>
          <w:rFonts w:hint="eastAsia" w:ascii="宋体" w:hAnsi="宋体" w:cs="宋体"/>
          <w:bCs/>
          <w:color w:val="000000" w:themeColor="text1"/>
          <w:sz w:val="32"/>
          <w:szCs w:val="32"/>
          <w14:textFill>
            <w14:solidFill>
              <w14:schemeClr w14:val="tx1"/>
            </w14:solidFill>
          </w14:textFill>
        </w:rPr>
        <w:t>日</w:t>
      </w:r>
    </w:p>
    <w:p w14:paraId="475BE65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3FBF4136">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sdt>
      <w:sdtPr>
        <w:rPr>
          <w:rFonts w:hint="eastAsia" w:ascii="宋体" w:hAnsi="宋体" w:cs="宋体"/>
          <w:sz w:val="24"/>
        </w:rPr>
        <w:id w:val="147468607"/>
        <w:docPartObj>
          <w:docPartGallery w:val="Table of Contents"/>
          <w:docPartUnique/>
        </w:docPartObj>
      </w:sdtPr>
      <w:sdtEndPr>
        <w:rPr>
          <w:rFonts w:hint="eastAsia" w:ascii="宋体" w:hAnsi="宋体" w:cs="宋体"/>
          <w:color w:val="000000" w:themeColor="text1"/>
          <w:sz w:val="21"/>
          <w:szCs w:val="32"/>
          <w14:textFill>
            <w14:solidFill>
              <w14:schemeClr w14:val="tx1"/>
            </w14:solidFill>
          </w14:textFill>
        </w:rPr>
      </w:sdtEndPr>
      <w:sdtContent>
        <w:p w14:paraId="596138E3">
          <w:pPr>
            <w:jc w:val="center"/>
            <w:rPr>
              <w:rFonts w:ascii="宋体" w:hAnsi="宋体" w:cs="宋体"/>
              <w:sz w:val="24"/>
            </w:rPr>
          </w:pPr>
        </w:p>
        <w:p w14:paraId="14B4E2E7">
          <w:pPr>
            <w:pStyle w:val="42"/>
            <w:tabs>
              <w:tab w:val="right" w:leader="dot" w:pos="9746"/>
            </w:tabs>
            <w:rPr>
              <w:rFonts w:hint="eastAsia" w:ascii="宋体" w:hAnsi="宋体" w:eastAsia="宋体" w:cs="宋体"/>
              <w:sz w:val="24"/>
              <w:szCs w:val="32"/>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"1-3" \h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_Toc29251 </w:instrText>
          </w:r>
          <w:r>
            <w:rPr>
              <w:rFonts w:hint="eastAsia" w:ascii="宋体" w:hAnsi="宋体" w:eastAsia="宋体" w:cs="宋体"/>
              <w:sz w:val="24"/>
              <w:szCs w:val="32"/>
            </w:rPr>
            <w:fldChar w:fldCharType="separate"/>
          </w:r>
          <w:r>
            <w:rPr>
              <w:rFonts w:hint="eastAsia" w:ascii="宋体" w:hAnsi="宋体" w:eastAsia="宋体" w:cs="宋体"/>
              <w:sz w:val="24"/>
              <w:szCs w:val="22"/>
            </w:rPr>
            <w:t>第一部分 竞争性磋商公告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_Toc29251 \h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5743649">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_Toc1047 </w:instrText>
          </w:r>
          <w:r>
            <w:rPr>
              <w:rFonts w:hint="eastAsia" w:ascii="宋体" w:hAnsi="宋体" w:eastAsia="宋体" w:cs="宋体"/>
              <w:sz w:val="24"/>
              <w:szCs w:val="32"/>
            </w:rPr>
            <w:fldChar w:fldCharType="separate"/>
          </w:r>
          <w:r>
            <w:rPr>
              <w:rFonts w:hint="eastAsia" w:ascii="宋体" w:hAnsi="宋体" w:eastAsia="宋体" w:cs="宋体"/>
              <w:snapToGrid/>
              <w:sz w:val="24"/>
              <w:szCs w:val="22"/>
            </w:rPr>
            <w:t>第二部分 供应商须知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_Toc1047 \h </w:instrText>
          </w:r>
          <w:r>
            <w:rPr>
              <w:rFonts w:hint="eastAsia" w:ascii="宋体" w:hAnsi="宋体" w:eastAsia="宋体" w:cs="宋体"/>
              <w:sz w:val="24"/>
              <w:szCs w:val="32"/>
            </w:rPr>
            <w:fldChar w:fldCharType="separate"/>
          </w:r>
          <w:r>
            <w:rPr>
              <w:rFonts w:hint="eastAsia" w:ascii="宋体" w:hAnsi="宋体" w:eastAsia="宋体" w:cs="宋体"/>
              <w:sz w:val="24"/>
              <w:szCs w:val="32"/>
            </w:rPr>
            <w:t>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511B235">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_Toc5783 </w:instrText>
          </w:r>
          <w:r>
            <w:rPr>
              <w:rFonts w:hint="eastAsia" w:ascii="宋体" w:hAnsi="宋体" w:eastAsia="宋体" w:cs="宋体"/>
              <w:sz w:val="24"/>
              <w:szCs w:val="32"/>
            </w:rPr>
            <w:fldChar w:fldCharType="separate"/>
          </w:r>
          <w:r>
            <w:rPr>
              <w:rFonts w:hint="eastAsia" w:ascii="宋体" w:hAnsi="宋体" w:eastAsia="宋体" w:cs="宋体"/>
              <w:sz w:val="24"/>
              <w:szCs w:val="22"/>
            </w:rPr>
            <w:t>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_Toc5783 \h </w:instrText>
          </w:r>
          <w:r>
            <w:rPr>
              <w:rFonts w:hint="eastAsia" w:ascii="宋体" w:hAnsi="宋体" w:eastAsia="宋体" w:cs="宋体"/>
              <w:sz w:val="24"/>
              <w:szCs w:val="32"/>
            </w:rPr>
            <w:fldChar w:fldCharType="separate"/>
          </w:r>
          <w:r>
            <w:rPr>
              <w:rFonts w:hint="eastAsia" w:ascii="宋体" w:hAnsi="宋体" w:eastAsia="宋体" w:cs="宋体"/>
              <w:sz w:val="24"/>
              <w:szCs w:val="32"/>
            </w:rPr>
            <w:t>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5204468">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_Toc10083 </w:instrText>
          </w:r>
          <w:r>
            <w:rPr>
              <w:rFonts w:hint="eastAsia" w:ascii="宋体" w:hAnsi="宋体" w:eastAsia="宋体" w:cs="宋体"/>
              <w:sz w:val="24"/>
              <w:szCs w:val="32"/>
            </w:rPr>
            <w:fldChar w:fldCharType="separate"/>
          </w:r>
          <w:r>
            <w:rPr>
              <w:rFonts w:hint="eastAsia" w:ascii="宋体" w:hAnsi="宋体" w:eastAsia="宋体" w:cs="宋体"/>
              <w:sz w:val="24"/>
              <w:szCs w:val="22"/>
            </w:rPr>
            <w:t>一、总则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_Toc10083 \h </w:instrText>
          </w:r>
          <w:r>
            <w:rPr>
              <w:rFonts w:hint="eastAsia" w:ascii="宋体" w:hAnsi="宋体" w:eastAsia="宋体" w:cs="宋体"/>
              <w:sz w:val="24"/>
              <w:szCs w:val="32"/>
            </w:rPr>
            <w:fldChar w:fldCharType="separate"/>
          </w:r>
          <w:r>
            <w:rPr>
              <w:rFonts w:hint="eastAsia" w:ascii="宋体" w:hAnsi="宋体" w:eastAsia="宋体" w:cs="宋体"/>
              <w:sz w:val="24"/>
              <w:szCs w:val="32"/>
            </w:rPr>
            <w:t>11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4E96B6E5">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_Toc22012 </w:instrText>
          </w:r>
          <w:r>
            <w:rPr>
              <w:rFonts w:hint="eastAsia" w:ascii="宋体" w:hAnsi="宋体" w:eastAsia="宋体" w:cs="宋体"/>
              <w:sz w:val="24"/>
              <w:szCs w:val="32"/>
            </w:rPr>
            <w:fldChar w:fldCharType="separate"/>
          </w:r>
          <w:r>
            <w:rPr>
              <w:rFonts w:hint="eastAsia" w:ascii="宋体" w:hAnsi="宋体" w:eastAsia="宋体" w:cs="宋体"/>
              <w:sz w:val="24"/>
              <w:szCs w:val="22"/>
            </w:rPr>
            <w:t>二、采购文件的构成、澄清、修改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_Toc22012 \h </w:instrText>
          </w:r>
          <w:r>
            <w:rPr>
              <w:rFonts w:hint="eastAsia" w:ascii="宋体" w:hAnsi="宋体" w:eastAsia="宋体" w:cs="宋体"/>
              <w:sz w:val="24"/>
              <w:szCs w:val="32"/>
            </w:rPr>
            <w:fldChar w:fldCharType="separate"/>
          </w:r>
          <w:r>
            <w:rPr>
              <w:rFonts w:hint="eastAsia" w:ascii="宋体" w:hAnsi="宋体" w:eastAsia="宋体" w:cs="宋体"/>
              <w:sz w:val="24"/>
              <w:szCs w:val="32"/>
            </w:rPr>
            <w:t>15</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6DE9EF7">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_Toc24520 </w:instrText>
          </w:r>
          <w:r>
            <w:rPr>
              <w:rFonts w:hint="eastAsia" w:ascii="宋体" w:hAnsi="宋体" w:eastAsia="宋体" w:cs="宋体"/>
              <w:sz w:val="24"/>
              <w:szCs w:val="32"/>
            </w:rPr>
            <w:fldChar w:fldCharType="separate"/>
          </w:r>
          <w:r>
            <w:rPr>
              <w:rFonts w:hint="eastAsia" w:ascii="宋体" w:hAnsi="宋体" w:eastAsia="宋体" w:cs="宋体"/>
              <w:sz w:val="24"/>
              <w:szCs w:val="22"/>
            </w:rPr>
            <w:t>三、提交响应文件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_Toc24520 \h </w:instrText>
          </w:r>
          <w:r>
            <w:rPr>
              <w:rFonts w:hint="eastAsia" w:ascii="宋体" w:hAnsi="宋体" w:eastAsia="宋体" w:cs="宋体"/>
              <w:sz w:val="24"/>
              <w:szCs w:val="32"/>
            </w:rPr>
            <w:fldChar w:fldCharType="separate"/>
          </w:r>
          <w:r>
            <w:rPr>
              <w:rFonts w:hint="eastAsia" w:ascii="宋体" w:hAnsi="宋体" w:eastAsia="宋体" w:cs="宋体"/>
              <w:sz w:val="24"/>
              <w:szCs w:val="32"/>
            </w:rPr>
            <w:t>16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F5E19C3">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_Toc20301 </w:instrText>
          </w:r>
          <w:r>
            <w:rPr>
              <w:rFonts w:hint="eastAsia" w:ascii="宋体" w:hAnsi="宋体" w:eastAsia="宋体" w:cs="宋体"/>
              <w:sz w:val="24"/>
              <w:szCs w:val="32"/>
            </w:rPr>
            <w:fldChar w:fldCharType="separate"/>
          </w:r>
          <w:r>
            <w:rPr>
              <w:rFonts w:hint="eastAsia" w:ascii="宋体" w:hAnsi="宋体" w:eastAsia="宋体" w:cs="宋体"/>
              <w:sz w:val="24"/>
              <w:szCs w:val="22"/>
            </w:rPr>
            <w:t>四、响应文件开启、资格审查与信用信息查询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_Toc20301 \h </w:instrText>
          </w:r>
          <w:r>
            <w:rPr>
              <w:rFonts w:hint="eastAsia" w:ascii="宋体" w:hAnsi="宋体" w:eastAsia="宋体" w:cs="宋体"/>
              <w:sz w:val="24"/>
              <w:szCs w:val="32"/>
            </w:rPr>
            <w:fldChar w:fldCharType="separate"/>
          </w:r>
          <w:r>
            <w:rPr>
              <w:rFonts w:hint="eastAsia" w:ascii="宋体" w:hAnsi="宋体" w:eastAsia="宋体" w:cs="宋体"/>
              <w:sz w:val="24"/>
              <w:szCs w:val="32"/>
            </w:rPr>
            <w:t>18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11EC7F2">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_Toc12530 </w:instrText>
          </w:r>
          <w:r>
            <w:rPr>
              <w:rFonts w:hint="eastAsia" w:ascii="宋体" w:hAnsi="宋体" w:eastAsia="宋体" w:cs="宋体"/>
              <w:sz w:val="24"/>
              <w:szCs w:val="32"/>
            </w:rPr>
            <w:fldChar w:fldCharType="separate"/>
          </w:r>
          <w:r>
            <w:rPr>
              <w:rFonts w:hint="eastAsia" w:ascii="宋体" w:hAnsi="宋体" w:eastAsia="宋体" w:cs="宋体"/>
              <w:sz w:val="24"/>
              <w:szCs w:val="22"/>
            </w:rPr>
            <w:t>五、评审</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_Toc12530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D94BA5A">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_Toc13974 </w:instrText>
          </w:r>
          <w:r>
            <w:rPr>
              <w:rFonts w:hint="eastAsia" w:ascii="宋体" w:hAnsi="宋体" w:eastAsia="宋体" w:cs="宋体"/>
              <w:sz w:val="24"/>
              <w:szCs w:val="32"/>
            </w:rPr>
            <w:fldChar w:fldCharType="separate"/>
          </w:r>
          <w:r>
            <w:rPr>
              <w:rFonts w:hint="eastAsia" w:ascii="宋体" w:hAnsi="宋体" w:eastAsia="宋体" w:cs="宋体"/>
              <w:sz w:val="24"/>
              <w:szCs w:val="22"/>
            </w:rPr>
            <w:t>六、成交供应商确定</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_Toc13974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5E457597">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_Toc13415 </w:instrText>
          </w:r>
          <w:r>
            <w:rPr>
              <w:rFonts w:hint="eastAsia" w:ascii="宋体" w:hAnsi="宋体" w:eastAsia="宋体" w:cs="宋体"/>
              <w:sz w:val="24"/>
              <w:szCs w:val="32"/>
            </w:rPr>
            <w:fldChar w:fldCharType="separate"/>
          </w:r>
          <w:r>
            <w:rPr>
              <w:rFonts w:hint="eastAsia" w:ascii="宋体" w:hAnsi="宋体" w:eastAsia="宋体" w:cs="宋体"/>
              <w:sz w:val="24"/>
              <w:szCs w:val="22"/>
            </w:rPr>
            <w:t>七、合同授予</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_Toc13415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955795A">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_Toc9065 </w:instrText>
          </w:r>
          <w:r>
            <w:rPr>
              <w:rFonts w:hint="eastAsia" w:ascii="宋体" w:hAnsi="宋体" w:eastAsia="宋体" w:cs="宋体"/>
              <w:sz w:val="24"/>
              <w:szCs w:val="32"/>
            </w:rPr>
            <w:fldChar w:fldCharType="separate"/>
          </w:r>
          <w:r>
            <w:rPr>
              <w:rFonts w:hint="eastAsia" w:ascii="宋体" w:hAnsi="宋体" w:eastAsia="宋体" w:cs="宋体"/>
              <w:sz w:val="24"/>
              <w:szCs w:val="22"/>
            </w:rPr>
            <w:t>八、电子交易活动的中止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_Toc9065 \h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737D27C3">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_Toc7916 </w:instrText>
          </w:r>
          <w:r>
            <w:rPr>
              <w:rFonts w:hint="eastAsia" w:ascii="宋体" w:hAnsi="宋体" w:eastAsia="宋体" w:cs="宋体"/>
              <w:sz w:val="24"/>
              <w:szCs w:val="32"/>
            </w:rPr>
            <w:fldChar w:fldCharType="separate"/>
          </w:r>
          <w:r>
            <w:rPr>
              <w:rFonts w:hint="eastAsia" w:ascii="宋体" w:hAnsi="宋体" w:eastAsia="宋体" w:cs="宋体"/>
              <w:sz w:val="24"/>
              <w:szCs w:val="22"/>
            </w:rPr>
            <w:t>九、验收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_Toc7916 \h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EA4DAB4">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_Toc3322 </w:instrText>
          </w:r>
          <w:r>
            <w:rPr>
              <w:rFonts w:hint="eastAsia" w:ascii="宋体" w:hAnsi="宋体" w:eastAsia="宋体" w:cs="宋体"/>
              <w:sz w:val="24"/>
              <w:szCs w:val="32"/>
            </w:rPr>
            <w:fldChar w:fldCharType="separate"/>
          </w:r>
          <w:r>
            <w:rPr>
              <w:rFonts w:hint="eastAsia" w:ascii="宋体" w:hAnsi="宋体" w:eastAsia="宋体" w:cs="宋体"/>
              <w:snapToGrid/>
              <w:sz w:val="24"/>
              <w:szCs w:val="22"/>
            </w:rPr>
            <w:t>第三部分 采购需求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_Toc3322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FB723E4">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_Toc12927 </w:instrText>
          </w:r>
          <w:r>
            <w:rPr>
              <w:rFonts w:hint="eastAsia" w:ascii="宋体" w:hAnsi="宋体" w:eastAsia="宋体" w:cs="宋体"/>
              <w:sz w:val="24"/>
              <w:szCs w:val="32"/>
            </w:rPr>
            <w:fldChar w:fldCharType="separate"/>
          </w:r>
          <w:r>
            <w:rPr>
              <w:rFonts w:hint="eastAsia" w:ascii="宋体" w:hAnsi="宋体" w:eastAsia="宋体" w:cs="宋体"/>
              <w:sz w:val="24"/>
              <w:szCs w:val="36"/>
            </w:rPr>
            <w:t>一、采购清单及技术要求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_Toc12927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1E8E84E">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_Toc32402 </w:instrText>
          </w:r>
          <w:r>
            <w:rPr>
              <w:rFonts w:hint="eastAsia" w:ascii="宋体" w:hAnsi="宋体" w:eastAsia="宋体" w:cs="宋体"/>
              <w:sz w:val="24"/>
              <w:szCs w:val="32"/>
            </w:rPr>
            <w:fldChar w:fldCharType="separate"/>
          </w:r>
          <w:r>
            <w:rPr>
              <w:rFonts w:hint="eastAsia" w:ascii="宋体" w:hAnsi="宋体" w:eastAsia="宋体" w:cs="宋体"/>
              <w:bCs/>
              <w:sz w:val="24"/>
              <w:szCs w:val="36"/>
            </w:rPr>
            <w:t>二、商务要求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_Toc32402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7215C94E">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_Toc356 </w:instrText>
          </w:r>
          <w:r>
            <w:rPr>
              <w:rFonts w:hint="eastAsia" w:ascii="宋体" w:hAnsi="宋体" w:eastAsia="宋体" w:cs="宋体"/>
              <w:sz w:val="24"/>
              <w:szCs w:val="32"/>
            </w:rPr>
            <w:fldChar w:fldCharType="separate"/>
          </w:r>
          <w:r>
            <w:rPr>
              <w:rFonts w:hint="eastAsia" w:ascii="宋体" w:hAnsi="宋体" w:eastAsia="宋体" w:cs="宋体"/>
              <w:bCs/>
              <w:sz w:val="24"/>
              <w:szCs w:val="36"/>
            </w:rPr>
            <w:t>三、重要说明</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_Toc356 \h </w:instrText>
          </w:r>
          <w:r>
            <w:rPr>
              <w:rFonts w:hint="eastAsia" w:ascii="宋体" w:hAnsi="宋体" w:eastAsia="宋体" w:cs="宋体"/>
              <w:sz w:val="24"/>
              <w:szCs w:val="32"/>
            </w:rPr>
            <w:fldChar w:fldCharType="separate"/>
          </w:r>
          <w:r>
            <w:rPr>
              <w:rFonts w:hint="eastAsia" w:ascii="宋体" w:hAnsi="宋体" w:eastAsia="宋体" w:cs="宋体"/>
              <w:sz w:val="24"/>
              <w:szCs w:val="32"/>
            </w:rPr>
            <w:t>32</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8A949D2">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_Toc11524 </w:instrText>
          </w:r>
          <w:r>
            <w:rPr>
              <w:rFonts w:hint="eastAsia" w:ascii="宋体" w:hAnsi="宋体" w:eastAsia="宋体" w:cs="宋体"/>
              <w:sz w:val="24"/>
              <w:szCs w:val="32"/>
            </w:rPr>
            <w:fldChar w:fldCharType="separate"/>
          </w:r>
          <w:r>
            <w:rPr>
              <w:rFonts w:hint="eastAsia" w:ascii="宋体" w:hAnsi="宋体" w:eastAsia="宋体" w:cs="宋体"/>
              <w:bCs/>
              <w:sz w:val="24"/>
              <w:szCs w:val="28"/>
              <w:lang w:val="en-US"/>
            </w:rPr>
            <w:t>四、民事责任</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_Toc11524 \h </w:instrText>
          </w:r>
          <w:r>
            <w:rPr>
              <w:rFonts w:hint="eastAsia" w:ascii="宋体" w:hAnsi="宋体" w:eastAsia="宋体" w:cs="宋体"/>
              <w:sz w:val="24"/>
              <w:szCs w:val="32"/>
            </w:rPr>
            <w:fldChar w:fldCharType="separate"/>
          </w:r>
          <w:r>
            <w:rPr>
              <w:rFonts w:hint="eastAsia" w:ascii="宋体" w:hAnsi="宋体" w:eastAsia="宋体" w:cs="宋体"/>
              <w:sz w:val="24"/>
              <w:szCs w:val="32"/>
            </w:rPr>
            <w:t>33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EF7253B">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_Toc4688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rPr>
            <w:t>五、其他详见合同条款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_Toc4688 \h </w:instrText>
          </w:r>
          <w:r>
            <w:rPr>
              <w:rFonts w:hint="eastAsia" w:ascii="宋体" w:hAnsi="宋体" w:eastAsia="宋体" w:cs="宋体"/>
              <w:sz w:val="24"/>
              <w:szCs w:val="32"/>
            </w:rPr>
            <w:fldChar w:fldCharType="separate"/>
          </w:r>
          <w:r>
            <w:rPr>
              <w:rFonts w:hint="eastAsia" w:ascii="宋体" w:hAnsi="宋体" w:eastAsia="宋体" w:cs="宋体"/>
              <w:sz w:val="24"/>
              <w:szCs w:val="32"/>
            </w:rPr>
            <w:t>33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D0F4CB7">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_Toc23702 </w:instrText>
          </w:r>
          <w:r>
            <w:rPr>
              <w:rFonts w:hint="eastAsia" w:ascii="宋体" w:hAnsi="宋体" w:eastAsia="宋体" w:cs="宋体"/>
              <w:sz w:val="24"/>
              <w:szCs w:val="32"/>
            </w:rPr>
            <w:fldChar w:fldCharType="separate"/>
          </w:r>
          <w:r>
            <w:rPr>
              <w:rFonts w:hint="eastAsia" w:ascii="宋体" w:hAnsi="宋体" w:eastAsia="宋体" w:cs="宋体"/>
              <w:sz w:val="24"/>
              <w:szCs w:val="22"/>
            </w:rPr>
            <w:t>第四部分 评审办法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_Toc23702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0D19F0C">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_Toc14135 </w:instrText>
          </w:r>
          <w:r>
            <w:rPr>
              <w:rFonts w:hint="eastAsia" w:ascii="宋体" w:hAnsi="宋体" w:eastAsia="宋体" w:cs="宋体"/>
              <w:sz w:val="24"/>
              <w:szCs w:val="32"/>
            </w:rPr>
            <w:fldChar w:fldCharType="separate"/>
          </w:r>
          <w:r>
            <w:rPr>
              <w:rFonts w:hint="eastAsia" w:ascii="宋体" w:hAnsi="宋体" w:eastAsia="宋体" w:cs="宋体"/>
              <w:sz w:val="24"/>
              <w:szCs w:val="22"/>
            </w:rPr>
            <w:t>评审办法前附表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_Toc14135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71FC4783">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_Toc13135 </w:instrText>
          </w:r>
          <w:r>
            <w:rPr>
              <w:rFonts w:hint="eastAsia" w:ascii="宋体" w:hAnsi="宋体" w:eastAsia="宋体" w:cs="宋体"/>
              <w:sz w:val="24"/>
              <w:szCs w:val="32"/>
            </w:rPr>
            <w:fldChar w:fldCharType="separate"/>
          </w:r>
          <w:r>
            <w:rPr>
              <w:rFonts w:hint="eastAsia" w:ascii="宋体" w:hAnsi="宋体" w:eastAsia="宋体" w:cs="宋体"/>
              <w:sz w:val="24"/>
              <w:szCs w:val="32"/>
            </w:rPr>
            <w:t>一、评审方法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_Toc13135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0EABFFD">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_Toc12449 </w:instrText>
          </w:r>
          <w:r>
            <w:rPr>
              <w:rFonts w:hint="eastAsia" w:ascii="宋体" w:hAnsi="宋体" w:eastAsia="宋体" w:cs="宋体"/>
              <w:sz w:val="24"/>
              <w:szCs w:val="32"/>
            </w:rPr>
            <w:fldChar w:fldCharType="separate"/>
          </w:r>
          <w:r>
            <w:rPr>
              <w:rFonts w:hint="eastAsia" w:ascii="宋体" w:hAnsi="宋体" w:eastAsia="宋体" w:cs="宋体"/>
              <w:sz w:val="24"/>
              <w:szCs w:val="32"/>
            </w:rPr>
            <w:t>二、评审标准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_Toc12449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4D57759B">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_Toc29239 </w:instrText>
          </w:r>
          <w:r>
            <w:rPr>
              <w:rFonts w:hint="eastAsia" w:ascii="宋体" w:hAnsi="宋体" w:eastAsia="宋体" w:cs="宋体"/>
              <w:sz w:val="24"/>
              <w:szCs w:val="32"/>
            </w:rPr>
            <w:fldChar w:fldCharType="separate"/>
          </w:r>
          <w:r>
            <w:rPr>
              <w:rFonts w:hint="eastAsia" w:ascii="宋体" w:hAnsi="宋体" w:eastAsia="宋体" w:cs="宋体"/>
              <w:sz w:val="24"/>
              <w:szCs w:val="32"/>
            </w:rPr>
            <w:t>三、评审程序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_Toc29239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30F694B">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_Toc22529 </w:instrText>
          </w:r>
          <w:r>
            <w:rPr>
              <w:rFonts w:hint="eastAsia" w:ascii="宋体" w:hAnsi="宋体" w:eastAsia="宋体" w:cs="宋体"/>
              <w:sz w:val="24"/>
              <w:szCs w:val="32"/>
            </w:rPr>
            <w:fldChar w:fldCharType="separate"/>
          </w:r>
          <w:r>
            <w:rPr>
              <w:rFonts w:hint="eastAsia" w:ascii="宋体" w:hAnsi="宋体" w:eastAsia="宋体" w:cs="宋体"/>
              <w:sz w:val="24"/>
              <w:szCs w:val="32"/>
            </w:rPr>
            <w:t>四、评审中的其他事项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_Toc22529 \h </w:instrText>
          </w:r>
          <w:r>
            <w:rPr>
              <w:rFonts w:hint="eastAsia" w:ascii="宋体" w:hAnsi="宋体" w:eastAsia="宋体" w:cs="宋体"/>
              <w:sz w:val="24"/>
              <w:szCs w:val="32"/>
            </w:rPr>
            <w:fldChar w:fldCharType="separate"/>
          </w:r>
          <w:r>
            <w:rPr>
              <w:rFonts w:hint="eastAsia" w:ascii="宋体" w:hAnsi="宋体" w:eastAsia="宋体" w:cs="宋体"/>
              <w:sz w:val="24"/>
              <w:szCs w:val="32"/>
            </w:rPr>
            <w:t>38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B901650">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_Toc24945 </w:instrText>
          </w:r>
          <w:r>
            <w:rPr>
              <w:rFonts w:hint="eastAsia" w:ascii="宋体" w:hAnsi="宋体" w:eastAsia="宋体" w:cs="宋体"/>
              <w:sz w:val="24"/>
              <w:szCs w:val="32"/>
            </w:rPr>
            <w:fldChar w:fldCharType="separate"/>
          </w:r>
          <w:r>
            <w:rPr>
              <w:rFonts w:hint="eastAsia" w:ascii="宋体" w:hAnsi="宋体" w:eastAsia="宋体" w:cs="宋体"/>
              <w:sz w:val="24"/>
              <w:szCs w:val="44"/>
            </w:rPr>
            <w:t>第五部分 拟签订的合同文本</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_Toc24945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CFAF52F">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_Toc9580 </w:instrText>
          </w:r>
          <w:r>
            <w:rPr>
              <w:rFonts w:hint="eastAsia" w:ascii="宋体" w:hAnsi="宋体" w:eastAsia="宋体" w:cs="宋体"/>
              <w:sz w:val="24"/>
              <w:szCs w:val="32"/>
            </w:rPr>
            <w:fldChar w:fldCharType="separate"/>
          </w:r>
          <w:r>
            <w:rPr>
              <w:rFonts w:hint="eastAsia" w:ascii="宋体" w:hAnsi="宋体" w:eastAsia="宋体" w:cs="宋体"/>
              <w:sz w:val="24"/>
              <w:szCs w:val="36"/>
            </w:rPr>
            <w:t>（以最终签订为准）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_Toc9580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19DBE184">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_Toc18057 </w:instrText>
          </w:r>
          <w:r>
            <w:rPr>
              <w:rFonts w:hint="eastAsia" w:ascii="宋体" w:hAnsi="宋体" w:eastAsia="宋体" w:cs="宋体"/>
              <w:sz w:val="24"/>
              <w:szCs w:val="32"/>
            </w:rPr>
            <w:fldChar w:fldCharType="separate"/>
          </w:r>
          <w:r>
            <w:rPr>
              <w:rFonts w:hint="eastAsia" w:ascii="宋体" w:hAnsi="宋体" w:eastAsia="宋体" w:cs="宋体"/>
              <w:sz w:val="24"/>
              <w:szCs w:val="32"/>
            </w:rPr>
            <w:t>浙江中医药大学富春校区北区食堂智慧化建设工程合同</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_Toc18057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E981250">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_Toc12850 </w:instrText>
          </w:r>
          <w:r>
            <w:rPr>
              <w:rFonts w:hint="eastAsia" w:ascii="宋体" w:hAnsi="宋体" w:eastAsia="宋体" w:cs="宋体"/>
              <w:sz w:val="24"/>
              <w:szCs w:val="32"/>
            </w:rPr>
            <w:fldChar w:fldCharType="separate"/>
          </w:r>
          <w:r>
            <w:rPr>
              <w:rFonts w:hint="eastAsia" w:ascii="宋体" w:hAnsi="宋体" w:eastAsia="宋体" w:cs="宋体"/>
              <w:sz w:val="24"/>
              <w:szCs w:val="32"/>
            </w:rPr>
            <w:t>第一部分 合同协议书</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_Toc12850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D40CFDE">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_Toc32677 </w:instrText>
          </w:r>
          <w:r>
            <w:rPr>
              <w:rFonts w:hint="eastAsia" w:ascii="宋体" w:hAnsi="宋体" w:eastAsia="宋体" w:cs="宋体"/>
              <w:sz w:val="24"/>
              <w:szCs w:val="32"/>
            </w:rPr>
            <w:fldChar w:fldCharType="separate"/>
          </w:r>
          <w:r>
            <w:rPr>
              <w:rFonts w:hint="eastAsia" w:ascii="宋体" w:hAnsi="宋体" w:eastAsia="宋体" w:cs="宋体"/>
              <w:sz w:val="24"/>
              <w:szCs w:val="32"/>
            </w:rPr>
            <w:t>第二部分 通用合同条款（略)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_Toc32677 \h </w:instrText>
          </w:r>
          <w:r>
            <w:rPr>
              <w:rFonts w:hint="eastAsia" w:ascii="宋体" w:hAnsi="宋体" w:eastAsia="宋体" w:cs="宋体"/>
              <w:sz w:val="24"/>
              <w:szCs w:val="32"/>
            </w:rPr>
            <w:fldChar w:fldCharType="separate"/>
          </w:r>
          <w:r>
            <w:rPr>
              <w:rFonts w:hint="eastAsia" w:ascii="宋体" w:hAnsi="宋体" w:eastAsia="宋体" w:cs="宋体"/>
              <w:sz w:val="24"/>
              <w:szCs w:val="32"/>
            </w:rPr>
            <w:t>45</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2C77C6D">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_Toc11698 </w:instrText>
          </w:r>
          <w:r>
            <w:rPr>
              <w:rFonts w:hint="eastAsia" w:ascii="宋体" w:hAnsi="宋体" w:eastAsia="宋体" w:cs="宋体"/>
              <w:sz w:val="24"/>
              <w:szCs w:val="32"/>
            </w:rPr>
            <w:fldChar w:fldCharType="separate"/>
          </w:r>
          <w:r>
            <w:rPr>
              <w:rFonts w:hint="eastAsia" w:ascii="宋体" w:hAnsi="宋体" w:eastAsia="宋体" w:cs="宋体"/>
              <w:sz w:val="24"/>
              <w:szCs w:val="32"/>
            </w:rPr>
            <w:t>第三部分 专用合同条款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_Toc11698 \h </w:instrText>
          </w:r>
          <w:r>
            <w:rPr>
              <w:rFonts w:hint="eastAsia" w:ascii="宋体" w:hAnsi="宋体" w:eastAsia="宋体" w:cs="宋体"/>
              <w:sz w:val="24"/>
              <w:szCs w:val="32"/>
            </w:rPr>
            <w:fldChar w:fldCharType="separate"/>
          </w:r>
          <w:r>
            <w:rPr>
              <w:rFonts w:hint="eastAsia" w:ascii="宋体" w:hAnsi="宋体" w:eastAsia="宋体" w:cs="宋体"/>
              <w:sz w:val="24"/>
              <w:szCs w:val="32"/>
            </w:rPr>
            <w:t>45</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E325FE0">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_Toc18764 </w:instrText>
          </w:r>
          <w:r>
            <w:rPr>
              <w:rFonts w:hint="eastAsia" w:ascii="宋体" w:hAnsi="宋体" w:eastAsia="宋体" w:cs="宋体"/>
              <w:sz w:val="24"/>
              <w:szCs w:val="32"/>
            </w:rPr>
            <w:fldChar w:fldCharType="separate"/>
          </w:r>
          <w:r>
            <w:rPr>
              <w:rFonts w:hint="eastAsia" w:ascii="宋体" w:hAnsi="宋体" w:eastAsia="宋体" w:cs="宋体"/>
              <w:sz w:val="24"/>
              <w:szCs w:val="22"/>
            </w:rPr>
            <w:t>第六部分 应提交的有关格式范例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_Toc18764 \h </w:instrText>
          </w:r>
          <w:r>
            <w:rPr>
              <w:rFonts w:hint="eastAsia" w:ascii="宋体" w:hAnsi="宋体" w:eastAsia="宋体" w:cs="宋体"/>
              <w:sz w:val="24"/>
              <w:szCs w:val="32"/>
            </w:rPr>
            <w:fldChar w:fldCharType="separate"/>
          </w:r>
          <w:r>
            <w:rPr>
              <w:rFonts w:hint="eastAsia" w:ascii="宋体" w:hAnsi="宋体" w:eastAsia="宋体" w:cs="宋体"/>
              <w:sz w:val="24"/>
              <w:szCs w:val="32"/>
            </w:rPr>
            <w:t>79</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1CFE57BA">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_Toc2671 </w:instrText>
          </w:r>
          <w:r>
            <w:rPr>
              <w:rFonts w:hint="eastAsia" w:ascii="宋体" w:hAnsi="宋体" w:eastAsia="宋体" w:cs="宋体"/>
              <w:sz w:val="24"/>
              <w:szCs w:val="32"/>
            </w:rPr>
            <w:fldChar w:fldCharType="separate"/>
          </w:r>
          <w:r>
            <w:rPr>
              <w:rFonts w:hint="eastAsia" w:ascii="宋体" w:hAnsi="宋体" w:eastAsia="宋体" w:cs="宋体"/>
              <w:kern w:val="0"/>
              <w:sz w:val="24"/>
              <w:szCs w:val="44"/>
            </w:rPr>
            <w:t>资格文件部分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_Toc2671 \h </w:instrText>
          </w:r>
          <w:r>
            <w:rPr>
              <w:rFonts w:hint="eastAsia" w:ascii="宋体" w:hAnsi="宋体" w:eastAsia="宋体" w:cs="宋体"/>
              <w:sz w:val="24"/>
              <w:szCs w:val="32"/>
            </w:rPr>
            <w:fldChar w:fldCharType="separate"/>
          </w:r>
          <w:r>
            <w:rPr>
              <w:rFonts w:hint="eastAsia" w:ascii="宋体" w:hAnsi="宋体" w:eastAsia="宋体" w:cs="宋体"/>
              <w:sz w:val="24"/>
              <w:szCs w:val="32"/>
            </w:rPr>
            <w:t>79</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6E49BB8">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_Toc12004 </w:instrText>
          </w:r>
          <w:r>
            <w:rPr>
              <w:rFonts w:hint="eastAsia" w:ascii="宋体" w:hAnsi="宋体" w:eastAsia="宋体" w:cs="宋体"/>
              <w:sz w:val="24"/>
              <w:szCs w:val="32"/>
            </w:rPr>
            <w:fldChar w:fldCharType="separate"/>
          </w:r>
          <w:r>
            <w:rPr>
              <w:rFonts w:hint="eastAsia" w:ascii="宋体" w:hAnsi="宋体" w:eastAsia="宋体" w:cs="宋体"/>
              <w:kern w:val="0"/>
              <w:sz w:val="24"/>
              <w:szCs w:val="44"/>
            </w:rPr>
            <w:t>商务技术文件部分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_Toc12004 \h </w:instrText>
          </w:r>
          <w:r>
            <w:rPr>
              <w:rFonts w:hint="eastAsia" w:ascii="宋体" w:hAnsi="宋体" w:eastAsia="宋体" w:cs="宋体"/>
              <w:sz w:val="24"/>
              <w:szCs w:val="32"/>
            </w:rPr>
            <w:fldChar w:fldCharType="separate"/>
          </w:r>
          <w:r>
            <w:rPr>
              <w:rFonts w:hint="eastAsia" w:ascii="宋体" w:hAnsi="宋体" w:eastAsia="宋体" w:cs="宋体"/>
              <w:sz w:val="24"/>
              <w:szCs w:val="32"/>
            </w:rPr>
            <w:t>83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AD6B7A1">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_Toc28385 </w:instrText>
          </w:r>
          <w:r>
            <w:rPr>
              <w:rFonts w:hint="eastAsia" w:ascii="宋体" w:hAnsi="宋体" w:eastAsia="宋体" w:cs="宋体"/>
              <w:sz w:val="24"/>
              <w:szCs w:val="32"/>
            </w:rPr>
            <w:fldChar w:fldCharType="separate"/>
          </w:r>
          <w:r>
            <w:rPr>
              <w:rFonts w:hint="eastAsia" w:ascii="宋体" w:hAnsi="宋体" w:eastAsia="宋体" w:cs="宋体"/>
              <w:kern w:val="0"/>
              <w:sz w:val="24"/>
              <w:szCs w:val="44"/>
            </w:rPr>
            <w:t>报价文件部分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_Toc28385 \h </w:instrText>
          </w:r>
          <w:r>
            <w:rPr>
              <w:rFonts w:hint="eastAsia" w:ascii="宋体" w:hAnsi="宋体" w:eastAsia="宋体" w:cs="宋体"/>
              <w:sz w:val="24"/>
              <w:szCs w:val="32"/>
            </w:rPr>
            <w:fldChar w:fldCharType="separate"/>
          </w:r>
          <w:r>
            <w:rPr>
              <w:rFonts w:hint="eastAsia" w:ascii="宋体" w:hAnsi="宋体" w:eastAsia="宋体" w:cs="宋体"/>
              <w:sz w:val="24"/>
              <w:szCs w:val="32"/>
            </w:rPr>
            <w:t>91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1EDB620">
          <w:pPr>
            <w:pStyle w:val="42"/>
            <w:tabs>
              <w:tab w:val="right" w:leader="dot" w:pos="9746"/>
            </w:tabs>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_Toc16921 </w:instrText>
          </w:r>
          <w:r>
            <w:rPr>
              <w:rFonts w:hint="eastAsia" w:ascii="宋体" w:hAnsi="宋体" w:eastAsia="宋体" w:cs="宋体"/>
              <w:sz w:val="24"/>
              <w:szCs w:val="32"/>
            </w:rPr>
            <w:fldChar w:fldCharType="separate"/>
          </w:r>
          <w:r>
            <w:rPr>
              <w:rFonts w:hint="eastAsia" w:ascii="宋体" w:hAnsi="宋体" w:eastAsia="宋体" w:cs="宋体"/>
              <w:sz w:val="24"/>
              <w:szCs w:val="32"/>
            </w:rPr>
            <w:t>附件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_Toc16921 \h </w:instrText>
          </w:r>
          <w:r>
            <w:rPr>
              <w:rFonts w:hint="eastAsia" w:ascii="宋体" w:hAnsi="宋体" w:eastAsia="宋体" w:cs="宋体"/>
              <w:sz w:val="24"/>
              <w:szCs w:val="32"/>
            </w:rPr>
            <w:fldChar w:fldCharType="separate"/>
          </w:r>
          <w:r>
            <w:rPr>
              <w:rFonts w:hint="eastAsia" w:ascii="宋体" w:hAnsi="宋体" w:eastAsia="宋体" w:cs="宋体"/>
              <w:sz w:val="24"/>
              <w:szCs w:val="32"/>
            </w:rPr>
            <w:t>94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10FF7573">
          <w:pPr>
            <w:spacing w:line="360" w:lineRule="auto"/>
          </w:pPr>
          <w:r>
            <w:rPr>
              <w:rFonts w:hint="eastAsia" w:ascii="宋体" w:hAnsi="宋体" w:cs="宋体"/>
              <w:color w:val="000000" w:themeColor="text1"/>
              <w14:textFill>
                <w14:solidFill>
                  <w14:schemeClr w14:val="tx1"/>
                </w14:solidFill>
              </w14:textFill>
            </w:rPr>
            <w:fldChar w:fldCharType="end"/>
          </w:r>
        </w:p>
      </w:sdtContent>
    </w:sdt>
    <w:p w14:paraId="7CFFE19A">
      <w:pPr>
        <w:rPr>
          <w:rFonts w:hint="eastAsia" w:ascii="宋体" w:hAnsi="宋体" w:cs="宋体"/>
          <w:b/>
          <w:color w:val="000000" w:themeColor="text1"/>
          <w:sz w:val="36"/>
          <w:szCs w:val="20"/>
          <w14:textFill>
            <w14:solidFill>
              <w14:schemeClr w14:val="tx1"/>
            </w14:solidFill>
          </w14:textFill>
        </w:rPr>
      </w:pPr>
      <w:bookmarkStart w:id="1" w:name="_Hlt74649545"/>
      <w:bookmarkEnd w:id="1"/>
      <w:bookmarkStart w:id="2" w:name="_Hlt74729822"/>
      <w:bookmarkEnd w:id="2"/>
      <w:bookmarkStart w:id="3" w:name="_Hlt74728647"/>
      <w:bookmarkEnd w:id="3"/>
      <w:bookmarkStart w:id="4" w:name="_Hlt74707423"/>
      <w:bookmarkEnd w:id="4"/>
      <w:bookmarkStart w:id="5" w:name="_Hlt91233176"/>
      <w:bookmarkEnd w:id="5"/>
      <w:bookmarkStart w:id="6" w:name="_Toc29251"/>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br w:type="page"/>
      </w:r>
    </w:p>
    <w:p w14:paraId="304F6DF5">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竞争性磋商公告</w:t>
      </w:r>
      <w:bookmarkEnd w:id="6"/>
    </w:p>
    <w:p w14:paraId="15115A1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2DE121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浙江中医药大学富春校区北区食堂智慧化建设工程</w:t>
      </w:r>
      <w:r>
        <w:rPr>
          <w:rFonts w:hint="eastAsia" w:ascii="宋体" w:hAnsi="宋体" w:cs="宋体"/>
          <w:color w:val="000000" w:themeColor="text1"/>
          <w:sz w:val="24"/>
          <w14:textFill>
            <w14:solidFill>
              <w14:schemeClr w14:val="tx1"/>
            </w14:solidFill>
          </w14:textFill>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07月22日</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点30分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2DBAF9A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w:t>
      </w:r>
    </w:p>
    <w:p w14:paraId="25104BDB">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HSZB-2025-305（1）</w:t>
      </w:r>
    </w:p>
    <w:p w14:paraId="29C6AA96">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浙江中医药大学富春校区北区食堂智慧化建设工程</w:t>
      </w:r>
    </w:p>
    <w:p w14:paraId="1BE5DDD0">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bCs/>
          <w:color w:val="000000" w:themeColor="text1"/>
          <w:sz w:val="24"/>
          <w14:textFill>
            <w14:solidFill>
              <w14:schemeClr w14:val="tx1"/>
            </w14:solidFill>
          </w14:textFill>
        </w:rPr>
        <w:t>980000</w:t>
      </w:r>
      <w:r>
        <w:rPr>
          <w:rFonts w:hint="eastAsia" w:ascii="宋体" w:hAnsi="宋体" w:cs="宋体"/>
          <w:color w:val="000000" w:themeColor="text1"/>
          <w:sz w:val="24"/>
          <w14:textFill>
            <w14:solidFill>
              <w14:schemeClr w14:val="tx1"/>
            </w14:solidFill>
          </w14:textFill>
        </w:rPr>
        <w:t xml:space="preserve">  </w:t>
      </w:r>
    </w:p>
    <w:p w14:paraId="337777F7">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Cs/>
          <w:color w:val="000000" w:themeColor="text1"/>
          <w:sz w:val="24"/>
          <w14:textFill>
            <w14:solidFill>
              <w14:schemeClr w14:val="tx1"/>
            </w14:solidFill>
          </w14:textFill>
        </w:rPr>
        <w:t>950000</w:t>
      </w:r>
      <w:r>
        <w:rPr>
          <w:rFonts w:hint="eastAsia" w:ascii="宋体" w:hAnsi="宋体" w:cs="宋体"/>
          <w:color w:val="000000" w:themeColor="text1"/>
          <w:sz w:val="24"/>
          <w14:textFill>
            <w14:solidFill>
              <w14:schemeClr w14:val="tx1"/>
            </w14:solidFill>
          </w14:textFill>
        </w:rPr>
        <w:t xml:space="preserve">  </w:t>
      </w:r>
    </w:p>
    <w:p w14:paraId="120ADE30">
      <w:pPr>
        <w:pStyle w:val="6"/>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浙江中医药大学富春校区北区食堂智慧化建设工程主要内容：详见采购文件第三部分采购需求。</w:t>
      </w:r>
    </w:p>
    <w:p w14:paraId="087297D2">
      <w:pPr>
        <w:pStyle w:val="131"/>
        <w:snapToGrid w:val="0"/>
        <w:spacing w:before="0"/>
        <w:ind w:firstLine="48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Theme="minorEastAsia" w:hAnsiTheme="minorEastAsia" w:eastAsiaTheme="minorEastAsia"/>
          <w:color w:val="000000" w:themeColor="text1"/>
          <w14:textFill>
            <w14:solidFill>
              <w14:schemeClr w14:val="tx1"/>
            </w14:solidFill>
          </w14:textFill>
        </w:rPr>
        <w:t>工期：60日历天。</w:t>
      </w:r>
    </w:p>
    <w:p w14:paraId="0ADE4C55">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p w14:paraId="522BFF8D">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2AF2EBE2">
      <w:pPr>
        <w:pStyle w:val="6"/>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14:paraId="0E97808A">
      <w:pPr>
        <w:pStyle w:val="6"/>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87168129"/>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14:paraId="51360F45">
      <w:pPr>
        <w:pStyle w:val="131"/>
        <w:snapToGrid w:val="0"/>
        <w:spacing w:before="0"/>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14:paraId="3C21FA7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0" w:name="_Hlk101132948"/>
      <w:r>
        <w:rPr>
          <w:rFonts w:hint="eastAsia" w:ascii="宋体" w:hAnsi="宋体" w:cs="宋体"/>
          <w:b/>
          <w:color w:val="000000" w:themeColor="text1"/>
          <w:sz w:val="24"/>
          <w14:textFill>
            <w14:solidFill>
              <w14:schemeClr w14:val="tx1"/>
            </w14:solidFill>
          </w14:textFill>
        </w:rPr>
        <w:t>申请人的资格要求</w:t>
      </w:r>
      <w:bookmarkEnd w:id="10"/>
      <w:r>
        <w:rPr>
          <w:rFonts w:hint="eastAsia" w:ascii="宋体" w:hAnsi="宋体" w:cs="宋体"/>
          <w:b/>
          <w:color w:val="000000" w:themeColor="text1"/>
          <w:sz w:val="24"/>
          <w14:textFill>
            <w14:solidFill>
              <w14:schemeClr w14:val="tx1"/>
            </w14:solidFill>
          </w14:textFill>
        </w:rPr>
        <w:t>：</w:t>
      </w:r>
    </w:p>
    <w:p w14:paraId="40E209D1">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1CF2532">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14:paraId="5C863800">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1436F16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36FB126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0915949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20CB4B12">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2816380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14:paraId="7CF36191">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0114385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14:paraId="7CD2961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392801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1"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1"/>
    <w:p w14:paraId="680035E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188F2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43556344">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4EF89931">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p>
    <w:p w14:paraId="3B3FCCA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（1）供应商具有有效的电子与智能化工程专业承包贰级及以上资质；</w:t>
      </w:r>
    </w:p>
    <w:p w14:paraId="61CB8FE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（2）供应商具有有效的企业《安全生产许可证》；</w:t>
      </w:r>
    </w:p>
    <w:p w14:paraId="1798FC2D">
      <w:pPr>
        <w:pStyle w:val="2"/>
        <w:spacing w:line="360" w:lineRule="auto"/>
        <w:rPr>
          <w:color w:val="0000FF"/>
        </w:rPr>
      </w:pPr>
      <w:r>
        <w:rPr>
          <w:rFonts w:hint="eastAsia" w:cs="宋体"/>
          <w:color w:val="000000" w:themeColor="text1"/>
          <w14:textFill>
            <w14:solidFill>
              <w14:schemeClr w14:val="tx1"/>
            </w14:solidFill>
          </w14:textFill>
        </w:rPr>
        <w:t>（3）以联合体形式参加本项目磋商的，须签订联合体协议；联合体各方均应满足资格条件。</w:t>
      </w:r>
    </w:p>
    <w:p w14:paraId="122794D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6A488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3ABEC25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07月22日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EBFA8D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2A7656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47B063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D5C4EA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4E146D5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eastAsia="zh-CN"/>
          <w14:textFill>
            <w14:solidFill>
              <w14:schemeClr w14:val="tx1"/>
            </w14:solidFill>
          </w14:textFill>
        </w:rPr>
        <w:t>07月22日</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点30分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25CF89E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F830C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31EED24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07月22日</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点30分</w:t>
      </w:r>
      <w:r>
        <w:rPr>
          <w:rFonts w:hint="eastAsia" w:ascii="宋体" w:hAnsi="宋体" w:cs="宋体"/>
          <w:bCs/>
          <w:color w:val="000000" w:themeColor="text1"/>
          <w:sz w:val="24"/>
          <w:u w:val="single"/>
          <w14:textFill>
            <w14:solidFill>
              <w14:schemeClr w14:val="tx1"/>
            </w14:solidFill>
          </w14:textFill>
        </w:rPr>
        <w:t xml:space="preserve"> </w:t>
      </w:r>
    </w:p>
    <w:p w14:paraId="561B269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50C4BD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66C1AD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7732E49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2F26E2A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67D55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CF9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93C1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ED5BB2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3FFEBA62">
      <w:pPr>
        <w:spacing w:line="360" w:lineRule="auto"/>
        <w:ind w:firstLine="480" w:firstLineChars="200"/>
        <w:rPr>
          <w:rFonts w:ascii="宋体" w:hAnsi="宋体" w:cs="宋体" w:eastAsiaTheme="minorEastAsia"/>
          <w:b w:val="0"/>
          <w:bCs w:val="0"/>
          <w:color w:val="000000" w:themeColor="text1"/>
          <w:sz w:val="24"/>
          <w14:textFill>
            <w14:solidFill>
              <w14:schemeClr w14:val="tx1"/>
            </w14:solidFill>
          </w14:textFill>
        </w:rPr>
      </w:pPr>
      <w:bookmarkStart w:id="12" w:name="_Toc28359096"/>
      <w:bookmarkStart w:id="13" w:name="_Toc35393806"/>
      <w:bookmarkStart w:id="14" w:name="_Toc35393637"/>
      <w:bookmarkStart w:id="15" w:name="_Toc28359019"/>
      <w:r>
        <w:rPr>
          <w:rFonts w:hint="eastAsia" w:ascii="宋体" w:hAnsi="宋体" w:cs="宋体" w:eastAsiaTheme="minorEastAsia"/>
          <w:b w:val="0"/>
          <w:bCs w:val="0"/>
          <w:color w:val="000000" w:themeColor="text1"/>
          <w:sz w:val="24"/>
          <w14:textFill>
            <w14:solidFill>
              <w14:schemeClr w14:val="tx1"/>
            </w14:solidFill>
          </w14:textFill>
        </w:rPr>
        <w:t>1.采购人信息</w:t>
      </w:r>
      <w:bookmarkEnd w:id="12"/>
      <w:bookmarkEnd w:id="13"/>
      <w:bookmarkEnd w:id="14"/>
      <w:bookmarkEnd w:id="15"/>
      <w:r>
        <w:rPr>
          <w:rFonts w:hint="eastAsia" w:ascii="宋体" w:hAnsi="宋体" w:cs="宋体" w:eastAsiaTheme="minorEastAsia"/>
          <w:b w:val="0"/>
          <w:bCs w:val="0"/>
          <w:color w:val="000000" w:themeColor="text1"/>
          <w:sz w:val="24"/>
          <w14:textFill>
            <w14:solidFill>
              <w14:schemeClr w14:val="tx1"/>
            </w14:solidFill>
          </w14:textFill>
        </w:rPr>
        <w:t>：</w:t>
      </w:r>
    </w:p>
    <w:p w14:paraId="5F613F10">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称：浙江中医药大学</w:t>
      </w:r>
    </w:p>
    <w:p w14:paraId="5E3A824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地    址：浙江省</w:t>
      </w:r>
      <w:r>
        <w:rPr>
          <w:rFonts w:hint="eastAsia" w:asciiTheme="minorEastAsia" w:hAnsiTheme="minorEastAsia" w:eastAsiaTheme="minorEastAsia"/>
          <w:color w:val="000000" w:themeColor="text1"/>
          <w:sz w:val="24"/>
          <w14:textFill>
            <w14:solidFill>
              <w14:schemeClr w14:val="tx1"/>
            </w14:solidFill>
          </w14:textFill>
        </w:rPr>
        <w:t>杭州市滨江滨文路548号</w:t>
      </w:r>
    </w:p>
    <w:p w14:paraId="5D047A9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    真：/</w:t>
      </w:r>
    </w:p>
    <w:p w14:paraId="260D3733">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项目联系人（询问）：胥老师 </w:t>
      </w:r>
    </w:p>
    <w:p w14:paraId="1A8016A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项目联系方式（询问）：0571-86613798</w:t>
      </w:r>
    </w:p>
    <w:p w14:paraId="56C9D004">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质疑联系人：刘清明 </w:t>
      </w:r>
    </w:p>
    <w:p w14:paraId="4A66F803">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质疑联系方式：0571-86658089 </w:t>
      </w:r>
    </w:p>
    <w:p w14:paraId="07948D96">
      <w:pPr>
        <w:spacing w:line="360" w:lineRule="auto"/>
        <w:ind w:firstLine="480" w:firstLineChars="200"/>
        <w:rPr>
          <w:rFonts w:ascii="宋体" w:hAnsi="宋体" w:cs="宋体" w:eastAsiaTheme="minorEastAsia"/>
          <w:b w:val="0"/>
          <w:bCs w:val="0"/>
          <w:color w:val="000000" w:themeColor="text1"/>
          <w:sz w:val="24"/>
          <w14:textFill>
            <w14:solidFill>
              <w14:schemeClr w14:val="tx1"/>
            </w14:solidFill>
          </w14:textFill>
        </w:rPr>
      </w:pPr>
      <w:bookmarkStart w:id="16" w:name="_Toc28359097"/>
      <w:bookmarkStart w:id="17" w:name="_Toc35393807"/>
      <w:bookmarkStart w:id="18" w:name="_Toc28359020"/>
      <w:bookmarkStart w:id="19" w:name="_Toc35393638"/>
      <w:r>
        <w:rPr>
          <w:rFonts w:hint="eastAsia" w:ascii="宋体" w:hAnsi="宋体" w:cs="宋体" w:eastAsiaTheme="minorEastAsia"/>
          <w:b w:val="0"/>
          <w:bCs w:val="0"/>
          <w:color w:val="000000" w:themeColor="text1"/>
          <w:sz w:val="24"/>
          <w14:textFill>
            <w14:solidFill>
              <w14:schemeClr w14:val="tx1"/>
            </w14:solidFill>
          </w14:textFill>
        </w:rPr>
        <w:t>2.采购代理机构信息</w:t>
      </w:r>
      <w:bookmarkEnd w:id="16"/>
      <w:bookmarkEnd w:id="17"/>
      <w:bookmarkEnd w:id="18"/>
      <w:bookmarkEnd w:id="19"/>
      <w:r>
        <w:rPr>
          <w:rFonts w:hint="eastAsia" w:ascii="宋体" w:hAnsi="宋体" w:cs="宋体" w:eastAsiaTheme="minorEastAsia"/>
          <w:b w:val="0"/>
          <w:bCs w:val="0"/>
          <w:color w:val="000000" w:themeColor="text1"/>
          <w:sz w:val="24"/>
          <w14:textFill>
            <w14:solidFill>
              <w14:schemeClr w14:val="tx1"/>
            </w14:solidFill>
          </w14:textFill>
        </w:rPr>
        <w:t>：</w:t>
      </w:r>
    </w:p>
    <w:p w14:paraId="0DB9F83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称：浙江豪圣</w:t>
      </w:r>
      <w:r>
        <w:rPr>
          <w:rFonts w:hint="eastAsia" w:asciiTheme="minorEastAsia" w:hAnsiTheme="minorEastAsia" w:eastAsiaTheme="minorEastAsia"/>
          <w:color w:val="000000" w:themeColor="text1"/>
          <w:sz w:val="24"/>
          <w14:textFill>
            <w14:solidFill>
              <w14:schemeClr w14:val="tx1"/>
            </w14:solidFill>
          </w14:textFill>
        </w:rPr>
        <w:t xml:space="preserve">建设项目管理有限公司             </w:t>
      </w:r>
    </w:p>
    <w:p w14:paraId="45441EFB">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址：杭州市拱墅区大关路179号远洋国际中心A座17楼1706室</w:t>
      </w:r>
      <w:r>
        <w:rPr>
          <w:rFonts w:asciiTheme="minorEastAsia" w:hAnsiTheme="minorEastAsia" w:eastAsiaTheme="minorEastAsia"/>
          <w:color w:val="000000" w:themeColor="text1"/>
          <w:sz w:val="24"/>
          <w14:textFill>
            <w14:solidFill>
              <w14:schemeClr w14:val="tx1"/>
            </w14:solidFill>
          </w14:textFill>
        </w:rPr>
        <w:t xml:space="preserve"> </w:t>
      </w:r>
    </w:p>
    <w:p w14:paraId="10749656">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传    真：/             </w:t>
      </w:r>
    </w:p>
    <w:p w14:paraId="66C44D1A">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项目联系人（询问）：赵邵东、杨男、曹剑斌、陈敏娇</w:t>
      </w:r>
    </w:p>
    <w:p w14:paraId="775438BE">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项目联系方式（询问）：0571-87981527 </w:t>
      </w:r>
    </w:p>
    <w:p w14:paraId="267BCED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质疑联系人：桑国坚             </w:t>
      </w:r>
    </w:p>
    <w:p w14:paraId="4700F0D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质疑联系方式：0571-56386096</w:t>
      </w:r>
    </w:p>
    <w:p w14:paraId="6506BB4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3.本项目由采购人处理采购争议。质疑环节，采购人委托采购代理机构处理的，可由采购代理机构答复。对质疑答复不满意的，向采购人内部设置的采购监督机构反映。 </w:t>
      </w:r>
    </w:p>
    <w:p w14:paraId="73CF3532">
      <w:pPr>
        <w:spacing w:line="360" w:lineRule="auto"/>
        <w:ind w:firstLine="480"/>
        <w:rPr>
          <w:rFonts w:ascii="宋体" w:hAnsi="宋体" w:cs="宋体"/>
          <w:color w:val="000000" w:themeColor="text1"/>
          <w:sz w:val="24"/>
          <w14:textFill>
            <w14:solidFill>
              <w14:schemeClr w14:val="tx1"/>
            </w14:solidFill>
          </w14:textFill>
        </w:rPr>
      </w:pPr>
    </w:p>
    <w:p w14:paraId="02531A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政策咨询：何一平、冯华，0571-87058424、87055741     </w:t>
      </w:r>
    </w:p>
    <w:p w14:paraId="0C8DB38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302A04BB">
      <w:pPr>
        <w:snapToGrid w:val="0"/>
        <w:spacing w:line="360" w:lineRule="auto"/>
        <w:ind w:firstLine="480" w:firstLineChars="200"/>
        <w:rPr>
          <w:rFonts w:ascii="宋体" w:hAnsi="宋体" w:cs="宋体"/>
          <w:color w:val="000000" w:themeColor="text1"/>
          <w:sz w:val="24"/>
          <w14:textFill>
            <w14:solidFill>
              <w14:schemeClr w14:val="tx1"/>
            </w14:solidFill>
          </w14:textFill>
        </w:rPr>
        <w:sectPr>
          <w:footerReference r:id="rId5" w:type="first"/>
          <w:footerReference r:id="rId3" w:type="default"/>
          <w:footerReference r:id="rId4"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47D50F62">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20" w:name="_Toc1047"/>
      <w:r>
        <w:rPr>
          <w:rFonts w:hint="eastAsia" w:hAnsi="宋体" w:cs="宋体"/>
          <w:b/>
          <w:snapToGrid/>
          <w:color w:val="000000" w:themeColor="text1"/>
          <w:sz w:val="36"/>
          <w:szCs w:val="20"/>
          <w14:textFill>
            <w14:solidFill>
              <w14:schemeClr w14:val="tx1"/>
            </w14:solidFill>
          </w14:textFill>
        </w:rPr>
        <w:t>第二部分</w:t>
      </w:r>
      <w:bookmarkEnd w:id="7"/>
      <w:r>
        <w:rPr>
          <w:rFonts w:hint="eastAsia" w:hAnsi="宋体" w:cs="宋体"/>
          <w:b/>
          <w:snapToGrid/>
          <w:color w:val="000000" w:themeColor="text1"/>
          <w:sz w:val="36"/>
          <w:szCs w:val="20"/>
          <w14:textFill>
            <w14:solidFill>
              <w14:schemeClr w14:val="tx1"/>
            </w14:solidFill>
          </w14:textFill>
        </w:rPr>
        <w:t xml:space="preserve"> 供应商须知</w:t>
      </w:r>
      <w:bookmarkEnd w:id="8"/>
      <w:bookmarkEnd w:id="20"/>
    </w:p>
    <w:p w14:paraId="101C9225">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1" w:name="_Toc5783"/>
      <w:r>
        <w:rPr>
          <w:rFonts w:hint="eastAsia" w:ascii="宋体" w:hAnsi="宋体" w:cs="宋体"/>
          <w:b/>
          <w:color w:val="000000" w:themeColor="text1"/>
          <w:sz w:val="32"/>
          <w:szCs w:val="20"/>
          <w14:textFill>
            <w14:solidFill>
              <w14:schemeClr w14:val="tx1"/>
            </w14:solidFill>
          </w14:textFill>
        </w:rPr>
        <w:t>前附表</w:t>
      </w:r>
      <w:bookmarkEnd w:id="21"/>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2EE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tcPr>
          <w:p w14:paraId="376F3A3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14:paraId="0891977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14:paraId="73F7F17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2B52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14" w:type="dxa"/>
            <w:vAlign w:val="center"/>
          </w:tcPr>
          <w:p w14:paraId="4EF38AC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14:paraId="0E103403">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14:paraId="5388D73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14:paraId="4014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0012B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14:paraId="614521D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14:paraId="2F7CD3A6">
            <w:pPr>
              <w:pStyle w:val="4"/>
              <w:spacing w:line="240" w:lineRule="auto"/>
              <w:ind w:left="0" w:firstLine="0"/>
              <w:rPr>
                <w:rFonts w:ascii="宋体" w:hAnsi="宋体" w:eastAsia="宋体" w:cs="宋体"/>
                <w:color w:val="000000" w:themeColor="text1"/>
                <w:kern w:val="0"/>
                <w:sz w:val="24"/>
                <w14:textFill>
                  <w14:solidFill>
                    <w14:schemeClr w14:val="tx1"/>
                  </w14:solidFill>
                </w14:textFill>
              </w:rPr>
            </w:pPr>
            <w:bookmarkStart w:id="22" w:name="_Toc19396"/>
            <w:bookmarkStart w:id="23" w:name="_Toc24468"/>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eastAsia="宋体" w:cs="宋体"/>
                <w:color w:val="000000" w:themeColor="text1"/>
                <w:kern w:val="0"/>
                <w:sz w:val="24"/>
                <w:u w:val="single"/>
                <w14:textFill>
                  <w14:solidFill>
                    <w14:schemeClr w14:val="tx1"/>
                  </w14:solidFill>
                </w14:textFill>
              </w:rPr>
              <w:t>浙江中医药大学富春校区北区食堂智慧化建设工程</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 xml:space="preserve"> 建筑业 </w:t>
            </w:r>
            <w:r>
              <w:rPr>
                <w:rFonts w:hint="eastAsia" w:ascii="宋体" w:hAnsi="宋体" w:eastAsia="宋体" w:cs="宋体"/>
                <w:color w:val="000000" w:themeColor="text1"/>
                <w:kern w:val="0"/>
                <w:sz w:val="24"/>
                <w14:textFill>
                  <w14:solidFill>
                    <w14:schemeClr w14:val="tx1"/>
                  </w14:solidFill>
                </w14:textFill>
              </w:rPr>
              <w:t>行业；</w:t>
            </w:r>
            <w:bookmarkEnd w:id="22"/>
            <w:bookmarkEnd w:id="23"/>
          </w:p>
          <w:p w14:paraId="48C07BE1">
            <w:pPr>
              <w:pStyle w:val="4"/>
              <w:spacing w:line="240" w:lineRule="auto"/>
              <w:ind w:left="0" w:firstLine="0"/>
              <w:rPr>
                <w:rFonts w:ascii="宋体" w:hAnsi="宋体" w:eastAsia="宋体" w:cs="宋体"/>
                <w:color w:val="000000" w:themeColor="text1"/>
                <w:lang w:val="en-US"/>
                <w14:textFill>
                  <w14:solidFill>
                    <w14:schemeClr w14:val="tx1"/>
                  </w14:solidFill>
                </w14:textFill>
              </w:rPr>
            </w:pPr>
            <w:bookmarkStart w:id="24" w:name="_Toc17433"/>
            <w:bookmarkStart w:id="25" w:name="_Toc14803"/>
            <w:r>
              <w:rPr>
                <w:rFonts w:hint="eastAsia" w:ascii="宋体" w:hAnsi="宋体" w:eastAsia="宋体" w:cs="宋体"/>
                <w:b w:val="0"/>
                <w:bCs w:val="0"/>
                <w:color w:val="000000" w:themeColor="text1"/>
                <w:kern w:val="0"/>
                <w:sz w:val="24"/>
                <w:szCs w:val="24"/>
                <w:lang w:val="en-US"/>
                <w14:textFill>
                  <w14:solidFill>
                    <w14:schemeClr w14:val="tx1"/>
                  </w14:solidFill>
                </w14:textFill>
              </w:rPr>
              <w:t>（2）根据《关于印发中小企业划型标准规定的通知》（工信部联企业〔2011〕300号）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24"/>
            <w:bookmarkEnd w:id="25"/>
          </w:p>
        </w:tc>
      </w:tr>
      <w:tr w14:paraId="4221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764C6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14:paraId="1270697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14:paraId="2619BF3E">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93481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178C5F2">
            <w:pPr>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342490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346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D61D8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14:paraId="7F17FF20">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14:paraId="5966FAC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050787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sz w:val="24"/>
                <w:u w:val="single"/>
              </w:rPr>
              <w:t>材料运输</w:t>
            </w:r>
            <w:r>
              <w:rPr>
                <w:rFonts w:hint="eastAsia" w:ascii="宋体" w:hAnsi="宋体" w:cs="宋体"/>
                <w:color w:val="000000" w:themeColor="text1"/>
                <w:sz w:val="24"/>
                <w14:textFill>
                  <w14:solidFill>
                    <w14:schemeClr w14:val="tx1"/>
                  </w14:solidFill>
                </w14:textFill>
              </w:rPr>
              <w:t>工作分包。</w:t>
            </w:r>
          </w:p>
          <w:p w14:paraId="46B65EF4">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957932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06F124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70D5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24D4F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14:paraId="5C8A0DB6">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14:paraId="5371DB87">
            <w:pPr>
              <w:pStyle w:val="79"/>
              <w:spacing w:line="240" w:lineRule="auto"/>
              <w:ind w:firstLine="0" w:firstLineChars="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688692135"/>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A不组织。</w:t>
            </w:r>
          </w:p>
          <w:p w14:paraId="64C796EA">
            <w:pPr>
              <w:pStyle w:val="79"/>
              <w:spacing w:line="240" w:lineRule="auto"/>
              <w:ind w:firstLine="0" w:firstLineChars="0"/>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374731186"/>
                <w14:checkbox>
                  <w14:checked w14:val="0"/>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B组织，时间：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w:t>
            </w:r>
          </w:p>
          <w:p w14:paraId="0B03A1EC">
            <w:pPr>
              <w:pStyle w:val="79"/>
              <w:spacing w:line="240" w:lineRule="auto"/>
              <w:ind w:firstLine="0" w:firstLineChars="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C不统一组织，供应商在获取采购文件后，自行至项目现场考察。地点： ，联系人： ，联系方式： 。</w:t>
            </w:r>
          </w:p>
        </w:tc>
      </w:tr>
      <w:tr w14:paraId="685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930C7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14:paraId="340B232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14:paraId="5066C1D0">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8621118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64C3854A">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735FF027">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napToGrid w:val="0"/>
                <w:kern w:val="28"/>
                <w:sz w:val="24"/>
                <w:u w:val="single"/>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3AE6219">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3976FD3D">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评审办法</w:t>
            </w:r>
            <w:r>
              <w:rPr>
                <w:rFonts w:hint="eastAsia" w:ascii="宋体" w:hAnsi="宋体" w:cs="宋体"/>
                <w:color w:val="000000" w:themeColor="text1"/>
                <w:kern w:val="0"/>
                <w:sz w:val="24"/>
                <w14:textFill>
                  <w14:solidFill>
                    <w14:schemeClr w14:val="tx1"/>
                  </w14:solidFill>
                </w14:textFill>
              </w:rPr>
              <w:t>；</w:t>
            </w:r>
          </w:p>
          <w:p w14:paraId="3EB0467F">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D94A6B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开标截止时间前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杭州市拱墅区大关路179号远洋国际中心A座17楼1705室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赵邵东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0571-87981527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749F07B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7B6048D">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58E1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F2129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14:paraId="1D6B4A9A">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14:paraId="232E453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54568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2AB71462">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224FF43A">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14:paraId="6F045E89">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51E2F0B8">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14:paraId="60EC645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5B761B0F">
            <w:pPr>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7367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60EC79D">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14:paraId="3A394AD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14:paraId="34D6740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000574DF">
            <w:pPr>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14:paraId="248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40FB643">
            <w:pPr>
              <w:snapToGrid w:val="0"/>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14:paraId="2CC926A3">
            <w:pPr>
              <w:snapToGrid w:val="0"/>
              <w:jc w:val="center"/>
              <w:rPr>
                <w:rFonts w:ascii="宋体" w:hAnsi="宋体" w:cs="宋体"/>
                <w:b/>
                <w:color w:val="000000" w:themeColor="text1"/>
                <w:sz w:val="24"/>
                <w14:textFill>
                  <w14:solidFill>
                    <w14:schemeClr w14:val="tx1"/>
                  </w14:solidFill>
                </w14:textFill>
              </w:rPr>
            </w:pPr>
          </w:p>
        </w:tc>
        <w:tc>
          <w:tcPr>
            <w:tcW w:w="6927" w:type="dxa"/>
            <w:vAlign w:val="center"/>
          </w:tcPr>
          <w:p w14:paraId="350D3C8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14:paraId="65D5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D7416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14:paraId="690A65F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14:paraId="51F32CF4">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774366">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MS Gothic" w:hAnsi="MS Gothic"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强制采购节能产品。产品：</w:t>
            </w:r>
          </w:p>
          <w:p w14:paraId="3E94E709">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74BE363E">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02D0D3B7">
            <w:pPr>
              <w:pStyle w:val="79"/>
              <w:spacing w:line="24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2F75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F9ED6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14:paraId="0EEFB5E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14:paraId="12195379">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w:t>
            </w:r>
            <w:r>
              <w:rPr>
                <w:rFonts w:hint="eastAsia" w:ascii="宋体" w:hAnsi="宋体" w:cs="宋体"/>
                <w:color w:val="000000" w:themeColor="text1"/>
                <w:kern w:val="0"/>
                <w:sz w:val="24"/>
                <w14:textFill>
                  <w14:solidFill>
                    <w14:schemeClr w14:val="tx1"/>
                  </w14:solidFill>
                </w14:textFill>
              </w:rPr>
              <w:t>折扣</w:t>
            </w:r>
            <w:r>
              <w:rPr>
                <w:rFonts w:hint="eastAsia" w:ascii="宋体" w:hAnsi="宋体" w:cs="宋体"/>
                <w:color w:val="000000" w:themeColor="text1"/>
                <w:kern w:val="0"/>
                <w:sz w:val="24"/>
                <w:lang w:val="zh-CN"/>
                <w14:textFill>
                  <w14:solidFill>
                    <w14:schemeClr w14:val="tx1"/>
                  </w14:solidFill>
                </w14:textFill>
              </w:rPr>
              <w:t>报价。采购文件未列明，而供应商认为必需的费用也需列入报价。</w:t>
            </w:r>
          </w:p>
          <w:p w14:paraId="7A8068D6">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14:paraId="1D8180C3">
            <w:pPr>
              <w:snapToGrid w:val="0"/>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14:paraId="71F74AC9">
            <w:pPr>
              <w:snapToGrid w:val="0"/>
              <w:ind w:firstLine="241" w:firstLineChars="100"/>
              <w:jc w:val="left"/>
              <w:rPr>
                <w:color w:val="000000" w:themeColor="text1"/>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14:paraId="3F3F8A2B">
            <w:pPr>
              <w:ind w:firstLine="241" w:firstLineChars="100"/>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kern w:val="0"/>
                <w:sz w:val="24"/>
              </w:rPr>
              <w:t>供应商不得进行影响产品质量或者诚信履约的恶意报价如供应商响应报价低于最高限价50%的，应当在报价文件中详细阐述不影响产品质量或者诚信履约的具体原因以及相应证明材料，以备评审小组核查。如供应商未按要求提供相关说明及证明材料的，评审小组将对其响应文件作为无效响应处理；</w:t>
            </w:r>
          </w:p>
          <w:p w14:paraId="445E35FF">
            <w:pPr>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51D3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6C1EE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14:paraId="581A30F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14:paraId="72C5CA99">
            <w:pPr>
              <w:pStyle w:val="32"/>
              <w:rPr>
                <w:rFonts w:hAnsi="宋体" w:cs="宋体"/>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备份响应文件送达地点：</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杭州市拱墅区远洋国际A座17楼1705室</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u w:val="single"/>
                <w14:textFill>
                  <w14:solidFill>
                    <w14:schemeClr w14:val="tx1"/>
                  </w14:solidFill>
                </w14:textFill>
              </w:rPr>
              <w:t>赵邵东，0571-87981527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采购人、采购代理机构不强制或变相强制供应商提交备份响应文件。</w:t>
            </w:r>
          </w:p>
        </w:tc>
      </w:tr>
      <w:tr w14:paraId="072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2F300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14:paraId="058CE7A0">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14:paraId="3B50D2D6">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14:textFill>
                  <w14:solidFill>
                    <w14:schemeClr w14:val="tx1"/>
                  </w14:solidFill>
                </w14:textFill>
              </w:rPr>
              <w:t>。</w:t>
            </w:r>
          </w:p>
        </w:tc>
      </w:tr>
      <w:tr w14:paraId="7E60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vAlign w:val="center"/>
          </w:tcPr>
          <w:p w14:paraId="096650B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14:paraId="16F72641">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成交候选人数量</w:t>
            </w:r>
          </w:p>
        </w:tc>
        <w:tc>
          <w:tcPr>
            <w:tcW w:w="6927" w:type="dxa"/>
            <w:vAlign w:val="center"/>
          </w:tcPr>
          <w:p w14:paraId="700372CE">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本项目推荐的成交候选人数量：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tc>
      </w:tr>
      <w:tr w14:paraId="7451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7409D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93" w:type="dxa"/>
            <w:vAlign w:val="center"/>
          </w:tcPr>
          <w:p w14:paraId="7176081F">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6927" w:type="dxa"/>
            <w:vAlign w:val="center"/>
          </w:tcPr>
          <w:p w14:paraId="4B230164">
            <w:pPr>
              <w:rPr>
                <w:rFonts w:ascii="宋体" w:hAnsi="宋体" w:cs="宋体"/>
                <w:color w:val="000000" w:themeColor="text1"/>
                <w:kern w:val="0"/>
                <w:sz w:val="24"/>
                <w:lang w:val="e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
                <w14:textFill>
                  <w14:solidFill>
                    <w14:schemeClr w14:val="tx1"/>
                  </w14:solidFill>
                </w14:textFill>
              </w:rPr>
              <w:t>采购代理费按《招标代理服务收费管理暂行办法》（计价格〔2002〕1980 号）文件规定的收费标准×50%。不足2000元时按2000元收取，以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p w14:paraId="45D9702C">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2.造价咨询服务费按浙江省物价局《关于进一步完善工程造价咨询服务收费的通知》(浙价服(2009)84号)文件规定的收费标准</w:t>
            </w:r>
            <w:r>
              <w:rPr>
                <w:rFonts w:hint="eastAsia" w:ascii="宋体" w:hAnsi="宋体" w:cs="宋体"/>
                <w:color w:val="000000" w:themeColor="text1"/>
                <w:kern w:val="0"/>
                <w:sz w:val="24"/>
                <w:lang w:val="e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50%，单个项目造价咨询服务费用不足2000元的，按2000元计收取</w:t>
            </w:r>
            <w:r>
              <w:rPr>
                <w:rFonts w:hint="eastAsia" w:ascii="宋体" w:hAnsi="宋体" w:cs="宋体"/>
                <w:color w:val="000000" w:themeColor="text1"/>
                <w:kern w:val="0"/>
                <w:sz w:val="24"/>
                <w:lang w:val="en"/>
                <w14:textFill>
                  <w14:solidFill>
                    <w14:schemeClr w14:val="tx1"/>
                  </w14:solidFill>
                </w14:textFill>
              </w:rPr>
              <w:t>，以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tc>
      </w:tr>
      <w:tr w14:paraId="06B0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FFD03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093" w:type="dxa"/>
            <w:vAlign w:val="center"/>
          </w:tcPr>
          <w:p w14:paraId="5F3C9B1C">
            <w:pPr>
              <w:snapToGrid w:val="0"/>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重要提醒</w:t>
            </w:r>
          </w:p>
        </w:tc>
        <w:tc>
          <w:tcPr>
            <w:tcW w:w="6927" w:type="dxa"/>
            <w:vAlign w:val="center"/>
          </w:tcPr>
          <w:p w14:paraId="4454F3BD">
            <w:pPr>
              <w:rPr>
                <w:rFonts w:ascii="宋体" w:hAnsi="宋体" w:cs="宋体"/>
                <w:color w:val="000000" w:themeColor="text1"/>
                <w:kern w:val="0"/>
                <w:sz w:val="24"/>
                <w:lang w:val="en"/>
                <w14:textFill>
                  <w14:solidFill>
                    <w14:schemeClr w14:val="tx1"/>
                  </w14:solidFill>
                </w14:textFill>
              </w:rPr>
            </w:pPr>
            <w:r>
              <w:rPr>
                <w:rFonts w:hint="eastAsia" w:ascii="宋体" w:hAnsi="宋体" w:cs="宋体"/>
                <w:b/>
                <w:bCs/>
                <w:color w:val="000000" w:themeColor="text1"/>
                <w:kern w:val="0"/>
                <w:sz w:val="24"/>
                <w:lang w:val="en"/>
                <w14:textFill>
                  <w14:solidFill>
                    <w14:schemeClr w14:val="tx1"/>
                  </w14:solidFill>
                </w14:textFill>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1810F972">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59E6D133">
      <w:pPr>
        <w:widowControl/>
        <w:adjustRightInd/>
        <w:jc w:val="left"/>
        <w:rPr>
          <w:rFonts w:ascii="宋体" w:hAnsi="宋体" w:cs="宋体"/>
          <w:b/>
          <w:color w:val="000000" w:themeColor="text1"/>
          <w:sz w:val="32"/>
          <w:szCs w:val="20"/>
          <w14:textFill>
            <w14:solidFill>
              <w14:schemeClr w14:val="tx1"/>
            </w14:solidFill>
          </w14:textFill>
        </w:rPr>
      </w:pPr>
      <w:bookmarkStart w:id="26" w:name="第三部分"/>
      <w:bookmarkStart w:id="27" w:name="_Toc164416483"/>
      <w:r>
        <w:rPr>
          <w:rFonts w:hint="eastAsia" w:ascii="宋体" w:hAnsi="宋体" w:cs="宋体"/>
          <w:b/>
          <w:color w:val="000000" w:themeColor="text1"/>
          <w:sz w:val="32"/>
          <w:szCs w:val="20"/>
          <w14:textFill>
            <w14:solidFill>
              <w14:schemeClr w14:val="tx1"/>
            </w14:solidFill>
          </w14:textFill>
        </w:rPr>
        <w:br w:type="page"/>
      </w:r>
    </w:p>
    <w:p w14:paraId="47A1F176">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8" w:name="_Toc10083"/>
      <w:r>
        <w:rPr>
          <w:rFonts w:hint="eastAsia" w:ascii="宋体" w:hAnsi="宋体" w:cs="宋体"/>
          <w:b/>
          <w:color w:val="000000" w:themeColor="text1"/>
          <w:sz w:val="32"/>
          <w:szCs w:val="20"/>
          <w14:textFill>
            <w14:solidFill>
              <w14:schemeClr w14:val="tx1"/>
            </w14:solidFill>
          </w14:textFill>
        </w:rPr>
        <w:t>一、总则</w:t>
      </w:r>
      <w:bookmarkEnd w:id="28"/>
    </w:p>
    <w:p w14:paraId="39076504">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46CA9C82">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69382C78">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0DFF5F3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14:paraId="2D917E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“采购代理机构”系指竞争性磋商公告中载明的本项目的采购代理机构。</w:t>
      </w:r>
    </w:p>
    <w:p w14:paraId="19E6BB1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14:paraId="55CF56F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82DC7B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AE32B3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187DC7D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14:paraId="7AB6DDB1">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0014620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1368FA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45339E3C">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30E6514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7F567C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3B152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9D7784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2C5FD9B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A4DFB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0A003BA">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14:paraId="2B521E41">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DAF517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9"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29"/>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A639D0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AB9222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2361D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w:t>
      </w:r>
      <w:r>
        <w:rPr>
          <w:rFonts w:hint="eastAsia" w:cs="宋体" w:asciiTheme="minorEastAsia" w:hAnsiTheme="minorEastAsia" w:eastAsiaTheme="minorEastAsia"/>
          <w:color w:val="000000" w:themeColor="text1"/>
          <w:sz w:val="24"/>
          <w:lang w:val="en"/>
          <w14:textFill>
            <w14:solidFill>
              <w14:schemeClr w14:val="tx1"/>
            </w14:solidFill>
          </w14:textFill>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000000" w:themeColor="text1"/>
          <w:sz w:val="24"/>
          <w14:textFill>
            <w14:solidFill>
              <w14:schemeClr w14:val="tx1"/>
            </w14:solidFill>
          </w14:textFill>
        </w:rPr>
        <w:t>。</w:t>
      </w:r>
    </w:p>
    <w:p w14:paraId="2FE3BFF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w:t>
      </w:r>
      <w:r>
        <w:rPr>
          <w:rFonts w:hint="eastAsia" w:cs="宋体" w:asciiTheme="minorEastAsia" w:hAnsiTheme="minorEastAsia" w:eastAsiaTheme="minorEastAsia"/>
          <w:color w:val="000000" w:themeColor="text1"/>
          <w:sz w:val="24"/>
          <w14:textFill>
            <w14:solidFill>
              <w14:schemeClr w14:val="tx1"/>
            </w14:solidFill>
          </w14:textFill>
        </w:rPr>
        <w:t>业，中型企业不得将合同分包给大型企业。</w:t>
      </w:r>
    </w:p>
    <w:p w14:paraId="70FCF4F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3.4支持创新发展</w:t>
      </w:r>
    </w:p>
    <w:p w14:paraId="0BB02B9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3.4.1 首台套、“制造精品”、“专精特新”等创新产品按规定享受政府采购支持政策。</w:t>
      </w:r>
    </w:p>
    <w:p w14:paraId="42C5406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3.4.2 采购人应当贯彻落实知识产权保护相关法律法规，应当采购使用正版软件。</w:t>
      </w:r>
    </w:p>
    <w:p w14:paraId="0AC8C6AD">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54A5900E">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02066506">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14:paraId="19757F4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2AB758">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200DF792">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360C9B">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264690D5">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192C122C">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07E7B10">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66B4C997">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4B7D7AD7">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5EAD2C57">
      <w:pPr>
        <w:pStyle w:val="32"/>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21C5906B">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36B7F734">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6C54D16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435FD1EC">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79A109CB">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12B17FC9">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050C655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03D16C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711D2C0A">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31E74C4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1AD753">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645C921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2A1EDB8C">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4ABA4F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7AE17819">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70C5A2C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44E65B83">
      <w:pPr>
        <w:pStyle w:val="891"/>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4.4.5</w:t>
      </w:r>
      <w:r>
        <w:rPr>
          <w:rFonts w:hint="eastAsia"/>
          <w:color w:val="000000" w:themeColor="text1"/>
          <w14:textFill>
            <w14:solidFill>
              <w14:schemeClr w14:val="tx1"/>
            </w14:solidFill>
          </w14:textFill>
        </w:rPr>
        <w:t>根据政府采购行政裁决省市区三级联动试点工作安排，政府采购项目投诉材料可寄送至浙江省政府采购行政裁决服务中心（杭州），地址：杭州市上城区清泰街549号城建综合大楼11楼（快递仅限ems或顺丰），收件人：匡老师，电话：0571-87807798</w:t>
      </w:r>
      <w:r>
        <w:rPr>
          <w:rFonts w:hint="eastAsia" w:cs="仿宋"/>
          <w:color w:val="000000" w:themeColor="text1"/>
          <w14:textFill>
            <w14:solidFill>
              <w14:schemeClr w14:val="tx1"/>
            </w14:solidFill>
          </w14:textFill>
        </w:rPr>
        <w:t>。</w:t>
      </w:r>
    </w:p>
    <w:p w14:paraId="3534EEDD">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176C4483">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47F2CE05">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0" w:name="_Toc22012"/>
      <w:r>
        <w:rPr>
          <w:rFonts w:hint="eastAsia" w:ascii="宋体" w:hAnsi="宋体" w:cs="宋体"/>
          <w:b/>
          <w:color w:val="000000" w:themeColor="text1"/>
          <w:sz w:val="32"/>
          <w:szCs w:val="20"/>
          <w14:textFill>
            <w14:solidFill>
              <w14:schemeClr w14:val="tx1"/>
            </w14:solidFill>
          </w14:textFill>
        </w:rPr>
        <w:t>二、采购文件的构成、澄清、修改</w:t>
      </w:r>
      <w:bookmarkEnd w:id="30"/>
    </w:p>
    <w:p w14:paraId="682129DA">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38EA55F3">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4AF97B6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14:paraId="77006A9F">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14:paraId="69269FD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6457456E">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14:paraId="61032E54">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3E6A5298">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53B693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441A4BAC">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14:paraId="32FE87B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6.1已获取采购文件的潜在供应商，若有问题需要澄清，应于响应文件提交（上传）截止时间前，以书面形式向采购代理机构提出。</w:t>
      </w:r>
    </w:p>
    <w:p w14:paraId="328AD49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0C82C2F">
      <w:pPr>
        <w:pStyle w:val="24"/>
        <w:rPr>
          <w:rFonts w:hAnsi="宋体" w:cs="宋体"/>
          <w:color w:val="000000" w:themeColor="text1"/>
          <w:sz w:val="18"/>
          <w:szCs w:val="18"/>
          <w:lang w:val="en-US"/>
          <w14:textFill>
            <w14:solidFill>
              <w14:schemeClr w14:val="tx1"/>
            </w14:solidFill>
          </w14:textFill>
        </w:rPr>
      </w:pPr>
    </w:p>
    <w:p w14:paraId="3247E4F7">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1" w:name="_Toc24520"/>
      <w:r>
        <w:rPr>
          <w:rFonts w:hint="eastAsia" w:ascii="宋体" w:hAnsi="宋体" w:cs="宋体"/>
          <w:b/>
          <w:color w:val="000000" w:themeColor="text1"/>
          <w:sz w:val="32"/>
          <w:szCs w:val="20"/>
          <w14:textFill>
            <w14:solidFill>
              <w14:schemeClr w14:val="tx1"/>
            </w14:solidFill>
          </w14:textFill>
        </w:rPr>
        <w:t>三、提交响应文件</w:t>
      </w:r>
      <w:bookmarkEnd w:id="31"/>
    </w:p>
    <w:p w14:paraId="2A1C40F7">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14:paraId="31635964">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14:paraId="5223FC7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14:paraId="558A695A">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12B2835E">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14:paraId="7734EDDD">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14:paraId="6C0C30EF">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14:paraId="50957E5F">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14:paraId="6F307293">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14:paraId="6476842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2B9121D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0489F07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3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33"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32"/>
      <w:bookmarkEnd w:id="33"/>
      <w:r>
        <w:rPr>
          <w:rFonts w:hint="eastAsia" w:ascii="宋体" w:hAnsi="宋体" w:cs="宋体"/>
          <w:snapToGrid w:val="0"/>
          <w:color w:val="000000" w:themeColor="text1"/>
          <w:kern w:val="28"/>
          <w:sz w:val="24"/>
          <w:szCs w:val="20"/>
          <w14:textFill>
            <w14:solidFill>
              <w14:schemeClr w14:val="tx1"/>
            </w14:solidFill>
          </w14:textFill>
        </w:rPr>
        <w:t>；</w:t>
      </w:r>
    </w:p>
    <w:p w14:paraId="2CB3509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p>
    <w:p w14:paraId="3DDA1CF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5D9989F3">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5B3FB20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14:paraId="1C9D605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5B0D15C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14:paraId="2F6AF1B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25F1EE6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14:paraId="20089CF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14:paraId="1F2BD34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676E0456">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485C67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14:paraId="650E0E2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11.3.2初次报价明细表。</w:t>
      </w:r>
    </w:p>
    <w:p w14:paraId="6ABF28B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37E402C9">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14:paraId="4A0BD2B9">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157DE801">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65C56663">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0CCD238">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39DCB3F1">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9281436">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1506AA2F">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14:paraId="6588EC9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57631FE5">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14:paraId="6CC0DB1E">
      <w:pPr>
        <w:pStyle w:val="131"/>
        <w:snapToGrid w:val="0"/>
        <w:spacing w:before="0"/>
        <w:ind w:firstLine="0" w:firstLineChars="0"/>
        <w:rPr>
          <w:rFonts w:ascii="宋体" w:hAnsi="宋体" w:cs="宋体"/>
          <w:b/>
          <w:color w:val="000000" w:themeColor="text1"/>
          <w:szCs w:val="24"/>
          <w14:textFill>
            <w14:solidFill>
              <w14:schemeClr w14:val="tx1"/>
            </w14:solidFill>
          </w14:textFill>
        </w:rPr>
      </w:pPr>
    </w:p>
    <w:p w14:paraId="0CFB11E0">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14:paraId="41F1FA85">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7060B00">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541E4647">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113EA0D">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2E56B144">
      <w:pPr>
        <w:pStyle w:val="32"/>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但采购人、采购代理机构不强制或变相强制供应商提交备份响应文件。</w:t>
      </w:r>
    </w:p>
    <w:p w14:paraId="06055094">
      <w:pPr>
        <w:pStyle w:val="32"/>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074827FA">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29563E05">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4C01E8D0">
      <w:pPr>
        <w:pStyle w:val="32"/>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14:paraId="68BEBB45">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1D1A5F6A">
      <w:pPr>
        <w:pStyle w:val="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14:paraId="370BEB13">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14:paraId="6AE821A3">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14:paraId="652B90C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14:paraId="59E5817A">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A0B73C4">
      <w:pPr>
        <w:pStyle w:val="131"/>
        <w:spacing w:before="0"/>
        <w:ind w:firstLine="643"/>
        <w:rPr>
          <w:rFonts w:ascii="宋体" w:hAnsi="宋体" w:cs="宋体"/>
          <w:b/>
          <w:color w:val="000000" w:themeColor="text1"/>
          <w:sz w:val="32"/>
          <w14:textFill>
            <w14:solidFill>
              <w14:schemeClr w14:val="tx1"/>
            </w14:solidFill>
          </w14:textFill>
        </w:rPr>
      </w:pPr>
    </w:p>
    <w:p w14:paraId="324D9CA7">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4" w:name="_Toc20301"/>
      <w:r>
        <w:rPr>
          <w:rFonts w:hint="eastAsia" w:ascii="宋体" w:hAnsi="宋体" w:cs="宋体"/>
          <w:b/>
          <w:color w:val="000000" w:themeColor="text1"/>
          <w:sz w:val="32"/>
          <w:szCs w:val="20"/>
          <w14:textFill>
            <w14:solidFill>
              <w14:schemeClr w14:val="tx1"/>
            </w14:solidFill>
          </w14:textFill>
        </w:rPr>
        <w:t>四、响应文件开启、资格审查与信用信息查询</w:t>
      </w:r>
      <w:bookmarkEnd w:id="34"/>
    </w:p>
    <w:p w14:paraId="3E02D52D">
      <w:pPr>
        <w:pStyle w:val="559"/>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14:paraId="53BF8205">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18.1采购代理机构按照采购文件规定的时间通过电子交易平台组织响应文件开启，所有供应商均应当准时在线参加。供应商不足3家的，不得开启。</w:t>
      </w:r>
    </w:p>
    <w:p w14:paraId="1F56861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14:paraId="18ED3E8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73E86F27">
      <w:pPr>
        <w:pStyle w:val="559"/>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14:paraId="1928BF4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采购人、采购代理机构或磋商小组依据法律法规和采购文件的规定，对供应商的资格进行审查。</w:t>
      </w:r>
    </w:p>
    <w:p w14:paraId="5FFF6309">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14:paraId="0D773D98">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3对未通过资格审查的供应商，采购人或采购代理机构告知其未通过的原因。</w:t>
      </w:r>
    </w:p>
    <w:p w14:paraId="7CB7C47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4合格供应商不足3家的，不再评审。</w:t>
      </w:r>
    </w:p>
    <w:p w14:paraId="2D94F5E1">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742D09DA">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33A9A339">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14:paraId="56BA0064">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603EE8F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09AD1EE0">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740672C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5" w:name="_Toc12530"/>
      <w:r>
        <w:rPr>
          <w:rFonts w:hint="eastAsia" w:ascii="宋体" w:hAnsi="宋体" w:cs="宋体"/>
          <w:b/>
          <w:color w:val="000000" w:themeColor="text1"/>
          <w:sz w:val="32"/>
          <w:szCs w:val="20"/>
          <w14:textFill>
            <w14:solidFill>
              <w14:schemeClr w14:val="tx1"/>
            </w14:solidFill>
          </w14:textFill>
        </w:rPr>
        <w:t>五、评审</w:t>
      </w:r>
      <w:bookmarkEnd w:id="35"/>
    </w:p>
    <w:p w14:paraId="6A6F5FC5">
      <w:pPr>
        <w:spacing w:line="360" w:lineRule="auto"/>
        <w:rPr>
          <w:rFonts w:ascii="宋体" w:hAnsi="宋体" w:cs="宋体"/>
          <w:b/>
          <w:color w:val="000000" w:themeColor="text1"/>
          <w:sz w:val="24"/>
          <w14:textFill>
            <w14:solidFill>
              <w14:schemeClr w14:val="tx1"/>
            </w14:solidFill>
          </w14:textFill>
        </w:rPr>
      </w:pPr>
      <w:bookmarkStart w:id="36"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14:paraId="3BD41506">
      <w:pPr>
        <w:spacing w:line="360" w:lineRule="auto"/>
        <w:rPr>
          <w:rFonts w:ascii="宋体" w:hAnsi="宋体" w:cs="宋体"/>
          <w:b/>
          <w:color w:val="000000" w:themeColor="text1"/>
          <w:sz w:val="24"/>
          <w14:textFill>
            <w14:solidFill>
              <w14:schemeClr w14:val="tx1"/>
            </w14:solidFill>
          </w14:textFill>
        </w:rPr>
      </w:pPr>
    </w:p>
    <w:p w14:paraId="7566EBB2">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7" w:name="_Toc13974"/>
      <w:r>
        <w:rPr>
          <w:rFonts w:hint="eastAsia" w:ascii="宋体" w:hAnsi="宋体" w:cs="宋体"/>
          <w:b/>
          <w:color w:val="000000" w:themeColor="text1"/>
          <w:sz w:val="32"/>
          <w:szCs w:val="20"/>
          <w14:textFill>
            <w14:solidFill>
              <w14:schemeClr w14:val="tx1"/>
            </w14:solidFill>
          </w14:textFill>
        </w:rPr>
        <w:t>六、成交供应商确定</w:t>
      </w:r>
      <w:bookmarkEnd w:id="37"/>
    </w:p>
    <w:p w14:paraId="29195E94">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22.确定成交供应商</w:t>
      </w:r>
    </w:p>
    <w:p w14:paraId="4554A984">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8BDD485">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23.成交通知与成交结果公告</w:t>
      </w:r>
    </w:p>
    <w:p w14:paraId="459E2A6E">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15215EBE">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FF58F21">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4A64D73E">
      <w:pPr>
        <w:widowControl/>
        <w:shd w:val="clear" w:color="auto" w:fill="FFFFFF"/>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23.4由于成交供应商原因导致重新采购的，应当承担支付代理费和专家评审费等费用在内的赔偿责任。</w:t>
      </w:r>
    </w:p>
    <w:p w14:paraId="7F28C8A2">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2EF57E32">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8" w:name="_Toc13415"/>
      <w:r>
        <w:rPr>
          <w:rFonts w:hint="eastAsia" w:ascii="宋体" w:hAnsi="宋体" w:cs="宋体"/>
          <w:b/>
          <w:color w:val="000000" w:themeColor="text1"/>
          <w:sz w:val="32"/>
          <w:szCs w:val="20"/>
          <w14:textFill>
            <w14:solidFill>
              <w14:schemeClr w14:val="tx1"/>
            </w14:solidFill>
          </w14:textFill>
        </w:rPr>
        <w:t>七、合同授予</w:t>
      </w:r>
      <w:bookmarkEnd w:id="38"/>
    </w:p>
    <w:p w14:paraId="5D6A6712">
      <w:pPr>
        <w:pStyle w:val="2"/>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合同主要条款详见第五部分拟签订的合同文本。</w:t>
      </w:r>
    </w:p>
    <w:p w14:paraId="7A97908F">
      <w:pPr>
        <w:pStyle w:val="2"/>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25.合同的签订</w:t>
      </w:r>
    </w:p>
    <w:p w14:paraId="7A5B88A6">
      <w:pPr>
        <w:widowControl/>
        <w:shd w:val="clear" w:color="auto" w:fill="FFFFFF"/>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三十日内，与成交供应商按照采购文件确定的事项签订政府采购合同。</w:t>
      </w:r>
    </w:p>
    <w:p w14:paraId="0E7C40A9">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0838BEE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5B96416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2760DD2">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14:paraId="73181872">
      <w:pPr>
        <w:pStyle w:val="2"/>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43016C24">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杭州市政府采购网公布的供应商履约评价为满分的供应商，采购单位应当免收履约保证金。确需收取履约保证金的，履约保证金缴纳最高比例由不超过合同金额的2%，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CC3A11A">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157389F">
      <w:pPr>
        <w:tabs>
          <w:tab w:val="left" w:pos="0"/>
        </w:tabs>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27.预付款</w:t>
      </w:r>
    </w:p>
    <w:p w14:paraId="0DC9DF0D">
      <w:pPr>
        <w:tabs>
          <w:tab w:val="left" w:pos="0"/>
        </w:tabs>
        <w:snapToGrid w:val="0"/>
        <w:spacing w:line="360" w:lineRule="auto"/>
        <w:ind w:firstLine="48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采购单位应当在政府采购合同中约定预付款，对中小企业合同预付款比例原则上不低于合同金额的40％，不</w:t>
      </w:r>
      <w:r>
        <w:rPr>
          <w:rFonts w:hint="eastAsia" w:ascii="宋体" w:hAnsi="宋体"/>
          <w:color w:val="000000" w:themeColor="text1"/>
          <w:sz w:val="24"/>
          <w14:textFill>
            <w14:solidFill>
              <w14:schemeClr w14:val="tx1"/>
            </w14:solidFill>
          </w14:textFill>
        </w:rPr>
        <w:t>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16C914E8">
      <w:pPr>
        <w:rPr>
          <w:color w:val="000000" w:themeColor="text1"/>
          <w14:textFill>
            <w14:solidFill>
              <w14:schemeClr w14:val="tx1"/>
            </w14:solidFill>
          </w14:textFill>
        </w:rPr>
      </w:pPr>
    </w:p>
    <w:p w14:paraId="75C1FA9E">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5446B893">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9" w:name="_Toc9065"/>
      <w:r>
        <w:rPr>
          <w:rFonts w:hint="eastAsia" w:ascii="宋体" w:hAnsi="宋体" w:cs="宋体"/>
          <w:b/>
          <w:color w:val="000000" w:themeColor="text1"/>
          <w:sz w:val="32"/>
          <w:szCs w:val="20"/>
          <w14:textFill>
            <w14:solidFill>
              <w14:schemeClr w14:val="tx1"/>
            </w14:solidFill>
          </w14:textFill>
        </w:rPr>
        <w:t>八、电子交易活动的中止</w:t>
      </w:r>
      <w:bookmarkEnd w:id="39"/>
    </w:p>
    <w:p w14:paraId="35BA9CA5">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F19C183">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0C5CBA4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571CD3EF">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1863854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1C9DA6DE">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18B30041">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04DA9F">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15B47F40">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0" w:name="_Toc7916"/>
      <w:r>
        <w:rPr>
          <w:rFonts w:hint="eastAsia" w:ascii="宋体" w:hAnsi="宋体" w:cs="宋体"/>
          <w:b/>
          <w:color w:val="000000" w:themeColor="text1"/>
          <w:sz w:val="32"/>
          <w:szCs w:val="20"/>
          <w14:textFill>
            <w14:solidFill>
              <w14:schemeClr w14:val="tx1"/>
            </w14:solidFill>
          </w14:textFill>
        </w:rPr>
        <w:t>九、验收</w:t>
      </w:r>
      <w:bookmarkEnd w:id="40"/>
    </w:p>
    <w:p w14:paraId="5CCDA76C">
      <w:pPr>
        <w:pStyle w:val="2"/>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0C43B21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011AE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1DBAAA4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A5BE8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27335DA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bookmarkStart w:id="41" w:name="_Hlt75236290"/>
      <w:bookmarkEnd w:id="41"/>
      <w:bookmarkStart w:id="42" w:name="_Hlt75236101"/>
      <w:bookmarkEnd w:id="42"/>
      <w:bookmarkStart w:id="43" w:name="_Hlt74714665"/>
      <w:bookmarkEnd w:id="43"/>
      <w:bookmarkStart w:id="44" w:name="_Hlt74730295"/>
      <w:bookmarkEnd w:id="44"/>
      <w:bookmarkStart w:id="45" w:name="_Hlt68072990"/>
      <w:bookmarkEnd w:id="45"/>
      <w:bookmarkStart w:id="46" w:name="_Hlt74707468"/>
      <w:bookmarkEnd w:id="46"/>
      <w:bookmarkStart w:id="47" w:name="_Hlt68072998"/>
      <w:bookmarkEnd w:id="47"/>
      <w:bookmarkStart w:id="48" w:name="_Hlt68403820"/>
      <w:bookmarkEnd w:id="48"/>
      <w:bookmarkStart w:id="49" w:name="_Hlt68057669"/>
      <w:bookmarkEnd w:id="49"/>
      <w:bookmarkStart w:id="50" w:name="_Hlt68073093"/>
      <w:bookmarkEnd w:id="50"/>
      <w:bookmarkStart w:id="51" w:name="_Hlt74729768"/>
      <w:bookmarkEnd w:id="51"/>
      <w:bookmarkStart w:id="52" w:name="_Hlt75236011"/>
      <w:bookmarkEnd w:id="52"/>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E615009">
      <w:pPr>
        <w:pStyle w:val="80"/>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26"/>
    <w:bookmarkEnd w:id="27"/>
    <w:p w14:paraId="6AADADDB">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53" w:name="_Toc3322"/>
      <w:bookmarkStart w:id="54" w:name="第四部分"/>
      <w:r>
        <w:rPr>
          <w:rFonts w:hint="eastAsia" w:hAnsi="宋体" w:cs="宋体"/>
          <w:b/>
          <w:snapToGrid/>
          <w:color w:val="000000" w:themeColor="text1"/>
          <w:sz w:val="36"/>
          <w:szCs w:val="20"/>
          <w14:textFill>
            <w14:solidFill>
              <w14:schemeClr w14:val="tx1"/>
            </w14:solidFill>
          </w14:textFill>
        </w:rPr>
        <w:t>第三部分 采购需求</w:t>
      </w:r>
      <w:bookmarkEnd w:id="53"/>
    </w:p>
    <w:p w14:paraId="2EAA4E88">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5" w:name="_Toc12927"/>
      <w:r>
        <w:rPr>
          <w:rFonts w:hint="eastAsia" w:ascii="宋体" w:hAnsi="宋体" w:cs="宋体"/>
          <w:b/>
          <w:color w:val="000000" w:themeColor="text1"/>
          <w:sz w:val="28"/>
          <w:szCs w:val="28"/>
          <w14:textFill>
            <w14:solidFill>
              <w14:schemeClr w14:val="tx1"/>
            </w14:solidFill>
          </w14:textFill>
        </w:rPr>
        <w:t>一、采购清单及技术要求</w:t>
      </w:r>
      <w:bookmarkEnd w:id="55"/>
    </w:p>
    <w:tbl>
      <w:tblPr>
        <w:tblStyle w:val="62"/>
        <w:tblW w:w="5000" w:type="pct"/>
        <w:tblInd w:w="0" w:type="dxa"/>
        <w:tblLayout w:type="fixed"/>
        <w:tblCellMar>
          <w:top w:w="0" w:type="dxa"/>
          <w:left w:w="108" w:type="dxa"/>
          <w:bottom w:w="0" w:type="dxa"/>
          <w:right w:w="108" w:type="dxa"/>
        </w:tblCellMar>
      </w:tblPr>
      <w:tblGrid>
        <w:gridCol w:w="490"/>
        <w:gridCol w:w="811"/>
        <w:gridCol w:w="628"/>
        <w:gridCol w:w="605"/>
        <w:gridCol w:w="4737"/>
        <w:gridCol w:w="1550"/>
        <w:gridCol w:w="1142"/>
      </w:tblGrid>
      <w:tr w14:paraId="10CF750C">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62E8315B">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00BA4E66">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设备名称</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065E4679">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9C231E6">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2377" w:type="pct"/>
            <w:tcBorders>
              <w:top w:val="single" w:color="000000" w:sz="4" w:space="0"/>
              <w:left w:val="single" w:color="000000" w:sz="4" w:space="0"/>
              <w:bottom w:val="single" w:color="000000" w:sz="4" w:space="0"/>
              <w:right w:val="single" w:color="000000" w:sz="4" w:space="0"/>
            </w:tcBorders>
            <w:noWrap/>
            <w:vAlign w:val="center"/>
          </w:tcPr>
          <w:p w14:paraId="5A0134C2">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技术参数</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7B51E3CB">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参考图示</w:t>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0F9CE37A">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14:paraId="3EEAB3C4">
        <w:tblPrEx>
          <w:tblCellMar>
            <w:top w:w="0" w:type="dxa"/>
            <w:left w:w="108" w:type="dxa"/>
            <w:bottom w:w="0" w:type="dxa"/>
            <w:right w:w="108" w:type="dxa"/>
          </w:tblCellMar>
        </w:tblPrEx>
        <w:trPr>
          <w:trHeight w:val="732"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01CA09E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智慧食堂管理软件</w:t>
            </w:r>
          </w:p>
        </w:tc>
      </w:tr>
      <w:tr w14:paraId="5954D863">
        <w:tblPrEx>
          <w:tblCellMar>
            <w:top w:w="0" w:type="dxa"/>
            <w:left w:w="108" w:type="dxa"/>
            <w:bottom w:w="0" w:type="dxa"/>
            <w:right w:w="108" w:type="dxa"/>
          </w:tblCellMar>
        </w:tblPrEx>
        <w:trPr>
          <w:trHeight w:val="1944"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4CFF3FA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407" w:type="pct"/>
            <w:tcBorders>
              <w:top w:val="single" w:color="000000" w:sz="4" w:space="0"/>
              <w:left w:val="single" w:color="000000" w:sz="4" w:space="0"/>
              <w:bottom w:val="single" w:color="000000" w:sz="4" w:space="0"/>
              <w:right w:val="single" w:color="000000" w:sz="4" w:space="0"/>
            </w:tcBorders>
            <w:vAlign w:val="center"/>
          </w:tcPr>
          <w:p w14:paraId="773A6F5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智慧食堂平台软件</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17CD5B5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C367F4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000000" w:sz="4" w:space="0"/>
              <w:left w:val="single" w:color="000000" w:sz="4" w:space="0"/>
              <w:bottom w:val="single" w:color="000000" w:sz="4" w:space="0"/>
              <w:right w:val="single" w:color="000000" w:sz="4" w:space="0"/>
            </w:tcBorders>
            <w:vAlign w:val="center"/>
          </w:tcPr>
          <w:p w14:paraId="6158B97A">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1、采购验收管理：支持通过与智能验货机交互，是实现学校采购下单、供应商接单、资金结算、食材出入库、索证索票AI识别等管理，并实现三端数据流转。</w:t>
            </w:r>
          </w:p>
          <w:p w14:paraId="23D078A8">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①支持建立票证库，维护各类商品票证类型和样例图片。通过将票证和商品做关联，关联后该商品采购时可关联此类票证上传，支持将票证关联票证识别模板，关联后票证上传可触发算法智能识别。支持针对智能算法识别的票证样例疑似不符的进行二次核验，并要求供应商进行票证重传。</w:t>
            </w:r>
          </w:p>
          <w:p w14:paraId="0FB177C3">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②支持多种定价模式，包括市场询价、按供应商定价、历史调价等，询价员或供应商可通过移动端上报价格，保证价格符合市场标准，采购公允。调价功能用于统一定价模式下，统一修改历史时间的未结算的订单和配送单商品价格，支持通过定价单快速复制调价单，通过定价单生成调价单，可指定修改某一时间段内未完结的单子中相关商品价格。</w:t>
            </w:r>
          </w:p>
          <w:p w14:paraId="264C2632">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③建立采购验收电子台账，包括验收食材、采购单位、验收照片、验收重量、验收结果和验收视频等信息，形成验收数据报表，针对供应商和学校验收情况，依据验收达标率进行各单位排名，保障规范验收行为。</w:t>
            </w:r>
          </w:p>
          <w:p w14:paraId="52620209">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④支持资金结算，对学校采购下单并完成验收的配送单按照供应商和周期生成结算单，发送至供应商端进行金额核对，支持供应商上传金额发票，实现结算电子管理。</w:t>
            </w:r>
          </w:p>
          <w:p w14:paraId="14F5041D">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2、库存管理：通过PC端和移动端的商品库存、入库、出库、盘点等功能，为食堂的经营管理提供详尽准确的数据。</w:t>
            </w:r>
          </w:p>
          <w:p w14:paraId="16AB9525">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①支持仓库基础数据设置，库存系统使用前的初始设置。支持管理仓库信息，设置仓库名和地址，可设置一个或多个仓库、设置商品分类信息、商品的计量单位，核算周期、领用人等基本信息；支持维护仓库商品列表信息，支持自定义新增商品、模版导入、商品库导入，根据商品自动生成商品编码，维护商品库信息，可进行单位换算，对同一个商品不同单位的换算，给商品添加“直拨商品”的商品标签；支持对每个仓库库存原材料期初数据的录入维护，包括对每个仓库库存原材料的库存预警值（包含库存上限、库存下限）、库存期初、商品单价、库存金额等。</w:t>
            </w:r>
          </w:p>
          <w:p w14:paraId="4F85604B">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②入库操作用于库管员进行商品的入库业务。支持手动入库、配送入库、盘盈入库和退仓入库操作，自定义入库信息，支持关联配送单，支持验收订单一键导入；根据筛选条件快速筛选入库单，查询历史入库单详情；支持根据商品直拨入库，自动完成直进直出操作。</w:t>
            </w:r>
          </w:p>
          <w:p w14:paraId="4ACBEB65">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③出库操作用于库管员进行商品的出库业务。支持领用出库、退货出库和盘亏出库，自定义出库信息，支持登记领用人、备注出库用途；根据筛选条件快速筛选出库单，查询历史出库单详情。支持出库审批，审批单会同步至流程审核功能模块，审核通过后可操作出库。</w:t>
            </w:r>
          </w:p>
          <w:p w14:paraId="0C126CD8">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④出入库明细查询，可查看所有商品的出入库变动明细，包括商品名称、单位、所属仓库、出入库仓库、出入库日期、出入库数量、关联配送单、领用人等信息。</w:t>
            </w:r>
          </w:p>
          <w:p w14:paraId="39E64434">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⑤支持查看商品库存信息，包括商品名称、所属仓库、库存上限、库存下限、期初数据、数量、单价（包括含税/不含税）等，可查看临期或者过期商品数量。</w:t>
            </w:r>
          </w:p>
          <w:p w14:paraId="51D35F66">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⑥库存盘点操作用于库管员进行库存盘点业务。支持选择盘点仓库并下载商品库存数据模板，库管员根据下载的数据模板进行仓库商品盘点工作，将盘点的数据文件上传后，系统自动核对盘点数据和库存数据，审核人员复核盘点录入的数据后，系统可自动生成对应的盘盈入库单和盘亏出库单。完成盘点后系统自动生成对应盘点操作的盘点单，包括盘点仓库、盘点时间、盘盈入库单、盘亏出库单、盘点盈亏数量等信息。支持按盘点仓库、盘点时间段和盘点单进行筛选查询。</w:t>
            </w:r>
          </w:p>
          <w:p w14:paraId="34FFA419">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⑦支持成本核算，可查看核算时间段内的明细，包括出入库类型、期初、入库、出库和结余的具体数量需核算时间段内的期初金额、入库金额、出库金额、期末金额等信息，支持对核算时间、所属仓库、商品类别、商品名称进行筛选查询，支持查看单个商品在、对应单价和总金额。</w:t>
            </w:r>
          </w:p>
          <w:p w14:paraId="4E4716F7">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⑧支持对月结报表进行查询，可查看查询时间段内的各商品类别、商品的期初数量和金额、入库数量和金额、出库数量和金额、期末数量和金额等信息。</w:t>
            </w:r>
          </w:p>
          <w:p w14:paraId="1848F14D">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3、人员管理系统</w:t>
            </w:r>
          </w:p>
          <w:p w14:paraId="415DDC35">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①支持通过餐饮单位维护从业人员信息，包括姓名、身份证号、设备权限、健康证信息等；</w:t>
            </w:r>
          </w:p>
          <w:p w14:paraId="48D5B0CC">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②支持通过填写模板文档，上传录入人员信息，支持批量删除；</w:t>
            </w:r>
          </w:p>
          <w:p w14:paraId="48EC7041">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③支持设置人员分组，可增删分组名称；</w:t>
            </w:r>
          </w:p>
          <w:p w14:paraId="319B47E7">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④支持通过设备权限、人脸照片上传情况、健康证过期状态、在职状态、分组等信息筛选查看人员；</w:t>
            </w:r>
          </w:p>
          <w:p w14:paraId="2D223E0A">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⑤支持查看人员的培训记录信息，培训记录可通过培训记录填报时参与培训人员来获取。</w:t>
            </w:r>
          </w:p>
          <w:p w14:paraId="15B2C64D">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4、智能晨检管理系统</w:t>
            </w:r>
          </w:p>
          <w:p w14:paraId="066E2216">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①可查看今日晨检人数、正常人数、晨检人数、通过率、健康证过期和临期数、设备总数和设备在线数；</w:t>
            </w:r>
          </w:p>
          <w:p w14:paraId="4A1E5C9D">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②支持筛选查看晨检异常人员记录，支持导出晨检和未晨检人员记录；</w:t>
            </w:r>
          </w:p>
          <w:p w14:paraId="09D3DCD6">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③支持设置晨检异常检测项的严重等级；</w:t>
            </w:r>
          </w:p>
          <w:p w14:paraId="1FCBC381">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④支持添加晨检问询项，包括名称、描述和严重等级；</w:t>
            </w:r>
          </w:p>
          <w:p w14:paraId="6717E375">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⑤支持查看和导出晨检日报表和月报表，查看各食堂的晨检情况。</w:t>
            </w:r>
          </w:p>
          <w:p w14:paraId="1A7DF72B">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5、智能留样管理系统</w:t>
            </w:r>
          </w:p>
          <w:p w14:paraId="6D7FE32B">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①支持查看今日留样数量、留样人员、留样格号、留样菜品名称、留样时长和取样时间；</w:t>
            </w:r>
          </w:p>
          <w:p w14:paraId="5E3ACB73">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②支持查看各食堂的留样次数、留样菜品数量、取样次数、取样达标数、违规总数等；</w:t>
            </w:r>
          </w:p>
          <w:p w14:paraId="109BEB19">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③支持查看留样过程，包括留样人员照片和留样过程视频；</w:t>
            </w:r>
          </w:p>
          <w:p w14:paraId="4896DC46">
            <w:pPr>
              <w:pStyle w:val="970"/>
              <w:rPr>
                <w:rFonts w:hint="eastAsia" w:ascii="宋体" w:hAnsi="宋体" w:eastAsia="宋体" w:cs="宋体"/>
                <w:sz w:val="24"/>
                <w:szCs w:val="24"/>
                <w:highlight w:val="none"/>
              </w:rPr>
            </w:pPr>
            <w:r>
              <w:rPr>
                <w:rFonts w:hint="eastAsia" w:ascii="宋体" w:hAnsi="宋体" w:eastAsia="宋体" w:cs="宋体"/>
                <w:sz w:val="24"/>
                <w:szCs w:val="24"/>
                <w:highlight w:val="none"/>
              </w:rPr>
              <w:t>④支持选择时间段导出、打印留样记录。</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5E8D3A20">
            <w:pPr>
              <w:widowControl/>
              <w:jc w:val="center"/>
              <w:rPr>
                <w:rFonts w:hint="eastAsia" w:ascii="宋体" w:hAnsi="宋体" w:eastAsia="宋体" w:cs="宋体"/>
                <w:color w:val="000000"/>
                <w:kern w:val="0"/>
                <w:sz w:val="24"/>
                <w:szCs w:val="24"/>
                <w:highlight w:val="none"/>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AFBCF84">
            <w:pPr>
              <w:widowControl/>
              <w:jc w:val="center"/>
              <w:rPr>
                <w:rFonts w:hint="eastAsia" w:ascii="宋体" w:hAnsi="宋体" w:eastAsia="宋体" w:cs="宋体"/>
                <w:color w:val="000000"/>
                <w:kern w:val="0"/>
                <w:sz w:val="24"/>
                <w:szCs w:val="24"/>
                <w:highlight w:val="none"/>
              </w:rPr>
            </w:pPr>
          </w:p>
        </w:tc>
      </w:tr>
      <w:tr w14:paraId="1081D191">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26FE3B4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023539E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智慧食堂驾驶舱</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EFA6F3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888675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000000" w:sz="4" w:space="0"/>
              <w:left w:val="single" w:color="000000" w:sz="4" w:space="0"/>
              <w:bottom w:val="single" w:color="000000" w:sz="4" w:space="0"/>
              <w:right w:val="single" w:color="000000" w:sz="4" w:space="0"/>
            </w:tcBorders>
            <w:vAlign w:val="center"/>
          </w:tcPr>
          <w:p w14:paraId="23F182D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1.汇集后厨操作、食材溯源、安全管理等多维度数据，通过可视化大屏展示。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2.涵盖阳光厨房、物联感测、预警通知、智能台账、食谱管理、员工管理等核心板块。</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033482B1">
            <w:pPr>
              <w:widowControl/>
              <w:jc w:val="center"/>
              <w:rPr>
                <w:rFonts w:hint="eastAsia" w:ascii="宋体" w:hAnsi="宋体" w:eastAsia="宋体" w:cs="宋体"/>
                <w:color w:val="000000"/>
                <w:kern w:val="0"/>
                <w:sz w:val="24"/>
                <w:szCs w:val="24"/>
                <w:highlight w:val="none"/>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0866FF5">
            <w:pPr>
              <w:widowControl/>
              <w:jc w:val="center"/>
              <w:rPr>
                <w:rFonts w:hint="eastAsia" w:ascii="宋体" w:hAnsi="宋体" w:eastAsia="宋体" w:cs="宋体"/>
                <w:color w:val="000000"/>
                <w:kern w:val="0"/>
                <w:sz w:val="24"/>
                <w:szCs w:val="24"/>
                <w:highlight w:val="none"/>
              </w:rPr>
            </w:pPr>
          </w:p>
        </w:tc>
      </w:tr>
      <w:tr w14:paraId="4F847471">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auto" w:sz="4" w:space="0"/>
              <w:right w:val="single" w:color="000000" w:sz="4" w:space="0"/>
            </w:tcBorders>
            <w:noWrap/>
            <w:vAlign w:val="center"/>
          </w:tcPr>
          <w:p w14:paraId="5F515DB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结算设备</w:t>
            </w:r>
          </w:p>
        </w:tc>
      </w:tr>
      <w:tr w14:paraId="7AD9C1C5">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auto" w:sz="4" w:space="0"/>
              <w:right w:val="single" w:color="000000" w:sz="4" w:space="0"/>
            </w:tcBorders>
            <w:noWrap/>
            <w:vAlign w:val="center"/>
          </w:tcPr>
          <w:p w14:paraId="2773F9C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407" w:type="pct"/>
            <w:tcBorders>
              <w:top w:val="single" w:color="000000" w:sz="4" w:space="0"/>
              <w:left w:val="single" w:color="000000" w:sz="4" w:space="0"/>
              <w:bottom w:val="single" w:color="auto" w:sz="4" w:space="0"/>
              <w:right w:val="single" w:color="000000" w:sz="4" w:space="0"/>
            </w:tcBorders>
            <w:noWrap/>
            <w:vAlign w:val="center"/>
          </w:tcPr>
          <w:p w14:paraId="2742224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卡码脸消费一体机</w:t>
            </w:r>
          </w:p>
        </w:tc>
        <w:tc>
          <w:tcPr>
            <w:tcW w:w="315" w:type="pct"/>
            <w:tcBorders>
              <w:top w:val="single" w:color="000000" w:sz="4" w:space="0"/>
              <w:left w:val="single" w:color="000000" w:sz="4" w:space="0"/>
              <w:bottom w:val="single" w:color="auto" w:sz="4" w:space="0"/>
              <w:right w:val="single" w:color="000000" w:sz="4" w:space="0"/>
            </w:tcBorders>
            <w:noWrap/>
            <w:vAlign w:val="center"/>
          </w:tcPr>
          <w:p w14:paraId="2F29051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000000" w:sz="4" w:space="0"/>
              <w:left w:val="single" w:color="000000" w:sz="4" w:space="0"/>
              <w:bottom w:val="single" w:color="auto" w:sz="4" w:space="0"/>
              <w:right w:val="single" w:color="000000" w:sz="4" w:space="0"/>
            </w:tcBorders>
            <w:noWrap/>
            <w:vAlign w:val="center"/>
          </w:tcPr>
          <w:p w14:paraId="53B4DEE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w:t>
            </w:r>
          </w:p>
        </w:tc>
        <w:tc>
          <w:tcPr>
            <w:tcW w:w="2377" w:type="pct"/>
            <w:tcBorders>
              <w:top w:val="single" w:color="000000" w:sz="4" w:space="0"/>
              <w:left w:val="single" w:color="000000" w:sz="4" w:space="0"/>
              <w:bottom w:val="single" w:color="auto" w:sz="4" w:space="0"/>
              <w:right w:val="single" w:color="000000" w:sz="4" w:space="0"/>
            </w:tcBorders>
            <w:vAlign w:val="center"/>
          </w:tcPr>
          <w:p w14:paraId="5CD9244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1.支持“刷卡+人脸”“工号+人脸”等组合验证方式</w:t>
            </w:r>
          </w:p>
          <w:p w14:paraId="1152A7F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2.CPU：≥1.8G双核+1.5G A53四核+GPU内存：≥2G DDR4标准。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3.FLASH：16G EMMC标准.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4.操作系统：安卓7.1及以上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显示方式：≥8英寸宽温IPS屏显示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5.键盘类型：电容式触摸按键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6.通讯接口：TCP/IP、WIF、RS-485、韦根、RS232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7.升级方式：TCP/IP，串口，U盘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8.显示范围：分辨率≥800*1280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9.支持卡类型：符合ISO/IEC14443A/B标准的13.56MHz非接触式卡片M1卡、CPU卡、SIMPASS、UIMPASS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10.扫码头：分辨率≥640*480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11.最小解析度：7mil</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12.识读距QR:1~10CM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13.读卡距离：≤5CM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14.支持PSAM卡加密：标准配置1个PSAM卡槽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15.人脸识别：支持本地存储不少于10万人脸库，支持活体算法</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16.人脸摄像头：≥200万像素，双目高清宽动态摄像头；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17.红外输出：850单通分辨率1920*1080；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18.RGB输出：650IR分辨率1920*1080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功耗：≤25W断电</w:t>
            </w:r>
          </w:p>
          <w:p w14:paraId="2B03851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19.数据保护：不少于10年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20.工作环境：温度：-10℃～55℃湿度：15%RH～95%RH</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21.支持真人语音提示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22.支持干节点信号输出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23.人脸识别角度：75°安装高度摄像头距离地面1.5m，适用人群1.2m~1.9m（识别距离0.5m）。</w:t>
            </w:r>
          </w:p>
        </w:tc>
        <w:tc>
          <w:tcPr>
            <w:tcW w:w="777" w:type="pct"/>
            <w:tcBorders>
              <w:top w:val="nil"/>
              <w:left w:val="nil"/>
              <w:bottom w:val="single" w:color="auto" w:sz="4" w:space="0"/>
              <w:right w:val="nil"/>
            </w:tcBorders>
            <w:noWrap/>
            <w:vAlign w:val="center"/>
          </w:tcPr>
          <w:p w14:paraId="411526E2">
            <w:pPr>
              <w:widowControl/>
              <w:jc w:val="left"/>
              <w:rPr>
                <w:rFonts w:hint="eastAsia" w:ascii="宋体" w:hAnsi="宋体" w:eastAsia="宋体" w:cs="宋体"/>
                <w:color w:val="000000"/>
                <w:kern w:val="0"/>
                <w:sz w:val="24"/>
                <w:szCs w:val="24"/>
                <w:highlight w:val="none"/>
              </w:rPr>
            </w:pPr>
          </w:p>
        </w:tc>
        <w:tc>
          <w:tcPr>
            <w:tcW w:w="573" w:type="pct"/>
            <w:tcBorders>
              <w:top w:val="single" w:color="000000" w:sz="4" w:space="0"/>
              <w:left w:val="single" w:color="000000" w:sz="4" w:space="0"/>
              <w:bottom w:val="single" w:color="auto" w:sz="4" w:space="0"/>
              <w:right w:val="single" w:color="000000" w:sz="4" w:space="0"/>
            </w:tcBorders>
            <w:vAlign w:val="center"/>
          </w:tcPr>
          <w:p w14:paraId="6381850A">
            <w:pPr>
              <w:widowControl/>
              <w:jc w:val="center"/>
              <w:rPr>
                <w:rFonts w:hint="eastAsia" w:ascii="宋体" w:hAnsi="宋体" w:eastAsia="宋体" w:cs="宋体"/>
                <w:color w:val="000000"/>
                <w:kern w:val="0"/>
                <w:sz w:val="24"/>
                <w:szCs w:val="24"/>
                <w:highlight w:val="none"/>
              </w:rPr>
            </w:pPr>
          </w:p>
        </w:tc>
      </w:tr>
      <w:tr w14:paraId="02685EF4">
        <w:tblPrEx>
          <w:tblCellMar>
            <w:top w:w="0" w:type="dxa"/>
            <w:left w:w="108" w:type="dxa"/>
            <w:bottom w:w="0" w:type="dxa"/>
            <w:right w:w="108" w:type="dxa"/>
          </w:tblCellMar>
        </w:tblPrEx>
        <w:trPr>
          <w:trHeight w:val="700"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0EEBAD6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信息发布设备</w:t>
            </w:r>
          </w:p>
        </w:tc>
      </w:tr>
      <w:tr w14:paraId="7E694783">
        <w:tblPrEx>
          <w:tblCellMar>
            <w:top w:w="0" w:type="dxa"/>
            <w:left w:w="108" w:type="dxa"/>
            <w:bottom w:w="0" w:type="dxa"/>
            <w:right w:w="108" w:type="dxa"/>
          </w:tblCellMar>
        </w:tblPrEx>
        <w:trPr>
          <w:trHeight w:val="700" w:hRule="atLeast"/>
        </w:trPr>
        <w:tc>
          <w:tcPr>
            <w:tcW w:w="245" w:type="pct"/>
            <w:tcBorders>
              <w:top w:val="single" w:color="auto" w:sz="4" w:space="0"/>
              <w:left w:val="single" w:color="auto" w:sz="4" w:space="0"/>
              <w:bottom w:val="single" w:color="auto" w:sz="4" w:space="0"/>
              <w:right w:val="single" w:color="000000" w:sz="4" w:space="0"/>
            </w:tcBorders>
            <w:noWrap/>
            <w:vAlign w:val="center"/>
          </w:tcPr>
          <w:p w14:paraId="790F66E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407" w:type="pct"/>
            <w:tcBorders>
              <w:top w:val="single" w:color="auto" w:sz="4" w:space="0"/>
              <w:left w:val="single" w:color="000000" w:sz="4" w:space="0"/>
              <w:bottom w:val="single" w:color="auto" w:sz="4" w:space="0"/>
              <w:right w:val="single" w:color="000000" w:sz="4" w:space="0"/>
            </w:tcBorders>
            <w:noWrap/>
            <w:vAlign w:val="center"/>
          </w:tcPr>
          <w:p w14:paraId="5EEB382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领导驾驶舱屏</w:t>
            </w:r>
          </w:p>
        </w:tc>
        <w:tc>
          <w:tcPr>
            <w:tcW w:w="315" w:type="pct"/>
            <w:tcBorders>
              <w:top w:val="single" w:color="auto" w:sz="4" w:space="0"/>
              <w:left w:val="single" w:color="000000" w:sz="4" w:space="0"/>
              <w:bottom w:val="single" w:color="auto" w:sz="4" w:space="0"/>
              <w:right w:val="single" w:color="000000" w:sz="4" w:space="0"/>
            </w:tcBorders>
            <w:noWrap/>
            <w:vAlign w:val="center"/>
          </w:tcPr>
          <w:p w14:paraId="00D5522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auto" w:sz="4" w:space="0"/>
              <w:left w:val="single" w:color="000000" w:sz="4" w:space="0"/>
              <w:bottom w:val="single" w:color="auto" w:sz="4" w:space="0"/>
              <w:right w:val="single" w:color="000000" w:sz="4" w:space="0"/>
            </w:tcBorders>
            <w:noWrap/>
            <w:vAlign w:val="center"/>
          </w:tcPr>
          <w:p w14:paraId="12BCBDC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auto" w:sz="4" w:space="0"/>
              <w:left w:val="single" w:color="000000" w:sz="4" w:space="0"/>
              <w:bottom w:val="single" w:color="auto" w:sz="4" w:space="0"/>
              <w:right w:val="single" w:color="000000" w:sz="4" w:space="0"/>
            </w:tcBorders>
            <w:vAlign w:val="center"/>
          </w:tcPr>
          <w:p w14:paraId="6DC8D2C1">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1.屏幕尺寸：100寸</w:t>
            </w:r>
          </w:p>
          <w:p w14:paraId="4C4A378D">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2.分辨率：≥1920×1080（全高清）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3.触摸类型：电容触摸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4.操作系统：Windows（支持WIN7/8/10及以上）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5.处理器：英特尔I7</w:t>
            </w:r>
          </w:p>
          <w:p w14:paraId="56420100">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6.内存：≥8GB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7.硬盘：≥128GB固态硬盘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8.材质：拉丝边框+五金后盖</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9.接口：HDMI、VGA、USB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10.安装方式：壁挂安装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11.使用寿命：≥50000小时</w:t>
            </w:r>
          </w:p>
        </w:tc>
        <w:tc>
          <w:tcPr>
            <w:tcW w:w="777" w:type="pct"/>
            <w:tcBorders>
              <w:top w:val="single" w:color="auto" w:sz="4" w:space="0"/>
              <w:left w:val="nil"/>
              <w:bottom w:val="single" w:color="auto" w:sz="4" w:space="0"/>
              <w:right w:val="nil"/>
            </w:tcBorders>
            <w:noWrap/>
            <w:vAlign w:val="center"/>
          </w:tcPr>
          <w:p w14:paraId="3D2D429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1312" behindDoc="0" locked="0" layoutInCell="1" allowOverlap="1">
                  <wp:simplePos x="0" y="0"/>
                  <wp:positionH relativeFrom="column">
                    <wp:posOffset>-11430</wp:posOffset>
                  </wp:positionH>
                  <wp:positionV relativeFrom="paragraph">
                    <wp:posOffset>3175</wp:posOffset>
                  </wp:positionV>
                  <wp:extent cx="707390" cy="539750"/>
                  <wp:effectExtent l="0" t="0" r="8890" b="8890"/>
                  <wp:wrapNone/>
                  <wp:docPr id="54" name="图片 54" descr="43寸壁挂触摸一体机，触摸一体机_深圳匡视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43寸壁挂触摸一体机，触摸一体机_深圳匡视科技有限公司"/>
                          <pic:cNvPicPr>
                            <a:picLocks noChangeAspect="1"/>
                          </pic:cNvPicPr>
                        </pic:nvPicPr>
                        <pic:blipFill>
                          <a:blip r:embed="rId18" r:link="rId19"/>
                          <a:stretch>
                            <a:fillRect/>
                          </a:stretch>
                        </pic:blipFill>
                        <pic:spPr>
                          <a:xfrm>
                            <a:off x="0" y="0"/>
                            <a:ext cx="707390" cy="539750"/>
                          </a:xfrm>
                          <a:prstGeom prst="rect">
                            <a:avLst/>
                          </a:prstGeom>
                          <a:noFill/>
                          <a:ln>
                            <a:noFill/>
                          </a:ln>
                        </pic:spPr>
                      </pic:pic>
                    </a:graphicData>
                  </a:graphic>
                </wp:anchor>
              </w:drawing>
            </w:r>
          </w:p>
        </w:tc>
        <w:tc>
          <w:tcPr>
            <w:tcW w:w="573" w:type="pct"/>
            <w:tcBorders>
              <w:top w:val="single" w:color="auto" w:sz="4" w:space="0"/>
              <w:left w:val="single" w:color="000000" w:sz="4" w:space="0"/>
              <w:bottom w:val="single" w:color="auto" w:sz="4" w:space="0"/>
              <w:right w:val="single" w:color="auto" w:sz="4" w:space="0"/>
            </w:tcBorders>
            <w:vAlign w:val="center"/>
          </w:tcPr>
          <w:p w14:paraId="0C60F37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推荐品牌：利亚德、洲明、艾比森、</w:t>
            </w:r>
            <w:r>
              <w:rPr>
                <w:rFonts w:hint="eastAsia" w:ascii="宋体" w:hAnsi="宋体" w:eastAsia="宋体" w:cs="宋体"/>
                <w:kern w:val="0"/>
                <w:sz w:val="24"/>
                <w:szCs w:val="24"/>
                <w:highlight w:val="none"/>
              </w:rPr>
              <w:t>青极光</w:t>
            </w:r>
          </w:p>
        </w:tc>
      </w:tr>
      <w:tr w14:paraId="28C38458">
        <w:tblPrEx>
          <w:tblCellMar>
            <w:top w:w="0" w:type="dxa"/>
            <w:left w:w="108" w:type="dxa"/>
            <w:bottom w:w="0" w:type="dxa"/>
            <w:right w:w="108" w:type="dxa"/>
          </w:tblCellMar>
        </w:tblPrEx>
        <w:trPr>
          <w:trHeight w:val="90" w:hRule="atLeast"/>
        </w:trPr>
        <w:tc>
          <w:tcPr>
            <w:tcW w:w="245" w:type="pct"/>
            <w:tcBorders>
              <w:top w:val="single" w:color="auto" w:sz="4" w:space="0"/>
              <w:left w:val="single" w:color="auto" w:sz="4" w:space="0"/>
              <w:bottom w:val="single" w:color="auto" w:sz="4" w:space="0"/>
              <w:right w:val="single" w:color="000000" w:sz="4" w:space="0"/>
            </w:tcBorders>
            <w:noWrap/>
            <w:vAlign w:val="center"/>
          </w:tcPr>
          <w:p w14:paraId="27E975A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407" w:type="pct"/>
            <w:tcBorders>
              <w:top w:val="single" w:color="auto" w:sz="4" w:space="0"/>
              <w:left w:val="single" w:color="000000" w:sz="4" w:space="0"/>
              <w:bottom w:val="single" w:color="auto" w:sz="4" w:space="0"/>
              <w:right w:val="single" w:color="000000" w:sz="4" w:space="0"/>
            </w:tcBorders>
            <w:noWrap/>
            <w:vAlign w:val="center"/>
          </w:tcPr>
          <w:p w14:paraId="4252AA3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信息发布LED屏</w:t>
            </w:r>
          </w:p>
        </w:tc>
        <w:tc>
          <w:tcPr>
            <w:tcW w:w="315" w:type="pct"/>
            <w:tcBorders>
              <w:top w:val="single" w:color="auto" w:sz="4" w:space="0"/>
              <w:left w:val="single" w:color="000000" w:sz="4" w:space="0"/>
              <w:bottom w:val="single" w:color="auto" w:sz="4" w:space="0"/>
              <w:right w:val="single" w:color="000000" w:sz="4" w:space="0"/>
            </w:tcBorders>
            <w:noWrap/>
            <w:vAlign w:val="center"/>
          </w:tcPr>
          <w:p w14:paraId="7859863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auto" w:sz="4" w:space="0"/>
              <w:left w:val="single" w:color="000000" w:sz="4" w:space="0"/>
              <w:bottom w:val="single" w:color="auto" w:sz="4" w:space="0"/>
              <w:right w:val="single" w:color="000000" w:sz="4" w:space="0"/>
            </w:tcBorders>
            <w:noWrap/>
            <w:vAlign w:val="center"/>
          </w:tcPr>
          <w:p w14:paraId="1D7F556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w:t>
            </w:r>
          </w:p>
        </w:tc>
        <w:tc>
          <w:tcPr>
            <w:tcW w:w="2377" w:type="pct"/>
            <w:tcBorders>
              <w:top w:val="single" w:color="auto" w:sz="4" w:space="0"/>
              <w:left w:val="single" w:color="000000" w:sz="4" w:space="0"/>
              <w:bottom w:val="single" w:color="auto" w:sz="4" w:space="0"/>
              <w:right w:val="single" w:color="000000" w:sz="4" w:space="0"/>
            </w:tcBorders>
            <w:vAlign w:val="center"/>
          </w:tcPr>
          <w:p w14:paraId="38FB6340">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1.屏幕尺寸：55寸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2.分辨率：≥1920×1080（全高清）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3.触摸类型：电容触摸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4.操作系统：Windows（支持WIN7/8/10）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5.处理器：≥英特尔I5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6.内存：≥8GB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7.硬盘：≥28GB固态硬盘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8.材质：拉丝边框+五金后盖</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9.接口：HDMI、VGA、USB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10.安装方式：壁挂安装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11.使用寿命≥50000小时</w:t>
            </w:r>
          </w:p>
        </w:tc>
        <w:tc>
          <w:tcPr>
            <w:tcW w:w="777" w:type="pct"/>
            <w:tcBorders>
              <w:top w:val="single" w:color="auto" w:sz="4" w:space="0"/>
              <w:left w:val="nil"/>
              <w:bottom w:val="single" w:color="auto" w:sz="4" w:space="0"/>
              <w:right w:val="nil"/>
            </w:tcBorders>
            <w:noWrap/>
            <w:vAlign w:val="center"/>
          </w:tcPr>
          <w:p w14:paraId="1F1B4F24">
            <w:pPr>
              <w:widowControl/>
              <w:jc w:val="left"/>
              <w:rPr>
                <w:rFonts w:hint="eastAsia" w:ascii="宋体" w:hAnsi="宋体" w:eastAsia="宋体" w:cs="宋体"/>
                <w:color w:val="000000"/>
                <w:kern w:val="0"/>
                <w:sz w:val="24"/>
                <w:szCs w:val="24"/>
                <w:highlight w:val="none"/>
              </w:rPr>
            </w:pPr>
          </w:p>
        </w:tc>
        <w:tc>
          <w:tcPr>
            <w:tcW w:w="573" w:type="pct"/>
            <w:tcBorders>
              <w:top w:val="single" w:color="auto" w:sz="4" w:space="0"/>
              <w:left w:val="single" w:color="000000" w:sz="4" w:space="0"/>
              <w:bottom w:val="single" w:color="auto" w:sz="4" w:space="0"/>
              <w:right w:val="single" w:color="auto" w:sz="4" w:space="0"/>
            </w:tcBorders>
            <w:vAlign w:val="center"/>
          </w:tcPr>
          <w:p w14:paraId="75B7D71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推荐品牌：利亚德、洲明、艾比森、</w:t>
            </w:r>
            <w:r>
              <w:rPr>
                <w:rFonts w:hint="eastAsia" w:ascii="宋体" w:hAnsi="宋体" w:eastAsia="宋体" w:cs="宋体"/>
                <w:kern w:val="0"/>
                <w:sz w:val="24"/>
                <w:szCs w:val="24"/>
                <w:highlight w:val="none"/>
              </w:rPr>
              <w:t>青极光</w:t>
            </w:r>
          </w:p>
        </w:tc>
      </w:tr>
      <w:tr w14:paraId="638C0A39">
        <w:tblPrEx>
          <w:tblCellMar>
            <w:top w:w="0" w:type="dxa"/>
            <w:left w:w="108" w:type="dxa"/>
            <w:bottom w:w="0" w:type="dxa"/>
            <w:right w:w="108" w:type="dxa"/>
          </w:tblCellMar>
        </w:tblPrEx>
        <w:trPr>
          <w:trHeight w:val="700" w:hRule="atLeast"/>
        </w:trPr>
        <w:tc>
          <w:tcPr>
            <w:tcW w:w="245" w:type="pct"/>
            <w:tcBorders>
              <w:top w:val="single" w:color="auto" w:sz="4" w:space="0"/>
              <w:left w:val="single" w:color="000000" w:sz="4" w:space="0"/>
              <w:bottom w:val="single" w:color="000000" w:sz="4" w:space="0"/>
              <w:right w:val="single" w:color="000000" w:sz="4" w:space="0"/>
            </w:tcBorders>
            <w:noWrap/>
            <w:vAlign w:val="center"/>
          </w:tcPr>
          <w:p w14:paraId="6FB8E88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407" w:type="pct"/>
            <w:tcBorders>
              <w:top w:val="single" w:color="auto" w:sz="4" w:space="0"/>
              <w:left w:val="single" w:color="000000" w:sz="4" w:space="0"/>
              <w:bottom w:val="single" w:color="000000" w:sz="4" w:space="0"/>
              <w:right w:val="single" w:color="000000" w:sz="4" w:space="0"/>
            </w:tcBorders>
            <w:noWrap/>
            <w:vAlign w:val="center"/>
          </w:tcPr>
          <w:p w14:paraId="23BD64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信息发布系统及控制器</w:t>
            </w:r>
          </w:p>
        </w:tc>
        <w:tc>
          <w:tcPr>
            <w:tcW w:w="315" w:type="pct"/>
            <w:tcBorders>
              <w:top w:val="single" w:color="auto" w:sz="4" w:space="0"/>
              <w:left w:val="single" w:color="000000" w:sz="4" w:space="0"/>
              <w:bottom w:val="single" w:color="000000" w:sz="4" w:space="0"/>
              <w:right w:val="single" w:color="000000" w:sz="4" w:space="0"/>
            </w:tcBorders>
            <w:noWrap/>
            <w:vAlign w:val="center"/>
          </w:tcPr>
          <w:p w14:paraId="33C92E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303" w:type="pct"/>
            <w:tcBorders>
              <w:top w:val="single" w:color="auto" w:sz="4" w:space="0"/>
              <w:left w:val="single" w:color="000000" w:sz="4" w:space="0"/>
              <w:bottom w:val="single" w:color="000000" w:sz="4" w:space="0"/>
              <w:right w:val="single" w:color="000000" w:sz="4" w:space="0"/>
            </w:tcBorders>
            <w:noWrap/>
            <w:vAlign w:val="center"/>
          </w:tcPr>
          <w:p w14:paraId="4807EF0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auto" w:sz="4" w:space="0"/>
              <w:left w:val="single" w:color="000000" w:sz="4" w:space="0"/>
              <w:bottom w:val="single" w:color="000000" w:sz="4" w:space="0"/>
              <w:right w:val="single" w:color="000000" w:sz="4" w:space="0"/>
            </w:tcBorders>
            <w:vAlign w:val="center"/>
          </w:tcPr>
          <w:p w14:paraId="736AE0E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1.处理器：≥4核1.5GHz工业处理器。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2.内存与存储：≥4GBDDR内存，≥500GB数据存储。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3.视频输出：支持VGA/HDMI接口，可连接多种显示设备。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4.通信接口不少于：1个RS232端口（可转换RS485）、4个USB端口，支持数据加密。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5.音频接口不少于：1个音频输出和1个声源录入。</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6.网络接口：集成10/100/1000M以太网卡，支持网络远程管理。</w:t>
            </w:r>
          </w:p>
        </w:tc>
        <w:tc>
          <w:tcPr>
            <w:tcW w:w="777" w:type="pct"/>
            <w:tcBorders>
              <w:top w:val="single" w:color="auto" w:sz="4" w:space="0"/>
              <w:left w:val="single" w:color="000000" w:sz="4" w:space="0"/>
              <w:bottom w:val="single" w:color="000000" w:sz="4" w:space="0"/>
              <w:right w:val="single" w:color="000000" w:sz="4" w:space="0"/>
            </w:tcBorders>
            <w:noWrap/>
            <w:vAlign w:val="center"/>
          </w:tcPr>
          <w:p w14:paraId="6642B836">
            <w:pPr>
              <w:widowControl/>
              <w:jc w:val="center"/>
              <w:rPr>
                <w:rFonts w:hint="eastAsia" w:ascii="宋体" w:hAnsi="宋体" w:eastAsia="宋体" w:cs="宋体"/>
                <w:color w:val="000000"/>
                <w:kern w:val="0"/>
                <w:sz w:val="24"/>
                <w:szCs w:val="24"/>
                <w:highlight w:val="none"/>
              </w:rPr>
            </w:pPr>
          </w:p>
        </w:tc>
        <w:tc>
          <w:tcPr>
            <w:tcW w:w="573" w:type="pct"/>
            <w:tcBorders>
              <w:top w:val="single" w:color="auto" w:sz="4" w:space="0"/>
              <w:left w:val="single" w:color="000000" w:sz="4" w:space="0"/>
              <w:bottom w:val="single" w:color="000000" w:sz="4" w:space="0"/>
              <w:right w:val="single" w:color="000000" w:sz="4" w:space="0"/>
            </w:tcBorders>
            <w:vAlign w:val="center"/>
          </w:tcPr>
          <w:p w14:paraId="28A1D59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北区1套</w:t>
            </w:r>
          </w:p>
        </w:tc>
      </w:tr>
      <w:tr w14:paraId="247353BC">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0E711D07">
            <w:pPr>
              <w:widowControl/>
              <w:jc w:val="center"/>
              <w:rPr>
                <w:rFonts w:hint="eastAsia" w:ascii="宋体" w:hAnsi="宋体" w:eastAsia="宋体" w:cs="宋体"/>
                <w:kern w:val="0"/>
                <w:sz w:val="24"/>
                <w:szCs w:val="24"/>
                <w:highlight w:val="none"/>
              </w:rPr>
            </w:pPr>
            <w:r>
              <w:rPr>
                <w:rFonts w:hint="eastAsia" w:ascii="宋体" w:hAnsi="宋体" w:eastAsia="宋体" w:cs="宋体"/>
                <w:b/>
                <w:bCs/>
                <w:color w:val="000000"/>
                <w:kern w:val="0"/>
                <w:sz w:val="24"/>
                <w:szCs w:val="24"/>
                <w:highlight w:val="none"/>
              </w:rPr>
              <w:t>阳光厨房监控设备</w:t>
            </w:r>
          </w:p>
        </w:tc>
      </w:tr>
      <w:tr w14:paraId="39C945A9">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776023F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E51B92A">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400W监控POE摄像头</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60395DB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13CC3C8D">
            <w:pPr>
              <w:widowControl/>
              <w:jc w:val="center"/>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46</w:t>
            </w:r>
          </w:p>
        </w:tc>
        <w:tc>
          <w:tcPr>
            <w:tcW w:w="2377" w:type="pct"/>
            <w:tcBorders>
              <w:top w:val="single" w:color="000000" w:sz="4" w:space="0"/>
              <w:left w:val="single" w:color="000000" w:sz="4" w:space="0"/>
              <w:bottom w:val="single" w:color="000000" w:sz="4" w:space="0"/>
              <w:right w:val="single" w:color="000000" w:sz="4" w:space="0"/>
            </w:tcBorders>
            <w:vAlign w:val="center"/>
          </w:tcPr>
          <w:p w14:paraId="1D3B9A4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400万，1/3"，CMOS传感器，高清专用镜头，4mm@F1.8，支持Smart264编码功能，支持云平台接入，支持夜视红外功能</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12998FD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2336" behindDoc="0" locked="0" layoutInCell="1" allowOverlap="1">
                  <wp:simplePos x="0" y="0"/>
                  <wp:positionH relativeFrom="column">
                    <wp:posOffset>111125</wp:posOffset>
                  </wp:positionH>
                  <wp:positionV relativeFrom="paragraph">
                    <wp:posOffset>24130</wp:posOffset>
                  </wp:positionV>
                  <wp:extent cx="485775" cy="448310"/>
                  <wp:effectExtent l="0" t="0" r="1905" b="889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0"/>
                          <a:stretch>
                            <a:fillRect/>
                          </a:stretch>
                        </pic:blipFill>
                        <pic:spPr>
                          <a:xfrm>
                            <a:off x="0" y="0"/>
                            <a:ext cx="485775" cy="448310"/>
                          </a:xfrm>
                          <a:prstGeom prst="rect">
                            <a:avLst/>
                          </a:prstGeom>
                          <a:noFill/>
                          <a:ln w="9525">
                            <a:noFill/>
                          </a:ln>
                        </pic:spPr>
                      </pic:pic>
                    </a:graphicData>
                  </a:graphic>
                </wp:anchor>
              </w:drawing>
            </w:r>
          </w:p>
        </w:tc>
        <w:tc>
          <w:tcPr>
            <w:tcW w:w="573" w:type="pct"/>
            <w:vMerge w:val="restart"/>
            <w:tcBorders>
              <w:top w:val="single" w:color="000000" w:sz="4" w:space="0"/>
              <w:left w:val="single" w:color="000000" w:sz="4" w:space="0"/>
              <w:bottom w:val="single" w:color="000000" w:sz="4" w:space="0"/>
              <w:right w:val="single" w:color="000000" w:sz="4" w:space="0"/>
            </w:tcBorders>
            <w:vAlign w:val="center"/>
          </w:tcPr>
          <w:p w14:paraId="282F4DD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推荐品牌：海康、大华、宇视</w:t>
            </w:r>
          </w:p>
        </w:tc>
      </w:tr>
      <w:tr w14:paraId="364B9EB3">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79822C1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11E2B4C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32路硬盘录像机（双网口）</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13D9C7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3A781B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2377" w:type="pct"/>
            <w:tcBorders>
              <w:top w:val="single" w:color="000000" w:sz="4" w:space="0"/>
              <w:left w:val="single" w:color="000000" w:sz="4" w:space="0"/>
              <w:bottom w:val="single" w:color="000000" w:sz="4" w:space="0"/>
              <w:right w:val="single" w:color="000000" w:sz="4" w:space="0"/>
            </w:tcBorders>
            <w:vAlign w:val="center"/>
          </w:tcPr>
          <w:p w14:paraId="7C27AA6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支持双码流，支持1080P高清播放，32路监控摄像头路数，支持800万像素高清网络视频的预览存储与回放，H.265/H.264编码</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18C0634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3360" behindDoc="0" locked="0" layoutInCell="1" allowOverlap="1">
                  <wp:simplePos x="0" y="0"/>
                  <wp:positionH relativeFrom="column">
                    <wp:posOffset>6985</wp:posOffset>
                  </wp:positionH>
                  <wp:positionV relativeFrom="paragraph">
                    <wp:posOffset>24765</wp:posOffset>
                  </wp:positionV>
                  <wp:extent cx="732790" cy="366395"/>
                  <wp:effectExtent l="0" t="0" r="13970" b="14605"/>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1"/>
                          <a:stretch>
                            <a:fillRect/>
                          </a:stretch>
                        </pic:blipFill>
                        <pic:spPr>
                          <a:xfrm>
                            <a:off x="0" y="0"/>
                            <a:ext cx="732790" cy="366395"/>
                          </a:xfrm>
                          <a:prstGeom prst="rect">
                            <a:avLst/>
                          </a:prstGeom>
                          <a:noFill/>
                          <a:ln w="9525">
                            <a:noFill/>
                          </a:ln>
                        </pic:spPr>
                      </pic:pic>
                    </a:graphicData>
                  </a:graphic>
                </wp:anchor>
              </w:drawing>
            </w: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27AD16AC">
            <w:pPr>
              <w:widowControl/>
              <w:jc w:val="left"/>
              <w:rPr>
                <w:rFonts w:hint="eastAsia" w:ascii="宋体" w:hAnsi="宋体" w:eastAsia="宋体" w:cs="宋体"/>
                <w:color w:val="000000"/>
                <w:kern w:val="0"/>
                <w:sz w:val="24"/>
                <w:szCs w:val="24"/>
                <w:highlight w:val="none"/>
              </w:rPr>
            </w:pPr>
          </w:p>
        </w:tc>
      </w:tr>
      <w:tr w14:paraId="72DADB9C">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0E14072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164347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8T监控硬盘</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6C3EBC3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DC82A4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w:t>
            </w:r>
          </w:p>
        </w:tc>
        <w:tc>
          <w:tcPr>
            <w:tcW w:w="2377" w:type="pct"/>
            <w:tcBorders>
              <w:top w:val="single" w:color="000000" w:sz="4" w:space="0"/>
              <w:left w:val="single" w:color="000000" w:sz="4" w:space="0"/>
              <w:bottom w:val="single" w:color="000000" w:sz="4" w:space="0"/>
              <w:right w:val="single" w:color="000000" w:sz="4" w:space="0"/>
            </w:tcBorders>
            <w:vAlign w:val="center"/>
          </w:tcPr>
          <w:p w14:paraId="430BCA6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8T</w:t>
            </w:r>
            <w:r>
              <w:rPr>
                <w:rFonts w:hint="eastAsia" w:ascii="宋体" w:hAnsi="宋体" w:eastAsia="宋体" w:cs="宋体"/>
                <w:sz w:val="24"/>
                <w:szCs w:val="24"/>
                <w:highlight w:val="none"/>
              </w:rPr>
              <w:t>固态硬盘</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365FAF20">
            <w:pPr>
              <w:widowControl/>
              <w:jc w:val="center"/>
              <w:rPr>
                <w:rFonts w:hint="eastAsia" w:ascii="宋体" w:hAnsi="宋体" w:eastAsia="宋体" w:cs="宋体"/>
                <w:color w:val="000000"/>
                <w:kern w:val="0"/>
                <w:sz w:val="24"/>
                <w:szCs w:val="24"/>
                <w:highlight w:val="none"/>
              </w:rPr>
            </w:pP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0FCE27D5">
            <w:pPr>
              <w:widowControl/>
              <w:jc w:val="left"/>
              <w:rPr>
                <w:rFonts w:hint="eastAsia" w:ascii="宋体" w:hAnsi="宋体" w:eastAsia="宋体" w:cs="宋体"/>
                <w:color w:val="000000"/>
                <w:kern w:val="0"/>
                <w:sz w:val="24"/>
                <w:szCs w:val="24"/>
                <w:highlight w:val="none"/>
              </w:rPr>
            </w:pPr>
          </w:p>
        </w:tc>
      </w:tr>
      <w:tr w14:paraId="73B12BA4">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5127E99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0338C0F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24口POE交换机</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35064C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2E3803D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2377" w:type="pct"/>
            <w:tcBorders>
              <w:top w:val="single" w:color="000000" w:sz="4" w:space="0"/>
              <w:left w:val="single" w:color="000000" w:sz="4" w:space="0"/>
              <w:bottom w:val="single" w:color="000000" w:sz="4" w:space="0"/>
              <w:right w:val="single" w:color="000000" w:sz="4" w:space="0"/>
            </w:tcBorders>
            <w:vAlign w:val="center"/>
          </w:tcPr>
          <w:p w14:paraId="35F800C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24个百兆POE高速转发数据不丢包电源数据端口，提供≥2个UPLINK端口，提供≥1个宽电压输入端口</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0642E2E9">
            <w:pPr>
              <w:widowControl/>
              <w:jc w:val="center"/>
              <w:rPr>
                <w:rFonts w:hint="eastAsia" w:ascii="宋体" w:hAnsi="宋体" w:eastAsia="宋体" w:cs="宋体"/>
                <w:color w:val="000000"/>
                <w:kern w:val="0"/>
                <w:sz w:val="24"/>
                <w:szCs w:val="24"/>
                <w:highlight w:val="none"/>
              </w:rPr>
            </w:pP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4F07A77C">
            <w:pPr>
              <w:widowControl/>
              <w:jc w:val="left"/>
              <w:rPr>
                <w:rFonts w:hint="eastAsia" w:ascii="宋体" w:hAnsi="宋体" w:eastAsia="宋体" w:cs="宋体"/>
                <w:color w:val="000000"/>
                <w:kern w:val="0"/>
                <w:sz w:val="24"/>
                <w:szCs w:val="24"/>
                <w:highlight w:val="none"/>
              </w:rPr>
            </w:pPr>
          </w:p>
        </w:tc>
      </w:tr>
      <w:tr w14:paraId="6CAA5554">
        <w:trPr>
          <w:trHeight w:val="7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E42C7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8B7F4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网线</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E350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箱</w:t>
            </w:r>
          </w:p>
        </w:tc>
        <w:tc>
          <w:tcPr>
            <w:tcW w:w="30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65723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w:t>
            </w:r>
          </w:p>
        </w:tc>
        <w:tc>
          <w:tcPr>
            <w:tcW w:w="23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C4B1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超五类</w:t>
            </w:r>
          </w:p>
        </w:tc>
        <w:tc>
          <w:tcPr>
            <w:tcW w:w="7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390B98">
            <w:pPr>
              <w:widowControl/>
              <w:jc w:val="center"/>
              <w:rPr>
                <w:rFonts w:hint="eastAsia" w:ascii="宋体" w:hAnsi="宋体" w:eastAsia="宋体" w:cs="宋体"/>
                <w:color w:val="000000"/>
                <w:kern w:val="0"/>
                <w:sz w:val="24"/>
                <w:szCs w:val="24"/>
                <w:highlight w:val="none"/>
              </w:rPr>
            </w:pP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177E8B15">
            <w:pPr>
              <w:widowControl/>
              <w:jc w:val="left"/>
              <w:rPr>
                <w:rFonts w:hint="eastAsia" w:ascii="宋体" w:hAnsi="宋体" w:eastAsia="宋体" w:cs="宋体"/>
                <w:color w:val="000000"/>
                <w:kern w:val="0"/>
                <w:sz w:val="24"/>
                <w:szCs w:val="24"/>
                <w:highlight w:val="none"/>
              </w:rPr>
            </w:pPr>
          </w:p>
        </w:tc>
      </w:tr>
      <w:tr w14:paraId="4D203922">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5D987A4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D975B3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42U机柜</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292547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2C062F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2377" w:type="pct"/>
            <w:tcBorders>
              <w:top w:val="single" w:color="000000" w:sz="4" w:space="0"/>
              <w:left w:val="single" w:color="000000" w:sz="4" w:space="0"/>
              <w:bottom w:val="single" w:color="000000" w:sz="4" w:space="0"/>
              <w:right w:val="single" w:color="000000" w:sz="4" w:space="0"/>
            </w:tcBorders>
            <w:vAlign w:val="center"/>
          </w:tcPr>
          <w:p w14:paraId="59A1FEBD">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规格：600cm*1000cm*2000cm</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36B6847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4384" behindDoc="0" locked="0" layoutInCell="1" allowOverlap="1">
                  <wp:simplePos x="0" y="0"/>
                  <wp:positionH relativeFrom="column">
                    <wp:posOffset>255270</wp:posOffset>
                  </wp:positionH>
                  <wp:positionV relativeFrom="paragraph">
                    <wp:posOffset>15240</wp:posOffset>
                  </wp:positionV>
                  <wp:extent cx="198755" cy="367665"/>
                  <wp:effectExtent l="0" t="0" r="14605" b="1333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2"/>
                          <a:stretch>
                            <a:fillRect/>
                          </a:stretch>
                        </pic:blipFill>
                        <pic:spPr>
                          <a:xfrm>
                            <a:off x="0" y="0"/>
                            <a:ext cx="198755" cy="367665"/>
                          </a:xfrm>
                          <a:prstGeom prst="rect">
                            <a:avLst/>
                          </a:prstGeom>
                          <a:noFill/>
                          <a:ln w="9525">
                            <a:noFill/>
                          </a:ln>
                        </pic:spPr>
                      </pic:pic>
                    </a:graphicData>
                  </a:graphic>
                </wp:anchor>
              </w:drawing>
            </w: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13054B23">
            <w:pPr>
              <w:widowControl/>
              <w:jc w:val="left"/>
              <w:rPr>
                <w:rFonts w:hint="eastAsia" w:ascii="宋体" w:hAnsi="宋体" w:eastAsia="宋体" w:cs="宋体"/>
                <w:color w:val="000000"/>
                <w:kern w:val="0"/>
                <w:sz w:val="24"/>
                <w:szCs w:val="24"/>
                <w:highlight w:val="none"/>
              </w:rPr>
            </w:pPr>
          </w:p>
        </w:tc>
      </w:tr>
      <w:tr w14:paraId="384B32D0">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683CA8C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7A2331C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22U机柜</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338AF0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20A05BD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000000" w:sz="4" w:space="0"/>
              <w:left w:val="single" w:color="000000" w:sz="4" w:space="0"/>
              <w:bottom w:val="single" w:color="000000" w:sz="4" w:space="0"/>
              <w:right w:val="single" w:color="000000" w:sz="4" w:space="0"/>
            </w:tcBorders>
            <w:vAlign w:val="center"/>
          </w:tcPr>
          <w:p w14:paraId="42EF2F73">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规格：600cm*600cm*1200cm</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6CFC366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5408" behindDoc="0" locked="0" layoutInCell="1" allowOverlap="1">
                  <wp:simplePos x="0" y="0"/>
                  <wp:positionH relativeFrom="column">
                    <wp:posOffset>257810</wp:posOffset>
                  </wp:positionH>
                  <wp:positionV relativeFrom="paragraph">
                    <wp:posOffset>36830</wp:posOffset>
                  </wp:positionV>
                  <wp:extent cx="219075" cy="325755"/>
                  <wp:effectExtent l="0" t="0" r="9525"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219075" cy="325755"/>
                          </a:xfrm>
                          <a:prstGeom prst="rect">
                            <a:avLst/>
                          </a:prstGeom>
                          <a:noFill/>
                          <a:ln w="9525">
                            <a:noFill/>
                          </a:ln>
                        </pic:spPr>
                      </pic:pic>
                    </a:graphicData>
                  </a:graphic>
                </wp:anchor>
              </w:drawing>
            </w: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22BFEF47">
            <w:pPr>
              <w:widowControl/>
              <w:jc w:val="left"/>
              <w:rPr>
                <w:rFonts w:hint="eastAsia" w:ascii="宋体" w:hAnsi="宋体" w:eastAsia="宋体" w:cs="宋体"/>
                <w:color w:val="000000"/>
                <w:kern w:val="0"/>
                <w:sz w:val="24"/>
                <w:szCs w:val="24"/>
                <w:highlight w:val="none"/>
              </w:rPr>
            </w:pPr>
          </w:p>
        </w:tc>
      </w:tr>
      <w:tr w14:paraId="2755E6C6">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37E91BF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04E3D59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辅材</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385AE1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2A737C1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000000" w:sz="4" w:space="0"/>
              <w:left w:val="single" w:color="000000" w:sz="4" w:space="0"/>
              <w:bottom w:val="single" w:color="000000" w:sz="4" w:space="0"/>
              <w:right w:val="single" w:color="000000" w:sz="4" w:space="0"/>
            </w:tcBorders>
            <w:vAlign w:val="center"/>
          </w:tcPr>
          <w:p w14:paraId="2B6C8E3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包含水晶头、pvc防火线管、pvc管接、pvc直角弯、管卡、三通、防水盒、插线板等</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7E98CA97">
            <w:pPr>
              <w:widowControl/>
              <w:jc w:val="center"/>
              <w:rPr>
                <w:rFonts w:hint="eastAsia" w:ascii="宋体" w:hAnsi="宋体" w:eastAsia="宋体" w:cs="宋体"/>
                <w:kern w:val="0"/>
                <w:sz w:val="24"/>
                <w:szCs w:val="24"/>
                <w:highlight w:val="none"/>
              </w:rPr>
            </w:pP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46A0F14D">
            <w:pPr>
              <w:widowControl/>
              <w:jc w:val="left"/>
              <w:rPr>
                <w:rFonts w:hint="eastAsia" w:ascii="宋体" w:hAnsi="宋体" w:eastAsia="宋体" w:cs="宋体"/>
                <w:color w:val="000000"/>
                <w:kern w:val="0"/>
                <w:sz w:val="24"/>
                <w:szCs w:val="24"/>
                <w:highlight w:val="none"/>
              </w:rPr>
            </w:pPr>
          </w:p>
        </w:tc>
      </w:tr>
      <w:tr w14:paraId="13FA2C2F">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2582FE9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D6CC2D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阳光厨房公示屏</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07B747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B30DD1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2377" w:type="pct"/>
            <w:tcBorders>
              <w:top w:val="single" w:color="000000" w:sz="4" w:space="0"/>
              <w:left w:val="single" w:color="000000" w:sz="4" w:space="0"/>
              <w:bottom w:val="single" w:color="000000" w:sz="4" w:space="0"/>
              <w:right w:val="single" w:color="000000" w:sz="4" w:space="0"/>
            </w:tcBorders>
            <w:vAlign w:val="center"/>
          </w:tcPr>
          <w:p w14:paraId="7C9DA01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1.屏幕尺寸：55寸</w:t>
            </w:r>
          </w:p>
          <w:p w14:paraId="4613F7D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2.对比度：≥1200:1</w:t>
            </w:r>
          </w:p>
          <w:p w14:paraId="07189AD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3.色域：60% NTSC (CIE1931)</w:t>
            </w:r>
          </w:p>
          <w:p w14:paraId="55F94E3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4.可视角度：89/89/89/89 (Min.)(CR≥10)</w:t>
            </w:r>
          </w:p>
          <w:p w14:paraId="5839CC6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5.芯片：≥英特尔i7</w:t>
            </w:r>
          </w:p>
          <w:p w14:paraId="3C64398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6.运行内存：≥8G</w:t>
            </w:r>
          </w:p>
          <w:p w14:paraId="6BFFD84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7.硬盘存储：≥128G固态硬盘</w:t>
            </w:r>
          </w:p>
          <w:p w14:paraId="51189BF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8.系统支持：Android7.1及以上</w:t>
            </w:r>
          </w:p>
          <w:p w14:paraId="3823545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9触摸规格：至少包含红外触摸框；</w:t>
            </w:r>
          </w:p>
          <w:p w14:paraId="3E66E3F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10.触摸点数：≥20点触控；</w:t>
            </w:r>
          </w:p>
          <w:p w14:paraId="0C43950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11.响应时间：≤15ms；</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17BA0145">
            <w:pPr>
              <w:widowControl/>
              <w:jc w:val="center"/>
              <w:rPr>
                <w:rFonts w:hint="eastAsia" w:ascii="宋体" w:hAnsi="宋体" w:eastAsia="宋体" w:cs="宋体"/>
                <w:kern w:val="0"/>
                <w:sz w:val="24"/>
                <w:szCs w:val="24"/>
                <w:highlight w:val="none"/>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5CF7CF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推荐品牌：利亚德、洲明、艾比森、</w:t>
            </w:r>
            <w:r>
              <w:rPr>
                <w:rFonts w:hint="eastAsia" w:ascii="宋体" w:hAnsi="宋体" w:eastAsia="宋体" w:cs="宋体"/>
                <w:kern w:val="0"/>
                <w:sz w:val="24"/>
                <w:szCs w:val="24"/>
                <w:highlight w:val="none"/>
              </w:rPr>
              <w:t>青极光</w:t>
            </w:r>
          </w:p>
        </w:tc>
      </w:tr>
      <w:tr w14:paraId="16F1734F">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7F7DC4B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物联监测设备</w:t>
            </w:r>
          </w:p>
        </w:tc>
      </w:tr>
      <w:tr w14:paraId="523302A8">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47E15FB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C21A3E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监测主机</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19AC0F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8EAC0D1">
            <w:pPr>
              <w:widowControl/>
              <w:jc w:val="center"/>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6</w:t>
            </w:r>
          </w:p>
        </w:tc>
        <w:tc>
          <w:tcPr>
            <w:tcW w:w="2377" w:type="pct"/>
            <w:tcBorders>
              <w:top w:val="single" w:color="000000" w:sz="4" w:space="0"/>
              <w:left w:val="single" w:color="000000" w:sz="4" w:space="0"/>
              <w:bottom w:val="single" w:color="000000" w:sz="4" w:space="0"/>
              <w:right w:val="single" w:color="000000" w:sz="4" w:space="0"/>
            </w:tcBorders>
            <w:vAlign w:val="center"/>
          </w:tcPr>
          <w:p w14:paraId="10E3239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1、设备尺寸大小不超过150mm×100mm×30mm；重量不超过200g</w:t>
            </w:r>
          </w:p>
          <w:p w14:paraId="74D9C42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2、设备应提供4G+物联的双路无线网络通信能力</w:t>
            </w:r>
          </w:p>
          <w:p w14:paraId="6147EE8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3、设备应提供中继功能，物联设备产品通过touchpair方式触碰配对、无线组网对接、设备数据上报等功能</w:t>
            </w:r>
          </w:p>
          <w:p w14:paraId="1F95A3F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4、设备应提供温湿度检测功能，监测温度-30℃~60℃，监测湿度0%~90%</w:t>
            </w:r>
          </w:p>
          <w:p w14:paraId="4ABFA05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5、设备开放协议云端对接</w:t>
            </w:r>
          </w:p>
          <w:p w14:paraId="34779F4C">
            <w:pPr>
              <w:pStyle w:val="97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6、设备应提供校准证书以证明测量功能正常</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6C26F11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6432" behindDoc="0" locked="0" layoutInCell="1" allowOverlap="1">
                  <wp:simplePos x="0" y="0"/>
                  <wp:positionH relativeFrom="column">
                    <wp:posOffset>-16510</wp:posOffset>
                  </wp:positionH>
                  <wp:positionV relativeFrom="paragraph">
                    <wp:posOffset>-121285</wp:posOffset>
                  </wp:positionV>
                  <wp:extent cx="733425" cy="452755"/>
                  <wp:effectExtent l="0" t="0" r="13335" b="444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
                          <a:srcRect b="34718"/>
                          <a:stretch>
                            <a:fillRect/>
                          </a:stretch>
                        </pic:blipFill>
                        <pic:spPr>
                          <a:xfrm>
                            <a:off x="0" y="0"/>
                            <a:ext cx="733425" cy="452755"/>
                          </a:xfrm>
                          <a:prstGeom prst="rect">
                            <a:avLst/>
                          </a:prstGeom>
                          <a:noFill/>
                          <a:ln w="9525">
                            <a:noFill/>
                          </a:ln>
                        </pic:spPr>
                      </pic:pic>
                    </a:graphicData>
                  </a:graphic>
                </wp:anchor>
              </w:drawing>
            </w:r>
          </w:p>
        </w:tc>
        <w:tc>
          <w:tcPr>
            <w:tcW w:w="573" w:type="pct"/>
            <w:vMerge w:val="restart"/>
            <w:tcBorders>
              <w:top w:val="single" w:color="000000" w:sz="4" w:space="0"/>
              <w:left w:val="single" w:color="000000" w:sz="4" w:space="0"/>
              <w:bottom w:val="single" w:color="000000" w:sz="4" w:space="0"/>
              <w:right w:val="single" w:color="000000" w:sz="4" w:space="0"/>
            </w:tcBorders>
            <w:vAlign w:val="center"/>
          </w:tcPr>
          <w:p w14:paraId="2CFBC7F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病媒、紫外线、温湿度、消毒检测</w:t>
            </w:r>
          </w:p>
        </w:tc>
      </w:tr>
      <w:tr w14:paraId="26543EEE">
        <w:tblPrEx>
          <w:tblCellMar>
            <w:top w:w="0" w:type="dxa"/>
            <w:left w:w="108" w:type="dxa"/>
            <w:bottom w:w="0" w:type="dxa"/>
            <w:right w:w="108" w:type="dxa"/>
          </w:tblCellMar>
        </w:tblPrEx>
        <w:trPr>
          <w:trHeight w:val="94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09F9BC2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4CB3E4D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挡鼠板移位传感器</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C5E8FD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2C17B2E">
            <w:pPr>
              <w:widowControl/>
              <w:jc w:val="center"/>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3</w:t>
            </w:r>
          </w:p>
        </w:tc>
        <w:tc>
          <w:tcPr>
            <w:tcW w:w="2377" w:type="pct"/>
            <w:tcBorders>
              <w:top w:val="single" w:color="000000" w:sz="4" w:space="0"/>
              <w:left w:val="single" w:color="000000" w:sz="4" w:space="0"/>
              <w:bottom w:val="single" w:color="000000" w:sz="4" w:space="0"/>
              <w:right w:val="single" w:color="000000" w:sz="4" w:space="0"/>
            </w:tcBorders>
            <w:vAlign w:val="center"/>
          </w:tcPr>
          <w:p w14:paraId="689ED05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1、设备尺寸大小不超过100mm×50mm×30mm；重量不超过100g</w:t>
            </w:r>
          </w:p>
          <w:p w14:paraId="2FABC44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2、设备应提供无线物联网络通信能力</w:t>
            </w:r>
          </w:p>
          <w:p w14:paraId="6B96428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3、设备应支持检测门磁开合、告警数据上传等功能</w:t>
            </w:r>
          </w:p>
          <w:p w14:paraId="7E83AB6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4、设备应支持巡检功能，支持通过手机触碰读取数据</w:t>
            </w:r>
          </w:p>
          <w:p w14:paraId="1C53979D">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5、设备应达到IP68防护等级</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4DEC2BF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7456" behindDoc="0" locked="0" layoutInCell="1" allowOverlap="1">
                  <wp:simplePos x="0" y="0"/>
                  <wp:positionH relativeFrom="column">
                    <wp:posOffset>-15875</wp:posOffset>
                  </wp:positionH>
                  <wp:positionV relativeFrom="paragraph">
                    <wp:posOffset>-22860</wp:posOffset>
                  </wp:positionV>
                  <wp:extent cx="716280" cy="676910"/>
                  <wp:effectExtent l="0" t="0" r="0" b="889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a:stretch>
                            <a:fillRect/>
                          </a:stretch>
                        </pic:blipFill>
                        <pic:spPr>
                          <a:xfrm>
                            <a:off x="0" y="0"/>
                            <a:ext cx="716280" cy="676910"/>
                          </a:xfrm>
                          <a:prstGeom prst="rect">
                            <a:avLst/>
                          </a:prstGeom>
                        </pic:spPr>
                      </pic:pic>
                    </a:graphicData>
                  </a:graphic>
                </wp:anchor>
              </w:drawing>
            </w: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78606D76">
            <w:pPr>
              <w:widowControl/>
              <w:jc w:val="left"/>
              <w:rPr>
                <w:rFonts w:hint="eastAsia" w:ascii="宋体" w:hAnsi="宋体" w:eastAsia="宋体" w:cs="宋体"/>
                <w:color w:val="000000"/>
                <w:kern w:val="0"/>
                <w:sz w:val="24"/>
                <w:szCs w:val="24"/>
                <w:highlight w:val="none"/>
              </w:rPr>
            </w:pPr>
          </w:p>
        </w:tc>
      </w:tr>
      <w:tr w14:paraId="103A6830">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08FEFC1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918D63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温湿度节点</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08DEE51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A081094">
            <w:pPr>
              <w:widowControl/>
              <w:jc w:val="center"/>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14</w:t>
            </w:r>
          </w:p>
        </w:tc>
        <w:tc>
          <w:tcPr>
            <w:tcW w:w="2377" w:type="pct"/>
            <w:tcBorders>
              <w:top w:val="single" w:color="000000" w:sz="4" w:space="0"/>
              <w:left w:val="single" w:color="000000" w:sz="4" w:space="0"/>
              <w:bottom w:val="single" w:color="000000" w:sz="4" w:space="0"/>
              <w:right w:val="single" w:color="000000" w:sz="4" w:space="0"/>
            </w:tcBorders>
            <w:vAlign w:val="center"/>
          </w:tcPr>
          <w:p w14:paraId="10E7715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1、设备尺寸大小不超过100mm×50mm×30mm；重量不超过100g</w:t>
            </w:r>
          </w:p>
          <w:p w14:paraId="19F3A94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2、设备应提供无线物联网络通信能力</w:t>
            </w:r>
          </w:p>
          <w:p w14:paraId="33B151F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3、设备应支持温度、湿度传感数据上传功能</w:t>
            </w:r>
          </w:p>
          <w:p w14:paraId="34A18C4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4、设备应提供温湿度检测功能，监测温度-30℃~60℃，监测湿度0%~90%</w:t>
            </w:r>
          </w:p>
          <w:p w14:paraId="348E5D3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5、设备应支持巡检功能，支持通过手机触碰读取数据</w:t>
            </w:r>
          </w:p>
          <w:p w14:paraId="549A413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6、设备应达到IP68防护等级</w:t>
            </w:r>
          </w:p>
          <w:p w14:paraId="3CC4FD6D">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7、设备应提供校准证书以证明测量功能正常</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6C3B10A4">
            <w:pPr>
              <w:widowControl/>
              <w:jc w:val="center"/>
              <w:rPr>
                <w:rFonts w:hint="eastAsia" w:ascii="宋体" w:hAnsi="宋体" w:eastAsia="宋体" w:cs="宋体"/>
                <w:color w:val="000000"/>
                <w:kern w:val="0"/>
                <w:sz w:val="24"/>
                <w:szCs w:val="24"/>
                <w:highlight w:val="none"/>
              </w:rPr>
            </w:pP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30FA5FCF">
            <w:pPr>
              <w:widowControl/>
              <w:jc w:val="left"/>
              <w:rPr>
                <w:rFonts w:hint="eastAsia" w:ascii="宋体" w:hAnsi="宋体" w:eastAsia="宋体" w:cs="宋体"/>
                <w:color w:val="000000"/>
                <w:kern w:val="0"/>
                <w:sz w:val="24"/>
                <w:szCs w:val="24"/>
                <w:highlight w:val="none"/>
              </w:rPr>
            </w:pPr>
          </w:p>
        </w:tc>
      </w:tr>
      <w:tr w14:paraId="286EB31F">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2BBBA0B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5810D3C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紫外线消毒检测开关</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1898A66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3355B1F">
            <w:pPr>
              <w:widowControl/>
              <w:jc w:val="center"/>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4</w:t>
            </w:r>
          </w:p>
        </w:tc>
        <w:tc>
          <w:tcPr>
            <w:tcW w:w="2377" w:type="pct"/>
            <w:tcBorders>
              <w:top w:val="single" w:color="000000" w:sz="4" w:space="0"/>
              <w:left w:val="single" w:color="000000" w:sz="4" w:space="0"/>
              <w:bottom w:val="single" w:color="000000" w:sz="4" w:space="0"/>
              <w:right w:val="single" w:color="000000" w:sz="4" w:space="0"/>
            </w:tcBorders>
            <w:vAlign w:val="center"/>
          </w:tcPr>
          <w:p w14:paraId="5D00B1E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1、重量：&lt;100g;</w:t>
            </w:r>
          </w:p>
          <w:p w14:paraId="7EB6782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2、材质：ABS抗菌材质/玻璃面板</w:t>
            </w:r>
          </w:p>
          <w:p w14:paraId="392BA28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3、工作温度：-10℃~50℃</w:t>
            </w:r>
          </w:p>
          <w:p w14:paraId="5A07817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4、工作湿度：20%~95%</w:t>
            </w:r>
          </w:p>
          <w:p w14:paraId="6CFDA8C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5、单路负载：单路600W，一共三路</w:t>
            </w:r>
          </w:p>
          <w:p w14:paraId="5A420874">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6、配对方式：触碰配对</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324B42B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68480" behindDoc="0" locked="0" layoutInCell="1" allowOverlap="1">
                  <wp:simplePos x="0" y="0"/>
                  <wp:positionH relativeFrom="column">
                    <wp:posOffset>48260</wp:posOffset>
                  </wp:positionH>
                  <wp:positionV relativeFrom="paragraph">
                    <wp:posOffset>50800</wp:posOffset>
                  </wp:positionV>
                  <wp:extent cx="603885" cy="624205"/>
                  <wp:effectExtent l="0" t="0" r="5715" b="63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6"/>
                          <a:stretch>
                            <a:fillRect/>
                          </a:stretch>
                        </pic:blipFill>
                        <pic:spPr>
                          <a:xfrm>
                            <a:off x="0" y="0"/>
                            <a:ext cx="603885" cy="624205"/>
                          </a:xfrm>
                          <a:prstGeom prst="rect">
                            <a:avLst/>
                          </a:prstGeom>
                          <a:noFill/>
                          <a:ln w="9525">
                            <a:noFill/>
                          </a:ln>
                        </pic:spPr>
                      </pic:pic>
                    </a:graphicData>
                  </a:graphic>
                </wp:anchor>
              </w:drawing>
            </w:r>
          </w:p>
        </w:tc>
        <w:tc>
          <w:tcPr>
            <w:tcW w:w="573" w:type="pct"/>
            <w:vMerge w:val="continue"/>
            <w:tcBorders>
              <w:top w:val="single" w:color="000000" w:sz="4" w:space="0"/>
              <w:left w:val="single" w:color="000000" w:sz="4" w:space="0"/>
              <w:bottom w:val="single" w:color="000000" w:sz="4" w:space="0"/>
              <w:right w:val="single" w:color="000000" w:sz="4" w:space="0"/>
            </w:tcBorders>
            <w:vAlign w:val="center"/>
          </w:tcPr>
          <w:p w14:paraId="0C4AB0D6">
            <w:pPr>
              <w:widowControl/>
              <w:jc w:val="left"/>
              <w:rPr>
                <w:rFonts w:hint="eastAsia" w:ascii="宋体" w:hAnsi="宋体" w:eastAsia="宋体" w:cs="宋体"/>
                <w:color w:val="000000"/>
                <w:kern w:val="0"/>
                <w:sz w:val="24"/>
                <w:szCs w:val="24"/>
                <w:highlight w:val="none"/>
              </w:rPr>
            </w:pPr>
          </w:p>
        </w:tc>
      </w:tr>
      <w:tr w14:paraId="0D9F98E8">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39DA7AA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食品安全设备</w:t>
            </w:r>
          </w:p>
        </w:tc>
      </w:tr>
      <w:tr w14:paraId="2DF7F21A">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3EB9C00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77083B15">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智能留样冰箱（大）</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11CF887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1B3366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2377" w:type="pct"/>
            <w:tcBorders>
              <w:top w:val="single" w:color="000000" w:sz="4" w:space="0"/>
              <w:left w:val="single" w:color="000000" w:sz="4" w:space="0"/>
              <w:bottom w:val="single" w:color="000000" w:sz="4" w:space="0"/>
              <w:right w:val="single" w:color="000000" w:sz="4" w:space="0"/>
            </w:tcBorders>
            <w:vAlign w:val="center"/>
          </w:tcPr>
          <w:p w14:paraId="333A6927">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1.功能：配备人脸识别技术，并支持双人双锁功能。</w:t>
            </w:r>
          </w:p>
          <w:p w14:paraId="62E0DA4D">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用户可自行录入留样菜品，系统自动记录并保存。</w:t>
            </w:r>
          </w:p>
          <w:p w14:paraId="6723B3B5">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系统具备智能提醒功能，可以自动在留样食品到期前的48小时发出提醒。在未到48小时时，样品无法取出。</w:t>
            </w:r>
          </w:p>
          <w:p w14:paraId="5FB20AA2">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分权限管理设计，管理员和操作员拥有不同级别的权限。</w:t>
            </w:r>
          </w:p>
          <w:p w14:paraId="4C4EC78F">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留样样品可一键拍照，并自动存储照片。</w:t>
            </w:r>
          </w:p>
          <w:p w14:paraId="054AA992">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内置留样打印机，一键打印留样标签。</w:t>
            </w:r>
          </w:p>
          <w:p w14:paraId="1C57F9BE">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设备内的留样记录和使用记录自动存储，形成详细的电子台账。</w:t>
            </w:r>
          </w:p>
          <w:p w14:paraId="7614AE3C">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具备单菜品/多菜品称重功能，称重数据自动保存，随时可供调用。</w:t>
            </w:r>
          </w:p>
          <w:p w14:paraId="00852BCA">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2.产品容积≥880升，支持按餐次分仓留样，至少支持8个独立分仓，所有仓门锁单独控制；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3.温度范围：2～12℃</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4.外观尺寸（mm）：1220*750*1950（仅参考，具体以场地实际尺寸为准）</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0FEDA59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drawing>
                <wp:anchor distT="0" distB="0" distL="114300" distR="114300" simplePos="0" relativeHeight="251669504" behindDoc="0" locked="0" layoutInCell="1" allowOverlap="1">
                  <wp:simplePos x="0" y="0"/>
                  <wp:positionH relativeFrom="column">
                    <wp:posOffset>118110</wp:posOffset>
                  </wp:positionH>
                  <wp:positionV relativeFrom="paragraph">
                    <wp:posOffset>12700</wp:posOffset>
                  </wp:positionV>
                  <wp:extent cx="501015" cy="657860"/>
                  <wp:effectExtent l="0" t="0" r="1905" b="1270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501015" cy="657860"/>
                          </a:xfrm>
                          <a:prstGeom prst="rect">
                            <a:avLst/>
                          </a:prstGeom>
                          <a:noFill/>
                          <a:ln w="9525">
                            <a:noFill/>
                          </a:ln>
                        </pic:spPr>
                      </pic:pic>
                    </a:graphicData>
                  </a:graphic>
                </wp:anchor>
              </w:drawing>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2AF5ACEE">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推荐品牌：澳柯玛、海尔、美的、坚果系统</w:t>
            </w:r>
          </w:p>
        </w:tc>
      </w:tr>
      <w:tr w14:paraId="3376B046">
        <w:tblPrEx>
          <w:tblCellMar>
            <w:top w:w="0" w:type="dxa"/>
            <w:left w:w="108" w:type="dxa"/>
            <w:bottom w:w="0" w:type="dxa"/>
            <w:right w:w="108" w:type="dxa"/>
          </w:tblCellMar>
        </w:tblPrEx>
        <w:trPr>
          <w:trHeight w:val="402"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1C0FA42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1F19400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智能电子验收秤</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6BB06A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FFC1C2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2377" w:type="pct"/>
            <w:tcBorders>
              <w:top w:val="single" w:color="000000" w:sz="4" w:space="0"/>
              <w:left w:val="single" w:color="000000" w:sz="4" w:space="0"/>
              <w:bottom w:val="single" w:color="000000" w:sz="4" w:space="0"/>
              <w:right w:val="single" w:color="000000" w:sz="4" w:space="0"/>
            </w:tcBorders>
            <w:vAlign w:val="center"/>
          </w:tcPr>
          <w:p w14:paraId="116E6276">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1.支持提供食材品质图片对比，帮助验收人员判别食材品质优劣；</w:t>
            </w:r>
          </w:p>
          <w:p w14:paraId="52C405DC">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2.支持通过验货机识别商品规格、品类，判别验收商品和采购信息是否一致；</w:t>
            </w:r>
          </w:p>
          <w:p w14:paraId="45219D37">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3.支持通过验货机进行票证识别，可识别蔬果类农残检测报告、肉类品质检验合格报告、动物检验检疫合格证、冷冻/鲜活水产品类合格证和产品出厂/批次检验报告等，帮助验收人员判别票证合规性。；</w:t>
            </w:r>
          </w:p>
          <w:p w14:paraId="35992E15">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4.支持关联验货机验收单入库，按照验收食材和数量完成入库操作，出入库操作拍照记录，验收入库数据和称重出库数据实时同步到后台；</w:t>
            </w:r>
          </w:p>
          <w:p w14:paraId="5089B312">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2.支持语音交互本地人脸算法，支持脱网单机人脸识别</w:t>
            </w:r>
          </w:p>
          <w:p w14:paraId="30A8639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3.计量量程：不少于250KG，称重误差≤0.001kg。</w:t>
            </w:r>
          </w:p>
          <w:p w14:paraId="4701807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4.性能指标：≥RK3399处理器：1.8G双核+1.5G四核+GPU，内存2G，存储空间8G</w:t>
            </w:r>
          </w:p>
          <w:p w14:paraId="1FA9D1D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5.屏幕：15英寸以上、触摸显示一体屏</w:t>
            </w:r>
          </w:p>
          <w:p w14:paraId="71773C05">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6.支持双摄像头，人脸摄像头≥800w像素，商品摄像头≥500w像素，支持宽动态可逆光。</w:t>
            </w:r>
          </w:p>
          <w:p w14:paraId="06467AB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7.数据接口：支持RS232、RS485，支持LAN/WIFI/4G全网通</w:t>
            </w:r>
          </w:p>
          <w:p w14:paraId="58DE6B5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DC9~15V(5%)功耗≤40W</w:t>
            </w:r>
          </w:p>
          <w:p w14:paraId="67C9A10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8.工作环境：温度：-10℃～55℃湿度：15%RH～95%RH</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3D3480D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71552" behindDoc="0" locked="0" layoutInCell="1" allowOverlap="1">
                  <wp:simplePos x="0" y="0"/>
                  <wp:positionH relativeFrom="column">
                    <wp:posOffset>31115</wp:posOffset>
                  </wp:positionH>
                  <wp:positionV relativeFrom="paragraph">
                    <wp:posOffset>-743585</wp:posOffset>
                  </wp:positionV>
                  <wp:extent cx="641985" cy="1537970"/>
                  <wp:effectExtent l="0" t="0" r="13335"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8"/>
                          <a:stretch>
                            <a:fillRect/>
                          </a:stretch>
                        </pic:blipFill>
                        <pic:spPr>
                          <a:xfrm>
                            <a:off x="0" y="0"/>
                            <a:ext cx="641985" cy="1537970"/>
                          </a:xfrm>
                          <a:prstGeom prst="rect">
                            <a:avLst/>
                          </a:prstGeom>
                          <a:noFill/>
                          <a:ln w="9525">
                            <a:noFill/>
                          </a:ln>
                        </pic:spPr>
                      </pic:pic>
                    </a:graphicData>
                  </a:graphic>
                </wp:anchor>
              </w:drawing>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22404B8B">
            <w:pPr>
              <w:widowControl/>
              <w:shd w:val="clear" w:color="auto" w:fill="FFFFFF"/>
              <w:spacing w:before="288" w:after="192"/>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shd w:val="clear" w:color="auto" w:fill="FFFFFF"/>
              </w:rPr>
              <w:t>推荐品牌：友声、凯士、卓禾、</w:t>
            </w:r>
            <w:r>
              <w:rPr>
                <w:rFonts w:hint="eastAsia" w:ascii="宋体" w:hAnsi="宋体" w:eastAsia="宋体" w:cs="宋体"/>
                <w:kern w:val="0"/>
                <w:sz w:val="24"/>
                <w:szCs w:val="24"/>
                <w:highlight w:val="none"/>
              </w:rPr>
              <w:t>坚果系统</w:t>
            </w:r>
          </w:p>
          <w:p w14:paraId="179EE240">
            <w:pPr>
              <w:pStyle w:val="5"/>
              <w:keepNext w:val="0"/>
              <w:keepLines w:val="0"/>
              <w:widowControl/>
              <w:shd w:val="clear" w:color="auto" w:fill="FFFFFF"/>
              <w:spacing w:before="288" w:after="192" w:line="312" w:lineRule="atLeast"/>
              <w:ind w:left="0" w:firstLine="0"/>
              <w:rPr>
                <w:rFonts w:hint="eastAsia" w:ascii="宋体" w:hAnsi="宋体" w:eastAsia="宋体" w:cs="宋体"/>
                <w:color w:val="24292E"/>
                <w:sz w:val="24"/>
                <w:szCs w:val="24"/>
                <w:highlight w:val="none"/>
              </w:rPr>
            </w:pPr>
          </w:p>
          <w:p w14:paraId="455A610E">
            <w:pPr>
              <w:pStyle w:val="5"/>
              <w:keepNext w:val="0"/>
              <w:keepLines w:val="0"/>
              <w:widowControl/>
              <w:shd w:val="clear" w:color="auto" w:fill="FFFFFF"/>
              <w:spacing w:before="288" w:after="192" w:line="312" w:lineRule="atLeast"/>
              <w:ind w:left="0" w:firstLine="0"/>
              <w:rPr>
                <w:rFonts w:hint="eastAsia" w:ascii="宋体" w:hAnsi="宋体" w:eastAsia="宋体" w:cs="宋体"/>
                <w:color w:val="24292E"/>
                <w:sz w:val="24"/>
                <w:szCs w:val="24"/>
                <w:highlight w:val="none"/>
              </w:rPr>
            </w:pPr>
          </w:p>
          <w:p w14:paraId="374A2B94">
            <w:pPr>
              <w:widowControl/>
              <w:jc w:val="center"/>
              <w:rPr>
                <w:rFonts w:hint="eastAsia" w:ascii="宋体" w:hAnsi="宋体" w:eastAsia="宋体" w:cs="宋体"/>
                <w:color w:val="000000"/>
                <w:kern w:val="0"/>
                <w:sz w:val="24"/>
                <w:szCs w:val="24"/>
                <w:highlight w:val="none"/>
              </w:rPr>
            </w:pPr>
          </w:p>
        </w:tc>
      </w:tr>
      <w:tr w14:paraId="7B478297">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6B55294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D1E277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农药残留检测仪</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8DCFEC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12736D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2377" w:type="pct"/>
            <w:tcBorders>
              <w:top w:val="single" w:color="000000" w:sz="4" w:space="0"/>
              <w:left w:val="single" w:color="000000" w:sz="4" w:space="0"/>
              <w:bottom w:val="single" w:color="000000" w:sz="4" w:space="0"/>
              <w:right w:val="single" w:color="000000" w:sz="4" w:space="0"/>
            </w:tcBorders>
            <w:vAlign w:val="center"/>
          </w:tcPr>
          <w:p w14:paraId="237BD034">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1、支持能快速检测至少以下项目：</w:t>
            </w:r>
          </w:p>
          <w:p w14:paraId="5FEF1FD3">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①食品添加剂和违禁品：甲醛、二氧化硫、吊白块、硼砂、亚硝酸盐、双氧水、苯甲酸钠、山梨酸钾、溴酸钾、硝酸盐等；</w:t>
            </w:r>
          </w:p>
          <w:p w14:paraId="73A4BFAF">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②禽蛋类：四环素、氯霉素、氟苯尼考、恩诺沙星等；</w:t>
            </w:r>
          </w:p>
          <w:p w14:paraId="125A9B35">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③药物残留肉类：莱克多巴胺、沙丁胺醇、盐酸克伦特罗、呋喃唑酮、呋喃西林、呋喃妥因、呋喃它酮、磺胺类、喹诺酮、庆大霉素、孔雀石绿等；</w:t>
            </w:r>
          </w:p>
          <w:p w14:paraId="3900F2AE">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④果蔬农药残留类：有机磷和氨基甲酸脂类、多菌灵、毒死蜱、克百威、腐霉利、灭蝇安等指标；</w:t>
            </w:r>
          </w:p>
          <w:p w14:paraId="746AE06A">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2、便携箱体式设计，可手提、具有抗震、防水抗压，方便携带户外工作；</w:t>
            </w:r>
          </w:p>
          <w:p w14:paraId="43302F3B">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集分光光度检测技术模块、胶体金检测技术模块、数字化管理模块、无线通讯模块等模块集成一体；快速检测覆盖各类食用农产品中的农药残留、可能违法添加非食用物质、易滥用食品添加剂、兽药残留等相关指标等；</w:t>
            </w:r>
          </w:p>
          <w:p w14:paraId="2A90B37E">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4、显示屏幕：≥12英寸嵌入式触摸屏；</w:t>
            </w:r>
          </w:p>
          <w:p w14:paraId="0C42A013">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5、操作系统：采用安卓操作系统；</w:t>
            </w:r>
          </w:p>
          <w:p w14:paraId="7303AE53">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6、内置WIFI、有线网络及蓝牙、可选配GPS定位模块、选配3G/4G通讯模块，可实现外接蓝牙打印机及其他蓝牙设备等；</w:t>
            </w:r>
          </w:p>
          <w:p w14:paraId="6F43938C">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7、打印方式：内置热敏打印机；</w:t>
            </w:r>
          </w:p>
          <w:p w14:paraId="0E804332">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8、比色皿槽具有自动识别功能，可自动感应是否放入比色皿，并能自动启动检测；</w:t>
            </w:r>
          </w:p>
          <w:p w14:paraId="699E86D7">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9、操作屏分辩率：1920*1080；输入方式：电容屏、触摸输入、支持多点触控；</w:t>
            </w:r>
          </w:p>
          <w:p w14:paraId="01A7D05C">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10、内置恒温功能:温度值可至±37度，数值在屏幕上显示，确保检测试剂的稳定性；</w:t>
            </w:r>
          </w:p>
          <w:p w14:paraId="1DF0FC44">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11、仪器实现软件远程升级、管理，扩展项目参数及功能等，无需专用工具或返厂升级。</w:t>
            </w:r>
          </w:p>
          <w:p w14:paraId="410A81F0">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12、分光光度检测通道≥16个，每个通道均内置波长至少5种波长光源；</w:t>
            </w:r>
          </w:p>
          <w:p w14:paraId="4B27B33C">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13、分光光度检测采用光纤光路技术，确保各通道光源一致，保证数据一致性，可根据项目自动判断相应波长满足实验需求；</w:t>
            </w:r>
          </w:p>
          <w:p w14:paraId="4D13DB43">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14、分光光度检测支持并行检测，每个项目可同时检测≥16个样品；</w:t>
            </w:r>
          </w:p>
          <w:p w14:paraId="0DCF8AB6">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15、分光光度检测模块的透射比准确度：±0.8%；透射比重复性≤0.2%；</w:t>
            </w:r>
          </w:p>
          <w:p w14:paraId="6E0914C6">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16、胶体金检测技术模块采用CMOS成像处理技术及胶体金分析技术，探测精度≥30万PX；</w:t>
            </w:r>
          </w:p>
          <w:p w14:paraId="6D6ED3A8">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17、胶体金检测技术模块检测通道：采用3通道，可兼容市面上的各种检测卡（包含单联卡、二联卡、三联卡、四联、六联卡等）</w:t>
            </w:r>
          </w:p>
          <w:p w14:paraId="4FBACB3E">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18、胶体金检测技术模块显示模式：浓度值或阴阳性；</w:t>
            </w:r>
          </w:p>
          <w:p w14:paraId="4C13E310">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19、胶体金检测技术模块曲线形式：内置曲线、自制曲线双模式；</w:t>
            </w:r>
          </w:p>
          <w:p w14:paraId="31FAB8FA">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20、兼容监管系统软件接口，可实现检测数据的无缝对接、自动上传；</w:t>
            </w:r>
          </w:p>
          <w:p w14:paraId="10A7139C">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21、支持检测数据管理，包含曲线管理、记录管理、系统管理等功能。</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74A7FB2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72576" behindDoc="0" locked="0" layoutInCell="1" allowOverlap="1">
                  <wp:simplePos x="0" y="0"/>
                  <wp:positionH relativeFrom="column">
                    <wp:posOffset>40005</wp:posOffset>
                  </wp:positionH>
                  <wp:positionV relativeFrom="paragraph">
                    <wp:posOffset>-993775</wp:posOffset>
                  </wp:positionV>
                  <wp:extent cx="650875" cy="641985"/>
                  <wp:effectExtent l="9525" t="9525" r="10160" b="190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a:stretch>
                            <a:fillRect/>
                          </a:stretch>
                        </pic:blipFill>
                        <pic:spPr>
                          <a:xfrm>
                            <a:off x="0" y="0"/>
                            <a:ext cx="650875" cy="641985"/>
                          </a:xfrm>
                          <a:prstGeom prst="rect">
                            <a:avLst/>
                          </a:prstGeom>
                          <a:noFill/>
                          <a:ln>
                            <a:solidFill>
                              <a:schemeClr val="tx1"/>
                            </a:solidFill>
                          </a:ln>
                        </pic:spPr>
                      </pic:pic>
                    </a:graphicData>
                  </a:graphic>
                </wp:anchor>
              </w:drawing>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21FCD36B">
            <w:pPr>
              <w:widowControl/>
              <w:shd w:val="clear" w:color="auto" w:fill="FFFFFF"/>
              <w:spacing w:before="288" w:after="192"/>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推荐品牌：</w:t>
            </w:r>
            <w:r>
              <w:rPr>
                <w:rFonts w:hint="eastAsia" w:ascii="宋体" w:hAnsi="宋体" w:eastAsia="宋体" w:cs="宋体"/>
                <w:color w:val="000000"/>
                <w:kern w:val="0"/>
                <w:sz w:val="24"/>
                <w:szCs w:val="24"/>
                <w:highlight w:val="none"/>
                <w:shd w:val="clear" w:color="auto" w:fill="FFFFFF"/>
              </w:rPr>
              <w:t>深芬仪器、美正生物、艾瑞德</w:t>
            </w:r>
          </w:p>
        </w:tc>
      </w:tr>
      <w:tr w14:paraId="5253BF3C">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0169C91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人员管理设备</w:t>
            </w:r>
          </w:p>
        </w:tc>
      </w:tr>
      <w:tr w14:paraId="1982505D">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71DC38C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87A7F9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智能晨检机</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E7D62C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2B442CF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2377" w:type="pct"/>
            <w:tcBorders>
              <w:top w:val="single" w:color="000000" w:sz="4" w:space="0"/>
              <w:left w:val="single" w:color="000000" w:sz="4" w:space="0"/>
              <w:bottom w:val="single" w:color="000000" w:sz="4" w:space="0"/>
              <w:right w:val="single" w:color="000000" w:sz="4" w:space="0"/>
            </w:tcBorders>
            <w:vAlign w:val="center"/>
          </w:tcPr>
          <w:p w14:paraId="233C20B4">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1、非拼装一体化设备，一键启动,单机具备人脸识别、无接触测温、手部检测功能；</w:t>
            </w:r>
          </w:p>
          <w:p w14:paraId="54BF6AFD">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2、测温距离：30-50CM，非接触式多点阵列测温；距离系数20：1；测温精度±0.3℃；</w:t>
            </w:r>
          </w:p>
          <w:p w14:paraId="4E783E55">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3、支持语音交互；本地人脸算法，支持脱网单机人脸识别；</w:t>
            </w:r>
          </w:p>
          <w:p w14:paraId="75FC1539">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4、具有双摄像头，分别用于人脸识别和手部，摄像头要求宽动态可逆光；</w:t>
            </w:r>
          </w:p>
          <w:p w14:paraId="62C71D72">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5、具备手部检测功能，包括手链检测功能、手表检测功能、长指甲检测功能、指甲油检测功能、灰指甲检测功能、戒指检测功能、创口贴检测等功能；</w:t>
            </w:r>
          </w:p>
          <w:p w14:paraId="0BC19448">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6、屏幕：15英寸以上、触摸显示一体屏；数据接口：支持RS232、RS485，支持LAN/WIFI/4G全网通；性能指标：处理器:不低于1.8G双核+1.5G四核GPU，内存≥2G，存储空间≥8G；DC9~15V(5%)功耗≤20W；</w:t>
            </w:r>
          </w:p>
          <w:p w14:paraId="1C6236EB">
            <w:pPr>
              <w:pStyle w:val="970"/>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7、工作环境：温度：-10℃～55℃湿度：15%RH～95%RH</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7EE1A803">
            <w:pPr>
              <w:widowControl/>
              <w:jc w:val="center"/>
              <w:rPr>
                <w:rFonts w:hint="eastAsia" w:ascii="宋体" w:hAnsi="宋体" w:eastAsia="宋体" w:cs="宋体"/>
                <w:color w:val="000000"/>
                <w:kern w:val="0"/>
                <w:sz w:val="24"/>
                <w:szCs w:val="24"/>
                <w:highlight w:val="none"/>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565BC430">
            <w:pPr>
              <w:widowControl/>
              <w:shd w:val="clear" w:color="auto" w:fill="FFFFFF"/>
              <w:spacing w:before="288" w:after="192"/>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推荐品牌：</w:t>
            </w:r>
            <w:r>
              <w:rPr>
                <w:rFonts w:hint="eastAsia" w:ascii="宋体" w:hAnsi="宋体" w:eastAsia="宋体" w:cs="宋体"/>
                <w:color w:val="000000"/>
                <w:kern w:val="0"/>
                <w:sz w:val="24"/>
                <w:szCs w:val="24"/>
                <w:highlight w:val="none"/>
                <w:shd w:val="clear" w:color="auto" w:fill="FFFFFF"/>
              </w:rPr>
              <w:t>海康</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shd w:val="clear" w:color="auto" w:fill="FFFFFF"/>
              </w:rPr>
              <w:t>大华</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shd w:val="clear" w:color="auto" w:fill="FFFFFF"/>
              </w:rPr>
              <w:t>中科英泰、坚果智慧</w:t>
            </w:r>
          </w:p>
        </w:tc>
      </w:tr>
      <w:tr w14:paraId="7585D337">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3751C95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57A6DCD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热成像摄像机（行为抓拍）</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773C93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FFB7FB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2377" w:type="pct"/>
            <w:tcBorders>
              <w:top w:val="single" w:color="000000" w:sz="4" w:space="0"/>
              <w:left w:val="single" w:color="000000" w:sz="4" w:space="0"/>
              <w:bottom w:val="single" w:color="000000" w:sz="4" w:space="0"/>
              <w:right w:val="single" w:color="000000" w:sz="4" w:space="0"/>
            </w:tcBorders>
            <w:vAlign w:val="center"/>
          </w:tcPr>
          <w:p w14:paraId="1E5FCB4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1.主板：算力≥1.0Tops 内存≥512MB，闪存≥8GB EMMC</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2.探测器类型：氧化钒非制冷红外焦平面探测器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3.光谱范围：8-14μm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4.原始分辨率：≥256×192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测温范围：-20°C-150°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5.成像器件：400万像素 1/3 CMOS，F1.6 光圈，超低照度,星光级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6.有效像素：≥4MP 有效像素(2560*1440)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7.镜头类型：定焦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8.自定义测温绘制:支持自定义20个点、线、面和区域测温，区间测温对比，</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9.高温报警:高温异常语音报警、白光灯报警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10.工作温/湿度: -30℃ - +60℃/0% - 95%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11.防护等级:IP67</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5C05376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drawing>
                <wp:anchor distT="0" distB="0" distL="114300" distR="114300" simplePos="0" relativeHeight="251670528" behindDoc="0" locked="0" layoutInCell="1" allowOverlap="1">
                  <wp:simplePos x="0" y="0"/>
                  <wp:positionH relativeFrom="column">
                    <wp:posOffset>43815</wp:posOffset>
                  </wp:positionH>
                  <wp:positionV relativeFrom="paragraph">
                    <wp:posOffset>-26035</wp:posOffset>
                  </wp:positionV>
                  <wp:extent cx="655320" cy="284480"/>
                  <wp:effectExtent l="0" t="0" r="0" b="508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0"/>
                          <a:stretch>
                            <a:fillRect/>
                          </a:stretch>
                        </pic:blipFill>
                        <pic:spPr>
                          <a:xfrm>
                            <a:off x="0" y="0"/>
                            <a:ext cx="655320" cy="284480"/>
                          </a:xfrm>
                          <a:prstGeom prst="rect">
                            <a:avLst/>
                          </a:prstGeom>
                          <a:noFill/>
                          <a:ln w="9525">
                            <a:noFill/>
                          </a:ln>
                        </pic:spPr>
                      </pic:pic>
                    </a:graphicData>
                  </a:graphic>
                </wp:anchor>
              </w:drawing>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4F2C675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推荐品牌：海康、大华、宇视</w:t>
            </w:r>
          </w:p>
        </w:tc>
      </w:tr>
      <w:tr w14:paraId="77F1010F">
        <w:tblPrEx>
          <w:tblCellMar>
            <w:top w:w="0" w:type="dxa"/>
            <w:left w:w="108" w:type="dxa"/>
            <w:bottom w:w="0" w:type="dxa"/>
            <w:right w:w="108" w:type="dxa"/>
          </w:tblCellMar>
        </w:tblPrEx>
        <w:trPr>
          <w:trHeight w:val="70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09A18CFB">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5</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15AA31E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AI视频分析智能监测</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D49580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1C256E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377" w:type="pct"/>
            <w:tcBorders>
              <w:top w:val="single" w:color="000000" w:sz="4" w:space="0"/>
              <w:left w:val="single" w:color="000000" w:sz="4" w:space="0"/>
              <w:bottom w:val="single" w:color="000000" w:sz="4" w:space="0"/>
              <w:right w:val="single" w:color="000000" w:sz="4" w:space="0"/>
            </w:tcBorders>
            <w:noWrap/>
            <w:vAlign w:val="center"/>
          </w:tcPr>
          <w:p w14:paraId="59D5A780">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1.支持≥8路并发检测，支持≥32路轮巡检测，同时支持≥5类算法；CPU:≥4核+4核；NPU：≥6T算力；存储：DDR4:≥16GB EMMC：≥64GBSata：3.0硬盘接口（扩展）；RTC：支持定时开关机；支持2.4G/5G双频；</w:t>
            </w:r>
          </w:p>
          <w:p w14:paraId="7487B4E9">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内置智能分析算法服务平台软件，可实现“未穿工作服检测”、“未带工作帽检测”、“未带口罩检测”、“抽烟检测”、“玩手机检测”、“鼠患检测”、“明火离岗检测”、“垃圾桶未加盖”、“垃圾桶满溢”、“弯腰拾物检测”、“砧板混用检测”等通过监控视频识别功能；</w:t>
            </w:r>
          </w:p>
          <w:p w14:paraId="15343F90">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3.PSAM卡槽：≥1路；</w:t>
            </w:r>
          </w:p>
          <w:p w14:paraId="107746F7">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4.网络通讯：≥2路；WiFi6：≥1路；</w:t>
            </w:r>
          </w:p>
          <w:p w14:paraId="4AEA286E">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5.具备≥2寸彩屏显示；</w:t>
            </w:r>
          </w:p>
          <w:p w14:paraId="141DCE5E">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6.支持双路HDMI输入；支持POE供电；</w:t>
            </w:r>
          </w:p>
          <w:p w14:paraId="6E51D65A">
            <w:pPr>
              <w:pStyle w:val="97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7.电源输入：12VDC。</w:t>
            </w:r>
          </w:p>
        </w:tc>
        <w:tc>
          <w:tcPr>
            <w:tcW w:w="777" w:type="pct"/>
            <w:tcBorders>
              <w:top w:val="single" w:color="000000" w:sz="4" w:space="0"/>
              <w:left w:val="single" w:color="000000" w:sz="4" w:space="0"/>
              <w:bottom w:val="single" w:color="000000" w:sz="4" w:space="0"/>
              <w:right w:val="single" w:color="000000" w:sz="4" w:space="0"/>
            </w:tcBorders>
            <w:noWrap/>
            <w:vAlign w:val="center"/>
          </w:tcPr>
          <w:p w14:paraId="54992ED5">
            <w:pPr>
              <w:widowControl/>
              <w:jc w:val="left"/>
              <w:rPr>
                <w:rFonts w:hint="eastAsia" w:ascii="宋体" w:hAnsi="宋体" w:eastAsia="宋体" w:cs="宋体"/>
                <w:color w:val="000000"/>
                <w:kern w:val="0"/>
                <w:sz w:val="24"/>
                <w:szCs w:val="24"/>
                <w:highlight w:val="none"/>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13A6900D">
            <w:pPr>
              <w:widowControl/>
              <w:jc w:val="center"/>
              <w:rPr>
                <w:rFonts w:hint="eastAsia" w:ascii="宋体" w:hAnsi="宋体" w:eastAsia="宋体" w:cs="宋体"/>
                <w:kern w:val="0"/>
                <w:sz w:val="24"/>
                <w:szCs w:val="24"/>
                <w:highlight w:val="none"/>
              </w:rPr>
            </w:pPr>
          </w:p>
        </w:tc>
      </w:tr>
    </w:tbl>
    <w:p w14:paraId="7D449E56">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p>
    <w:p w14:paraId="14736559">
      <w:pPr>
        <w:spacing w:line="312" w:lineRule="auto"/>
        <w:outlineLvl w:val="1"/>
        <w:rPr>
          <w:rFonts w:ascii="宋体" w:hAnsi="宋体" w:cs="宋体"/>
          <w:b/>
          <w:bCs/>
          <w:sz w:val="28"/>
          <w:szCs w:val="28"/>
        </w:rPr>
      </w:pPr>
      <w:bookmarkStart w:id="56" w:name="_Toc32402"/>
      <w:r>
        <w:rPr>
          <w:rFonts w:hint="eastAsia" w:ascii="宋体" w:hAnsi="宋体" w:cs="宋体"/>
          <w:b/>
          <w:bCs/>
          <w:sz w:val="28"/>
          <w:szCs w:val="28"/>
        </w:rPr>
        <w:t>二、商务要求</w:t>
      </w:r>
      <w:bookmarkEnd w:id="56"/>
    </w:p>
    <w:p w14:paraId="6A774CE7">
      <w:pPr>
        <w:spacing w:line="312" w:lineRule="auto"/>
        <w:ind w:firstLine="241" w:firstLineChars="100"/>
        <w:rPr>
          <w:rFonts w:ascii="宋体" w:hAnsi="宋体" w:cs="宋体"/>
          <w:sz w:val="24"/>
        </w:rPr>
      </w:pPr>
      <w:r>
        <w:rPr>
          <w:rFonts w:hint="eastAsia" w:ascii="宋体" w:hAnsi="宋体" w:cs="宋体"/>
          <w:b/>
          <w:bCs/>
          <w:sz w:val="24"/>
        </w:rPr>
        <w:t>1、质保期：</w:t>
      </w:r>
      <w:r>
        <w:rPr>
          <w:rFonts w:hint="eastAsia" w:ascii="宋体" w:hAnsi="宋体" w:cs="宋体"/>
          <w:spacing w:val="-6"/>
          <w:sz w:val="24"/>
          <w:lang w:bidi="ar"/>
        </w:rPr>
        <w:t>质量保证期（或包修期限）保修期自验收合格日期算起计算，所有产品质保期不少于3年（如特定设备质保期长于3年的，按设备厂家的质保期执行）。</w:t>
      </w:r>
    </w:p>
    <w:p w14:paraId="6B21161D">
      <w:pPr>
        <w:spacing w:line="312" w:lineRule="auto"/>
        <w:ind w:firstLine="421"/>
        <w:rPr>
          <w:rFonts w:ascii="宋体" w:hAnsi="宋体" w:cs="宋体"/>
          <w:sz w:val="24"/>
        </w:rPr>
      </w:pPr>
      <w:r>
        <w:rPr>
          <w:rFonts w:hint="eastAsia" w:ascii="宋体" w:hAnsi="宋体" w:cs="宋体"/>
          <w:sz w:val="24"/>
        </w:rPr>
        <w:t>成交供应商需提供整体软硬件安装、集成、培训与维护升级服务。</w:t>
      </w:r>
    </w:p>
    <w:p w14:paraId="4FB35200">
      <w:pPr>
        <w:spacing w:line="312" w:lineRule="auto"/>
        <w:ind w:firstLine="421"/>
        <w:rPr>
          <w:rFonts w:ascii="宋体" w:hAnsi="宋体" w:cs="宋体"/>
          <w:sz w:val="24"/>
        </w:rPr>
      </w:pPr>
      <w:r>
        <w:rPr>
          <w:rFonts w:hint="eastAsia" w:ascii="宋体" w:hAnsi="宋体" w:cs="宋体"/>
          <w:sz w:val="24"/>
        </w:rPr>
        <w:t>保修期内需免费提供技术指导和维修服务，提供7*24小时响应机制，对运行报警状态进行及时发现和解决。</w:t>
      </w:r>
    </w:p>
    <w:p w14:paraId="7D66CC51">
      <w:pPr>
        <w:spacing w:line="312" w:lineRule="auto"/>
        <w:ind w:firstLine="421"/>
        <w:rPr>
          <w:rFonts w:ascii="宋体" w:hAnsi="宋体" w:cs="宋体"/>
          <w:sz w:val="24"/>
        </w:rPr>
      </w:pPr>
      <w:r>
        <w:rPr>
          <w:rFonts w:hint="eastAsia" w:ascii="宋体" w:hAnsi="宋体" w:cs="宋体"/>
          <w:b/>
          <w:bCs/>
          <w:sz w:val="24"/>
        </w:rPr>
        <w:t>实施地点：</w:t>
      </w:r>
      <w:r>
        <w:rPr>
          <w:rFonts w:hint="eastAsia" w:ascii="宋体" w:hAnsi="宋体" w:cs="宋体"/>
          <w:sz w:val="24"/>
        </w:rPr>
        <w:t>采购人指定地点；</w:t>
      </w:r>
    </w:p>
    <w:p w14:paraId="5F726CE5">
      <w:pPr>
        <w:spacing w:line="312" w:lineRule="auto"/>
        <w:ind w:firstLine="421"/>
        <w:rPr>
          <w:rFonts w:ascii="宋体" w:hAnsi="宋体" w:cs="宋体"/>
          <w:sz w:val="24"/>
        </w:rPr>
      </w:pPr>
      <w:r>
        <w:rPr>
          <w:rFonts w:hint="eastAsia" w:ascii="宋体" w:hAnsi="宋体" w:cs="宋体"/>
          <w:b/>
          <w:bCs/>
          <w:sz w:val="24"/>
        </w:rPr>
        <w:t>实施周期：</w:t>
      </w:r>
      <w:r>
        <w:rPr>
          <w:rFonts w:hint="eastAsia" w:ascii="宋体" w:hAnsi="宋体" w:cs="宋体"/>
          <w:spacing w:val="-6"/>
          <w:sz w:val="24"/>
          <w:lang w:bidi="ar"/>
        </w:rPr>
        <w:t>接采购人通知后</w:t>
      </w:r>
      <w:r>
        <w:rPr>
          <w:rFonts w:hint="eastAsia" w:ascii="宋体" w:hAnsi="宋体" w:cs="宋体"/>
          <w:spacing w:val="-6"/>
          <w:sz w:val="24"/>
          <w:lang w:val="en-US" w:eastAsia="zh-CN" w:bidi="ar"/>
        </w:rPr>
        <w:t>60</w:t>
      </w:r>
      <w:r>
        <w:rPr>
          <w:rFonts w:hint="eastAsia" w:ascii="宋体" w:hAnsi="宋体" w:cs="宋体"/>
          <w:spacing w:val="-6"/>
          <w:sz w:val="24"/>
          <w:lang w:bidi="ar"/>
        </w:rPr>
        <w:t>日历天内</w:t>
      </w:r>
      <w:r>
        <w:rPr>
          <w:rFonts w:hint="eastAsia" w:ascii="宋体" w:hAnsi="宋体" w:cs="宋体"/>
          <w:sz w:val="24"/>
        </w:rPr>
        <w:t>；</w:t>
      </w:r>
    </w:p>
    <w:p w14:paraId="38C67EE1">
      <w:pPr>
        <w:spacing w:line="312" w:lineRule="auto"/>
        <w:ind w:firstLine="241" w:firstLineChars="100"/>
        <w:rPr>
          <w:rFonts w:ascii="宋体" w:hAnsi="宋体" w:cs="宋体"/>
          <w:b/>
          <w:bCs/>
          <w:sz w:val="24"/>
        </w:rPr>
      </w:pPr>
      <w:r>
        <w:rPr>
          <w:rFonts w:hint="eastAsia" w:ascii="宋体" w:hAnsi="宋体" w:cs="宋体"/>
          <w:b/>
          <w:bCs/>
          <w:sz w:val="24"/>
        </w:rPr>
        <w:t>2、履约保证金</w:t>
      </w:r>
    </w:p>
    <w:p w14:paraId="62E67AB5">
      <w:pPr>
        <w:spacing w:line="312" w:lineRule="auto"/>
        <w:ind w:firstLine="421"/>
        <w:rPr>
          <w:rFonts w:ascii="宋体" w:hAnsi="宋体" w:cs="宋体"/>
          <w:sz w:val="24"/>
        </w:rPr>
      </w:pPr>
      <w:r>
        <w:rPr>
          <w:rFonts w:hint="eastAsia" w:ascii="宋体" w:hAnsi="宋体" w:cs="宋体"/>
          <w:sz w:val="24"/>
        </w:rPr>
        <w:t>本合同总价款的2%作为履约保证金，本合同签订后七个工作日内由成交供应商支付给采购人，质保期满后经采购人书面确认无质量问题、无售后服务问题和成交供应商无违约行为后，由采购人无息退回成交供应商（遇寒暑假及国定假日顺延）。</w:t>
      </w:r>
    </w:p>
    <w:p w14:paraId="0ED70342">
      <w:pPr>
        <w:spacing w:line="288" w:lineRule="auto"/>
        <w:ind w:firstLine="241" w:firstLineChars="100"/>
        <w:rPr>
          <w:rFonts w:ascii="宋体" w:hAnsi="宋体"/>
          <w:b/>
          <w:sz w:val="24"/>
          <w:szCs w:val="22"/>
        </w:rPr>
      </w:pPr>
      <w:r>
        <w:rPr>
          <w:rFonts w:hint="eastAsia" w:ascii="宋体" w:hAnsi="宋体" w:cs="宋体"/>
          <w:b/>
          <w:bCs/>
          <w:sz w:val="24"/>
        </w:rPr>
        <w:t>3、</w:t>
      </w:r>
      <w:bookmarkStart w:id="57" w:name="_Toc7996"/>
      <w:r>
        <w:rPr>
          <w:rFonts w:hint="eastAsia" w:ascii="宋体" w:hAnsi="宋体"/>
          <w:b/>
          <w:sz w:val="24"/>
          <w:szCs w:val="22"/>
        </w:rPr>
        <w:t>采购资金的支付方式、时间、条件</w:t>
      </w:r>
      <w:bookmarkEnd w:id="57"/>
    </w:p>
    <w:p w14:paraId="7AF8D64B">
      <w:pPr>
        <w:spacing w:line="312" w:lineRule="auto"/>
        <w:ind w:firstLine="421"/>
        <w:rPr>
          <w:rFonts w:ascii="宋体" w:hAnsi="宋体" w:cs="宋体"/>
          <w:sz w:val="24"/>
        </w:rPr>
      </w:pPr>
      <w:r>
        <w:rPr>
          <w:rFonts w:hint="eastAsia" w:ascii="宋体" w:hAnsi="宋体" w:cs="宋体"/>
          <w:sz w:val="24"/>
        </w:rPr>
        <w:t>成交供应商提交履约保证金和正规发票后，采购人向成交供应商支付本合同暂定总价的40%作为预付款。</w:t>
      </w:r>
    </w:p>
    <w:p w14:paraId="5348CD4E">
      <w:pPr>
        <w:spacing w:line="312" w:lineRule="auto"/>
        <w:ind w:firstLine="421"/>
        <w:rPr>
          <w:rFonts w:ascii="宋体" w:hAnsi="宋体" w:cs="宋体"/>
          <w:sz w:val="24"/>
        </w:rPr>
      </w:pPr>
      <w:r>
        <w:rPr>
          <w:rFonts w:hint="eastAsia" w:ascii="宋体" w:hAnsi="宋体" w:cs="宋体"/>
          <w:sz w:val="24"/>
        </w:rPr>
        <w:t>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3290B892">
      <w:pPr>
        <w:spacing w:line="312" w:lineRule="auto"/>
        <w:ind w:firstLine="421"/>
        <w:rPr>
          <w:rFonts w:ascii="宋体" w:hAnsi="宋体" w:cs="宋体"/>
          <w:sz w:val="24"/>
        </w:rPr>
      </w:pPr>
      <w:r>
        <w:rPr>
          <w:rFonts w:hint="eastAsia" w:ascii="宋体" w:hAnsi="宋体" w:cs="宋体"/>
          <w:sz w:val="24"/>
        </w:rPr>
        <w:t>注：本项目资金来源包括银校合作经费和学校资金，为按项目统一进行采购，保证项目实施进度，先按照项目总预算申报采购计划进行竞争性磋商方式采购，后期合同签订与支付时，根据工行最终审核确认的清单及金额分别签订合同及验收支付。</w:t>
      </w:r>
    </w:p>
    <w:p w14:paraId="4762B219">
      <w:pPr>
        <w:spacing w:line="312" w:lineRule="auto"/>
        <w:ind w:firstLine="241" w:firstLineChars="100"/>
        <w:rPr>
          <w:rFonts w:ascii="宋体" w:hAnsi="宋体" w:cs="宋体"/>
          <w:b/>
          <w:bCs/>
          <w:sz w:val="24"/>
        </w:rPr>
      </w:pPr>
      <w:r>
        <w:rPr>
          <w:rFonts w:hint="eastAsia" w:ascii="宋体" w:hAnsi="宋体" w:cs="宋体"/>
          <w:b/>
          <w:bCs/>
          <w:sz w:val="24"/>
        </w:rPr>
        <w:t>4、验收及培训</w:t>
      </w:r>
    </w:p>
    <w:p w14:paraId="67147BA0">
      <w:pPr>
        <w:spacing w:line="312" w:lineRule="auto"/>
        <w:ind w:firstLine="421"/>
        <w:rPr>
          <w:rFonts w:ascii="宋体" w:hAnsi="宋体" w:cs="宋体"/>
          <w:sz w:val="24"/>
        </w:rPr>
      </w:pPr>
      <w:r>
        <w:rPr>
          <w:rFonts w:hint="eastAsia" w:ascii="宋体" w:hAnsi="宋体" w:cs="宋体"/>
          <w:b/>
          <w:bCs/>
          <w:sz w:val="24"/>
        </w:rPr>
        <w:t>服务保障：</w:t>
      </w:r>
      <w:r>
        <w:rPr>
          <w:rFonts w:hint="eastAsia" w:ascii="宋体" w:hAnsi="宋体" w:cs="宋体"/>
          <w:sz w:val="24"/>
        </w:rPr>
        <w:t>供应商需具有完善的货物服务保障体系，最终供货地有本地服务能力、售后服务网点分布或直接设立的售后服务机构；配备有足够的、有相应资质的工程技术人员。</w:t>
      </w:r>
    </w:p>
    <w:p w14:paraId="47027F9D">
      <w:pPr>
        <w:spacing w:line="312" w:lineRule="auto"/>
        <w:ind w:firstLine="421"/>
        <w:rPr>
          <w:rFonts w:ascii="宋体" w:hAnsi="宋体" w:cs="宋体"/>
          <w:sz w:val="24"/>
        </w:rPr>
      </w:pPr>
      <w:r>
        <w:rPr>
          <w:rFonts w:hint="eastAsia" w:ascii="宋体" w:hAnsi="宋体" w:cs="宋体"/>
          <w:sz w:val="24"/>
        </w:rPr>
        <w:t>拟派项目负责人需为注册建造师，并提供相关证明资料。</w:t>
      </w:r>
    </w:p>
    <w:p w14:paraId="5718C74D">
      <w:pPr>
        <w:spacing w:line="312" w:lineRule="auto"/>
        <w:ind w:firstLine="421"/>
        <w:rPr>
          <w:rFonts w:ascii="宋体" w:hAnsi="宋体" w:cs="宋体"/>
          <w:sz w:val="24"/>
        </w:rPr>
      </w:pPr>
      <w:r>
        <w:rPr>
          <w:rFonts w:hint="eastAsia" w:ascii="宋体" w:hAnsi="宋体" w:cs="宋体"/>
          <w:b/>
          <w:bCs/>
          <w:sz w:val="24"/>
        </w:rPr>
        <w:t>到货验收：</w:t>
      </w:r>
      <w:r>
        <w:rPr>
          <w:rFonts w:hint="eastAsia" w:ascii="宋体" w:hAnsi="宋体" w:cs="宋体"/>
          <w:sz w:val="24"/>
        </w:rPr>
        <w:t>系统到货前应将安装环境要求书面通知给用户，并与采购人协商足够准备时间。到货时需按采购人要求免费将设备在双方商定的时间运到指定安装位置，并由系统安装工程师当场开箱检查。</w:t>
      </w:r>
    </w:p>
    <w:p w14:paraId="19D73069">
      <w:pPr>
        <w:spacing w:line="312" w:lineRule="auto"/>
        <w:ind w:firstLine="421"/>
        <w:rPr>
          <w:rFonts w:ascii="宋体" w:hAnsi="宋体" w:cs="宋体"/>
          <w:sz w:val="24"/>
        </w:rPr>
      </w:pPr>
      <w:r>
        <w:rPr>
          <w:rFonts w:hint="eastAsia" w:ascii="宋体" w:hAnsi="宋体" w:cs="宋体"/>
          <w:sz w:val="24"/>
        </w:rPr>
        <w:t>到货后，采购人对货物的品牌、数量、包装等方面进行验收。供应商提供的所有单独包装的货物均应具有原始的完好的标准包装。如遇交付前已拆封的货物，采购人有权拒绝或要求更换。</w:t>
      </w:r>
    </w:p>
    <w:p w14:paraId="688487AB">
      <w:pPr>
        <w:spacing w:line="312" w:lineRule="auto"/>
        <w:ind w:firstLine="421"/>
        <w:rPr>
          <w:rFonts w:ascii="宋体" w:hAnsi="宋体" w:cs="宋体"/>
          <w:sz w:val="24"/>
        </w:rPr>
      </w:pPr>
      <w:r>
        <w:rPr>
          <w:rFonts w:hint="eastAsia" w:ascii="宋体" w:hAnsi="宋体" w:cs="宋体"/>
          <w:sz w:val="24"/>
        </w:rPr>
        <w:t>设备的表观应完好（有无受潮、锈蚀、损伤等），备品备件齐全（列出清单、数量），使用说明书、技术资料齐全，设备名称、型号规格配置等应与合同相符。</w:t>
      </w:r>
    </w:p>
    <w:p w14:paraId="387A8D50">
      <w:pPr>
        <w:spacing w:line="312" w:lineRule="auto"/>
        <w:ind w:firstLine="421"/>
        <w:rPr>
          <w:rFonts w:ascii="宋体" w:hAnsi="宋体" w:cs="宋体"/>
          <w:sz w:val="24"/>
        </w:rPr>
      </w:pPr>
      <w:r>
        <w:rPr>
          <w:rFonts w:hint="eastAsia" w:ascii="宋体" w:hAnsi="宋体" w:cs="宋体"/>
          <w:b/>
          <w:bCs/>
          <w:sz w:val="24"/>
        </w:rPr>
        <w:t>安装调试：</w:t>
      </w:r>
      <w:r>
        <w:rPr>
          <w:rFonts w:hint="eastAsia" w:ascii="宋体" w:hAnsi="宋体" w:cs="宋体"/>
          <w:sz w:val="24"/>
        </w:rPr>
        <w:t>供应商根据采购人现有安装条件具体设计。设备到货后5～10个工作日，在采购人通知后专职工程师免费上门安装、调试。由采购人单位进行使用性能方面的确认，设备的性能应符合投标人应答文件中承诺的技术指标。</w:t>
      </w:r>
    </w:p>
    <w:p w14:paraId="21BACFF5">
      <w:pPr>
        <w:spacing w:line="312" w:lineRule="auto"/>
        <w:ind w:firstLine="421"/>
        <w:rPr>
          <w:rFonts w:ascii="宋体" w:hAnsi="宋体" w:cs="宋体"/>
          <w:sz w:val="24"/>
        </w:rPr>
      </w:pPr>
      <w:r>
        <w:rPr>
          <w:rFonts w:hint="eastAsia" w:ascii="宋体" w:hAnsi="宋体" w:cs="宋体"/>
          <w:b/>
          <w:bCs/>
          <w:sz w:val="24"/>
        </w:rPr>
        <w:t>培训：</w:t>
      </w:r>
      <w:r>
        <w:rPr>
          <w:rFonts w:hint="eastAsia" w:ascii="宋体" w:hAnsi="宋体" w:cs="宋体"/>
          <w:sz w:val="24"/>
        </w:rPr>
        <w:t>安装调试之后，应用工程师将到采购人现场进行现场免费培训，培训内容为仪器构成、维护、工作原理、基本操作、方法建立及应用等，直至采购人掌握怎样使用设备为止。</w:t>
      </w:r>
    </w:p>
    <w:p w14:paraId="09F9B67A">
      <w:pPr>
        <w:spacing w:line="312" w:lineRule="auto"/>
        <w:ind w:firstLine="421"/>
        <w:rPr>
          <w:rFonts w:ascii="宋体" w:hAnsi="宋体" w:cs="宋体"/>
          <w:sz w:val="24"/>
        </w:rPr>
      </w:pPr>
      <w:r>
        <w:rPr>
          <w:rFonts w:hint="eastAsia" w:ascii="宋体" w:hAnsi="宋体" w:cs="宋体"/>
          <w:b/>
          <w:bCs/>
          <w:sz w:val="24"/>
        </w:rPr>
        <w:t>验收：</w:t>
      </w:r>
      <w:r>
        <w:rPr>
          <w:rFonts w:hint="eastAsia" w:ascii="宋体" w:hAnsi="宋体" w:cs="宋体"/>
          <w:sz w:val="24"/>
        </w:rPr>
        <w:t>采购人将组织相关人员及专家对采购项目进行验收，验收标准按照采购文件、中标人投标文件及国家相关规范进行，验收意见作为验收书的参考资料存档备查，验收将严格按照采购文件的规定和投标文件的响应及承诺执行。</w:t>
      </w:r>
    </w:p>
    <w:p w14:paraId="6FA4DA5A">
      <w:pPr>
        <w:spacing w:line="312" w:lineRule="auto"/>
        <w:ind w:firstLine="421"/>
        <w:rPr>
          <w:rFonts w:ascii="宋体" w:hAnsi="宋体" w:cs="宋体"/>
          <w:sz w:val="24"/>
        </w:rPr>
      </w:pPr>
      <w:r>
        <w:rPr>
          <w:rFonts w:hint="eastAsia" w:ascii="宋体" w:hAnsi="宋体" w:cs="宋体"/>
          <w:b/>
          <w:bCs/>
          <w:sz w:val="24"/>
        </w:rPr>
        <w:t>维修服务体系：</w:t>
      </w:r>
      <w:r>
        <w:rPr>
          <w:rFonts w:hint="eastAsia" w:ascii="宋体" w:hAnsi="宋体" w:cs="宋体"/>
          <w:sz w:val="24"/>
        </w:rPr>
        <w:t>供应商需</w:t>
      </w:r>
      <w:r>
        <w:rPr>
          <w:rFonts w:hint="eastAsia" w:ascii="宋体" w:hAnsi="宋体" w:cs="宋体"/>
          <w:bCs/>
          <w:sz w:val="24"/>
        </w:rPr>
        <w:t>提供完善的售后服务方案（内容可包括但不限于投标人提供400或800免费售后服务呼叫中心、现场服务支持能力、售后巡检、培训相关内容等），对项目售后服务方案内容，</w:t>
      </w:r>
      <w:r>
        <w:rPr>
          <w:rFonts w:hint="eastAsia" w:ascii="宋体" w:hAnsi="宋体" w:cs="宋体"/>
          <w:sz w:val="24"/>
        </w:rPr>
        <w:t>具有完整、全面、合理的维修服务体系，质保期内提供售后服务，不收取任何配件及人工费用，且应在接到报修信息后，24小时内到达维修现场，延误时间则顺延质保期。</w:t>
      </w:r>
    </w:p>
    <w:p w14:paraId="60F71FC1">
      <w:pPr>
        <w:spacing w:line="360" w:lineRule="auto"/>
        <w:outlineLvl w:val="1"/>
        <w:rPr>
          <w:rFonts w:ascii="宋体" w:hAnsi="宋体" w:cs="宋体"/>
          <w:b/>
          <w:bCs/>
          <w:sz w:val="28"/>
          <w:szCs w:val="28"/>
        </w:rPr>
      </w:pPr>
      <w:bookmarkStart w:id="58" w:name="_Toc356"/>
      <w:r>
        <w:rPr>
          <w:rFonts w:hint="eastAsia" w:ascii="宋体" w:hAnsi="宋体" w:cs="宋体"/>
          <w:b/>
          <w:bCs/>
          <w:sz w:val="28"/>
          <w:szCs w:val="28"/>
        </w:rPr>
        <w:t>三、重要说明</w:t>
      </w:r>
      <w:bookmarkEnd w:id="58"/>
    </w:p>
    <w:p w14:paraId="7D81A929">
      <w:pPr>
        <w:spacing w:line="312" w:lineRule="auto"/>
        <w:ind w:firstLine="421"/>
        <w:rPr>
          <w:rFonts w:ascii="宋体" w:hAnsi="宋体" w:cs="宋体"/>
          <w:bCs/>
          <w:sz w:val="24"/>
        </w:rPr>
      </w:pPr>
      <w:r>
        <w:rPr>
          <w:rFonts w:hint="eastAsia" w:ascii="宋体" w:hAnsi="宋体" w:cs="宋体"/>
          <w:bCs/>
          <w:sz w:val="24"/>
        </w:rPr>
        <w:t>1.供应商必须根据采购人提供的信息予以响应，质量必须达到或高于采购的要求。</w:t>
      </w:r>
    </w:p>
    <w:p w14:paraId="512A381F">
      <w:pPr>
        <w:spacing w:line="312" w:lineRule="auto"/>
        <w:ind w:firstLine="421"/>
        <w:rPr>
          <w:rFonts w:ascii="宋体" w:hAnsi="宋体" w:cs="宋体"/>
          <w:bCs/>
          <w:sz w:val="24"/>
        </w:rPr>
      </w:pPr>
      <w:r>
        <w:rPr>
          <w:rFonts w:hint="eastAsia" w:ascii="宋体" w:hAnsi="宋体" w:cs="宋体"/>
          <w:bCs/>
          <w:sz w:val="24"/>
        </w:rPr>
        <w:t>2.采购文件中的技术参数只是采购人提出的一些原则性参数，并不是详尽的要求，供应商有责任完善所提供产品的品牌、参数说明或相关技术规格。</w:t>
      </w:r>
    </w:p>
    <w:p w14:paraId="78754607">
      <w:pPr>
        <w:spacing w:line="312" w:lineRule="auto"/>
        <w:ind w:firstLine="421"/>
        <w:rPr>
          <w:rFonts w:ascii="宋体" w:hAnsi="宋体" w:cs="宋体"/>
          <w:bCs/>
          <w:sz w:val="24"/>
        </w:rPr>
      </w:pPr>
      <w:r>
        <w:rPr>
          <w:rFonts w:hint="eastAsia" w:ascii="宋体" w:hAnsi="宋体" w:cs="宋体"/>
          <w:bCs/>
          <w:sz w:val="24"/>
        </w:rPr>
        <w:t>3.供应商提供的产品在使用过程中因质量问题影响采购人的正常使用，要负相应责任，并向采购人赔偿损失，采购人有权向相关管理部门进行投诉。</w:t>
      </w:r>
    </w:p>
    <w:p w14:paraId="5753D3D2">
      <w:pPr>
        <w:spacing w:line="312" w:lineRule="auto"/>
        <w:ind w:firstLine="421"/>
        <w:rPr>
          <w:rFonts w:ascii="宋体" w:hAnsi="宋体" w:cs="宋体"/>
          <w:bCs/>
          <w:sz w:val="24"/>
        </w:rPr>
      </w:pPr>
      <w:r>
        <w:rPr>
          <w:rFonts w:hint="eastAsia" w:ascii="宋体" w:hAnsi="宋体" w:cs="宋体"/>
          <w:bCs/>
          <w:sz w:val="24"/>
        </w:rPr>
        <w:t>4.供应商须保证所提供的产品包括相关附件为相应厂家原装正品，符合国家有关规定。供应商须保证所提供产品具有合法的版权或使用权，应由供应商负责，采购人和代理机构不承担责任。</w:t>
      </w:r>
    </w:p>
    <w:p w14:paraId="0AE01A83">
      <w:pPr>
        <w:spacing w:line="312" w:lineRule="auto"/>
        <w:ind w:firstLine="421"/>
        <w:rPr>
          <w:rFonts w:ascii="宋体" w:hAnsi="宋体" w:cs="宋体"/>
          <w:bCs/>
          <w:sz w:val="24"/>
        </w:rPr>
      </w:pPr>
      <w:r>
        <w:rPr>
          <w:rFonts w:hint="eastAsia" w:ascii="宋体" w:hAnsi="宋体" w:cs="宋体"/>
          <w:bCs/>
          <w:sz w:val="24"/>
        </w:rPr>
        <w:t>5.项目实施完成后，供应商提交一份完整的产品安装验收单或验收报告，由项目单位进行验收。成交供应商达不到采购人要求及各项服务承诺，采购人有权要求其整改，直至扣款或终止合同。</w:t>
      </w:r>
    </w:p>
    <w:p w14:paraId="0D77C7F1">
      <w:pPr>
        <w:spacing w:line="312" w:lineRule="auto"/>
        <w:ind w:firstLine="421"/>
        <w:rPr>
          <w:rFonts w:ascii="宋体" w:hAnsi="宋体" w:cs="宋体"/>
          <w:b/>
          <w:sz w:val="24"/>
        </w:rPr>
      </w:pPr>
      <w:r>
        <w:rPr>
          <w:rFonts w:hint="eastAsia" w:ascii="宋体" w:hAnsi="宋体" w:cs="宋体"/>
          <w:b/>
          <w:sz w:val="24"/>
        </w:rPr>
        <w:t>6.供应商应确保智慧食堂管理软件与采购人现有相关系统、浙江省教育厅采供智治系统实现无缝对接，并提供完整的对接技术方案，按约定开放接口和源代码，包括但不限于数据交互协议、接口调用逻辑、错误处理机制等。</w:t>
      </w:r>
    </w:p>
    <w:p w14:paraId="0A4025F5">
      <w:pPr>
        <w:pStyle w:val="24"/>
        <w:outlineLvl w:val="1"/>
        <w:rPr>
          <w:b/>
          <w:bCs/>
          <w:sz w:val="28"/>
          <w:szCs w:val="22"/>
          <w:lang w:val="en-US"/>
        </w:rPr>
      </w:pPr>
      <w:bookmarkStart w:id="59" w:name="_Toc11524"/>
      <w:r>
        <w:rPr>
          <w:rFonts w:hint="eastAsia"/>
          <w:b/>
          <w:bCs/>
          <w:sz w:val="28"/>
          <w:szCs w:val="22"/>
          <w:lang w:val="en-US"/>
        </w:rPr>
        <w:t>四、民事责任</w:t>
      </w:r>
      <w:bookmarkEnd w:id="59"/>
    </w:p>
    <w:p w14:paraId="442EA9AB">
      <w:pPr>
        <w:pStyle w:val="24"/>
        <w:ind w:firstLine="480" w:firstLineChars="200"/>
        <w:rPr>
          <w:lang w:val="en-US"/>
        </w:rPr>
      </w:pPr>
      <w:r>
        <w:rPr>
          <w:rFonts w:hint="eastAsia"/>
          <w:lang w:val="en-US"/>
        </w:rPr>
        <w:t>1</w:t>
      </w:r>
      <w:r>
        <w:rPr>
          <w:rFonts w:hint="eastAsia"/>
          <w:lang w:val="en-US" w:eastAsia="zh-CN"/>
        </w:rPr>
        <w:t>.</w:t>
      </w:r>
      <w:r>
        <w:rPr>
          <w:rFonts w:hint="eastAsia"/>
          <w:lang w:val="en-US"/>
        </w:rPr>
        <w:t>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2D9290F0">
      <w:pPr>
        <w:pStyle w:val="24"/>
        <w:ind w:firstLine="480" w:firstLineChars="200"/>
        <w:rPr>
          <w:lang w:val="en-US"/>
        </w:rPr>
      </w:pPr>
      <w:r>
        <w:rPr>
          <w:rFonts w:hint="eastAsia"/>
          <w:lang w:val="en-US"/>
        </w:rPr>
        <w:t>2</w:t>
      </w:r>
      <w:r>
        <w:rPr>
          <w:rFonts w:hint="eastAsia"/>
          <w:lang w:val="en-US" w:eastAsia="zh-CN"/>
        </w:rPr>
        <w:t>.</w:t>
      </w:r>
      <w:r>
        <w:rPr>
          <w:rFonts w:hint="eastAsia"/>
          <w:lang w:val="en-US"/>
        </w:rPr>
        <w:t>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699B817F">
      <w:pPr>
        <w:pStyle w:val="24"/>
        <w:ind w:firstLine="480" w:firstLineChars="200"/>
        <w:rPr>
          <w:rFonts w:hAnsi="宋体" w:cs="宋体"/>
          <w:b/>
          <w:lang w:val="en-US"/>
        </w:rPr>
      </w:pPr>
      <w:r>
        <w:rPr>
          <w:rFonts w:hint="eastAsia"/>
          <w:lang w:val="en-US"/>
        </w:rPr>
        <w:t>3</w:t>
      </w:r>
      <w:r>
        <w:rPr>
          <w:rFonts w:hint="eastAsia"/>
          <w:lang w:val="en-US" w:eastAsia="zh-CN"/>
        </w:rPr>
        <w:t>.</w:t>
      </w:r>
      <w:r>
        <w:rPr>
          <w:rFonts w:hint="eastAsia"/>
          <w:lang w:val="en-US"/>
        </w:rPr>
        <w:t>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1F79B8EC">
      <w:pPr>
        <w:pStyle w:val="60"/>
        <w:ind w:firstLine="0"/>
        <w:outlineLvl w:val="1"/>
        <w:rPr>
          <w:b/>
          <w:sz w:val="28"/>
          <w:szCs w:val="21"/>
          <w:lang w:val="en-US"/>
        </w:rPr>
      </w:pPr>
      <w:bookmarkStart w:id="60" w:name="_Toc4688"/>
      <w:r>
        <w:rPr>
          <w:rFonts w:hint="eastAsia" w:hAnsi="宋体" w:cs="宋体"/>
          <w:b/>
          <w:color w:val="000000" w:themeColor="text1"/>
          <w:sz w:val="28"/>
          <w:szCs w:val="21"/>
          <w:lang w:val="en-US"/>
          <w14:textFill>
            <w14:solidFill>
              <w14:schemeClr w14:val="tx1"/>
            </w14:solidFill>
          </w14:textFill>
        </w:rPr>
        <w:t>五、其他详见合同条款</w:t>
      </w:r>
      <w:bookmarkEnd w:id="60"/>
    </w:p>
    <w:p w14:paraId="269C288A">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16F8779C">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61" w:name="_Toc23702"/>
      <w:r>
        <w:rPr>
          <w:rFonts w:hint="eastAsia" w:ascii="宋体" w:hAnsi="宋体" w:cs="宋体"/>
          <w:b/>
          <w:color w:val="000000" w:themeColor="text1"/>
          <w:sz w:val="36"/>
          <w:szCs w:val="20"/>
          <w14:textFill>
            <w14:solidFill>
              <w14:schemeClr w14:val="tx1"/>
            </w14:solidFill>
          </w14:textFill>
        </w:rPr>
        <w:t>第四部分</w:t>
      </w:r>
      <w:bookmarkStart w:id="62" w:name="_Toc184308059"/>
      <w:bookmarkEnd w:id="62"/>
      <w:bookmarkStart w:id="63" w:name="_Toc184310282"/>
      <w:bookmarkEnd w:id="63"/>
      <w:bookmarkStart w:id="64" w:name="_Toc184313239"/>
      <w:bookmarkEnd w:id="64"/>
      <w:bookmarkStart w:id="65" w:name="_Toc184310327"/>
      <w:bookmarkEnd w:id="65"/>
      <w:bookmarkStart w:id="66" w:name="_Toc184308089"/>
      <w:bookmarkEnd w:id="66"/>
      <w:bookmarkStart w:id="67" w:name="_Toc184314412"/>
      <w:bookmarkEnd w:id="67"/>
      <w:bookmarkStart w:id="68" w:name="_Toc184310298"/>
      <w:bookmarkEnd w:id="68"/>
      <w:bookmarkStart w:id="69" w:name="_Toc184308091"/>
      <w:bookmarkEnd w:id="69"/>
      <w:bookmarkStart w:id="70" w:name="_Toc184308065"/>
      <w:bookmarkEnd w:id="70"/>
      <w:bookmarkStart w:id="71" w:name="_Toc184313300"/>
      <w:bookmarkEnd w:id="71"/>
      <w:bookmarkStart w:id="72" w:name="_Toc184312095"/>
      <w:bookmarkEnd w:id="72"/>
      <w:bookmarkStart w:id="73" w:name="_Toc184312118"/>
      <w:bookmarkEnd w:id="73"/>
      <w:bookmarkStart w:id="74" w:name="_Toc184313301"/>
      <w:bookmarkEnd w:id="74"/>
      <w:bookmarkStart w:id="75" w:name="_Toc184313264"/>
      <w:bookmarkEnd w:id="75"/>
      <w:bookmarkStart w:id="76" w:name="_Toc184313310"/>
      <w:bookmarkEnd w:id="76"/>
      <w:bookmarkStart w:id="77" w:name="_Toc184314446"/>
      <w:bookmarkEnd w:id="77"/>
      <w:bookmarkStart w:id="78" w:name="_Toc184313267"/>
      <w:bookmarkEnd w:id="78"/>
      <w:bookmarkStart w:id="79" w:name="_Toc184308069"/>
      <w:bookmarkEnd w:id="79"/>
      <w:bookmarkStart w:id="80" w:name="_Toc184313272"/>
      <w:bookmarkEnd w:id="80"/>
      <w:bookmarkStart w:id="81" w:name="_Toc184313258"/>
      <w:bookmarkEnd w:id="81"/>
      <w:bookmarkStart w:id="82" w:name="_Toc184310303"/>
      <w:bookmarkEnd w:id="82"/>
      <w:bookmarkStart w:id="83" w:name="_Toc184308071"/>
      <w:bookmarkEnd w:id="83"/>
      <w:bookmarkStart w:id="84" w:name="_Toc184308067"/>
      <w:bookmarkEnd w:id="84"/>
      <w:bookmarkStart w:id="85" w:name="_Toc184314426"/>
      <w:bookmarkEnd w:id="85"/>
      <w:bookmarkStart w:id="86" w:name="_Toc184313240"/>
      <w:bookmarkEnd w:id="86"/>
      <w:bookmarkStart w:id="87" w:name="_Toc184314444"/>
      <w:bookmarkEnd w:id="87"/>
      <w:bookmarkStart w:id="88" w:name="_Toc184310337"/>
      <w:bookmarkEnd w:id="88"/>
      <w:bookmarkStart w:id="89" w:name="_Toc184308040"/>
      <w:bookmarkEnd w:id="89"/>
      <w:bookmarkStart w:id="90" w:name="_Toc184314479"/>
      <w:bookmarkEnd w:id="90"/>
      <w:bookmarkStart w:id="91" w:name="_Toc184314453"/>
      <w:bookmarkEnd w:id="91"/>
      <w:bookmarkStart w:id="92" w:name="_Toc184310318"/>
      <w:bookmarkEnd w:id="92"/>
      <w:bookmarkStart w:id="93" w:name="_Toc184312080"/>
      <w:bookmarkEnd w:id="93"/>
      <w:bookmarkStart w:id="94" w:name="_Toc184310296"/>
      <w:bookmarkEnd w:id="94"/>
      <w:bookmarkStart w:id="95" w:name="_Toc184313303"/>
      <w:bookmarkEnd w:id="95"/>
      <w:bookmarkStart w:id="96" w:name="_Toc184313295"/>
      <w:bookmarkEnd w:id="96"/>
      <w:bookmarkStart w:id="97" w:name="_Toc184308096"/>
      <w:bookmarkEnd w:id="97"/>
      <w:bookmarkStart w:id="98" w:name="_Toc184314452"/>
      <w:bookmarkEnd w:id="98"/>
      <w:bookmarkStart w:id="99" w:name="_Toc184310290"/>
      <w:bookmarkEnd w:id="99"/>
      <w:bookmarkStart w:id="100" w:name="_Toc184310311"/>
      <w:bookmarkEnd w:id="100"/>
      <w:bookmarkStart w:id="101" w:name="_Toc184308041"/>
      <w:bookmarkEnd w:id="101"/>
      <w:bookmarkStart w:id="102" w:name="_Toc184312139"/>
      <w:bookmarkEnd w:id="102"/>
      <w:bookmarkStart w:id="103" w:name="_Toc184314427"/>
      <w:bookmarkEnd w:id="103"/>
      <w:bookmarkStart w:id="104" w:name="_Toc184310280"/>
      <w:bookmarkEnd w:id="104"/>
      <w:bookmarkStart w:id="105" w:name="_Toc184310313"/>
      <w:bookmarkEnd w:id="105"/>
      <w:bookmarkStart w:id="106" w:name="_Toc184308060"/>
      <w:bookmarkEnd w:id="106"/>
      <w:bookmarkStart w:id="107" w:name="_Toc184308076"/>
      <w:bookmarkEnd w:id="107"/>
      <w:bookmarkStart w:id="108" w:name="_Toc184313273"/>
      <w:bookmarkEnd w:id="108"/>
      <w:bookmarkStart w:id="109" w:name="_Toc184310281"/>
      <w:bookmarkEnd w:id="109"/>
      <w:bookmarkStart w:id="110" w:name="_Toc184310283"/>
      <w:bookmarkEnd w:id="110"/>
      <w:bookmarkStart w:id="111" w:name="_Toc184308099"/>
      <w:bookmarkEnd w:id="111"/>
      <w:bookmarkStart w:id="112" w:name="_Toc184310331"/>
      <w:bookmarkEnd w:id="112"/>
      <w:bookmarkStart w:id="113" w:name="_Toc184308050"/>
      <w:bookmarkEnd w:id="113"/>
      <w:bookmarkStart w:id="114" w:name="_Toc184310336"/>
      <w:bookmarkEnd w:id="114"/>
      <w:bookmarkStart w:id="115" w:name="_Toc184314434"/>
      <w:bookmarkEnd w:id="115"/>
      <w:bookmarkStart w:id="116" w:name="_Toc184310310"/>
      <w:bookmarkEnd w:id="116"/>
      <w:bookmarkStart w:id="117" w:name="_Toc184314422"/>
      <w:bookmarkEnd w:id="117"/>
      <w:bookmarkStart w:id="118" w:name="_Toc184310300"/>
      <w:bookmarkEnd w:id="118"/>
      <w:bookmarkStart w:id="119" w:name="_Toc184312125"/>
      <w:bookmarkEnd w:id="119"/>
      <w:bookmarkStart w:id="120" w:name="_Toc184312085"/>
      <w:bookmarkEnd w:id="120"/>
      <w:bookmarkStart w:id="121" w:name="_Toc184312084"/>
      <w:bookmarkEnd w:id="121"/>
      <w:bookmarkStart w:id="122" w:name="_Toc184314445"/>
      <w:bookmarkEnd w:id="122"/>
      <w:bookmarkStart w:id="123" w:name="_Toc184312072"/>
      <w:bookmarkEnd w:id="123"/>
      <w:bookmarkStart w:id="124" w:name="_Toc184313251"/>
      <w:bookmarkEnd w:id="124"/>
      <w:bookmarkStart w:id="125" w:name="_Toc184313306"/>
      <w:bookmarkEnd w:id="125"/>
      <w:bookmarkStart w:id="126" w:name="_Toc184310344"/>
      <w:bookmarkEnd w:id="126"/>
      <w:bookmarkStart w:id="127" w:name="_Toc184313282"/>
      <w:bookmarkEnd w:id="127"/>
      <w:bookmarkStart w:id="128" w:name="_Toc184308077"/>
      <w:bookmarkEnd w:id="128"/>
      <w:bookmarkStart w:id="129" w:name="_Toc184308042"/>
      <w:bookmarkEnd w:id="129"/>
      <w:bookmarkStart w:id="130" w:name="_Toc184308072"/>
      <w:bookmarkEnd w:id="130"/>
      <w:bookmarkStart w:id="131" w:name="_Toc184314423"/>
      <w:bookmarkEnd w:id="131"/>
      <w:bookmarkStart w:id="132" w:name="_Toc184312075"/>
      <w:bookmarkEnd w:id="132"/>
      <w:bookmarkStart w:id="133" w:name="_Toc184310301"/>
      <w:bookmarkEnd w:id="133"/>
      <w:bookmarkStart w:id="134" w:name="_Toc184314463"/>
      <w:bookmarkEnd w:id="134"/>
      <w:bookmarkStart w:id="135" w:name="_Toc184314424"/>
      <w:bookmarkEnd w:id="135"/>
      <w:bookmarkStart w:id="136" w:name="_Toc184313262"/>
      <w:bookmarkEnd w:id="136"/>
      <w:bookmarkStart w:id="137" w:name="_Toc184312083"/>
      <w:bookmarkEnd w:id="137"/>
      <w:bookmarkStart w:id="138" w:name="_Toc184310308"/>
      <w:bookmarkEnd w:id="138"/>
      <w:bookmarkStart w:id="139" w:name="_Toc184308039"/>
      <w:bookmarkEnd w:id="139"/>
      <w:bookmarkStart w:id="140" w:name="_Toc184314481"/>
      <w:bookmarkEnd w:id="140"/>
      <w:bookmarkStart w:id="141" w:name="_Toc184310279"/>
      <w:bookmarkEnd w:id="141"/>
      <w:bookmarkStart w:id="142" w:name="_Toc184310321"/>
      <w:bookmarkEnd w:id="142"/>
      <w:bookmarkStart w:id="143" w:name="_Toc184312086"/>
      <w:bookmarkEnd w:id="143"/>
      <w:bookmarkStart w:id="144" w:name="_Toc184312132"/>
      <w:bookmarkEnd w:id="144"/>
      <w:bookmarkStart w:id="145" w:name="_Toc184308079"/>
      <w:bookmarkEnd w:id="145"/>
      <w:bookmarkStart w:id="146" w:name="_Toc184308078"/>
      <w:bookmarkEnd w:id="146"/>
      <w:bookmarkStart w:id="147" w:name="_Toc184313285"/>
      <w:bookmarkEnd w:id="147"/>
      <w:bookmarkStart w:id="148" w:name="_Toc184312078"/>
      <w:bookmarkEnd w:id="148"/>
      <w:bookmarkStart w:id="149" w:name="_Toc184308048"/>
      <w:bookmarkEnd w:id="149"/>
      <w:bookmarkStart w:id="150" w:name="_Toc184313302"/>
      <w:bookmarkEnd w:id="150"/>
      <w:bookmarkStart w:id="151" w:name="_Toc184313280"/>
      <w:bookmarkEnd w:id="151"/>
      <w:bookmarkStart w:id="152" w:name="_Toc184314467"/>
      <w:bookmarkEnd w:id="152"/>
      <w:bookmarkStart w:id="153" w:name="_Toc184308101"/>
      <w:bookmarkEnd w:id="153"/>
      <w:bookmarkStart w:id="154" w:name="_Toc184313278"/>
      <w:bookmarkEnd w:id="154"/>
      <w:bookmarkStart w:id="155" w:name="_Toc184314449"/>
      <w:bookmarkEnd w:id="155"/>
      <w:bookmarkStart w:id="156" w:name="_Toc184310322"/>
      <w:bookmarkEnd w:id="156"/>
      <w:bookmarkStart w:id="157" w:name="_Toc184312136"/>
      <w:bookmarkEnd w:id="157"/>
      <w:bookmarkStart w:id="158" w:name="_Toc184313253"/>
      <w:bookmarkEnd w:id="158"/>
      <w:bookmarkStart w:id="159" w:name="_Toc184313296"/>
      <w:bookmarkEnd w:id="159"/>
      <w:bookmarkStart w:id="160" w:name="_Toc184310289"/>
      <w:bookmarkEnd w:id="160"/>
      <w:bookmarkStart w:id="161" w:name="_Toc184310343"/>
      <w:bookmarkEnd w:id="161"/>
      <w:bookmarkStart w:id="162" w:name="_Toc184312116"/>
      <w:bookmarkEnd w:id="162"/>
      <w:bookmarkStart w:id="163" w:name="_Toc184314474"/>
      <w:bookmarkEnd w:id="163"/>
      <w:bookmarkStart w:id="164" w:name="_Toc184314416"/>
      <w:bookmarkEnd w:id="164"/>
      <w:bookmarkStart w:id="165" w:name="_Toc184308054"/>
      <w:bookmarkEnd w:id="165"/>
      <w:bookmarkStart w:id="166" w:name="_Toc184308037"/>
      <w:bookmarkEnd w:id="166"/>
      <w:bookmarkStart w:id="167" w:name="_Toc184310294"/>
      <w:bookmarkEnd w:id="167"/>
      <w:bookmarkStart w:id="168" w:name="_Toc184312134"/>
      <w:bookmarkEnd w:id="168"/>
      <w:bookmarkStart w:id="169" w:name="_Toc184312130"/>
      <w:bookmarkEnd w:id="169"/>
      <w:bookmarkStart w:id="170" w:name="_Toc184310338"/>
      <w:bookmarkEnd w:id="170"/>
      <w:bookmarkStart w:id="171" w:name="_Toc184313299"/>
      <w:bookmarkEnd w:id="171"/>
      <w:bookmarkStart w:id="172" w:name="_Toc184314443"/>
      <w:bookmarkEnd w:id="172"/>
      <w:bookmarkStart w:id="173" w:name="_Toc184313286"/>
      <w:bookmarkEnd w:id="173"/>
      <w:bookmarkStart w:id="174" w:name="_Toc184314460"/>
      <w:bookmarkEnd w:id="174"/>
      <w:bookmarkStart w:id="175" w:name="_Toc184310326"/>
      <w:bookmarkEnd w:id="175"/>
      <w:bookmarkStart w:id="176" w:name="_Toc184312068"/>
      <w:bookmarkEnd w:id="176"/>
      <w:bookmarkStart w:id="177" w:name="_Toc184310291"/>
      <w:bookmarkEnd w:id="177"/>
      <w:bookmarkStart w:id="178" w:name="_Toc184314431"/>
      <w:bookmarkEnd w:id="178"/>
      <w:bookmarkStart w:id="179" w:name="_Toc184308084"/>
      <w:bookmarkEnd w:id="179"/>
      <w:bookmarkStart w:id="180" w:name="_Toc184310276"/>
      <w:bookmarkEnd w:id="180"/>
      <w:bookmarkStart w:id="181" w:name="_Toc184313287"/>
      <w:bookmarkEnd w:id="181"/>
      <w:bookmarkStart w:id="182" w:name="_Toc184313304"/>
      <w:bookmarkEnd w:id="182"/>
      <w:bookmarkStart w:id="183" w:name="_Toc184313307"/>
      <w:bookmarkEnd w:id="183"/>
      <w:bookmarkStart w:id="184" w:name="_Toc184310334"/>
      <w:bookmarkEnd w:id="184"/>
      <w:bookmarkStart w:id="185" w:name="_Toc184312121"/>
      <w:bookmarkEnd w:id="185"/>
      <w:bookmarkStart w:id="186" w:name="_Toc184312129"/>
      <w:bookmarkEnd w:id="186"/>
      <w:bookmarkStart w:id="187" w:name="_Toc184314419"/>
      <w:bookmarkEnd w:id="187"/>
      <w:bookmarkStart w:id="188" w:name="_Toc184314448"/>
      <w:bookmarkEnd w:id="188"/>
      <w:bookmarkStart w:id="189" w:name="_Toc184308108"/>
      <w:bookmarkEnd w:id="189"/>
      <w:bookmarkStart w:id="190" w:name="_Toc184314457"/>
      <w:bookmarkEnd w:id="190"/>
      <w:bookmarkStart w:id="191" w:name="_Toc184308061"/>
      <w:bookmarkEnd w:id="191"/>
      <w:bookmarkStart w:id="192" w:name="_Toc184308036"/>
      <w:bookmarkEnd w:id="192"/>
      <w:bookmarkStart w:id="193" w:name="_Toc184312104"/>
      <w:bookmarkEnd w:id="193"/>
      <w:bookmarkStart w:id="194" w:name="_Toc184308073"/>
      <w:bookmarkEnd w:id="194"/>
      <w:bookmarkStart w:id="195" w:name="_Toc184308103"/>
      <w:bookmarkEnd w:id="195"/>
      <w:bookmarkStart w:id="196" w:name="_Toc184314459"/>
      <w:bookmarkEnd w:id="196"/>
      <w:bookmarkStart w:id="197" w:name="_Toc184313238"/>
      <w:bookmarkEnd w:id="197"/>
      <w:bookmarkStart w:id="198" w:name="_Toc184310272"/>
      <w:bookmarkEnd w:id="198"/>
      <w:bookmarkStart w:id="199" w:name="_Toc184314442"/>
      <w:bookmarkEnd w:id="199"/>
      <w:bookmarkStart w:id="200" w:name="_Toc184308064"/>
      <w:bookmarkEnd w:id="200"/>
      <w:bookmarkStart w:id="201" w:name="_Toc184313257"/>
      <w:bookmarkEnd w:id="201"/>
      <w:bookmarkStart w:id="202" w:name="_Toc184312090"/>
      <w:bookmarkEnd w:id="202"/>
      <w:bookmarkStart w:id="203" w:name="_Toc184313245"/>
      <w:bookmarkEnd w:id="203"/>
      <w:bookmarkStart w:id="204" w:name="_Toc184314440"/>
      <w:bookmarkEnd w:id="204"/>
      <w:bookmarkStart w:id="205" w:name="_Toc184312076"/>
      <w:bookmarkEnd w:id="205"/>
      <w:bookmarkStart w:id="206" w:name="_Toc184310307"/>
      <w:bookmarkEnd w:id="206"/>
      <w:bookmarkStart w:id="207" w:name="_Toc184308094"/>
      <w:bookmarkEnd w:id="207"/>
      <w:bookmarkStart w:id="208" w:name="_Toc184312087"/>
      <w:bookmarkEnd w:id="208"/>
      <w:bookmarkStart w:id="209" w:name="_Toc184310342"/>
      <w:bookmarkEnd w:id="209"/>
      <w:bookmarkStart w:id="210" w:name="_Toc184308043"/>
      <w:bookmarkEnd w:id="210"/>
      <w:bookmarkStart w:id="211" w:name="_Toc184314414"/>
      <w:bookmarkEnd w:id="211"/>
      <w:bookmarkStart w:id="212" w:name="_Toc184313246"/>
      <w:bookmarkEnd w:id="212"/>
      <w:bookmarkStart w:id="213" w:name="_Toc184314476"/>
      <w:bookmarkEnd w:id="213"/>
      <w:bookmarkStart w:id="214" w:name="_Toc184312137"/>
      <w:bookmarkEnd w:id="214"/>
      <w:bookmarkStart w:id="215" w:name="_Toc184310315"/>
      <w:bookmarkEnd w:id="215"/>
      <w:bookmarkStart w:id="216" w:name="_Toc184313290"/>
      <w:bookmarkEnd w:id="216"/>
      <w:bookmarkStart w:id="217" w:name="_Toc184310284"/>
      <w:bookmarkEnd w:id="217"/>
      <w:bookmarkStart w:id="218" w:name="_Toc184308075"/>
      <w:bookmarkEnd w:id="218"/>
      <w:bookmarkStart w:id="219" w:name="_Toc184310287"/>
      <w:bookmarkEnd w:id="219"/>
      <w:bookmarkStart w:id="220" w:name="_Toc184313242"/>
      <w:bookmarkEnd w:id="220"/>
      <w:bookmarkStart w:id="221" w:name="_Toc184308052"/>
      <w:bookmarkEnd w:id="221"/>
      <w:bookmarkStart w:id="222" w:name="_Toc184314461"/>
      <w:bookmarkEnd w:id="222"/>
      <w:bookmarkStart w:id="223" w:name="_Toc184314428"/>
      <w:bookmarkEnd w:id="223"/>
      <w:bookmarkStart w:id="224" w:name="_Toc184310285"/>
      <w:bookmarkEnd w:id="224"/>
      <w:bookmarkStart w:id="225" w:name="_Toc184314410"/>
      <w:bookmarkEnd w:id="225"/>
      <w:bookmarkStart w:id="226" w:name="_Toc184313266"/>
      <w:bookmarkEnd w:id="226"/>
      <w:bookmarkStart w:id="227" w:name="_Toc184310339"/>
      <w:bookmarkEnd w:id="227"/>
      <w:bookmarkStart w:id="228" w:name="_Toc184308087"/>
      <w:bookmarkEnd w:id="228"/>
      <w:bookmarkStart w:id="229" w:name="_Toc184310292"/>
      <w:bookmarkEnd w:id="229"/>
      <w:bookmarkStart w:id="230" w:name="_Toc184310320"/>
      <w:bookmarkEnd w:id="230"/>
      <w:bookmarkStart w:id="231" w:name="_Toc184308106"/>
      <w:bookmarkEnd w:id="231"/>
      <w:bookmarkStart w:id="232" w:name="_Toc184310274"/>
      <w:bookmarkEnd w:id="232"/>
      <w:bookmarkStart w:id="233" w:name="_Toc184310299"/>
      <w:bookmarkEnd w:id="233"/>
      <w:bookmarkStart w:id="234" w:name="_Toc184312082"/>
      <w:bookmarkEnd w:id="234"/>
      <w:bookmarkStart w:id="235" w:name="_Toc184314468"/>
      <w:bookmarkEnd w:id="235"/>
      <w:bookmarkStart w:id="236" w:name="_Toc184314478"/>
      <w:bookmarkEnd w:id="236"/>
      <w:bookmarkStart w:id="237" w:name="_Toc184308082"/>
      <w:bookmarkEnd w:id="237"/>
      <w:bookmarkStart w:id="238" w:name="_Toc184312120"/>
      <w:bookmarkEnd w:id="238"/>
      <w:bookmarkStart w:id="239" w:name="_Toc184313276"/>
      <w:bookmarkEnd w:id="239"/>
      <w:bookmarkStart w:id="240" w:name="_Toc184308095"/>
      <w:bookmarkEnd w:id="240"/>
      <w:bookmarkStart w:id="241" w:name="_Toc184312079"/>
      <w:bookmarkEnd w:id="241"/>
      <w:bookmarkStart w:id="242" w:name="_Toc184313289"/>
      <w:bookmarkEnd w:id="242"/>
      <w:bookmarkStart w:id="243" w:name="_Toc184312094"/>
      <w:bookmarkEnd w:id="243"/>
      <w:bookmarkStart w:id="244" w:name="_Toc184312093"/>
      <w:bookmarkEnd w:id="244"/>
      <w:bookmarkStart w:id="245" w:name="_Toc184313256"/>
      <w:bookmarkEnd w:id="245"/>
      <w:bookmarkStart w:id="246" w:name="_Toc184308093"/>
      <w:bookmarkEnd w:id="246"/>
      <w:bookmarkStart w:id="247" w:name="_Toc184313260"/>
      <w:bookmarkEnd w:id="247"/>
      <w:bookmarkStart w:id="248" w:name="_Toc184312123"/>
      <w:bookmarkEnd w:id="248"/>
      <w:bookmarkStart w:id="249" w:name="_Toc184312069"/>
      <w:bookmarkEnd w:id="249"/>
      <w:bookmarkStart w:id="250" w:name="_Toc184308045"/>
      <w:bookmarkEnd w:id="250"/>
      <w:bookmarkStart w:id="251" w:name="_Toc184313292"/>
      <w:bookmarkEnd w:id="251"/>
      <w:bookmarkStart w:id="252" w:name="_Toc184312127"/>
      <w:bookmarkEnd w:id="252"/>
      <w:bookmarkStart w:id="253" w:name="_Toc184308086"/>
      <w:bookmarkEnd w:id="253"/>
      <w:bookmarkStart w:id="254" w:name="_Toc184314437"/>
      <w:bookmarkEnd w:id="254"/>
      <w:bookmarkStart w:id="255" w:name="_Toc184310273"/>
      <w:bookmarkEnd w:id="255"/>
      <w:bookmarkStart w:id="256" w:name="_Toc184312133"/>
      <w:bookmarkEnd w:id="256"/>
      <w:bookmarkStart w:id="257" w:name="_Toc184312089"/>
      <w:bookmarkEnd w:id="257"/>
      <w:bookmarkStart w:id="258" w:name="_Toc184308081"/>
      <w:bookmarkEnd w:id="258"/>
      <w:bookmarkStart w:id="259" w:name="_Toc184314480"/>
      <w:bookmarkEnd w:id="259"/>
      <w:bookmarkStart w:id="260" w:name="_Toc184314482"/>
      <w:bookmarkEnd w:id="260"/>
      <w:bookmarkStart w:id="261" w:name="_Toc184310333"/>
      <w:bookmarkEnd w:id="261"/>
      <w:bookmarkStart w:id="262" w:name="_Toc184312115"/>
      <w:bookmarkEnd w:id="262"/>
      <w:bookmarkStart w:id="263" w:name="_Toc184313297"/>
      <w:bookmarkEnd w:id="263"/>
      <w:bookmarkStart w:id="264" w:name="_Toc184312131"/>
      <w:bookmarkEnd w:id="264"/>
      <w:bookmarkStart w:id="265" w:name="_Toc184313268"/>
      <w:bookmarkEnd w:id="265"/>
      <w:bookmarkStart w:id="266" w:name="_Toc184310302"/>
      <w:bookmarkEnd w:id="266"/>
      <w:bookmarkStart w:id="267" w:name="_Toc184312097"/>
      <w:bookmarkEnd w:id="267"/>
      <w:bookmarkStart w:id="268" w:name="_Toc184314470"/>
      <w:bookmarkEnd w:id="268"/>
      <w:bookmarkStart w:id="269" w:name="_Toc184312092"/>
      <w:bookmarkEnd w:id="269"/>
      <w:bookmarkStart w:id="270" w:name="_Toc184312135"/>
      <w:bookmarkEnd w:id="270"/>
      <w:bookmarkStart w:id="271" w:name="_Toc184308044"/>
      <w:bookmarkEnd w:id="271"/>
      <w:bookmarkStart w:id="272" w:name="_Toc184313271"/>
      <w:bookmarkEnd w:id="272"/>
      <w:bookmarkStart w:id="273" w:name="_Toc184308068"/>
      <w:bookmarkEnd w:id="273"/>
      <w:bookmarkStart w:id="274" w:name="_Toc184314458"/>
      <w:bookmarkEnd w:id="274"/>
      <w:bookmarkStart w:id="275" w:name="_Toc184312070"/>
      <w:bookmarkEnd w:id="275"/>
      <w:bookmarkStart w:id="276" w:name="_Toc184313263"/>
      <w:bookmarkEnd w:id="276"/>
      <w:bookmarkStart w:id="277" w:name="_Toc184312096"/>
      <w:bookmarkEnd w:id="277"/>
      <w:bookmarkStart w:id="278" w:name="_Toc184310297"/>
      <w:bookmarkEnd w:id="278"/>
      <w:bookmarkStart w:id="279" w:name="_Toc184314455"/>
      <w:bookmarkEnd w:id="279"/>
      <w:bookmarkStart w:id="280" w:name="_Toc184312071"/>
      <w:bookmarkEnd w:id="280"/>
      <w:bookmarkStart w:id="281" w:name="_Toc184314430"/>
      <w:bookmarkEnd w:id="281"/>
      <w:bookmarkStart w:id="282" w:name="_Toc184313294"/>
      <w:bookmarkEnd w:id="282"/>
      <w:bookmarkStart w:id="283" w:name="_Toc184313255"/>
      <w:bookmarkEnd w:id="283"/>
      <w:bookmarkStart w:id="284" w:name="_Toc184312100"/>
      <w:bookmarkEnd w:id="284"/>
      <w:bookmarkStart w:id="285" w:name="_Toc184310306"/>
      <w:bookmarkEnd w:id="285"/>
      <w:bookmarkStart w:id="286" w:name="_Toc184314421"/>
      <w:bookmarkEnd w:id="286"/>
      <w:bookmarkStart w:id="287" w:name="_Toc184312110"/>
      <w:bookmarkEnd w:id="287"/>
      <w:bookmarkStart w:id="288" w:name="_Toc184313288"/>
      <w:bookmarkEnd w:id="288"/>
      <w:bookmarkStart w:id="289" w:name="_Toc184312119"/>
      <w:bookmarkEnd w:id="289"/>
      <w:bookmarkStart w:id="290" w:name="_Toc184314473"/>
      <w:bookmarkEnd w:id="290"/>
      <w:bookmarkStart w:id="291" w:name="_Toc184312112"/>
      <w:bookmarkEnd w:id="291"/>
      <w:bookmarkStart w:id="292" w:name="_Toc184314417"/>
      <w:bookmarkEnd w:id="292"/>
      <w:bookmarkStart w:id="293" w:name="_Toc184312107"/>
      <w:bookmarkEnd w:id="293"/>
      <w:bookmarkStart w:id="294" w:name="_Toc184314432"/>
      <w:bookmarkEnd w:id="294"/>
      <w:bookmarkStart w:id="295" w:name="_Toc184310341"/>
      <w:bookmarkEnd w:id="295"/>
      <w:bookmarkStart w:id="296" w:name="_Toc184312114"/>
      <w:bookmarkEnd w:id="296"/>
      <w:bookmarkStart w:id="297" w:name="_Toc184310275"/>
      <w:bookmarkEnd w:id="297"/>
      <w:bookmarkStart w:id="298" w:name="_Toc184308053"/>
      <w:bookmarkEnd w:id="298"/>
      <w:bookmarkStart w:id="299" w:name="_Toc184310323"/>
      <w:bookmarkEnd w:id="299"/>
      <w:bookmarkStart w:id="300" w:name="_Toc184313250"/>
      <w:bookmarkEnd w:id="300"/>
      <w:bookmarkStart w:id="301" w:name="_Toc184308055"/>
      <w:bookmarkEnd w:id="301"/>
      <w:bookmarkStart w:id="302" w:name="_Toc184313309"/>
      <w:bookmarkEnd w:id="302"/>
      <w:bookmarkStart w:id="303" w:name="_Toc184310317"/>
      <w:bookmarkEnd w:id="303"/>
      <w:bookmarkStart w:id="304" w:name="_Toc184308062"/>
      <w:bookmarkEnd w:id="304"/>
      <w:bookmarkStart w:id="305" w:name="_Toc184313244"/>
      <w:bookmarkEnd w:id="305"/>
      <w:bookmarkStart w:id="306" w:name="_Toc184312122"/>
      <w:bookmarkEnd w:id="306"/>
      <w:bookmarkStart w:id="307" w:name="_Toc184314429"/>
      <w:bookmarkEnd w:id="307"/>
      <w:bookmarkStart w:id="308" w:name="_Toc184314436"/>
      <w:bookmarkEnd w:id="308"/>
      <w:bookmarkStart w:id="309" w:name="_Toc184313249"/>
      <w:bookmarkEnd w:id="309"/>
      <w:bookmarkStart w:id="310" w:name="_Toc184310316"/>
      <w:bookmarkEnd w:id="310"/>
      <w:bookmarkStart w:id="311" w:name="_Toc184308058"/>
      <w:bookmarkEnd w:id="311"/>
      <w:bookmarkStart w:id="312" w:name="_Toc184308057"/>
      <w:bookmarkEnd w:id="312"/>
      <w:bookmarkStart w:id="313" w:name="_Toc184308063"/>
      <w:bookmarkEnd w:id="313"/>
      <w:bookmarkStart w:id="314" w:name="_Toc184314413"/>
      <w:bookmarkEnd w:id="314"/>
      <w:bookmarkStart w:id="315" w:name="_Toc184312117"/>
      <w:bookmarkEnd w:id="315"/>
      <w:bookmarkStart w:id="316" w:name="_Toc184312124"/>
      <w:bookmarkEnd w:id="316"/>
      <w:bookmarkStart w:id="317" w:name="_Toc184314411"/>
      <w:bookmarkEnd w:id="317"/>
      <w:bookmarkStart w:id="318" w:name="_Toc184310278"/>
      <w:bookmarkEnd w:id="318"/>
      <w:bookmarkStart w:id="319" w:name="_Toc184313277"/>
      <w:bookmarkEnd w:id="319"/>
      <w:bookmarkStart w:id="320" w:name="_Toc184314450"/>
      <w:bookmarkEnd w:id="320"/>
      <w:bookmarkStart w:id="321" w:name="_Toc184314477"/>
      <w:bookmarkEnd w:id="321"/>
      <w:bookmarkStart w:id="322" w:name="_Toc184313247"/>
      <w:bookmarkEnd w:id="322"/>
      <w:bookmarkStart w:id="323" w:name="_Toc184308100"/>
      <w:bookmarkEnd w:id="323"/>
      <w:bookmarkStart w:id="324" w:name="_Toc184313259"/>
      <w:bookmarkEnd w:id="324"/>
      <w:bookmarkStart w:id="325" w:name="_Toc184314475"/>
      <w:bookmarkEnd w:id="325"/>
      <w:bookmarkStart w:id="326" w:name="_Toc184310329"/>
      <w:bookmarkEnd w:id="326"/>
      <w:bookmarkStart w:id="327" w:name="_Toc184312106"/>
      <w:bookmarkEnd w:id="327"/>
      <w:bookmarkStart w:id="328" w:name="_Toc184310330"/>
      <w:bookmarkEnd w:id="328"/>
      <w:bookmarkStart w:id="329" w:name="_Toc184312113"/>
      <w:bookmarkEnd w:id="329"/>
      <w:bookmarkStart w:id="330" w:name="_Toc184312074"/>
      <w:bookmarkEnd w:id="330"/>
      <w:bookmarkStart w:id="331" w:name="_Toc184310295"/>
      <w:bookmarkEnd w:id="331"/>
      <w:bookmarkStart w:id="332" w:name="_Toc184313308"/>
      <w:bookmarkEnd w:id="332"/>
      <w:bookmarkStart w:id="333" w:name="_Toc184308074"/>
      <w:bookmarkEnd w:id="333"/>
      <w:bookmarkStart w:id="334" w:name="_Toc184313248"/>
      <w:bookmarkEnd w:id="334"/>
      <w:bookmarkStart w:id="335" w:name="_Toc184310293"/>
      <w:bookmarkEnd w:id="335"/>
      <w:bookmarkStart w:id="336" w:name="_Toc184310325"/>
      <w:bookmarkEnd w:id="336"/>
      <w:bookmarkStart w:id="337" w:name="_Toc184312102"/>
      <w:bookmarkEnd w:id="337"/>
      <w:bookmarkStart w:id="338" w:name="_Toc184313269"/>
      <w:bookmarkEnd w:id="338"/>
      <w:bookmarkStart w:id="339" w:name="_Toc184308107"/>
      <w:bookmarkEnd w:id="339"/>
      <w:bookmarkStart w:id="340" w:name="_Toc184313252"/>
      <w:bookmarkEnd w:id="340"/>
      <w:bookmarkStart w:id="341" w:name="_Toc184308105"/>
      <w:bookmarkEnd w:id="341"/>
      <w:bookmarkStart w:id="342" w:name="_Toc184314441"/>
      <w:bookmarkEnd w:id="342"/>
      <w:bookmarkStart w:id="343" w:name="_Toc184310324"/>
      <w:bookmarkEnd w:id="343"/>
      <w:bookmarkStart w:id="344" w:name="_Toc184312099"/>
      <w:bookmarkEnd w:id="344"/>
      <w:bookmarkStart w:id="345" w:name="_Toc184312128"/>
      <w:bookmarkEnd w:id="345"/>
      <w:bookmarkStart w:id="346" w:name="_Toc184312073"/>
      <w:bookmarkEnd w:id="346"/>
      <w:bookmarkStart w:id="347" w:name="_Toc184308088"/>
      <w:bookmarkEnd w:id="347"/>
      <w:bookmarkStart w:id="348" w:name="_Toc184313270"/>
      <w:bookmarkEnd w:id="348"/>
      <w:bookmarkStart w:id="349" w:name="_Toc184313243"/>
      <w:bookmarkEnd w:id="349"/>
      <w:bookmarkStart w:id="350" w:name="_Toc184313284"/>
      <w:bookmarkEnd w:id="350"/>
      <w:bookmarkStart w:id="351" w:name="_Toc184312108"/>
      <w:bookmarkEnd w:id="351"/>
      <w:bookmarkStart w:id="352" w:name="_Toc184312067"/>
      <w:bookmarkEnd w:id="352"/>
      <w:bookmarkStart w:id="353" w:name="_Toc184312101"/>
      <w:bookmarkEnd w:id="353"/>
      <w:bookmarkStart w:id="354" w:name="_Toc184314425"/>
      <w:bookmarkEnd w:id="354"/>
      <w:bookmarkStart w:id="355" w:name="_Toc184308092"/>
      <w:bookmarkEnd w:id="355"/>
      <w:bookmarkStart w:id="356" w:name="_Toc184313283"/>
      <w:bookmarkEnd w:id="356"/>
      <w:bookmarkStart w:id="357" w:name="_Toc184310286"/>
      <w:bookmarkEnd w:id="357"/>
      <w:bookmarkStart w:id="358" w:name="_Toc184313274"/>
      <w:bookmarkEnd w:id="358"/>
      <w:bookmarkStart w:id="359" w:name="_Toc184310335"/>
      <w:bookmarkEnd w:id="359"/>
      <w:bookmarkStart w:id="360" w:name="_Toc184313265"/>
      <w:bookmarkEnd w:id="360"/>
      <w:bookmarkStart w:id="361" w:name="_Toc184308097"/>
      <w:bookmarkEnd w:id="361"/>
      <w:bookmarkStart w:id="362" w:name="_Toc184312126"/>
      <w:bookmarkEnd w:id="362"/>
      <w:bookmarkStart w:id="363" w:name="_Toc184310277"/>
      <w:bookmarkEnd w:id="363"/>
      <w:bookmarkStart w:id="364" w:name="_Toc184314469"/>
      <w:bookmarkEnd w:id="364"/>
      <w:bookmarkStart w:id="365" w:name="_Toc184312138"/>
      <w:bookmarkEnd w:id="365"/>
      <w:bookmarkStart w:id="366" w:name="_Toc184308080"/>
      <w:bookmarkEnd w:id="366"/>
      <w:bookmarkStart w:id="367" w:name="_Toc184312088"/>
      <w:bookmarkEnd w:id="367"/>
      <w:bookmarkStart w:id="368" w:name="_Toc184314415"/>
      <w:bookmarkEnd w:id="368"/>
      <w:bookmarkStart w:id="369" w:name="_Toc184313293"/>
      <w:bookmarkEnd w:id="369"/>
      <w:bookmarkStart w:id="370" w:name="_Toc184308066"/>
      <w:bookmarkEnd w:id="370"/>
      <w:bookmarkStart w:id="371" w:name="_Toc184308051"/>
      <w:bookmarkEnd w:id="371"/>
      <w:bookmarkStart w:id="372" w:name="_Toc184314438"/>
      <w:bookmarkEnd w:id="372"/>
      <w:bookmarkStart w:id="373" w:name="_Toc184314439"/>
      <w:bookmarkEnd w:id="373"/>
      <w:bookmarkStart w:id="374" w:name="_Toc184308102"/>
      <w:bookmarkEnd w:id="374"/>
      <w:bookmarkStart w:id="375" w:name="_Toc184308083"/>
      <w:bookmarkEnd w:id="375"/>
      <w:bookmarkStart w:id="376" w:name="_Toc184314456"/>
      <w:bookmarkEnd w:id="376"/>
      <w:bookmarkStart w:id="377" w:name="_Toc184313254"/>
      <w:bookmarkEnd w:id="377"/>
      <w:bookmarkStart w:id="378" w:name="_Toc184308085"/>
      <w:bookmarkEnd w:id="378"/>
      <w:bookmarkStart w:id="379" w:name="_Toc184310340"/>
      <w:bookmarkEnd w:id="379"/>
      <w:bookmarkStart w:id="380" w:name="_Toc184313275"/>
      <w:bookmarkEnd w:id="380"/>
      <w:bookmarkStart w:id="381" w:name="_Toc184310319"/>
      <w:bookmarkEnd w:id="381"/>
      <w:bookmarkStart w:id="382" w:name="_Toc184312098"/>
      <w:bookmarkEnd w:id="382"/>
      <w:bookmarkStart w:id="383" w:name="_Toc184312109"/>
      <w:bookmarkEnd w:id="383"/>
      <w:bookmarkStart w:id="384" w:name="_Toc184308090"/>
      <w:bookmarkEnd w:id="384"/>
      <w:bookmarkStart w:id="385" w:name="_Toc184313279"/>
      <w:bookmarkEnd w:id="385"/>
      <w:bookmarkStart w:id="386" w:name="_Toc184313298"/>
      <w:bookmarkEnd w:id="386"/>
      <w:bookmarkStart w:id="387" w:name="_Toc184313281"/>
      <w:bookmarkEnd w:id="387"/>
      <w:bookmarkStart w:id="388" w:name="_Toc184313305"/>
      <w:bookmarkEnd w:id="388"/>
      <w:bookmarkStart w:id="389" w:name="_Toc184310312"/>
      <w:bookmarkEnd w:id="389"/>
      <w:bookmarkStart w:id="390" w:name="_Toc184312103"/>
      <w:bookmarkEnd w:id="390"/>
      <w:bookmarkStart w:id="391" w:name="_Toc184312077"/>
      <w:bookmarkEnd w:id="391"/>
      <w:bookmarkStart w:id="392" w:name="_Toc184308038"/>
      <w:bookmarkEnd w:id="392"/>
      <w:bookmarkStart w:id="393" w:name="_Toc184308104"/>
      <w:bookmarkEnd w:id="393"/>
      <w:bookmarkStart w:id="394" w:name="_Toc184314451"/>
      <w:bookmarkEnd w:id="394"/>
      <w:bookmarkStart w:id="395" w:name="_Toc184314464"/>
      <w:bookmarkEnd w:id="395"/>
      <w:bookmarkStart w:id="396" w:name="_Toc184308049"/>
      <w:bookmarkEnd w:id="396"/>
      <w:bookmarkStart w:id="397" w:name="_Toc184312105"/>
      <w:bookmarkEnd w:id="397"/>
      <w:bookmarkStart w:id="398" w:name="_Toc184314420"/>
      <w:bookmarkEnd w:id="398"/>
      <w:bookmarkStart w:id="399" w:name="_Toc184313241"/>
      <w:bookmarkEnd w:id="399"/>
      <w:bookmarkStart w:id="400" w:name="_Toc184314465"/>
      <w:bookmarkEnd w:id="400"/>
      <w:bookmarkStart w:id="401" w:name="_Toc184310305"/>
      <w:bookmarkEnd w:id="401"/>
      <w:bookmarkStart w:id="402" w:name="_Toc184314418"/>
      <w:bookmarkEnd w:id="402"/>
      <w:bookmarkStart w:id="403" w:name="_Toc184308046"/>
      <w:bookmarkEnd w:id="403"/>
      <w:bookmarkStart w:id="404" w:name="_Toc184312081"/>
      <w:bookmarkEnd w:id="404"/>
      <w:bookmarkStart w:id="405" w:name="_Toc184314433"/>
      <w:bookmarkEnd w:id="405"/>
      <w:bookmarkStart w:id="406" w:name="_Toc184308047"/>
      <w:bookmarkEnd w:id="406"/>
      <w:bookmarkStart w:id="407" w:name="_Toc184314466"/>
      <w:bookmarkEnd w:id="407"/>
      <w:bookmarkStart w:id="408" w:name="_Toc184313291"/>
      <w:bookmarkEnd w:id="408"/>
      <w:bookmarkStart w:id="409" w:name="_Toc184310304"/>
      <w:bookmarkEnd w:id="409"/>
      <w:bookmarkStart w:id="410" w:name="_Toc184314471"/>
      <w:bookmarkEnd w:id="410"/>
      <w:bookmarkStart w:id="411" w:name="_Toc184314435"/>
      <w:bookmarkEnd w:id="411"/>
      <w:bookmarkStart w:id="412" w:name="_Toc184308070"/>
      <w:bookmarkEnd w:id="412"/>
      <w:bookmarkStart w:id="413" w:name="_Toc184310328"/>
      <w:bookmarkEnd w:id="413"/>
      <w:bookmarkStart w:id="414" w:name="_Toc184312091"/>
      <w:bookmarkEnd w:id="414"/>
      <w:bookmarkStart w:id="415" w:name="_Toc184313261"/>
      <w:bookmarkEnd w:id="415"/>
      <w:bookmarkStart w:id="416" w:name="_Toc184314472"/>
      <w:bookmarkEnd w:id="416"/>
      <w:bookmarkStart w:id="417" w:name="_Toc184308056"/>
      <w:bookmarkEnd w:id="417"/>
      <w:bookmarkStart w:id="418" w:name="_Toc184310314"/>
      <w:bookmarkEnd w:id="418"/>
      <w:bookmarkStart w:id="419" w:name="_Toc184310332"/>
      <w:bookmarkEnd w:id="419"/>
      <w:bookmarkStart w:id="420" w:name="_Toc184314462"/>
      <w:bookmarkEnd w:id="420"/>
      <w:bookmarkStart w:id="421" w:name="_Toc184314454"/>
      <w:bookmarkEnd w:id="421"/>
      <w:bookmarkStart w:id="422" w:name="_Toc184312111"/>
      <w:bookmarkEnd w:id="422"/>
      <w:bookmarkStart w:id="423" w:name="_Toc184310309"/>
      <w:bookmarkEnd w:id="423"/>
      <w:bookmarkStart w:id="424" w:name="_Toc184310288"/>
      <w:bookmarkEnd w:id="424"/>
      <w:bookmarkStart w:id="425" w:name="_Toc184308098"/>
      <w:bookmarkEnd w:id="425"/>
      <w:bookmarkStart w:id="426" w:name="_Toc184314447"/>
      <w:bookmarkEnd w:id="426"/>
      <w:r>
        <w:rPr>
          <w:rFonts w:hint="eastAsia" w:ascii="宋体" w:hAnsi="宋体" w:cs="宋体"/>
          <w:b/>
          <w:color w:val="000000" w:themeColor="text1"/>
          <w:sz w:val="36"/>
          <w:szCs w:val="20"/>
          <w14:textFill>
            <w14:solidFill>
              <w14:schemeClr w14:val="tx1"/>
            </w14:solidFill>
          </w14:textFill>
        </w:rPr>
        <w:t xml:space="preserve"> 评审办法</w:t>
      </w:r>
      <w:bookmarkEnd w:id="61"/>
    </w:p>
    <w:p w14:paraId="3C45AB6B">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27" w:name="_Toc14135"/>
      <w:r>
        <w:rPr>
          <w:rFonts w:hint="eastAsia" w:ascii="宋体" w:hAnsi="宋体" w:cs="宋体"/>
          <w:b/>
          <w:color w:val="000000" w:themeColor="text1"/>
          <w:sz w:val="32"/>
          <w:szCs w:val="20"/>
          <w14:textFill>
            <w14:solidFill>
              <w14:schemeClr w14:val="tx1"/>
            </w14:solidFill>
          </w14:textFill>
        </w:rPr>
        <w:t>评审办法前附表</w:t>
      </w:r>
      <w:bookmarkEnd w:id="427"/>
    </w:p>
    <w:tbl>
      <w:tblPr>
        <w:tblStyle w:val="63"/>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866"/>
        <w:gridCol w:w="807"/>
        <w:gridCol w:w="1074"/>
        <w:gridCol w:w="1488"/>
      </w:tblGrid>
      <w:tr w14:paraId="15E5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2A50B83">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序号</w:t>
            </w:r>
          </w:p>
        </w:tc>
        <w:tc>
          <w:tcPr>
            <w:tcW w:w="2950" w:type="pct"/>
            <w:vAlign w:val="center"/>
          </w:tcPr>
          <w:p w14:paraId="0D56D47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评审标准</w:t>
            </w:r>
          </w:p>
        </w:tc>
        <w:tc>
          <w:tcPr>
            <w:tcW w:w="406" w:type="pct"/>
            <w:vAlign w:val="center"/>
          </w:tcPr>
          <w:p w14:paraId="4EE755E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权重</w:t>
            </w:r>
          </w:p>
        </w:tc>
        <w:tc>
          <w:tcPr>
            <w:tcW w:w="540" w:type="pct"/>
            <w:vAlign w:val="center"/>
          </w:tcPr>
          <w:p w14:paraId="4AEF303A">
            <w:pPr>
              <w:pStyle w:val="131"/>
              <w:spacing w:before="0" w:line="240" w:lineRule="auto"/>
              <w:ind w:firstLine="0" w:firstLineChars="0"/>
              <w:jc w:val="center"/>
              <w:rPr>
                <w:rFonts w:ascii="宋体" w:hAnsi="宋体" w:cs="宋体"/>
                <w:bCs/>
                <w:szCs w:val="24"/>
              </w:rPr>
            </w:pPr>
            <w:r>
              <w:rPr>
                <w:rFonts w:hint="eastAsia" w:ascii="宋体" w:hAnsi="宋体" w:cs="宋体"/>
                <w:bCs/>
                <w:szCs w:val="24"/>
              </w:rPr>
              <w:t>主观分/客观分属性</w:t>
            </w:r>
          </w:p>
        </w:tc>
        <w:tc>
          <w:tcPr>
            <w:tcW w:w="748" w:type="pct"/>
            <w:vAlign w:val="center"/>
          </w:tcPr>
          <w:p w14:paraId="135DEA06">
            <w:pPr>
              <w:pStyle w:val="131"/>
              <w:spacing w:before="0" w:line="240" w:lineRule="auto"/>
              <w:ind w:firstLine="0" w:firstLineChars="0"/>
              <w:jc w:val="center"/>
              <w:rPr>
                <w:rFonts w:ascii="宋体" w:hAnsi="宋体" w:cs="仿宋_GB2312"/>
                <w:szCs w:val="24"/>
              </w:rPr>
            </w:pPr>
            <w:r>
              <w:rPr>
                <w:rFonts w:hint="eastAsia" w:ascii="宋体" w:hAnsi="宋体" w:cs="宋体"/>
                <w:bCs/>
                <w:szCs w:val="24"/>
              </w:rPr>
              <w:t>磋商文件中评审标准相应的商务技术资料目录</w:t>
            </w:r>
            <w:r>
              <w:rPr>
                <w:rFonts w:hint="eastAsia" w:ascii="宋体" w:hAnsi="宋体" w:cs="宋体"/>
                <w:szCs w:val="24"/>
                <w:shd w:val="clear" w:color="auto" w:fill="FFFFFF"/>
              </w:rPr>
              <w:t>*</w:t>
            </w:r>
          </w:p>
        </w:tc>
      </w:tr>
      <w:tr w14:paraId="090A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73A20B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w:t>
            </w:r>
          </w:p>
        </w:tc>
        <w:tc>
          <w:tcPr>
            <w:tcW w:w="5866" w:type="dxa"/>
            <w:vAlign w:val="center"/>
          </w:tcPr>
          <w:p w14:paraId="6A6ABAF8">
            <w:pPr>
              <w:widowControl/>
              <w:textAlignment w:val="center"/>
              <w:rPr>
                <w:rFonts w:ascii="宋体" w:hAnsi="宋体" w:cs="宋体"/>
                <w:sz w:val="24"/>
              </w:rPr>
            </w:pPr>
            <w:r>
              <w:rPr>
                <w:rFonts w:hint="eastAsia" w:ascii="宋体" w:hAnsi="宋体" w:cs="宋体"/>
                <w:color w:val="000000" w:themeColor="text1"/>
                <w:sz w:val="24"/>
                <w14:textFill>
                  <w14:solidFill>
                    <w14:schemeClr w14:val="tx1"/>
                  </w14:solidFill>
                </w14:textFill>
              </w:rPr>
              <w:t>供应商自2022年1月1日以来（以合同签订时间为准）完成过类似项目业绩（类似项目指食堂智慧化建设），每提供1份得0.5分，最高得1分。（同时提供施工合同及竣工验收报告</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件，未提供不得分）。</w:t>
            </w:r>
          </w:p>
        </w:tc>
        <w:tc>
          <w:tcPr>
            <w:tcW w:w="807" w:type="dxa"/>
            <w:vAlign w:val="center"/>
          </w:tcPr>
          <w:p w14:paraId="11FAFA42">
            <w:pPr>
              <w:widowControl/>
              <w:jc w:val="center"/>
              <w:textAlignment w:val="center"/>
              <w:rPr>
                <w:rFonts w:ascii="宋体" w:hAnsi="宋体" w:cs="仿宋_GB2312"/>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0E28E70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客观分</w:t>
            </w:r>
          </w:p>
        </w:tc>
        <w:tc>
          <w:tcPr>
            <w:tcW w:w="748" w:type="pct"/>
            <w:vAlign w:val="center"/>
          </w:tcPr>
          <w:p w14:paraId="09FDB2A4">
            <w:pPr>
              <w:pStyle w:val="131"/>
              <w:spacing w:before="0" w:line="240" w:lineRule="auto"/>
              <w:ind w:firstLine="0" w:firstLineChars="0"/>
              <w:jc w:val="center"/>
              <w:rPr>
                <w:rFonts w:ascii="宋体" w:hAnsi="宋体" w:cs="仿宋_GB2312"/>
                <w:szCs w:val="24"/>
              </w:rPr>
            </w:pPr>
          </w:p>
        </w:tc>
      </w:tr>
      <w:tr w14:paraId="01C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0CC964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2</w:t>
            </w:r>
          </w:p>
        </w:tc>
        <w:tc>
          <w:tcPr>
            <w:tcW w:w="5866" w:type="dxa"/>
            <w:vAlign w:val="center"/>
          </w:tcPr>
          <w:p w14:paraId="41897A22">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供应商具有有效的质量管理体系认证、环境管理体系认证、职业健康安全体系认证、信息安全管理体系认证、信息技术服务管理体系认证证书得满分，每提供1个得1分，最高得5分。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注：需提供相关认证证书扫描件及www.cnca.gov.cn“认证结果”查询截图并加盖公章，否则不得分。</w:t>
            </w:r>
          </w:p>
        </w:tc>
        <w:tc>
          <w:tcPr>
            <w:tcW w:w="807" w:type="dxa"/>
            <w:vAlign w:val="center"/>
          </w:tcPr>
          <w:p w14:paraId="3CBDCF5F">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5</w:t>
            </w:r>
          </w:p>
        </w:tc>
        <w:tc>
          <w:tcPr>
            <w:tcW w:w="540" w:type="pct"/>
            <w:vAlign w:val="center"/>
          </w:tcPr>
          <w:p w14:paraId="1DFA45D7">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6D39A7DC">
            <w:pPr>
              <w:pStyle w:val="131"/>
              <w:spacing w:before="0" w:line="240" w:lineRule="auto"/>
              <w:ind w:firstLine="0" w:firstLineChars="0"/>
              <w:jc w:val="center"/>
              <w:rPr>
                <w:rFonts w:ascii="宋体" w:hAnsi="宋体" w:cs="仿宋_GB2312"/>
                <w:szCs w:val="24"/>
              </w:rPr>
            </w:pPr>
          </w:p>
        </w:tc>
      </w:tr>
      <w:tr w14:paraId="1ED3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C68C6D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w:t>
            </w:r>
          </w:p>
        </w:tc>
        <w:tc>
          <w:tcPr>
            <w:tcW w:w="5866" w:type="dxa"/>
            <w:vAlign w:val="center"/>
          </w:tcPr>
          <w:p w14:paraId="5C03C531">
            <w:pPr>
              <w:widowControl/>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不符合（负偏离）采购需求中标注“▲”条款（不可偏离）的响应无效；低于采购需求（负偏离）的每项扣</w:t>
            </w:r>
            <w:r>
              <w:rPr>
                <w:rFonts w:hint="eastAsia" w:ascii="宋体" w:hAnsi="宋体" w:cs="宋体"/>
                <w:color w:val="000000" w:themeColor="text1"/>
                <w:kern w:val="0"/>
                <w:sz w:val="24"/>
                <w:lang w:val="en-US" w:eastAsia="zh-CN"/>
                <w14:textFill>
                  <w14:solidFill>
                    <w14:schemeClr w14:val="tx1"/>
                  </w14:solidFill>
                </w14:textFill>
              </w:rPr>
              <w:t>0.5</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扣完为止。</w:t>
            </w:r>
          </w:p>
        </w:tc>
        <w:tc>
          <w:tcPr>
            <w:tcW w:w="807" w:type="dxa"/>
            <w:vAlign w:val="center"/>
          </w:tcPr>
          <w:p w14:paraId="43E58CB2">
            <w:pPr>
              <w:widowControl/>
              <w:jc w:val="center"/>
              <w:textAlignment w:val="center"/>
              <w:rPr>
                <w:rFonts w:hint="default" w:ascii="宋体" w:hAnsi="宋体" w:eastAsia="宋体" w:cs="仿宋_GB2312"/>
                <w:color w:val="000000"/>
                <w:sz w:val="24"/>
                <w:lang w:val="en-US" w:eastAsia="zh-CN"/>
              </w:rPr>
            </w:pPr>
            <w:r>
              <w:rPr>
                <w:rFonts w:hint="eastAsia" w:ascii="宋体" w:hAnsi="宋体" w:cs="宋体"/>
                <w:color w:val="000000" w:themeColor="text1"/>
                <w:kern w:val="0"/>
                <w:sz w:val="24"/>
                <w:lang w:val="en-US" w:eastAsia="zh-CN" w:bidi="ar"/>
                <w14:textFill>
                  <w14:solidFill>
                    <w14:schemeClr w14:val="tx1"/>
                  </w14:solidFill>
                </w14:textFill>
              </w:rPr>
              <w:t>10</w:t>
            </w:r>
          </w:p>
        </w:tc>
        <w:tc>
          <w:tcPr>
            <w:tcW w:w="540" w:type="pct"/>
            <w:vAlign w:val="center"/>
          </w:tcPr>
          <w:p w14:paraId="6DEE3116">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26DF9C31">
            <w:pPr>
              <w:pStyle w:val="131"/>
              <w:spacing w:before="0" w:line="240" w:lineRule="auto"/>
              <w:ind w:firstLine="0" w:firstLineChars="0"/>
              <w:jc w:val="center"/>
              <w:rPr>
                <w:rFonts w:ascii="宋体" w:hAnsi="宋体" w:cs="仿宋_GB2312"/>
                <w:szCs w:val="24"/>
              </w:rPr>
            </w:pPr>
          </w:p>
        </w:tc>
      </w:tr>
      <w:tr w14:paraId="3CB9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AD0A84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4</w:t>
            </w:r>
          </w:p>
        </w:tc>
        <w:tc>
          <w:tcPr>
            <w:tcW w:w="5866" w:type="dxa"/>
            <w:vAlign w:val="center"/>
          </w:tcPr>
          <w:p w14:paraId="2391203D">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响应方案与需求的吻合程度，包括方案总体设计、建设内容等，详细阐述系统的体系架构的科学性、先进性、可靠性、互联性、成熟性、合理性和扩展性等方面与项目对应需求的满足。内容完善、合理、可行、符合实际应用场景。</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7D424FD5">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F47FEE4">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4D11936">
            <w:pPr>
              <w:pStyle w:val="131"/>
              <w:spacing w:before="0" w:line="240" w:lineRule="auto"/>
              <w:ind w:firstLine="0" w:firstLineChars="0"/>
              <w:jc w:val="center"/>
              <w:rPr>
                <w:rFonts w:ascii="宋体" w:hAnsi="宋体" w:cs="仿宋_GB2312"/>
                <w:szCs w:val="24"/>
              </w:rPr>
            </w:pPr>
          </w:p>
        </w:tc>
      </w:tr>
      <w:tr w14:paraId="3F8A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DB81E1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5</w:t>
            </w:r>
          </w:p>
        </w:tc>
        <w:tc>
          <w:tcPr>
            <w:tcW w:w="5866" w:type="dxa"/>
            <w:vAlign w:val="center"/>
          </w:tcPr>
          <w:p w14:paraId="56D207DC">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为保证项目能够按时完成及方案的可行性，供应商根据设备清单及现场情况提供设备整体设计点位表，内容完善、合理、可行。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27181B76">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3A2426A5">
            <w:pPr>
              <w:jc w:val="center"/>
              <w:rPr>
                <w:rFonts w:ascii="宋体" w:hAnsi="宋体" w:cs="仿宋_GB2312"/>
                <w:sz w:val="24"/>
              </w:rPr>
            </w:pPr>
            <w:r>
              <w:rPr>
                <w:rFonts w:hint="eastAsia" w:ascii="宋体" w:hAnsi="宋体" w:cs="宋体"/>
                <w:bCs/>
                <w:sz w:val="24"/>
              </w:rPr>
              <w:t>主观分</w:t>
            </w:r>
          </w:p>
        </w:tc>
        <w:tc>
          <w:tcPr>
            <w:tcW w:w="748" w:type="pct"/>
            <w:vAlign w:val="center"/>
          </w:tcPr>
          <w:p w14:paraId="3D5C5C3B">
            <w:pPr>
              <w:pStyle w:val="131"/>
              <w:spacing w:before="0" w:line="240" w:lineRule="auto"/>
              <w:ind w:firstLine="0" w:firstLineChars="0"/>
              <w:jc w:val="center"/>
              <w:rPr>
                <w:rFonts w:ascii="宋体" w:hAnsi="宋体" w:cs="仿宋_GB2312"/>
                <w:szCs w:val="24"/>
              </w:rPr>
            </w:pPr>
          </w:p>
        </w:tc>
      </w:tr>
      <w:tr w14:paraId="5F00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vAlign w:val="center"/>
          </w:tcPr>
          <w:p w14:paraId="6D3F42F7">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6</w:t>
            </w:r>
          </w:p>
        </w:tc>
        <w:tc>
          <w:tcPr>
            <w:tcW w:w="5866" w:type="dxa"/>
            <w:vAlign w:val="center"/>
          </w:tcPr>
          <w:p w14:paraId="214B9DDF">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供应商提出合理的项目整体实施及进度方案，阐明实施节点以及各阶段工作内容，含有供货进度实施及保障措施方案。方案内容完整、清晰、明确，且具备可行性。</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2E3DCB23">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482EF17D">
            <w:pPr>
              <w:jc w:val="center"/>
              <w:rPr>
                <w:rFonts w:ascii="宋体" w:hAnsi="宋体" w:cs="仿宋_GB2312"/>
                <w:sz w:val="24"/>
              </w:rPr>
            </w:pPr>
            <w:r>
              <w:rPr>
                <w:rFonts w:hint="eastAsia" w:ascii="宋体" w:hAnsi="宋体" w:cs="宋体"/>
                <w:bCs/>
                <w:sz w:val="24"/>
              </w:rPr>
              <w:t>主观分</w:t>
            </w:r>
          </w:p>
        </w:tc>
        <w:tc>
          <w:tcPr>
            <w:tcW w:w="748" w:type="pct"/>
            <w:vAlign w:val="center"/>
          </w:tcPr>
          <w:p w14:paraId="1D6AE39F">
            <w:pPr>
              <w:pStyle w:val="131"/>
              <w:spacing w:before="0" w:line="240" w:lineRule="auto"/>
              <w:ind w:firstLine="0" w:firstLineChars="0"/>
              <w:jc w:val="center"/>
              <w:rPr>
                <w:rFonts w:ascii="宋体" w:hAnsi="宋体" w:cs="仿宋_GB2312"/>
                <w:szCs w:val="24"/>
              </w:rPr>
            </w:pPr>
          </w:p>
        </w:tc>
      </w:tr>
      <w:tr w14:paraId="265D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1C737F1">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7</w:t>
            </w:r>
          </w:p>
        </w:tc>
        <w:tc>
          <w:tcPr>
            <w:tcW w:w="5866" w:type="dxa"/>
            <w:vAlign w:val="center"/>
          </w:tcPr>
          <w:p w14:paraId="69AF85FF">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根据供应商针对本项目提供的工期控制方案及保证措施等进行评分，方案内容完整、清晰、明确，具备针对性。</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07723F4A">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A92A14F">
            <w:pPr>
              <w:jc w:val="center"/>
              <w:rPr>
                <w:rFonts w:ascii="宋体" w:hAnsi="宋体" w:cs="仿宋_GB2312"/>
                <w:sz w:val="24"/>
              </w:rPr>
            </w:pPr>
            <w:r>
              <w:rPr>
                <w:rFonts w:hint="eastAsia" w:ascii="宋体" w:hAnsi="宋体" w:cs="宋体"/>
                <w:bCs/>
                <w:sz w:val="24"/>
              </w:rPr>
              <w:t>主观分</w:t>
            </w:r>
          </w:p>
        </w:tc>
        <w:tc>
          <w:tcPr>
            <w:tcW w:w="748" w:type="pct"/>
            <w:vAlign w:val="center"/>
          </w:tcPr>
          <w:p w14:paraId="7DADF0C3">
            <w:pPr>
              <w:pStyle w:val="131"/>
              <w:spacing w:before="0" w:line="240" w:lineRule="auto"/>
              <w:ind w:firstLine="0" w:firstLineChars="0"/>
              <w:jc w:val="center"/>
              <w:rPr>
                <w:rFonts w:ascii="宋体" w:hAnsi="宋体" w:cs="仿宋_GB2312"/>
                <w:szCs w:val="24"/>
              </w:rPr>
            </w:pPr>
          </w:p>
        </w:tc>
      </w:tr>
      <w:tr w14:paraId="7FC6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AFCC8D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8</w:t>
            </w:r>
          </w:p>
        </w:tc>
        <w:tc>
          <w:tcPr>
            <w:tcW w:w="5866" w:type="dxa"/>
            <w:vAlign w:val="center"/>
          </w:tcPr>
          <w:p w14:paraId="0590F4B6">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各阶段劳动力安排计划及保证措施，内容完善、合理、可行。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48B7FAA7">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442EF329">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89F8C6A">
            <w:pPr>
              <w:pStyle w:val="131"/>
              <w:spacing w:before="0" w:line="240" w:lineRule="auto"/>
              <w:ind w:firstLine="0" w:firstLineChars="0"/>
              <w:jc w:val="center"/>
              <w:rPr>
                <w:rFonts w:ascii="宋体" w:hAnsi="宋体" w:cs="仿宋_GB2312"/>
                <w:szCs w:val="24"/>
              </w:rPr>
            </w:pPr>
          </w:p>
        </w:tc>
      </w:tr>
      <w:tr w14:paraId="4B8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3EAB7D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9</w:t>
            </w:r>
          </w:p>
        </w:tc>
        <w:tc>
          <w:tcPr>
            <w:tcW w:w="5866" w:type="dxa"/>
            <w:vAlign w:val="center"/>
          </w:tcPr>
          <w:p w14:paraId="21691F64">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供应商根据自身对本项目需求理解分析的结论，结合自身经验，对本项目的实施重点和难点进行阐述和说明。项目实施重点和难点阐述完整、全面且具有合理性。</w:t>
            </w:r>
            <w:r>
              <w:rPr>
                <w:rFonts w:hint="eastAsia" w:ascii="宋体" w:hAnsi="宋体" w:cs="宋体"/>
                <w:color w:val="000000" w:themeColor="text1"/>
                <w:sz w:val="24"/>
                <w14:textFill>
                  <w14:solidFill>
                    <w14:schemeClr w14:val="tx1"/>
                  </w14:solidFill>
                </w14:textFill>
              </w:rPr>
              <w:t>（评审分值0,1,2,3）</w:t>
            </w:r>
          </w:p>
        </w:tc>
        <w:tc>
          <w:tcPr>
            <w:tcW w:w="807" w:type="dxa"/>
            <w:vAlign w:val="center"/>
          </w:tcPr>
          <w:p w14:paraId="19AE3D65">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3</w:t>
            </w:r>
          </w:p>
        </w:tc>
        <w:tc>
          <w:tcPr>
            <w:tcW w:w="540" w:type="pct"/>
            <w:vAlign w:val="center"/>
          </w:tcPr>
          <w:p w14:paraId="30F3CBAB">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636F09A">
            <w:pPr>
              <w:pStyle w:val="131"/>
              <w:spacing w:before="0" w:line="240" w:lineRule="auto"/>
              <w:ind w:firstLine="0" w:firstLineChars="0"/>
              <w:jc w:val="center"/>
              <w:rPr>
                <w:rFonts w:ascii="宋体" w:hAnsi="宋体" w:cs="仿宋_GB2312"/>
                <w:szCs w:val="24"/>
              </w:rPr>
            </w:pPr>
          </w:p>
        </w:tc>
      </w:tr>
      <w:tr w14:paraId="53B4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604512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10</w:t>
            </w:r>
          </w:p>
        </w:tc>
        <w:tc>
          <w:tcPr>
            <w:tcW w:w="5866" w:type="dxa"/>
            <w:vAlign w:val="center"/>
          </w:tcPr>
          <w:p w14:paraId="1220DA81">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关键节点施工工艺或施工方法、关键节点施工保障措施，包括组织措施及技术措施等，内容完善、合理、可行。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14D5F37E">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4637BA31">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9F0CC25">
            <w:pPr>
              <w:pStyle w:val="131"/>
              <w:spacing w:before="0" w:line="240" w:lineRule="auto"/>
              <w:ind w:firstLine="0" w:firstLineChars="0"/>
              <w:jc w:val="center"/>
              <w:rPr>
                <w:rFonts w:ascii="宋体" w:hAnsi="宋体" w:cs="仿宋_GB2312"/>
                <w:szCs w:val="24"/>
              </w:rPr>
            </w:pPr>
          </w:p>
        </w:tc>
      </w:tr>
      <w:tr w14:paraId="328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9C55C7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11</w:t>
            </w:r>
          </w:p>
        </w:tc>
        <w:tc>
          <w:tcPr>
            <w:tcW w:w="5866" w:type="dxa"/>
            <w:vAlign w:val="center"/>
          </w:tcPr>
          <w:p w14:paraId="3C8817BA">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质量管理和保障措施，主要工序质量技术保证措施及手段，自控体系完整，能有效保证技术质量，达到承诺的质量标准。严禁使用（利旧）其他工程的材料的相关承诺及措施，内容完善、合理、可行。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509652F7">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31E4A374">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DBFA069">
            <w:pPr>
              <w:pStyle w:val="131"/>
              <w:spacing w:before="0" w:line="240" w:lineRule="auto"/>
              <w:ind w:firstLine="0" w:firstLineChars="0"/>
              <w:jc w:val="center"/>
              <w:rPr>
                <w:rFonts w:ascii="宋体" w:hAnsi="宋体" w:cs="仿宋_GB2312"/>
                <w:szCs w:val="24"/>
              </w:rPr>
            </w:pPr>
          </w:p>
        </w:tc>
      </w:tr>
      <w:tr w14:paraId="626F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04618F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12</w:t>
            </w:r>
          </w:p>
        </w:tc>
        <w:tc>
          <w:tcPr>
            <w:tcW w:w="5866" w:type="dxa"/>
            <w:vAlign w:val="center"/>
          </w:tcPr>
          <w:p w14:paraId="218B4C7F">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拟投入本次项目的项目负责人：包括①工作履历、技术能力②职称、类似项目经验等：</w:t>
            </w:r>
          </w:p>
          <w:p w14:paraId="28055F74">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根据拟投入本次项目负责人综合实力情况进行评审（评审分值0,1,2,3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），未提供不得分 （提供履历表和相关资料、证书、供应商为其缴纳的社保）</w:t>
            </w:r>
          </w:p>
        </w:tc>
        <w:tc>
          <w:tcPr>
            <w:tcW w:w="807" w:type="dxa"/>
            <w:vAlign w:val="center"/>
          </w:tcPr>
          <w:p w14:paraId="57C6DFEF">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7D898AA7">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A98E645">
            <w:pPr>
              <w:pStyle w:val="131"/>
              <w:spacing w:before="0" w:line="240" w:lineRule="auto"/>
              <w:ind w:firstLine="0" w:firstLineChars="0"/>
              <w:jc w:val="center"/>
              <w:rPr>
                <w:rFonts w:ascii="宋体" w:hAnsi="宋体" w:cs="仿宋_GB2312"/>
                <w:szCs w:val="24"/>
              </w:rPr>
            </w:pPr>
          </w:p>
        </w:tc>
      </w:tr>
      <w:tr w14:paraId="146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E6A4B7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13</w:t>
            </w:r>
          </w:p>
        </w:tc>
        <w:tc>
          <w:tcPr>
            <w:tcW w:w="5866" w:type="dxa"/>
            <w:vAlign w:val="center"/>
          </w:tcPr>
          <w:p w14:paraId="617E7BCB">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项目组实施人员：包括①项目小组整体人员的技术能力、②专业分布、类似项目经验等情况；根据拟投入本次项目项目组实施人员配置合理性，人员经验、技术能力等综合实力情况进行评审（评审分值0,1,2,3,4），未提供不得分 （提供履历表和相关资料、证书、供应商为其缴纳的社保）</w:t>
            </w:r>
          </w:p>
        </w:tc>
        <w:tc>
          <w:tcPr>
            <w:tcW w:w="807" w:type="dxa"/>
            <w:vAlign w:val="center"/>
          </w:tcPr>
          <w:p w14:paraId="40D995C2">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4</w:t>
            </w:r>
          </w:p>
        </w:tc>
        <w:tc>
          <w:tcPr>
            <w:tcW w:w="540" w:type="pct"/>
            <w:vAlign w:val="center"/>
          </w:tcPr>
          <w:p w14:paraId="1EE2D3D2">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0B0869E8">
            <w:pPr>
              <w:pStyle w:val="131"/>
              <w:spacing w:before="0" w:line="240" w:lineRule="auto"/>
              <w:ind w:firstLine="0" w:firstLineChars="0"/>
              <w:jc w:val="center"/>
              <w:rPr>
                <w:rFonts w:ascii="宋体" w:hAnsi="宋体" w:cs="仿宋_GB2312"/>
                <w:szCs w:val="24"/>
              </w:rPr>
            </w:pPr>
          </w:p>
        </w:tc>
      </w:tr>
      <w:tr w14:paraId="3676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01DEE5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14</w:t>
            </w:r>
          </w:p>
        </w:tc>
        <w:tc>
          <w:tcPr>
            <w:tcW w:w="5866" w:type="dxa"/>
            <w:vAlign w:val="center"/>
          </w:tcPr>
          <w:p w14:paraId="2FB8AB89">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供应商售后服务方案措施力度和可行性：根据供应商服务内容、服务人员配备、服务网点情况、服务响应时效等情况评分。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08FB68F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63B5723A">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2EB3C6F">
            <w:pPr>
              <w:pStyle w:val="131"/>
              <w:spacing w:before="0" w:line="240" w:lineRule="auto"/>
              <w:ind w:firstLine="0" w:firstLineChars="0"/>
              <w:jc w:val="center"/>
              <w:rPr>
                <w:rFonts w:ascii="宋体" w:hAnsi="宋体" w:cs="仿宋_GB2312"/>
                <w:szCs w:val="24"/>
              </w:rPr>
            </w:pPr>
          </w:p>
        </w:tc>
      </w:tr>
      <w:tr w14:paraId="4EA9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476BE5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15</w:t>
            </w:r>
          </w:p>
        </w:tc>
        <w:tc>
          <w:tcPr>
            <w:tcW w:w="5866" w:type="dxa"/>
            <w:vAlign w:val="center"/>
          </w:tcPr>
          <w:p w14:paraId="51C2543B">
            <w:pPr>
              <w:widowControl/>
              <w:textAlignment w:val="top"/>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供应商具备较强的应急保障能力，可提供7*24小时的保障服务，根据服务人员响应到场的时效和人员数量、技术能力、应急保障车辆、应急服务保障经验评分。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742312A6">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3F80BF2D">
            <w:pPr>
              <w:jc w:val="center"/>
              <w:rPr>
                <w:rFonts w:ascii="宋体" w:hAnsi="宋体" w:cs="宋体"/>
                <w:bCs/>
                <w:sz w:val="24"/>
              </w:rPr>
            </w:pPr>
            <w:r>
              <w:rPr>
                <w:rFonts w:hint="eastAsia" w:ascii="宋体" w:hAnsi="宋体" w:cs="宋体"/>
                <w:bCs/>
                <w:sz w:val="24"/>
              </w:rPr>
              <w:t>主观分</w:t>
            </w:r>
          </w:p>
        </w:tc>
        <w:tc>
          <w:tcPr>
            <w:tcW w:w="748" w:type="pct"/>
            <w:vAlign w:val="center"/>
          </w:tcPr>
          <w:p w14:paraId="71A68182">
            <w:pPr>
              <w:pStyle w:val="131"/>
              <w:spacing w:before="0" w:line="240" w:lineRule="auto"/>
              <w:ind w:firstLine="0" w:firstLineChars="0"/>
              <w:jc w:val="center"/>
              <w:rPr>
                <w:rFonts w:ascii="宋体" w:hAnsi="宋体" w:cs="仿宋_GB2312"/>
                <w:szCs w:val="24"/>
              </w:rPr>
            </w:pPr>
          </w:p>
        </w:tc>
      </w:tr>
      <w:tr w14:paraId="13BD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910127C">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16</w:t>
            </w:r>
          </w:p>
        </w:tc>
        <w:tc>
          <w:tcPr>
            <w:tcW w:w="5866" w:type="dxa"/>
            <w:vAlign w:val="center"/>
          </w:tcPr>
          <w:p w14:paraId="7FBB40E1">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1.所投产品取得有效的节能产品认证证书的得1分（列入强制采购节能产品清单目录的产品不计分）；</w:t>
            </w:r>
          </w:p>
          <w:p w14:paraId="16123D3C">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2.所投产品取得有效的环境标志产品认证证书的得1分。</w:t>
            </w:r>
          </w:p>
          <w:p w14:paraId="66A0FAF1">
            <w:pPr>
              <w:widowControl/>
              <w:textAlignment w:val="top"/>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“证明材料：提供国家确定的认证机构出具的、处于有效期之内的认证证书</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件加盖公章。</w:t>
            </w:r>
          </w:p>
        </w:tc>
        <w:tc>
          <w:tcPr>
            <w:tcW w:w="807" w:type="dxa"/>
            <w:vAlign w:val="center"/>
          </w:tcPr>
          <w:p w14:paraId="52865BE4">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2</w:t>
            </w:r>
          </w:p>
        </w:tc>
        <w:tc>
          <w:tcPr>
            <w:tcW w:w="540" w:type="pct"/>
            <w:vAlign w:val="center"/>
          </w:tcPr>
          <w:p w14:paraId="7192080F">
            <w:pPr>
              <w:jc w:val="center"/>
              <w:rPr>
                <w:rFonts w:ascii="宋体" w:hAnsi="宋体" w:cs="宋体"/>
                <w:bCs/>
                <w:sz w:val="24"/>
              </w:rPr>
            </w:pPr>
            <w:r>
              <w:rPr>
                <w:rFonts w:hint="eastAsia" w:ascii="宋体" w:hAnsi="宋体" w:cs="宋体"/>
                <w:bCs/>
                <w:sz w:val="24"/>
              </w:rPr>
              <w:t>客观分</w:t>
            </w:r>
          </w:p>
        </w:tc>
        <w:tc>
          <w:tcPr>
            <w:tcW w:w="748" w:type="pct"/>
            <w:vAlign w:val="center"/>
          </w:tcPr>
          <w:p w14:paraId="4C9A945D">
            <w:pPr>
              <w:pStyle w:val="131"/>
              <w:spacing w:before="0" w:line="240" w:lineRule="auto"/>
              <w:ind w:firstLine="0" w:firstLineChars="0"/>
              <w:jc w:val="center"/>
              <w:rPr>
                <w:rFonts w:ascii="宋体" w:hAnsi="宋体" w:cs="仿宋_GB2312"/>
                <w:szCs w:val="24"/>
              </w:rPr>
            </w:pPr>
          </w:p>
        </w:tc>
      </w:tr>
      <w:tr w14:paraId="23FA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EC9183B">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17</w:t>
            </w:r>
          </w:p>
        </w:tc>
        <w:tc>
          <w:tcPr>
            <w:tcW w:w="2950" w:type="pct"/>
            <w:vAlign w:val="center"/>
          </w:tcPr>
          <w:p w14:paraId="3EB1C710">
            <w:pPr>
              <w:jc w:val="left"/>
              <w:outlineLvl w:val="0"/>
            </w:pPr>
            <w:bookmarkStart w:id="428" w:name="_Toc12845"/>
            <w:bookmarkStart w:id="429" w:name="_Toc17191"/>
            <w:r>
              <w:rPr>
                <w:rFonts w:hint="eastAsia" w:ascii="宋体" w:hAnsi="宋体" w:cs="宋体"/>
                <w:sz w:val="24"/>
              </w:rPr>
              <w:t>有效最后报价的最低价作为评审基准价，其最低报价为满分；按［最后报价得分=（评审基准价/最后报价）*权重］的计算公式计算。</w:t>
            </w:r>
            <w:bookmarkEnd w:id="428"/>
            <w:bookmarkEnd w:id="429"/>
          </w:p>
        </w:tc>
        <w:tc>
          <w:tcPr>
            <w:tcW w:w="406" w:type="pct"/>
            <w:vAlign w:val="center"/>
          </w:tcPr>
          <w:p w14:paraId="716746BC">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30</w:t>
            </w:r>
          </w:p>
        </w:tc>
        <w:tc>
          <w:tcPr>
            <w:tcW w:w="540" w:type="pct"/>
            <w:vAlign w:val="center"/>
          </w:tcPr>
          <w:p w14:paraId="30A9ED11">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c>
          <w:tcPr>
            <w:tcW w:w="748" w:type="pct"/>
            <w:vAlign w:val="center"/>
          </w:tcPr>
          <w:p w14:paraId="18C0C67B">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r>
    </w:tbl>
    <w:p w14:paraId="37DCD8BE">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14:paraId="5ACB373C">
      <w:pPr>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7CDE2793">
      <w:pPr>
        <w:snapToGrid w:val="0"/>
        <w:spacing w:line="360" w:lineRule="auto"/>
        <w:jc w:val="center"/>
        <w:outlineLvl w:val="1"/>
        <w:rPr>
          <w:rFonts w:ascii="宋体" w:hAnsi="宋体" w:cs="宋体"/>
          <w:b/>
          <w:color w:val="000000" w:themeColor="text1"/>
          <w:sz w:val="28"/>
          <w:szCs w:val="28"/>
          <w14:textFill>
            <w14:solidFill>
              <w14:schemeClr w14:val="tx1"/>
            </w14:solidFill>
          </w14:textFill>
        </w:rPr>
      </w:pPr>
      <w:bookmarkStart w:id="430" w:name="_Toc13135"/>
      <w:r>
        <w:rPr>
          <w:rFonts w:hint="eastAsia" w:ascii="宋体" w:hAnsi="宋体" w:cs="宋体"/>
          <w:b/>
          <w:color w:val="000000" w:themeColor="text1"/>
          <w:sz w:val="32"/>
          <w14:textFill>
            <w14:solidFill>
              <w14:schemeClr w14:val="tx1"/>
            </w14:solidFill>
          </w14:textFill>
        </w:rPr>
        <w:t>一、评审方法</w:t>
      </w:r>
      <w:bookmarkEnd w:id="430"/>
    </w:p>
    <w:p w14:paraId="433E4173">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6D05ABD7">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1" w:name="_Toc12449"/>
      <w:r>
        <w:rPr>
          <w:rFonts w:hint="eastAsia" w:ascii="宋体" w:hAnsi="宋体" w:cs="宋体"/>
          <w:b/>
          <w:color w:val="000000" w:themeColor="text1"/>
          <w:sz w:val="32"/>
          <w14:textFill>
            <w14:solidFill>
              <w14:schemeClr w14:val="tx1"/>
            </w14:solidFill>
          </w14:textFill>
        </w:rPr>
        <w:t>二、评审标准</w:t>
      </w:r>
      <w:bookmarkEnd w:id="431"/>
    </w:p>
    <w:p w14:paraId="1E5B0631">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14:paraId="2F6067FD">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2" w:name="_Toc29239"/>
      <w:r>
        <w:rPr>
          <w:rFonts w:hint="eastAsia" w:ascii="宋体" w:hAnsi="宋体" w:cs="宋体"/>
          <w:b/>
          <w:color w:val="000000" w:themeColor="text1"/>
          <w:sz w:val="32"/>
          <w14:textFill>
            <w14:solidFill>
              <w14:schemeClr w14:val="tx1"/>
            </w14:solidFill>
          </w14:textFill>
        </w:rPr>
        <w:t>三、评审程序</w:t>
      </w:r>
      <w:bookmarkEnd w:id="432"/>
    </w:p>
    <w:p w14:paraId="42E264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3BB2E0A3">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14:paraId="2CE553E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14:paraId="745986D9">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129CCB01">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14:paraId="694A5741">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14:paraId="43CE04C9">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3BD8C4C9">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A6ECC88">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14:paraId="7ED54D4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77B14EC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0894DBA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14:paraId="5E14C4EB">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14:paraId="60C0112C">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14:paraId="0582323D">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14:paraId="70FAEC4F">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14:paraId="72D639F4">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14:paraId="012EE6F2">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14:paraId="5B6BFC34">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14:paraId="6223DCE3">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14:paraId="6D9571B8">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3ED925D">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p w14:paraId="009FFF7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828BEF6">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3" w:name="_Toc22529"/>
      <w:r>
        <w:rPr>
          <w:rFonts w:hint="eastAsia" w:ascii="宋体" w:hAnsi="宋体" w:cs="宋体"/>
          <w:b/>
          <w:color w:val="000000" w:themeColor="text1"/>
          <w:sz w:val="32"/>
          <w14:textFill>
            <w14:solidFill>
              <w14:schemeClr w14:val="tx1"/>
            </w14:solidFill>
          </w14:textFill>
        </w:rPr>
        <w:t>四、评审中的其他事项</w:t>
      </w:r>
      <w:bookmarkEnd w:id="433"/>
    </w:p>
    <w:p w14:paraId="6FC18A4C">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7A3156">
      <w:pPr>
        <w:pStyle w:val="2"/>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14:paraId="59F65F9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14:paraId="7A7B0A6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14:paraId="40A9564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24D387B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14:paraId="0BCBA1C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14:paraId="107171A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14:paraId="5BE9A6E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14:paraId="0F4C636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4.2.8供应商对根据修正原则修正后的报价不确认的；</w:t>
      </w:r>
    </w:p>
    <w:p w14:paraId="2202E0C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w:t>
      </w:r>
      <w:r>
        <w:rPr>
          <w:rFonts w:hint="eastAsia" w:asciiTheme="minorEastAsia" w:hAnsiTheme="minorEastAsia" w:eastAsiaTheme="minorEastAsia"/>
          <w:sz w:val="24"/>
        </w:rPr>
        <w:t>供应商</w:t>
      </w:r>
      <w:r>
        <w:rPr>
          <w:rFonts w:hint="eastAsia" w:ascii="宋体" w:hAnsi="宋体" w:cs="宋体"/>
          <w:sz w:val="24"/>
          <w:lang w:val="zh-CN"/>
        </w:rPr>
        <w:t>不得进行影响产品质量或者诚信履约的恶意报价如</w:t>
      </w:r>
      <w:r>
        <w:rPr>
          <w:rFonts w:hint="eastAsia" w:asciiTheme="minorEastAsia" w:hAnsiTheme="minorEastAsia" w:eastAsiaTheme="minorEastAsia"/>
          <w:sz w:val="24"/>
        </w:rPr>
        <w:t>供应商</w:t>
      </w:r>
      <w:r>
        <w:rPr>
          <w:rFonts w:hint="eastAsia" w:ascii="宋体" w:hAnsi="宋体" w:cs="宋体"/>
          <w:sz w:val="24"/>
        </w:rPr>
        <w:t>响应</w:t>
      </w:r>
      <w:r>
        <w:rPr>
          <w:rFonts w:hint="eastAsia" w:ascii="宋体" w:hAnsi="宋体" w:cs="宋体"/>
          <w:sz w:val="24"/>
          <w:lang w:val="zh-CN"/>
        </w:rPr>
        <w:t>报价低于</w:t>
      </w:r>
      <w:r>
        <w:rPr>
          <w:rFonts w:hint="eastAsia" w:ascii="宋体" w:hAnsi="宋体" w:cs="宋体"/>
          <w:sz w:val="24"/>
        </w:rPr>
        <w:t>最高限价</w:t>
      </w:r>
      <w:r>
        <w:rPr>
          <w:rFonts w:hint="eastAsia" w:ascii="宋体" w:hAnsi="宋体" w:cs="宋体"/>
          <w:sz w:val="24"/>
          <w:lang w:val="zh-CN"/>
        </w:rPr>
        <w:t>50%的，应当在报价文件中详细阐述不影响产品质量或者诚信履约的具体原因以及相应证明材料，以备评</w:t>
      </w:r>
      <w:r>
        <w:rPr>
          <w:rFonts w:hint="eastAsia" w:ascii="宋体" w:hAnsi="宋体" w:cs="宋体"/>
          <w:sz w:val="24"/>
        </w:rPr>
        <w:t>审</w:t>
      </w:r>
      <w:r>
        <w:rPr>
          <w:rFonts w:hint="eastAsia" w:ascii="宋体" w:hAnsi="宋体" w:cs="宋体"/>
          <w:sz w:val="24"/>
          <w:lang w:val="zh-CN"/>
        </w:rPr>
        <w:t>小组核查。如</w:t>
      </w:r>
      <w:r>
        <w:rPr>
          <w:rFonts w:hint="eastAsia" w:asciiTheme="minorEastAsia" w:hAnsiTheme="minorEastAsia" w:eastAsiaTheme="minorEastAsia"/>
          <w:sz w:val="24"/>
        </w:rPr>
        <w:t>供应商</w:t>
      </w:r>
      <w:r>
        <w:rPr>
          <w:rFonts w:hint="eastAsia" w:ascii="宋体" w:hAnsi="宋体" w:cs="宋体"/>
          <w:sz w:val="24"/>
          <w:lang w:val="zh-CN"/>
        </w:rPr>
        <w:t>未按要求提供相关说明及证明材料的，评</w:t>
      </w:r>
      <w:r>
        <w:rPr>
          <w:rFonts w:hint="eastAsia" w:ascii="宋体" w:hAnsi="宋体" w:cs="宋体"/>
          <w:sz w:val="24"/>
        </w:rPr>
        <w:t>审</w:t>
      </w:r>
      <w:r>
        <w:rPr>
          <w:rFonts w:hint="eastAsia" w:ascii="宋体" w:hAnsi="宋体" w:cs="宋体"/>
          <w:sz w:val="24"/>
          <w:lang w:val="zh-CN"/>
        </w:rPr>
        <w:t>小组将对其</w:t>
      </w:r>
      <w:r>
        <w:rPr>
          <w:rFonts w:hint="eastAsia" w:ascii="宋体" w:hAnsi="宋体" w:cs="宋体"/>
          <w:sz w:val="24"/>
        </w:rPr>
        <w:t>响应</w:t>
      </w:r>
      <w:r>
        <w:rPr>
          <w:rFonts w:hint="eastAsia" w:ascii="宋体" w:hAnsi="宋体" w:cs="宋体"/>
          <w:sz w:val="24"/>
          <w:lang w:val="zh-CN"/>
        </w:rPr>
        <w:t>文件作为无效</w:t>
      </w:r>
      <w:r>
        <w:rPr>
          <w:rFonts w:hint="eastAsia" w:ascii="宋体" w:hAnsi="宋体" w:cs="宋体"/>
          <w:sz w:val="24"/>
        </w:rPr>
        <w:t>响应</w:t>
      </w:r>
      <w:r>
        <w:rPr>
          <w:rFonts w:hint="eastAsia" w:ascii="宋体" w:hAnsi="宋体" w:cs="宋体"/>
          <w:sz w:val="24"/>
          <w:lang w:val="zh-CN"/>
        </w:rPr>
        <w:t>处理；</w:t>
      </w:r>
    </w:p>
    <w:p w14:paraId="513898C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4.2.10供应商提供虚假材料响应的；</w:t>
      </w:r>
    </w:p>
    <w:p w14:paraId="78929E7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p>
    <w:p w14:paraId="4348D8CF">
      <w:pPr>
        <w:pStyle w:val="7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4.2.12</w:t>
      </w:r>
      <w:r>
        <w:rPr>
          <w:rFonts w:hint="eastAsia" w:ascii="宋体" w:hAnsi="宋体" w:eastAsia="宋体" w:cs="宋体"/>
          <w:color w:val="000000" w:themeColor="text1"/>
          <w:sz w:val="24"/>
          <w:szCs w:val="24"/>
          <w:lang w:val="en"/>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57A038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4.2.13供应商仅提交备份响应文件，未在电子交易平台传输递交响应文件的，响应文件无效；</w:t>
      </w:r>
    </w:p>
    <w:p w14:paraId="7ED339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4.2.14响应文件不满足采购文件的其它实质性要求的；</w:t>
      </w:r>
    </w:p>
    <w:p w14:paraId="6CB11A0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33376078">
      <w:pPr>
        <w:pStyle w:val="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14:paraId="4E0B79D6">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14:paraId="42FE9E0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B1CFDC5">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14:paraId="72F8F833">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23BF518F">
      <w:pPr>
        <w:pStyle w:val="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14:paraId="0DD2B7EB">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14:paraId="74FBD138">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83E321F">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4D3FD5B7">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14:paraId="100014F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5164C8ED">
      <w:pPr>
        <w:pStyle w:val="2"/>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54"/>
    <w:p w14:paraId="2E5DD85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34" w:name="_Toc24945"/>
      <w:bookmarkStart w:id="435" w:name="第五部分"/>
      <w:bookmarkStart w:id="436" w:name="_Toc86217003"/>
      <w:r>
        <w:rPr>
          <w:rFonts w:hint="eastAsia" w:ascii="宋体" w:hAnsi="宋体" w:cs="宋体"/>
          <w:b/>
          <w:color w:val="000000" w:themeColor="text1"/>
          <w:sz w:val="36"/>
          <w:szCs w:val="36"/>
          <w14:textFill>
            <w14:solidFill>
              <w14:schemeClr w14:val="tx1"/>
            </w14:solidFill>
          </w14:textFill>
        </w:rPr>
        <w:t>第五部分 拟签订的合同文本</w:t>
      </w:r>
      <w:bookmarkEnd w:id="434"/>
    </w:p>
    <w:p w14:paraId="0387297D">
      <w:pPr>
        <w:adjustRightInd/>
        <w:spacing w:line="300" w:lineRule="auto"/>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 xml:space="preserve">             </w:t>
      </w:r>
    </w:p>
    <w:p w14:paraId="03D07A07">
      <w:pPr>
        <w:pStyle w:val="4"/>
        <w:autoSpaceDN w:val="0"/>
        <w:spacing w:before="360"/>
        <w:ind w:firstLine="281" w:firstLineChars="100"/>
        <w:jc w:val="center"/>
        <w:rPr>
          <w:rFonts w:ascii="宋体" w:hAnsi="宋体" w:eastAsia="宋体" w:cs="宋体"/>
          <w:sz w:val="28"/>
          <w:szCs w:val="28"/>
        </w:rPr>
      </w:pPr>
      <w:bookmarkStart w:id="437" w:name="_Toc3509"/>
      <w:bookmarkStart w:id="438" w:name="_Toc30675"/>
      <w:bookmarkStart w:id="439" w:name="_Toc5550"/>
      <w:bookmarkStart w:id="440" w:name="_Toc9580"/>
      <w:bookmarkStart w:id="441" w:name="_Toc1459"/>
      <w:r>
        <w:rPr>
          <w:rFonts w:hint="eastAsia" w:ascii="宋体" w:hAnsi="宋体" w:eastAsia="宋体" w:cs="宋体"/>
          <w:sz w:val="28"/>
          <w:szCs w:val="28"/>
        </w:rPr>
        <w:t>（以最终签订为准）</w:t>
      </w:r>
      <w:bookmarkEnd w:id="437"/>
      <w:bookmarkEnd w:id="438"/>
      <w:bookmarkEnd w:id="439"/>
      <w:bookmarkEnd w:id="440"/>
      <w:bookmarkEnd w:id="441"/>
    </w:p>
    <w:p w14:paraId="75AE6FA5">
      <w:pPr>
        <w:spacing w:line="360" w:lineRule="auto"/>
        <w:ind w:firstLine="480" w:firstLineChars="200"/>
        <w:rPr>
          <w:rFonts w:ascii="宋体" w:hAnsi="宋体"/>
          <w:kern w:val="0"/>
          <w:sz w:val="24"/>
          <w:szCs w:val="20"/>
        </w:rPr>
      </w:pPr>
      <w:r>
        <w:rPr>
          <w:rFonts w:hint="eastAsia" w:ascii="宋体" w:hAnsi="宋体"/>
          <w:kern w:val="0"/>
          <w:sz w:val="24"/>
          <w:szCs w:val="20"/>
        </w:rPr>
        <w:t>使用住房城乡建设部、国家工商行政管理总局制定的《建设工程施工合同（示范文本）》（GF-2017-0201）。</w:t>
      </w:r>
    </w:p>
    <w:p w14:paraId="05FCA1CA">
      <w:pPr>
        <w:spacing w:line="360" w:lineRule="auto"/>
        <w:jc w:val="center"/>
        <w:outlineLvl w:val="1"/>
        <w:rPr>
          <w:rFonts w:ascii="宋体" w:hAnsi="宋体"/>
          <w:b/>
          <w:sz w:val="28"/>
        </w:rPr>
      </w:pPr>
      <w:bookmarkStart w:id="442" w:name="_Toc19942"/>
      <w:bookmarkStart w:id="443" w:name="_Toc18057"/>
      <w:bookmarkStart w:id="444" w:name="_Toc9906"/>
      <w:bookmarkStart w:id="445" w:name="_Toc14917"/>
      <w:bookmarkStart w:id="446" w:name="_Toc29132"/>
      <w:bookmarkStart w:id="447" w:name="_Toc23993"/>
      <w:bookmarkStart w:id="448" w:name="_Toc26844"/>
      <w:bookmarkStart w:id="449" w:name="_Toc16202"/>
      <w:bookmarkStart w:id="450" w:name="_Toc2472"/>
      <w:bookmarkStart w:id="451" w:name="_Toc13285"/>
      <w:r>
        <w:rPr>
          <w:rFonts w:hint="eastAsia" w:ascii="宋体" w:hAnsi="宋体"/>
          <w:b/>
          <w:sz w:val="28"/>
        </w:rPr>
        <w:t>浙江中医药大学富春校区北区食堂智慧化建设工程合同</w:t>
      </w:r>
      <w:bookmarkEnd w:id="442"/>
      <w:bookmarkEnd w:id="443"/>
      <w:bookmarkEnd w:id="444"/>
      <w:bookmarkEnd w:id="445"/>
    </w:p>
    <w:p w14:paraId="0555F844">
      <w:pPr>
        <w:pStyle w:val="2"/>
      </w:pPr>
    </w:p>
    <w:p w14:paraId="71A955B7">
      <w:pPr>
        <w:spacing w:line="360" w:lineRule="auto"/>
        <w:jc w:val="center"/>
        <w:outlineLvl w:val="1"/>
        <w:rPr>
          <w:rFonts w:ascii="宋体" w:hAnsi="宋体"/>
          <w:b/>
          <w:sz w:val="28"/>
        </w:rPr>
      </w:pPr>
      <w:bookmarkStart w:id="452" w:name="_Toc7494"/>
      <w:bookmarkStart w:id="453" w:name="_Toc12850"/>
      <w:r>
        <w:rPr>
          <w:rFonts w:ascii="宋体" w:hAnsi="宋体"/>
          <w:b/>
          <w:sz w:val="28"/>
        </w:rPr>
        <w:t xml:space="preserve">第一部分 </w:t>
      </w:r>
      <w:r>
        <w:rPr>
          <w:rFonts w:hint="eastAsia" w:ascii="宋体" w:hAnsi="宋体"/>
          <w:b/>
          <w:sz w:val="28"/>
        </w:rPr>
        <w:t>合同</w:t>
      </w:r>
      <w:r>
        <w:rPr>
          <w:rFonts w:ascii="宋体" w:hAnsi="宋体"/>
          <w:b/>
          <w:sz w:val="28"/>
        </w:rPr>
        <w:t>协议书</w:t>
      </w:r>
      <w:bookmarkEnd w:id="446"/>
      <w:bookmarkEnd w:id="447"/>
      <w:bookmarkEnd w:id="448"/>
      <w:bookmarkEnd w:id="449"/>
      <w:bookmarkEnd w:id="450"/>
      <w:bookmarkEnd w:id="451"/>
      <w:bookmarkEnd w:id="452"/>
      <w:bookmarkEnd w:id="453"/>
    </w:p>
    <w:p w14:paraId="1951F23D">
      <w:pPr>
        <w:spacing w:line="360" w:lineRule="auto"/>
        <w:rPr>
          <w:rFonts w:ascii="宋体" w:hAnsi="宋体" w:cs="宋体"/>
          <w:b/>
          <w:sz w:val="24"/>
        </w:rPr>
      </w:pPr>
      <w:bookmarkStart w:id="454" w:name="_Hlk70081597"/>
      <w:bookmarkStart w:id="455" w:name="_Hlk62322485"/>
      <w:r>
        <w:rPr>
          <w:rFonts w:hint="eastAsia" w:ascii="宋体" w:hAnsi="宋体" w:cs="宋体"/>
          <w:b/>
          <w:sz w:val="24"/>
        </w:rPr>
        <w:t>项目编号：</w:t>
      </w:r>
    </w:p>
    <w:p w14:paraId="6C213AC3">
      <w:pPr>
        <w:spacing w:line="360" w:lineRule="auto"/>
        <w:rPr>
          <w:rFonts w:ascii="宋体" w:hAnsi="宋体" w:cs="宋体"/>
          <w:b/>
          <w:sz w:val="24"/>
        </w:rPr>
      </w:pPr>
      <w:r>
        <w:rPr>
          <w:rFonts w:hint="eastAsia" w:ascii="宋体" w:hAnsi="宋体" w:cs="宋体"/>
          <w:b/>
          <w:sz w:val="24"/>
        </w:rPr>
        <w:t xml:space="preserve">确认书编号：  </w:t>
      </w:r>
    </w:p>
    <w:p w14:paraId="1A044290">
      <w:pPr>
        <w:spacing w:line="36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浙江中医药大学</w:t>
      </w:r>
    </w:p>
    <w:p w14:paraId="46D0D4B4">
      <w:pPr>
        <w:spacing w:line="360" w:lineRule="auto"/>
        <w:rPr>
          <w:rFonts w:ascii="宋体" w:hAnsi="宋体" w:cs="宋体"/>
          <w:b/>
          <w:sz w:val="24"/>
          <w:u w:val="single"/>
        </w:rPr>
      </w:pPr>
      <w:r>
        <w:rPr>
          <w:rFonts w:hint="eastAsia" w:ascii="宋体" w:hAnsi="宋体" w:cs="宋体"/>
          <w:b/>
          <w:sz w:val="24"/>
        </w:rPr>
        <w:t>承包人（全称）：</w:t>
      </w:r>
      <w:bookmarkStart w:id="456" w:name="_Hlk106098821"/>
      <w:r>
        <w:rPr>
          <w:rFonts w:hint="eastAsia" w:ascii="宋体" w:hAnsi="宋体" w:cs="宋体"/>
          <w:b/>
          <w:sz w:val="24"/>
          <w:u w:val="single"/>
        </w:rPr>
        <w:t xml:space="preserve">             </w:t>
      </w:r>
      <w:bookmarkEnd w:id="456"/>
      <w:r>
        <w:rPr>
          <w:rFonts w:hint="eastAsia" w:ascii="宋体" w:hAnsi="宋体" w:cs="宋体"/>
          <w:b/>
          <w:sz w:val="24"/>
          <w:u w:val="single"/>
        </w:rPr>
        <w:t xml:space="preserve"> </w:t>
      </w:r>
    </w:p>
    <w:p w14:paraId="3E1FC29D">
      <w:pPr>
        <w:shd w:val="clear" w:color="auto" w:fill="FFFFFF"/>
        <w:snapToGrid w:val="0"/>
        <w:spacing w:line="360" w:lineRule="auto"/>
        <w:ind w:firstLine="420"/>
        <w:rPr>
          <w:rFonts w:ascii="宋体" w:hAnsi="宋体" w:cs="宋体"/>
          <w:sz w:val="24"/>
          <w:shd w:val="clear" w:color="auto" w:fill="FFFFFF"/>
        </w:rPr>
      </w:pPr>
    </w:p>
    <w:p w14:paraId="061B7784">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kern w:val="0"/>
          <w:sz w:val="24"/>
          <w:shd w:val="clear" w:color="auto" w:fill="FFFFFF"/>
        </w:rPr>
        <w:t>根据《中华人民共和国民法典》等有关法律规定，遵循平等、自愿、公平和诚实信用的原则，</w:t>
      </w:r>
      <w:r>
        <w:rPr>
          <w:rFonts w:hint="eastAsia" w:ascii="宋体" w:hAnsi="宋体" w:cs="宋体"/>
          <w:kern w:val="0"/>
          <w:sz w:val="24"/>
        </w:rPr>
        <w:t>经招标代理机构浙江豪圣建设项目管理有限公司对</w:t>
      </w:r>
      <w:r>
        <w:rPr>
          <w:rFonts w:hint="eastAsia" w:ascii="宋体" w:hAnsi="宋体" w:cs="宋体"/>
          <w:kern w:val="0"/>
          <w:sz w:val="24"/>
          <w:u w:val="single"/>
        </w:rPr>
        <w:t xml:space="preserve"> </w:t>
      </w:r>
      <w:bookmarkStart w:id="457" w:name="_Hlk106098808"/>
      <w:r>
        <w:rPr>
          <w:rFonts w:hint="eastAsia" w:ascii="宋体" w:hAnsi="宋体" w:cs="宋体"/>
          <w:kern w:val="0"/>
          <w:sz w:val="24"/>
          <w:u w:val="single"/>
        </w:rPr>
        <w:t>浙江中医药大学富春校区北区食堂智慧化建设工程</w:t>
      </w:r>
      <w:bookmarkEnd w:id="457"/>
      <w:r>
        <w:rPr>
          <w:rFonts w:hint="eastAsia" w:ascii="宋体" w:hAnsi="宋体" w:cs="宋体"/>
          <w:kern w:val="0"/>
          <w:sz w:val="24"/>
        </w:rPr>
        <w:t>通过</w:t>
      </w:r>
      <w:r>
        <w:rPr>
          <w:rFonts w:hint="eastAsia" w:ascii="宋体" w:hAnsi="宋体" w:cs="宋体"/>
          <w:kern w:val="0"/>
          <w:sz w:val="24"/>
          <w:u w:val="single"/>
        </w:rPr>
        <w:t>竞争性磋商</w:t>
      </w:r>
      <w:r>
        <w:rPr>
          <w:rFonts w:hint="eastAsia" w:ascii="宋体" w:hAnsi="宋体" w:cs="宋体"/>
          <w:kern w:val="0"/>
          <w:sz w:val="24"/>
        </w:rPr>
        <w:t>方式采购，确定</w:t>
      </w:r>
      <w:r>
        <w:rPr>
          <w:rFonts w:hint="eastAsia" w:ascii="宋体" w:hAnsi="宋体" w:cs="宋体"/>
          <w:kern w:val="0"/>
          <w:sz w:val="24"/>
          <w:u w:val="single"/>
        </w:rPr>
        <w:t xml:space="preserve"> </w:t>
      </w:r>
      <w:r>
        <w:rPr>
          <w:rFonts w:hint="eastAsia" w:ascii="宋体" w:hAnsi="宋体" w:cs="宋体"/>
          <w:b/>
          <w:sz w:val="24"/>
          <w:u w:val="single"/>
        </w:rPr>
        <w:t xml:space="preserve">    </w:t>
      </w:r>
      <w:r>
        <w:rPr>
          <w:rFonts w:hint="eastAsia" w:ascii="宋体" w:hAnsi="宋体" w:cs="宋体"/>
          <w:bCs/>
          <w:snapToGrid w:val="0"/>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为本工程成交人，</w:t>
      </w:r>
      <w:r>
        <w:rPr>
          <w:rFonts w:hint="eastAsia" w:ascii="宋体" w:hAnsi="宋体" w:cs="宋体"/>
          <w:kern w:val="0"/>
          <w:sz w:val="24"/>
          <w:shd w:val="clear" w:color="auto" w:fill="FFFFFF"/>
        </w:rPr>
        <w:t>双方协商一致，共同达成如下协议：</w:t>
      </w:r>
    </w:p>
    <w:p w14:paraId="1BA7FD00">
      <w:pPr>
        <w:spacing w:line="360" w:lineRule="auto"/>
        <w:rPr>
          <w:rFonts w:ascii="宋体" w:hAnsi="宋体" w:cs="宋体"/>
          <w:b/>
          <w:sz w:val="24"/>
        </w:rPr>
      </w:pPr>
      <w:r>
        <w:rPr>
          <w:rFonts w:hint="eastAsia" w:ascii="宋体" w:hAnsi="宋体" w:cs="宋体"/>
          <w:b/>
          <w:sz w:val="24"/>
        </w:rPr>
        <w:t xml:space="preserve">    一、工程概况</w:t>
      </w:r>
    </w:p>
    <w:p w14:paraId="2B49AC43">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sz w:val="24"/>
          <w:shd w:val="clear" w:color="auto" w:fill="FFFFFF"/>
        </w:rPr>
        <w:t>1.工程名称：</w:t>
      </w:r>
      <w:r>
        <w:rPr>
          <w:rFonts w:hint="eastAsia" w:ascii="宋体" w:hAnsi="宋体" w:cs="宋体"/>
          <w:sz w:val="24"/>
          <w:u w:val="single"/>
          <w:shd w:val="clear" w:color="auto" w:fill="FFFFFF"/>
        </w:rPr>
        <w:t>浙江中医药大学富春校区北区食堂智慧化建设工程</w:t>
      </w:r>
    </w:p>
    <w:p w14:paraId="4616400E">
      <w:pPr>
        <w:spacing w:line="360" w:lineRule="auto"/>
        <w:ind w:firstLine="470" w:firstLineChars="196"/>
        <w:rPr>
          <w:rFonts w:ascii="宋体" w:hAnsi="宋体" w:cs="宋体"/>
          <w:bCs/>
          <w:sz w:val="24"/>
        </w:rPr>
      </w:pPr>
      <w:r>
        <w:rPr>
          <w:rFonts w:hint="eastAsia" w:ascii="宋体" w:hAnsi="宋体" w:cs="宋体"/>
          <w:bCs/>
          <w:sz w:val="24"/>
        </w:rPr>
        <w:t>2.工程地点：浙江中医药大学项目指定地点</w:t>
      </w:r>
    </w:p>
    <w:p w14:paraId="44063E58">
      <w:pPr>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   </w:t>
      </w:r>
    </w:p>
    <w:p w14:paraId="5938FABC">
      <w:pPr>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w:t>
      </w:r>
      <w:r>
        <w:rPr>
          <w:rFonts w:hint="eastAsia" w:ascii="宋体" w:hAnsi="宋体" w:cs="宋体"/>
          <w:kern w:val="0"/>
          <w:sz w:val="24"/>
          <w:u w:val="single"/>
        </w:rPr>
        <w:t>财政资金</w:t>
      </w:r>
      <w:r>
        <w:rPr>
          <w:rFonts w:hint="eastAsia" w:ascii="宋体" w:hAnsi="宋体" w:cs="宋体"/>
          <w:sz w:val="24"/>
          <w:u w:val="single"/>
        </w:rPr>
        <w:t xml:space="preserve"> </w:t>
      </w:r>
      <w:r>
        <w:rPr>
          <w:rFonts w:hint="eastAsia" w:ascii="宋体" w:hAnsi="宋体" w:cs="宋体"/>
          <w:bCs/>
          <w:sz w:val="24"/>
        </w:rPr>
        <w:t>。</w:t>
      </w:r>
    </w:p>
    <w:p w14:paraId="322AF19B">
      <w:pPr>
        <w:spacing w:line="360" w:lineRule="auto"/>
        <w:ind w:firstLine="480" w:firstLineChars="200"/>
        <w:rPr>
          <w:rFonts w:ascii="宋体" w:hAnsi="宋体" w:cs="宋体"/>
          <w:kern w:val="0"/>
          <w:sz w:val="24"/>
          <w:u w:val="single"/>
          <w:shd w:val="clear" w:color="auto" w:fill="FFFFFF"/>
        </w:rPr>
      </w:pPr>
      <w:r>
        <w:rPr>
          <w:rFonts w:hint="eastAsia" w:ascii="宋体" w:hAnsi="宋体" w:cs="宋体"/>
          <w:bCs/>
          <w:sz w:val="24"/>
        </w:rPr>
        <w:t>5.工程内容：</w:t>
      </w:r>
      <w:r>
        <w:rPr>
          <w:rFonts w:hint="eastAsia" w:ascii="宋体" w:hAnsi="宋体" w:cs="宋体"/>
          <w:bCs/>
          <w:sz w:val="24"/>
          <w:u w:val="single"/>
        </w:rPr>
        <w:t>包括</w:t>
      </w:r>
      <w:r>
        <w:rPr>
          <w:rFonts w:hint="eastAsia" w:ascii="宋体" w:hAnsi="宋体" w:cs="宋体"/>
          <w:kern w:val="0"/>
          <w:sz w:val="24"/>
          <w:u w:val="single"/>
        </w:rPr>
        <w:t>浙江中医药大学富春校区北区食堂智慧化建设工程施工内容</w:t>
      </w:r>
    </w:p>
    <w:p w14:paraId="5DB2017C">
      <w:pPr>
        <w:spacing w:line="360" w:lineRule="auto"/>
        <w:ind w:firstLine="480" w:firstLineChars="200"/>
        <w:rPr>
          <w:rFonts w:ascii="宋体" w:hAnsi="宋体" w:cs="宋体"/>
          <w:sz w:val="24"/>
          <w:u w:val="single"/>
        </w:rPr>
      </w:pPr>
      <w:r>
        <w:rPr>
          <w:rFonts w:hint="eastAsia" w:ascii="宋体" w:hAnsi="宋体" w:cs="宋体"/>
          <w:bCs/>
          <w:sz w:val="24"/>
        </w:rPr>
        <w:t>6.工程承包范围：</w:t>
      </w:r>
      <w:r>
        <w:rPr>
          <w:rFonts w:hint="eastAsia" w:ascii="宋体" w:hAnsi="宋体" w:cs="宋体"/>
          <w:sz w:val="24"/>
          <w:u w:val="single"/>
        </w:rPr>
        <w:t>1）详见磋商文件和需求清单。</w:t>
      </w:r>
    </w:p>
    <w:p w14:paraId="302FCF2A">
      <w:pPr>
        <w:spacing w:line="360" w:lineRule="auto"/>
        <w:ind w:firstLine="480" w:firstLineChars="200"/>
        <w:rPr>
          <w:rFonts w:ascii="宋体" w:hAnsi="宋体" w:cs="宋体"/>
          <w:sz w:val="24"/>
          <w:u w:val="single"/>
        </w:rPr>
      </w:pPr>
      <w:r>
        <w:rPr>
          <w:rFonts w:hint="eastAsia" w:ascii="宋体" w:hAnsi="宋体" w:cs="宋体"/>
          <w:sz w:val="24"/>
          <w:u w:val="single"/>
        </w:rPr>
        <w:t>2）可能出现的施工图修改引起的工程量增减以及根据发包人明确指令需在招标范围外增加的工程量及招标范围内减少的工程量。</w:t>
      </w:r>
    </w:p>
    <w:p w14:paraId="72691D45">
      <w:pPr>
        <w:spacing w:line="360" w:lineRule="auto"/>
        <w:rPr>
          <w:rFonts w:ascii="宋体" w:hAnsi="宋体" w:cs="宋体"/>
          <w:b/>
          <w:sz w:val="24"/>
        </w:rPr>
      </w:pPr>
      <w:r>
        <w:rPr>
          <w:rFonts w:hint="eastAsia" w:ascii="宋体" w:hAnsi="宋体" w:cs="宋体"/>
          <w:b/>
          <w:sz w:val="24"/>
        </w:rPr>
        <w:t xml:space="preserve">   二、合同工期</w:t>
      </w:r>
    </w:p>
    <w:p w14:paraId="7E621E4E">
      <w:pPr>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日（以开工令为准）。</w:t>
      </w:r>
    </w:p>
    <w:p w14:paraId="59E2756B">
      <w:pPr>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5D2E68D7">
      <w:pPr>
        <w:spacing w:line="360" w:lineRule="auto"/>
        <w:ind w:firstLine="459"/>
        <w:rPr>
          <w:rFonts w:ascii="宋体" w:hAnsi="宋体" w:cs="宋体"/>
          <w:sz w:val="24"/>
        </w:rPr>
      </w:pPr>
      <w:r>
        <w:rPr>
          <w:rFonts w:hint="eastAsia" w:ascii="宋体" w:hAnsi="宋体" w:cs="宋体"/>
          <w:sz w:val="24"/>
        </w:rPr>
        <w:t>计划总工期：</w:t>
      </w:r>
      <w:r>
        <w:rPr>
          <w:rFonts w:hint="eastAsia" w:ascii="宋体" w:hAnsi="宋体" w:cs="宋体"/>
          <w:sz w:val="24"/>
          <w:u w:val="single"/>
        </w:rPr>
        <w:t xml:space="preserve">     </w:t>
      </w:r>
      <w:r>
        <w:rPr>
          <w:rFonts w:hint="eastAsia" w:ascii="宋体" w:hAnsi="宋体" w:cs="宋体"/>
          <w:sz w:val="24"/>
        </w:rPr>
        <w:t>天，自发包人通知开工之日起算。工期总日历天数与根据前述计划开竣工日期计算的工期天数不一致的，以工期总日历天数为准。</w:t>
      </w:r>
    </w:p>
    <w:p w14:paraId="2C3E6057">
      <w:pPr>
        <w:spacing w:line="360" w:lineRule="auto"/>
        <w:rPr>
          <w:rFonts w:ascii="宋体" w:hAnsi="宋体" w:cs="宋体"/>
          <w:b/>
          <w:sz w:val="24"/>
        </w:rPr>
      </w:pPr>
      <w:r>
        <w:rPr>
          <w:rFonts w:hint="eastAsia" w:ascii="宋体" w:hAnsi="宋体" w:cs="宋体"/>
          <w:b/>
          <w:sz w:val="24"/>
        </w:rPr>
        <w:t xml:space="preserve">    三、质量标准</w:t>
      </w:r>
    </w:p>
    <w:p w14:paraId="0F0A80E3">
      <w:pPr>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b/>
          <w:sz w:val="24"/>
          <w:u w:val="single"/>
        </w:rPr>
        <w:t>国家验收规范合格</w:t>
      </w:r>
      <w:r>
        <w:rPr>
          <w:rFonts w:hint="eastAsia" w:ascii="宋体" w:hAnsi="宋体" w:cs="宋体"/>
          <w:sz w:val="24"/>
        </w:rPr>
        <w:t>标准，达到国家有关技术标准、规范、规程要求。</w:t>
      </w:r>
    </w:p>
    <w:p w14:paraId="324D4E5A">
      <w:pPr>
        <w:spacing w:line="360" w:lineRule="auto"/>
        <w:rPr>
          <w:rFonts w:ascii="宋体" w:hAnsi="宋体" w:cs="宋体"/>
          <w:b/>
          <w:sz w:val="24"/>
        </w:rPr>
      </w:pPr>
      <w:r>
        <w:rPr>
          <w:rFonts w:hint="eastAsia" w:ascii="宋体" w:hAnsi="宋体" w:cs="宋体"/>
          <w:b/>
          <w:sz w:val="24"/>
        </w:rPr>
        <w:t xml:space="preserve">    四、签约合同价与合同价格形式</w:t>
      </w:r>
      <w:r>
        <w:rPr>
          <w:rFonts w:hint="eastAsia" w:ascii="宋体" w:hAnsi="宋体" w:cs="宋体"/>
          <w:b/>
          <w:sz w:val="24"/>
        </w:rPr>
        <w:tab/>
      </w:r>
    </w:p>
    <w:p w14:paraId="55A99D7C">
      <w:pPr>
        <w:tabs>
          <w:tab w:val="left" w:pos="2410"/>
        </w:tabs>
        <w:snapToGrid w:val="0"/>
        <w:spacing w:line="360" w:lineRule="auto"/>
        <w:ind w:firstLine="480" w:firstLineChars="200"/>
        <w:rPr>
          <w:rFonts w:ascii="宋体" w:hAnsi="宋体" w:cs="宋体"/>
          <w:sz w:val="24"/>
        </w:rPr>
      </w:pPr>
      <w:r>
        <w:rPr>
          <w:rFonts w:hint="eastAsia" w:ascii="宋体" w:hAnsi="宋体" w:cs="宋体"/>
          <w:sz w:val="24"/>
        </w:rPr>
        <w:t>1.暂定合同总价为：</w:t>
      </w:r>
    </w:p>
    <w:p w14:paraId="4F23351D">
      <w:pPr>
        <w:snapToGrid w:val="0"/>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元)；</w:t>
      </w:r>
    </w:p>
    <w:p w14:paraId="21BC8DF9">
      <w:pPr>
        <w:snapToGrid w:val="0"/>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b/>
          <w:sz w:val="24"/>
          <w:u w:val="single"/>
        </w:rPr>
        <w:t>工程量清单固定综合单价合同</w:t>
      </w:r>
      <w:r>
        <w:rPr>
          <w:rFonts w:hint="eastAsia" w:ascii="宋体" w:hAnsi="宋体" w:cs="宋体"/>
          <w:sz w:val="24"/>
        </w:rPr>
        <w:t>。</w:t>
      </w:r>
    </w:p>
    <w:p w14:paraId="3A35EC47">
      <w:pPr>
        <w:spacing w:line="360" w:lineRule="auto"/>
        <w:rPr>
          <w:rFonts w:ascii="宋体" w:hAnsi="宋体" w:cs="宋体"/>
          <w:b/>
          <w:sz w:val="24"/>
        </w:rPr>
      </w:pPr>
      <w:r>
        <w:rPr>
          <w:rFonts w:hint="eastAsia" w:ascii="宋体" w:hAnsi="宋体" w:cs="宋体"/>
          <w:b/>
          <w:sz w:val="24"/>
        </w:rPr>
        <w:t xml:space="preserve">    五、项目经理</w:t>
      </w:r>
    </w:p>
    <w:p w14:paraId="7E9DA4A1">
      <w:pPr>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53FC378F">
      <w:pPr>
        <w:spacing w:line="360" w:lineRule="auto"/>
        <w:rPr>
          <w:rFonts w:ascii="宋体" w:hAnsi="宋体" w:cs="宋体"/>
          <w:b/>
          <w:sz w:val="24"/>
        </w:rPr>
      </w:pPr>
      <w:r>
        <w:rPr>
          <w:rFonts w:hint="eastAsia" w:ascii="宋体" w:hAnsi="宋体" w:cs="宋体"/>
          <w:b/>
          <w:sz w:val="24"/>
        </w:rPr>
        <w:t xml:space="preserve">    六、合同文件构成</w:t>
      </w:r>
    </w:p>
    <w:p w14:paraId="752C34A2">
      <w:pPr>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14:paraId="28B18CD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（1）成交通知书；</w:t>
      </w:r>
    </w:p>
    <w:p w14:paraId="433C606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（2）投标函及附录； </w:t>
      </w:r>
    </w:p>
    <w:p w14:paraId="40FEE34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（3）专用合同条款及其附件； </w:t>
      </w:r>
    </w:p>
    <w:p w14:paraId="4082A7EC">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（4）通用合同条款；</w:t>
      </w:r>
    </w:p>
    <w:p w14:paraId="2C613455">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（5）技术标准和要求；</w:t>
      </w:r>
    </w:p>
    <w:p w14:paraId="6C540FC6">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（6）图纸（如有）；</w:t>
      </w:r>
    </w:p>
    <w:p w14:paraId="1FF4198B">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（7）已标价工程量清单或预算书；</w:t>
      </w:r>
    </w:p>
    <w:p w14:paraId="58029A7F">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（8）工程质量保修书；</w:t>
      </w:r>
    </w:p>
    <w:p w14:paraId="39A8C19B">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（9）通用合同条款；</w:t>
      </w:r>
    </w:p>
    <w:p w14:paraId="23E32D0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（10）其他合同文件。</w:t>
      </w:r>
    </w:p>
    <w:p w14:paraId="2B3AF918">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14:paraId="62ECBF81">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上述各项合同文件包括合同当事人就该项合同文件所作出的补充和变更，属于同一类内容的文件，应以最新签署的为准。各项文件及其附件须经合同当事人签字和盖章。</w:t>
      </w:r>
    </w:p>
    <w:p w14:paraId="49EB1C76">
      <w:pPr>
        <w:spacing w:line="360" w:lineRule="auto"/>
        <w:ind w:firstLine="482" w:firstLineChars="200"/>
        <w:rPr>
          <w:rFonts w:ascii="宋体" w:hAnsi="宋体" w:cs="宋体"/>
          <w:b/>
          <w:sz w:val="24"/>
        </w:rPr>
      </w:pPr>
      <w:r>
        <w:rPr>
          <w:rFonts w:hint="eastAsia" w:ascii="宋体" w:hAnsi="宋体" w:cs="宋体"/>
          <w:b/>
          <w:sz w:val="24"/>
        </w:rPr>
        <w:t>七、承诺</w:t>
      </w:r>
    </w:p>
    <w:p w14:paraId="35D15B61">
      <w:pPr>
        <w:spacing w:line="360" w:lineRule="auto"/>
        <w:ind w:firstLine="480" w:firstLineChars="200"/>
        <w:rPr>
          <w:rFonts w:ascii="宋体" w:hAnsi="宋体" w:cs="宋体"/>
          <w:sz w:val="24"/>
        </w:rPr>
      </w:pPr>
      <w:r>
        <w:rPr>
          <w:rFonts w:hint="eastAsia" w:ascii="宋体" w:hAnsi="宋体" w:cs="宋体"/>
          <w:bCs/>
          <w:sz w:val="24"/>
        </w:rPr>
        <w:t>1.发包人承诺按照法律规定履行项目审批手续、筹集工程建设资金并按照合同约定的期限和方式支付合同价款。</w:t>
      </w:r>
    </w:p>
    <w:p w14:paraId="13584A98">
      <w:pPr>
        <w:spacing w:line="360" w:lineRule="auto"/>
        <w:ind w:firstLine="480" w:firstLineChars="200"/>
        <w:rPr>
          <w:rFonts w:ascii="宋体" w:hAnsi="宋体" w:cs="宋体"/>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14:paraId="10DA6FCB">
      <w:pPr>
        <w:spacing w:line="360" w:lineRule="auto"/>
        <w:ind w:firstLine="480" w:firstLineChars="200"/>
        <w:rPr>
          <w:rFonts w:ascii="宋体" w:hAnsi="宋体" w:cs="宋体"/>
          <w:sz w:val="24"/>
        </w:rPr>
      </w:pPr>
      <w:r>
        <w:rPr>
          <w:rFonts w:hint="eastAsia" w:ascii="宋体" w:hAnsi="宋体" w:cs="宋体"/>
          <w:bCs/>
          <w:sz w:val="24"/>
        </w:rPr>
        <w:t>3.发包人和承包人通过招投标形式签订合同的，双方理解并承诺不再就同一工程另行签订与合同实质性内容相背离的协议。</w:t>
      </w:r>
    </w:p>
    <w:p w14:paraId="08A4BB50">
      <w:pPr>
        <w:spacing w:line="360" w:lineRule="auto"/>
        <w:ind w:firstLine="437"/>
        <w:rPr>
          <w:rFonts w:ascii="宋体" w:hAnsi="宋体" w:cs="宋体"/>
          <w:sz w:val="24"/>
        </w:rPr>
      </w:pPr>
      <w:r>
        <w:rPr>
          <w:rFonts w:hint="eastAsia" w:ascii="宋体" w:hAnsi="宋体" w:cs="宋体"/>
          <w:b/>
          <w:sz w:val="24"/>
        </w:rPr>
        <w:t>八、词语含义</w:t>
      </w:r>
    </w:p>
    <w:p w14:paraId="77AEDE06">
      <w:pPr>
        <w:spacing w:line="360" w:lineRule="auto"/>
        <w:ind w:firstLine="437"/>
        <w:rPr>
          <w:rFonts w:ascii="宋体" w:hAnsi="宋体" w:cs="宋体"/>
          <w:bCs/>
          <w:sz w:val="24"/>
        </w:rPr>
      </w:pPr>
      <w:r>
        <w:rPr>
          <w:rFonts w:hint="eastAsia" w:ascii="宋体" w:hAnsi="宋体" w:cs="宋体"/>
          <w:bCs/>
          <w:sz w:val="24"/>
        </w:rPr>
        <w:t>本协议书中词语含义与第二部分通用合同条款中赋予的含义相同。</w:t>
      </w:r>
    </w:p>
    <w:p w14:paraId="083D2055">
      <w:pPr>
        <w:spacing w:line="360" w:lineRule="auto"/>
        <w:ind w:firstLine="437"/>
        <w:rPr>
          <w:rFonts w:ascii="宋体" w:hAnsi="宋体" w:cs="宋体"/>
          <w:b/>
          <w:sz w:val="24"/>
        </w:rPr>
      </w:pPr>
      <w:r>
        <w:rPr>
          <w:rFonts w:hint="eastAsia" w:ascii="宋体" w:hAnsi="宋体" w:cs="宋体"/>
          <w:b/>
          <w:sz w:val="24"/>
        </w:rPr>
        <w:t>九、签订时间</w:t>
      </w:r>
    </w:p>
    <w:p w14:paraId="45F1FB0F">
      <w:pPr>
        <w:spacing w:line="360" w:lineRule="auto"/>
        <w:ind w:firstLine="437"/>
        <w:rPr>
          <w:rFonts w:ascii="宋体" w:hAnsi="宋体" w:cs="宋体"/>
          <w:b/>
          <w:sz w:val="24"/>
        </w:rPr>
      </w:pPr>
      <w:r>
        <w:rPr>
          <w:rFonts w:hint="eastAsia" w:ascii="宋体" w:hAnsi="宋体" w:cs="宋体"/>
          <w:bCs/>
          <w:sz w:val="24"/>
        </w:rPr>
        <w:t>本合同于</w:t>
      </w:r>
      <w:r>
        <w:rPr>
          <w:rFonts w:hint="eastAsia" w:ascii="宋体" w:hAnsi="宋体" w:cs="宋体"/>
          <w:sz w:val="24"/>
          <w:u w:val="single"/>
        </w:rPr>
        <w:t xml:space="preserve"> </w:t>
      </w:r>
      <w:r>
        <w:rPr>
          <w:rFonts w:hint="eastAsia" w:ascii="宋体" w:hAnsi="宋体" w:cs="宋体"/>
          <w:bCs/>
          <w:sz w:val="24"/>
          <w:u w:val="single"/>
        </w:rPr>
        <w:t xml:space="preserve"> 2025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14:paraId="705D952E">
      <w:pPr>
        <w:spacing w:line="360" w:lineRule="auto"/>
        <w:ind w:firstLine="437"/>
        <w:rPr>
          <w:rFonts w:ascii="宋体" w:hAnsi="宋体" w:cs="宋体"/>
          <w:b/>
          <w:sz w:val="24"/>
        </w:rPr>
      </w:pPr>
      <w:r>
        <w:rPr>
          <w:rFonts w:hint="eastAsia" w:ascii="宋体" w:hAnsi="宋体" w:cs="宋体"/>
          <w:b/>
          <w:sz w:val="24"/>
        </w:rPr>
        <w:t>十、签订地点</w:t>
      </w:r>
    </w:p>
    <w:p w14:paraId="0BF1F649">
      <w:pPr>
        <w:spacing w:line="360" w:lineRule="auto"/>
        <w:ind w:firstLine="437"/>
        <w:rPr>
          <w:rFonts w:ascii="宋体" w:hAnsi="宋体" w:cs="宋体"/>
          <w:b/>
          <w:sz w:val="24"/>
        </w:rPr>
      </w:pPr>
      <w:r>
        <w:rPr>
          <w:rFonts w:hint="eastAsia" w:ascii="宋体" w:hAnsi="宋体" w:cs="宋体"/>
          <w:bCs/>
          <w:sz w:val="24"/>
        </w:rPr>
        <w:t>本合同在</w:t>
      </w:r>
      <w:r>
        <w:rPr>
          <w:rFonts w:hint="eastAsia" w:ascii="宋体" w:hAnsi="宋体" w:cs="宋体"/>
          <w:sz w:val="24"/>
          <w:u w:val="single"/>
        </w:rPr>
        <w:t xml:space="preserve">杭州市 </w:t>
      </w:r>
      <w:r>
        <w:rPr>
          <w:rFonts w:hint="eastAsia" w:ascii="宋体" w:hAnsi="宋体" w:cs="宋体"/>
          <w:bCs/>
          <w:sz w:val="24"/>
        </w:rPr>
        <w:t>签订。</w:t>
      </w:r>
    </w:p>
    <w:p w14:paraId="1CFD0443">
      <w:pPr>
        <w:spacing w:line="360" w:lineRule="auto"/>
        <w:ind w:firstLine="437"/>
        <w:rPr>
          <w:rFonts w:ascii="宋体" w:hAnsi="宋体" w:cs="宋体"/>
          <w:b/>
          <w:sz w:val="24"/>
        </w:rPr>
      </w:pPr>
      <w:r>
        <w:rPr>
          <w:rFonts w:hint="eastAsia" w:ascii="宋体" w:hAnsi="宋体" w:cs="宋体"/>
          <w:b/>
          <w:sz w:val="24"/>
        </w:rPr>
        <w:t>十一、补充协议</w:t>
      </w:r>
    </w:p>
    <w:p w14:paraId="5A9B07E9">
      <w:pPr>
        <w:spacing w:line="360" w:lineRule="auto"/>
        <w:ind w:firstLine="437"/>
        <w:rPr>
          <w:rFonts w:ascii="宋体" w:hAnsi="宋体" w:cs="宋体"/>
          <w:b/>
          <w:sz w:val="24"/>
        </w:rPr>
      </w:pPr>
      <w:r>
        <w:rPr>
          <w:rFonts w:hint="eastAsia" w:ascii="宋体" w:hAnsi="宋体" w:cs="宋体"/>
          <w:bCs/>
          <w:sz w:val="24"/>
        </w:rPr>
        <w:t>合同未尽事宜，合同当事人另行签订补充协议，补充协议是合同的组成部分。</w:t>
      </w:r>
    </w:p>
    <w:p w14:paraId="3E8F9491">
      <w:pPr>
        <w:spacing w:line="360" w:lineRule="auto"/>
        <w:ind w:firstLine="437"/>
        <w:rPr>
          <w:rFonts w:ascii="宋体" w:hAnsi="宋体" w:cs="宋体"/>
          <w:b/>
          <w:sz w:val="24"/>
        </w:rPr>
      </w:pPr>
      <w:r>
        <w:rPr>
          <w:rFonts w:hint="eastAsia" w:ascii="宋体" w:hAnsi="宋体" w:cs="宋体"/>
          <w:b/>
          <w:sz w:val="24"/>
        </w:rPr>
        <w:t>十二、合同生效</w:t>
      </w:r>
    </w:p>
    <w:p w14:paraId="0F721BFC">
      <w:pPr>
        <w:spacing w:line="360" w:lineRule="auto"/>
        <w:ind w:firstLine="437"/>
        <w:rPr>
          <w:rFonts w:ascii="宋体" w:hAnsi="宋体" w:cs="宋体"/>
          <w:b/>
          <w:sz w:val="24"/>
        </w:rPr>
      </w:pPr>
      <w:r>
        <w:rPr>
          <w:rFonts w:hint="eastAsia" w:ascii="宋体" w:hAnsi="宋体" w:cs="宋体"/>
          <w:bCs/>
          <w:sz w:val="24"/>
        </w:rPr>
        <w:t>本合同自</w:t>
      </w:r>
      <w:r>
        <w:rPr>
          <w:rFonts w:hint="eastAsia" w:ascii="宋体" w:hAnsi="宋体" w:cs="宋体"/>
          <w:sz w:val="24"/>
          <w:u w:val="single"/>
        </w:rPr>
        <w:t xml:space="preserve">  </w:t>
      </w:r>
      <w:r>
        <w:rPr>
          <w:rFonts w:hint="eastAsia" w:ascii="宋体" w:hAnsi="宋体" w:cs="宋体"/>
          <w:b/>
          <w:sz w:val="24"/>
          <w:u w:val="single"/>
        </w:rPr>
        <w:t>双方签字、盖章且承包人提交履约保证金后</w:t>
      </w:r>
      <w:r>
        <w:rPr>
          <w:rFonts w:hint="eastAsia" w:ascii="宋体" w:hAnsi="宋体" w:cs="宋体"/>
          <w:bCs/>
          <w:sz w:val="24"/>
        </w:rPr>
        <w:t>生效。</w:t>
      </w:r>
    </w:p>
    <w:p w14:paraId="6A8EB45D">
      <w:pPr>
        <w:spacing w:line="360" w:lineRule="auto"/>
        <w:ind w:firstLine="437"/>
        <w:rPr>
          <w:rFonts w:ascii="宋体" w:hAnsi="宋体" w:cs="宋体"/>
          <w:b/>
          <w:sz w:val="24"/>
        </w:rPr>
      </w:pPr>
      <w:r>
        <w:rPr>
          <w:rFonts w:hint="eastAsia" w:ascii="宋体" w:hAnsi="宋体" w:cs="宋体"/>
          <w:b/>
          <w:sz w:val="24"/>
        </w:rPr>
        <w:t>十三、合同份数</w:t>
      </w:r>
    </w:p>
    <w:p w14:paraId="5512A1C5">
      <w:pPr>
        <w:spacing w:line="360" w:lineRule="auto"/>
        <w:ind w:firstLine="437"/>
        <w:rPr>
          <w:rFonts w:ascii="宋体" w:hAnsi="宋体" w:cs="宋体"/>
          <w:b/>
          <w:sz w:val="24"/>
        </w:rPr>
      </w:pPr>
      <w:r>
        <w:rPr>
          <w:rFonts w:hint="eastAsia" w:ascii="宋体" w:hAnsi="宋体" w:cs="宋体"/>
          <w:bCs/>
          <w:sz w:val="24"/>
        </w:rPr>
        <w:t>本合同一式</w:t>
      </w:r>
      <w:r>
        <w:rPr>
          <w:rFonts w:hint="eastAsia" w:ascii="宋体" w:hAnsi="宋体" w:cs="宋体"/>
          <w:sz w:val="24"/>
          <w:u w:val="single"/>
        </w:rPr>
        <w:t>捌</w:t>
      </w:r>
      <w:r>
        <w:rPr>
          <w:rFonts w:hint="eastAsia" w:ascii="宋体" w:hAnsi="宋体" w:cs="宋体"/>
          <w:bCs/>
          <w:sz w:val="24"/>
        </w:rPr>
        <w:t>份，均具有同等法律效力，发包人执</w:t>
      </w:r>
      <w:r>
        <w:rPr>
          <w:rFonts w:hint="eastAsia" w:ascii="宋体" w:hAnsi="宋体" w:cs="宋体"/>
          <w:sz w:val="24"/>
          <w:u w:val="single"/>
        </w:rPr>
        <w:t>肆</w:t>
      </w:r>
      <w:r>
        <w:rPr>
          <w:rFonts w:hint="eastAsia" w:ascii="宋体" w:hAnsi="宋体" w:cs="宋体"/>
          <w:bCs/>
          <w:sz w:val="24"/>
        </w:rPr>
        <w:t>份，承包人执</w:t>
      </w:r>
      <w:r>
        <w:rPr>
          <w:rFonts w:hint="eastAsia" w:ascii="宋体" w:hAnsi="宋体" w:cs="宋体"/>
          <w:sz w:val="24"/>
          <w:u w:val="single"/>
        </w:rPr>
        <w:t>肆</w:t>
      </w:r>
      <w:r>
        <w:rPr>
          <w:rFonts w:hint="eastAsia" w:ascii="宋体" w:hAnsi="宋体" w:cs="宋体"/>
          <w:bCs/>
          <w:sz w:val="24"/>
        </w:rPr>
        <w:t>份。</w:t>
      </w:r>
    </w:p>
    <w:p w14:paraId="62D06217">
      <w:pPr>
        <w:snapToGrid w:val="0"/>
        <w:spacing w:line="360" w:lineRule="auto"/>
        <w:ind w:right="-624" w:rightChars="-297"/>
        <w:rPr>
          <w:rFonts w:ascii="宋体" w:hAnsi="宋体" w:cs="宋体"/>
          <w:sz w:val="24"/>
        </w:rPr>
      </w:pPr>
    </w:p>
    <w:p w14:paraId="67249585">
      <w:pPr>
        <w:snapToGrid w:val="0"/>
        <w:spacing w:line="360" w:lineRule="auto"/>
        <w:ind w:right="-624" w:rightChars="-297"/>
        <w:rPr>
          <w:rFonts w:ascii="宋体" w:hAnsi="宋体" w:cs="宋体"/>
          <w:kern w:val="0"/>
          <w:sz w:val="24"/>
        </w:rPr>
      </w:pPr>
      <w:bookmarkStart w:id="458" w:name="_Toc351203494"/>
      <w:r>
        <w:rPr>
          <w:rFonts w:hint="eastAsia" w:ascii="宋体" w:hAnsi="宋体" w:cs="宋体"/>
          <w:sz w:val="24"/>
        </w:rPr>
        <w:t>发包人：</w:t>
      </w:r>
      <w:r>
        <w:rPr>
          <w:rFonts w:hint="eastAsia" w:ascii="宋体" w:hAnsi="宋体" w:cs="宋体"/>
          <w:kern w:val="0"/>
          <w:sz w:val="24"/>
          <w:u w:val="single"/>
        </w:rPr>
        <w:t xml:space="preserve">   浙江中医药大学           </w:t>
      </w:r>
      <w:r>
        <w:rPr>
          <w:rFonts w:hint="eastAsia" w:ascii="宋体" w:hAnsi="宋体" w:cs="宋体"/>
          <w:kern w:val="0"/>
          <w:sz w:val="24"/>
        </w:rPr>
        <w:t>（盖章）      承包人：</w:t>
      </w:r>
      <w:bookmarkStart w:id="459" w:name="_Hlk106096075"/>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bookmarkEnd w:id="459"/>
      <w:r>
        <w:rPr>
          <w:rFonts w:hint="eastAsia" w:ascii="宋体" w:hAnsi="宋体" w:cs="宋体"/>
          <w:kern w:val="0"/>
          <w:sz w:val="24"/>
          <w:u w:val="single"/>
        </w:rPr>
        <w:t xml:space="preserve">  </w:t>
      </w:r>
      <w:r>
        <w:rPr>
          <w:rFonts w:hint="eastAsia" w:ascii="宋体" w:hAnsi="宋体" w:cs="宋体"/>
          <w:kern w:val="0"/>
          <w:sz w:val="24"/>
        </w:rPr>
        <w:t>（盖章）</w:t>
      </w:r>
    </w:p>
    <w:p w14:paraId="3A05928C">
      <w:pPr>
        <w:spacing w:line="360" w:lineRule="auto"/>
        <w:rPr>
          <w:rFonts w:ascii="宋体" w:hAnsi="宋体" w:cs="宋体"/>
          <w:sz w:val="24"/>
        </w:rPr>
      </w:pPr>
      <w:r>
        <w:rPr>
          <w:rFonts w:hint="eastAsia" w:ascii="宋体" w:hAnsi="宋体" w:cs="宋体"/>
          <w:sz w:val="24"/>
        </w:rPr>
        <w:t>法定代表人或其委托代理人：（签字）              法定代表人或其委托代理人：（签字）</w:t>
      </w:r>
    </w:p>
    <w:p w14:paraId="71913FD7">
      <w:pPr>
        <w:tabs>
          <w:tab w:val="left" w:pos="4410"/>
        </w:tabs>
        <w:spacing w:line="360" w:lineRule="auto"/>
        <w:ind w:right="-624" w:rightChars="-297"/>
        <w:rPr>
          <w:rFonts w:ascii="宋体" w:hAnsi="宋体" w:cs="宋体"/>
          <w:sz w:val="24"/>
        </w:rPr>
      </w:pPr>
      <w:r>
        <w:rPr>
          <w:rFonts w:hint="eastAsia" w:ascii="宋体" w:hAnsi="宋体" w:cs="宋体"/>
          <w:sz w:val="24"/>
        </w:rPr>
        <w:t>组织机构代码：</w:t>
      </w:r>
      <w:r>
        <w:rPr>
          <w:rFonts w:hint="eastAsia" w:ascii="宋体" w:hAnsi="宋体" w:cs="宋体"/>
          <w:sz w:val="24"/>
          <w:u w:val="single"/>
        </w:rPr>
        <w:t>12330000470004110Q</w:t>
      </w:r>
      <w:r>
        <w:rPr>
          <w:rFonts w:hint="eastAsia" w:ascii="宋体" w:hAnsi="宋体" w:cs="宋体"/>
          <w:sz w:val="24"/>
        </w:rPr>
        <w:t xml:space="preserve">               组织机构代码：</w:t>
      </w:r>
      <w:r>
        <w:rPr>
          <w:rFonts w:hint="eastAsia" w:ascii="宋体" w:hAnsi="宋体" w:cs="宋体"/>
          <w:kern w:val="0"/>
          <w:sz w:val="24"/>
          <w:u w:val="single"/>
        </w:rPr>
        <w:t xml:space="preserve">                </w:t>
      </w:r>
    </w:p>
    <w:p w14:paraId="4349E495">
      <w:pPr>
        <w:spacing w:line="360" w:lineRule="auto"/>
        <w:ind w:right="-624" w:rightChars="-297"/>
        <w:rPr>
          <w:rFonts w:ascii="宋体" w:hAnsi="宋体" w:cs="宋体"/>
          <w:sz w:val="24"/>
          <w:u w:val="single"/>
        </w:rPr>
      </w:pPr>
      <w:bookmarkStart w:id="460" w:name="_Hlk74481236"/>
      <w:r>
        <w:rPr>
          <w:rFonts w:hint="eastAsia" w:ascii="宋体" w:hAnsi="宋体" w:cs="宋体"/>
          <w:sz w:val="24"/>
        </w:rPr>
        <w:t>地  址：</w:t>
      </w:r>
      <w:r>
        <w:rPr>
          <w:rFonts w:hint="eastAsia" w:ascii="宋体" w:hAnsi="宋体" w:cs="宋体"/>
          <w:sz w:val="24"/>
          <w:u w:val="single"/>
        </w:rPr>
        <w:t xml:space="preserve"> 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bookmarkEnd w:id="460"/>
    <w:p w14:paraId="7F6E68C7">
      <w:pPr>
        <w:spacing w:line="360" w:lineRule="auto"/>
        <w:ind w:right="-624" w:rightChars="-297"/>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kern w:val="0"/>
          <w:sz w:val="24"/>
          <w:u w:val="single"/>
        </w:rPr>
        <w:t xml:space="preserve">                </w:t>
      </w:r>
      <w:r>
        <w:rPr>
          <w:rFonts w:hint="eastAsia" w:ascii="宋体" w:hAnsi="宋体" w:cs="宋体"/>
          <w:sz w:val="24"/>
          <w:u w:val="single"/>
        </w:rPr>
        <w:t xml:space="preserve">  </w:t>
      </w:r>
    </w:p>
    <w:p w14:paraId="348DFE16">
      <w:pPr>
        <w:spacing w:line="360" w:lineRule="auto"/>
        <w:ind w:right="-624" w:rightChars="-297"/>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14:paraId="75C2A793">
      <w:pPr>
        <w:spacing w:line="360" w:lineRule="auto"/>
        <w:ind w:right="-624" w:rightChars="-297"/>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       </w:t>
      </w:r>
      <w:r>
        <w:rPr>
          <w:rFonts w:hint="eastAsia" w:ascii="宋体" w:hAnsi="宋体" w:cs="宋体"/>
          <w:sz w:val="24"/>
        </w:rPr>
        <w:t xml:space="preserve">                     委托代理人：</w:t>
      </w:r>
      <w:r>
        <w:rPr>
          <w:rFonts w:hint="eastAsia" w:ascii="宋体" w:hAnsi="宋体" w:cs="宋体"/>
          <w:sz w:val="24"/>
          <w:u w:val="single"/>
        </w:rPr>
        <w:t xml:space="preserve">   /       </w:t>
      </w:r>
    </w:p>
    <w:p w14:paraId="7E07822E">
      <w:pPr>
        <w:spacing w:line="360" w:lineRule="auto"/>
        <w:ind w:right="-624" w:rightChars="-297"/>
        <w:rPr>
          <w:rFonts w:ascii="宋体" w:hAnsi="宋体" w:cs="宋体"/>
          <w:sz w:val="24"/>
        </w:rPr>
      </w:pPr>
      <w:r>
        <w:rPr>
          <w:rFonts w:hint="eastAsia" w:ascii="宋体" w:hAnsi="宋体" w:cs="宋体"/>
          <w:sz w:val="24"/>
        </w:rPr>
        <w:t>电  话：</w:t>
      </w:r>
      <w:r>
        <w:rPr>
          <w:rFonts w:hint="eastAsia" w:ascii="宋体" w:hAnsi="宋体" w:cs="宋体"/>
          <w:sz w:val="24"/>
          <w:u w:val="single"/>
        </w:rPr>
        <w:t></w:t>
      </w:r>
      <w:bookmarkStart w:id="461" w:name="_Hlk74481252"/>
      <w:r>
        <w:rPr>
          <w:rFonts w:hint="eastAsia" w:ascii="宋体" w:hAnsi="宋体" w:cs="宋体"/>
          <w:kern w:val="0"/>
          <w:sz w:val="24"/>
          <w:u w:val="single"/>
        </w:rPr>
        <w:t xml:space="preserve">            </w:t>
      </w:r>
      <w:bookmarkEnd w:id="461"/>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1AB1A875">
      <w:pPr>
        <w:spacing w:line="360" w:lineRule="auto"/>
        <w:ind w:right="-624" w:rightChars="-297"/>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5862ECF6">
      <w:pPr>
        <w:spacing w:line="360" w:lineRule="auto"/>
        <w:ind w:right="-624" w:rightChars="-297"/>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kern w:val="0"/>
          <w:sz w:val="24"/>
          <w:u w:val="single"/>
        </w:rPr>
        <w:t xml:space="preserve">                </w:t>
      </w:r>
    </w:p>
    <w:p w14:paraId="32E2AA84">
      <w:pPr>
        <w:spacing w:line="360" w:lineRule="auto"/>
        <w:ind w:right="-624" w:rightChars="-297"/>
        <w:rPr>
          <w:rFonts w:ascii="宋体" w:hAnsi="宋体" w:cs="宋体"/>
          <w:sz w:val="24"/>
        </w:rPr>
      </w:pPr>
      <w:bookmarkStart w:id="462" w:name="_Hlk74481263"/>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028D8C7B">
      <w:pPr>
        <w:spacing w:line="360" w:lineRule="auto"/>
        <w:ind w:right="-624" w:rightChars="-29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1FF28AF6">
      <w:pPr>
        <w:autoSpaceDE w:val="0"/>
        <w:autoSpaceDN w:val="0"/>
        <w:jc w:val="left"/>
        <w:rPr>
          <w:rFonts w:ascii="宋体" w:hAnsi="宋体" w:cs="宋体"/>
          <w:kern w:val="0"/>
          <w:sz w:val="24"/>
        </w:rPr>
      </w:pPr>
    </w:p>
    <w:p w14:paraId="74F4201C">
      <w:pPr>
        <w:spacing w:line="360" w:lineRule="auto"/>
        <w:rPr>
          <w:rFonts w:ascii="宋体" w:hAnsi="宋体" w:cs="宋体"/>
          <w:sz w:val="24"/>
        </w:rPr>
      </w:pPr>
      <w:r>
        <w:rPr>
          <w:rFonts w:hint="eastAsia" w:ascii="宋体" w:hAnsi="宋体" w:cs="宋体"/>
          <w:sz w:val="24"/>
        </w:rPr>
        <w:t>鉴证单位：</w:t>
      </w:r>
      <w:r>
        <w:rPr>
          <w:rFonts w:hint="eastAsia" w:ascii="宋体" w:hAnsi="宋体" w:cs="宋体"/>
          <w:sz w:val="24"/>
          <w:u w:val="single"/>
        </w:rPr>
        <w:t>浙江豪圣建设项目管理有限公司（盖章）</w:t>
      </w:r>
    </w:p>
    <w:p w14:paraId="7B9BBC0A">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日   期： </w:t>
      </w:r>
    </w:p>
    <w:bookmarkEnd w:id="462"/>
    <w:p w14:paraId="386A74A8">
      <w:pPr>
        <w:spacing w:line="360" w:lineRule="auto"/>
        <w:jc w:val="center"/>
        <w:outlineLvl w:val="1"/>
        <w:rPr>
          <w:rFonts w:ascii="宋体" w:hAnsi="宋体" w:cs="宋体"/>
          <w:b/>
          <w:sz w:val="24"/>
        </w:rPr>
      </w:pPr>
      <w:r>
        <w:rPr>
          <w:rFonts w:hint="eastAsia" w:ascii="宋体" w:hAnsi="宋体" w:cs="宋体"/>
          <w:b/>
          <w:sz w:val="24"/>
        </w:rPr>
        <w:br w:type="page"/>
      </w:r>
      <w:bookmarkStart w:id="463" w:name="_Toc23858"/>
      <w:bookmarkStart w:id="464" w:name="_Toc65855222"/>
      <w:bookmarkStart w:id="465" w:name="_Toc22109"/>
      <w:bookmarkStart w:id="466" w:name="_Toc9670"/>
      <w:bookmarkStart w:id="467" w:name="_Toc21340"/>
      <w:bookmarkStart w:id="468" w:name="_Toc31859"/>
      <w:bookmarkStart w:id="469" w:name="_Toc31843"/>
      <w:bookmarkStart w:id="470" w:name="_Toc22728"/>
      <w:bookmarkStart w:id="471" w:name="_Toc32677"/>
      <w:bookmarkStart w:id="472" w:name="_Toc7177"/>
      <w:bookmarkStart w:id="473" w:name="_Toc25343"/>
      <w:bookmarkStart w:id="474" w:name="_Toc30683"/>
      <w:bookmarkStart w:id="475" w:name="_Toc31148"/>
      <w:bookmarkStart w:id="476" w:name="_Hlk62485489"/>
      <w:r>
        <w:rPr>
          <w:rFonts w:hint="eastAsia" w:ascii="宋体" w:hAnsi="宋体" w:cs="宋体"/>
          <w:b/>
          <w:sz w:val="24"/>
        </w:rPr>
        <w:t>第二部分 通用合同条款</w:t>
      </w:r>
      <w:bookmarkEnd w:id="458"/>
      <w:r>
        <w:rPr>
          <w:rFonts w:hint="eastAsia" w:ascii="宋体" w:hAnsi="宋体" w:cs="宋体"/>
          <w:b/>
          <w:sz w:val="24"/>
        </w:rPr>
        <w:t>（略)</w:t>
      </w:r>
      <w:bookmarkEnd w:id="463"/>
      <w:bookmarkEnd w:id="464"/>
      <w:bookmarkEnd w:id="465"/>
      <w:bookmarkEnd w:id="466"/>
      <w:bookmarkEnd w:id="467"/>
      <w:bookmarkEnd w:id="468"/>
      <w:bookmarkEnd w:id="469"/>
      <w:bookmarkEnd w:id="470"/>
      <w:bookmarkEnd w:id="471"/>
      <w:bookmarkEnd w:id="472"/>
      <w:bookmarkEnd w:id="473"/>
      <w:bookmarkEnd w:id="474"/>
      <w:bookmarkEnd w:id="475"/>
    </w:p>
    <w:p w14:paraId="1DCC3105">
      <w:pPr>
        <w:spacing w:line="360" w:lineRule="auto"/>
        <w:ind w:firstLine="480" w:firstLineChars="200"/>
        <w:jc w:val="center"/>
        <w:rPr>
          <w:rFonts w:ascii="宋体" w:hAnsi="宋体" w:cs="宋体"/>
          <w:sz w:val="24"/>
        </w:rPr>
      </w:pPr>
      <w:r>
        <w:rPr>
          <w:rFonts w:hint="eastAsia" w:ascii="宋体" w:hAnsi="宋体" w:cs="宋体"/>
          <w:sz w:val="24"/>
        </w:rPr>
        <w:t>同《建设工程施工合同》(示范文本)GF-2017-0201</w:t>
      </w:r>
    </w:p>
    <w:p w14:paraId="7E21C522">
      <w:pPr>
        <w:spacing w:line="360" w:lineRule="auto"/>
        <w:jc w:val="center"/>
        <w:outlineLvl w:val="1"/>
        <w:rPr>
          <w:rFonts w:ascii="宋体" w:hAnsi="宋体" w:cs="宋体"/>
          <w:b/>
          <w:sz w:val="24"/>
        </w:rPr>
      </w:pPr>
      <w:bookmarkStart w:id="477" w:name="_Toc351203632"/>
      <w:bookmarkStart w:id="478" w:name="_Toc28378"/>
      <w:bookmarkStart w:id="479" w:name="_Toc11698"/>
      <w:bookmarkStart w:id="480" w:name="_Toc5929"/>
      <w:bookmarkStart w:id="481" w:name="_Toc65855223"/>
      <w:bookmarkStart w:id="482" w:name="_Toc2535"/>
      <w:bookmarkStart w:id="483" w:name="_Toc22444"/>
      <w:bookmarkStart w:id="484" w:name="_Toc12431"/>
      <w:bookmarkStart w:id="485" w:name="_Toc8688"/>
      <w:bookmarkStart w:id="486" w:name="_Toc31887"/>
      <w:bookmarkStart w:id="487" w:name="_Toc10024"/>
      <w:bookmarkStart w:id="488" w:name="_Toc26970"/>
      <w:bookmarkStart w:id="489" w:name="_Toc6686"/>
      <w:bookmarkStart w:id="490" w:name="_Toc22755"/>
      <w:r>
        <w:rPr>
          <w:rFonts w:hint="eastAsia" w:ascii="宋体" w:hAnsi="宋体" w:cs="宋体"/>
          <w:b/>
          <w:sz w:val="24"/>
        </w:rPr>
        <w:t>第三部分 专用合同条款</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bookmarkEnd w:id="454"/>
    <w:bookmarkEnd w:id="476"/>
    <w:p w14:paraId="626BA0C0">
      <w:pPr>
        <w:topLinePunct/>
        <w:spacing w:line="360" w:lineRule="auto"/>
        <w:ind w:firstLine="420"/>
        <w:rPr>
          <w:rFonts w:ascii="宋体" w:hAnsi="宋体" w:cs="宋体"/>
          <w:b/>
          <w:sz w:val="24"/>
        </w:rPr>
      </w:pPr>
      <w:r>
        <w:rPr>
          <w:rFonts w:hint="eastAsia" w:ascii="宋体" w:hAnsi="宋体" w:cs="宋体"/>
          <w:b/>
          <w:sz w:val="24"/>
        </w:rPr>
        <w:t>1.一般约定</w:t>
      </w:r>
    </w:p>
    <w:p w14:paraId="25C5B362">
      <w:pPr>
        <w:spacing w:line="360" w:lineRule="auto"/>
        <w:ind w:firstLine="480" w:firstLineChars="200"/>
        <w:rPr>
          <w:rFonts w:ascii="宋体" w:hAnsi="宋体" w:cs="宋体"/>
          <w:sz w:val="24"/>
        </w:rPr>
      </w:pPr>
      <w:r>
        <w:rPr>
          <w:rFonts w:hint="eastAsia" w:ascii="宋体" w:hAnsi="宋体" w:cs="宋体"/>
          <w:sz w:val="24"/>
        </w:rPr>
        <w:t>1.1 词语定义</w:t>
      </w:r>
    </w:p>
    <w:p w14:paraId="44EA9F82">
      <w:pPr>
        <w:spacing w:line="360" w:lineRule="auto"/>
        <w:ind w:firstLine="480" w:firstLineChars="200"/>
        <w:rPr>
          <w:rFonts w:ascii="宋体" w:hAnsi="宋体" w:cs="宋体"/>
          <w:sz w:val="24"/>
        </w:rPr>
      </w:pPr>
      <w:r>
        <w:rPr>
          <w:rFonts w:hint="eastAsia" w:ascii="宋体" w:hAnsi="宋体" w:cs="宋体"/>
          <w:sz w:val="24"/>
        </w:rPr>
        <w:t>1.1.1合同</w:t>
      </w:r>
    </w:p>
    <w:p w14:paraId="198C6B08">
      <w:pPr>
        <w:spacing w:line="360" w:lineRule="auto"/>
        <w:ind w:firstLine="480" w:firstLineChars="200"/>
        <w:rPr>
          <w:rFonts w:ascii="宋体" w:hAnsi="宋体" w:cs="宋体"/>
          <w:sz w:val="24"/>
        </w:rPr>
      </w:pPr>
      <w:r>
        <w:rPr>
          <w:rFonts w:hint="eastAsia" w:ascii="宋体" w:hAnsi="宋体" w:cs="宋体"/>
          <w:sz w:val="24"/>
        </w:rPr>
        <w:t>1.1.1.10其他合同文件包括：</w:t>
      </w:r>
    </w:p>
    <w:p w14:paraId="6CDC4B40">
      <w:pPr>
        <w:spacing w:line="360" w:lineRule="auto"/>
        <w:ind w:left="-315" w:leftChars="-150" w:firstLine="840" w:firstLineChars="350"/>
        <w:rPr>
          <w:rFonts w:ascii="宋体" w:hAnsi="宋体" w:cs="宋体"/>
          <w:sz w:val="24"/>
          <w:u w:val="single"/>
        </w:rPr>
      </w:pPr>
      <w:r>
        <w:rPr>
          <w:rFonts w:hint="eastAsia" w:ascii="宋体" w:hAnsi="宋体" w:cs="宋体"/>
          <w:sz w:val="24"/>
          <w:u w:val="single"/>
        </w:rPr>
        <w:t>施工组织设计：施工组织设计是用来指导施工项目全过程各项活动的技术、经济和组织的综合性文件。</w:t>
      </w:r>
    </w:p>
    <w:p w14:paraId="483D01A7">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2B6C12BB">
      <w:pPr>
        <w:spacing w:line="360" w:lineRule="auto"/>
        <w:ind w:firstLine="480" w:firstLineChars="200"/>
        <w:rPr>
          <w:rFonts w:ascii="宋体" w:hAnsi="宋体" w:cs="宋体"/>
          <w:sz w:val="24"/>
        </w:rPr>
      </w:pPr>
      <w:r>
        <w:rPr>
          <w:rFonts w:hint="eastAsia" w:ascii="宋体" w:hAnsi="宋体" w:cs="宋体"/>
          <w:sz w:val="24"/>
        </w:rPr>
        <w:t>1.1.2.4监理人：</w:t>
      </w:r>
    </w:p>
    <w:p w14:paraId="23751D59">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w:t>
      </w:r>
    </w:p>
    <w:p w14:paraId="0D2F87F5">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p>
    <w:p w14:paraId="03D4A46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p>
    <w:p w14:paraId="36302117">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p>
    <w:p w14:paraId="7D28353F">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p>
    <w:p w14:paraId="6C16B368">
      <w:pPr>
        <w:spacing w:line="360" w:lineRule="auto"/>
        <w:ind w:firstLine="480" w:firstLineChars="200"/>
        <w:rPr>
          <w:rFonts w:ascii="宋体" w:hAnsi="宋体" w:cs="宋体"/>
          <w:sz w:val="24"/>
        </w:rPr>
      </w:pPr>
      <w:r>
        <w:rPr>
          <w:rFonts w:hint="eastAsia" w:ascii="宋体" w:hAnsi="宋体" w:cs="宋体"/>
          <w:sz w:val="24"/>
        </w:rPr>
        <w:t>1.1.2.5 设计人：</w:t>
      </w:r>
    </w:p>
    <w:p w14:paraId="6E90E7F9">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w:t>
      </w:r>
    </w:p>
    <w:p w14:paraId="1A62861F">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w:t>
      </w:r>
    </w:p>
    <w:p w14:paraId="72BB1BD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2E946EFA">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w:t>
      </w:r>
    </w:p>
    <w:p w14:paraId="4621979C">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w:t>
      </w:r>
    </w:p>
    <w:p w14:paraId="5E368902">
      <w:pPr>
        <w:spacing w:line="360" w:lineRule="auto"/>
        <w:ind w:firstLine="480" w:firstLineChars="200"/>
        <w:rPr>
          <w:rFonts w:ascii="宋体" w:hAnsi="宋体" w:cs="宋体"/>
          <w:sz w:val="24"/>
        </w:rPr>
      </w:pPr>
      <w:r>
        <w:rPr>
          <w:rFonts w:hint="eastAsia" w:ascii="宋体" w:hAnsi="宋体" w:cs="宋体"/>
          <w:sz w:val="24"/>
        </w:rPr>
        <w:t>1.1.3 工程和设备</w:t>
      </w:r>
    </w:p>
    <w:p w14:paraId="50F1A184">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w:t>
      </w:r>
    </w:p>
    <w:p w14:paraId="04D3229A">
      <w:pPr>
        <w:spacing w:line="360" w:lineRule="auto"/>
        <w:ind w:firstLine="480" w:firstLineChars="200"/>
        <w:rPr>
          <w:rFonts w:ascii="宋体" w:hAnsi="宋体" w:cs="宋体"/>
          <w:kern w:val="0"/>
          <w:sz w:val="24"/>
        </w:rPr>
      </w:pPr>
      <w:r>
        <w:rPr>
          <w:rFonts w:hint="eastAsia" w:ascii="宋体" w:hAnsi="宋体" w:cs="宋体"/>
          <w:sz w:val="24"/>
        </w:rPr>
        <w:t>1.1.3.9 永久占地包括：</w:t>
      </w:r>
      <w:r>
        <w:rPr>
          <w:rFonts w:hint="eastAsia" w:ascii="宋体" w:hAnsi="宋体" w:cs="宋体"/>
          <w:sz w:val="24"/>
          <w:u w:val="single"/>
        </w:rPr>
        <w:t>/。</w:t>
      </w:r>
    </w:p>
    <w:p w14:paraId="4AB65158">
      <w:pPr>
        <w:spacing w:line="360" w:lineRule="auto"/>
        <w:ind w:firstLine="480" w:firstLineChars="200"/>
        <w:rPr>
          <w:rFonts w:ascii="宋体" w:hAnsi="宋体" w:cs="宋体"/>
          <w:sz w:val="24"/>
          <w:u w:val="single"/>
        </w:rPr>
      </w:pPr>
      <w:r>
        <w:rPr>
          <w:rFonts w:hint="eastAsia" w:ascii="宋体" w:hAnsi="宋体" w:cs="宋体"/>
          <w:sz w:val="24"/>
        </w:rPr>
        <w:t>1.1.3.10 临时占地包括：</w:t>
      </w:r>
      <w:r>
        <w:rPr>
          <w:rFonts w:hint="eastAsia" w:ascii="宋体" w:hAnsi="宋体" w:cs="宋体"/>
          <w:sz w:val="24"/>
          <w:u w:val="single"/>
        </w:rPr>
        <w:t xml:space="preserve"> /。</w:t>
      </w:r>
    </w:p>
    <w:p w14:paraId="27DFBD31">
      <w:pPr>
        <w:spacing w:line="360" w:lineRule="auto"/>
        <w:ind w:firstLine="480" w:firstLineChars="200"/>
        <w:rPr>
          <w:rFonts w:ascii="宋体" w:hAnsi="宋体" w:cs="宋体"/>
          <w:sz w:val="24"/>
        </w:rPr>
      </w:pPr>
      <w:r>
        <w:rPr>
          <w:rFonts w:hint="eastAsia" w:ascii="宋体" w:hAnsi="宋体" w:cs="宋体"/>
          <w:sz w:val="24"/>
        </w:rPr>
        <w:t xml:space="preserve">1.3法律 </w:t>
      </w:r>
    </w:p>
    <w:p w14:paraId="21185B4E">
      <w:pPr>
        <w:autoSpaceDE w:val="0"/>
        <w:autoSpaceDN w:val="0"/>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4730621D">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u w:val="single"/>
        </w:rPr>
        <w:t>（1）《杭州市建设工程工程量清单计价实施细则》</w:t>
      </w:r>
    </w:p>
    <w:p w14:paraId="3AE3239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（2）《关于进一步加强建筑施工领域企业安全生产工作的实施意见》的通知（杭建工发〔2011〕130号）</w:t>
      </w:r>
    </w:p>
    <w:p w14:paraId="33DDE7FB">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（3）《关于进一步加强建设工程安全质量物联网管理应用平台建设的通知》（</w:t>
      </w:r>
      <w:r>
        <w:rPr>
          <w:rFonts w:hint="eastAsia" w:ascii="宋体" w:hAnsi="宋体" w:cs="宋体"/>
          <w:kern w:val="0"/>
          <w:sz w:val="24"/>
          <w:u w:val="single"/>
        </w:rPr>
        <w:t>杭建工发【2012】426号）</w:t>
      </w:r>
    </w:p>
    <w:p w14:paraId="51743815">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（4）《杭州市人民政府办公厅关于印发杭州市建设工程推广应用预拌砂浆管理办法的通知》（杭政办函（2011）32号）</w:t>
      </w:r>
    </w:p>
    <w:p w14:paraId="13E7902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（5）</w:t>
      </w:r>
      <w:r>
        <w:rPr>
          <w:rFonts w:hint="eastAsia" w:ascii="宋体" w:hAnsi="宋体" w:cs="宋体"/>
          <w:kern w:val="0"/>
          <w:sz w:val="24"/>
          <w:u w:val="single"/>
        </w:rPr>
        <w:t>《关于落实建筑工棚安装空调事宜的通知》（</w:t>
      </w:r>
      <w:r>
        <w:rPr>
          <w:rFonts w:hint="eastAsia" w:ascii="宋体" w:hAnsi="宋体" w:cs="宋体"/>
          <w:sz w:val="24"/>
          <w:u w:val="single"/>
        </w:rPr>
        <w:t>杭建工发【2011】237号）</w:t>
      </w:r>
    </w:p>
    <w:p w14:paraId="098BCD61">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（6</w:t>
      </w:r>
      <w:r>
        <w:rPr>
          <w:rFonts w:hint="eastAsia" w:ascii="宋体" w:hAnsi="宋体" w:cs="宋体"/>
          <w:kern w:val="0"/>
          <w:sz w:val="24"/>
          <w:u w:val="single"/>
        </w:rPr>
        <w:t>）《关于进一步加强杭州市建设工程市场要素价格动态管理的指导意见》（杭建市【2018】579号）</w:t>
      </w:r>
    </w:p>
    <w:p w14:paraId="25FDCA6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（7）《关于贯彻执行浙江省建设工程计价依据（2018版）的通知》（杭建市【2018】164号）</w:t>
      </w:r>
    </w:p>
    <w:p w14:paraId="0E03D067">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（8）其他：省、市、区行政主管部门颁发的其他规范性文件。</w:t>
      </w:r>
    </w:p>
    <w:p w14:paraId="2994F648">
      <w:pPr>
        <w:spacing w:line="360" w:lineRule="auto"/>
        <w:ind w:firstLine="480" w:firstLineChars="200"/>
        <w:rPr>
          <w:rFonts w:ascii="宋体" w:hAnsi="宋体" w:cs="宋体"/>
          <w:sz w:val="24"/>
        </w:rPr>
      </w:pPr>
      <w:r>
        <w:rPr>
          <w:rFonts w:hint="eastAsia" w:ascii="宋体" w:hAnsi="宋体" w:cs="宋体"/>
          <w:sz w:val="24"/>
        </w:rPr>
        <w:t>1.4 标准和规范</w:t>
      </w:r>
    </w:p>
    <w:p w14:paraId="12E53164">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按通用条款约定；</w:t>
      </w:r>
    </w:p>
    <w:p w14:paraId="1E5A8F64">
      <w:pPr>
        <w:spacing w:line="360" w:lineRule="auto"/>
        <w:ind w:firstLine="480" w:firstLineChars="200"/>
        <w:rPr>
          <w:rFonts w:ascii="宋体" w:hAnsi="宋体" w:cs="宋体"/>
          <w:sz w:val="24"/>
          <w:u w:val="single"/>
        </w:rPr>
      </w:pPr>
      <w:r>
        <w:rPr>
          <w:rFonts w:hint="eastAsia" w:ascii="宋体" w:hAnsi="宋体" w:cs="宋体"/>
          <w:sz w:val="24"/>
        </w:rPr>
        <w:t xml:space="preserve">1.4.2 发包人提供国外标准、规范的名称： </w:t>
      </w:r>
      <w:r>
        <w:rPr>
          <w:rFonts w:hint="eastAsia" w:ascii="宋体" w:hAnsi="宋体" w:cs="宋体"/>
          <w:sz w:val="24"/>
          <w:u w:val="single"/>
        </w:rPr>
        <w:t xml:space="preserve"> /；</w:t>
      </w:r>
    </w:p>
    <w:p w14:paraId="16F9FD98">
      <w:pPr>
        <w:spacing w:line="360" w:lineRule="auto"/>
        <w:ind w:firstLine="480" w:firstLineChars="200"/>
        <w:rPr>
          <w:rFonts w:ascii="宋体" w:hAnsi="宋体" w:cs="宋体"/>
          <w:kern w:val="0"/>
          <w:sz w:val="24"/>
        </w:rPr>
      </w:pPr>
      <w:r>
        <w:rPr>
          <w:rFonts w:hint="eastAsia" w:ascii="宋体" w:hAnsi="宋体" w:cs="宋体"/>
          <w:sz w:val="24"/>
        </w:rPr>
        <w:t>发包人提供国外标准、规范的份数：</w:t>
      </w:r>
      <w:r>
        <w:rPr>
          <w:rFonts w:hint="eastAsia" w:ascii="宋体" w:hAnsi="宋体" w:cs="宋体"/>
          <w:sz w:val="24"/>
          <w:u w:val="single"/>
        </w:rPr>
        <w:t>/；</w:t>
      </w:r>
    </w:p>
    <w:p w14:paraId="16340804">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w:t>
      </w:r>
    </w:p>
    <w:p w14:paraId="6942E3D4">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w:t>
      </w:r>
    </w:p>
    <w:p w14:paraId="6987A610">
      <w:pPr>
        <w:spacing w:line="360" w:lineRule="auto"/>
        <w:ind w:firstLine="480" w:firstLineChars="200"/>
        <w:rPr>
          <w:rFonts w:ascii="宋体" w:hAnsi="宋体" w:cs="宋体"/>
          <w:sz w:val="24"/>
        </w:rPr>
      </w:pPr>
      <w:r>
        <w:rPr>
          <w:rFonts w:hint="eastAsia" w:ascii="宋体" w:hAnsi="宋体" w:cs="宋体"/>
          <w:sz w:val="24"/>
        </w:rPr>
        <w:t>1.5 合同文件的优先顺序</w:t>
      </w:r>
    </w:p>
    <w:p w14:paraId="480E7B3C">
      <w:pPr>
        <w:spacing w:line="360" w:lineRule="auto"/>
        <w:ind w:firstLine="480" w:firstLineChars="200"/>
        <w:rPr>
          <w:rFonts w:ascii="宋体" w:hAnsi="宋体" w:cs="宋体"/>
          <w:sz w:val="24"/>
          <w:u w:val="single"/>
        </w:rPr>
      </w:pPr>
      <w:r>
        <w:rPr>
          <w:rFonts w:hint="eastAsia" w:ascii="宋体" w:hAnsi="宋体" w:cs="宋体"/>
          <w:sz w:val="24"/>
        </w:rPr>
        <w:t>合同文件组成及优先顺序为：</w:t>
      </w:r>
      <w:r>
        <w:rPr>
          <w:rFonts w:hint="eastAsia" w:ascii="宋体" w:hAnsi="宋体" w:cs="宋体"/>
          <w:sz w:val="24"/>
          <w:u w:val="single"/>
        </w:rPr>
        <w:t>（1）合同协议书；（2）专用合同条款及附件；（3）成交通知书；（4）投标函及附录；（5）询标纪要；（6）磋商文件及其补充文件（含工程量清单及招标控制价）；（7）除投标函及附录外的其他响应文件；（8）技术标准及要求；（9）图纸（如有）；（10）合同通用条款；（11）已标价的工程量清单；（12）其他合同文件。</w:t>
      </w:r>
    </w:p>
    <w:p w14:paraId="39968E8A">
      <w:pPr>
        <w:spacing w:line="360" w:lineRule="auto"/>
        <w:ind w:firstLine="480" w:firstLineChars="200"/>
        <w:rPr>
          <w:rFonts w:ascii="宋体" w:hAnsi="宋体" w:cs="宋体"/>
          <w:sz w:val="24"/>
        </w:rPr>
      </w:pPr>
      <w:r>
        <w:rPr>
          <w:rFonts w:hint="eastAsia" w:ascii="宋体" w:hAnsi="宋体" w:cs="宋体"/>
          <w:sz w:val="24"/>
        </w:rPr>
        <w:t>1.6 图纸和承包人文件</w:t>
      </w:r>
    </w:p>
    <w:p w14:paraId="72DCA6EA">
      <w:pPr>
        <w:spacing w:line="360" w:lineRule="auto"/>
        <w:ind w:firstLine="480" w:firstLineChars="200"/>
        <w:rPr>
          <w:rFonts w:ascii="宋体" w:hAnsi="宋体" w:cs="宋体"/>
          <w:sz w:val="24"/>
        </w:rPr>
      </w:pPr>
      <w:r>
        <w:rPr>
          <w:rFonts w:hint="eastAsia" w:ascii="宋体" w:hAnsi="宋体" w:cs="宋体"/>
          <w:sz w:val="24"/>
        </w:rPr>
        <w:t>1.6.1 图纸的提供</w:t>
      </w:r>
    </w:p>
    <w:p w14:paraId="3E874BE9">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本合同签订后7天内；</w:t>
      </w:r>
    </w:p>
    <w:p w14:paraId="50606538">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陆套（包括制作竣工图的原始施工图），如承包人额外需要提供施工图纸的，则额外增加的施工图纸的制作费由承包人承担；</w:t>
      </w:r>
    </w:p>
    <w:p w14:paraId="2C402B94">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施工图（详见签收表）。</w:t>
      </w:r>
    </w:p>
    <w:p w14:paraId="05781EA4">
      <w:pPr>
        <w:spacing w:line="360" w:lineRule="auto"/>
        <w:ind w:firstLine="480" w:firstLineChars="200"/>
        <w:rPr>
          <w:rFonts w:ascii="宋体" w:hAnsi="宋体" w:cs="宋体"/>
          <w:sz w:val="24"/>
        </w:rPr>
      </w:pPr>
      <w:r>
        <w:rPr>
          <w:rFonts w:hint="eastAsia" w:ascii="宋体" w:hAnsi="宋体" w:cs="宋体"/>
          <w:sz w:val="24"/>
        </w:rPr>
        <w:t>1.6.4 承包人文件</w:t>
      </w:r>
    </w:p>
    <w:p w14:paraId="3DC2F95F">
      <w:pPr>
        <w:tabs>
          <w:tab w:val="left" w:pos="4680"/>
        </w:tabs>
        <w:spacing w:line="360" w:lineRule="auto"/>
        <w:ind w:firstLine="480" w:firstLineChars="200"/>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施工组织设计、进度计划、发包人和政府规定要求必须提供的其他文件。</w:t>
      </w:r>
    </w:p>
    <w:p w14:paraId="4CB8E517">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发包人提出要求后3天内。</w:t>
      </w:r>
    </w:p>
    <w:p w14:paraId="3D80B4B7">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p>
    <w:p w14:paraId="3EF8487D">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p>
    <w:p w14:paraId="2EFE9599">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收到后7天内。</w:t>
      </w:r>
    </w:p>
    <w:p w14:paraId="61A81FF5">
      <w:pPr>
        <w:spacing w:line="360" w:lineRule="auto"/>
        <w:ind w:firstLine="480" w:firstLineChars="200"/>
        <w:rPr>
          <w:rFonts w:ascii="宋体" w:hAnsi="宋体" w:cs="宋体"/>
          <w:sz w:val="24"/>
        </w:rPr>
      </w:pPr>
      <w:r>
        <w:rPr>
          <w:rFonts w:hint="eastAsia" w:ascii="宋体" w:hAnsi="宋体" w:cs="宋体"/>
          <w:sz w:val="24"/>
        </w:rPr>
        <w:t>1.6.5 现场图纸准备</w:t>
      </w:r>
    </w:p>
    <w:p w14:paraId="1D21B665">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发包人、监理人及有关人员进行工程检查时使用的图纸由承包人提供。</w:t>
      </w:r>
    </w:p>
    <w:p w14:paraId="43726430">
      <w:pPr>
        <w:spacing w:line="360" w:lineRule="auto"/>
        <w:ind w:firstLine="480" w:firstLineChars="200"/>
        <w:rPr>
          <w:rFonts w:ascii="宋体" w:hAnsi="宋体" w:cs="宋体"/>
          <w:sz w:val="24"/>
        </w:rPr>
      </w:pPr>
      <w:r>
        <w:rPr>
          <w:rFonts w:hint="eastAsia" w:ascii="宋体" w:hAnsi="宋体" w:cs="宋体"/>
          <w:sz w:val="24"/>
        </w:rPr>
        <w:t>1.7 联络</w:t>
      </w:r>
    </w:p>
    <w:p w14:paraId="634107AD">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3 </w:t>
      </w:r>
      <w:r>
        <w:rPr>
          <w:rFonts w:hint="eastAsia" w:ascii="宋体" w:hAnsi="宋体" w:cs="宋体"/>
          <w:sz w:val="24"/>
        </w:rPr>
        <w:t>天内将与合同有关的通知、批准、证明、证书、指示、指令、要求、请求、同意、意见、确定和决定等书面函件送达对方当事人。</w:t>
      </w:r>
    </w:p>
    <w:p w14:paraId="68861185">
      <w:pPr>
        <w:spacing w:line="360" w:lineRule="auto"/>
        <w:ind w:firstLine="480" w:firstLineChars="200"/>
        <w:rPr>
          <w:rFonts w:ascii="宋体" w:hAnsi="宋体" w:cs="宋体"/>
          <w:kern w:val="0"/>
          <w:sz w:val="24"/>
        </w:rPr>
      </w:pPr>
      <w:r>
        <w:rPr>
          <w:rFonts w:hint="eastAsia" w:ascii="宋体" w:hAnsi="宋体" w:cs="宋体"/>
          <w:sz w:val="24"/>
        </w:rPr>
        <w:t>1.7.2 发包人接收文件的地点：</w:t>
      </w:r>
      <w:r>
        <w:rPr>
          <w:rFonts w:hint="eastAsia" w:ascii="宋体" w:hAnsi="宋体" w:cs="宋体"/>
          <w:sz w:val="24"/>
          <w:u w:val="single"/>
        </w:rPr>
        <w:t>  发包人办公室  </w:t>
      </w:r>
      <w:r>
        <w:rPr>
          <w:rFonts w:hint="eastAsia" w:ascii="宋体" w:hAnsi="宋体" w:cs="宋体"/>
          <w:sz w:val="24"/>
        </w:rPr>
        <w:t>；</w:t>
      </w:r>
    </w:p>
    <w:p w14:paraId="6910983E">
      <w:pPr>
        <w:spacing w:line="360" w:lineRule="auto"/>
        <w:ind w:firstLine="480" w:firstLineChars="200"/>
        <w:rPr>
          <w:rFonts w:ascii="宋体" w:hAnsi="宋体" w:cs="宋体"/>
          <w:kern w:val="0"/>
          <w:sz w:val="24"/>
        </w:rPr>
      </w:pPr>
      <w:r>
        <w:rPr>
          <w:rFonts w:hint="eastAsia" w:ascii="宋体" w:hAnsi="宋体" w:cs="宋体"/>
          <w:sz w:val="24"/>
        </w:rPr>
        <w:t>发包人指定的接收人为：</w:t>
      </w:r>
      <w:r>
        <w:rPr>
          <w:rFonts w:hint="eastAsia" w:ascii="宋体" w:hAnsi="宋体" w:cs="宋体"/>
          <w:sz w:val="24"/>
          <w:u w:val="single"/>
        </w:rPr>
        <w:t>待定         ；</w:t>
      </w:r>
    </w:p>
    <w:p w14:paraId="2382C8AB">
      <w:pPr>
        <w:spacing w:line="360" w:lineRule="auto"/>
        <w:ind w:firstLine="480" w:firstLineChars="200"/>
        <w:rPr>
          <w:rFonts w:ascii="宋体" w:hAnsi="宋体" w:cs="宋体"/>
          <w:kern w:val="0"/>
          <w:sz w:val="24"/>
        </w:rPr>
      </w:pPr>
      <w:r>
        <w:rPr>
          <w:rFonts w:hint="eastAsia" w:ascii="宋体" w:hAnsi="宋体" w:cs="宋体"/>
          <w:sz w:val="24"/>
        </w:rPr>
        <w:t>承包人接收文件的地点：</w:t>
      </w:r>
      <w:r>
        <w:rPr>
          <w:rFonts w:hint="eastAsia" w:ascii="宋体" w:hAnsi="宋体" w:cs="宋体"/>
          <w:sz w:val="24"/>
          <w:u w:val="single"/>
        </w:rPr>
        <w:t>  承包人办公室  ；</w:t>
      </w:r>
    </w:p>
    <w:p w14:paraId="5EC35868">
      <w:pPr>
        <w:spacing w:line="360" w:lineRule="auto"/>
        <w:ind w:firstLine="480" w:firstLineChars="200"/>
        <w:rPr>
          <w:rFonts w:ascii="宋体" w:hAnsi="宋体" w:cs="宋体"/>
          <w:kern w:val="0"/>
          <w:sz w:val="24"/>
        </w:rPr>
      </w:pPr>
      <w:r>
        <w:rPr>
          <w:rFonts w:hint="eastAsia" w:ascii="宋体" w:hAnsi="宋体" w:cs="宋体"/>
          <w:sz w:val="24"/>
        </w:rPr>
        <w:t>承包人指定的接收人为：</w:t>
      </w:r>
      <w:r>
        <w:rPr>
          <w:rFonts w:hint="eastAsia" w:ascii="宋体" w:hAnsi="宋体" w:cs="宋体"/>
          <w:sz w:val="24"/>
          <w:u w:val="single"/>
        </w:rPr>
        <w:t> 待定      。</w:t>
      </w:r>
    </w:p>
    <w:p w14:paraId="7A71114B">
      <w:pPr>
        <w:spacing w:line="360" w:lineRule="auto"/>
        <w:ind w:firstLine="480" w:firstLineChars="200"/>
        <w:rPr>
          <w:rFonts w:ascii="宋体" w:hAnsi="宋体" w:cs="宋体"/>
          <w:kern w:val="0"/>
          <w:sz w:val="24"/>
        </w:rPr>
      </w:pPr>
      <w:r>
        <w:rPr>
          <w:rFonts w:hint="eastAsia" w:ascii="宋体" w:hAnsi="宋体" w:cs="宋体"/>
          <w:sz w:val="24"/>
        </w:rPr>
        <w:t>监理人接收文件的地点：</w:t>
      </w:r>
      <w:r>
        <w:rPr>
          <w:rFonts w:hint="eastAsia" w:ascii="宋体" w:hAnsi="宋体" w:cs="宋体"/>
          <w:sz w:val="24"/>
          <w:u w:val="single"/>
        </w:rPr>
        <w:t>  /  ；</w:t>
      </w:r>
    </w:p>
    <w:p w14:paraId="21095002">
      <w:pPr>
        <w:spacing w:line="360" w:lineRule="auto"/>
        <w:ind w:firstLine="480" w:firstLineChars="200"/>
        <w:rPr>
          <w:rFonts w:ascii="宋体" w:hAnsi="宋体" w:cs="宋体"/>
          <w:kern w:val="0"/>
          <w:sz w:val="24"/>
        </w:rPr>
      </w:pPr>
      <w:r>
        <w:rPr>
          <w:rFonts w:hint="eastAsia" w:ascii="宋体" w:hAnsi="宋体" w:cs="宋体"/>
          <w:sz w:val="24"/>
        </w:rPr>
        <w:t>监理人指定的接收人为：</w:t>
      </w:r>
      <w:r>
        <w:rPr>
          <w:rFonts w:hint="eastAsia" w:ascii="宋体" w:hAnsi="宋体" w:cs="宋体"/>
          <w:sz w:val="24"/>
          <w:u w:val="single"/>
        </w:rPr>
        <w:t>/    。</w:t>
      </w:r>
    </w:p>
    <w:p w14:paraId="64EE538A">
      <w:pPr>
        <w:spacing w:line="360" w:lineRule="auto"/>
        <w:ind w:firstLine="480" w:firstLineChars="200"/>
        <w:rPr>
          <w:rFonts w:ascii="宋体" w:hAnsi="宋体" w:cs="宋体"/>
          <w:sz w:val="24"/>
        </w:rPr>
      </w:pPr>
      <w:r>
        <w:rPr>
          <w:rFonts w:hint="eastAsia" w:ascii="宋体" w:hAnsi="宋体" w:cs="宋体"/>
          <w:sz w:val="24"/>
        </w:rPr>
        <w:t>1.10 交通运输</w:t>
      </w:r>
    </w:p>
    <w:p w14:paraId="6EA08B03">
      <w:pPr>
        <w:spacing w:line="360" w:lineRule="auto"/>
        <w:ind w:firstLine="480" w:firstLineChars="200"/>
        <w:rPr>
          <w:rFonts w:ascii="宋体" w:hAnsi="宋体" w:cs="宋体"/>
          <w:sz w:val="24"/>
        </w:rPr>
      </w:pPr>
      <w:r>
        <w:rPr>
          <w:rFonts w:hint="eastAsia" w:ascii="宋体" w:hAnsi="宋体" w:cs="宋体"/>
          <w:sz w:val="24"/>
        </w:rPr>
        <w:t>1.10.1 出入现场的权利</w:t>
      </w:r>
    </w:p>
    <w:p w14:paraId="4FA27796">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w:t>
      </w:r>
    </w:p>
    <w:p w14:paraId="0A814D38">
      <w:pPr>
        <w:spacing w:line="360" w:lineRule="auto"/>
        <w:ind w:firstLine="480" w:firstLineChars="200"/>
        <w:rPr>
          <w:rFonts w:ascii="宋体" w:hAnsi="宋体" w:cs="宋体"/>
          <w:sz w:val="24"/>
        </w:rPr>
      </w:pPr>
      <w:r>
        <w:rPr>
          <w:rFonts w:hint="eastAsia" w:ascii="宋体" w:hAnsi="宋体" w:cs="宋体"/>
          <w:sz w:val="24"/>
        </w:rPr>
        <w:t>1.10.3 场内交通</w:t>
      </w:r>
    </w:p>
    <w:p w14:paraId="576AE8B5">
      <w:pPr>
        <w:spacing w:line="360" w:lineRule="auto"/>
        <w:ind w:firstLine="480" w:firstLineChars="200"/>
        <w:rPr>
          <w:rFonts w:ascii="宋体" w:hAnsi="宋体" w:cs="宋体"/>
          <w:kern w:val="0"/>
          <w:sz w:val="24"/>
        </w:rPr>
      </w:pPr>
      <w:r>
        <w:rPr>
          <w:rFonts w:hint="eastAsia" w:ascii="宋体" w:hAnsi="宋体" w:cs="宋体"/>
          <w:sz w:val="24"/>
        </w:rPr>
        <w:t>关于场外交通和场内交通的边界的约定：</w:t>
      </w:r>
      <w:r>
        <w:rPr>
          <w:rFonts w:hint="eastAsia" w:ascii="宋体" w:hAnsi="宋体" w:cs="宋体"/>
          <w:sz w:val="24"/>
          <w:u w:val="single"/>
        </w:rPr>
        <w:t xml:space="preserve">     /      。</w:t>
      </w:r>
    </w:p>
    <w:p w14:paraId="3534ADE7">
      <w:pPr>
        <w:spacing w:line="360" w:lineRule="auto"/>
        <w:ind w:firstLine="480" w:firstLineChars="200"/>
        <w:rPr>
          <w:rFonts w:ascii="宋体" w:hAnsi="宋体" w:cs="宋体"/>
          <w:sz w:val="24"/>
          <w:u w:val="single"/>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w:t>
      </w:r>
    </w:p>
    <w:p w14:paraId="6204FD17">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3D98920D">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 </w:t>
      </w:r>
      <w:r>
        <w:rPr>
          <w:rFonts w:hint="eastAsia" w:ascii="宋体" w:hAnsi="宋体" w:cs="宋体"/>
          <w:sz w:val="24"/>
        </w:rPr>
        <w:t>承担。</w:t>
      </w:r>
    </w:p>
    <w:p w14:paraId="13B7FC7F">
      <w:pPr>
        <w:snapToGrid w:val="0"/>
        <w:spacing w:line="360" w:lineRule="auto"/>
        <w:ind w:firstLine="480" w:firstLineChars="200"/>
        <w:rPr>
          <w:rFonts w:ascii="宋体" w:hAnsi="宋体" w:cs="宋体"/>
          <w:sz w:val="24"/>
        </w:rPr>
      </w:pPr>
      <w:r>
        <w:rPr>
          <w:rFonts w:hint="eastAsia" w:ascii="宋体" w:hAnsi="宋体" w:cs="宋体"/>
          <w:sz w:val="24"/>
        </w:rPr>
        <w:t>本工程的超大件：</w:t>
      </w:r>
      <w:r>
        <w:rPr>
          <w:rFonts w:hint="eastAsia" w:ascii="宋体" w:hAnsi="宋体" w:cs="宋体"/>
          <w:sz w:val="24"/>
          <w:u w:val="single"/>
        </w:rPr>
        <w:t xml:space="preserve">   /    </w:t>
      </w:r>
    </w:p>
    <w:p w14:paraId="3DFE0724">
      <w:pPr>
        <w:snapToGrid w:val="0"/>
        <w:spacing w:line="360" w:lineRule="auto"/>
        <w:ind w:firstLine="480" w:firstLineChars="200"/>
        <w:rPr>
          <w:rFonts w:ascii="宋体" w:hAnsi="宋体" w:cs="宋体"/>
          <w:sz w:val="24"/>
        </w:rPr>
      </w:pPr>
      <w:r>
        <w:rPr>
          <w:rFonts w:hint="eastAsia" w:ascii="宋体" w:hAnsi="宋体" w:cs="宋体"/>
          <w:sz w:val="24"/>
        </w:rPr>
        <w:t>本工程的超重件：</w:t>
      </w:r>
      <w:r>
        <w:rPr>
          <w:rFonts w:hint="eastAsia" w:ascii="宋体" w:hAnsi="宋体" w:cs="宋体"/>
          <w:sz w:val="24"/>
          <w:u w:val="single"/>
        </w:rPr>
        <w:t xml:space="preserve">   /    </w:t>
      </w:r>
    </w:p>
    <w:p w14:paraId="777A5E54">
      <w:pPr>
        <w:spacing w:line="360" w:lineRule="auto"/>
        <w:ind w:firstLine="480" w:firstLineChars="200"/>
        <w:rPr>
          <w:rFonts w:ascii="宋体" w:hAnsi="宋体" w:cs="宋体"/>
          <w:sz w:val="24"/>
        </w:rPr>
      </w:pPr>
      <w:r>
        <w:rPr>
          <w:rFonts w:hint="eastAsia" w:ascii="宋体" w:hAnsi="宋体" w:cs="宋体"/>
          <w:sz w:val="24"/>
        </w:rPr>
        <w:t>1.11 知识产权</w:t>
      </w:r>
    </w:p>
    <w:p w14:paraId="1F9AC0F1">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按通用条款执行。 </w:t>
      </w:r>
    </w:p>
    <w:p w14:paraId="60324386">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按通用条款执行。</w:t>
      </w:r>
    </w:p>
    <w:p w14:paraId="132BCAC5">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w:t>
      </w:r>
    </w:p>
    <w:p w14:paraId="6F092825">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p>
    <w:p w14:paraId="4422F145">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 </w:t>
      </w:r>
      <w:r>
        <w:rPr>
          <w:rFonts w:hint="eastAsia" w:ascii="宋体" w:hAnsi="宋体" w:cs="宋体"/>
          <w:kern w:val="0"/>
          <w:sz w:val="24"/>
          <w:u w:val="single"/>
        </w:rPr>
        <w:t>。</w:t>
      </w:r>
    </w:p>
    <w:p w14:paraId="6A18B69A">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5D04AF97">
      <w:pPr>
        <w:spacing w:line="360" w:lineRule="auto"/>
        <w:ind w:firstLine="480" w:firstLineChars="200"/>
        <w:rPr>
          <w:rFonts w:ascii="宋体" w:hAnsi="宋体" w:cs="宋体"/>
          <w:sz w:val="24"/>
          <w:u w:val="single"/>
        </w:rPr>
      </w:pPr>
      <w:r>
        <w:rPr>
          <w:rFonts w:hint="eastAsia" w:ascii="宋体" w:hAnsi="宋体" w:cs="宋体"/>
          <w:sz w:val="24"/>
        </w:rPr>
        <w:t>出现工程量清单错误时，是否调整合同价格：</w:t>
      </w:r>
      <w:r>
        <w:rPr>
          <w:rFonts w:hint="eastAsia" w:ascii="宋体" w:hAnsi="宋体" w:cs="宋体"/>
          <w:kern w:val="0"/>
          <w:sz w:val="24"/>
          <w:u w:val="single"/>
        </w:rPr>
        <w:t>是</w:t>
      </w:r>
      <w:r>
        <w:rPr>
          <w:rFonts w:hint="eastAsia" w:ascii="宋体" w:hAnsi="宋体" w:cs="宋体"/>
          <w:sz w:val="24"/>
          <w:u w:val="single"/>
        </w:rPr>
        <w:t>。</w:t>
      </w:r>
    </w:p>
    <w:p w14:paraId="56AD38B5">
      <w:pPr>
        <w:spacing w:line="360" w:lineRule="auto"/>
        <w:ind w:firstLine="480" w:firstLineChars="200"/>
        <w:rPr>
          <w:rFonts w:ascii="宋体" w:hAnsi="宋体" w:cs="宋体"/>
          <w:kern w:val="0"/>
          <w:sz w:val="24"/>
          <w:u w:val="single"/>
        </w:rPr>
      </w:pPr>
      <w:r>
        <w:rPr>
          <w:rFonts w:hint="eastAsia" w:ascii="宋体" w:hAnsi="宋体" w:cs="宋体"/>
          <w:sz w:val="24"/>
        </w:rPr>
        <w:t>允许调整合同价格的工程量偏差范围：</w:t>
      </w:r>
      <w:r>
        <w:rPr>
          <w:rFonts w:hint="eastAsia" w:ascii="宋体" w:hAnsi="宋体" w:cs="宋体"/>
          <w:kern w:val="0"/>
          <w:sz w:val="24"/>
          <w:u w:val="single"/>
        </w:rPr>
        <w:t>经合同双方书面确认后按实调整。</w:t>
      </w:r>
      <w:r>
        <w:rPr>
          <w:rFonts w:hint="eastAsia" w:ascii="宋体" w:hAnsi="宋体" w:cs="宋体"/>
          <w:sz w:val="24"/>
          <w:u w:val="single"/>
        </w:rPr>
        <w:t>在工程量清单内已列入的材料设备单价不予调整，其他</w:t>
      </w:r>
      <w:r>
        <w:rPr>
          <w:rFonts w:hint="eastAsia" w:ascii="宋体" w:hAnsi="宋体" w:cs="宋体"/>
          <w:kern w:val="0"/>
          <w:sz w:val="24"/>
          <w:u w:val="single"/>
        </w:rPr>
        <w:t>调整按专用条款10.4.1执行。</w:t>
      </w:r>
    </w:p>
    <w:p w14:paraId="701AC216">
      <w:pPr>
        <w:spacing w:line="360" w:lineRule="auto"/>
        <w:ind w:firstLine="480" w:firstLineChars="200"/>
        <w:rPr>
          <w:rFonts w:ascii="宋体" w:hAnsi="宋体" w:cs="宋体"/>
          <w:sz w:val="24"/>
        </w:rPr>
      </w:pPr>
      <w:r>
        <w:rPr>
          <w:rFonts w:hint="eastAsia" w:ascii="宋体" w:hAnsi="宋体" w:cs="宋体"/>
          <w:sz w:val="24"/>
        </w:rPr>
        <w:t>调整合同价格的</w:t>
      </w:r>
      <w:r>
        <w:rPr>
          <w:rFonts w:hint="eastAsia" w:ascii="宋体" w:hAnsi="宋体" w:cs="宋体"/>
          <w:kern w:val="0"/>
          <w:sz w:val="24"/>
        </w:rPr>
        <w:t>修正时间：</w:t>
      </w:r>
      <w:r>
        <w:rPr>
          <w:rFonts w:hint="eastAsia" w:ascii="宋体" w:hAnsi="宋体" w:cs="宋体"/>
          <w:sz w:val="24"/>
          <w:u w:val="single"/>
        </w:rPr>
        <w:t>在工程结算审核时调整。</w:t>
      </w:r>
    </w:p>
    <w:p w14:paraId="2D351AD3">
      <w:pPr>
        <w:topLinePunct/>
        <w:spacing w:line="360" w:lineRule="auto"/>
        <w:ind w:firstLine="420"/>
        <w:rPr>
          <w:rFonts w:ascii="宋体" w:hAnsi="宋体" w:cs="宋体"/>
          <w:b/>
          <w:sz w:val="24"/>
        </w:rPr>
      </w:pPr>
      <w:r>
        <w:rPr>
          <w:rFonts w:hint="eastAsia" w:ascii="宋体" w:hAnsi="宋体" w:cs="宋体"/>
          <w:b/>
          <w:sz w:val="24"/>
        </w:rPr>
        <w:t>2.发包人</w:t>
      </w:r>
    </w:p>
    <w:p w14:paraId="093D54B5">
      <w:pPr>
        <w:spacing w:line="360" w:lineRule="auto"/>
        <w:ind w:firstLine="480" w:firstLineChars="200"/>
        <w:rPr>
          <w:rFonts w:ascii="宋体" w:hAnsi="宋体" w:cs="宋体"/>
          <w:sz w:val="24"/>
        </w:rPr>
      </w:pPr>
      <w:r>
        <w:rPr>
          <w:rFonts w:hint="eastAsia" w:ascii="宋体" w:hAnsi="宋体" w:cs="宋体"/>
          <w:sz w:val="24"/>
        </w:rPr>
        <w:t>发包人应根据工程所需配备发包人代表，同时配备1名相关人员到岗履职。</w:t>
      </w:r>
    </w:p>
    <w:p w14:paraId="091ED522">
      <w:pPr>
        <w:spacing w:line="360" w:lineRule="auto"/>
        <w:ind w:firstLine="480" w:firstLineChars="200"/>
        <w:rPr>
          <w:rFonts w:ascii="宋体" w:hAnsi="宋体" w:cs="宋体"/>
          <w:sz w:val="24"/>
        </w:rPr>
      </w:pPr>
      <w:r>
        <w:rPr>
          <w:rFonts w:hint="eastAsia" w:ascii="宋体" w:hAnsi="宋体" w:cs="宋体"/>
          <w:sz w:val="24"/>
        </w:rPr>
        <w:t>2.2 发包人代表</w:t>
      </w:r>
    </w:p>
    <w:p w14:paraId="05DF96F0">
      <w:pPr>
        <w:spacing w:line="360" w:lineRule="auto"/>
        <w:ind w:firstLine="480" w:firstLineChars="200"/>
        <w:rPr>
          <w:rFonts w:ascii="宋体" w:hAnsi="宋体" w:cs="宋体"/>
          <w:sz w:val="24"/>
        </w:rPr>
      </w:pPr>
      <w:r>
        <w:rPr>
          <w:rFonts w:hint="eastAsia" w:ascii="宋体" w:hAnsi="宋体" w:cs="宋体"/>
          <w:sz w:val="24"/>
        </w:rPr>
        <w:t>发包人代表：</w:t>
      </w:r>
    </w:p>
    <w:p w14:paraId="0FBC5AC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kern w:val="0"/>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p>
    <w:p w14:paraId="51F76CAB">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kern w:val="0"/>
          <w:sz w:val="24"/>
          <w:u w:val="single"/>
        </w:rPr>
        <w:t>/      ；</w:t>
      </w:r>
    </w:p>
    <w:p w14:paraId="4EA8060F">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kern w:val="0"/>
          <w:sz w:val="24"/>
          <w:u w:val="single"/>
        </w:rPr>
        <w:t>          /                ；</w:t>
      </w:r>
    </w:p>
    <w:p w14:paraId="30260E27">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kern w:val="0"/>
          <w:sz w:val="24"/>
          <w:u w:val="single"/>
        </w:rPr>
        <w:t>   ；</w:t>
      </w:r>
    </w:p>
    <w:p w14:paraId="706B0BCD">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kern w:val="0"/>
          <w:sz w:val="24"/>
          <w:u w:val="single"/>
        </w:rPr>
        <w:t>      /    ；</w:t>
      </w:r>
    </w:p>
    <w:p w14:paraId="04738F02">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杭州市滨文路548号浙江中医药大学</w:t>
      </w:r>
      <w:r>
        <w:rPr>
          <w:rFonts w:hint="eastAsia" w:ascii="宋体" w:hAnsi="宋体" w:cs="宋体"/>
          <w:kern w:val="0"/>
          <w:sz w:val="24"/>
          <w:u w:val="single"/>
        </w:rPr>
        <w:t>。</w:t>
      </w:r>
    </w:p>
    <w:p w14:paraId="550338E8">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对质量、成本、安全、进度进行全面管理，涉及合同价格变更、安全事故、质量事故等重大事项的处理须经发包人领导班子签字同意并加盖发包人公章后方能生效</w:t>
      </w:r>
      <w:r>
        <w:rPr>
          <w:rFonts w:hint="eastAsia" w:ascii="宋体" w:hAnsi="宋体" w:cs="宋体"/>
          <w:sz w:val="24"/>
        </w:rPr>
        <w:t>。</w:t>
      </w:r>
    </w:p>
    <w:p w14:paraId="4B4B520F">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14:paraId="0076FB43">
      <w:pPr>
        <w:spacing w:line="360" w:lineRule="auto"/>
        <w:ind w:firstLine="480" w:firstLineChars="200"/>
        <w:rPr>
          <w:rFonts w:ascii="宋体" w:hAnsi="宋体" w:cs="宋体"/>
          <w:sz w:val="24"/>
        </w:rPr>
      </w:pPr>
      <w:r>
        <w:rPr>
          <w:rFonts w:hint="eastAsia" w:ascii="宋体" w:hAnsi="宋体" w:cs="宋体"/>
          <w:sz w:val="24"/>
        </w:rPr>
        <w:t>2.4.1 提供施工现场</w:t>
      </w:r>
    </w:p>
    <w:p w14:paraId="2C42A70B">
      <w:pPr>
        <w:spacing w:line="360" w:lineRule="auto"/>
        <w:ind w:firstLine="480" w:firstLineChars="200"/>
        <w:rPr>
          <w:rFonts w:ascii="宋体" w:hAnsi="宋体" w:cs="宋体"/>
          <w:sz w:val="24"/>
          <w:u w:val="single"/>
        </w:rPr>
      </w:pPr>
      <w:r>
        <w:rPr>
          <w:rFonts w:hint="eastAsia" w:ascii="宋体" w:hAnsi="宋体" w:cs="宋体"/>
          <w:sz w:val="24"/>
        </w:rPr>
        <w:t>关于发包人移交施工现场的期限要求：</w:t>
      </w:r>
      <w:r>
        <w:rPr>
          <w:rFonts w:hint="eastAsia" w:ascii="宋体" w:hAnsi="宋体" w:cs="宋体"/>
          <w:sz w:val="24"/>
          <w:u w:val="single"/>
        </w:rPr>
        <w:t xml:space="preserve">    /      </w:t>
      </w:r>
      <w:r>
        <w:rPr>
          <w:rFonts w:hint="eastAsia" w:ascii="宋体" w:hAnsi="宋体" w:cs="宋体"/>
          <w:sz w:val="24"/>
        </w:rPr>
        <w:t>。</w:t>
      </w:r>
    </w:p>
    <w:p w14:paraId="623C94FC">
      <w:pPr>
        <w:spacing w:line="360" w:lineRule="auto"/>
        <w:ind w:firstLine="480" w:firstLineChars="200"/>
        <w:rPr>
          <w:rFonts w:ascii="宋体" w:hAnsi="宋体" w:cs="宋体"/>
          <w:sz w:val="24"/>
        </w:rPr>
      </w:pPr>
      <w:r>
        <w:rPr>
          <w:rFonts w:hint="eastAsia" w:ascii="宋体" w:hAnsi="宋体" w:cs="宋体"/>
          <w:sz w:val="24"/>
        </w:rPr>
        <w:t>2.4.2 提供施工条件</w:t>
      </w:r>
    </w:p>
    <w:p w14:paraId="1563C7FA">
      <w:pPr>
        <w:spacing w:line="360" w:lineRule="auto"/>
        <w:ind w:firstLine="480" w:firstLineChars="200"/>
        <w:rPr>
          <w:rFonts w:ascii="宋体" w:hAnsi="宋体" w:cs="宋体"/>
          <w:sz w:val="24"/>
        </w:rPr>
      </w:pPr>
      <w:r>
        <w:rPr>
          <w:rFonts w:hint="eastAsia" w:ascii="宋体" w:hAnsi="宋体" w:cs="宋体"/>
          <w:sz w:val="24"/>
        </w:rPr>
        <w:t>关于发包人应负责提供施工所需要的条件，包括：</w:t>
      </w:r>
      <w:bookmarkStart w:id="491" w:name="_Hlk74471726"/>
      <w:r>
        <w:rPr>
          <w:rFonts w:hint="eastAsia" w:ascii="宋体" w:hAnsi="宋体" w:cs="宋体"/>
          <w:sz w:val="24"/>
        </w:rPr>
        <w:t xml:space="preserve"> </w:t>
      </w:r>
      <w:r>
        <w:rPr>
          <w:rFonts w:hint="eastAsia" w:ascii="宋体" w:hAnsi="宋体" w:cs="宋体"/>
          <w:sz w:val="24"/>
          <w:u w:val="single"/>
        </w:rPr>
        <w:t>（1）施工场地具备施工条件的要求及完成的时间：场地已具备施工条件。</w:t>
      </w:r>
    </w:p>
    <w:p w14:paraId="10CC844C">
      <w:pPr>
        <w:topLinePunct/>
        <w:spacing w:line="360" w:lineRule="auto"/>
        <w:ind w:firstLine="480" w:firstLineChars="200"/>
        <w:rPr>
          <w:rFonts w:ascii="宋体" w:hAnsi="宋体" w:cs="宋体"/>
          <w:sz w:val="24"/>
          <w:u w:val="single"/>
        </w:rPr>
      </w:pPr>
      <w:r>
        <w:rPr>
          <w:rFonts w:hint="eastAsia" w:ascii="宋体" w:hAnsi="宋体" w:cs="宋体"/>
          <w:sz w:val="24"/>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p>
    <w:bookmarkEnd w:id="491"/>
    <w:p w14:paraId="2AF3BD90">
      <w:pPr>
        <w:spacing w:line="360" w:lineRule="auto"/>
        <w:ind w:firstLine="480" w:firstLineChars="200"/>
        <w:rPr>
          <w:rFonts w:ascii="宋体" w:hAnsi="宋体" w:cs="宋体"/>
          <w:sz w:val="24"/>
        </w:rPr>
      </w:pPr>
      <w:r>
        <w:rPr>
          <w:rFonts w:hint="eastAsia" w:ascii="宋体" w:hAnsi="宋体" w:cs="宋体"/>
          <w:sz w:val="24"/>
        </w:rPr>
        <w:t>2.5 资金来源证明及支付担保</w:t>
      </w:r>
    </w:p>
    <w:p w14:paraId="1A9824EF">
      <w:pPr>
        <w:spacing w:line="360" w:lineRule="auto"/>
        <w:ind w:firstLine="480" w:firstLineChars="200"/>
        <w:rPr>
          <w:rFonts w:ascii="宋体" w:hAnsi="宋体" w:cs="宋体"/>
          <w:sz w:val="24"/>
          <w:u w:val="single"/>
        </w:rPr>
      </w:pPr>
      <w:r>
        <w:rPr>
          <w:rFonts w:hint="eastAsia" w:ascii="宋体" w:hAnsi="宋体" w:cs="宋体"/>
          <w:sz w:val="24"/>
        </w:rPr>
        <w:t>发包人提供资金来源证明的期限要求：</w:t>
      </w:r>
      <w:r>
        <w:rPr>
          <w:rFonts w:hint="eastAsia" w:ascii="宋体" w:hAnsi="宋体" w:cs="宋体"/>
          <w:sz w:val="24"/>
          <w:u w:val="single"/>
        </w:rPr>
        <w:t>/。</w:t>
      </w:r>
    </w:p>
    <w:p w14:paraId="01F9AB20">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w:t>
      </w:r>
    </w:p>
    <w:p w14:paraId="5C63B2E7">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w:t>
      </w:r>
    </w:p>
    <w:p w14:paraId="78336CDE">
      <w:pPr>
        <w:topLinePunct/>
        <w:spacing w:line="360" w:lineRule="auto"/>
        <w:ind w:firstLine="420"/>
        <w:rPr>
          <w:rFonts w:ascii="宋体" w:hAnsi="宋体" w:cs="宋体"/>
          <w:b/>
          <w:sz w:val="24"/>
        </w:rPr>
      </w:pPr>
      <w:r>
        <w:rPr>
          <w:rFonts w:hint="eastAsia" w:ascii="宋体" w:hAnsi="宋体" w:cs="宋体"/>
          <w:b/>
          <w:sz w:val="24"/>
        </w:rPr>
        <w:t>3.承包人</w:t>
      </w:r>
    </w:p>
    <w:p w14:paraId="4CE8BF4D">
      <w:pPr>
        <w:spacing w:line="360" w:lineRule="auto"/>
        <w:ind w:firstLine="480" w:firstLineChars="200"/>
        <w:rPr>
          <w:rFonts w:ascii="宋体" w:hAnsi="宋体" w:cs="宋体"/>
          <w:sz w:val="24"/>
        </w:rPr>
      </w:pPr>
      <w:r>
        <w:rPr>
          <w:rFonts w:hint="eastAsia" w:ascii="宋体" w:hAnsi="宋体" w:cs="宋体"/>
          <w:sz w:val="24"/>
        </w:rPr>
        <w:t>3.1 承包人的一般义务</w:t>
      </w:r>
    </w:p>
    <w:p w14:paraId="1D536D88">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kern w:val="0"/>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宋体"/>
          <w:sz w:val="24"/>
          <w:u w:val="single"/>
        </w:rPr>
        <w:t>。</w:t>
      </w:r>
    </w:p>
    <w:p w14:paraId="6C3819B0">
      <w:pPr>
        <w:spacing w:line="360" w:lineRule="auto"/>
        <w:ind w:firstLine="480" w:firstLineChars="200"/>
        <w:rPr>
          <w:rFonts w:ascii="宋体" w:hAnsi="宋体" w:cs="宋体"/>
          <w:sz w:val="24"/>
        </w:rPr>
      </w:pPr>
      <w:r>
        <w:rPr>
          <w:rFonts w:hint="eastAsia" w:ascii="宋体" w:hAnsi="宋体" w:cs="宋体"/>
          <w:sz w:val="24"/>
        </w:rPr>
        <w:t xml:space="preserve">承包人需要提交的竣工资料套数： </w:t>
      </w:r>
      <w:r>
        <w:rPr>
          <w:rFonts w:hint="eastAsia" w:ascii="宋体" w:hAnsi="宋体" w:cs="宋体"/>
          <w:sz w:val="24"/>
          <w:u w:val="single"/>
        </w:rPr>
        <w:t xml:space="preserve"> </w:t>
      </w:r>
      <w:r>
        <w:rPr>
          <w:rFonts w:hint="eastAsia" w:ascii="宋体" w:hAnsi="宋体" w:cs="宋体"/>
          <w:kern w:val="0"/>
          <w:sz w:val="24"/>
          <w:u w:val="single"/>
        </w:rPr>
        <w:t>一式陆份，同时提供电子文档</w:t>
      </w:r>
      <w:r>
        <w:rPr>
          <w:rFonts w:hint="eastAsia" w:ascii="宋体" w:hAnsi="宋体" w:cs="宋体"/>
          <w:sz w:val="24"/>
          <w:u w:val="single"/>
        </w:rPr>
        <w:t>。</w:t>
      </w:r>
    </w:p>
    <w:p w14:paraId="6EF009BD">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  。</w:t>
      </w:r>
    </w:p>
    <w:p w14:paraId="02300E99">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工程竣工验收合格后，承包人必须在竣工验收合格之日起30天内将审查合格的工程竣工档案移交给发包人。如承包人未能按期提交竣工资料并因此导致发包人无法按期竣工验收并交付使用的，则承包人须对由此产生的损失费用承担赔偿责任包括但不限于投产运营的实际收入费用及预期收入。</w:t>
      </w:r>
    </w:p>
    <w:p w14:paraId="3577195A">
      <w:pPr>
        <w:spacing w:line="360" w:lineRule="auto"/>
        <w:ind w:firstLine="480" w:firstLineChars="200"/>
        <w:rPr>
          <w:rFonts w:ascii="宋体" w:hAnsi="宋体" w:cs="宋体"/>
          <w:sz w:val="24"/>
          <w:u w:val="single"/>
        </w:rPr>
      </w:pPr>
      <w:r>
        <w:rPr>
          <w:rFonts w:hint="eastAsia" w:ascii="宋体" w:hAnsi="宋体" w:cs="宋体"/>
          <w:sz w:val="24"/>
        </w:rPr>
        <w:t>承包人提交的竣工资料形式要求：</w:t>
      </w:r>
      <w:r>
        <w:rPr>
          <w:rFonts w:hint="eastAsia" w:ascii="宋体" w:hAnsi="宋体" w:cs="宋体"/>
          <w:sz w:val="24"/>
          <w:u w:val="single"/>
        </w:rPr>
        <w:t xml:space="preserve">  向发包方提供竣工资料及竣工验收报告，并附光盘（含影像资料、图片等）。</w:t>
      </w:r>
    </w:p>
    <w:p w14:paraId="523BD47B">
      <w:pPr>
        <w:autoSpaceDE w:val="0"/>
        <w:autoSpaceDN w:val="0"/>
        <w:snapToGrid w:val="0"/>
        <w:spacing w:line="360" w:lineRule="auto"/>
        <w:ind w:left="422"/>
        <w:rPr>
          <w:rFonts w:ascii="宋体" w:hAnsi="宋体" w:cs="宋体"/>
          <w:sz w:val="24"/>
        </w:rPr>
      </w:pPr>
      <w:r>
        <w:rPr>
          <w:rFonts w:hint="eastAsia" w:ascii="宋体" w:hAnsi="宋体" w:cs="宋体"/>
          <w:sz w:val="24"/>
        </w:rPr>
        <w:t xml:space="preserve">（10）承包人应履行的其他义务： </w:t>
      </w:r>
    </w:p>
    <w:p w14:paraId="2CF4BD15">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根据工程需要，提供和维修非夜间施工使用的照明、围栏设施，并负责安全保卫。</w:t>
      </w:r>
    </w:p>
    <w:p w14:paraId="595CC5E9">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673C6B9C">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0FE82134">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2DED6DF5">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参加发包人召开的与本工程相关的会议，并作好会前有关资料的准备。在保修期内要及时做好回访工作，属保修责任范围的事项应及时按质检标准修好。</w:t>
      </w:r>
    </w:p>
    <w:p w14:paraId="5571E36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5672F27D">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由于承包人施工原因，引起第三方与发包人或承包人的纠纷或第三方向发包人或承包人提出的索赔等，由承包人全权负责解决并承担全部责任，由此引起的一切后果与发包人无关。</w:t>
      </w:r>
    </w:p>
    <w:p w14:paraId="439DFCDE">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施工过程中，如遇临界其他工程施工有冲突的，配合发包人的管理，积极与其他工程的承包人协商配合施工，避免因此导致的工期延误。（此条款适用于有临界工程的项目）</w:t>
      </w:r>
    </w:p>
    <w:p w14:paraId="2F94706B">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在工程实施过程中，严格执行省、市颁发的相关规定，切实加强外来务工人员管理，保障农民工的合法权益。若在施工期间，由于承包人的责任发生违法、违规事件，后果由承包人自负。</w:t>
      </w:r>
    </w:p>
    <w:p w14:paraId="3E6A9CDC">
      <w:pPr>
        <w:tabs>
          <w:tab w:val="right" w:pos="9202"/>
        </w:tabs>
        <w:spacing w:line="360" w:lineRule="auto"/>
        <w:ind w:firstLine="420"/>
        <w:rPr>
          <w:rFonts w:ascii="宋体" w:hAnsi="宋体" w:cs="宋体"/>
          <w:sz w:val="24"/>
        </w:rPr>
      </w:pPr>
      <w:r>
        <w:rPr>
          <w:rFonts w:hint="eastAsia" w:ascii="宋体" w:hAnsi="宋体" w:cs="宋体"/>
          <w:sz w:val="24"/>
        </w:rPr>
        <w:t>3.2 项目经理</w:t>
      </w:r>
    </w:p>
    <w:p w14:paraId="55B048CF">
      <w:pPr>
        <w:spacing w:line="360" w:lineRule="auto"/>
        <w:ind w:firstLine="480" w:firstLineChars="200"/>
        <w:rPr>
          <w:rFonts w:ascii="宋体" w:hAnsi="宋体" w:cs="宋体"/>
          <w:sz w:val="24"/>
        </w:rPr>
      </w:pPr>
      <w:r>
        <w:rPr>
          <w:rFonts w:hint="eastAsia" w:ascii="宋体" w:hAnsi="宋体" w:cs="宋体"/>
          <w:sz w:val="24"/>
        </w:rPr>
        <w:t>3.2.1 项目经理：</w:t>
      </w:r>
    </w:p>
    <w:p w14:paraId="6183E5B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4834DF46">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1833054">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p>
    <w:p w14:paraId="56299B47">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w:t>
      </w:r>
    </w:p>
    <w:p w14:paraId="3F4B7CA4">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p>
    <w:p w14:paraId="04C9A74A">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D74E0FC">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09D51C87">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484ED672">
      <w:pPr>
        <w:spacing w:line="360" w:lineRule="auto"/>
        <w:ind w:firstLine="480" w:firstLineChars="200"/>
        <w:rPr>
          <w:rFonts w:ascii="宋体" w:hAnsi="宋体" w:cs="宋体"/>
          <w:sz w:val="24"/>
          <w:u w:val="single"/>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087FD17A">
      <w:pPr>
        <w:spacing w:line="360" w:lineRule="auto"/>
        <w:ind w:firstLine="480" w:firstLineChars="200"/>
        <w:rPr>
          <w:rFonts w:ascii="宋体" w:hAnsi="宋体" w:cs="宋体"/>
          <w:sz w:val="24"/>
          <w:u w:val="single"/>
        </w:rPr>
      </w:pPr>
      <w:r>
        <w:rPr>
          <w:rFonts w:hint="eastAsia" w:ascii="宋体" w:hAnsi="宋体" w:cs="宋体"/>
          <w:sz w:val="24"/>
        </w:rPr>
        <w:t>承包人对项目经理的授权范围如下：</w:t>
      </w:r>
      <w:r>
        <w:rPr>
          <w:rFonts w:hint="eastAsia" w:ascii="宋体" w:hAnsi="宋体" w:cs="宋体"/>
          <w:sz w:val="24"/>
          <w:u w:val="single"/>
        </w:rPr>
        <w:t>项目经理需对本工程质量、</w:t>
      </w:r>
      <w:r>
        <w:fldChar w:fldCharType="begin"/>
      </w:r>
      <w:r>
        <w:instrText xml:space="preserve"> HYPERLINK "http://baike.baidu.com/subview/4547/8036693.htm" \t "_blank" </w:instrText>
      </w:r>
      <w:r>
        <w:fldChar w:fldCharType="separate"/>
      </w:r>
      <w:r>
        <w:rPr>
          <w:rFonts w:hint="eastAsia" w:ascii="宋体" w:hAnsi="宋体" w:cs="宋体"/>
          <w:sz w:val="24"/>
          <w:u w:val="single"/>
        </w:rPr>
        <w:t>安全</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"http://baike.baidu.com/view/716226.htm" \t "_blank" </w:instrText>
      </w:r>
      <w:r>
        <w:fldChar w:fldCharType="separate"/>
      </w:r>
      <w:r>
        <w:rPr>
          <w:rFonts w:hint="eastAsia" w:ascii="宋体" w:hAnsi="宋体" w:cs="宋体"/>
          <w:sz w:val="24"/>
          <w:u w:val="single"/>
        </w:rPr>
        <w:t>进度</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"http://baike.baidu.com/view/45395.htm" \t "_blank" </w:instrText>
      </w:r>
      <w:r>
        <w:fldChar w:fldCharType="separate"/>
      </w:r>
      <w:r>
        <w:rPr>
          <w:rFonts w:hint="eastAsia" w:ascii="宋体" w:hAnsi="宋体" w:cs="宋体"/>
          <w:sz w:val="24"/>
          <w:u w:val="single"/>
        </w:rPr>
        <w:t>成本</w:t>
      </w:r>
      <w:r>
        <w:rPr>
          <w:rFonts w:hint="eastAsia" w:ascii="宋体" w:hAnsi="宋体" w:cs="宋体"/>
          <w:sz w:val="24"/>
          <w:u w:val="single"/>
        </w:rPr>
        <w:fldChar w:fldCharType="end"/>
      </w:r>
      <w:r>
        <w:rPr>
          <w:rFonts w:hint="eastAsia" w:ascii="宋体" w:hAnsi="宋体" w:cs="宋体"/>
          <w:sz w:val="24"/>
          <w:u w:val="single"/>
        </w:rPr>
        <w:t>、文明施工等全权负责，在开工日期3天前，承包人应将其委托的项目经理的授权范围明细以书面形式送交发包人。</w:t>
      </w:r>
    </w:p>
    <w:p w14:paraId="611C4182">
      <w:pPr>
        <w:spacing w:line="360" w:lineRule="auto"/>
        <w:ind w:firstLine="480" w:firstLineChars="200"/>
        <w:rPr>
          <w:rFonts w:ascii="宋体" w:hAnsi="宋体" w:cs="宋体"/>
          <w:kern w:val="0"/>
          <w:sz w:val="24"/>
        </w:rPr>
      </w:pPr>
      <w:r>
        <w:rPr>
          <w:rFonts w:hint="eastAsia" w:ascii="宋体" w:hAnsi="宋体" w:cs="宋体"/>
          <w:sz w:val="24"/>
        </w:rPr>
        <w:t>关于项目经理每月在施工现场的时间要求：</w:t>
      </w:r>
      <w:r>
        <w:rPr>
          <w:rFonts w:hint="eastAsia" w:ascii="宋体" w:hAnsi="宋体" w:cs="宋体"/>
          <w:sz w:val="24"/>
          <w:u w:val="single"/>
        </w:rPr>
        <w:t>到位率85%，重要施工工序或环节时项目经理、技术负责人等必须到场</w:t>
      </w:r>
      <w:r>
        <w:rPr>
          <w:rFonts w:hint="eastAsia" w:ascii="宋体" w:hAnsi="宋体" w:cs="宋体"/>
          <w:sz w:val="24"/>
        </w:rPr>
        <w:t>。</w:t>
      </w:r>
    </w:p>
    <w:p w14:paraId="5CCC4529">
      <w:pPr>
        <w:spacing w:line="360" w:lineRule="auto"/>
        <w:ind w:firstLine="480" w:firstLineChars="200"/>
        <w:rPr>
          <w:rFonts w:ascii="宋体" w:hAnsi="宋体" w:cs="宋体"/>
          <w:sz w:val="24"/>
          <w:u w:val="single"/>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发包人有权要求终止合同并由承包人赔偿由此造成的一切损失。</w:t>
      </w:r>
    </w:p>
    <w:p w14:paraId="62EE8CE8">
      <w:pPr>
        <w:tabs>
          <w:tab w:val="left" w:pos="720"/>
        </w:tabs>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按违约金人民币1000元/天或1000元/次从结算款中扣除</w:t>
      </w:r>
      <w:r>
        <w:rPr>
          <w:rFonts w:hint="eastAsia" w:ascii="宋体" w:hAnsi="宋体" w:cs="宋体"/>
          <w:sz w:val="24"/>
        </w:rPr>
        <w:t>。</w:t>
      </w:r>
    </w:p>
    <w:p w14:paraId="24856B95">
      <w:pPr>
        <w:spacing w:line="360" w:lineRule="auto"/>
        <w:ind w:firstLine="360" w:firstLineChars="150"/>
        <w:rPr>
          <w:rFonts w:ascii="宋体" w:hAnsi="宋体" w:cs="宋体"/>
          <w:sz w:val="24"/>
          <w:u w:val="single"/>
        </w:rPr>
      </w:pPr>
      <w:r>
        <w:rPr>
          <w:rFonts w:hint="eastAsia" w:ascii="宋体" w:hAnsi="宋体" w:cs="宋体"/>
          <w:sz w:val="24"/>
        </w:rPr>
        <w:t>3.2.3 承包人擅自更换项目经理的违约责任：</w:t>
      </w:r>
    </w:p>
    <w:p w14:paraId="770C3C9C">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kern w:val="0"/>
          <w:sz w:val="24"/>
        </w:rPr>
        <w:t>承包人确需更换项目经理的，继任项目经理注册执业资格、管理经验的约定：</w:t>
      </w:r>
      <w:r>
        <w:rPr>
          <w:rFonts w:hint="eastAsia" w:ascii="宋体" w:hAnsi="宋体" w:cs="宋体"/>
          <w:kern w:val="0"/>
          <w:sz w:val="24"/>
          <w:u w:val="single"/>
        </w:rPr>
        <w:t xml:space="preserve"> </w:t>
      </w:r>
      <w:r>
        <w:rPr>
          <w:rFonts w:hint="eastAsia" w:ascii="宋体" w:hAnsi="宋体" w:cs="宋体"/>
          <w:sz w:val="24"/>
          <w:u w:val="single"/>
        </w:rPr>
        <w:t>不得低于原项目经理的注册执业资格、管理经验</w:t>
      </w:r>
      <w:r>
        <w:rPr>
          <w:rFonts w:hint="eastAsia" w:ascii="宋体" w:hAnsi="宋体" w:cs="宋体"/>
          <w:kern w:val="0"/>
          <w:sz w:val="24"/>
          <w:u w:val="single"/>
        </w:rPr>
        <w:t xml:space="preserve"> </w:t>
      </w:r>
      <w:r>
        <w:rPr>
          <w:rFonts w:hint="eastAsia" w:ascii="宋体" w:hAnsi="宋体" w:cs="宋体"/>
          <w:kern w:val="0"/>
          <w:sz w:val="24"/>
        </w:rPr>
        <w:t>。</w:t>
      </w:r>
    </w:p>
    <w:p w14:paraId="522ADF1D">
      <w:pPr>
        <w:snapToGrid w:val="0"/>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在施工期间不准更换，特殊情况要求更换的项目经理的，须经发包人同意。承包人更换项目经理的将被视为承包人违约，并按照0.5万元/人/次付给发包人违约。</w:t>
      </w:r>
    </w:p>
    <w:p w14:paraId="3C20FFCA">
      <w:pPr>
        <w:snapToGrid w:val="0"/>
        <w:spacing w:line="360" w:lineRule="auto"/>
        <w:ind w:firstLine="480" w:firstLineChars="2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从结算款中扣除0.5万元/人/次的违约金。</w:t>
      </w:r>
    </w:p>
    <w:p w14:paraId="78C001AC">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0CB2F5D3">
      <w:pPr>
        <w:spacing w:line="360" w:lineRule="auto"/>
        <w:ind w:firstLine="480" w:firstLineChars="200"/>
        <w:rPr>
          <w:rFonts w:ascii="宋体" w:hAnsi="宋体" w:cs="宋体"/>
          <w:sz w:val="24"/>
          <w:u w:val="single"/>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合同签订后7天内。</w:t>
      </w:r>
    </w:p>
    <w:p w14:paraId="5FB95B5E">
      <w:pPr>
        <w:snapToGrid w:val="0"/>
        <w:spacing w:line="360" w:lineRule="auto"/>
        <w:ind w:firstLine="480" w:firstLineChars="200"/>
        <w:rPr>
          <w:rFonts w:ascii="宋体" w:hAnsi="宋体" w:cs="宋体"/>
          <w:sz w:val="24"/>
        </w:rPr>
      </w:pPr>
      <w:r>
        <w:rPr>
          <w:rFonts w:hint="eastAsia" w:ascii="宋体" w:hAnsi="宋体" w:cs="宋体"/>
          <w:sz w:val="24"/>
        </w:rPr>
        <w:t>3.3.2 承包人需更换主要施工管理人员的，继任人员的数量、注册执业资格、管理经验的约定：</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不得低于原主要施工管理人员的数量、注册执业资格、管理经验</w:t>
      </w:r>
      <w:r>
        <w:rPr>
          <w:rFonts w:hint="eastAsia" w:ascii="宋体" w:hAnsi="宋体" w:cs="宋体"/>
          <w:kern w:val="0"/>
          <w:sz w:val="24"/>
          <w:u w:val="single"/>
        </w:rPr>
        <w:t xml:space="preserve"> </w:t>
      </w:r>
      <w:r>
        <w:rPr>
          <w:rFonts w:hint="eastAsia" w:ascii="宋体" w:hAnsi="宋体" w:cs="宋体"/>
          <w:sz w:val="24"/>
        </w:rPr>
        <w:t>。</w:t>
      </w:r>
    </w:p>
    <w:p w14:paraId="4A48F03B">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从结算款中扣除2000元/人/次的违约金。</w:t>
      </w:r>
    </w:p>
    <w:p w14:paraId="54363AA0">
      <w:pPr>
        <w:spacing w:line="360" w:lineRule="auto"/>
        <w:ind w:firstLine="480" w:firstLineChars="200"/>
        <w:rPr>
          <w:rFonts w:ascii="宋体" w:hAnsi="宋体" w:cs="宋体"/>
          <w:sz w:val="24"/>
        </w:rPr>
      </w:pPr>
      <w:r>
        <w:rPr>
          <w:rFonts w:hint="eastAsia" w:ascii="宋体" w:hAnsi="宋体" w:cs="宋体"/>
          <w:sz w:val="24"/>
        </w:rPr>
        <w:t>3.3.4 承包人主要施工管理人员离开施工现场的批准要求：</w:t>
      </w:r>
      <w:r>
        <w:rPr>
          <w:rFonts w:hint="eastAsia" w:ascii="宋体" w:hAnsi="宋体" w:cs="宋体"/>
          <w:sz w:val="24"/>
          <w:u w:val="single"/>
        </w:rPr>
        <w:t>按500元/人/次向发包人支付违约金。</w:t>
      </w:r>
    </w:p>
    <w:p w14:paraId="0C6966F5">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在施工期间不准更换，特殊情况要求更换的，须经发包人同意。承包人更换技术负责人、施工员的将被视为承包人违约，并按照1000元/人/次付给发包人违约金。</w:t>
      </w:r>
    </w:p>
    <w:p w14:paraId="1793243E">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若技术负责人、施工员出勤率不足投标承诺，支付违约金800元人民币/天/人；安全员、质检员、材料员出勤率不足投标承诺，支付违约金300元人民币/天/人。</w:t>
      </w:r>
    </w:p>
    <w:p w14:paraId="0D02F558">
      <w:pPr>
        <w:spacing w:line="360" w:lineRule="auto"/>
        <w:ind w:firstLine="480" w:firstLineChars="200"/>
        <w:rPr>
          <w:rFonts w:ascii="宋体" w:hAnsi="宋体" w:cs="宋体"/>
          <w:sz w:val="24"/>
        </w:rPr>
      </w:pPr>
      <w:r>
        <w:rPr>
          <w:rFonts w:hint="eastAsia" w:ascii="宋体" w:hAnsi="宋体" w:cs="宋体"/>
          <w:sz w:val="24"/>
        </w:rPr>
        <w:t>3.5 分包</w:t>
      </w:r>
    </w:p>
    <w:p w14:paraId="4A145CC9">
      <w:pPr>
        <w:spacing w:line="360" w:lineRule="auto"/>
        <w:ind w:firstLine="480" w:firstLineChars="200"/>
        <w:rPr>
          <w:rFonts w:ascii="宋体" w:hAnsi="宋体" w:cs="宋体"/>
          <w:sz w:val="24"/>
        </w:rPr>
      </w:pPr>
      <w:r>
        <w:rPr>
          <w:rFonts w:hint="eastAsia" w:ascii="宋体" w:hAnsi="宋体" w:cs="宋体"/>
          <w:sz w:val="24"/>
        </w:rPr>
        <w:t>3.5.1 分包的一般约定</w:t>
      </w:r>
    </w:p>
    <w:p w14:paraId="781CEF3F">
      <w:pPr>
        <w:spacing w:line="360" w:lineRule="auto"/>
        <w:ind w:firstLine="480" w:firstLineChars="200"/>
        <w:rPr>
          <w:rFonts w:ascii="宋体" w:hAnsi="宋体" w:cs="宋体"/>
          <w:sz w:val="24"/>
          <w:u w:val="single"/>
        </w:rPr>
      </w:pPr>
      <w:r>
        <w:rPr>
          <w:rFonts w:hint="eastAsia" w:ascii="宋体" w:hAnsi="宋体" w:cs="宋体"/>
          <w:sz w:val="24"/>
        </w:rPr>
        <w:t>禁止分包的工程包括：</w:t>
      </w:r>
      <w:r>
        <w:rPr>
          <w:rFonts w:hint="eastAsia" w:ascii="宋体" w:hAnsi="宋体" w:cs="宋体"/>
          <w:sz w:val="24"/>
          <w:u w:val="single"/>
        </w:rPr>
        <w:t>本合同所有施工内容</w:t>
      </w:r>
    </w:p>
    <w:p w14:paraId="7129550E">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w:t>
      </w:r>
    </w:p>
    <w:p w14:paraId="79B3BCD4">
      <w:pPr>
        <w:spacing w:line="360" w:lineRule="auto"/>
        <w:rPr>
          <w:rFonts w:ascii="宋体" w:hAnsi="宋体" w:cs="宋体"/>
          <w:sz w:val="24"/>
        </w:rPr>
      </w:pPr>
      <w:r>
        <w:rPr>
          <w:rFonts w:hint="eastAsia" w:ascii="宋体" w:hAnsi="宋体" w:cs="宋体"/>
          <w:sz w:val="24"/>
        </w:rPr>
        <w:t xml:space="preserve">    3.5.2分包的确定</w:t>
      </w:r>
    </w:p>
    <w:p w14:paraId="2BAC8A32">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无。</w:t>
      </w:r>
    </w:p>
    <w:p w14:paraId="1668D48C">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承包人不得以任何形式进行转包或分包本合同所有施工内容，否则，发包人有权解除本合同、拒付（或要求承包人退还已收）工程款，承包人还应按合同总价款的20%向发包人支付违约金。</w:t>
      </w:r>
    </w:p>
    <w:p w14:paraId="59EB1A22">
      <w:pPr>
        <w:spacing w:line="360" w:lineRule="auto"/>
        <w:ind w:firstLine="480" w:firstLineChars="200"/>
        <w:rPr>
          <w:rFonts w:ascii="宋体" w:hAnsi="宋体" w:cs="宋体"/>
          <w:sz w:val="24"/>
        </w:rPr>
      </w:pPr>
      <w:r>
        <w:rPr>
          <w:rFonts w:hint="eastAsia" w:ascii="宋体" w:hAnsi="宋体" w:cs="宋体"/>
          <w:sz w:val="24"/>
        </w:rPr>
        <w:t>3.5.4 分包合同价款</w:t>
      </w:r>
    </w:p>
    <w:p w14:paraId="4A6C7327">
      <w:pPr>
        <w:spacing w:line="360" w:lineRule="auto"/>
        <w:ind w:firstLine="480" w:firstLineChars="200"/>
        <w:rPr>
          <w:rFonts w:ascii="宋体" w:hAnsi="宋体" w:cs="宋体"/>
          <w:sz w:val="24"/>
          <w:u w:val="single"/>
        </w:rPr>
      </w:pPr>
      <w:r>
        <w:rPr>
          <w:rFonts w:hint="eastAsia" w:ascii="宋体" w:hAnsi="宋体" w:cs="宋体"/>
          <w:sz w:val="24"/>
        </w:rPr>
        <w:t>关于分包合同价款支付的约定：</w:t>
      </w:r>
      <w:r>
        <w:rPr>
          <w:rFonts w:hint="eastAsia" w:ascii="宋体" w:hAnsi="宋体" w:cs="宋体"/>
          <w:sz w:val="24"/>
          <w:u w:val="single"/>
        </w:rPr>
        <w:t xml:space="preserve">  /  </w:t>
      </w:r>
    </w:p>
    <w:p w14:paraId="28A020AA">
      <w:pPr>
        <w:spacing w:line="360" w:lineRule="auto"/>
        <w:ind w:firstLine="480" w:firstLineChars="200"/>
        <w:rPr>
          <w:rFonts w:ascii="宋体" w:hAnsi="宋体" w:cs="宋体"/>
          <w:sz w:val="24"/>
        </w:rPr>
      </w:pPr>
      <w:r>
        <w:rPr>
          <w:rFonts w:hint="eastAsia" w:ascii="宋体" w:hAnsi="宋体" w:cs="宋体"/>
          <w:sz w:val="24"/>
        </w:rPr>
        <w:t>3.6 工程照管与成品、半成品保护：</w:t>
      </w:r>
      <w:r>
        <w:rPr>
          <w:rFonts w:hint="eastAsia" w:ascii="宋体" w:hAnsi="宋体" w:cs="宋体"/>
          <w:sz w:val="24"/>
          <w:u w:val="single"/>
        </w:rPr>
        <w:t>承包人负责照管工程及工程相关的材料、工程设备的起始时间：已完工程和设备未交付发包人之前，承包人负责与承包内容相关的所有成品和设备的保护工作，保护期间发生损坏，承包人承担修复费用。由发包人造成的损坏，发包人承担费用，修复工作由承包人负责，因此造成关键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1A7B829">
      <w:pPr>
        <w:spacing w:line="360" w:lineRule="auto"/>
        <w:ind w:firstLine="480" w:firstLineChars="200"/>
        <w:rPr>
          <w:rFonts w:ascii="宋体" w:hAnsi="宋体" w:cs="宋体"/>
          <w:sz w:val="24"/>
        </w:rPr>
      </w:pPr>
      <w:r>
        <w:rPr>
          <w:rFonts w:hint="eastAsia" w:ascii="宋体" w:hAnsi="宋体" w:cs="宋体"/>
          <w:sz w:val="24"/>
        </w:rPr>
        <w:t>3.7 履约担保</w:t>
      </w:r>
    </w:p>
    <w:p w14:paraId="79709ACD">
      <w:pPr>
        <w:spacing w:line="360" w:lineRule="auto"/>
        <w:ind w:firstLine="480" w:firstLineChars="200"/>
        <w:rPr>
          <w:rFonts w:ascii="宋体" w:hAnsi="宋体" w:cs="宋体"/>
          <w:sz w:val="24"/>
          <w:u w:val="single"/>
        </w:rPr>
      </w:pPr>
      <w:r>
        <w:rPr>
          <w:rFonts w:hint="eastAsia" w:ascii="宋体" w:hAnsi="宋体" w:cs="宋体"/>
          <w:sz w:val="24"/>
        </w:rPr>
        <w:t>承包人是否提供履约担保：</w:t>
      </w:r>
      <w:r>
        <w:rPr>
          <w:rFonts w:hint="eastAsia" w:ascii="宋体" w:hAnsi="宋体" w:cs="宋体"/>
          <w:sz w:val="24"/>
          <w:u w:val="single"/>
        </w:rPr>
        <w:t xml:space="preserve"> 是 。</w:t>
      </w:r>
    </w:p>
    <w:p w14:paraId="6A17A08D">
      <w:pPr>
        <w:spacing w:line="360" w:lineRule="auto"/>
        <w:ind w:firstLine="480" w:firstLineChars="200"/>
        <w:rPr>
          <w:rFonts w:ascii="宋体" w:hAnsi="宋体" w:cs="宋体"/>
          <w:sz w:val="24"/>
          <w:u w:val="single"/>
        </w:rPr>
      </w:pPr>
      <w:r>
        <w:rPr>
          <w:rFonts w:hint="eastAsia" w:ascii="宋体" w:hAnsi="宋体" w:cs="宋体"/>
          <w:sz w:val="24"/>
        </w:rPr>
        <w:t>履约担保的形式：</w:t>
      </w:r>
      <w:r>
        <w:rPr>
          <w:rFonts w:hint="eastAsia" w:ascii="宋体" w:hAnsi="宋体" w:cs="宋体"/>
          <w:sz w:val="24"/>
          <w:u w:val="single"/>
        </w:rPr>
        <w:t xml:space="preserve"> 履约保证金。</w:t>
      </w:r>
    </w:p>
    <w:p w14:paraId="2B572537">
      <w:pPr>
        <w:spacing w:line="360" w:lineRule="auto"/>
        <w:ind w:firstLine="480" w:firstLineChars="200"/>
        <w:rPr>
          <w:rFonts w:ascii="宋体" w:hAnsi="宋体" w:cs="宋体"/>
          <w:sz w:val="24"/>
          <w:u w:val="single"/>
        </w:rPr>
      </w:pPr>
      <w:r>
        <w:rPr>
          <w:rFonts w:hint="eastAsia" w:ascii="宋体" w:hAnsi="宋体" w:cs="宋体"/>
          <w:sz w:val="24"/>
        </w:rPr>
        <w:t>履约担保的金额：</w:t>
      </w:r>
      <w:r>
        <w:rPr>
          <w:rFonts w:hint="eastAsia" w:ascii="宋体" w:hAnsi="宋体" w:cs="宋体"/>
          <w:sz w:val="24"/>
          <w:u w:val="single"/>
        </w:rPr>
        <w:t>本合同总价的2%作为履约保证金，由承包人于本合同签订后7日内以支票、汇票或银行转账向发包人支付。</w:t>
      </w:r>
    </w:p>
    <w:p w14:paraId="1A3DECBD">
      <w:pPr>
        <w:spacing w:line="360" w:lineRule="auto"/>
        <w:ind w:firstLine="480" w:firstLineChars="200"/>
        <w:rPr>
          <w:rFonts w:ascii="宋体" w:hAnsi="宋体" w:cs="宋体"/>
          <w:sz w:val="24"/>
        </w:rPr>
      </w:pPr>
      <w:r>
        <w:rPr>
          <w:rFonts w:hint="eastAsia" w:ascii="宋体" w:hAnsi="宋体" w:cs="宋体"/>
          <w:sz w:val="24"/>
        </w:rPr>
        <w:t>履约担保的期限：</w:t>
      </w:r>
      <w:r>
        <w:rPr>
          <w:rFonts w:hint="eastAsia" w:ascii="宋体" w:hAnsi="宋体" w:cs="宋体"/>
          <w:sz w:val="24"/>
          <w:u w:val="single"/>
        </w:rPr>
        <w:t>工程竣工验收合格并交付发包人使用前保持有效</w:t>
      </w:r>
      <w:r>
        <w:rPr>
          <w:rFonts w:hint="eastAsia" w:ascii="宋体" w:hAnsi="宋体" w:cs="宋体"/>
          <w:sz w:val="24"/>
        </w:rPr>
        <w:t>。</w:t>
      </w:r>
    </w:p>
    <w:p w14:paraId="6B572D2C">
      <w:pPr>
        <w:topLinePunct/>
        <w:spacing w:line="360" w:lineRule="auto"/>
        <w:ind w:firstLine="420"/>
        <w:rPr>
          <w:rFonts w:ascii="宋体" w:hAnsi="宋体" w:cs="宋体"/>
          <w:b/>
          <w:sz w:val="24"/>
        </w:rPr>
      </w:pPr>
      <w:r>
        <w:rPr>
          <w:rFonts w:hint="eastAsia" w:ascii="宋体" w:hAnsi="宋体" w:cs="宋体"/>
          <w:b/>
          <w:sz w:val="24"/>
        </w:rPr>
        <w:t>4.监理人</w:t>
      </w:r>
    </w:p>
    <w:p w14:paraId="59F10251">
      <w:pPr>
        <w:spacing w:line="360" w:lineRule="auto"/>
        <w:ind w:firstLine="480" w:firstLineChars="200"/>
        <w:rPr>
          <w:rFonts w:ascii="宋体" w:hAnsi="宋体" w:cs="宋体"/>
          <w:sz w:val="24"/>
        </w:rPr>
      </w:pPr>
      <w:r>
        <w:rPr>
          <w:rFonts w:hint="eastAsia" w:ascii="宋体" w:hAnsi="宋体" w:cs="宋体"/>
          <w:sz w:val="24"/>
        </w:rPr>
        <w:t>4.1监理人的一般规定</w:t>
      </w:r>
    </w:p>
    <w:p w14:paraId="4D568B29">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关于监理人的监理内容：</w:t>
      </w:r>
      <w:r>
        <w:rPr>
          <w:rFonts w:hint="eastAsia" w:ascii="宋体" w:hAnsi="宋体" w:cs="宋体"/>
          <w:sz w:val="24"/>
          <w:u w:val="single"/>
        </w:rPr>
        <w:t>/</w:t>
      </w:r>
      <w:r>
        <w:rPr>
          <w:rFonts w:hint="eastAsia" w:ascii="宋体" w:hAnsi="宋体" w:cs="宋体"/>
          <w:sz w:val="24"/>
        </w:rPr>
        <w:t>。</w:t>
      </w:r>
    </w:p>
    <w:p w14:paraId="184E5E17">
      <w:pPr>
        <w:spacing w:line="360" w:lineRule="auto"/>
        <w:ind w:firstLine="480" w:firstLineChars="200"/>
        <w:rPr>
          <w:rFonts w:ascii="宋体" w:hAnsi="宋体" w:cs="宋体"/>
          <w:sz w:val="24"/>
          <w:u w:val="single"/>
        </w:rPr>
      </w:pPr>
      <w:r>
        <w:rPr>
          <w:rFonts w:hint="eastAsia" w:ascii="宋体" w:hAnsi="宋体" w:cs="宋体"/>
          <w:sz w:val="24"/>
        </w:rPr>
        <w:t>关于监理人的监理权限：</w:t>
      </w:r>
      <w:r>
        <w:rPr>
          <w:rFonts w:hint="eastAsia" w:ascii="宋体" w:hAnsi="宋体" w:cs="宋体"/>
          <w:sz w:val="24"/>
          <w:u w:val="single"/>
        </w:rPr>
        <w:t>/。</w:t>
      </w:r>
    </w:p>
    <w:p w14:paraId="6020DC9A">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w:t>
      </w:r>
    </w:p>
    <w:p w14:paraId="58129147">
      <w:pPr>
        <w:spacing w:line="360" w:lineRule="auto"/>
        <w:ind w:firstLine="480" w:firstLineChars="200"/>
        <w:rPr>
          <w:rFonts w:ascii="宋体" w:hAnsi="宋体" w:cs="宋体"/>
          <w:sz w:val="24"/>
        </w:rPr>
      </w:pPr>
      <w:r>
        <w:rPr>
          <w:rFonts w:hint="eastAsia" w:ascii="宋体" w:hAnsi="宋体" w:cs="宋体"/>
          <w:sz w:val="24"/>
        </w:rPr>
        <w:t>4.2 监理人员</w:t>
      </w:r>
    </w:p>
    <w:p w14:paraId="690A9C6F">
      <w:pPr>
        <w:spacing w:line="360" w:lineRule="auto"/>
        <w:ind w:firstLine="480" w:firstLineChars="200"/>
        <w:rPr>
          <w:rFonts w:ascii="宋体" w:hAnsi="宋体" w:cs="宋体"/>
          <w:sz w:val="24"/>
        </w:rPr>
      </w:pPr>
      <w:r>
        <w:rPr>
          <w:rFonts w:hint="eastAsia" w:ascii="宋体" w:hAnsi="宋体" w:cs="宋体"/>
          <w:sz w:val="24"/>
        </w:rPr>
        <w:t>总监理工程师：</w:t>
      </w:r>
    </w:p>
    <w:p w14:paraId="71B21162">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14:paraId="2057BA3F">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0CBBC8DD">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p>
    <w:p w14:paraId="253B0B8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650F667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14:paraId="7392FCD9">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14:paraId="19752F96">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w:t>
      </w:r>
    </w:p>
    <w:p w14:paraId="5B53D5D8">
      <w:pPr>
        <w:spacing w:line="360" w:lineRule="auto"/>
        <w:ind w:firstLine="480" w:firstLineChars="200"/>
        <w:rPr>
          <w:rFonts w:ascii="宋体" w:hAnsi="宋体" w:cs="宋体"/>
          <w:sz w:val="24"/>
        </w:rPr>
      </w:pPr>
      <w:r>
        <w:rPr>
          <w:rFonts w:hint="eastAsia" w:ascii="宋体" w:hAnsi="宋体" w:cs="宋体"/>
          <w:sz w:val="24"/>
        </w:rPr>
        <w:t>4.4 商定或确定</w:t>
      </w:r>
    </w:p>
    <w:p w14:paraId="1AE50625">
      <w:pPr>
        <w:spacing w:line="360" w:lineRule="auto"/>
        <w:ind w:firstLine="480" w:firstLineChars="200"/>
        <w:rPr>
          <w:rFonts w:ascii="宋体" w:hAnsi="宋体" w:cs="宋体"/>
          <w:kern w:val="0"/>
          <w:sz w:val="24"/>
        </w:rPr>
      </w:pPr>
      <w:r>
        <w:rPr>
          <w:rFonts w:hint="eastAsia" w:ascii="宋体" w:hAnsi="宋体" w:cs="宋体"/>
          <w:sz w:val="24"/>
        </w:rPr>
        <w:t>在发包人和承包人不能通过协商达成一致意见时，发包人授权监理人对以下事项进行确定：</w:t>
      </w:r>
      <w:r>
        <w:rPr>
          <w:rFonts w:hint="eastAsia" w:ascii="宋体" w:hAnsi="宋体" w:cs="宋体"/>
          <w:sz w:val="24"/>
          <w:u w:val="single"/>
        </w:rPr>
        <w:t xml:space="preserve">  / ；</w:t>
      </w:r>
    </w:p>
    <w:p w14:paraId="484EC0D5">
      <w:pPr>
        <w:topLinePunct/>
        <w:spacing w:line="360" w:lineRule="auto"/>
        <w:ind w:firstLine="420"/>
        <w:rPr>
          <w:rFonts w:ascii="宋体" w:hAnsi="宋体" w:cs="宋体"/>
          <w:b/>
          <w:sz w:val="24"/>
        </w:rPr>
      </w:pPr>
      <w:r>
        <w:rPr>
          <w:rFonts w:hint="eastAsia" w:ascii="宋体" w:hAnsi="宋体" w:cs="宋体"/>
          <w:b/>
          <w:sz w:val="24"/>
        </w:rPr>
        <w:t>5.工程质量</w:t>
      </w:r>
    </w:p>
    <w:p w14:paraId="12642471">
      <w:pPr>
        <w:spacing w:line="360" w:lineRule="auto"/>
        <w:ind w:firstLine="480" w:firstLineChars="200"/>
        <w:rPr>
          <w:rFonts w:ascii="宋体" w:hAnsi="宋体" w:cs="宋体"/>
          <w:sz w:val="24"/>
        </w:rPr>
      </w:pPr>
      <w:r>
        <w:rPr>
          <w:rFonts w:hint="eastAsia" w:ascii="宋体" w:hAnsi="宋体" w:cs="宋体"/>
          <w:sz w:val="24"/>
        </w:rPr>
        <w:t>5.1 质量要求</w:t>
      </w:r>
    </w:p>
    <w:p w14:paraId="784601D3">
      <w:pPr>
        <w:spacing w:line="360" w:lineRule="auto"/>
        <w:ind w:firstLine="480" w:firstLineChars="200"/>
        <w:rPr>
          <w:rFonts w:ascii="宋体" w:hAnsi="宋体" w:cs="宋体"/>
          <w:sz w:val="24"/>
          <w:u w:val="single"/>
        </w:rPr>
      </w:pPr>
      <w:r>
        <w:rPr>
          <w:rFonts w:hint="eastAsia" w:ascii="宋体" w:hAnsi="宋体" w:cs="宋体"/>
          <w:sz w:val="24"/>
        </w:rPr>
        <w:t>5.1.1 特殊质量标准和要求：</w:t>
      </w:r>
      <w:r>
        <w:rPr>
          <w:rFonts w:hint="eastAsia" w:ascii="宋体" w:hAnsi="宋体" w:cs="宋体"/>
          <w:sz w:val="24"/>
          <w:u w:val="single"/>
        </w:rPr>
        <w:t>除通用条款约定外，要达到设计及国家、地方和建筑行业现行的有关规范和标准的质量要求。</w:t>
      </w:r>
    </w:p>
    <w:p w14:paraId="34DC3DCC">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（1）承包人在工程施工中涉及的重要部位、关键节点、工艺、材料应用等，承包人应在专业工程施工前10天提供主要材料样品、施工详细实施方案给发包人及监理人（如有）审核，经审核同意后方可实施。</w:t>
      </w:r>
    </w:p>
    <w:p w14:paraId="264ABF4F">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716E4168">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p>
    <w:p w14:paraId="49ECE4A2">
      <w:pPr>
        <w:spacing w:line="360" w:lineRule="auto"/>
        <w:ind w:firstLine="480" w:firstLineChars="200"/>
        <w:rPr>
          <w:rFonts w:ascii="宋体" w:hAnsi="宋体" w:cs="宋体"/>
          <w:sz w:val="24"/>
        </w:rPr>
      </w:pPr>
      <w:r>
        <w:rPr>
          <w:rFonts w:hint="eastAsia" w:ascii="宋体" w:hAnsi="宋体" w:cs="宋体"/>
          <w:sz w:val="24"/>
        </w:rPr>
        <w:t>5.3 隐蔽工程检查</w:t>
      </w:r>
    </w:p>
    <w:p w14:paraId="4E915F66">
      <w:pPr>
        <w:spacing w:line="360" w:lineRule="auto"/>
        <w:ind w:firstLine="480" w:firstLineChars="200"/>
        <w:rPr>
          <w:rFonts w:ascii="宋体" w:hAnsi="宋体" w:cs="宋体"/>
          <w:sz w:val="24"/>
          <w:u w:val="single"/>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承包人应当在共同检查前48小时书面通知监理人（如有）和发包人进行检查，即隐蔽工程通知对象增加发包人。</w:t>
      </w:r>
    </w:p>
    <w:p w14:paraId="3B81AB8C">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5517A35D">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6FA9923F">
      <w:pPr>
        <w:topLinePunct/>
        <w:spacing w:line="360" w:lineRule="auto"/>
        <w:ind w:firstLine="241" w:firstLineChars="100"/>
        <w:rPr>
          <w:rFonts w:ascii="宋体" w:hAnsi="宋体" w:cs="宋体"/>
          <w:b/>
          <w:sz w:val="24"/>
        </w:rPr>
      </w:pPr>
      <w:r>
        <w:rPr>
          <w:rFonts w:hint="eastAsia" w:ascii="宋体" w:hAnsi="宋体" w:cs="宋体"/>
          <w:b/>
          <w:sz w:val="24"/>
        </w:rPr>
        <w:t>6.安全文明施工与环境保护</w:t>
      </w:r>
    </w:p>
    <w:p w14:paraId="1C044418">
      <w:pPr>
        <w:spacing w:line="360" w:lineRule="auto"/>
        <w:ind w:firstLine="480" w:firstLineChars="200"/>
        <w:rPr>
          <w:rFonts w:ascii="宋体" w:hAnsi="宋体" w:cs="宋体"/>
          <w:sz w:val="24"/>
        </w:rPr>
      </w:pPr>
      <w:r>
        <w:rPr>
          <w:rFonts w:hint="eastAsia" w:ascii="宋体" w:hAnsi="宋体" w:cs="宋体"/>
          <w:sz w:val="24"/>
        </w:rPr>
        <w:t>6.1安全文明施工</w:t>
      </w:r>
    </w:p>
    <w:p w14:paraId="1945CC6F">
      <w:pPr>
        <w:spacing w:line="360" w:lineRule="auto"/>
        <w:ind w:firstLine="480" w:firstLineChars="200"/>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施工现场按照《建筑施工安全检查标准》（JGJ59-2011）评定达到“合格”标准。</w:t>
      </w:r>
    </w:p>
    <w:p w14:paraId="0AB5C146">
      <w:pPr>
        <w:spacing w:line="360" w:lineRule="auto"/>
        <w:ind w:firstLine="480" w:firstLineChars="200"/>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按通用条款执行。</w:t>
      </w:r>
    </w:p>
    <w:p w14:paraId="11B986A6">
      <w:pPr>
        <w:spacing w:line="360" w:lineRule="auto"/>
        <w:ind w:firstLine="480" w:firstLineChars="200"/>
        <w:rPr>
          <w:rFonts w:ascii="宋体" w:hAnsi="宋体" w:cs="宋体"/>
          <w:sz w:val="24"/>
          <w:u w:val="single"/>
        </w:rPr>
      </w:pPr>
      <w:r>
        <w:rPr>
          <w:rFonts w:hint="eastAsia" w:ascii="宋体" w:hAnsi="宋体" w:cs="宋体"/>
          <w:sz w:val="24"/>
        </w:rPr>
        <w:t>关于编制施工场地治安管理计划的约定：</w:t>
      </w:r>
      <w:r>
        <w:rPr>
          <w:rFonts w:hint="eastAsia" w:ascii="宋体" w:hAnsi="宋体" w:cs="宋体"/>
          <w:sz w:val="24"/>
          <w:u w:val="single"/>
        </w:rPr>
        <w:t>按通用条款执行。</w:t>
      </w:r>
    </w:p>
    <w:p w14:paraId="2BBEFAA5">
      <w:pPr>
        <w:spacing w:line="360" w:lineRule="auto"/>
        <w:ind w:firstLine="480" w:firstLineChars="200"/>
        <w:rPr>
          <w:rFonts w:ascii="宋体" w:hAnsi="宋体" w:cs="宋体"/>
          <w:sz w:val="24"/>
        </w:rPr>
      </w:pPr>
      <w:r>
        <w:rPr>
          <w:rFonts w:hint="eastAsia" w:ascii="宋体" w:hAnsi="宋体" w:cs="宋体"/>
          <w:sz w:val="24"/>
        </w:rPr>
        <w:t>6.1.5 文明施工</w:t>
      </w:r>
    </w:p>
    <w:p w14:paraId="1B75D2C4">
      <w:pPr>
        <w:spacing w:line="360" w:lineRule="auto"/>
        <w:ind w:firstLine="475" w:firstLineChars="198"/>
        <w:rPr>
          <w:rFonts w:ascii="宋体" w:hAnsi="宋体" w:cs="宋体"/>
          <w:sz w:val="24"/>
        </w:rPr>
      </w:pPr>
      <w:r>
        <w:rPr>
          <w:rFonts w:hint="eastAsia" w:ascii="宋体" w:hAnsi="宋体" w:cs="宋体"/>
          <w:sz w:val="24"/>
        </w:rPr>
        <w:t>合同当事人对文明施工的要求：</w:t>
      </w:r>
    </w:p>
    <w:p w14:paraId="28115A60">
      <w:pPr>
        <w:spacing w:line="360" w:lineRule="auto"/>
        <w:ind w:firstLine="475" w:firstLineChars="198"/>
        <w:rPr>
          <w:rFonts w:ascii="宋体" w:hAnsi="宋体" w:cs="宋体"/>
          <w:sz w:val="24"/>
          <w:u w:val="single"/>
        </w:rPr>
      </w:pPr>
      <w:r>
        <w:rPr>
          <w:rFonts w:hint="eastAsia" w:ascii="宋体" w:hAnsi="宋体" w:cs="宋体"/>
          <w:sz w:val="24"/>
          <w:u w:val="single"/>
        </w:rPr>
        <w:t>（1）遵守地方政府和有关部门对施工场地交通、环卫、安全和施工噪音等管理规定，并办理相关审批手续。</w:t>
      </w:r>
    </w:p>
    <w:p w14:paraId="579EE800">
      <w:pPr>
        <w:spacing w:line="360" w:lineRule="auto"/>
        <w:ind w:firstLine="475" w:firstLineChars="198"/>
        <w:rPr>
          <w:rFonts w:ascii="宋体" w:hAnsi="宋体" w:cs="宋体"/>
          <w:sz w:val="24"/>
          <w:u w:val="single"/>
        </w:rPr>
      </w:pPr>
      <w:r>
        <w:rPr>
          <w:rFonts w:hint="eastAsia" w:ascii="宋体" w:hAnsi="宋体" w:cs="宋体"/>
          <w:sz w:val="24"/>
          <w:u w:val="single"/>
        </w:rPr>
        <w:t>（2）承包人应采取有效措施尽量减小尘土和噪音污染，需要进行夜间作业时应经有关部门批准。</w:t>
      </w:r>
    </w:p>
    <w:p w14:paraId="03E05CA8">
      <w:pPr>
        <w:spacing w:line="360" w:lineRule="auto"/>
        <w:ind w:firstLine="475" w:firstLineChars="198"/>
        <w:rPr>
          <w:rFonts w:ascii="宋体" w:hAnsi="宋体" w:cs="宋体"/>
          <w:sz w:val="24"/>
          <w:u w:val="single"/>
        </w:rPr>
      </w:pPr>
      <w:r>
        <w:rPr>
          <w:rFonts w:hint="eastAsia" w:ascii="宋体" w:hAnsi="宋体" w:cs="宋体"/>
          <w:sz w:val="24"/>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20DB90A4">
      <w:pPr>
        <w:spacing w:line="360" w:lineRule="auto"/>
        <w:ind w:firstLine="475" w:firstLineChars="198"/>
        <w:rPr>
          <w:rFonts w:ascii="宋体" w:hAnsi="宋体" w:cs="宋体"/>
          <w:sz w:val="24"/>
          <w:u w:val="single"/>
        </w:rPr>
      </w:pPr>
      <w:r>
        <w:rPr>
          <w:rFonts w:hint="eastAsia" w:ascii="宋体" w:hAnsi="宋体" w:cs="宋体"/>
          <w:sz w:val="24"/>
          <w:u w:val="single"/>
        </w:rPr>
        <w:t>（4）上述手续办理费用约定如下：由承包人支付。</w:t>
      </w:r>
    </w:p>
    <w:p w14:paraId="7DC55CB6">
      <w:pPr>
        <w:spacing w:line="360" w:lineRule="auto"/>
        <w:ind w:firstLine="480" w:firstLineChars="200"/>
        <w:rPr>
          <w:rFonts w:ascii="宋体" w:hAnsi="宋体" w:cs="宋体"/>
          <w:sz w:val="24"/>
        </w:rPr>
      </w:pPr>
      <w:r>
        <w:rPr>
          <w:rFonts w:hint="eastAsia" w:ascii="宋体" w:hAnsi="宋体" w:cs="宋体"/>
          <w:sz w:val="24"/>
        </w:rPr>
        <w:t>6.1.6 关于安全文明施工费支付比例和支付期限的约定：按一下第</w:t>
      </w:r>
      <w:r>
        <w:rPr>
          <w:rFonts w:hint="eastAsia" w:ascii="宋体" w:hAnsi="宋体" w:cs="宋体"/>
          <w:sz w:val="24"/>
          <w:u w:val="single"/>
        </w:rPr>
        <w:t>（1）</w:t>
      </w:r>
      <w:r>
        <w:rPr>
          <w:rFonts w:hint="eastAsia" w:ascii="宋体" w:hAnsi="宋体" w:cs="宋体"/>
          <w:sz w:val="24"/>
        </w:rPr>
        <w:t>种方式约定：</w:t>
      </w:r>
    </w:p>
    <w:p w14:paraId="2444EFEE">
      <w:pPr>
        <w:spacing w:line="360" w:lineRule="auto"/>
        <w:ind w:firstLine="480" w:firstLineChars="200"/>
        <w:rPr>
          <w:rFonts w:ascii="宋体" w:hAnsi="宋体" w:cs="宋体"/>
          <w:sz w:val="24"/>
          <w:u w:val="single"/>
        </w:rPr>
      </w:pPr>
      <w:r>
        <w:rPr>
          <w:rFonts w:hint="eastAsia" w:ascii="宋体" w:hAnsi="宋体" w:cs="宋体"/>
          <w:sz w:val="24"/>
          <w:u w:val="single"/>
        </w:rPr>
        <w:t>（1）安全文明施工费按以下第（①）种方式约定：</w:t>
      </w:r>
    </w:p>
    <w:p w14:paraId="6664055E">
      <w:pPr>
        <w:spacing w:line="360" w:lineRule="auto"/>
        <w:ind w:firstLine="480" w:firstLineChars="200"/>
        <w:rPr>
          <w:rFonts w:ascii="宋体" w:hAnsi="宋体" w:cs="宋体"/>
          <w:sz w:val="24"/>
          <w:u w:val="single"/>
        </w:rPr>
      </w:pPr>
      <w:r>
        <w:rPr>
          <w:rFonts w:hint="eastAsia" w:ascii="宋体" w:hAnsi="宋体" w:cs="宋体"/>
          <w:sz w:val="24"/>
          <w:u w:val="single"/>
        </w:rPr>
        <w:t>① 与进度款同比例同期支付。</w:t>
      </w:r>
    </w:p>
    <w:p w14:paraId="40EA344C">
      <w:pPr>
        <w:spacing w:line="360" w:lineRule="auto"/>
        <w:ind w:firstLine="480" w:firstLineChars="200"/>
        <w:rPr>
          <w:rFonts w:ascii="宋体" w:hAnsi="宋体" w:cs="宋体"/>
          <w:sz w:val="24"/>
          <w:u w:val="single"/>
        </w:rPr>
      </w:pPr>
      <w:r>
        <w:rPr>
          <w:rFonts w:hint="eastAsia" w:ascii="宋体" w:hAnsi="宋体" w:cs="宋体"/>
          <w:sz w:val="24"/>
          <w:u w:val="single"/>
        </w:rPr>
        <w:t>② 其他：  /    。</w:t>
      </w:r>
    </w:p>
    <w:p w14:paraId="7A6B1E5A">
      <w:pPr>
        <w:spacing w:line="360" w:lineRule="auto"/>
        <w:ind w:firstLine="480" w:firstLineChars="200"/>
        <w:rPr>
          <w:rFonts w:ascii="宋体" w:hAnsi="宋体" w:cs="宋体"/>
          <w:sz w:val="24"/>
          <w:u w:val="single"/>
        </w:rPr>
      </w:pPr>
      <w:r>
        <w:rPr>
          <w:rFonts w:hint="eastAsia" w:ascii="宋体" w:hAnsi="宋体" w:cs="宋体"/>
          <w:sz w:val="24"/>
          <w:u w:val="single"/>
        </w:rPr>
        <w:t>6.1.10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61173945">
      <w:pPr>
        <w:topLinePunct/>
        <w:spacing w:line="360" w:lineRule="auto"/>
        <w:ind w:firstLine="200"/>
        <w:rPr>
          <w:rFonts w:ascii="宋体" w:hAnsi="宋体" w:cs="宋体"/>
          <w:b/>
          <w:sz w:val="24"/>
        </w:rPr>
      </w:pPr>
      <w:r>
        <w:rPr>
          <w:rFonts w:hint="eastAsia" w:ascii="宋体" w:hAnsi="宋体" w:cs="宋体"/>
          <w:b/>
          <w:sz w:val="24"/>
        </w:rPr>
        <w:t>7.工期和进度</w:t>
      </w:r>
    </w:p>
    <w:p w14:paraId="05270039">
      <w:pPr>
        <w:spacing w:line="360" w:lineRule="auto"/>
        <w:ind w:firstLine="480" w:firstLineChars="200"/>
        <w:rPr>
          <w:rFonts w:ascii="宋体" w:hAnsi="宋体" w:cs="宋体"/>
          <w:sz w:val="24"/>
        </w:rPr>
      </w:pPr>
      <w:r>
        <w:rPr>
          <w:rFonts w:hint="eastAsia" w:ascii="宋体" w:hAnsi="宋体" w:cs="宋体"/>
          <w:sz w:val="24"/>
        </w:rPr>
        <w:t>7.1 施工组织设计</w:t>
      </w:r>
    </w:p>
    <w:p w14:paraId="2292B0A9">
      <w:pPr>
        <w:spacing w:line="360" w:lineRule="auto"/>
        <w:ind w:firstLine="480" w:firstLineChars="200"/>
        <w:rPr>
          <w:rFonts w:ascii="宋体" w:hAnsi="宋体" w:cs="宋体"/>
          <w:sz w:val="24"/>
          <w:u w:val="single"/>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p>
    <w:p w14:paraId="25829F63">
      <w:pPr>
        <w:autoSpaceDE w:val="0"/>
        <w:autoSpaceDN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7E0535B3">
      <w:pPr>
        <w:autoSpaceDE w:val="0"/>
        <w:autoSpaceDN w:val="0"/>
        <w:spacing w:line="360" w:lineRule="auto"/>
        <w:ind w:firstLine="480" w:firstLineChars="200"/>
        <w:rPr>
          <w:rFonts w:ascii="宋体" w:hAnsi="宋体" w:cs="宋体"/>
          <w:sz w:val="24"/>
        </w:rPr>
      </w:pPr>
      <w:r>
        <w:rPr>
          <w:rFonts w:hint="eastAsia" w:ascii="宋体" w:hAnsi="宋体" w:cs="宋体"/>
          <w:sz w:val="24"/>
        </w:rPr>
        <w:t>承包人提交详细施工组织设计的期限的约定：</w:t>
      </w:r>
      <w:r>
        <w:rPr>
          <w:rFonts w:hint="eastAsia" w:ascii="宋体" w:hAnsi="宋体" w:cs="宋体"/>
          <w:sz w:val="24"/>
          <w:u w:val="single"/>
        </w:rPr>
        <w:t xml:space="preserve"> 本合同签订后（3）天内提供详细施工组织设计（施工方案）和进度计划 </w:t>
      </w:r>
      <w:r>
        <w:rPr>
          <w:rFonts w:hint="eastAsia" w:ascii="宋体" w:hAnsi="宋体" w:cs="宋体"/>
          <w:sz w:val="24"/>
        </w:rPr>
        <w:t>。</w:t>
      </w:r>
    </w:p>
    <w:p w14:paraId="609B0903">
      <w:pPr>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p>
    <w:p w14:paraId="42ECF344">
      <w:pPr>
        <w:spacing w:line="360" w:lineRule="auto"/>
        <w:ind w:firstLine="480" w:firstLineChars="200"/>
        <w:rPr>
          <w:rFonts w:ascii="宋体" w:hAnsi="宋体" w:cs="宋体"/>
          <w:sz w:val="24"/>
        </w:rPr>
      </w:pPr>
      <w:r>
        <w:rPr>
          <w:rFonts w:hint="eastAsia" w:ascii="宋体" w:hAnsi="宋体" w:cs="宋体"/>
          <w:sz w:val="24"/>
        </w:rPr>
        <w:t>7.2 施工进度计划</w:t>
      </w:r>
    </w:p>
    <w:p w14:paraId="5763D663">
      <w:pPr>
        <w:spacing w:line="360" w:lineRule="auto"/>
        <w:ind w:firstLine="480" w:firstLineChars="200"/>
        <w:rPr>
          <w:rFonts w:ascii="宋体" w:hAnsi="宋体" w:cs="宋体"/>
          <w:sz w:val="24"/>
        </w:rPr>
      </w:pPr>
      <w:r>
        <w:rPr>
          <w:rFonts w:hint="eastAsia" w:ascii="宋体" w:hAnsi="宋体" w:cs="宋体"/>
          <w:sz w:val="24"/>
        </w:rPr>
        <w:t>7.2.2 施工进度计划的修订</w:t>
      </w:r>
    </w:p>
    <w:p w14:paraId="15E45AC2">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收到修订的施工进度计划后7天内。</w:t>
      </w:r>
    </w:p>
    <w:p w14:paraId="7A9FF62D">
      <w:pPr>
        <w:spacing w:line="360" w:lineRule="auto"/>
        <w:ind w:firstLine="480" w:firstLineChars="200"/>
        <w:rPr>
          <w:rFonts w:ascii="宋体" w:hAnsi="宋体" w:cs="宋体"/>
          <w:sz w:val="24"/>
        </w:rPr>
      </w:pPr>
      <w:r>
        <w:rPr>
          <w:rFonts w:hint="eastAsia" w:ascii="宋体" w:hAnsi="宋体" w:cs="宋体"/>
          <w:sz w:val="24"/>
        </w:rPr>
        <w:t>7.3 开工</w:t>
      </w:r>
    </w:p>
    <w:p w14:paraId="26107080">
      <w:pPr>
        <w:spacing w:line="360" w:lineRule="auto"/>
        <w:ind w:firstLine="480" w:firstLineChars="200"/>
        <w:rPr>
          <w:rFonts w:ascii="宋体" w:hAnsi="宋体" w:cs="宋体"/>
          <w:sz w:val="24"/>
        </w:rPr>
      </w:pPr>
      <w:r>
        <w:rPr>
          <w:rFonts w:hint="eastAsia" w:ascii="宋体" w:hAnsi="宋体" w:cs="宋体"/>
          <w:sz w:val="24"/>
        </w:rPr>
        <w:t>7.3.1 开工准备</w:t>
      </w:r>
    </w:p>
    <w:p w14:paraId="7B808C02">
      <w:pPr>
        <w:spacing w:line="360" w:lineRule="auto"/>
        <w:ind w:firstLine="480" w:firstLineChars="200"/>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开工前3天。</w:t>
      </w:r>
    </w:p>
    <w:p w14:paraId="6D51DF99">
      <w:pPr>
        <w:spacing w:line="360" w:lineRule="auto"/>
        <w:ind w:firstLine="480" w:firstLineChars="200"/>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开工前3天。</w:t>
      </w:r>
    </w:p>
    <w:p w14:paraId="7783EB80">
      <w:pPr>
        <w:spacing w:line="360" w:lineRule="auto"/>
        <w:ind w:firstLine="480" w:firstLineChars="200"/>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开工前3天</w:t>
      </w:r>
      <w:r>
        <w:rPr>
          <w:rFonts w:hint="eastAsia" w:ascii="宋体" w:hAnsi="宋体" w:cs="宋体"/>
          <w:sz w:val="24"/>
        </w:rPr>
        <w:t xml:space="preserve">。     </w:t>
      </w:r>
    </w:p>
    <w:p w14:paraId="0D1BC4EA">
      <w:pPr>
        <w:spacing w:line="360" w:lineRule="auto"/>
        <w:ind w:firstLine="480" w:firstLineChars="200"/>
        <w:rPr>
          <w:rFonts w:ascii="宋体" w:hAnsi="宋体" w:cs="宋体"/>
          <w:sz w:val="24"/>
        </w:rPr>
      </w:pPr>
      <w:r>
        <w:rPr>
          <w:rFonts w:hint="eastAsia" w:ascii="宋体" w:hAnsi="宋体" w:cs="宋体"/>
          <w:sz w:val="24"/>
        </w:rPr>
        <w:t>7.3.2开工通知</w:t>
      </w:r>
    </w:p>
    <w:p w14:paraId="715B22F5">
      <w:pPr>
        <w:spacing w:line="360" w:lineRule="auto"/>
        <w:ind w:firstLine="480" w:firstLineChars="200"/>
        <w:rPr>
          <w:rFonts w:ascii="宋体" w:hAnsi="宋体" w:cs="宋体"/>
          <w:sz w:val="24"/>
        </w:rPr>
      </w:pPr>
      <w:r>
        <w:rPr>
          <w:rFonts w:hint="eastAsia" w:ascii="宋体" w:hAnsi="宋体" w:cs="宋体"/>
          <w:sz w:val="24"/>
        </w:rPr>
        <w:t>因发包人原因造成未能在计划开工日期之日起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p w14:paraId="27892B2B">
      <w:pPr>
        <w:spacing w:line="360" w:lineRule="auto"/>
        <w:ind w:firstLine="480" w:firstLineChars="200"/>
        <w:rPr>
          <w:rFonts w:ascii="宋体" w:hAnsi="宋体" w:cs="宋体"/>
          <w:sz w:val="24"/>
        </w:rPr>
      </w:pPr>
      <w:r>
        <w:rPr>
          <w:rFonts w:hint="eastAsia" w:ascii="宋体" w:hAnsi="宋体" w:cs="宋体"/>
          <w:sz w:val="24"/>
        </w:rPr>
        <w:t>7.4 测量放线</w:t>
      </w:r>
    </w:p>
    <w:p w14:paraId="5BBC2E06">
      <w:pPr>
        <w:spacing w:line="360" w:lineRule="auto"/>
        <w:ind w:firstLine="480" w:firstLineChars="200"/>
        <w:rPr>
          <w:rFonts w:ascii="宋体" w:hAnsi="宋体" w:cs="宋体"/>
          <w:sz w:val="24"/>
          <w:u w:val="single"/>
        </w:rPr>
      </w:pPr>
      <w:r>
        <w:rPr>
          <w:rFonts w:hint="eastAsia" w:ascii="宋体" w:hAnsi="宋体" w:cs="宋体"/>
          <w:sz w:val="24"/>
        </w:rPr>
        <w:t>7.4.1发包人向承包人提供测量基准点、基准线和水准点及其书面资料的期限：</w:t>
      </w:r>
      <w:r>
        <w:rPr>
          <w:rFonts w:hint="eastAsia" w:ascii="宋体" w:hAnsi="宋体" w:cs="宋体"/>
          <w:sz w:val="24"/>
          <w:u w:val="single"/>
        </w:rPr>
        <w:t xml:space="preserve"> / </w:t>
      </w:r>
    </w:p>
    <w:p w14:paraId="150DD389">
      <w:pPr>
        <w:spacing w:line="360" w:lineRule="auto"/>
        <w:ind w:firstLine="480" w:firstLineChars="200"/>
        <w:rPr>
          <w:rFonts w:ascii="宋体" w:hAnsi="宋体" w:cs="宋体"/>
          <w:sz w:val="24"/>
        </w:rPr>
      </w:pPr>
      <w:r>
        <w:rPr>
          <w:rFonts w:hint="eastAsia" w:ascii="宋体" w:hAnsi="宋体" w:cs="宋体"/>
          <w:sz w:val="24"/>
        </w:rPr>
        <w:t>7.5 工期延误</w:t>
      </w:r>
    </w:p>
    <w:p w14:paraId="714B52ED">
      <w:pPr>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6F9E03FA">
      <w:pPr>
        <w:spacing w:line="360" w:lineRule="auto"/>
        <w:ind w:firstLine="480"/>
        <w:rPr>
          <w:rFonts w:ascii="宋体" w:hAnsi="宋体" w:cs="宋体"/>
          <w:sz w:val="24"/>
          <w:u w:val="single"/>
        </w:rPr>
      </w:pPr>
      <w:r>
        <w:rPr>
          <w:rFonts w:hint="eastAsia" w:ascii="宋体" w:hAnsi="宋体" w:cs="宋体"/>
          <w:sz w:val="24"/>
        </w:rPr>
        <w:t>（7）因发包人原因导致工期延误的其他情形：</w:t>
      </w:r>
    </w:p>
    <w:p w14:paraId="24058C0B">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1）重大设计变更引起的工期延误；</w:t>
      </w:r>
    </w:p>
    <w:p w14:paraId="3ABE0B2E">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2）其他：因发包人原因直接造成的工期延误；</w:t>
      </w:r>
    </w:p>
    <w:p w14:paraId="2E8D302A">
      <w:pPr>
        <w:spacing w:line="360" w:lineRule="auto"/>
        <w:ind w:firstLine="480" w:firstLineChars="200"/>
        <w:rPr>
          <w:rFonts w:ascii="宋体" w:hAnsi="宋体" w:cs="宋体"/>
          <w:sz w:val="24"/>
          <w:u w:val="single"/>
        </w:rPr>
      </w:pPr>
      <w:r>
        <w:rPr>
          <w:rFonts w:hint="eastAsia" w:ascii="宋体" w:hAnsi="宋体" w:cs="宋体"/>
          <w:sz w:val="24"/>
          <w:u w:val="single"/>
        </w:rPr>
        <w:t>非承包人原因引起的，发包人、承包人和监理单位（如有）共同确认需要延长工期的，可按双方协商一致后的书面签证予以顺延。</w:t>
      </w:r>
    </w:p>
    <w:p w14:paraId="4AD01031">
      <w:pPr>
        <w:spacing w:line="360" w:lineRule="auto"/>
        <w:ind w:firstLine="480" w:firstLineChars="200"/>
        <w:rPr>
          <w:rFonts w:ascii="宋体" w:hAnsi="宋体" w:cs="宋体"/>
          <w:sz w:val="24"/>
        </w:rPr>
      </w:pPr>
      <w:r>
        <w:rPr>
          <w:rFonts w:hint="eastAsia" w:ascii="宋体" w:hAnsi="宋体" w:cs="宋体"/>
          <w:sz w:val="24"/>
        </w:rPr>
        <w:t>7.5.2 因承包人原因导致工期延误</w:t>
      </w:r>
    </w:p>
    <w:p w14:paraId="4EBA221B">
      <w:pPr>
        <w:spacing w:line="360" w:lineRule="auto"/>
        <w:ind w:firstLine="480" w:firstLineChars="200"/>
        <w:rPr>
          <w:rFonts w:ascii="宋体" w:hAnsi="宋体" w:cs="宋体"/>
          <w:sz w:val="24"/>
          <w:u w:val="single"/>
        </w:rPr>
      </w:pPr>
      <w:r>
        <w:rPr>
          <w:rFonts w:hint="eastAsia" w:ascii="宋体" w:hAnsi="宋体" w:cs="宋体"/>
          <w:sz w:val="24"/>
        </w:rPr>
        <w:t>因承包人原因造成工期延误，逾期竣工违约金的计算方法为：</w:t>
      </w:r>
      <w:r>
        <w:rPr>
          <w:rFonts w:hint="eastAsia" w:ascii="宋体" w:hAnsi="宋体" w:cs="宋体"/>
          <w:sz w:val="24"/>
          <w:u w:val="single"/>
        </w:rPr>
        <w:t>①、因承包人原因工程不能按合同约定工期竣工，每延误一天，承包人应按人民币0.3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20天（含20天）的，发包人有权解除合同，也有权仍选择由承包人继续履行合同，如发包人选择由承包人继续履行合同的，竣工工期超过20天后每延误一天，承包人应按人民币0.6万元向发包人支付违约金。</w:t>
      </w:r>
    </w:p>
    <w:p w14:paraId="6AF23D7E">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sz w:val="24"/>
          <w:u w:val="single"/>
        </w:rPr>
        <w:t xml:space="preserve"> 不设上限，工期延误违约金发包人有权直接从履约担保中扣除，不足部分从工程款中扣除 </w:t>
      </w:r>
      <w:r>
        <w:rPr>
          <w:rFonts w:hint="eastAsia" w:ascii="宋体" w:hAnsi="宋体" w:cs="宋体"/>
          <w:sz w:val="24"/>
        </w:rPr>
        <w:t>。</w:t>
      </w:r>
    </w:p>
    <w:p w14:paraId="78FCBECF">
      <w:pPr>
        <w:spacing w:line="360" w:lineRule="auto"/>
        <w:ind w:firstLine="480" w:firstLineChars="200"/>
        <w:rPr>
          <w:rFonts w:ascii="宋体" w:hAnsi="宋体" w:cs="宋体"/>
          <w:sz w:val="24"/>
        </w:rPr>
      </w:pPr>
      <w:r>
        <w:rPr>
          <w:rFonts w:hint="eastAsia" w:ascii="宋体" w:hAnsi="宋体" w:cs="宋体"/>
          <w:sz w:val="24"/>
        </w:rPr>
        <w:t>7.6 不利物质条件</w:t>
      </w:r>
    </w:p>
    <w:p w14:paraId="5827338F">
      <w:pPr>
        <w:spacing w:line="360" w:lineRule="auto"/>
        <w:ind w:firstLine="475" w:firstLineChars="198"/>
        <w:rPr>
          <w:rFonts w:ascii="宋体" w:hAnsi="宋体" w:cs="宋体"/>
          <w:sz w:val="24"/>
        </w:rPr>
      </w:pPr>
      <w:r>
        <w:rPr>
          <w:rFonts w:hint="eastAsia" w:ascii="宋体" w:hAnsi="宋体" w:cs="宋体"/>
          <w:sz w:val="24"/>
        </w:rPr>
        <w:t>不利物质条件的其他情形和有关约定：</w:t>
      </w:r>
      <w:r>
        <w:rPr>
          <w:rFonts w:hint="eastAsia" w:ascii="宋体" w:hAnsi="宋体" w:cs="宋体"/>
          <w:sz w:val="24"/>
          <w:u w:val="single"/>
        </w:rPr>
        <w:t xml:space="preserve"> / ；</w:t>
      </w:r>
    </w:p>
    <w:p w14:paraId="5C036941">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2E89B0F9">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发包人和承包人同意以下情形视为异常恶劣的气候条件：</w:t>
      </w:r>
      <w:r>
        <w:rPr>
          <w:rFonts w:hint="eastAsia" w:ascii="宋体" w:hAnsi="宋体" w:cs="宋体"/>
          <w:sz w:val="24"/>
          <w:u w:val="single"/>
        </w:rPr>
        <w:t>日最高气温达到40度及以上的天气；启动台风橙色及以上的预警的天气；启动防汛预案一级响应的天气；启动防冻预案一级响应的天气。</w:t>
      </w:r>
    </w:p>
    <w:p w14:paraId="52B6B654">
      <w:pPr>
        <w:spacing w:line="360" w:lineRule="auto"/>
        <w:ind w:firstLine="480" w:firstLineChars="200"/>
        <w:rPr>
          <w:rFonts w:ascii="宋体" w:hAnsi="宋体" w:cs="宋体"/>
          <w:sz w:val="24"/>
        </w:rPr>
      </w:pPr>
      <w:r>
        <w:rPr>
          <w:rFonts w:hint="eastAsia" w:ascii="宋体" w:hAnsi="宋体" w:cs="宋体"/>
          <w:sz w:val="24"/>
        </w:rPr>
        <w:t>7.9 提前竣工的奖励</w:t>
      </w:r>
    </w:p>
    <w:p w14:paraId="65E43790">
      <w:pPr>
        <w:spacing w:line="360" w:lineRule="auto"/>
        <w:ind w:firstLine="480" w:firstLineChars="200"/>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14:paraId="5E13159C">
      <w:pPr>
        <w:topLinePunct/>
        <w:spacing w:line="360" w:lineRule="auto"/>
        <w:ind w:firstLine="420"/>
        <w:rPr>
          <w:rFonts w:ascii="宋体" w:hAnsi="宋体" w:cs="宋体"/>
          <w:b/>
          <w:sz w:val="24"/>
        </w:rPr>
      </w:pPr>
      <w:r>
        <w:rPr>
          <w:rFonts w:hint="eastAsia" w:ascii="宋体" w:hAnsi="宋体" w:cs="宋体"/>
          <w:b/>
          <w:sz w:val="24"/>
        </w:rPr>
        <w:t>8. 材料与设备</w:t>
      </w:r>
    </w:p>
    <w:p w14:paraId="76A8DE51">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39881014">
      <w:pPr>
        <w:spacing w:line="360" w:lineRule="auto"/>
        <w:ind w:firstLine="480" w:firstLineChars="200"/>
        <w:rPr>
          <w:rFonts w:ascii="宋体" w:hAnsi="宋体" w:cs="宋体"/>
          <w:sz w:val="24"/>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p>
    <w:p w14:paraId="79E748E4">
      <w:pPr>
        <w:spacing w:line="360" w:lineRule="auto"/>
        <w:ind w:firstLine="480" w:firstLineChars="200"/>
        <w:rPr>
          <w:rFonts w:ascii="宋体" w:hAnsi="宋体" w:cs="宋体"/>
          <w:sz w:val="24"/>
        </w:rPr>
      </w:pPr>
      <w:r>
        <w:rPr>
          <w:rFonts w:hint="eastAsia" w:ascii="宋体" w:hAnsi="宋体" w:cs="宋体"/>
          <w:sz w:val="24"/>
        </w:rPr>
        <w:t>8.6 样品</w:t>
      </w:r>
    </w:p>
    <w:p w14:paraId="336DE1EE">
      <w:pPr>
        <w:spacing w:line="360" w:lineRule="auto"/>
        <w:ind w:firstLine="480" w:firstLineChars="200"/>
        <w:rPr>
          <w:rFonts w:ascii="宋体" w:hAnsi="宋体" w:cs="宋体"/>
          <w:sz w:val="24"/>
        </w:rPr>
      </w:pPr>
      <w:r>
        <w:rPr>
          <w:rFonts w:hint="eastAsia" w:ascii="宋体" w:hAnsi="宋体" w:cs="宋体"/>
          <w:sz w:val="24"/>
        </w:rPr>
        <w:t>8.6.1 样品的报送与封存</w:t>
      </w:r>
    </w:p>
    <w:p w14:paraId="6688CD74">
      <w:pPr>
        <w:tabs>
          <w:tab w:val="left" w:pos="482"/>
          <w:tab w:val="left" w:pos="2183"/>
          <w:tab w:val="left" w:pos="3884"/>
          <w:tab w:val="left" w:pos="5585"/>
        </w:tabs>
        <w:autoSpaceDE w:val="0"/>
        <w:autoSpaceDN w:val="0"/>
        <w:spacing w:line="360" w:lineRule="auto"/>
        <w:ind w:firstLine="480" w:firstLineChars="200"/>
        <w:rPr>
          <w:rFonts w:ascii="宋体" w:hAnsi="宋体" w:cs="宋体"/>
          <w:sz w:val="24"/>
          <w:u w:val="single"/>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按有关规定和监理人（如有）要求执行。</w:t>
      </w:r>
    </w:p>
    <w:p w14:paraId="79F6F6FA">
      <w:pPr>
        <w:spacing w:line="360" w:lineRule="auto"/>
        <w:ind w:firstLine="480" w:firstLineChars="200"/>
        <w:rPr>
          <w:rFonts w:ascii="宋体" w:hAnsi="宋体" w:cs="宋体"/>
          <w:sz w:val="24"/>
        </w:rPr>
      </w:pPr>
      <w:r>
        <w:rPr>
          <w:rFonts w:hint="eastAsia" w:ascii="宋体" w:hAnsi="宋体" w:cs="宋体"/>
          <w:sz w:val="24"/>
        </w:rPr>
        <w:t>8.8 施工设备和临时设施</w:t>
      </w:r>
    </w:p>
    <w:p w14:paraId="5EF37E61">
      <w:pPr>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1E42A8F8">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   /   </w:t>
      </w:r>
    </w:p>
    <w:p w14:paraId="11187A8D">
      <w:pPr>
        <w:topLinePunct/>
        <w:spacing w:line="360" w:lineRule="auto"/>
        <w:ind w:firstLine="420"/>
        <w:rPr>
          <w:rFonts w:ascii="宋体" w:hAnsi="宋体" w:cs="宋体"/>
          <w:b/>
          <w:sz w:val="24"/>
        </w:rPr>
      </w:pPr>
      <w:r>
        <w:rPr>
          <w:rFonts w:hint="eastAsia" w:ascii="宋体" w:hAnsi="宋体" w:cs="宋体"/>
          <w:b/>
          <w:sz w:val="24"/>
        </w:rPr>
        <w:t>9. 试验与检验</w:t>
      </w:r>
    </w:p>
    <w:p w14:paraId="3E71338B">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497A4AFE">
      <w:pPr>
        <w:spacing w:line="360" w:lineRule="auto"/>
        <w:ind w:firstLine="480" w:firstLineChars="200"/>
        <w:rPr>
          <w:rFonts w:ascii="宋体" w:hAnsi="宋体" w:cs="宋体"/>
          <w:sz w:val="24"/>
        </w:rPr>
      </w:pPr>
      <w:r>
        <w:rPr>
          <w:rFonts w:hint="eastAsia" w:ascii="宋体" w:hAnsi="宋体" w:cs="宋体"/>
          <w:sz w:val="24"/>
        </w:rPr>
        <w:t>9.1.2 试验设备</w:t>
      </w:r>
    </w:p>
    <w:p w14:paraId="1C7FFCED">
      <w:pPr>
        <w:spacing w:line="360" w:lineRule="auto"/>
        <w:ind w:firstLine="480" w:firstLineChars="200"/>
        <w:rPr>
          <w:rFonts w:ascii="宋体" w:hAnsi="宋体" w:cs="宋体"/>
          <w:sz w:val="24"/>
        </w:rPr>
      </w:pPr>
      <w:r>
        <w:rPr>
          <w:rFonts w:hint="eastAsia" w:ascii="宋体" w:hAnsi="宋体" w:cs="宋体"/>
          <w:sz w:val="24"/>
        </w:rPr>
        <w:t>施工现场需要配置的试验场所：</w:t>
      </w:r>
      <w:r>
        <w:rPr>
          <w:rFonts w:hint="eastAsia" w:ascii="宋体" w:hAnsi="宋体" w:cs="宋体"/>
          <w:sz w:val="24"/>
          <w:u w:val="single"/>
        </w:rPr>
        <w:t xml:space="preserve"> 按有关规定和监理人要求执行</w:t>
      </w:r>
      <w:r>
        <w:rPr>
          <w:rFonts w:hint="eastAsia" w:ascii="宋体" w:hAnsi="宋体" w:cs="宋体"/>
          <w:sz w:val="24"/>
        </w:rPr>
        <w:t xml:space="preserve">。 </w:t>
      </w:r>
    </w:p>
    <w:p w14:paraId="2E0979B0">
      <w:pPr>
        <w:spacing w:line="360" w:lineRule="auto"/>
        <w:ind w:firstLine="480" w:firstLineChars="200"/>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14:paraId="5FE7E72B">
      <w:pPr>
        <w:spacing w:line="360" w:lineRule="auto"/>
        <w:ind w:firstLine="480" w:firstLineChars="200"/>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14:paraId="6A12C1AE">
      <w:pPr>
        <w:snapToGrid w:val="0"/>
        <w:spacing w:line="360" w:lineRule="auto"/>
        <w:ind w:firstLine="480" w:firstLineChars="200"/>
        <w:rPr>
          <w:rFonts w:ascii="宋体" w:hAnsi="宋体" w:cs="宋体"/>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2B5FF33E">
      <w:pPr>
        <w:snapToGrid w:val="0"/>
        <w:spacing w:line="360" w:lineRule="auto"/>
        <w:ind w:firstLine="480" w:firstLineChars="200"/>
        <w:rPr>
          <w:rFonts w:ascii="宋体" w:hAnsi="宋体" w:cs="宋体"/>
          <w:sz w:val="24"/>
          <w:u w:val="single"/>
        </w:rPr>
      </w:pPr>
      <w:r>
        <w:rPr>
          <w:rFonts w:hint="eastAsia" w:ascii="宋体" w:hAnsi="宋体" w:cs="宋体"/>
          <w:kern w:val="0"/>
          <w:sz w:val="24"/>
        </w:rPr>
        <w:t>试验、检测单位资质条件约定：</w:t>
      </w:r>
      <w:r>
        <w:rPr>
          <w:rFonts w:hint="eastAsia" w:ascii="宋体" w:hAnsi="宋体" w:cs="宋体"/>
          <w:sz w:val="24"/>
          <w:u w:val="single"/>
        </w:rPr>
        <w:t>按有关规定和监理人要求执行</w:t>
      </w:r>
      <w:r>
        <w:rPr>
          <w:rFonts w:hint="eastAsia" w:ascii="宋体" w:hAnsi="宋体" w:cs="宋体"/>
          <w:sz w:val="24"/>
        </w:rPr>
        <w:t>。</w:t>
      </w:r>
    </w:p>
    <w:p w14:paraId="207ADB7D">
      <w:pPr>
        <w:snapToGrid w:val="0"/>
        <w:spacing w:line="360" w:lineRule="auto"/>
        <w:ind w:firstLine="480" w:firstLineChars="200"/>
        <w:rPr>
          <w:rFonts w:ascii="宋体" w:hAnsi="宋体" w:cs="宋体"/>
          <w:sz w:val="24"/>
        </w:rPr>
      </w:pPr>
      <w:r>
        <w:rPr>
          <w:rFonts w:hint="eastAsia" w:ascii="宋体" w:hAnsi="宋体" w:cs="宋体"/>
          <w:kern w:val="0"/>
          <w:sz w:val="24"/>
        </w:rPr>
        <w:t>试验、检测单位选择约定：</w:t>
      </w:r>
      <w:r>
        <w:rPr>
          <w:rFonts w:hint="eastAsia" w:ascii="宋体" w:hAnsi="宋体" w:cs="宋体"/>
          <w:sz w:val="24"/>
          <w:u w:val="single"/>
        </w:rPr>
        <w:t>按有关规定和监理人要求执行</w:t>
      </w:r>
      <w:r>
        <w:rPr>
          <w:rFonts w:hint="eastAsia" w:ascii="宋体" w:hAnsi="宋体" w:cs="宋体"/>
          <w:sz w:val="24"/>
        </w:rPr>
        <w:t>。</w:t>
      </w:r>
    </w:p>
    <w:p w14:paraId="15D1BC43">
      <w:pPr>
        <w:spacing w:line="360" w:lineRule="auto"/>
        <w:ind w:firstLine="420"/>
        <w:rPr>
          <w:rFonts w:ascii="宋体" w:hAnsi="宋体" w:cs="宋体"/>
          <w:caps/>
          <w:kern w:val="0"/>
          <w:sz w:val="24"/>
        </w:rPr>
      </w:pPr>
      <w:r>
        <w:rPr>
          <w:rFonts w:hint="eastAsia" w:ascii="宋体" w:hAnsi="宋体" w:cs="宋体"/>
          <w:caps/>
          <w:kern w:val="0"/>
          <w:sz w:val="24"/>
        </w:rPr>
        <w:t>试验、检测费用约定：</w:t>
      </w:r>
      <w:r>
        <w:rPr>
          <w:rFonts w:hint="eastAsia" w:ascii="宋体" w:hAnsi="宋体" w:cs="宋体"/>
          <w:caps/>
          <w:kern w:val="0"/>
          <w:sz w:val="24"/>
          <w:u w:val="single"/>
        </w:rPr>
        <w:t xml:space="preserve"> 所有工程测验、检测费用由承包人承担，并已包含在合同价款中，不再另行计算。</w:t>
      </w:r>
    </w:p>
    <w:p w14:paraId="777A3393">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0CD83095">
      <w:pPr>
        <w:spacing w:line="360" w:lineRule="auto"/>
        <w:ind w:firstLine="480" w:firstLineChars="200"/>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按有关规定和监理人要求执行</w:t>
      </w:r>
    </w:p>
    <w:p w14:paraId="1F4DE6B7">
      <w:pPr>
        <w:topLinePunct/>
        <w:spacing w:line="360" w:lineRule="auto"/>
        <w:ind w:firstLine="420"/>
        <w:rPr>
          <w:rFonts w:ascii="宋体" w:hAnsi="宋体" w:cs="宋体"/>
          <w:b/>
          <w:sz w:val="24"/>
        </w:rPr>
      </w:pPr>
      <w:r>
        <w:rPr>
          <w:rFonts w:hint="eastAsia" w:ascii="宋体" w:hAnsi="宋体" w:cs="宋体"/>
          <w:b/>
          <w:sz w:val="24"/>
        </w:rPr>
        <w:t>10.变更</w:t>
      </w:r>
    </w:p>
    <w:p w14:paraId="69C132B9">
      <w:pPr>
        <w:spacing w:line="360" w:lineRule="auto"/>
        <w:ind w:firstLine="480" w:firstLineChars="200"/>
        <w:rPr>
          <w:rFonts w:ascii="宋体" w:hAnsi="宋体" w:cs="宋体"/>
          <w:sz w:val="24"/>
        </w:rPr>
      </w:pPr>
      <w:r>
        <w:rPr>
          <w:rFonts w:hint="eastAsia" w:ascii="宋体" w:hAnsi="宋体" w:cs="宋体"/>
          <w:sz w:val="24"/>
        </w:rPr>
        <w:t>10.1变更的范围</w:t>
      </w:r>
    </w:p>
    <w:p w14:paraId="40962444">
      <w:pPr>
        <w:snapToGrid w:val="0"/>
        <w:spacing w:line="360" w:lineRule="auto"/>
        <w:ind w:firstLine="480" w:firstLineChars="200"/>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按通用合同条款约定。</w:t>
      </w:r>
    </w:p>
    <w:p w14:paraId="29AEC5EB">
      <w:pPr>
        <w:snapToGrid w:val="0"/>
        <w:spacing w:line="360" w:lineRule="auto"/>
        <w:ind w:firstLine="480" w:firstLineChars="200"/>
        <w:rPr>
          <w:rFonts w:ascii="宋体" w:hAnsi="宋体" w:cs="宋体"/>
          <w:sz w:val="24"/>
        </w:rPr>
      </w:pPr>
      <w:r>
        <w:rPr>
          <w:rFonts w:hint="eastAsia" w:ascii="宋体" w:hAnsi="宋体" w:cs="宋体"/>
          <w:sz w:val="24"/>
        </w:rPr>
        <w:t>10.1.2因承包人擅自变更设计发生的费用和由此导致发包人的直接损失，由承包人承担，延误的工期不予顺延。</w:t>
      </w:r>
    </w:p>
    <w:p w14:paraId="29D3D02B">
      <w:pPr>
        <w:snapToGrid w:val="0"/>
        <w:spacing w:line="360" w:lineRule="auto"/>
        <w:ind w:firstLine="480" w:firstLineChars="200"/>
        <w:rPr>
          <w:rFonts w:ascii="宋体" w:hAnsi="宋体" w:cs="宋体"/>
          <w:sz w:val="24"/>
        </w:rPr>
      </w:pPr>
      <w:r>
        <w:rPr>
          <w:rFonts w:hint="eastAsia" w:ascii="宋体" w:hAnsi="宋体" w:cs="宋体"/>
          <w:sz w:val="24"/>
        </w:rPr>
        <w:t>10.1.3承包人提出的合理化建议涉及到的工程变更，须经发包人同意并办理相关变更审查手续。未经同意擅自更改的，承包人承担由此产生的费用，并赔偿发包人的有关损失，延误的工期不予顺延。</w:t>
      </w:r>
    </w:p>
    <w:p w14:paraId="6731A51B">
      <w:pPr>
        <w:spacing w:line="360" w:lineRule="auto"/>
        <w:ind w:firstLine="480" w:firstLineChars="200"/>
        <w:rPr>
          <w:rFonts w:ascii="宋体" w:hAnsi="宋体" w:cs="宋体"/>
          <w:sz w:val="24"/>
        </w:rPr>
      </w:pPr>
      <w:r>
        <w:rPr>
          <w:rFonts w:hint="eastAsia" w:ascii="宋体" w:hAnsi="宋体" w:cs="宋体"/>
          <w:sz w:val="24"/>
        </w:rPr>
        <w:t>10.4 变更估价</w:t>
      </w:r>
    </w:p>
    <w:p w14:paraId="509D36E1">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07242B31">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3AB14A7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（1）已标价工程量清单或预算书有相同项目的，按照相同项目单价确定。</w:t>
      </w:r>
    </w:p>
    <w:p w14:paraId="3E814691">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（2）无标价工程量清单或预算书中无相同项目，但有类似项目的，参照类似项目的单价确定。</w:t>
      </w:r>
    </w:p>
    <w:p w14:paraId="1B456D2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（3）无标价工程量清单或预算书中无相同项目及类似项目单价的，其单价的确定，按以下约定：</w:t>
      </w:r>
    </w:p>
    <w:p w14:paraId="32AA6D6D">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①工程量根据联系单，按照《建设工程工程量清单计价规范》（GB50500-2013）计算，结算工程量应首先报监理及发包人初审。</w:t>
      </w:r>
    </w:p>
    <w:p w14:paraId="2A94DBC0">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②清单项目中项目特征或工程内容发生部分变更的，</w:t>
      </w:r>
      <w:bookmarkStart w:id="492" w:name="_Hlk74986282"/>
      <w:r>
        <w:rPr>
          <w:rFonts w:hint="eastAsia" w:ascii="宋体" w:hAnsi="宋体" w:cs="宋体"/>
          <w:kern w:val="0"/>
          <w:sz w:val="24"/>
          <w:u w:val="single"/>
        </w:rPr>
        <w:t>材料价格有投标价的执行投标价，无投标价的执行施工期间的信息价平均值，对工程所在地信息价正刊没有公布的材料，发包人应在充分市场询价基础上，参照同期同类材料市场价格水平。</w:t>
      </w:r>
      <w:bookmarkEnd w:id="492"/>
    </w:p>
    <w:p w14:paraId="500E0F4C">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③合同中没有适用或类似工程项目单价的：变更后综合单价=按工程招标时招标控制价组价口径计算的综合单价*优惠率（优惠率为=成交价÷招标控制价)。</w:t>
      </w:r>
    </w:p>
    <w:p w14:paraId="5B4CA3E4">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④本工程清单内按项计入的措施费用均为一次性包干使用，成交后不再作调整；</w:t>
      </w:r>
      <w:r>
        <w:rPr>
          <w:rFonts w:hint="eastAsia" w:ascii="宋体" w:hAnsi="宋体" w:cs="宋体"/>
          <w:sz w:val="24"/>
          <w:u w:val="single"/>
        </w:rPr>
        <w:t>磋商响应文件中对措施费用的漏报或者少报，视作对本项目的优惠</w:t>
      </w:r>
      <w:r>
        <w:rPr>
          <w:rFonts w:hint="eastAsia" w:ascii="宋体" w:hAnsi="宋体" w:cs="宋体"/>
          <w:kern w:val="0"/>
          <w:sz w:val="24"/>
          <w:u w:val="single"/>
        </w:rPr>
        <w:t>。</w:t>
      </w:r>
    </w:p>
    <w:p w14:paraId="3EFDFF5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16D98039">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47D83219">
      <w:pPr>
        <w:spacing w:line="360" w:lineRule="auto"/>
        <w:ind w:firstLine="480" w:firstLineChars="200"/>
        <w:rPr>
          <w:rFonts w:ascii="宋体" w:hAnsi="宋体" w:cs="宋体"/>
          <w:sz w:val="24"/>
          <w:u w:val="single"/>
        </w:rPr>
      </w:pPr>
      <w:r>
        <w:rPr>
          <w:rFonts w:hint="eastAsia" w:ascii="宋体" w:hAnsi="宋体" w:cs="宋体"/>
          <w:sz w:val="24"/>
        </w:rPr>
        <w:t>监理人审查承包人合理化建议的期限：</w:t>
      </w:r>
      <w:r>
        <w:rPr>
          <w:rFonts w:hint="eastAsia" w:ascii="宋体" w:hAnsi="宋体" w:cs="宋体"/>
          <w:sz w:val="24"/>
          <w:u w:val="single"/>
        </w:rPr>
        <w:t>按通用条款执行。</w:t>
      </w:r>
    </w:p>
    <w:p w14:paraId="6E0439B8">
      <w:pPr>
        <w:spacing w:line="360" w:lineRule="auto"/>
        <w:ind w:firstLine="480" w:firstLineChars="200"/>
        <w:rPr>
          <w:rFonts w:ascii="宋体" w:hAnsi="宋体" w:cs="宋体"/>
          <w:sz w:val="24"/>
          <w:u w:val="single"/>
        </w:rPr>
      </w:pPr>
      <w:r>
        <w:rPr>
          <w:rFonts w:hint="eastAsia" w:ascii="宋体" w:hAnsi="宋体" w:cs="宋体"/>
          <w:sz w:val="24"/>
        </w:rPr>
        <w:t>发包人审批承包人合理化建议的期限：</w:t>
      </w:r>
      <w:r>
        <w:rPr>
          <w:rFonts w:hint="eastAsia" w:ascii="宋体" w:hAnsi="宋体" w:cs="宋体"/>
          <w:sz w:val="24"/>
          <w:u w:val="single"/>
        </w:rPr>
        <w:t>按通用条款执行。</w:t>
      </w:r>
    </w:p>
    <w:p w14:paraId="33287B3C">
      <w:pPr>
        <w:spacing w:line="360" w:lineRule="auto"/>
        <w:ind w:firstLine="480" w:firstLineChars="200"/>
        <w:rPr>
          <w:rFonts w:ascii="宋体" w:hAnsi="宋体" w:cs="宋体"/>
          <w:sz w:val="24"/>
          <w:u w:val="single"/>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 。</w:t>
      </w:r>
    </w:p>
    <w:p w14:paraId="62AEF3D3">
      <w:pPr>
        <w:spacing w:line="360" w:lineRule="auto"/>
        <w:ind w:firstLine="480" w:firstLineChars="200"/>
        <w:rPr>
          <w:rFonts w:ascii="宋体" w:hAnsi="宋体" w:cs="宋体"/>
          <w:sz w:val="24"/>
          <w:u w:val="single"/>
        </w:rPr>
      </w:pPr>
      <w:r>
        <w:rPr>
          <w:rFonts w:hint="eastAsia" w:ascii="宋体" w:hAnsi="宋体" w:cs="宋体"/>
          <w:sz w:val="24"/>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1A3CE5E6">
      <w:pPr>
        <w:spacing w:line="360" w:lineRule="auto"/>
        <w:ind w:firstLine="480" w:firstLineChars="200"/>
        <w:rPr>
          <w:rFonts w:ascii="宋体" w:hAnsi="宋体" w:cs="宋体"/>
          <w:sz w:val="24"/>
        </w:rPr>
      </w:pPr>
      <w:r>
        <w:rPr>
          <w:rFonts w:hint="eastAsia" w:ascii="宋体" w:hAnsi="宋体" w:cs="宋体"/>
          <w:sz w:val="24"/>
        </w:rPr>
        <w:t>10.7 暂估价</w:t>
      </w:r>
    </w:p>
    <w:p w14:paraId="3223355C">
      <w:pPr>
        <w:spacing w:line="360" w:lineRule="auto"/>
        <w:ind w:firstLine="480" w:firstLineChars="200"/>
        <w:rPr>
          <w:rFonts w:ascii="宋体" w:hAnsi="宋体" w:cs="宋体"/>
          <w:sz w:val="24"/>
        </w:rPr>
      </w:pPr>
      <w:r>
        <w:rPr>
          <w:rFonts w:hint="eastAsia" w:ascii="宋体" w:hAnsi="宋体" w:cs="宋体"/>
          <w:sz w:val="24"/>
        </w:rPr>
        <w:t>暂估价材料和工程设备：</w:t>
      </w:r>
      <w:r>
        <w:rPr>
          <w:rFonts w:hint="eastAsia" w:ascii="宋体" w:hAnsi="宋体" w:cs="宋体"/>
          <w:sz w:val="24"/>
          <w:u w:val="single"/>
        </w:rPr>
        <w:t>/。</w:t>
      </w:r>
    </w:p>
    <w:p w14:paraId="334AB3CA">
      <w:pPr>
        <w:spacing w:line="360" w:lineRule="auto"/>
        <w:ind w:firstLine="480" w:firstLineChars="200"/>
        <w:rPr>
          <w:rFonts w:ascii="宋体" w:hAnsi="宋体" w:cs="宋体"/>
          <w:sz w:val="24"/>
        </w:rPr>
      </w:pPr>
      <w:r>
        <w:rPr>
          <w:rFonts w:hint="eastAsia" w:ascii="宋体" w:hAnsi="宋体" w:cs="宋体"/>
          <w:sz w:val="24"/>
        </w:rPr>
        <w:t>10.7.1 依法必须招标的暂估价项目</w:t>
      </w:r>
    </w:p>
    <w:p w14:paraId="133AE006">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3D462BC0">
      <w:pPr>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4DEC2D99">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w:t>
      </w:r>
      <w:r>
        <w:rPr>
          <w:rFonts w:hint="eastAsia" w:ascii="宋体" w:hAnsi="宋体" w:cs="宋体"/>
          <w:sz w:val="24"/>
        </w:rPr>
        <w:t>种方式确定。</w:t>
      </w:r>
    </w:p>
    <w:p w14:paraId="566EDCD4">
      <w:pPr>
        <w:spacing w:line="360" w:lineRule="auto"/>
        <w:ind w:firstLine="480" w:firstLineChars="200"/>
        <w:rPr>
          <w:rFonts w:ascii="宋体" w:hAnsi="宋体" w:cs="宋体"/>
          <w:sz w:val="24"/>
        </w:rPr>
      </w:pPr>
      <w:r>
        <w:rPr>
          <w:rFonts w:hint="eastAsia" w:ascii="宋体" w:hAnsi="宋体" w:cs="宋体"/>
          <w:sz w:val="24"/>
        </w:rPr>
        <w:t>10.8 暂列金额</w:t>
      </w:r>
    </w:p>
    <w:p w14:paraId="43C020CE">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合同当事人关于暂列金额使用的约定：</w:t>
      </w:r>
      <w:r>
        <w:rPr>
          <w:rFonts w:hint="eastAsia" w:ascii="宋体" w:hAnsi="宋体" w:cs="宋体"/>
          <w:sz w:val="24"/>
          <w:u w:val="single"/>
        </w:rPr>
        <w:t>/。</w:t>
      </w:r>
    </w:p>
    <w:p w14:paraId="4BF8AB38">
      <w:pPr>
        <w:topLinePunct/>
        <w:spacing w:line="360" w:lineRule="auto"/>
        <w:ind w:firstLine="420"/>
        <w:rPr>
          <w:rFonts w:ascii="宋体" w:hAnsi="宋体" w:cs="宋体"/>
          <w:b/>
          <w:sz w:val="24"/>
        </w:rPr>
      </w:pPr>
      <w:r>
        <w:rPr>
          <w:rFonts w:hint="eastAsia" w:ascii="宋体" w:hAnsi="宋体" w:cs="宋体"/>
          <w:b/>
          <w:sz w:val="24"/>
        </w:rPr>
        <w:t>11.价格调整</w:t>
      </w:r>
    </w:p>
    <w:p w14:paraId="37EB62B1">
      <w:pPr>
        <w:spacing w:line="360" w:lineRule="auto"/>
        <w:ind w:firstLine="480" w:firstLineChars="200"/>
        <w:rPr>
          <w:rFonts w:ascii="宋体" w:hAnsi="宋体" w:cs="宋体"/>
          <w:sz w:val="24"/>
        </w:rPr>
      </w:pPr>
      <w:r>
        <w:rPr>
          <w:rFonts w:hint="eastAsia" w:ascii="宋体" w:hAnsi="宋体" w:cs="宋体"/>
          <w:sz w:val="24"/>
        </w:rPr>
        <w:t>11.1 市场价格波动引起的调整</w:t>
      </w:r>
    </w:p>
    <w:p w14:paraId="39C31066">
      <w:pPr>
        <w:spacing w:line="360" w:lineRule="auto"/>
        <w:ind w:firstLine="480" w:firstLineChars="200"/>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否。</w:t>
      </w:r>
    </w:p>
    <w:p w14:paraId="03FF573D">
      <w:pPr>
        <w:topLinePunct/>
        <w:spacing w:line="360" w:lineRule="auto"/>
        <w:ind w:firstLine="420"/>
        <w:rPr>
          <w:rFonts w:ascii="宋体" w:hAnsi="宋体" w:cs="宋体"/>
          <w:b/>
          <w:sz w:val="24"/>
        </w:rPr>
      </w:pPr>
      <w:r>
        <w:rPr>
          <w:rFonts w:hint="eastAsia" w:ascii="宋体" w:hAnsi="宋体" w:cs="宋体"/>
          <w:b/>
          <w:sz w:val="24"/>
        </w:rPr>
        <w:t>12.合同价格、计量与支付</w:t>
      </w:r>
    </w:p>
    <w:p w14:paraId="0303671E">
      <w:pPr>
        <w:spacing w:line="360" w:lineRule="auto"/>
        <w:ind w:firstLine="480" w:firstLineChars="200"/>
        <w:rPr>
          <w:rFonts w:ascii="宋体" w:hAnsi="宋体" w:cs="宋体"/>
          <w:sz w:val="24"/>
        </w:rPr>
      </w:pPr>
      <w:r>
        <w:rPr>
          <w:rFonts w:hint="eastAsia" w:ascii="宋体" w:hAnsi="宋体" w:cs="宋体"/>
          <w:sz w:val="24"/>
        </w:rPr>
        <w:t>12.1 合同价格形式</w:t>
      </w:r>
    </w:p>
    <w:p w14:paraId="361DE5C7">
      <w:pPr>
        <w:spacing w:line="360" w:lineRule="auto"/>
        <w:ind w:firstLine="480" w:firstLineChars="200"/>
        <w:rPr>
          <w:rFonts w:ascii="宋体" w:hAnsi="宋体" w:cs="宋体"/>
          <w:sz w:val="24"/>
        </w:rPr>
      </w:pPr>
      <w:r>
        <w:rPr>
          <w:rFonts w:hint="eastAsia" w:ascii="宋体" w:hAnsi="宋体" w:cs="宋体"/>
          <w:sz w:val="24"/>
        </w:rPr>
        <w:t>1、固定综合单价合同。</w:t>
      </w:r>
    </w:p>
    <w:p w14:paraId="432CB614">
      <w:pPr>
        <w:snapToGrid w:val="0"/>
        <w:spacing w:line="360" w:lineRule="auto"/>
        <w:ind w:firstLine="448" w:firstLineChars="187"/>
        <w:rPr>
          <w:rFonts w:ascii="宋体" w:hAnsi="宋体" w:cs="宋体"/>
          <w:sz w:val="24"/>
        </w:rPr>
      </w:pPr>
      <w:r>
        <w:rPr>
          <w:rFonts w:hint="eastAsia" w:ascii="宋体" w:hAnsi="宋体" w:cs="宋体"/>
          <w:sz w:val="24"/>
        </w:rPr>
        <w:t>综合单价包含的风险范围：</w:t>
      </w:r>
    </w:p>
    <w:p w14:paraId="015AAB27">
      <w:pPr>
        <w:snapToGrid w:val="0"/>
        <w:spacing w:line="360" w:lineRule="auto"/>
        <w:ind w:firstLine="448" w:firstLineChars="187"/>
        <w:rPr>
          <w:rFonts w:ascii="宋体" w:hAnsi="宋体" w:cs="宋体"/>
          <w:sz w:val="24"/>
          <w:u w:val="single"/>
        </w:rPr>
      </w:pPr>
      <w:bookmarkStart w:id="493" w:name="_Hlk74661457"/>
      <w:r>
        <w:rPr>
          <w:rFonts w:hint="eastAsia" w:ascii="宋体" w:hAnsi="宋体" w:cs="宋体"/>
          <w:sz w:val="24"/>
          <w:u w:val="single"/>
        </w:rPr>
        <w:t>√本合同中包括的风险范围为合同执行期内，国家有关工程建设的政策变化；</w:t>
      </w:r>
    </w:p>
    <w:p w14:paraId="1238CEA0">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√合同执行期内，工程造价管理部门公布的价格变化；</w:t>
      </w:r>
    </w:p>
    <w:p w14:paraId="4B17FC7C">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√合同执行期内，材料价格、人工及机械价格的市场变化；</w:t>
      </w:r>
    </w:p>
    <w:p w14:paraId="70B40DB0">
      <w:pPr>
        <w:snapToGrid w:val="0"/>
        <w:spacing w:line="360" w:lineRule="auto"/>
        <w:ind w:firstLine="448" w:firstLineChars="187"/>
        <w:rPr>
          <w:rFonts w:ascii="宋体" w:hAnsi="宋体" w:cs="宋体"/>
          <w:sz w:val="24"/>
          <w:u w:val="single"/>
        </w:rPr>
      </w:pPr>
      <w:r>
        <w:rPr>
          <w:rFonts w:hint="eastAsia" w:ascii="宋体" w:hAnsi="宋体" w:cs="宋体"/>
          <w:sz w:val="24"/>
          <w:u w:val="single"/>
        </w:rPr>
        <w:t>√现行预算定额未描述到,但又是完成分项工程必须有的工作内容,均应包含在报价内；</w:t>
      </w:r>
    </w:p>
    <w:p w14:paraId="06DEF3B1">
      <w:pPr>
        <w:snapToGrid w:val="0"/>
        <w:spacing w:line="360" w:lineRule="auto"/>
        <w:ind w:firstLine="448" w:firstLineChars="187"/>
        <w:rPr>
          <w:rFonts w:ascii="宋体" w:hAnsi="宋体" w:cs="宋体"/>
          <w:sz w:val="24"/>
          <w:u w:val="single"/>
        </w:rPr>
      </w:pPr>
      <w:r>
        <w:rPr>
          <w:rFonts w:hint="eastAsia" w:ascii="宋体" w:hAnsi="宋体" w:cs="宋体"/>
          <w:sz w:val="24"/>
          <w:u w:val="single"/>
        </w:rPr>
        <w:t>√周边环境影响风险；</w:t>
      </w:r>
    </w:p>
    <w:p w14:paraId="759869ED">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√合同执行期内，施工临时停电、停水造成的停工；</w:t>
      </w:r>
    </w:p>
    <w:p w14:paraId="1820FAFC">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√合同执行期内，因客观原因造成承包人停工、窝工；</w:t>
      </w:r>
    </w:p>
    <w:p w14:paraId="4653854F">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√合同执行期内可能发生的其他费用，包括市政、市容、环保、交通、治安等；有经验的承包商应能预计的其他费用。</w:t>
      </w:r>
    </w:p>
    <w:p w14:paraId="1BC09797">
      <w:pPr>
        <w:spacing w:line="360" w:lineRule="auto"/>
        <w:ind w:firstLine="480" w:firstLineChars="200"/>
        <w:rPr>
          <w:rFonts w:ascii="宋体" w:hAnsi="宋体" w:cs="宋体"/>
          <w:sz w:val="24"/>
          <w:u w:val="single"/>
        </w:rPr>
      </w:pPr>
      <w:r>
        <w:rPr>
          <w:rFonts w:hint="eastAsia" w:ascii="宋体" w:hAnsi="宋体" w:cs="宋体"/>
          <w:sz w:val="24"/>
        </w:rPr>
        <w:t>风险费用的计算方法：</w:t>
      </w:r>
      <w:bookmarkEnd w:id="493"/>
      <w:r>
        <w:rPr>
          <w:rFonts w:hint="eastAsia" w:ascii="宋体" w:hAnsi="宋体" w:cs="宋体"/>
          <w:sz w:val="24"/>
          <w:u w:val="single"/>
        </w:rPr>
        <w:t>本合同应由承包人承担的工、料、机在投标编制期或预算书编制期与合同实施期间所发生的市场价格波动造成风险费用已包含在签约合同价款中，费用由承包人自行承担，不得再另行计取。</w:t>
      </w:r>
    </w:p>
    <w:p w14:paraId="7823A9B5">
      <w:pPr>
        <w:spacing w:line="360" w:lineRule="auto"/>
        <w:ind w:firstLine="501" w:firstLineChars="209"/>
        <w:rPr>
          <w:rFonts w:ascii="宋体" w:hAnsi="宋体" w:cs="宋体"/>
          <w:sz w:val="24"/>
          <w:u w:val="single"/>
        </w:rPr>
      </w:pPr>
      <w:r>
        <w:rPr>
          <w:rFonts w:hint="eastAsia" w:ascii="宋体" w:hAnsi="宋体" w:cs="宋体"/>
          <w:sz w:val="24"/>
        </w:rPr>
        <w:t>风险范围以外合同价格的调整方法：</w:t>
      </w:r>
      <w:r>
        <w:rPr>
          <w:rFonts w:hint="eastAsia" w:ascii="宋体" w:hAnsi="宋体" w:cs="宋体"/>
          <w:sz w:val="24"/>
          <w:u w:val="single"/>
        </w:rPr>
        <w:t>1）实物工程量数量按实调整。2）重大设计变更引起的技术措施变更，如发包人批准其相应费用调整，竣工结算按照本合同专用条款10.4.1条款约定执行。3）变更估价按本合同10.4.1 的约定计算。</w:t>
      </w:r>
    </w:p>
    <w:p w14:paraId="34CA122E">
      <w:pPr>
        <w:spacing w:line="360" w:lineRule="auto"/>
        <w:ind w:firstLine="480" w:firstLineChars="200"/>
        <w:rPr>
          <w:rFonts w:ascii="宋体" w:hAnsi="宋体" w:cs="宋体"/>
          <w:sz w:val="24"/>
        </w:rPr>
      </w:pPr>
      <w:r>
        <w:rPr>
          <w:rFonts w:hint="eastAsia" w:ascii="宋体" w:hAnsi="宋体" w:cs="宋体"/>
          <w:sz w:val="24"/>
        </w:rPr>
        <w:t>2、总价合同。</w:t>
      </w:r>
    </w:p>
    <w:p w14:paraId="5C1A77C8">
      <w:pPr>
        <w:spacing w:line="360" w:lineRule="auto"/>
        <w:ind w:firstLine="480" w:firstLineChars="200"/>
        <w:rPr>
          <w:rFonts w:ascii="宋体" w:hAnsi="宋体" w:cs="宋体"/>
          <w:sz w:val="24"/>
          <w:u w:val="single"/>
        </w:rPr>
      </w:pPr>
      <w:r>
        <w:rPr>
          <w:rFonts w:hint="eastAsia" w:ascii="宋体" w:hAnsi="宋体" w:cs="宋体"/>
          <w:sz w:val="24"/>
        </w:rPr>
        <w:t>总价包含的风险范围：</w:t>
      </w:r>
      <w:r>
        <w:rPr>
          <w:rFonts w:hint="eastAsia" w:ascii="宋体" w:hAnsi="宋体" w:cs="宋体"/>
          <w:sz w:val="24"/>
          <w:u w:val="single"/>
        </w:rPr>
        <w:t>/</w:t>
      </w:r>
      <w:r>
        <w:rPr>
          <w:rFonts w:hint="eastAsia" w:ascii="宋体" w:hAnsi="宋体" w:cs="宋体"/>
          <w:sz w:val="24"/>
        </w:rPr>
        <w:t>。</w:t>
      </w:r>
    </w:p>
    <w:p w14:paraId="149ED7CD">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w:t>
      </w:r>
      <w:r>
        <w:rPr>
          <w:rFonts w:hint="eastAsia" w:ascii="宋体" w:hAnsi="宋体" w:cs="宋体"/>
          <w:sz w:val="24"/>
        </w:rPr>
        <w:t>。</w:t>
      </w:r>
    </w:p>
    <w:p w14:paraId="29D9E922">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w:t>
      </w:r>
      <w:r>
        <w:rPr>
          <w:rFonts w:hint="eastAsia" w:ascii="宋体" w:hAnsi="宋体" w:cs="宋体"/>
          <w:sz w:val="24"/>
        </w:rPr>
        <w:t>。</w:t>
      </w:r>
    </w:p>
    <w:p w14:paraId="735581CA">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w:t>
      </w:r>
      <w:r>
        <w:rPr>
          <w:rFonts w:hint="eastAsia" w:ascii="宋体" w:hAnsi="宋体" w:cs="宋体"/>
          <w:sz w:val="24"/>
        </w:rPr>
        <w:t>。</w:t>
      </w:r>
    </w:p>
    <w:p w14:paraId="23CF80C6">
      <w:pPr>
        <w:spacing w:line="360" w:lineRule="auto"/>
        <w:ind w:firstLine="480" w:firstLineChars="200"/>
        <w:rPr>
          <w:rFonts w:ascii="宋体" w:hAnsi="宋体" w:cs="宋体"/>
          <w:sz w:val="24"/>
        </w:rPr>
      </w:pPr>
      <w:r>
        <w:rPr>
          <w:rFonts w:hint="eastAsia" w:ascii="宋体" w:hAnsi="宋体" w:cs="宋体"/>
          <w:sz w:val="24"/>
        </w:rPr>
        <w:t>12.2 预付款</w:t>
      </w:r>
    </w:p>
    <w:p w14:paraId="34F9CE14">
      <w:pPr>
        <w:spacing w:line="360" w:lineRule="auto"/>
        <w:ind w:firstLine="480" w:firstLineChars="200"/>
        <w:rPr>
          <w:rFonts w:ascii="宋体" w:hAnsi="宋体" w:cs="宋体"/>
          <w:sz w:val="24"/>
        </w:rPr>
      </w:pPr>
      <w:r>
        <w:rPr>
          <w:rFonts w:hint="eastAsia" w:ascii="宋体" w:hAnsi="宋体" w:cs="宋体"/>
          <w:sz w:val="24"/>
        </w:rPr>
        <w:t>12.2.1预付款的支付</w:t>
      </w:r>
    </w:p>
    <w:p w14:paraId="641CC9DF">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本合同总价40%的工程预付款。</w:t>
      </w:r>
    </w:p>
    <w:p w14:paraId="4F36BD45">
      <w:pPr>
        <w:spacing w:line="360" w:lineRule="auto"/>
        <w:ind w:firstLine="480" w:firstLineChars="200"/>
        <w:rPr>
          <w:rFonts w:ascii="宋体" w:hAnsi="宋体" w:cs="宋体"/>
          <w:sz w:val="24"/>
          <w:u w:val="single"/>
        </w:rPr>
      </w:pPr>
      <w:r>
        <w:rPr>
          <w:rFonts w:hint="eastAsia" w:ascii="宋体" w:hAnsi="宋体" w:cs="宋体"/>
          <w:sz w:val="24"/>
        </w:rPr>
        <w:t>预付款支付期限：</w:t>
      </w:r>
      <w:r>
        <w:rPr>
          <w:rFonts w:hint="eastAsia" w:ascii="宋体" w:hAnsi="宋体" w:cs="宋体"/>
          <w:sz w:val="24"/>
          <w:u w:val="single"/>
        </w:rPr>
        <w:t>在合同生效以及具备实施条件后7个工作日内支付。</w:t>
      </w:r>
    </w:p>
    <w:p w14:paraId="39EAEF1B">
      <w:pPr>
        <w:spacing w:line="360" w:lineRule="auto"/>
        <w:ind w:firstLine="480" w:firstLineChars="200"/>
        <w:rPr>
          <w:rFonts w:ascii="宋体" w:hAnsi="宋体" w:cs="宋体"/>
          <w:sz w:val="24"/>
          <w:u w:val="single"/>
        </w:rPr>
      </w:pPr>
      <w:r>
        <w:rPr>
          <w:rFonts w:hint="eastAsia" w:ascii="宋体" w:hAnsi="宋体" w:cs="宋体"/>
          <w:sz w:val="24"/>
        </w:rPr>
        <w:t>预付款扣回的方式：</w:t>
      </w:r>
      <w:r>
        <w:rPr>
          <w:rFonts w:hint="eastAsia" w:ascii="宋体" w:hAnsi="宋体" w:cs="宋体"/>
          <w:sz w:val="24"/>
          <w:u w:val="single"/>
        </w:rPr>
        <w:t>/。</w:t>
      </w:r>
    </w:p>
    <w:p w14:paraId="255CBE87">
      <w:pPr>
        <w:spacing w:line="360" w:lineRule="auto"/>
        <w:ind w:firstLine="480" w:firstLineChars="200"/>
        <w:rPr>
          <w:rFonts w:ascii="宋体" w:hAnsi="宋体" w:cs="宋体"/>
          <w:sz w:val="24"/>
        </w:rPr>
      </w:pPr>
      <w:r>
        <w:rPr>
          <w:rFonts w:hint="eastAsia" w:ascii="宋体" w:hAnsi="宋体" w:cs="宋体"/>
          <w:sz w:val="24"/>
        </w:rPr>
        <w:t>12.2.2 预付款担保</w:t>
      </w:r>
    </w:p>
    <w:p w14:paraId="79D2A622">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无。</w:t>
      </w:r>
    </w:p>
    <w:p w14:paraId="057241E4">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无。</w:t>
      </w:r>
    </w:p>
    <w:p w14:paraId="09906020">
      <w:pPr>
        <w:spacing w:line="360" w:lineRule="auto"/>
        <w:ind w:firstLine="480" w:firstLineChars="200"/>
        <w:rPr>
          <w:rFonts w:ascii="宋体" w:hAnsi="宋体" w:cs="宋体"/>
          <w:sz w:val="24"/>
        </w:rPr>
      </w:pPr>
      <w:r>
        <w:rPr>
          <w:rFonts w:hint="eastAsia" w:ascii="宋体" w:hAnsi="宋体" w:cs="宋体"/>
          <w:sz w:val="24"/>
        </w:rPr>
        <w:t>12.3 计量</w:t>
      </w:r>
    </w:p>
    <w:p w14:paraId="6CC7CA7A">
      <w:pPr>
        <w:spacing w:line="360" w:lineRule="auto"/>
        <w:ind w:firstLine="480" w:firstLineChars="200"/>
        <w:rPr>
          <w:rFonts w:ascii="宋体" w:hAnsi="宋体" w:cs="宋体"/>
          <w:sz w:val="24"/>
        </w:rPr>
      </w:pPr>
      <w:r>
        <w:rPr>
          <w:rFonts w:hint="eastAsia" w:ascii="宋体" w:hAnsi="宋体" w:cs="宋体"/>
          <w:sz w:val="24"/>
        </w:rPr>
        <w:t>12.3.1 计量原则</w:t>
      </w:r>
    </w:p>
    <w:p w14:paraId="3C8FB1AB">
      <w:pPr>
        <w:spacing w:line="360" w:lineRule="auto"/>
        <w:ind w:firstLine="480" w:firstLineChars="200"/>
        <w:rPr>
          <w:rFonts w:ascii="宋体" w:hAnsi="宋体" w:cs="宋体"/>
          <w:sz w:val="24"/>
        </w:rPr>
      </w:pPr>
      <w:r>
        <w:rPr>
          <w:rFonts w:hint="eastAsia" w:ascii="宋体" w:hAnsi="宋体" w:cs="宋体"/>
          <w:sz w:val="24"/>
        </w:rPr>
        <w:t>工程量计算规则：</w:t>
      </w:r>
    </w:p>
    <w:p w14:paraId="489E68C7">
      <w:pPr>
        <w:spacing w:line="360" w:lineRule="auto"/>
        <w:ind w:firstLine="480" w:firstLineChars="200"/>
        <w:rPr>
          <w:rFonts w:ascii="宋体" w:hAnsi="宋体" w:cs="宋体"/>
          <w:sz w:val="24"/>
          <w:u w:val="single"/>
        </w:rPr>
      </w:pPr>
      <w:r>
        <w:rPr>
          <w:rFonts w:hint="eastAsia" w:ascii="宋体" w:hAnsi="宋体" w:cs="宋体"/>
          <w:sz w:val="24"/>
          <w:u w:val="single"/>
        </w:rPr>
        <w:t>（1）实行工程量清单计价的工程项目，其工程量的计算规则应按国家标准工程量计算规范及省级行业主管部门颁布的补充规定执行。</w:t>
      </w:r>
    </w:p>
    <w:p w14:paraId="130F6294">
      <w:pPr>
        <w:spacing w:line="360" w:lineRule="auto"/>
        <w:ind w:firstLine="480" w:firstLineChars="200"/>
        <w:rPr>
          <w:rFonts w:ascii="宋体" w:hAnsi="宋体" w:cs="宋体"/>
          <w:sz w:val="24"/>
          <w:u w:val="single"/>
        </w:rPr>
      </w:pPr>
      <w:r>
        <w:rPr>
          <w:rFonts w:hint="eastAsia" w:ascii="宋体" w:hAnsi="宋体" w:cs="宋体"/>
          <w:sz w:val="24"/>
          <w:u w:val="single"/>
        </w:rPr>
        <w:t>（2）不实行工程量清单计价的工程项目，工程量的计算规则应按省、市行业主管部门颁布的各专业工程定额的工程量计算规则执行。</w:t>
      </w:r>
    </w:p>
    <w:p w14:paraId="6CABC271">
      <w:pPr>
        <w:spacing w:line="360" w:lineRule="auto"/>
        <w:ind w:firstLine="480" w:firstLineChars="200"/>
        <w:rPr>
          <w:rFonts w:ascii="宋体" w:hAnsi="宋体" w:cs="宋体"/>
          <w:sz w:val="24"/>
        </w:rPr>
      </w:pPr>
      <w:r>
        <w:rPr>
          <w:rFonts w:hint="eastAsia" w:ascii="宋体" w:hAnsi="宋体" w:cs="宋体"/>
          <w:sz w:val="24"/>
        </w:rPr>
        <w:t>12.3.2 计量周期</w:t>
      </w:r>
    </w:p>
    <w:p w14:paraId="4B372029">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w:t>
      </w:r>
      <w:r>
        <w:rPr>
          <w:rFonts w:hint="eastAsia" w:ascii="宋体" w:hAnsi="宋体" w:cs="宋体"/>
          <w:kern w:val="0"/>
          <w:sz w:val="24"/>
          <w:u w:val="single"/>
        </w:rPr>
        <w:t>按通用条款执行</w:t>
      </w:r>
      <w:r>
        <w:rPr>
          <w:rFonts w:hint="eastAsia" w:ascii="宋体" w:hAnsi="宋体" w:cs="宋体"/>
          <w:sz w:val="24"/>
        </w:rPr>
        <w:t>。</w:t>
      </w:r>
    </w:p>
    <w:p w14:paraId="7C379A96">
      <w:pPr>
        <w:spacing w:line="360" w:lineRule="auto"/>
        <w:ind w:firstLine="480" w:firstLineChars="200"/>
        <w:rPr>
          <w:rFonts w:ascii="宋体" w:hAnsi="宋体" w:cs="宋体"/>
          <w:sz w:val="24"/>
        </w:rPr>
      </w:pPr>
      <w:r>
        <w:rPr>
          <w:rFonts w:hint="eastAsia" w:ascii="宋体" w:hAnsi="宋体" w:cs="宋体"/>
          <w:sz w:val="24"/>
        </w:rPr>
        <w:t>12.3.3 单价合同的计量</w:t>
      </w:r>
    </w:p>
    <w:p w14:paraId="622B6234">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kern w:val="0"/>
          <w:sz w:val="24"/>
          <w:u w:val="single"/>
        </w:rPr>
        <w:t>按通用条款执行</w:t>
      </w:r>
      <w:r>
        <w:rPr>
          <w:rFonts w:hint="eastAsia" w:ascii="宋体" w:hAnsi="宋体" w:cs="宋体"/>
          <w:sz w:val="24"/>
          <w:u w:val="single"/>
        </w:rPr>
        <w:t>。</w:t>
      </w:r>
    </w:p>
    <w:p w14:paraId="43DEEB26">
      <w:pPr>
        <w:spacing w:line="360" w:lineRule="auto"/>
        <w:ind w:firstLine="480" w:firstLineChars="200"/>
        <w:rPr>
          <w:rFonts w:ascii="宋体" w:hAnsi="宋体" w:cs="宋体"/>
          <w:sz w:val="24"/>
        </w:rPr>
      </w:pPr>
      <w:r>
        <w:rPr>
          <w:rFonts w:hint="eastAsia" w:ascii="宋体" w:hAnsi="宋体" w:cs="宋体"/>
          <w:sz w:val="24"/>
        </w:rPr>
        <w:t>12.3.4 总价合同的计量</w:t>
      </w:r>
    </w:p>
    <w:p w14:paraId="77E929F1">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14:paraId="7D544E30">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rPr>
        <w:t>。</w:t>
      </w:r>
    </w:p>
    <w:p w14:paraId="2C6B1086">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2A59D136">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w:t>
      </w:r>
    </w:p>
    <w:p w14:paraId="46BC2433">
      <w:pPr>
        <w:spacing w:line="360" w:lineRule="auto"/>
        <w:ind w:firstLine="480" w:firstLineChars="200"/>
        <w:rPr>
          <w:rFonts w:ascii="宋体" w:hAnsi="宋体" w:cs="宋体"/>
          <w:sz w:val="24"/>
        </w:rPr>
      </w:pPr>
      <w:r>
        <w:rPr>
          <w:rFonts w:hint="eastAsia" w:ascii="宋体" w:hAnsi="宋体" w:cs="宋体"/>
          <w:sz w:val="24"/>
        </w:rPr>
        <w:t>12.4 工程进度款支付</w:t>
      </w:r>
    </w:p>
    <w:p w14:paraId="5EFFABF4">
      <w:pPr>
        <w:spacing w:line="360" w:lineRule="auto"/>
        <w:ind w:firstLine="480" w:firstLineChars="200"/>
        <w:rPr>
          <w:rFonts w:ascii="宋体" w:hAnsi="宋体" w:cs="宋体"/>
          <w:sz w:val="24"/>
        </w:rPr>
      </w:pPr>
      <w:r>
        <w:rPr>
          <w:rFonts w:hint="eastAsia" w:ascii="宋体" w:hAnsi="宋体" w:cs="宋体"/>
          <w:sz w:val="24"/>
        </w:rPr>
        <w:t>12.4.1 付款周期</w:t>
      </w:r>
    </w:p>
    <w:p w14:paraId="40E8A3BA">
      <w:pPr>
        <w:spacing w:line="360" w:lineRule="auto"/>
        <w:ind w:firstLine="480" w:firstLineChars="200"/>
        <w:rPr>
          <w:rFonts w:ascii="宋体" w:hAnsi="宋体" w:cs="宋体"/>
          <w:sz w:val="24"/>
        </w:rPr>
      </w:pPr>
      <w:r>
        <w:rPr>
          <w:rFonts w:hint="eastAsia" w:ascii="宋体" w:hAnsi="宋体" w:cs="宋体"/>
          <w:sz w:val="24"/>
        </w:rPr>
        <w:t>（1）暂定合同总价人民币      元，本合同暂定总价的2%作为履约保证金，本合同签订后七个工作日内由承包人支付给发包人，待工程竣工验收合格并交付发包人使用后，由发包人无息退回承包人（遇寒暑假及国定假日顺延）。待缺陷责任期终止后经发包人书面确认工程无质量问题、无售后服务问题和承包人无违约行为后，由发包人无息退回承包人（遇寒暑假及国定假日顺延）。</w:t>
      </w:r>
    </w:p>
    <w:p w14:paraId="6A6E7040">
      <w:pPr>
        <w:spacing w:line="360" w:lineRule="auto"/>
        <w:ind w:firstLine="480" w:firstLineChars="200"/>
        <w:rPr>
          <w:rFonts w:ascii="宋体" w:hAnsi="宋体" w:cs="宋体"/>
          <w:sz w:val="24"/>
        </w:rPr>
      </w:pPr>
      <w:r>
        <w:rPr>
          <w:rFonts w:hint="eastAsia" w:ascii="宋体" w:hAnsi="宋体" w:cs="宋体"/>
          <w:sz w:val="24"/>
        </w:rPr>
        <w:t>（2）承包人提交履约保证金和正规发票后，发包人向承包人支付本合同暂定总价的40%作为预付款。</w:t>
      </w:r>
    </w:p>
    <w:p w14:paraId="1F92E93F">
      <w:pPr>
        <w:spacing w:line="360" w:lineRule="auto"/>
        <w:ind w:firstLine="480" w:firstLineChars="200"/>
        <w:rPr>
          <w:rFonts w:ascii="宋体" w:hAnsi="宋体" w:cs="宋体"/>
          <w:sz w:val="24"/>
        </w:rPr>
      </w:pPr>
      <w:r>
        <w:rPr>
          <w:rFonts w:hint="eastAsia" w:ascii="宋体" w:hAnsi="宋体" w:cs="宋体"/>
          <w:sz w:val="24"/>
        </w:rPr>
        <w:t>（3）全部工程竣工验收合格并交付发包人正常使用后7日内，且发包人收到承包人开具的正规发票后7日内向承包人支付本合同已完成工作量的85%。发包人委托第三方对工程造价结算审价完毕后，发包人收到承包人开具的正规发票和审定总价1.5%的质量保证金（以支票、汇票、银行转账或保函形式）后7日内，发包人向承包人支付至审定总价的100%（多退少补）；工程造价结算审价时间以发包人委托的第三方实际审价时间为准，不依通用条款规定时间执行。造价审核核增部分的审计费及核减超过5%（含）的审计费由承包人承担。</w:t>
      </w:r>
    </w:p>
    <w:p w14:paraId="191CE057">
      <w:pPr>
        <w:spacing w:line="360" w:lineRule="auto"/>
        <w:ind w:firstLine="480" w:firstLineChars="200"/>
        <w:rPr>
          <w:rFonts w:ascii="宋体" w:hAnsi="宋体" w:cs="宋体"/>
          <w:sz w:val="24"/>
        </w:rPr>
      </w:pPr>
      <w:r>
        <w:rPr>
          <w:rFonts w:hint="eastAsia" w:ascii="宋体" w:hAnsi="宋体" w:cs="宋体"/>
          <w:sz w:val="24"/>
        </w:rPr>
        <w:t>（4）发包人每次付款前，承包人必须开具并交付相应金额的增值税专用发票，作为发包人付款的前提条件之一。</w:t>
      </w:r>
    </w:p>
    <w:p w14:paraId="6096E8CB">
      <w:pPr>
        <w:spacing w:line="360" w:lineRule="auto"/>
        <w:ind w:firstLine="480" w:firstLineChars="200"/>
        <w:rPr>
          <w:rFonts w:ascii="宋体" w:hAnsi="宋体" w:cs="宋体"/>
          <w:sz w:val="24"/>
        </w:rPr>
      </w:pPr>
      <w:r>
        <w:rPr>
          <w:rFonts w:hint="eastAsia" w:ascii="宋体" w:hAnsi="宋体" w:cs="宋体"/>
          <w:sz w:val="24"/>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7D1EB19E">
      <w:pPr>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3BA8AA45">
      <w:pPr>
        <w:spacing w:line="360" w:lineRule="auto"/>
        <w:ind w:firstLine="480" w:firstLineChars="200"/>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按通用条款执行。</w:t>
      </w:r>
    </w:p>
    <w:p w14:paraId="078E98EB">
      <w:pPr>
        <w:spacing w:line="360" w:lineRule="auto"/>
        <w:ind w:firstLine="480" w:firstLineChars="200"/>
        <w:rPr>
          <w:rFonts w:ascii="宋体" w:hAnsi="宋体" w:cs="宋体"/>
          <w:sz w:val="24"/>
        </w:rPr>
      </w:pPr>
      <w:r>
        <w:rPr>
          <w:rFonts w:hint="eastAsia" w:ascii="宋体" w:hAnsi="宋体" w:cs="宋体"/>
          <w:sz w:val="24"/>
        </w:rPr>
        <w:t>12.4.3 进度付款申请单的提交</w:t>
      </w:r>
    </w:p>
    <w:p w14:paraId="427CD449">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p>
    <w:p w14:paraId="536E82A1">
      <w:pPr>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14:paraId="76A618FC">
      <w:pPr>
        <w:spacing w:line="360" w:lineRule="auto"/>
        <w:ind w:firstLine="480" w:firstLineChars="200"/>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w:t>
      </w:r>
      <w:r>
        <w:rPr>
          <w:rFonts w:hint="eastAsia" w:ascii="宋体" w:hAnsi="宋体" w:cs="宋体"/>
          <w:sz w:val="24"/>
        </w:rPr>
        <w:t>。</w:t>
      </w:r>
    </w:p>
    <w:p w14:paraId="192A2398">
      <w:pPr>
        <w:spacing w:line="360" w:lineRule="auto"/>
        <w:ind w:firstLine="480" w:firstLineChars="200"/>
        <w:rPr>
          <w:rFonts w:ascii="宋体" w:hAnsi="宋体" w:cs="宋体"/>
          <w:sz w:val="24"/>
        </w:rPr>
      </w:pPr>
      <w:r>
        <w:rPr>
          <w:rFonts w:hint="eastAsia" w:ascii="宋体" w:hAnsi="宋体" w:cs="宋体"/>
          <w:sz w:val="24"/>
        </w:rPr>
        <w:t>12.4.4 进度款审核和支付</w:t>
      </w:r>
    </w:p>
    <w:p w14:paraId="045229B8">
      <w:pPr>
        <w:snapToGrid w:val="0"/>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w:t>
      </w:r>
      <w:r>
        <w:rPr>
          <w:rFonts w:hint="eastAsia" w:ascii="宋体" w:hAnsi="宋体" w:cs="宋体"/>
          <w:sz w:val="24"/>
        </w:rPr>
        <w:t>。</w:t>
      </w:r>
    </w:p>
    <w:p w14:paraId="4CAB53BB">
      <w:pPr>
        <w:snapToGrid w:val="0"/>
        <w:spacing w:line="360" w:lineRule="auto"/>
        <w:ind w:firstLine="480" w:firstLineChars="200"/>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 xml:space="preserve">  按通用条款执行 </w:t>
      </w:r>
      <w:r>
        <w:rPr>
          <w:rFonts w:hint="eastAsia" w:ascii="宋体" w:hAnsi="宋体" w:cs="宋体"/>
          <w:sz w:val="24"/>
        </w:rPr>
        <w:t>。</w:t>
      </w:r>
    </w:p>
    <w:p w14:paraId="5088E647">
      <w:pPr>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不执行通用条款，以发包人书面通知承包人开具收款发票后支付</w:t>
      </w:r>
      <w:r>
        <w:rPr>
          <w:rFonts w:hint="eastAsia" w:ascii="宋体" w:hAnsi="宋体" w:cs="宋体"/>
          <w:sz w:val="24"/>
        </w:rPr>
        <w:t>。</w:t>
      </w:r>
    </w:p>
    <w:p w14:paraId="3F0A49BD">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w:t>
      </w:r>
      <w:r>
        <w:rPr>
          <w:rFonts w:hint="eastAsia" w:ascii="宋体" w:hAnsi="宋体" w:cs="宋体"/>
          <w:sz w:val="24"/>
        </w:rPr>
        <w:t>。</w:t>
      </w:r>
    </w:p>
    <w:p w14:paraId="55CA4DF4">
      <w:pPr>
        <w:spacing w:line="360" w:lineRule="auto"/>
        <w:ind w:firstLine="480" w:firstLineChars="200"/>
        <w:rPr>
          <w:rFonts w:ascii="宋体" w:hAnsi="宋体" w:cs="宋体"/>
          <w:sz w:val="24"/>
        </w:rPr>
      </w:pPr>
      <w:r>
        <w:rPr>
          <w:rFonts w:hint="eastAsia" w:ascii="宋体" w:hAnsi="宋体" w:cs="宋体"/>
          <w:sz w:val="24"/>
        </w:rPr>
        <w:t>12.4.6 支付分解表的编制</w:t>
      </w:r>
    </w:p>
    <w:p w14:paraId="023BC212">
      <w:pPr>
        <w:spacing w:line="360" w:lineRule="auto"/>
        <w:ind w:left="4740" w:leftChars="200" w:hanging="4320" w:hangingChars="1800"/>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14:paraId="45A7754E">
      <w:pPr>
        <w:spacing w:line="360" w:lineRule="auto"/>
        <w:ind w:firstLine="480" w:firstLineChars="200"/>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p w14:paraId="69AC8706">
      <w:pPr>
        <w:topLinePunct/>
        <w:spacing w:line="360" w:lineRule="auto"/>
        <w:ind w:firstLine="420"/>
        <w:rPr>
          <w:rFonts w:ascii="宋体" w:hAnsi="宋体" w:cs="宋体"/>
          <w:b/>
          <w:sz w:val="24"/>
        </w:rPr>
      </w:pPr>
      <w:r>
        <w:rPr>
          <w:rFonts w:hint="eastAsia" w:ascii="宋体" w:hAnsi="宋体" w:cs="宋体"/>
          <w:b/>
          <w:sz w:val="24"/>
        </w:rPr>
        <w:t>13.验收和工程试车</w:t>
      </w:r>
    </w:p>
    <w:p w14:paraId="14CCBAEC">
      <w:pPr>
        <w:spacing w:line="360" w:lineRule="auto"/>
        <w:ind w:firstLine="480" w:firstLineChars="200"/>
        <w:rPr>
          <w:rFonts w:ascii="宋体" w:hAnsi="宋体" w:cs="宋体"/>
          <w:sz w:val="24"/>
        </w:rPr>
      </w:pPr>
      <w:r>
        <w:rPr>
          <w:rFonts w:hint="eastAsia" w:ascii="宋体" w:hAnsi="宋体" w:cs="宋体"/>
          <w:sz w:val="24"/>
        </w:rPr>
        <w:t>13.1 分部分项工程验收</w:t>
      </w:r>
    </w:p>
    <w:p w14:paraId="1B28B993">
      <w:pPr>
        <w:spacing w:line="360" w:lineRule="auto"/>
        <w:ind w:left="4740" w:leftChars="200" w:hanging="4320" w:hangingChars="18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701201BB">
      <w:pPr>
        <w:spacing w:line="360" w:lineRule="auto"/>
        <w:ind w:left="4740" w:leftChars="200" w:hanging="4320" w:hangingChars="18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48</w:t>
      </w:r>
      <w:r>
        <w:rPr>
          <w:rFonts w:hint="eastAsia" w:ascii="宋体" w:hAnsi="宋体" w:cs="宋体"/>
          <w:sz w:val="24"/>
        </w:rPr>
        <w:t>小时。</w:t>
      </w:r>
    </w:p>
    <w:p w14:paraId="362E1CA7">
      <w:pPr>
        <w:spacing w:line="360" w:lineRule="auto"/>
        <w:ind w:firstLine="480" w:firstLineChars="200"/>
        <w:rPr>
          <w:rFonts w:ascii="宋体" w:hAnsi="宋体" w:cs="宋体"/>
          <w:sz w:val="24"/>
        </w:rPr>
      </w:pPr>
      <w:r>
        <w:rPr>
          <w:rFonts w:hint="eastAsia" w:ascii="宋体" w:hAnsi="宋体" w:cs="宋体"/>
          <w:sz w:val="24"/>
        </w:rPr>
        <w:t>13.2 竣工验收</w:t>
      </w:r>
    </w:p>
    <w:p w14:paraId="7DABF1CE">
      <w:pPr>
        <w:spacing w:line="360" w:lineRule="auto"/>
        <w:ind w:left="4740" w:leftChars="200" w:hanging="4320" w:hangingChars="1800"/>
        <w:rPr>
          <w:rFonts w:ascii="宋体" w:hAnsi="宋体" w:cs="宋体"/>
          <w:sz w:val="24"/>
        </w:rPr>
      </w:pPr>
      <w:r>
        <w:rPr>
          <w:rFonts w:hint="eastAsia" w:ascii="宋体" w:hAnsi="宋体" w:cs="宋体"/>
          <w:sz w:val="24"/>
        </w:rPr>
        <w:t>13.2.2竣工验收程序</w:t>
      </w:r>
    </w:p>
    <w:p w14:paraId="24163ADA">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关于竣工验收程序的约定：</w:t>
      </w:r>
      <w:r>
        <w:rPr>
          <w:rFonts w:hint="eastAsia" w:ascii="宋体" w:hAnsi="宋体" w:cs="宋体"/>
          <w:sz w:val="24"/>
          <w:u w:val="single"/>
        </w:rPr>
        <w:t>按通用条款执行。</w:t>
      </w:r>
    </w:p>
    <w:p w14:paraId="6074E11B">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按通用条款执行</w:t>
      </w:r>
      <w:r>
        <w:rPr>
          <w:rFonts w:hint="eastAsia" w:ascii="宋体" w:hAnsi="宋体" w:cs="宋体"/>
          <w:sz w:val="24"/>
        </w:rPr>
        <w:t>。</w:t>
      </w:r>
    </w:p>
    <w:p w14:paraId="0CB0313D">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0311D8F9">
      <w:pPr>
        <w:spacing w:line="360" w:lineRule="auto"/>
        <w:ind w:firstLine="480" w:firstLineChars="200"/>
        <w:rPr>
          <w:rFonts w:ascii="宋体" w:hAnsi="宋体" w:cs="宋体"/>
          <w:kern w:val="0"/>
          <w:sz w:val="24"/>
        </w:rPr>
      </w:pPr>
      <w:r>
        <w:rPr>
          <w:rFonts w:hint="eastAsia" w:ascii="宋体" w:hAnsi="宋体" w:cs="宋体"/>
          <w:sz w:val="24"/>
        </w:rPr>
        <w:t>承包人向发包人移交工程的期限：</w:t>
      </w:r>
      <w:r>
        <w:rPr>
          <w:rFonts w:hint="eastAsia" w:ascii="宋体" w:hAnsi="宋体" w:cs="宋体"/>
          <w:sz w:val="24"/>
          <w:u w:val="single"/>
        </w:rPr>
        <w:t>按通用条款执行。</w:t>
      </w:r>
    </w:p>
    <w:p w14:paraId="3C8E87BF">
      <w:pPr>
        <w:snapToGrid w:val="0"/>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68946CC3">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所有</w:t>
      </w:r>
      <w:r>
        <w:rPr>
          <w:rFonts w:hint="eastAsia" w:ascii="宋体" w:hAnsi="宋体" w:cs="宋体"/>
          <w:kern w:val="0"/>
          <w:sz w:val="24"/>
          <w:u w:val="single"/>
        </w:rPr>
        <w:t>工程经发包人、监理（如有）等部门的检验验收合格后 3日内，承包人须向发包人移交全部工程，逾期移交的，每逾期一日，按人民币3000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14:paraId="18585D96">
      <w:pPr>
        <w:spacing w:line="360" w:lineRule="auto"/>
        <w:ind w:firstLine="480" w:firstLineChars="200"/>
        <w:rPr>
          <w:rFonts w:ascii="宋体" w:hAnsi="宋体" w:cs="宋体"/>
          <w:sz w:val="24"/>
        </w:rPr>
      </w:pPr>
      <w:r>
        <w:rPr>
          <w:rFonts w:hint="eastAsia" w:ascii="宋体" w:hAnsi="宋体" w:cs="宋体"/>
          <w:sz w:val="24"/>
        </w:rPr>
        <w:t>13.3 工程试车</w:t>
      </w:r>
    </w:p>
    <w:p w14:paraId="7FB6F650">
      <w:pPr>
        <w:spacing w:line="360" w:lineRule="auto"/>
        <w:ind w:firstLine="480" w:firstLineChars="200"/>
        <w:rPr>
          <w:rFonts w:ascii="宋体" w:hAnsi="宋体" w:cs="宋体"/>
          <w:sz w:val="24"/>
        </w:rPr>
      </w:pPr>
      <w:r>
        <w:rPr>
          <w:rFonts w:hint="eastAsia" w:ascii="宋体" w:hAnsi="宋体" w:cs="宋体"/>
          <w:sz w:val="24"/>
        </w:rPr>
        <w:t>13.3.1 试车程序</w:t>
      </w:r>
    </w:p>
    <w:p w14:paraId="3D17AB40">
      <w:pPr>
        <w:spacing w:line="360" w:lineRule="auto"/>
        <w:ind w:firstLine="600" w:firstLineChars="250"/>
        <w:rPr>
          <w:rFonts w:ascii="宋体" w:hAnsi="宋体" w:cs="宋体"/>
          <w:sz w:val="24"/>
          <w:u w:val="single"/>
        </w:rPr>
      </w:pPr>
      <w:r>
        <w:rPr>
          <w:rFonts w:hint="eastAsia" w:ascii="宋体" w:hAnsi="宋体" w:cs="宋体"/>
          <w:sz w:val="24"/>
        </w:rPr>
        <w:t>工程试车内容：</w:t>
      </w:r>
      <w:bookmarkStart w:id="494" w:name="_Hlk78552738"/>
      <w:r>
        <w:rPr>
          <w:rFonts w:hint="eastAsia" w:ascii="宋体" w:hAnsi="宋体" w:cs="宋体"/>
          <w:sz w:val="24"/>
          <w:u w:val="single"/>
        </w:rPr>
        <w:t>试车内容应于承包人承包范围相一致，试车费用由承包人承担。</w:t>
      </w:r>
      <w:bookmarkEnd w:id="494"/>
    </w:p>
    <w:p w14:paraId="3CAE592B">
      <w:pPr>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承包人 </w:t>
      </w:r>
      <w:r>
        <w:rPr>
          <w:rFonts w:hint="eastAsia" w:ascii="宋体" w:hAnsi="宋体" w:cs="宋体"/>
          <w:sz w:val="24"/>
        </w:rPr>
        <w:t>承担；</w:t>
      </w:r>
    </w:p>
    <w:p w14:paraId="6672F732">
      <w:pPr>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承包人 </w:t>
      </w:r>
      <w:r>
        <w:rPr>
          <w:rFonts w:hint="eastAsia" w:ascii="宋体" w:hAnsi="宋体" w:cs="宋体"/>
          <w:sz w:val="24"/>
        </w:rPr>
        <w:t>承担。</w:t>
      </w:r>
    </w:p>
    <w:p w14:paraId="1330DAC5">
      <w:pPr>
        <w:spacing w:line="360" w:lineRule="auto"/>
        <w:ind w:firstLine="600" w:firstLineChars="250"/>
        <w:rPr>
          <w:rFonts w:ascii="宋体" w:hAnsi="宋体" w:cs="宋体"/>
          <w:sz w:val="24"/>
        </w:rPr>
      </w:pPr>
      <w:r>
        <w:rPr>
          <w:rFonts w:hint="eastAsia" w:ascii="宋体" w:hAnsi="宋体" w:cs="宋体"/>
          <w:sz w:val="24"/>
        </w:rPr>
        <w:t>13.3.3 投料试车</w:t>
      </w:r>
    </w:p>
    <w:p w14:paraId="6A42CAB8">
      <w:pPr>
        <w:spacing w:line="360" w:lineRule="auto"/>
        <w:ind w:firstLine="480" w:firstLineChars="200"/>
        <w:rPr>
          <w:rFonts w:ascii="宋体" w:hAnsi="宋体" w:cs="宋体"/>
          <w:kern w:val="0"/>
          <w:sz w:val="24"/>
        </w:rPr>
      </w:pPr>
      <w:r>
        <w:rPr>
          <w:rFonts w:hint="eastAsia" w:ascii="宋体" w:hAnsi="宋体" w:cs="宋体"/>
          <w:sz w:val="24"/>
        </w:rPr>
        <w:t>关于投料试车相关事项的约定：</w:t>
      </w:r>
      <w:r>
        <w:rPr>
          <w:rFonts w:hint="eastAsia" w:ascii="宋体" w:hAnsi="宋体" w:cs="宋体"/>
          <w:sz w:val="24"/>
          <w:u w:val="single"/>
        </w:rPr>
        <w:t>按通用条款执行。</w:t>
      </w:r>
    </w:p>
    <w:p w14:paraId="7F4F0A81">
      <w:pPr>
        <w:spacing w:line="360" w:lineRule="auto"/>
        <w:ind w:firstLine="480" w:firstLineChars="200"/>
        <w:rPr>
          <w:rFonts w:ascii="宋体" w:hAnsi="宋体" w:cs="宋体"/>
          <w:sz w:val="24"/>
        </w:rPr>
      </w:pPr>
      <w:r>
        <w:rPr>
          <w:rFonts w:hint="eastAsia" w:ascii="宋体" w:hAnsi="宋体" w:cs="宋体"/>
          <w:sz w:val="24"/>
        </w:rPr>
        <w:t>13.6 竣工退场</w:t>
      </w:r>
    </w:p>
    <w:p w14:paraId="6F3D8E7B">
      <w:pPr>
        <w:spacing w:line="360" w:lineRule="auto"/>
        <w:ind w:firstLine="480" w:firstLineChars="200"/>
        <w:rPr>
          <w:rFonts w:ascii="宋体" w:hAnsi="宋体" w:cs="宋体"/>
          <w:sz w:val="24"/>
        </w:rPr>
      </w:pPr>
      <w:r>
        <w:rPr>
          <w:rFonts w:hint="eastAsia" w:ascii="宋体" w:hAnsi="宋体" w:cs="宋体"/>
          <w:sz w:val="24"/>
        </w:rPr>
        <w:t>13.6.1 竣工退场</w:t>
      </w:r>
    </w:p>
    <w:p w14:paraId="3BC15691">
      <w:pPr>
        <w:spacing w:line="360" w:lineRule="auto"/>
        <w:ind w:firstLine="480" w:firstLineChars="200"/>
        <w:rPr>
          <w:rFonts w:ascii="宋体" w:hAnsi="宋体" w:cs="宋体"/>
          <w:kern w:val="0"/>
          <w:sz w:val="24"/>
        </w:rPr>
      </w:pPr>
      <w:r>
        <w:rPr>
          <w:rFonts w:hint="eastAsia" w:ascii="宋体" w:hAnsi="宋体" w:cs="宋体"/>
          <w:sz w:val="24"/>
        </w:rPr>
        <w:t>承包人完成竣工退场的期限：</w:t>
      </w:r>
      <w:r>
        <w:rPr>
          <w:rFonts w:hint="eastAsia" w:ascii="宋体" w:hAnsi="宋体" w:cs="宋体"/>
          <w:sz w:val="24"/>
          <w:u w:val="single"/>
        </w:rPr>
        <w:t>颁发工程接收证书后7天</w:t>
      </w:r>
      <w:r>
        <w:rPr>
          <w:rFonts w:hint="eastAsia" w:ascii="宋体" w:hAnsi="宋体" w:cs="宋体"/>
          <w:kern w:val="0"/>
          <w:sz w:val="24"/>
        </w:rPr>
        <w:t>。</w:t>
      </w:r>
    </w:p>
    <w:p w14:paraId="5D741C2A">
      <w:pPr>
        <w:topLinePunct/>
        <w:spacing w:line="360" w:lineRule="auto"/>
        <w:ind w:firstLine="420"/>
        <w:rPr>
          <w:rFonts w:ascii="宋体" w:hAnsi="宋体" w:cs="宋体"/>
          <w:b/>
          <w:sz w:val="24"/>
        </w:rPr>
      </w:pPr>
      <w:r>
        <w:rPr>
          <w:rFonts w:hint="eastAsia" w:ascii="宋体" w:hAnsi="宋体" w:cs="宋体"/>
          <w:b/>
          <w:sz w:val="24"/>
        </w:rPr>
        <w:t>14.竣工结算</w:t>
      </w:r>
    </w:p>
    <w:p w14:paraId="25C266BA">
      <w:pPr>
        <w:spacing w:line="360" w:lineRule="auto"/>
        <w:ind w:firstLine="480" w:firstLineChars="200"/>
        <w:rPr>
          <w:rFonts w:ascii="宋体" w:hAnsi="宋体" w:cs="宋体"/>
          <w:sz w:val="24"/>
        </w:rPr>
      </w:pPr>
      <w:r>
        <w:rPr>
          <w:rFonts w:hint="eastAsia" w:ascii="宋体" w:hAnsi="宋体" w:cs="宋体"/>
          <w:sz w:val="24"/>
        </w:rPr>
        <w:t>14.1 竣工付款申请</w:t>
      </w:r>
    </w:p>
    <w:p w14:paraId="10B62AF2">
      <w:pPr>
        <w:autoSpaceDE w:val="0"/>
        <w:autoSpaceDN w:val="0"/>
        <w:spacing w:line="360" w:lineRule="auto"/>
        <w:ind w:firstLine="480" w:firstLineChars="200"/>
        <w:rPr>
          <w:rFonts w:ascii="宋体" w:hAnsi="宋体" w:cs="宋体"/>
          <w:sz w:val="24"/>
          <w:u w:val="single"/>
        </w:rPr>
      </w:pPr>
      <w:r>
        <w:rPr>
          <w:rFonts w:hint="eastAsia" w:ascii="宋体" w:hAnsi="宋体" w:cs="宋体"/>
          <w:sz w:val="24"/>
        </w:rPr>
        <w:t>承包人提交竣工付款申请单的期限：</w:t>
      </w:r>
      <w:r>
        <w:rPr>
          <w:rFonts w:hint="eastAsia" w:ascii="宋体" w:hAnsi="宋体" w:cs="宋体"/>
          <w:sz w:val="24"/>
          <w:u w:val="single"/>
        </w:rPr>
        <w:t>按通用条款执行。</w:t>
      </w:r>
    </w:p>
    <w:p w14:paraId="1EBBD76A">
      <w:pPr>
        <w:snapToGrid w:val="0"/>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（1）竣工结算合同价格；（2）发包人已支付承包人的款项；（3）已缴纳质量保证金的或提供其他工程质量担保方式的除外；（4）发包人应支付承包人的合同价款</w:t>
      </w:r>
      <w:r>
        <w:rPr>
          <w:rFonts w:hint="eastAsia" w:ascii="宋体" w:hAnsi="宋体" w:cs="宋体"/>
          <w:sz w:val="24"/>
        </w:rPr>
        <w:t>。</w:t>
      </w:r>
    </w:p>
    <w:p w14:paraId="29303AAD">
      <w:pPr>
        <w:spacing w:line="360" w:lineRule="auto"/>
        <w:ind w:firstLine="480" w:firstLineChars="200"/>
        <w:rPr>
          <w:rFonts w:ascii="宋体" w:hAnsi="宋体" w:cs="宋体"/>
          <w:sz w:val="24"/>
        </w:rPr>
      </w:pPr>
      <w:r>
        <w:rPr>
          <w:rFonts w:hint="eastAsia" w:ascii="宋体" w:hAnsi="宋体" w:cs="宋体"/>
          <w:sz w:val="24"/>
        </w:rPr>
        <w:t>14.2 竣工结算审核</w:t>
      </w:r>
    </w:p>
    <w:p w14:paraId="60084737">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发包人对竣工结算审核（审计）期限：</w:t>
      </w:r>
      <w:r>
        <w:rPr>
          <w:rFonts w:hint="eastAsia" w:ascii="宋体" w:hAnsi="宋体" w:cs="宋体"/>
          <w:sz w:val="24"/>
          <w:u w:val="single"/>
        </w:rPr>
        <w:t>以发包人委托的第三方实际完成的审核（审计）时间为准，不执行通用条款的约定。承包人应积极配合、协助发包人委托的第三方的审核（审计）工作，否则由承包人承担相应责任。</w:t>
      </w:r>
    </w:p>
    <w:p w14:paraId="48392953">
      <w:pPr>
        <w:snapToGrid w:val="0"/>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sz w:val="24"/>
          <w:u w:val="single"/>
        </w:rPr>
        <w:t>不执行通用条款，以发包人书面通知承包人开具收款发票后支付。</w:t>
      </w:r>
    </w:p>
    <w:p w14:paraId="51F927F7">
      <w:pPr>
        <w:snapToGrid w:val="0"/>
        <w:spacing w:line="360" w:lineRule="auto"/>
        <w:ind w:firstLine="480" w:firstLineChars="200"/>
        <w:rPr>
          <w:rFonts w:ascii="宋体" w:hAnsi="宋体" w:cs="宋体"/>
          <w:sz w:val="24"/>
        </w:rPr>
      </w:pPr>
      <w:r>
        <w:rPr>
          <w:rFonts w:hint="eastAsia" w:ascii="宋体" w:hAnsi="宋体" w:cs="宋体"/>
          <w:sz w:val="24"/>
          <w:u w:val="single"/>
        </w:rPr>
        <w:t>其中工程价款审计后核减额超过送审造价5%幅度以外的审查费用及核增部分审查费用由</w:t>
      </w:r>
      <w:bookmarkStart w:id="495" w:name="_Hlk62560116"/>
      <w:r>
        <w:rPr>
          <w:rFonts w:hint="eastAsia" w:ascii="宋体" w:hAnsi="宋体" w:cs="宋体"/>
          <w:sz w:val="24"/>
          <w:u w:val="single"/>
        </w:rPr>
        <w:t>承包人承担，承包人直接支付费用给项目结算审核单位，工程尾款支付时承包人必须同时提供结算审核费已付凭据</w:t>
      </w:r>
      <w:bookmarkEnd w:id="495"/>
      <w:r>
        <w:rPr>
          <w:rFonts w:hint="eastAsia" w:ascii="宋体" w:hAnsi="宋体" w:cs="宋体"/>
          <w:sz w:val="24"/>
          <w:u w:val="single"/>
        </w:rPr>
        <w:t>。</w:t>
      </w:r>
    </w:p>
    <w:p w14:paraId="7CFBDCC8">
      <w:pPr>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p>
    <w:p w14:paraId="7D0636B2">
      <w:pPr>
        <w:spacing w:line="360" w:lineRule="auto"/>
        <w:ind w:firstLine="480" w:firstLineChars="200"/>
        <w:rPr>
          <w:rFonts w:ascii="宋体" w:hAnsi="宋体" w:cs="宋体"/>
          <w:sz w:val="24"/>
        </w:rPr>
      </w:pPr>
      <w:r>
        <w:rPr>
          <w:rFonts w:hint="eastAsia" w:ascii="宋体" w:hAnsi="宋体" w:cs="宋体"/>
          <w:sz w:val="24"/>
        </w:rPr>
        <w:t>14.4 最终结清</w:t>
      </w:r>
    </w:p>
    <w:p w14:paraId="13FFF808">
      <w:pPr>
        <w:spacing w:line="360" w:lineRule="auto"/>
        <w:ind w:firstLine="480" w:firstLineChars="200"/>
        <w:rPr>
          <w:rFonts w:ascii="宋体" w:hAnsi="宋体" w:cs="宋体"/>
          <w:sz w:val="24"/>
        </w:rPr>
      </w:pPr>
      <w:r>
        <w:rPr>
          <w:rFonts w:hint="eastAsia" w:ascii="宋体" w:hAnsi="宋体" w:cs="宋体"/>
          <w:sz w:val="24"/>
        </w:rPr>
        <w:t>14.4.1 最终结清申请单</w:t>
      </w:r>
    </w:p>
    <w:p w14:paraId="17CFF38B">
      <w:pPr>
        <w:spacing w:line="360" w:lineRule="auto"/>
        <w:ind w:firstLine="480" w:firstLineChars="200"/>
        <w:rPr>
          <w:rFonts w:ascii="宋体" w:hAnsi="宋体" w:cs="宋体"/>
          <w:kern w:val="0"/>
          <w:sz w:val="24"/>
        </w:rPr>
      </w:pPr>
      <w:r>
        <w:rPr>
          <w:rFonts w:hint="eastAsia" w:ascii="宋体" w:hAnsi="宋体" w:cs="宋体"/>
          <w:sz w:val="24"/>
        </w:rPr>
        <w:t>承包人提交最终结清申请单的份数：</w:t>
      </w:r>
      <w:r>
        <w:rPr>
          <w:rFonts w:hint="eastAsia" w:ascii="宋体" w:hAnsi="宋体" w:cs="宋体"/>
          <w:sz w:val="24"/>
          <w:u w:val="single"/>
        </w:rPr>
        <w:t xml:space="preserve"> 6份。</w:t>
      </w:r>
    </w:p>
    <w:p w14:paraId="1E30914B">
      <w:pPr>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按通用条款执行</w:t>
      </w:r>
      <w:r>
        <w:rPr>
          <w:rFonts w:hint="eastAsia" w:ascii="宋体" w:hAnsi="宋体" w:cs="宋体"/>
          <w:sz w:val="24"/>
        </w:rPr>
        <w:t xml:space="preserve">。 </w:t>
      </w:r>
    </w:p>
    <w:p w14:paraId="49740509">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01F286CC">
      <w:pPr>
        <w:spacing w:line="360" w:lineRule="auto"/>
        <w:ind w:firstLine="480" w:firstLineChars="200"/>
        <w:rPr>
          <w:rFonts w:ascii="宋体" w:hAnsi="宋体" w:cs="宋体"/>
          <w:sz w:val="24"/>
          <w:u w:val="single"/>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不执行通用条款，以收到承包人完整的最终结算申请资料后，发包人完成内部审计及委托的第三方审计后。</w:t>
      </w:r>
    </w:p>
    <w:p w14:paraId="553ADEE2">
      <w:pPr>
        <w:spacing w:line="360" w:lineRule="auto"/>
        <w:ind w:firstLine="480" w:firstLineChars="200"/>
        <w:rPr>
          <w:rFonts w:ascii="宋体" w:hAnsi="宋体" w:cs="宋体"/>
          <w:sz w:val="24"/>
          <w:u w:val="single"/>
        </w:rPr>
      </w:pPr>
      <w:r>
        <w:rPr>
          <w:rFonts w:hint="eastAsia" w:ascii="宋体" w:hAnsi="宋体" w:cs="宋体"/>
          <w:sz w:val="24"/>
        </w:rPr>
        <w:t>（2）发包人完成支付的期限：</w:t>
      </w:r>
      <w:r>
        <w:rPr>
          <w:rFonts w:hint="eastAsia" w:ascii="宋体" w:hAnsi="宋体" w:cs="宋体"/>
          <w:sz w:val="24"/>
          <w:u w:val="single"/>
        </w:rPr>
        <w:t xml:space="preserve"> 不执行通用条款，以发包人书面通知承包人开具并交付正规收款发票后25个工作日内支付。</w:t>
      </w:r>
    </w:p>
    <w:p w14:paraId="65138D38">
      <w:pPr>
        <w:topLinePunct/>
        <w:spacing w:line="360" w:lineRule="auto"/>
        <w:ind w:firstLine="420"/>
        <w:rPr>
          <w:rFonts w:ascii="宋体" w:hAnsi="宋体" w:cs="宋体"/>
          <w:b/>
          <w:sz w:val="24"/>
        </w:rPr>
      </w:pPr>
      <w:r>
        <w:rPr>
          <w:rFonts w:hint="eastAsia" w:ascii="宋体" w:hAnsi="宋体" w:cs="宋体"/>
          <w:b/>
          <w:sz w:val="24"/>
        </w:rPr>
        <w:t>15. 缺陷责任期与保修</w:t>
      </w:r>
    </w:p>
    <w:p w14:paraId="7B4B9F90">
      <w:pPr>
        <w:spacing w:line="360" w:lineRule="auto"/>
        <w:ind w:firstLine="480" w:firstLineChars="200"/>
        <w:rPr>
          <w:rFonts w:ascii="宋体" w:hAnsi="宋体" w:cs="宋体"/>
          <w:sz w:val="24"/>
        </w:rPr>
      </w:pPr>
      <w:r>
        <w:rPr>
          <w:rFonts w:hint="eastAsia" w:ascii="宋体" w:hAnsi="宋体" w:cs="宋体"/>
          <w:sz w:val="24"/>
        </w:rPr>
        <w:t>15.2缺陷责任期</w:t>
      </w:r>
    </w:p>
    <w:p w14:paraId="79F9EA83">
      <w:pPr>
        <w:spacing w:line="360" w:lineRule="auto"/>
        <w:ind w:firstLine="480" w:firstLineChars="200"/>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从工程通过发包人、监理（如有）等部门的验收并交付给发包人后的次日起计算，但该期限不低于   个月</w:t>
      </w:r>
      <w:r>
        <w:rPr>
          <w:rFonts w:hint="eastAsia" w:ascii="宋体" w:hAnsi="宋体" w:cs="宋体"/>
          <w:sz w:val="24"/>
        </w:rPr>
        <w:t>。</w:t>
      </w:r>
    </w:p>
    <w:p w14:paraId="33319C35">
      <w:pPr>
        <w:snapToGrid w:val="0"/>
        <w:spacing w:line="360" w:lineRule="auto"/>
        <w:ind w:firstLine="480" w:firstLineChars="200"/>
        <w:rPr>
          <w:rFonts w:ascii="宋体" w:hAnsi="宋体" w:cs="宋体"/>
          <w:sz w:val="24"/>
          <w:u w:val="single"/>
        </w:rPr>
      </w:pPr>
      <w:r>
        <w:rPr>
          <w:rFonts w:hint="eastAsia" w:ascii="宋体" w:hAnsi="宋体" w:cs="宋体"/>
          <w:sz w:val="24"/>
        </w:rPr>
        <w:t>缺陷责任期内关于质量保证金的补充约定：</w:t>
      </w:r>
    </w:p>
    <w:p w14:paraId="7AF5504C">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（1）如在工程保修期内未发生按约定的须从质量保证金中代扣维修费及维修管理费情况的，则质量保证金在</w:t>
      </w:r>
      <w:r>
        <w:rPr>
          <w:rFonts w:hint="eastAsia" w:ascii="宋体" w:hAnsi="宋体" w:cs="宋体"/>
          <w:sz w:val="24"/>
          <w:u w:val="single"/>
        </w:rPr>
        <w:t>缺陷责任期满</w:t>
      </w:r>
      <w:r>
        <w:rPr>
          <w:rFonts w:hint="eastAsia" w:ascii="宋体" w:hAnsi="宋体" w:cs="宋体"/>
          <w:kern w:val="0"/>
          <w:sz w:val="24"/>
          <w:u w:val="single"/>
        </w:rPr>
        <w:t>且无质量问题后，30个工作日内退还质量保证金（无息）给承包人。</w:t>
      </w:r>
    </w:p>
    <w:p w14:paraId="33CA511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工程移交后，如发包人发现存在质量问题的，有权要求承包人及时维修，并赔偿给发包人带来的各种直接、间接经济损失。承包人7天内未维修的，发包人有权委托第三方维修。所有费用及损失由承包人承担，且发包人有权没收质量保证金。</w:t>
      </w:r>
    </w:p>
    <w:p w14:paraId="250068F9">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（3）工程移交后，如发包人发现存在重大质量问题的，有权扣除承包人的全部质量保证金，要求承包人及时维修，并赔偿给发包人带来的各种直接、间接经济损失。</w:t>
      </w:r>
    </w:p>
    <w:p w14:paraId="3C412D9A">
      <w:pPr>
        <w:snapToGrid w:val="0"/>
        <w:spacing w:line="360" w:lineRule="auto"/>
        <w:ind w:firstLine="480" w:firstLineChars="200"/>
        <w:rPr>
          <w:rFonts w:ascii="宋体" w:hAnsi="宋体" w:cs="宋体"/>
          <w:sz w:val="24"/>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p w14:paraId="083A4178">
      <w:pPr>
        <w:spacing w:line="360" w:lineRule="auto"/>
        <w:ind w:firstLine="480" w:firstLineChars="200"/>
        <w:rPr>
          <w:rFonts w:ascii="宋体" w:hAnsi="宋体" w:cs="宋体"/>
          <w:sz w:val="24"/>
        </w:rPr>
      </w:pPr>
      <w:r>
        <w:rPr>
          <w:rFonts w:hint="eastAsia" w:ascii="宋体" w:hAnsi="宋体" w:cs="宋体"/>
          <w:sz w:val="24"/>
        </w:rPr>
        <w:t>15.4保修</w:t>
      </w:r>
    </w:p>
    <w:p w14:paraId="3DA16F52">
      <w:pPr>
        <w:spacing w:line="360" w:lineRule="auto"/>
        <w:ind w:firstLine="480" w:firstLineChars="200"/>
        <w:rPr>
          <w:rFonts w:ascii="宋体" w:hAnsi="宋体" w:cs="宋体"/>
          <w:sz w:val="24"/>
        </w:rPr>
      </w:pPr>
      <w:r>
        <w:rPr>
          <w:rFonts w:hint="eastAsia" w:ascii="宋体" w:hAnsi="宋体" w:cs="宋体"/>
          <w:sz w:val="24"/>
        </w:rPr>
        <w:t>15.4.1 保修责任</w:t>
      </w:r>
    </w:p>
    <w:p w14:paraId="7BBC11FE">
      <w:pPr>
        <w:spacing w:line="360" w:lineRule="auto"/>
        <w:ind w:firstLine="480" w:firstLineChars="200"/>
        <w:rPr>
          <w:rFonts w:ascii="宋体" w:hAnsi="宋体" w:cs="宋体"/>
          <w:sz w:val="24"/>
        </w:rPr>
      </w:pPr>
      <w:r>
        <w:rPr>
          <w:rFonts w:hint="eastAsia" w:ascii="宋体" w:hAnsi="宋体" w:cs="宋体"/>
          <w:sz w:val="24"/>
        </w:rPr>
        <w:t>工程保修期为：</w:t>
      </w:r>
      <w:r>
        <w:rPr>
          <w:rFonts w:hint="eastAsia" w:ascii="宋体" w:hAnsi="宋体" w:cs="宋体"/>
          <w:sz w:val="24"/>
          <w:u w:val="single"/>
        </w:rPr>
        <w:t>详工程质量保修书约定。</w:t>
      </w:r>
    </w:p>
    <w:p w14:paraId="683AC15F">
      <w:pPr>
        <w:spacing w:line="360" w:lineRule="auto"/>
        <w:ind w:firstLine="480" w:firstLineChars="200"/>
        <w:rPr>
          <w:rFonts w:ascii="宋体" w:hAnsi="宋体" w:cs="宋体"/>
          <w:sz w:val="24"/>
        </w:rPr>
      </w:pPr>
      <w:r>
        <w:rPr>
          <w:rFonts w:hint="eastAsia" w:ascii="宋体" w:hAnsi="宋体" w:cs="宋体"/>
          <w:sz w:val="24"/>
        </w:rPr>
        <w:t>15.4.3 修复通知</w:t>
      </w:r>
    </w:p>
    <w:p w14:paraId="512CFE92">
      <w:pPr>
        <w:spacing w:line="360" w:lineRule="auto"/>
        <w:ind w:firstLine="480" w:firstLineChars="200"/>
        <w:rPr>
          <w:rFonts w:ascii="宋体" w:hAnsi="宋体" w:cs="宋体"/>
          <w:kern w:val="0"/>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hint="eastAsia" w:ascii="宋体" w:hAnsi="宋体" w:cs="宋体"/>
          <w:kern w:val="0"/>
          <w:sz w:val="24"/>
        </w:rPr>
        <w:t>。</w:t>
      </w:r>
    </w:p>
    <w:p w14:paraId="31332FFA">
      <w:pPr>
        <w:topLinePunct/>
        <w:spacing w:line="360" w:lineRule="auto"/>
        <w:ind w:firstLine="420"/>
        <w:rPr>
          <w:rFonts w:ascii="宋体" w:hAnsi="宋体" w:cs="宋体"/>
          <w:b/>
          <w:sz w:val="24"/>
        </w:rPr>
      </w:pPr>
      <w:r>
        <w:rPr>
          <w:rFonts w:hint="eastAsia" w:ascii="宋体" w:hAnsi="宋体" w:cs="宋体"/>
          <w:b/>
          <w:sz w:val="24"/>
        </w:rPr>
        <w:t>16. 违约</w:t>
      </w:r>
    </w:p>
    <w:p w14:paraId="1EDC8CE4">
      <w:pPr>
        <w:spacing w:line="360" w:lineRule="auto"/>
        <w:ind w:firstLine="480" w:firstLineChars="200"/>
        <w:rPr>
          <w:rFonts w:ascii="宋体" w:hAnsi="宋体" w:cs="宋体"/>
          <w:sz w:val="24"/>
        </w:rPr>
      </w:pPr>
      <w:r>
        <w:rPr>
          <w:rFonts w:hint="eastAsia" w:ascii="宋体" w:hAnsi="宋体" w:cs="宋体"/>
          <w:sz w:val="24"/>
        </w:rPr>
        <w:t>16.1 发包人违约</w:t>
      </w:r>
    </w:p>
    <w:p w14:paraId="42BD4728">
      <w:pPr>
        <w:spacing w:line="360" w:lineRule="auto"/>
        <w:ind w:firstLine="480" w:firstLineChars="200"/>
        <w:rPr>
          <w:rFonts w:ascii="宋体" w:hAnsi="宋体" w:cs="宋体"/>
          <w:sz w:val="24"/>
        </w:rPr>
      </w:pPr>
      <w:r>
        <w:rPr>
          <w:rFonts w:hint="eastAsia" w:ascii="宋体" w:hAnsi="宋体" w:cs="宋体"/>
          <w:sz w:val="24"/>
        </w:rPr>
        <w:t>16.1.1发包人违约的情形</w:t>
      </w:r>
    </w:p>
    <w:p w14:paraId="178FB7CE">
      <w:pPr>
        <w:autoSpaceDE w:val="0"/>
        <w:autoSpaceDN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按通用条款执行。</w:t>
      </w:r>
    </w:p>
    <w:p w14:paraId="365AB900">
      <w:pPr>
        <w:spacing w:line="360" w:lineRule="auto"/>
        <w:ind w:left="1140" w:leftChars="200" w:hanging="720" w:hangingChars="300"/>
        <w:rPr>
          <w:rFonts w:ascii="宋体" w:hAnsi="宋体" w:cs="宋体"/>
          <w:kern w:val="0"/>
          <w:sz w:val="24"/>
        </w:rPr>
      </w:pPr>
      <w:r>
        <w:rPr>
          <w:rFonts w:hint="eastAsia" w:ascii="宋体" w:hAnsi="宋体" w:cs="宋体"/>
          <w:sz w:val="24"/>
        </w:rPr>
        <w:t>16.1.2 发包人违约的责任</w:t>
      </w:r>
    </w:p>
    <w:p w14:paraId="14E804E4">
      <w:pPr>
        <w:spacing w:line="360" w:lineRule="auto"/>
        <w:ind w:left="1140" w:leftChars="200" w:hanging="720" w:hangingChars="300"/>
        <w:rPr>
          <w:rFonts w:ascii="宋体" w:hAnsi="宋体" w:cs="宋体"/>
          <w:sz w:val="24"/>
        </w:rPr>
      </w:pPr>
      <w:r>
        <w:rPr>
          <w:rFonts w:hint="eastAsia" w:ascii="宋体" w:hAnsi="宋体" w:cs="宋体"/>
          <w:sz w:val="24"/>
        </w:rPr>
        <w:t>发包人违约责任的承担方式和计算方法：</w:t>
      </w:r>
    </w:p>
    <w:p w14:paraId="4FCCB594">
      <w:pPr>
        <w:spacing w:line="360" w:lineRule="auto"/>
        <w:ind w:firstLine="480" w:firstLineChars="200"/>
        <w:rPr>
          <w:rFonts w:ascii="宋体" w:hAnsi="宋体" w:cs="宋体"/>
          <w:sz w:val="24"/>
          <w:u w:val="single"/>
        </w:rPr>
      </w:pPr>
      <w:r>
        <w:rPr>
          <w:rFonts w:hint="eastAsia" w:ascii="宋体" w:hAnsi="宋体" w:cs="宋体"/>
          <w:sz w:val="24"/>
        </w:rPr>
        <w:t xml:space="preserve">（1）因发包人原因未能在计划开工日期前7天内下达开工通知的违约责任： </w:t>
      </w:r>
      <w:r>
        <w:rPr>
          <w:rFonts w:hint="eastAsia" w:ascii="宋体" w:hAnsi="宋体" w:cs="宋体"/>
          <w:sz w:val="24"/>
          <w:u w:val="single"/>
        </w:rPr>
        <w:t>/。</w:t>
      </w:r>
    </w:p>
    <w:p w14:paraId="24FECC38">
      <w:pPr>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（2）因发包人原因未能按合同约定支付合同价款的的违约责任：</w:t>
      </w: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。协议期间承包人不得以此为理由影响施工进度</w:t>
      </w:r>
      <w:r>
        <w:rPr>
          <w:rFonts w:hint="eastAsia" w:ascii="宋体" w:hAnsi="宋体" w:cs="宋体"/>
          <w:sz w:val="24"/>
        </w:rPr>
        <w:t>。</w:t>
      </w:r>
    </w:p>
    <w:p w14:paraId="7F62DA64">
      <w:pPr>
        <w:spacing w:line="360" w:lineRule="auto"/>
        <w:ind w:firstLine="480" w:firstLineChars="200"/>
        <w:rPr>
          <w:rFonts w:ascii="宋体" w:hAnsi="宋体" w:cs="宋体"/>
          <w:sz w:val="24"/>
          <w:u w:val="single"/>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w:t>
      </w:r>
    </w:p>
    <w:p w14:paraId="6EEB5118">
      <w:pPr>
        <w:spacing w:line="360" w:lineRule="auto"/>
        <w:ind w:firstLine="480" w:firstLineChars="200"/>
        <w:rPr>
          <w:rFonts w:ascii="宋体" w:hAnsi="宋体" w:cs="宋体"/>
          <w:kern w:val="0"/>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w:t>
      </w:r>
    </w:p>
    <w:p w14:paraId="461A4C2E">
      <w:pPr>
        <w:spacing w:line="360" w:lineRule="auto"/>
        <w:ind w:firstLine="480" w:firstLineChars="200"/>
        <w:rPr>
          <w:rFonts w:ascii="宋体" w:hAnsi="宋体" w:cs="宋体"/>
          <w:kern w:val="0"/>
          <w:sz w:val="24"/>
        </w:rPr>
      </w:pPr>
      <w:r>
        <w:rPr>
          <w:rFonts w:hint="eastAsia" w:ascii="宋体" w:hAnsi="宋体" w:cs="宋体"/>
          <w:sz w:val="24"/>
        </w:rPr>
        <w:t>（5）因发包人违反合同约定造成暂停施工的违约责任：</w:t>
      </w:r>
      <w:r>
        <w:rPr>
          <w:rFonts w:hint="eastAsia" w:ascii="宋体" w:hAnsi="宋体" w:cs="宋体"/>
          <w:sz w:val="24"/>
          <w:u w:val="single"/>
        </w:rPr>
        <w:t>/。</w:t>
      </w:r>
    </w:p>
    <w:p w14:paraId="6398AF35">
      <w:pPr>
        <w:spacing w:line="360" w:lineRule="auto"/>
        <w:ind w:firstLine="480" w:firstLineChars="200"/>
        <w:rPr>
          <w:rFonts w:ascii="宋体" w:hAnsi="宋体" w:cs="宋体"/>
          <w:sz w:val="24"/>
          <w:u w:val="single"/>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w:t>
      </w:r>
    </w:p>
    <w:p w14:paraId="54A9423E">
      <w:pPr>
        <w:spacing w:line="360" w:lineRule="auto"/>
        <w:ind w:firstLine="480" w:firstLineChars="200"/>
        <w:rPr>
          <w:rFonts w:ascii="宋体" w:hAnsi="宋体" w:cs="宋体"/>
          <w:sz w:val="24"/>
          <w:u w:val="single"/>
        </w:rPr>
      </w:pPr>
      <w:r>
        <w:rPr>
          <w:rFonts w:hint="eastAsia" w:ascii="宋体" w:hAnsi="宋体" w:cs="宋体"/>
          <w:sz w:val="24"/>
        </w:rPr>
        <w:t>（7）其他：</w:t>
      </w:r>
      <w:r>
        <w:rPr>
          <w:rFonts w:hint="eastAsia" w:ascii="宋体" w:hAnsi="宋体" w:cs="宋体"/>
          <w:sz w:val="24"/>
          <w:u w:val="single"/>
        </w:rPr>
        <w:t xml:space="preserve"> / </w:t>
      </w:r>
    </w:p>
    <w:p w14:paraId="0F133814">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2800BF7A">
      <w:pPr>
        <w:autoSpaceDE w:val="0"/>
        <w:autoSpaceDN w:val="0"/>
        <w:snapToGrid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30 </w:t>
      </w:r>
      <w:r>
        <w:rPr>
          <w:rFonts w:hint="eastAsia" w:ascii="宋体" w:hAnsi="宋体" w:cs="宋体"/>
          <w:kern w:val="0"/>
          <w:sz w:val="24"/>
        </w:rPr>
        <w:t>天后发包人仍不纠正其违约行为并致使合同目的不能实现的，承包人有权解除合同。</w:t>
      </w:r>
    </w:p>
    <w:p w14:paraId="0E98E862">
      <w:pPr>
        <w:spacing w:line="360" w:lineRule="auto"/>
        <w:ind w:firstLine="480" w:firstLineChars="200"/>
        <w:rPr>
          <w:rFonts w:ascii="宋体" w:hAnsi="宋体" w:cs="宋体"/>
          <w:sz w:val="24"/>
        </w:rPr>
      </w:pPr>
      <w:r>
        <w:rPr>
          <w:rFonts w:hint="eastAsia" w:ascii="宋体" w:hAnsi="宋体" w:cs="宋体"/>
          <w:sz w:val="24"/>
        </w:rPr>
        <w:t>16.2 承包人违约</w:t>
      </w:r>
    </w:p>
    <w:p w14:paraId="46744769">
      <w:pPr>
        <w:autoSpaceDE w:val="0"/>
        <w:autoSpaceDN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1ACC96D9">
      <w:pPr>
        <w:tabs>
          <w:tab w:val="left" w:pos="482"/>
          <w:tab w:val="left" w:pos="2183"/>
          <w:tab w:val="left" w:pos="3884"/>
          <w:tab w:val="left" w:pos="5585"/>
        </w:tabs>
        <w:spacing w:line="360" w:lineRule="auto"/>
        <w:ind w:firstLine="480" w:firstLineChars="200"/>
        <w:rPr>
          <w:rFonts w:ascii="宋体" w:hAnsi="宋体" w:cs="宋体"/>
          <w:kern w:val="0"/>
          <w:sz w:val="24"/>
        </w:rPr>
      </w:pPr>
      <w:r>
        <w:rPr>
          <w:rFonts w:hint="eastAsia" w:ascii="宋体" w:hAnsi="宋体" w:cs="宋体"/>
          <w:sz w:val="24"/>
        </w:rPr>
        <w:t>承包人违约的其他情形</w:t>
      </w:r>
      <w:r>
        <w:rPr>
          <w:rFonts w:hint="eastAsia" w:ascii="宋体" w:hAnsi="宋体" w:cs="宋体"/>
          <w:kern w:val="0"/>
          <w:sz w:val="24"/>
        </w:rPr>
        <w:t>：</w:t>
      </w:r>
    </w:p>
    <w:p w14:paraId="42AED9BD">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73B4CA91">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（2）承包人不按合同履行应承担的工作，对工程进展造成影响时，发包人有权自行或委托他人完成合同约定承包人该项工作，所产生的费用从承包人应得的款项中扣取，不足部分由承包人偿付。</w:t>
      </w:r>
    </w:p>
    <w:p w14:paraId="562D23F8">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（3）承包人在竣工后7天内必须做到工完场清、料清、障清，如未在合同约定时间内做到工完场清，发包人有权指定其他单位清理，其费用在工程款中扣除，承包人还应承担由此给发包人带来的损失。</w:t>
      </w:r>
    </w:p>
    <w:p w14:paraId="45A654ED">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（4）因承包人违反施工规范进行施工或建筑材料设备、施工工艺不合格等产生的工程质量问题而引起的返工、补救，其全部责任和费用以及赔偿均由承包人自行承担。</w:t>
      </w:r>
    </w:p>
    <w:p w14:paraId="492CCFA6">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（5）承包人应及时支付民工工资，如因拖欠民工工资引起纠纷，发包人有权从工程款中扣除直接支付给该工程的民工工资。</w:t>
      </w:r>
    </w:p>
    <w:p w14:paraId="1AD1DDE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7DBEB3A8">
      <w:pPr>
        <w:autoSpaceDE w:val="0"/>
        <w:autoSpaceDN w:val="0"/>
        <w:spacing w:line="360" w:lineRule="auto"/>
        <w:ind w:firstLine="480" w:firstLineChars="200"/>
        <w:rPr>
          <w:rFonts w:ascii="宋体" w:hAnsi="宋体" w:cs="宋体"/>
          <w:sz w:val="24"/>
        </w:rPr>
      </w:pPr>
      <w:r>
        <w:rPr>
          <w:rFonts w:hint="eastAsia" w:ascii="宋体" w:hAnsi="宋体" w:cs="宋体"/>
          <w:sz w:val="24"/>
        </w:rPr>
        <w:t>16.2.2承包人违约的责任</w:t>
      </w:r>
    </w:p>
    <w:p w14:paraId="3D8AD576">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kern w:val="0"/>
          <w:sz w:val="24"/>
        </w:rPr>
        <w:t>：</w:t>
      </w:r>
    </w:p>
    <w:p w14:paraId="28167C8D">
      <w:pPr>
        <w:snapToGrid w:val="0"/>
        <w:spacing w:line="360" w:lineRule="auto"/>
        <w:ind w:firstLine="480" w:firstLineChars="200"/>
        <w:rPr>
          <w:rFonts w:ascii="宋体" w:hAnsi="宋体" w:cs="宋体"/>
          <w:kern w:val="0"/>
          <w:sz w:val="24"/>
        </w:rPr>
      </w:pPr>
      <w:r>
        <w:rPr>
          <w:rFonts w:hint="eastAsia" w:ascii="宋体" w:hAnsi="宋体" w:cs="宋体"/>
          <w:kern w:val="0"/>
          <w:sz w:val="24"/>
        </w:rPr>
        <w:t>（1）承包人违反合同约定进行转包或违法分包的违约责任：</w:t>
      </w:r>
      <w:r>
        <w:rPr>
          <w:rFonts w:hint="eastAsia" w:ascii="宋体" w:hAnsi="宋体" w:cs="宋体"/>
          <w:sz w:val="24"/>
          <w:u w:val="single"/>
        </w:rPr>
        <w:t>发包人有权解除合同、拒付（或要求承包人退还已收）合同价款、没收履约担保，并要求承包人按合同总价款的20%支付违约金，如给发包人造成的损失超过保证金数额的还应当对超过部份予以赔偿，并依法承担相应的法律责任；</w:t>
      </w:r>
    </w:p>
    <w:p w14:paraId="0F37754D">
      <w:pPr>
        <w:snapToGrid w:val="0"/>
        <w:spacing w:line="360" w:lineRule="auto"/>
        <w:ind w:firstLine="480" w:firstLineChars="200"/>
        <w:rPr>
          <w:rFonts w:ascii="宋体" w:hAnsi="宋体" w:cs="宋体"/>
          <w:kern w:val="0"/>
          <w:sz w:val="24"/>
        </w:rPr>
      </w:pPr>
      <w:r>
        <w:rPr>
          <w:rFonts w:hint="eastAsia" w:ascii="宋体" w:hAnsi="宋体" w:cs="宋体"/>
          <w:kern w:val="0"/>
          <w:sz w:val="24"/>
        </w:rPr>
        <w:t>（2）承包人违反合同约定采购和使用不合格的材料和工程设备的违约责任：</w:t>
      </w:r>
      <w:r>
        <w:rPr>
          <w:rFonts w:hint="eastAsia" w:ascii="宋体" w:hAnsi="宋体" w:cs="宋体"/>
          <w:sz w:val="24"/>
          <w:u w:val="single"/>
        </w:rPr>
        <w:t>发包人有权要求承包人重新采购合格的材料和工程设备，承包人必须及时改正并承担相应损失</w:t>
      </w:r>
      <w:r>
        <w:rPr>
          <w:rFonts w:hint="eastAsia" w:ascii="宋体" w:hAnsi="宋体" w:cs="宋体"/>
          <w:kern w:val="0"/>
          <w:sz w:val="24"/>
        </w:rPr>
        <w:t>；</w:t>
      </w:r>
    </w:p>
    <w:p w14:paraId="0C8DAE13">
      <w:pPr>
        <w:snapToGrid w:val="0"/>
        <w:spacing w:line="360" w:lineRule="auto"/>
        <w:ind w:firstLine="480" w:firstLineChars="200"/>
        <w:rPr>
          <w:rFonts w:ascii="宋体" w:hAnsi="宋体" w:cs="宋体"/>
          <w:sz w:val="24"/>
          <w:u w:val="single"/>
        </w:rPr>
      </w:pPr>
      <w:r>
        <w:rPr>
          <w:rFonts w:hint="eastAsia" w:ascii="宋体" w:hAnsi="宋体" w:cs="宋体"/>
          <w:kern w:val="0"/>
          <w:sz w:val="24"/>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20%的违约金，并承担由此造成发包人的全部经济损失</w:t>
      </w:r>
      <w:r>
        <w:rPr>
          <w:rFonts w:hint="eastAsia" w:ascii="宋体" w:hAnsi="宋体" w:cs="宋体"/>
          <w:sz w:val="24"/>
          <w:u w:val="single"/>
        </w:rPr>
        <w:t>。</w:t>
      </w:r>
    </w:p>
    <w:p w14:paraId="38D35CBA">
      <w:pPr>
        <w:snapToGrid w:val="0"/>
        <w:spacing w:line="360" w:lineRule="auto"/>
        <w:ind w:firstLine="480" w:firstLineChars="200"/>
        <w:rPr>
          <w:rFonts w:ascii="宋体" w:hAnsi="宋体" w:cs="宋体"/>
          <w:sz w:val="24"/>
          <w:u w:val="single"/>
        </w:rPr>
      </w:pPr>
      <w:r>
        <w:rPr>
          <w:rFonts w:hint="eastAsia" w:ascii="宋体" w:hAnsi="宋体" w:cs="宋体"/>
          <w:sz w:val="24"/>
          <w:u w:val="single"/>
        </w:rPr>
        <w:t>经发包人、监理单位（如有）等部门检查抽检，发现承包人不按设计要求或者工程质量验收规范标准施工，或有偷工减料现象，每发现一次，发包人有权视情节严重程度要求承包人支付人民币2000元/次-5000元/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20%的违约金。</w:t>
      </w:r>
    </w:p>
    <w:p w14:paraId="0D26015B">
      <w:pPr>
        <w:snapToGrid w:val="0"/>
        <w:spacing w:line="360" w:lineRule="auto"/>
        <w:ind w:firstLine="480" w:firstLineChars="200"/>
        <w:rPr>
          <w:rFonts w:ascii="宋体" w:hAnsi="宋体" w:cs="宋体"/>
          <w:kern w:val="0"/>
          <w:sz w:val="24"/>
        </w:rPr>
      </w:pPr>
      <w:r>
        <w:rPr>
          <w:rFonts w:hint="eastAsia" w:ascii="宋体" w:hAnsi="宋体" w:cs="宋体"/>
          <w:kern w:val="0"/>
          <w:sz w:val="24"/>
        </w:rPr>
        <w:t>（3）承包人违反《合同通用条款》第8.9款〔材料与设备专用要求〕的约定，未经批准，私自将已按照合同约定进入施工现场的材料或设备撤离施工现场的违约责任：</w:t>
      </w:r>
      <w:r>
        <w:rPr>
          <w:rFonts w:hint="eastAsia" w:ascii="宋体" w:hAnsi="宋体" w:cs="宋体"/>
          <w:sz w:val="24"/>
          <w:u w:val="single"/>
        </w:rPr>
        <w:t>承包人应及时停止撤离，按每次2000元项发包人支付违约金并承担相应损失</w:t>
      </w:r>
      <w:r>
        <w:rPr>
          <w:rFonts w:hint="eastAsia" w:ascii="宋体" w:hAnsi="宋体" w:cs="宋体"/>
          <w:kern w:val="0"/>
          <w:sz w:val="24"/>
        </w:rPr>
        <w:t>；</w:t>
      </w:r>
    </w:p>
    <w:p w14:paraId="24F5F519">
      <w:pPr>
        <w:snapToGrid w:val="0"/>
        <w:spacing w:line="360" w:lineRule="auto"/>
        <w:ind w:firstLine="480" w:firstLineChars="200"/>
        <w:rPr>
          <w:rFonts w:ascii="宋体" w:hAnsi="宋体" w:cs="宋体"/>
          <w:sz w:val="24"/>
          <w:u w:val="single"/>
        </w:rPr>
      </w:pPr>
      <w:r>
        <w:rPr>
          <w:rFonts w:hint="eastAsia" w:ascii="宋体" w:hAnsi="宋体" w:cs="宋体"/>
          <w:kern w:val="0"/>
          <w:sz w:val="24"/>
        </w:rPr>
        <w:t>（4）承包人未能按施工进度</w:t>
      </w:r>
      <w:r>
        <w:rPr>
          <w:rFonts w:hint="eastAsia" w:ascii="宋体" w:hAnsi="宋体" w:cs="宋体"/>
          <w:sz w:val="24"/>
          <w:u w:val="single"/>
        </w:rPr>
        <w:t>计划及时完成合同约定的工作，造成工期延误的违约责任：按合同工期每延误一天，按3000元/天向发包人支付违约金；总工期延误超过20天的（含20天）的，发包人有权解除合同、拒付工程款，也有权仍选择由承包人继续履行合同，如发包人选择由承包人继续履行合同的，竣工工期超过20天后每延误一天，承包人应按人民币6000元/天向发包人支付违约金。</w:t>
      </w:r>
    </w:p>
    <w:p w14:paraId="3B2F06B1">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（5）承包人在缺陷责任期及保修期内，未能在合理期限对工程缺陷进行修复，或拒绝按发包人要求进行修复的违约责任：</w:t>
      </w:r>
      <w:r>
        <w:rPr>
          <w:rFonts w:hint="eastAsia" w:ascii="宋体" w:hAnsi="宋体" w:cs="宋体"/>
          <w:kern w:val="0"/>
          <w:sz w:val="24"/>
          <w:u w:val="single"/>
        </w:rPr>
        <w:t>工程移交后，如发包人发现存在质量问题的，有权要求承包人及时维修，并赔偿给发包人带来的各种直接、间接经济损失。承包人不及时维修的，发包人有权代为扣除质量保证金用于维修以及支付发包人的维修管理费用（按维修费用的15%计算），并在事后要求承包人补足缺额。</w:t>
      </w:r>
    </w:p>
    <w:p w14:paraId="4A79515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工程移交后，如发包人发现存在重大质量问题的，有权扣除承包人的全部质量保证金，要求承包人及时维修，并赔偿给发包人带来的各种直接、间接经济损失。</w:t>
      </w:r>
    </w:p>
    <w:p w14:paraId="0C5E46AC">
      <w:pPr>
        <w:snapToGrid w:val="0"/>
        <w:spacing w:line="360" w:lineRule="auto"/>
        <w:ind w:firstLine="480" w:firstLineChars="200"/>
        <w:rPr>
          <w:rFonts w:ascii="宋体" w:hAnsi="宋体" w:cs="宋体"/>
          <w:sz w:val="24"/>
          <w:u w:val="single"/>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14:paraId="7CFD3B3B">
      <w:pPr>
        <w:snapToGrid w:val="0"/>
        <w:spacing w:line="360" w:lineRule="auto"/>
        <w:ind w:firstLine="480" w:firstLineChars="200"/>
        <w:rPr>
          <w:rFonts w:ascii="宋体" w:hAnsi="宋体" w:cs="宋体"/>
          <w:kern w:val="0"/>
          <w:sz w:val="24"/>
        </w:rPr>
      </w:pPr>
      <w:r>
        <w:rPr>
          <w:rFonts w:hint="eastAsia" w:ascii="宋体" w:hAnsi="宋体" w:cs="宋体"/>
          <w:kern w:val="0"/>
          <w:sz w:val="24"/>
        </w:rPr>
        <w:t>（6）承包人明确表示或者以其行为表明不履行合同主要义务的违约责任：</w:t>
      </w:r>
      <w:r>
        <w:rPr>
          <w:rFonts w:hint="eastAsia" w:ascii="宋体" w:hAnsi="宋体" w:cs="宋体"/>
          <w:kern w:val="0"/>
          <w:sz w:val="24"/>
          <w:u w:val="single"/>
        </w:rPr>
        <w:t>发包人有权解除合同、拒付或（要求承包人退还已收）工程款，承包人还应支付合同总价款20%的违约金，承包人还应承担发包人的一切损失；</w:t>
      </w:r>
    </w:p>
    <w:p w14:paraId="7D256638">
      <w:pPr>
        <w:snapToGrid w:val="0"/>
        <w:spacing w:line="360" w:lineRule="auto"/>
        <w:ind w:firstLine="480" w:firstLineChars="200"/>
        <w:rPr>
          <w:rFonts w:ascii="宋体" w:hAnsi="宋体" w:cs="宋体"/>
          <w:kern w:val="0"/>
          <w:sz w:val="24"/>
        </w:rPr>
      </w:pPr>
      <w:r>
        <w:rPr>
          <w:rFonts w:hint="eastAsia" w:ascii="宋体" w:hAnsi="宋体" w:cs="宋体"/>
          <w:kern w:val="0"/>
          <w:sz w:val="24"/>
        </w:rPr>
        <w:t>（7）承包人未能按照合同约定履行其他义务的违约责任：</w:t>
      </w:r>
    </w:p>
    <w:p w14:paraId="6BFF0F2C">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由发包人或监理单位（如有）召集的例会和其它重要会议，承包人必须按发包人指定人选准时参加，无故缺席或迟到的，发包人有权视情节严重程度要求承包人支付1000元每次的违约金，因此导致对会议内容不了解的，其后果由承包人自负，违约金由发包人在结算中直接扣除；因此导致对会议内容不了解的，其后果由承包人自负。</w:t>
      </w:r>
    </w:p>
    <w:p w14:paraId="5BAF3EA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必须无条件服从发包人及监理单位（如有）对合理的现场管理，若项目班子主要人员由于工作态度等原因，使发包人及监理不满意的，发包人有权要求更换；发包人有权对承包人在施工中出现的恶意违规及不服从管理等行为要求按500-1000元/次的支付违约金，该笔违约金由发包人在结算中直接扣除；</w:t>
      </w:r>
    </w:p>
    <w:p w14:paraId="163196D4">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在施工过程中不论遇到何种困难（除本合同约定明确的原因和不可抗力除外），均不得以任何理由（例如发包人未签证费用、合同争议等）擅自停工或变相停工，否则由此造成的一切后果和经济损失均由承包人承担，同时发包人有权处于3000元/天的处罚，该笔罚款由发包人在结算中直接扣除；</w:t>
      </w:r>
    </w:p>
    <w:p w14:paraId="16DA2909">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合同及本协议履行期间，承包人保证不拖欠民工工资，</w:t>
      </w:r>
      <w:r>
        <w:rPr>
          <w:rFonts w:hint="eastAsia" w:ascii="宋体" w:hAnsi="宋体" w:cs="宋体"/>
          <w:sz w:val="24"/>
          <w:u w:val="single"/>
        </w:rPr>
        <w:t>所得工程款应优先支付民工工资；</w:t>
      </w:r>
      <w:r>
        <w:rPr>
          <w:rFonts w:hint="eastAsia" w:ascii="宋体" w:hAnsi="宋体" w:cs="宋体"/>
          <w:kern w:val="0"/>
          <w:sz w:val="24"/>
          <w:u w:val="single"/>
        </w:rPr>
        <w:t>因拖欠民工工资造成的一切后果均由承包人承担。若发包人因此为承包人垫款支付的，承包人应按发包人垫付款项金额的30%向发包人偿付违约金，该笔违约金由发包人在结算中直接扣除；</w:t>
      </w:r>
    </w:p>
    <w:p w14:paraId="2F373DBF">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的违约金，由此引起的工期延误责任及损失由承包人负责承担； </w:t>
      </w:r>
    </w:p>
    <w:p w14:paraId="35B15A30">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施工期间，承包人应严格实行隐蔽工程验收制度，如有未经发包人或监理单位（如有）验收自行隐蔽，发包人和监理单位（如有）有权要求复验，所有费用由承包人承担，发包人有权视情节轻重对承包人处以人民币伍万元/次的违约金，该笔违约金由发包人在结算中直接扣除；</w:t>
      </w:r>
    </w:p>
    <w:p w14:paraId="59BCDEDE">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05E417D4">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本合同履行过程中，承包人被处以罚款的，以实际行为发生之日为罚款缴纳的时间；</w:t>
      </w:r>
    </w:p>
    <w:p w14:paraId="28C866BA">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本合同中的罚款特指惩罚性违约金，本合同约定的违约金、罚款及损失赔偿款，发包人有权从履约担保或工程款中直接扣减。</w:t>
      </w:r>
    </w:p>
    <w:p w14:paraId="6D6CBF76">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⑩</w:t>
      </w:r>
      <w:r>
        <w:rPr>
          <w:rFonts w:hint="eastAsia" w:ascii="宋体" w:hAnsi="宋体" w:cs="宋体"/>
          <w:kern w:val="0"/>
          <w:sz w:val="24"/>
          <w:u w:val="single"/>
        </w:rPr>
        <w:t>合同生效后，承包人无正当理由，单方终止合同的，应向发包人承担违约责任，违约金按照合同总价的20%计取，并赔偿发包人因此造成的损失。</w:t>
      </w:r>
    </w:p>
    <w:p w14:paraId="2FDA1C2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4"/>
          <w:sz w:val="36"/>
        </w:rPr>
        <w:instrText xml:space="preserve">○</w:instrText>
      </w:r>
      <w:r>
        <w:rPr>
          <w:rFonts w:hint="eastAsia" w:ascii="宋体" w:hAnsi="宋体" w:cs="宋体"/>
          <w:kern w:val="0"/>
          <w:sz w:val="24"/>
        </w:rPr>
        <w:instrText xml:space="preserve">,11)</w:instrText>
      </w:r>
      <w:r>
        <w:rPr>
          <w:rFonts w:hint="eastAsia" w:ascii="宋体" w:hAnsi="宋体" w:cs="宋体"/>
          <w:kern w:val="0"/>
          <w:sz w:val="24"/>
        </w:rPr>
        <w:fldChar w:fldCharType="end"/>
      </w:r>
      <w:r>
        <w:rPr>
          <w:rFonts w:hint="eastAsia" w:ascii="宋体" w:hAnsi="宋体" w:cs="宋体"/>
          <w:kern w:val="0"/>
          <w:sz w:val="24"/>
          <w:u w:val="single"/>
        </w:rPr>
        <w:t>当承包人出现以下情况之一，发包人有权将承包人清退出场（并解除合同），承包人应按合同总价款的20%向发包人支付违约金：</w:t>
      </w:r>
    </w:p>
    <w:p w14:paraId="29035460">
      <w:pPr>
        <w:spacing w:line="360" w:lineRule="auto"/>
        <w:ind w:firstLine="480" w:firstLineChars="200"/>
        <w:rPr>
          <w:rFonts w:ascii="宋体" w:hAnsi="宋体" w:cs="宋体"/>
          <w:sz w:val="24"/>
        </w:rPr>
      </w:pPr>
      <w:r>
        <w:rPr>
          <w:rFonts w:hint="eastAsia" w:ascii="宋体" w:hAnsi="宋体" w:cs="宋体"/>
          <w:sz w:val="24"/>
        </w:rPr>
        <w:t>（a） 中标后一个月内以任何理由拒签合同；</w:t>
      </w:r>
    </w:p>
    <w:p w14:paraId="384F9EB1">
      <w:pPr>
        <w:spacing w:line="360" w:lineRule="auto"/>
        <w:ind w:firstLine="480" w:firstLineChars="200"/>
        <w:rPr>
          <w:rFonts w:ascii="宋体" w:hAnsi="宋体" w:cs="宋体"/>
          <w:sz w:val="24"/>
        </w:rPr>
      </w:pPr>
      <w:r>
        <w:rPr>
          <w:rFonts w:hint="eastAsia" w:ascii="宋体" w:hAnsi="宋体" w:cs="宋体"/>
          <w:sz w:val="24"/>
        </w:rPr>
        <w:t>（b） 出现质量问题拒不整改，经发包人或监理单位（如有）书面通知三次（含）以上仍不见效的；</w:t>
      </w:r>
    </w:p>
    <w:p w14:paraId="716354A1">
      <w:pPr>
        <w:spacing w:line="360" w:lineRule="auto"/>
        <w:ind w:firstLine="480" w:firstLineChars="200"/>
        <w:rPr>
          <w:rFonts w:ascii="宋体" w:hAnsi="宋体" w:cs="宋体"/>
          <w:sz w:val="24"/>
        </w:rPr>
      </w:pPr>
      <w:r>
        <w:rPr>
          <w:rFonts w:hint="eastAsia" w:ascii="宋体" w:hAnsi="宋体" w:cs="宋体"/>
          <w:sz w:val="24"/>
        </w:rPr>
        <w:t>（c） 出现安全事故，不接受监理人和有关职能部门指令采取相应措施的；</w:t>
      </w:r>
    </w:p>
    <w:p w14:paraId="3C151F24">
      <w:pPr>
        <w:spacing w:line="360" w:lineRule="auto"/>
        <w:ind w:firstLine="480" w:firstLineChars="200"/>
        <w:rPr>
          <w:rFonts w:ascii="宋体" w:hAnsi="宋体" w:cs="宋体"/>
          <w:sz w:val="24"/>
        </w:rPr>
      </w:pPr>
      <w:r>
        <w:rPr>
          <w:rFonts w:hint="eastAsia" w:ascii="宋体" w:hAnsi="宋体" w:cs="宋体"/>
          <w:sz w:val="24"/>
        </w:rPr>
        <w:t>（d） 拒不执行发包人或监理单位（如有）的指令三次（含）以上的。（相关指令违反质量和安全法规的不在此限）。</w:t>
      </w:r>
    </w:p>
    <w:p w14:paraId="673C93D8">
      <w:pPr>
        <w:autoSpaceDE w:val="0"/>
        <w:autoSpaceDN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49812590">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关于承包人违约解除合同的特别约定：</w:t>
      </w:r>
      <w:r>
        <w:rPr>
          <w:rFonts w:hint="eastAsia" w:ascii="宋体" w:hAnsi="宋体" w:cs="宋体"/>
          <w:sz w:val="24"/>
          <w:u w:val="single"/>
        </w:rPr>
        <w:t>/。</w:t>
      </w:r>
    </w:p>
    <w:p w14:paraId="6E838865">
      <w:pPr>
        <w:spacing w:line="360" w:lineRule="auto"/>
        <w:ind w:firstLine="480" w:firstLineChars="200"/>
        <w:rPr>
          <w:rFonts w:ascii="宋体" w:hAnsi="宋体" w:cs="宋体"/>
          <w:kern w:val="0"/>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费用另行约定，由发包人承担   。</w:t>
      </w:r>
    </w:p>
    <w:p w14:paraId="525A20CD">
      <w:pPr>
        <w:topLinePunct/>
        <w:spacing w:line="360" w:lineRule="auto"/>
        <w:ind w:firstLine="420"/>
        <w:rPr>
          <w:rFonts w:ascii="宋体" w:hAnsi="宋体" w:cs="宋体"/>
          <w:b/>
          <w:sz w:val="24"/>
        </w:rPr>
      </w:pPr>
      <w:r>
        <w:rPr>
          <w:rFonts w:hint="eastAsia" w:ascii="宋体" w:hAnsi="宋体" w:cs="宋体"/>
          <w:b/>
          <w:sz w:val="24"/>
        </w:rPr>
        <w:t xml:space="preserve">17. 不可抗力 </w:t>
      </w:r>
    </w:p>
    <w:p w14:paraId="5F6E8BE3">
      <w:pPr>
        <w:spacing w:line="360" w:lineRule="auto"/>
        <w:ind w:firstLine="480" w:firstLineChars="200"/>
        <w:rPr>
          <w:rFonts w:ascii="宋体" w:hAnsi="宋体" w:cs="宋体"/>
          <w:sz w:val="24"/>
        </w:rPr>
      </w:pPr>
      <w:r>
        <w:rPr>
          <w:rFonts w:hint="eastAsia" w:ascii="宋体" w:hAnsi="宋体" w:cs="宋体"/>
          <w:sz w:val="24"/>
        </w:rPr>
        <w:t>17.1 不可抗力的确认</w:t>
      </w:r>
    </w:p>
    <w:p w14:paraId="01A38514">
      <w:pPr>
        <w:spacing w:line="360" w:lineRule="auto"/>
        <w:ind w:firstLine="480" w:firstLineChars="200"/>
        <w:rPr>
          <w:rFonts w:ascii="宋体" w:hAnsi="宋体" w:cs="宋体"/>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sz w:val="24"/>
          <w:u w:val="single"/>
        </w:rPr>
        <w:t>/。</w:t>
      </w:r>
    </w:p>
    <w:p w14:paraId="606FC280">
      <w:pPr>
        <w:spacing w:line="360" w:lineRule="auto"/>
        <w:ind w:firstLine="480" w:firstLineChars="200"/>
        <w:rPr>
          <w:rFonts w:ascii="宋体" w:hAnsi="宋体" w:cs="宋体"/>
          <w:sz w:val="24"/>
        </w:rPr>
      </w:pPr>
      <w:r>
        <w:rPr>
          <w:rFonts w:hint="eastAsia" w:ascii="宋体" w:hAnsi="宋体" w:cs="宋体"/>
          <w:sz w:val="24"/>
        </w:rPr>
        <w:t>17.4 因不可抗力解除合同</w:t>
      </w:r>
    </w:p>
    <w:p w14:paraId="4E770C7B">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14:paraId="23431CE2">
      <w:pPr>
        <w:topLinePunct/>
        <w:spacing w:line="360" w:lineRule="auto"/>
        <w:ind w:firstLine="420"/>
        <w:rPr>
          <w:rFonts w:ascii="宋体" w:hAnsi="宋体" w:cs="宋体"/>
          <w:b/>
          <w:sz w:val="24"/>
        </w:rPr>
      </w:pPr>
      <w:r>
        <w:rPr>
          <w:rFonts w:hint="eastAsia" w:ascii="宋体" w:hAnsi="宋体" w:cs="宋体"/>
          <w:b/>
          <w:sz w:val="24"/>
        </w:rPr>
        <w:t>18. 保险</w:t>
      </w:r>
    </w:p>
    <w:p w14:paraId="440A5BE1">
      <w:pPr>
        <w:spacing w:line="360" w:lineRule="auto"/>
        <w:ind w:firstLine="480" w:firstLineChars="200"/>
        <w:rPr>
          <w:rFonts w:ascii="宋体" w:hAnsi="宋体" w:cs="宋体"/>
          <w:sz w:val="24"/>
        </w:rPr>
      </w:pPr>
      <w:r>
        <w:rPr>
          <w:rFonts w:hint="eastAsia" w:ascii="宋体" w:hAnsi="宋体" w:cs="宋体"/>
          <w:sz w:val="24"/>
        </w:rPr>
        <w:t>18.1 工程保险</w:t>
      </w:r>
    </w:p>
    <w:p w14:paraId="24A98F81">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p>
    <w:p w14:paraId="10032887">
      <w:pPr>
        <w:spacing w:line="360" w:lineRule="auto"/>
        <w:ind w:firstLine="480" w:firstLineChars="200"/>
        <w:rPr>
          <w:rFonts w:ascii="宋体" w:hAnsi="宋体" w:cs="宋体"/>
          <w:sz w:val="24"/>
        </w:rPr>
      </w:pPr>
      <w:r>
        <w:rPr>
          <w:rFonts w:hint="eastAsia" w:ascii="宋体" w:hAnsi="宋体" w:cs="宋体"/>
          <w:sz w:val="24"/>
        </w:rPr>
        <w:t>18.3 其他保险</w:t>
      </w:r>
    </w:p>
    <w:p w14:paraId="33EDC770">
      <w:pPr>
        <w:spacing w:line="360" w:lineRule="auto"/>
        <w:ind w:firstLine="480" w:firstLineChars="200"/>
        <w:rPr>
          <w:rFonts w:ascii="宋体" w:hAnsi="宋体" w:cs="宋体"/>
          <w:sz w:val="24"/>
          <w:u w:val="single"/>
        </w:rPr>
      </w:pPr>
      <w:r>
        <w:rPr>
          <w:rFonts w:hint="eastAsia" w:ascii="宋体" w:hAnsi="宋体" w:cs="宋体"/>
          <w:sz w:val="24"/>
        </w:rPr>
        <w:t>关于其他保险的约定</w:t>
      </w:r>
      <w:r>
        <w:rPr>
          <w:rFonts w:hint="eastAsia" w:ascii="宋体" w:hAnsi="宋体" w:cs="宋体"/>
          <w:sz w:val="24"/>
          <w:u w:val="single"/>
        </w:rPr>
        <w:t>：承包人应办理与本工程相关的保险，费用均包含在合同总价内</w:t>
      </w:r>
      <w:r>
        <w:rPr>
          <w:rFonts w:hint="eastAsia" w:ascii="宋体" w:hAnsi="宋体" w:cs="宋体"/>
          <w:kern w:val="0"/>
          <w:sz w:val="24"/>
          <w:u w:val="single"/>
        </w:rPr>
        <w:t xml:space="preserve"> </w:t>
      </w:r>
      <w:r>
        <w:rPr>
          <w:rFonts w:hint="eastAsia" w:ascii="宋体" w:hAnsi="宋体" w:cs="宋体"/>
          <w:kern w:val="0"/>
          <w:sz w:val="24"/>
        </w:rPr>
        <w:t>。</w:t>
      </w:r>
    </w:p>
    <w:p w14:paraId="61616253">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p>
    <w:p w14:paraId="4ECAFD2C">
      <w:pPr>
        <w:spacing w:line="360" w:lineRule="auto"/>
        <w:ind w:firstLine="480" w:firstLineChars="200"/>
        <w:rPr>
          <w:rFonts w:ascii="宋体" w:hAnsi="宋体" w:cs="宋体"/>
          <w:sz w:val="24"/>
        </w:rPr>
      </w:pPr>
      <w:r>
        <w:rPr>
          <w:rFonts w:hint="eastAsia" w:ascii="宋体" w:hAnsi="宋体" w:cs="宋体"/>
          <w:sz w:val="24"/>
        </w:rPr>
        <w:t>18.7 通知义务</w:t>
      </w:r>
    </w:p>
    <w:p w14:paraId="734894CF">
      <w:pPr>
        <w:spacing w:line="360" w:lineRule="auto"/>
        <w:ind w:firstLine="600" w:firstLineChars="250"/>
        <w:rPr>
          <w:rFonts w:ascii="宋体" w:hAnsi="宋体" w:cs="宋体"/>
          <w:sz w:val="24"/>
          <w:u w:val="single"/>
        </w:rPr>
      </w:pPr>
      <w:r>
        <w:rPr>
          <w:rFonts w:hint="eastAsia" w:ascii="宋体" w:hAnsi="宋体" w:cs="宋体"/>
          <w:sz w:val="24"/>
        </w:rPr>
        <w:t>关于变更保险合同时的通知义务的约定：</w:t>
      </w:r>
      <w:r>
        <w:rPr>
          <w:rFonts w:hint="eastAsia" w:ascii="宋体" w:hAnsi="宋体" w:cs="宋体"/>
          <w:sz w:val="24"/>
          <w:u w:val="single"/>
        </w:rPr>
        <w:t>按通用条款执行。</w:t>
      </w:r>
    </w:p>
    <w:p w14:paraId="16B4276F">
      <w:pPr>
        <w:spacing w:line="360" w:lineRule="auto"/>
        <w:ind w:firstLine="482" w:firstLineChars="200"/>
        <w:rPr>
          <w:rFonts w:ascii="宋体" w:hAnsi="宋体" w:cs="宋体"/>
          <w:b/>
          <w:sz w:val="24"/>
        </w:rPr>
      </w:pPr>
      <w:r>
        <w:rPr>
          <w:rFonts w:hint="eastAsia" w:ascii="宋体" w:hAnsi="宋体" w:cs="宋体"/>
          <w:b/>
          <w:sz w:val="24"/>
        </w:rPr>
        <w:t>20. 争议解决</w:t>
      </w:r>
    </w:p>
    <w:p w14:paraId="7D39EEBE">
      <w:pPr>
        <w:spacing w:line="360" w:lineRule="auto"/>
        <w:ind w:firstLine="480" w:firstLineChars="200"/>
        <w:rPr>
          <w:rFonts w:ascii="宋体" w:hAnsi="宋体" w:cs="宋体"/>
          <w:sz w:val="24"/>
        </w:rPr>
      </w:pPr>
      <w:r>
        <w:rPr>
          <w:rFonts w:hint="eastAsia" w:ascii="宋体" w:hAnsi="宋体" w:cs="宋体"/>
          <w:sz w:val="24"/>
        </w:rPr>
        <w:t>20.3 争议评审</w:t>
      </w:r>
    </w:p>
    <w:p w14:paraId="4DFE4862">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14:paraId="46CA5ACC">
      <w:pPr>
        <w:spacing w:line="360" w:lineRule="auto"/>
        <w:ind w:firstLine="480" w:firstLineChars="200"/>
        <w:rPr>
          <w:rFonts w:ascii="宋体" w:hAnsi="宋体" w:cs="宋体"/>
          <w:sz w:val="24"/>
        </w:rPr>
      </w:pPr>
      <w:r>
        <w:rPr>
          <w:rFonts w:hint="eastAsia" w:ascii="宋体" w:hAnsi="宋体" w:cs="宋体"/>
          <w:sz w:val="24"/>
        </w:rPr>
        <w:t>20.3.1 争议评审小组的确定</w:t>
      </w:r>
    </w:p>
    <w:p w14:paraId="214C0039">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无            </w:t>
      </w:r>
      <w:r>
        <w:rPr>
          <w:rFonts w:hint="eastAsia" w:ascii="宋体" w:hAnsi="宋体" w:cs="宋体"/>
          <w:sz w:val="24"/>
        </w:rPr>
        <w:t>。</w:t>
      </w:r>
    </w:p>
    <w:p w14:paraId="6F672A19">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无               </w:t>
      </w:r>
      <w:r>
        <w:rPr>
          <w:rFonts w:hint="eastAsia" w:ascii="宋体" w:hAnsi="宋体" w:cs="宋体"/>
          <w:sz w:val="24"/>
        </w:rPr>
        <w:t>。</w:t>
      </w:r>
    </w:p>
    <w:p w14:paraId="377CC3ED">
      <w:pPr>
        <w:autoSpaceDE w:val="0"/>
        <w:autoSpaceDN w:val="0"/>
        <w:spacing w:line="360" w:lineRule="auto"/>
        <w:ind w:firstLine="480" w:firstLineChars="200"/>
        <w:rPr>
          <w:rFonts w:ascii="宋体" w:hAnsi="宋体" w:cs="宋体"/>
          <w:sz w:val="24"/>
        </w:rPr>
      </w:pPr>
      <w:r>
        <w:rPr>
          <w:rFonts w:hint="eastAsia" w:ascii="宋体" w:hAnsi="宋体" w:cs="宋体"/>
          <w:sz w:val="24"/>
        </w:rPr>
        <w:t>20.3.2 争议评审小组的决定</w:t>
      </w:r>
    </w:p>
    <w:p w14:paraId="66BE34EF">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无          </w:t>
      </w:r>
      <w:r>
        <w:rPr>
          <w:rFonts w:hint="eastAsia" w:ascii="宋体" w:hAnsi="宋体" w:cs="宋体"/>
          <w:sz w:val="24"/>
        </w:rPr>
        <w:t>。</w:t>
      </w:r>
    </w:p>
    <w:p w14:paraId="6518F9C8">
      <w:pPr>
        <w:spacing w:line="360" w:lineRule="auto"/>
        <w:ind w:firstLine="480" w:firstLineChars="200"/>
        <w:rPr>
          <w:rFonts w:ascii="宋体" w:hAnsi="宋体" w:cs="宋体"/>
          <w:sz w:val="24"/>
        </w:rPr>
      </w:pPr>
      <w:r>
        <w:rPr>
          <w:rFonts w:hint="eastAsia" w:ascii="宋体" w:hAnsi="宋体" w:cs="宋体"/>
          <w:sz w:val="24"/>
        </w:rPr>
        <w:t>20.4仲裁或诉讼</w:t>
      </w:r>
    </w:p>
    <w:p w14:paraId="0E4D0EC8">
      <w:pPr>
        <w:spacing w:line="360" w:lineRule="auto"/>
        <w:ind w:firstLine="480" w:firstLineChars="200"/>
        <w:rPr>
          <w:rFonts w:ascii="宋体" w:hAnsi="宋体" w:cs="宋体"/>
          <w:sz w:val="24"/>
          <w:u w:val="single"/>
        </w:rPr>
      </w:pPr>
      <w:r>
        <w:rPr>
          <w:rFonts w:hint="eastAsia" w:ascii="宋体" w:hAnsi="宋体" w:cs="宋体"/>
          <w:sz w:val="24"/>
        </w:rPr>
        <w:t xml:space="preserve">因合同及合同有关事项发生的争议，按下列第 </w:t>
      </w:r>
      <w:r>
        <w:rPr>
          <w:rFonts w:hint="eastAsia" w:ascii="宋体" w:hAnsi="宋体" w:cs="宋体"/>
          <w:sz w:val="24"/>
          <w:u w:val="single"/>
        </w:rPr>
        <w:t>（2）</w:t>
      </w:r>
      <w:r>
        <w:rPr>
          <w:rFonts w:hint="eastAsia" w:ascii="宋体" w:hAnsi="宋体" w:cs="宋体"/>
          <w:sz w:val="24"/>
        </w:rPr>
        <w:t xml:space="preserve">  种方式解决：</w:t>
      </w:r>
    </w:p>
    <w:p w14:paraId="769EC53F">
      <w:pPr>
        <w:spacing w:line="360" w:lineRule="auto"/>
        <w:ind w:firstLine="480" w:firstLineChars="2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14:paraId="29E0732F">
      <w:pPr>
        <w:spacing w:line="360" w:lineRule="auto"/>
        <w:ind w:firstLine="480" w:firstLineChars="200"/>
        <w:rPr>
          <w:rFonts w:ascii="宋体" w:hAnsi="宋体" w:cs="宋体"/>
          <w:sz w:val="24"/>
        </w:rPr>
      </w:pPr>
      <w:r>
        <w:rPr>
          <w:rFonts w:hint="eastAsia" w:ascii="宋体" w:hAnsi="宋体" w:cs="宋体"/>
          <w:sz w:val="24"/>
        </w:rPr>
        <w:t xml:space="preserve">（2）向 </w:t>
      </w:r>
      <w:r>
        <w:rPr>
          <w:rFonts w:hint="eastAsia" w:ascii="宋体" w:hAnsi="宋体" w:cs="宋体"/>
          <w:sz w:val="24"/>
          <w:u w:val="single"/>
        </w:rPr>
        <w:t xml:space="preserve"> 工程所在地 </w:t>
      </w:r>
      <w:r>
        <w:rPr>
          <w:rFonts w:hint="eastAsia" w:ascii="宋体" w:hAnsi="宋体" w:cs="宋体"/>
          <w:sz w:val="24"/>
        </w:rPr>
        <w:t>人民法院起诉。</w:t>
      </w:r>
    </w:p>
    <w:p w14:paraId="613B5DA4">
      <w:pPr>
        <w:spacing w:line="360" w:lineRule="auto"/>
        <w:ind w:firstLine="472" w:firstLineChars="196"/>
        <w:rPr>
          <w:rFonts w:ascii="宋体" w:hAnsi="宋体" w:cs="宋体"/>
          <w:b/>
          <w:sz w:val="24"/>
        </w:rPr>
      </w:pPr>
      <w:r>
        <w:rPr>
          <w:rFonts w:hint="eastAsia" w:ascii="宋体" w:hAnsi="宋体" w:cs="宋体"/>
          <w:b/>
          <w:sz w:val="24"/>
        </w:rPr>
        <w:t>21其他补充约定</w:t>
      </w:r>
    </w:p>
    <w:p w14:paraId="6B80340E">
      <w:pPr>
        <w:snapToGrid w:val="0"/>
        <w:spacing w:line="360" w:lineRule="auto"/>
        <w:ind w:firstLine="480" w:firstLineChars="200"/>
        <w:rPr>
          <w:rFonts w:ascii="宋体" w:hAnsi="宋体" w:cs="宋体"/>
          <w:sz w:val="24"/>
          <w:u w:val="single"/>
        </w:rPr>
      </w:pPr>
      <w:r>
        <w:rPr>
          <w:rFonts w:hint="eastAsia" w:ascii="宋体" w:hAnsi="宋体" w:cs="宋体"/>
          <w:sz w:val="24"/>
          <w:u w:val="single"/>
        </w:rPr>
        <w:t>21.1承包人未按合同约定履行义务，造成工程质量低下、进度迟缓、延迟开工15天以上、管理混乱，发包人有权终止合同，没收全部履约担保，承包人应赔偿发包人因此造成的一切经济损失、依法承担相应的法律责任。</w:t>
      </w:r>
    </w:p>
    <w:p w14:paraId="0DF04E62">
      <w:pPr>
        <w:snapToGrid w:val="0"/>
        <w:spacing w:line="360" w:lineRule="auto"/>
        <w:ind w:firstLine="480" w:firstLineChars="200"/>
        <w:rPr>
          <w:rFonts w:ascii="宋体" w:hAnsi="宋体" w:cs="宋体"/>
          <w:sz w:val="24"/>
          <w:u w:val="single"/>
        </w:rPr>
      </w:pPr>
      <w:r>
        <w:rPr>
          <w:rFonts w:hint="eastAsia" w:ascii="宋体" w:hAnsi="宋体" w:cs="宋体"/>
          <w:sz w:val="24"/>
          <w:u w:val="single"/>
        </w:rPr>
        <w:t>21.2工程的保管</w:t>
      </w:r>
    </w:p>
    <w:p w14:paraId="4F986DB0">
      <w:pPr>
        <w:snapToGrid w:val="0"/>
        <w:spacing w:line="360" w:lineRule="auto"/>
        <w:ind w:firstLine="480" w:firstLineChars="200"/>
        <w:rPr>
          <w:rFonts w:ascii="宋体" w:hAnsi="宋体" w:cs="宋体"/>
          <w:sz w:val="24"/>
          <w:u w:val="single"/>
        </w:rPr>
      </w:pPr>
      <w:r>
        <w:rPr>
          <w:rFonts w:hint="eastAsia" w:ascii="宋体" w:hAnsi="宋体" w:cs="宋体"/>
          <w:sz w:val="24"/>
          <w:u w:val="single"/>
        </w:rPr>
        <w:t>21.2.1开工日后，施工场地由承包人负责保管并负担保管费用。</w:t>
      </w:r>
    </w:p>
    <w:p w14:paraId="69D495C0">
      <w:pPr>
        <w:snapToGrid w:val="0"/>
        <w:spacing w:line="360" w:lineRule="auto"/>
        <w:ind w:firstLine="480" w:firstLineChars="200"/>
        <w:rPr>
          <w:rFonts w:ascii="宋体" w:hAnsi="宋体" w:cs="宋体"/>
          <w:sz w:val="24"/>
          <w:u w:val="single"/>
        </w:rPr>
      </w:pPr>
      <w:r>
        <w:rPr>
          <w:rFonts w:hint="eastAsia" w:ascii="宋体" w:hAnsi="宋体" w:cs="宋体"/>
          <w:sz w:val="24"/>
          <w:u w:val="single"/>
        </w:rPr>
        <w:t>21.2.2施工期间，承包人实施的在建工程，承包人采购的物资、使用的设备，以及发包人采购但已经交付给承包人的物资、设备，由承包人负责保管并负担保管费用。</w:t>
      </w:r>
    </w:p>
    <w:p w14:paraId="2630D100">
      <w:pPr>
        <w:snapToGrid w:val="0"/>
        <w:spacing w:line="360" w:lineRule="auto"/>
        <w:ind w:firstLine="480" w:firstLineChars="200"/>
        <w:rPr>
          <w:rFonts w:ascii="宋体" w:hAnsi="宋体" w:cs="宋体"/>
          <w:sz w:val="24"/>
          <w:u w:val="single"/>
        </w:rPr>
      </w:pPr>
      <w:r>
        <w:rPr>
          <w:rFonts w:hint="eastAsia" w:ascii="宋体" w:hAnsi="宋体" w:cs="宋体"/>
          <w:sz w:val="24"/>
          <w:u w:val="single"/>
        </w:rPr>
        <w:t>21.2.3竣工日后到依据专用条款确定的工程移交日前，竣工工程（包括附属设备、设施），由承包人负责保管并负担保管费用。</w:t>
      </w:r>
    </w:p>
    <w:p w14:paraId="357EC3D8">
      <w:pPr>
        <w:snapToGrid w:val="0"/>
        <w:spacing w:line="360" w:lineRule="auto"/>
        <w:ind w:firstLine="480" w:firstLineChars="200"/>
        <w:rPr>
          <w:rFonts w:ascii="宋体" w:hAnsi="宋体" w:cs="宋体"/>
          <w:sz w:val="24"/>
          <w:u w:val="single"/>
        </w:rPr>
      </w:pPr>
      <w:r>
        <w:rPr>
          <w:rFonts w:hint="eastAsia" w:ascii="宋体" w:hAnsi="宋体" w:cs="宋体"/>
          <w:sz w:val="24"/>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6CB03FC4">
      <w:pPr>
        <w:snapToGrid w:val="0"/>
        <w:spacing w:line="360" w:lineRule="auto"/>
        <w:ind w:firstLine="480" w:firstLineChars="200"/>
        <w:rPr>
          <w:rFonts w:ascii="宋体" w:hAnsi="宋体" w:cs="宋体"/>
          <w:sz w:val="24"/>
          <w:u w:val="single"/>
        </w:rPr>
      </w:pPr>
      <w:r>
        <w:rPr>
          <w:rFonts w:hint="eastAsia" w:ascii="宋体" w:hAnsi="宋体" w:cs="宋体"/>
          <w:sz w:val="24"/>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78FCC1F3">
      <w:pPr>
        <w:snapToGrid w:val="0"/>
        <w:spacing w:line="360" w:lineRule="auto"/>
        <w:ind w:firstLine="480" w:firstLineChars="200"/>
        <w:rPr>
          <w:rFonts w:ascii="宋体" w:hAnsi="宋体" w:cs="宋体"/>
          <w:sz w:val="24"/>
          <w:u w:val="single"/>
        </w:rPr>
      </w:pPr>
      <w:r>
        <w:rPr>
          <w:rFonts w:hint="eastAsia" w:ascii="宋体" w:hAnsi="宋体" w:cs="宋体"/>
          <w:sz w:val="24"/>
          <w:u w:val="single"/>
        </w:rPr>
        <w:t>21.3合格工程的移交</w:t>
      </w:r>
    </w:p>
    <w:p w14:paraId="738C7B7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4BEA50A5">
      <w:pPr>
        <w:snapToGrid w:val="0"/>
        <w:spacing w:line="360" w:lineRule="auto"/>
        <w:ind w:firstLine="480" w:firstLineChars="200"/>
        <w:rPr>
          <w:rFonts w:ascii="宋体" w:hAnsi="宋体" w:cs="宋体"/>
          <w:sz w:val="24"/>
          <w:u w:val="single"/>
        </w:rPr>
      </w:pPr>
      <w:r>
        <w:rPr>
          <w:rFonts w:hint="eastAsia" w:ascii="宋体" w:hAnsi="宋体" w:cs="宋体"/>
          <w:sz w:val="24"/>
          <w:u w:val="single"/>
        </w:rPr>
        <w:t>21.3.2承包人应当向发包人实施工程移交的内容包括但不限于：</w:t>
      </w:r>
    </w:p>
    <w:p w14:paraId="4793477E">
      <w:pPr>
        <w:snapToGrid w:val="0"/>
        <w:spacing w:line="360" w:lineRule="auto"/>
        <w:ind w:firstLine="480" w:firstLineChars="200"/>
        <w:rPr>
          <w:rFonts w:ascii="宋体" w:hAnsi="宋体" w:cs="宋体"/>
          <w:sz w:val="24"/>
          <w:u w:val="single"/>
        </w:rPr>
      </w:pPr>
      <w:r>
        <w:rPr>
          <w:rFonts w:hint="eastAsia" w:ascii="宋体" w:hAnsi="宋体" w:cs="宋体"/>
          <w:sz w:val="24"/>
          <w:u w:val="single"/>
        </w:rPr>
        <w:t>①承包人实施承包的全部工程；</w:t>
      </w:r>
    </w:p>
    <w:p w14:paraId="346554B5">
      <w:pPr>
        <w:snapToGrid w:val="0"/>
        <w:spacing w:line="360" w:lineRule="auto"/>
        <w:ind w:firstLine="480" w:firstLineChars="200"/>
        <w:rPr>
          <w:rFonts w:ascii="宋体" w:hAnsi="宋体" w:cs="宋体"/>
          <w:sz w:val="24"/>
          <w:u w:val="single"/>
        </w:rPr>
      </w:pPr>
      <w:r>
        <w:rPr>
          <w:rFonts w:hint="eastAsia" w:ascii="宋体" w:hAnsi="宋体" w:cs="宋体"/>
          <w:sz w:val="24"/>
          <w:u w:val="single"/>
        </w:rPr>
        <w:t>②工程的全部附属设施、设备；</w:t>
      </w:r>
    </w:p>
    <w:p w14:paraId="0EDA68E6">
      <w:pPr>
        <w:snapToGrid w:val="0"/>
        <w:spacing w:line="360" w:lineRule="auto"/>
        <w:ind w:firstLine="480" w:firstLineChars="200"/>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③工程竣工资料原件（包括但不限于：工程施工资料，工程质量保证资料，工程检验评定资料，规定的其他应交资料、附属设施以及设备的使用说明书、质量保证书、维修卡等）；</w:t>
      </w:r>
    </w:p>
    <w:p w14:paraId="087C2CEC">
      <w:pPr>
        <w:snapToGrid w:val="0"/>
        <w:spacing w:line="360" w:lineRule="auto"/>
        <w:ind w:firstLine="480" w:firstLineChars="200"/>
        <w:rPr>
          <w:rFonts w:ascii="宋体" w:hAnsi="宋体" w:cs="宋体"/>
          <w:sz w:val="24"/>
          <w:u w:val="single"/>
        </w:rPr>
      </w:pPr>
      <w:r>
        <w:rPr>
          <w:rFonts w:hint="eastAsia" w:ascii="宋体" w:hAnsi="宋体" w:cs="宋体"/>
          <w:sz w:val="24"/>
          <w:u w:val="single"/>
        </w:rPr>
        <w:t>④其他属于承包人移交义务的工程、设施、设备、文件资料。</w:t>
      </w:r>
    </w:p>
    <w:p w14:paraId="4E8F2BD2">
      <w:pPr>
        <w:snapToGrid w:val="0"/>
        <w:spacing w:line="360" w:lineRule="auto"/>
        <w:ind w:firstLine="480" w:firstLineChars="200"/>
        <w:rPr>
          <w:rFonts w:ascii="宋体" w:hAnsi="宋体" w:cs="宋体"/>
          <w:sz w:val="24"/>
          <w:u w:val="single"/>
        </w:rPr>
      </w:pPr>
      <w:r>
        <w:rPr>
          <w:rFonts w:hint="eastAsia" w:ascii="宋体" w:hAnsi="宋体" w:cs="宋体"/>
          <w:sz w:val="24"/>
          <w:u w:val="single"/>
        </w:rPr>
        <w:t>21.4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2F55902C">
      <w:pPr>
        <w:snapToGrid w:val="0"/>
        <w:spacing w:line="360" w:lineRule="auto"/>
        <w:ind w:firstLine="480" w:firstLineChars="200"/>
        <w:rPr>
          <w:rFonts w:ascii="宋体" w:hAnsi="宋体" w:cs="宋体"/>
          <w:sz w:val="24"/>
          <w:u w:val="single"/>
        </w:rPr>
      </w:pPr>
      <w:r>
        <w:rPr>
          <w:rFonts w:hint="eastAsia" w:ascii="宋体" w:hAnsi="宋体" w:cs="宋体"/>
          <w:sz w:val="24"/>
          <w:u w:val="single"/>
        </w:rPr>
        <w:t>21.5发包人保留在签约后调整部分承包范围的权利，直至某些项目的取消，合同价做相应调整，承包人不得因此原因进行索赔。</w:t>
      </w:r>
    </w:p>
    <w:p w14:paraId="716AD674">
      <w:pPr>
        <w:snapToGrid w:val="0"/>
        <w:spacing w:line="360" w:lineRule="auto"/>
        <w:ind w:firstLine="480" w:firstLineChars="200"/>
        <w:rPr>
          <w:rFonts w:ascii="宋体" w:hAnsi="宋体" w:cs="宋体"/>
          <w:sz w:val="24"/>
          <w:u w:val="single"/>
        </w:rPr>
      </w:pPr>
      <w:r>
        <w:rPr>
          <w:rFonts w:hint="eastAsia" w:ascii="宋体" w:hAnsi="宋体" w:cs="宋体"/>
          <w:sz w:val="24"/>
          <w:u w:val="single"/>
        </w:rPr>
        <w:t>21.6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30D481E6">
      <w:pPr>
        <w:snapToGrid w:val="0"/>
        <w:spacing w:line="360" w:lineRule="auto"/>
        <w:ind w:firstLine="480" w:firstLineChars="200"/>
        <w:rPr>
          <w:rFonts w:ascii="宋体" w:hAnsi="宋体" w:cs="宋体"/>
          <w:sz w:val="24"/>
          <w:u w:val="single"/>
        </w:rPr>
      </w:pPr>
      <w:r>
        <w:rPr>
          <w:rFonts w:hint="eastAsia" w:ascii="宋体" w:hAnsi="宋体" w:cs="宋体"/>
          <w:sz w:val="24"/>
          <w:u w:val="single"/>
        </w:rPr>
        <w:t>21.7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67FA8B08">
      <w:pPr>
        <w:spacing w:line="360" w:lineRule="auto"/>
        <w:ind w:firstLine="480" w:firstLineChars="200"/>
        <w:rPr>
          <w:rFonts w:ascii="宋体" w:hAnsi="宋体" w:cs="宋体"/>
          <w:sz w:val="24"/>
          <w:u w:val="single"/>
        </w:rPr>
      </w:pPr>
      <w:r>
        <w:rPr>
          <w:rFonts w:hint="eastAsia" w:ascii="宋体" w:hAnsi="宋体" w:cs="宋体"/>
          <w:sz w:val="24"/>
          <w:u w:val="single"/>
        </w:rPr>
        <w:t>21.8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5F459E08">
      <w:pPr>
        <w:snapToGrid w:val="0"/>
        <w:spacing w:line="360" w:lineRule="auto"/>
        <w:ind w:firstLine="482" w:firstLineChars="200"/>
        <w:rPr>
          <w:rFonts w:ascii="宋体" w:hAnsi="宋体" w:cs="宋体"/>
          <w:sz w:val="24"/>
          <w:u w:val="single"/>
        </w:rPr>
      </w:pPr>
      <w:r>
        <w:rPr>
          <w:rFonts w:hint="eastAsia" w:ascii="宋体" w:hAnsi="宋体" w:cs="宋体"/>
          <w:b/>
          <w:bCs/>
          <w:kern w:val="44"/>
          <w:sz w:val="24"/>
          <w:u w:val="single"/>
        </w:rPr>
        <w:t>21.9承包人应无条件配合发包人甲供材料的现场施工，相关措施费计入报价中，不得因此增加合同费用，也不得再向甲供材料的供应商收取配合费。</w:t>
      </w:r>
    </w:p>
    <w:p w14:paraId="78E097F7">
      <w:pPr>
        <w:snapToGrid w:val="0"/>
        <w:spacing w:line="360" w:lineRule="auto"/>
        <w:ind w:firstLine="480" w:firstLineChars="200"/>
        <w:rPr>
          <w:rFonts w:ascii="宋体" w:hAnsi="宋体" w:cs="宋体"/>
          <w:sz w:val="24"/>
        </w:rPr>
      </w:pPr>
      <w:bookmarkStart w:id="496" w:name="_Hlk74986491"/>
      <w:r>
        <w:rPr>
          <w:rFonts w:hint="eastAsia" w:ascii="宋体" w:hAnsi="宋体" w:cs="宋体"/>
          <w:sz w:val="24"/>
          <w:u w:val="single"/>
        </w:rPr>
        <w:t>21.10发包人签发</w:t>
      </w:r>
      <w:bookmarkEnd w:id="496"/>
      <w:r>
        <w:rPr>
          <w:rFonts w:hint="eastAsia" w:ascii="宋体" w:hAnsi="宋体" w:cs="宋体"/>
          <w:sz w:val="24"/>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38B6A1E7">
      <w:pPr>
        <w:spacing w:line="360" w:lineRule="auto"/>
        <w:rPr>
          <w:rFonts w:ascii="宋体" w:hAnsi="宋体" w:cs="宋体"/>
          <w:b/>
          <w:sz w:val="24"/>
        </w:rPr>
      </w:pPr>
      <w:r>
        <w:rPr>
          <w:rFonts w:hint="eastAsia" w:ascii="宋体" w:hAnsi="宋体" w:cs="宋体"/>
          <w:b/>
          <w:sz w:val="24"/>
        </w:rPr>
        <w:t>附件</w:t>
      </w:r>
    </w:p>
    <w:p w14:paraId="76C26CE6">
      <w:pPr>
        <w:spacing w:line="360" w:lineRule="auto"/>
        <w:rPr>
          <w:rFonts w:ascii="宋体" w:hAnsi="宋体" w:cs="宋体"/>
          <w:sz w:val="24"/>
        </w:rPr>
      </w:pPr>
      <w:r>
        <w:rPr>
          <w:rFonts w:hint="eastAsia" w:ascii="宋体" w:hAnsi="宋体" w:cs="宋体"/>
          <w:sz w:val="24"/>
        </w:rPr>
        <w:t>附件1：工程质量保修书</w:t>
      </w:r>
    </w:p>
    <w:p w14:paraId="3A52EAFF">
      <w:pPr>
        <w:spacing w:line="360" w:lineRule="auto"/>
        <w:rPr>
          <w:rFonts w:ascii="宋体" w:hAnsi="宋体" w:cs="宋体"/>
          <w:sz w:val="24"/>
        </w:rPr>
      </w:pPr>
      <w:r>
        <w:rPr>
          <w:rFonts w:hint="eastAsia" w:ascii="宋体" w:hAnsi="宋体" w:cs="宋体"/>
          <w:sz w:val="24"/>
        </w:rPr>
        <w:t>附件2：廉政建设合同</w:t>
      </w:r>
    </w:p>
    <w:p w14:paraId="0401DCC9">
      <w:pPr>
        <w:spacing w:line="360" w:lineRule="auto"/>
        <w:rPr>
          <w:rFonts w:ascii="宋体" w:hAnsi="宋体" w:cs="宋体"/>
          <w:sz w:val="24"/>
        </w:rPr>
      </w:pPr>
      <w:r>
        <w:rPr>
          <w:rFonts w:hint="eastAsia" w:ascii="宋体" w:hAnsi="宋体" w:cs="宋体"/>
          <w:sz w:val="24"/>
        </w:rPr>
        <w:t>附件3：安全生产合同</w:t>
      </w:r>
    </w:p>
    <w:p w14:paraId="483650F5">
      <w:pPr>
        <w:spacing w:line="360" w:lineRule="auto"/>
        <w:rPr>
          <w:rFonts w:ascii="宋体" w:hAnsi="宋体" w:cs="宋体"/>
          <w:sz w:val="24"/>
        </w:rPr>
      </w:pPr>
      <w:r>
        <w:rPr>
          <w:rFonts w:hint="eastAsia" w:ascii="宋体" w:hAnsi="宋体" w:cs="宋体"/>
          <w:sz w:val="24"/>
        </w:rPr>
        <w:t>附件4：主要材料（设备）清单</w:t>
      </w:r>
    </w:p>
    <w:p w14:paraId="174EA5C3">
      <w:pPr>
        <w:spacing w:line="360" w:lineRule="auto"/>
        <w:rPr>
          <w:rFonts w:ascii="宋体" w:hAnsi="宋体" w:cs="宋体"/>
          <w:sz w:val="24"/>
        </w:rPr>
      </w:pPr>
      <w:r>
        <w:rPr>
          <w:rFonts w:hint="eastAsia" w:ascii="宋体" w:hAnsi="宋体" w:cs="宋体"/>
          <w:sz w:val="24"/>
        </w:rPr>
        <w:t>附件5：营业执照和相关资质</w:t>
      </w:r>
    </w:p>
    <w:p w14:paraId="41983764">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1E53A4C2">
      <w:pPr>
        <w:spacing w:line="360" w:lineRule="auto"/>
        <w:jc w:val="center"/>
        <w:rPr>
          <w:rFonts w:ascii="宋体" w:hAnsi="宋体" w:cs="宋体"/>
          <w:sz w:val="24"/>
        </w:rPr>
      </w:pPr>
      <w:r>
        <w:rPr>
          <w:rFonts w:hint="eastAsia" w:ascii="宋体" w:hAnsi="宋体" w:cs="宋体"/>
          <w:sz w:val="24"/>
        </w:rPr>
        <w:t>工程质量保修书</w:t>
      </w:r>
    </w:p>
    <w:p w14:paraId="58211812">
      <w:pPr>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浙江中医药大学                    </w:t>
      </w:r>
    </w:p>
    <w:p w14:paraId="4AEC0539">
      <w:pPr>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p>
    <w:p w14:paraId="06CF8F2D">
      <w:pPr>
        <w:spacing w:line="360" w:lineRule="auto"/>
        <w:rPr>
          <w:rFonts w:ascii="宋体" w:hAnsi="宋体" w:cs="宋体"/>
          <w:sz w:val="24"/>
        </w:rPr>
      </w:pPr>
    </w:p>
    <w:p w14:paraId="34F21188">
      <w:pPr>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bCs/>
          <w:sz w:val="24"/>
          <w:u w:val="single"/>
        </w:rPr>
        <w:t>浙江中医药大学富春校区北区食堂智慧化建设工程</w:t>
      </w:r>
      <w:r>
        <w:rPr>
          <w:rFonts w:hint="eastAsia" w:ascii="宋体" w:hAnsi="宋体" w:cs="宋体"/>
          <w:sz w:val="24"/>
        </w:rPr>
        <w:t>（工程全称）</w:t>
      </w:r>
      <w:r>
        <w:rPr>
          <w:rFonts w:hint="eastAsia" w:ascii="宋体" w:hAnsi="宋体" w:cs="宋体"/>
          <w:sz w:val="24"/>
          <w:u w:val="single"/>
        </w:rPr>
        <w:t xml:space="preserve">           </w:t>
      </w:r>
      <w:r>
        <w:rPr>
          <w:rFonts w:hint="eastAsia" w:ascii="宋体" w:hAnsi="宋体" w:cs="宋体"/>
          <w:sz w:val="24"/>
        </w:rPr>
        <w:t>签订工程质量保修书。</w:t>
      </w:r>
    </w:p>
    <w:p w14:paraId="06BB2491">
      <w:pPr>
        <w:spacing w:line="360" w:lineRule="auto"/>
        <w:rPr>
          <w:rFonts w:ascii="宋体" w:hAnsi="宋体" w:cs="宋体"/>
          <w:sz w:val="24"/>
        </w:rPr>
      </w:pPr>
      <w:r>
        <w:rPr>
          <w:rFonts w:hint="eastAsia" w:ascii="宋体" w:hAnsi="宋体" w:cs="宋体"/>
          <w:sz w:val="24"/>
        </w:rPr>
        <w:t>　　一、工程质量保修范围和内容</w:t>
      </w:r>
    </w:p>
    <w:p w14:paraId="275D6C81">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14:paraId="2C4F8F0D">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合同范围内所有工作内容   </w:t>
      </w:r>
      <w:r>
        <w:rPr>
          <w:rFonts w:hint="eastAsia" w:ascii="宋体" w:hAnsi="宋体" w:cs="宋体"/>
          <w:sz w:val="24"/>
        </w:rPr>
        <w:t>。</w:t>
      </w:r>
    </w:p>
    <w:p w14:paraId="6E195A46">
      <w:pPr>
        <w:spacing w:line="360" w:lineRule="auto"/>
        <w:rPr>
          <w:rFonts w:ascii="宋体" w:hAnsi="宋体" w:cs="宋体"/>
          <w:sz w:val="24"/>
        </w:rPr>
      </w:pPr>
      <w:r>
        <w:rPr>
          <w:rFonts w:hint="eastAsia" w:ascii="宋体" w:hAnsi="宋体" w:cs="宋体"/>
          <w:b/>
          <w:sz w:val="24"/>
        </w:rPr>
        <w:t>　　</w:t>
      </w:r>
      <w:r>
        <w:rPr>
          <w:rFonts w:hint="eastAsia" w:ascii="宋体" w:hAnsi="宋体" w:cs="宋体"/>
          <w:sz w:val="24"/>
        </w:rPr>
        <w:t>二、质量保修期</w:t>
      </w:r>
    </w:p>
    <w:p w14:paraId="48A902B7">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14:paraId="402E86DD">
      <w:pPr>
        <w:spacing w:line="36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14:paraId="156B1E4C">
      <w:pPr>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2．屋面防水工程、有防水要求的卫生间、房间和外墙面的防渗漏为</w:t>
      </w:r>
      <w:r>
        <w:rPr>
          <w:rFonts w:hint="eastAsia" w:ascii="宋体" w:hAnsi="宋体" w:cs="宋体"/>
          <w:sz w:val="24"/>
          <w:u w:val="single"/>
        </w:rPr>
        <w:t xml:space="preserve">  /  </w:t>
      </w:r>
      <w:r>
        <w:rPr>
          <w:rFonts w:hint="eastAsia" w:ascii="宋体" w:hAnsi="宋体" w:cs="宋体"/>
          <w:sz w:val="24"/>
        </w:rPr>
        <w:t>年；</w:t>
      </w:r>
    </w:p>
    <w:p w14:paraId="66029704">
      <w:pPr>
        <w:spacing w:line="360" w:lineRule="auto"/>
        <w:ind w:firstLine="480"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   </w:t>
      </w:r>
      <w:r>
        <w:rPr>
          <w:rFonts w:hint="eastAsia" w:ascii="宋体" w:hAnsi="宋体" w:cs="宋体"/>
          <w:sz w:val="24"/>
        </w:rPr>
        <w:t>年；</w:t>
      </w:r>
    </w:p>
    <w:p w14:paraId="65C3FAB2">
      <w:pPr>
        <w:spacing w:line="360" w:lineRule="auto"/>
        <w:ind w:firstLine="480"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   </w:t>
      </w:r>
      <w:r>
        <w:rPr>
          <w:rFonts w:hint="eastAsia" w:ascii="宋体" w:hAnsi="宋体" w:cs="宋体"/>
          <w:sz w:val="24"/>
        </w:rPr>
        <w:t>年；</w:t>
      </w:r>
    </w:p>
    <w:p w14:paraId="68536308">
      <w:pPr>
        <w:spacing w:line="360" w:lineRule="auto"/>
        <w:ind w:firstLine="480"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  </w:t>
      </w:r>
      <w:r>
        <w:rPr>
          <w:rFonts w:hint="eastAsia" w:ascii="宋体" w:hAnsi="宋体" w:cs="宋体"/>
          <w:sz w:val="24"/>
        </w:rPr>
        <w:t>个采暖期、供冷期；</w:t>
      </w:r>
    </w:p>
    <w:p w14:paraId="0C69B931">
      <w:pPr>
        <w:spacing w:line="360" w:lineRule="auto"/>
        <w:ind w:firstLine="480"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   </w:t>
      </w:r>
      <w:r>
        <w:rPr>
          <w:rFonts w:hint="eastAsia" w:ascii="宋体" w:hAnsi="宋体" w:cs="宋体"/>
          <w:sz w:val="24"/>
        </w:rPr>
        <w:t>年；</w:t>
      </w:r>
    </w:p>
    <w:p w14:paraId="7A44EB93">
      <w:pPr>
        <w:spacing w:line="360" w:lineRule="auto"/>
        <w:ind w:firstLine="480" w:firstLineChars="200"/>
        <w:rPr>
          <w:rFonts w:ascii="宋体" w:hAnsi="宋体" w:cs="宋体"/>
          <w:sz w:val="24"/>
          <w:u w:val="single"/>
        </w:rPr>
      </w:pPr>
      <w:r>
        <w:rPr>
          <w:rFonts w:hint="eastAsia" w:ascii="宋体" w:hAnsi="宋体" w:cs="宋体"/>
          <w:sz w:val="24"/>
        </w:rPr>
        <w:t>7．</w:t>
      </w:r>
      <w:r>
        <w:rPr>
          <w:rFonts w:hint="eastAsia" w:ascii="宋体" w:hAnsi="宋体" w:cs="宋体"/>
          <w:sz w:val="24"/>
          <w:u w:val="single"/>
        </w:rPr>
        <w:t>本合同所有工程内容质保期   年，时间从本项目整体竣工验收合格并交付发包人使用之日起算</w:t>
      </w:r>
      <w:r>
        <w:rPr>
          <w:rFonts w:hint="eastAsia" w:ascii="宋体" w:hAnsi="宋体" w:cs="宋体"/>
          <w:sz w:val="24"/>
        </w:rPr>
        <w:t>；</w:t>
      </w:r>
    </w:p>
    <w:p w14:paraId="066C77A2">
      <w:pPr>
        <w:spacing w:line="360" w:lineRule="auto"/>
        <w:rPr>
          <w:rFonts w:ascii="宋体" w:hAnsi="宋体" w:cs="宋体"/>
          <w:sz w:val="24"/>
        </w:rPr>
      </w:pPr>
      <w:r>
        <w:rPr>
          <w:rFonts w:hint="eastAsia" w:ascii="宋体" w:hAnsi="宋体" w:cs="宋体"/>
          <w:sz w:val="24"/>
        </w:rPr>
        <w:t>　　质量保修期自工程竣工验收合格之日起计算。</w:t>
      </w:r>
    </w:p>
    <w:p w14:paraId="462B6D71">
      <w:pPr>
        <w:spacing w:line="360" w:lineRule="auto"/>
        <w:ind w:firstLine="480" w:firstLineChars="200"/>
        <w:rPr>
          <w:rFonts w:ascii="宋体" w:hAnsi="宋体" w:cs="宋体"/>
          <w:sz w:val="24"/>
        </w:rPr>
      </w:pPr>
      <w:r>
        <w:rPr>
          <w:rFonts w:hint="eastAsia" w:ascii="宋体" w:hAnsi="宋体" w:cs="宋体"/>
          <w:sz w:val="24"/>
        </w:rPr>
        <w:t>三、缺陷责任期</w:t>
      </w:r>
    </w:p>
    <w:p w14:paraId="0141FD83">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个月，缺陷责任期自工程通过竣工验收之日起计算。单位工程先于全部工程进行验收，单位工程缺陷责任期自单位工程验收合格之日起算。</w:t>
      </w:r>
    </w:p>
    <w:p w14:paraId="538B7B56">
      <w:pPr>
        <w:snapToGrid w:val="0"/>
        <w:spacing w:line="360" w:lineRule="auto"/>
        <w:ind w:firstLine="480" w:firstLineChars="200"/>
        <w:rPr>
          <w:rFonts w:ascii="宋体" w:hAnsi="宋体" w:cs="宋体"/>
          <w:sz w:val="24"/>
        </w:rPr>
      </w:pPr>
      <w:r>
        <w:rPr>
          <w:rFonts w:hint="eastAsia" w:ascii="宋体" w:hAnsi="宋体" w:cs="宋体"/>
          <w:sz w:val="24"/>
        </w:rPr>
        <w:t>缺陷责任期终止后，发包人退还的质量保证金。</w:t>
      </w:r>
    </w:p>
    <w:p w14:paraId="633DF253">
      <w:pPr>
        <w:spacing w:line="360" w:lineRule="auto"/>
        <w:rPr>
          <w:rFonts w:ascii="宋体" w:hAnsi="宋体" w:cs="宋体"/>
          <w:sz w:val="24"/>
        </w:rPr>
      </w:pPr>
      <w:r>
        <w:rPr>
          <w:rFonts w:hint="eastAsia" w:ascii="宋体" w:hAnsi="宋体" w:cs="宋体"/>
          <w:sz w:val="24"/>
        </w:rPr>
        <w:t xml:space="preserve">    四、质量保修责任</w:t>
      </w:r>
    </w:p>
    <w:p w14:paraId="04EEEDFA">
      <w:pPr>
        <w:spacing w:line="360" w:lineRule="auto"/>
        <w:ind w:left="105" w:leftChars="50" w:firstLine="489" w:firstLineChars="204"/>
        <w:rPr>
          <w:rFonts w:ascii="宋体" w:hAnsi="宋体" w:cs="宋体"/>
          <w:sz w:val="24"/>
        </w:rPr>
      </w:pPr>
      <w:r>
        <w:rPr>
          <w:rFonts w:hint="eastAsia" w:ascii="宋体" w:hAnsi="宋体" w:cs="宋体"/>
          <w:sz w:val="24"/>
        </w:rPr>
        <w:t>1．质保期内属于保修范围、内容的项目，承包人应当在接到保修通知之日起24小时内派人维修，紧急情况下2小时内派人维修。承包人不在约定期限内派人保修的，发包人可以委托他人修理。</w:t>
      </w:r>
    </w:p>
    <w:p w14:paraId="62FAB524">
      <w:pPr>
        <w:spacing w:line="360" w:lineRule="auto"/>
        <w:ind w:left="105" w:leftChars="50" w:firstLine="489" w:firstLineChars="204"/>
        <w:rPr>
          <w:rFonts w:ascii="宋体" w:hAnsi="宋体" w:cs="宋体"/>
          <w:sz w:val="24"/>
        </w:rPr>
      </w:pPr>
      <w:r>
        <w:rPr>
          <w:rFonts w:hint="eastAsia" w:ascii="宋体" w:hAnsi="宋体" w:cs="宋体"/>
          <w:sz w:val="24"/>
        </w:rPr>
        <w:t>2．发生紧急事故需抢修的，承包人在接到事故通知后，应当立即到达事故现场抢修。</w:t>
      </w:r>
    </w:p>
    <w:p w14:paraId="4C6EB4A0">
      <w:pPr>
        <w:spacing w:line="360" w:lineRule="auto"/>
        <w:ind w:left="105" w:leftChars="50" w:firstLine="489" w:firstLineChars="204"/>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4F0956A0">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14:paraId="0987E4DA">
      <w:pPr>
        <w:spacing w:line="360" w:lineRule="auto"/>
        <w:rPr>
          <w:rFonts w:ascii="宋体" w:hAnsi="宋体" w:cs="宋体"/>
          <w:sz w:val="24"/>
        </w:rPr>
      </w:pPr>
      <w:r>
        <w:rPr>
          <w:rFonts w:hint="eastAsia" w:ascii="宋体" w:hAnsi="宋体" w:cs="宋体"/>
          <w:sz w:val="24"/>
        </w:rPr>
        <w:t>　　 五、保修费用</w:t>
      </w:r>
    </w:p>
    <w:p w14:paraId="60F75DDA">
      <w:pPr>
        <w:spacing w:line="360" w:lineRule="auto"/>
        <w:rPr>
          <w:rFonts w:ascii="宋体" w:hAnsi="宋体" w:cs="宋体"/>
          <w:sz w:val="24"/>
        </w:rPr>
      </w:pPr>
      <w:r>
        <w:rPr>
          <w:rFonts w:hint="eastAsia" w:ascii="宋体" w:hAnsi="宋体" w:cs="宋体"/>
          <w:sz w:val="24"/>
        </w:rPr>
        <w:t>　　 保修费用由造成质量缺陷的责任方承担。</w:t>
      </w:r>
    </w:p>
    <w:p w14:paraId="49B49956">
      <w:pPr>
        <w:spacing w:line="360" w:lineRule="auto"/>
        <w:rPr>
          <w:rFonts w:ascii="宋体" w:hAnsi="宋体" w:cs="宋体"/>
          <w:sz w:val="24"/>
          <w:u w:val="single"/>
        </w:rPr>
      </w:pPr>
      <w:r>
        <w:rPr>
          <w:rFonts w:hint="eastAsia" w:ascii="宋体" w:hAnsi="宋体" w:cs="宋体"/>
          <w:b/>
          <w:sz w:val="24"/>
        </w:rPr>
        <w:t xml:space="preserve">   </w:t>
      </w:r>
      <w:r>
        <w:rPr>
          <w:rFonts w:hint="eastAsia" w:ascii="宋体" w:hAnsi="宋体" w:cs="宋体"/>
          <w:sz w:val="24"/>
        </w:rPr>
        <w:t xml:space="preserve">  六、双方约定的其他工程质量保修事项：</w:t>
      </w:r>
    </w:p>
    <w:p w14:paraId="0B3DC80C">
      <w:pPr>
        <w:spacing w:line="360" w:lineRule="auto"/>
        <w:ind w:firstLine="576" w:firstLineChars="24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5CBC465F">
      <w:pPr>
        <w:spacing w:line="360" w:lineRule="auto"/>
        <w:ind w:firstLine="420"/>
        <w:rPr>
          <w:rFonts w:ascii="宋体" w:hAnsi="宋体" w:cs="宋体"/>
          <w:sz w:val="24"/>
        </w:rPr>
      </w:pPr>
      <w:r>
        <w:rPr>
          <w:rFonts w:hint="eastAsia" w:ascii="宋体" w:hAnsi="宋体" w:cs="宋体"/>
          <w:sz w:val="24"/>
        </w:rPr>
        <w:t xml:space="preserve"> </w:t>
      </w:r>
    </w:p>
    <w:p w14:paraId="0FF62A14">
      <w:pPr>
        <w:spacing w:line="360" w:lineRule="auto"/>
        <w:ind w:firstLine="480" w:firstLineChars="200"/>
        <w:rPr>
          <w:rFonts w:ascii="宋体" w:hAnsi="宋体" w:cs="宋体"/>
          <w:sz w:val="24"/>
          <w:u w:val="single"/>
        </w:rPr>
      </w:pPr>
      <w:r>
        <w:rPr>
          <w:rFonts w:hint="eastAsia" w:ascii="宋体" w:hAnsi="宋体" w:cs="宋体"/>
          <w:sz w:val="24"/>
        </w:rPr>
        <w:t>发包人(公章)：</w:t>
      </w:r>
      <w:r>
        <w:rPr>
          <w:rFonts w:hint="eastAsia" w:ascii="宋体" w:hAnsi="宋体" w:cs="宋体"/>
          <w:sz w:val="24"/>
          <w:u w:val="single"/>
        </w:rPr>
        <w:t xml:space="preserve"> 浙江中医药大学    </w:t>
      </w:r>
      <w:r>
        <w:rPr>
          <w:rFonts w:hint="eastAsia" w:ascii="宋体" w:hAnsi="宋体" w:cs="宋体"/>
          <w:sz w:val="24"/>
        </w:rPr>
        <w:t xml:space="preserve">     承包人(公章)：</w:t>
      </w:r>
      <w:r>
        <w:rPr>
          <w:rFonts w:hint="eastAsia" w:ascii="宋体" w:hAnsi="宋体" w:cs="宋体"/>
          <w:sz w:val="24"/>
          <w:u w:val="single"/>
        </w:rPr>
        <w:t xml:space="preserve">                     </w:t>
      </w:r>
    </w:p>
    <w:p w14:paraId="380B64A1">
      <w:pPr>
        <w:spacing w:line="360" w:lineRule="auto"/>
        <w:ind w:left="6420" w:leftChars="200" w:right="-624" w:rightChars="-297" w:hanging="6000" w:hangingChars="2500"/>
        <w:rPr>
          <w:rFonts w:ascii="宋体" w:hAnsi="宋体" w:cs="宋体"/>
          <w:sz w:val="24"/>
        </w:rPr>
      </w:pPr>
      <w:r>
        <w:rPr>
          <w:rFonts w:hint="eastAsia" w:ascii="宋体" w:hAnsi="宋体" w:cs="宋体"/>
          <w:sz w:val="24"/>
        </w:rPr>
        <w:t>地  址：</w:t>
      </w:r>
      <w:r>
        <w:rPr>
          <w:rFonts w:hint="eastAsia" w:ascii="宋体" w:hAnsi="宋体" w:cs="宋体"/>
          <w:sz w:val="24"/>
          <w:u w:val="single"/>
        </w:rPr>
        <w:t>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p w14:paraId="25DF379E">
      <w:pPr>
        <w:spacing w:line="360" w:lineRule="auto"/>
        <w:ind w:firstLine="480" w:firstLineChars="200"/>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3402F631">
      <w:pPr>
        <w:spacing w:line="360" w:lineRule="auto"/>
        <w:ind w:firstLine="480" w:firstLineChars="200"/>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14:paraId="1BD77C0C">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14:paraId="69A43C46">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14:paraId="750FFD93">
      <w:pPr>
        <w:spacing w:line="360" w:lineRule="auto"/>
        <w:ind w:left="6660" w:leftChars="200" w:right="-624" w:rightChars="-297" w:hanging="6240" w:hangingChars="2600"/>
        <w:rPr>
          <w:rFonts w:ascii="宋体" w:hAnsi="宋体" w:cs="宋体"/>
          <w:sz w:val="24"/>
        </w:rPr>
      </w:pPr>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p>
    <w:p w14:paraId="3C87DE8D">
      <w:pPr>
        <w:spacing w:line="360" w:lineRule="auto"/>
        <w:ind w:right="-624" w:rightChars="-297"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 xml:space="preserve">                </w:t>
      </w:r>
      <w:r>
        <w:rPr>
          <w:rFonts w:hint="eastAsia" w:ascii="宋体" w:hAnsi="宋体" w:cs="宋体"/>
          <w:kern w:val="0"/>
          <w:sz w:val="24"/>
          <w:u w:val="single"/>
        </w:rPr>
        <w:t xml:space="preserve">    </w:t>
      </w:r>
    </w:p>
    <w:p w14:paraId="71F222B4">
      <w:pPr>
        <w:spacing w:line="360" w:lineRule="auto"/>
        <w:ind w:firstLine="480"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sz w:val="24"/>
          <w:u w:val="single"/>
        </w:rPr>
        <w:t xml:space="preserve">                         </w:t>
      </w:r>
    </w:p>
    <w:p w14:paraId="3CBD1CE6">
      <w:pPr>
        <w:spacing w:line="360" w:lineRule="auto"/>
        <w:rPr>
          <w:rFonts w:ascii="宋体" w:hAnsi="宋体" w:cs="宋体"/>
          <w:sz w:val="24"/>
        </w:rPr>
      </w:pPr>
      <w:r>
        <w:rPr>
          <w:rFonts w:hint="eastAsia" w:ascii="宋体" w:hAnsi="宋体" w:cs="宋体"/>
          <w:sz w:val="24"/>
        </w:rPr>
        <w:br w:type="page"/>
      </w:r>
      <w:bookmarkEnd w:id="455"/>
      <w:r>
        <w:rPr>
          <w:rFonts w:hint="eastAsia" w:ascii="宋体" w:hAnsi="宋体" w:cs="宋体"/>
          <w:sz w:val="24"/>
        </w:rPr>
        <w:t>附件2：</w:t>
      </w:r>
    </w:p>
    <w:p w14:paraId="2189595D">
      <w:pPr>
        <w:spacing w:line="360" w:lineRule="auto"/>
        <w:jc w:val="center"/>
        <w:rPr>
          <w:rFonts w:ascii="宋体" w:hAnsi="宋体" w:cs="宋体"/>
          <w:sz w:val="24"/>
        </w:rPr>
      </w:pPr>
      <w:r>
        <w:rPr>
          <w:rFonts w:hint="eastAsia" w:ascii="宋体" w:hAnsi="宋体" w:cs="宋体"/>
          <w:sz w:val="24"/>
        </w:rPr>
        <w:t>廉政建设合同</w:t>
      </w:r>
    </w:p>
    <w:p w14:paraId="60B22781">
      <w:pPr>
        <w:spacing w:line="360" w:lineRule="auto"/>
        <w:jc w:val="center"/>
        <w:rPr>
          <w:rFonts w:ascii="宋体" w:hAnsi="宋体" w:cs="宋体"/>
          <w:sz w:val="24"/>
        </w:rPr>
      </w:pPr>
    </w:p>
    <w:p w14:paraId="56B7535E">
      <w:pPr>
        <w:spacing w:line="360" w:lineRule="auto"/>
        <w:ind w:firstLine="480" w:firstLineChars="200"/>
        <w:rPr>
          <w:rFonts w:ascii="宋体" w:hAnsi="宋体" w:cs="宋体"/>
          <w:sz w:val="24"/>
        </w:rPr>
      </w:pPr>
      <w:r>
        <w:rPr>
          <w:rFonts w:hint="eastAsia" w:ascii="宋体" w:hAnsi="宋体" w:cs="宋体"/>
          <w:sz w:val="24"/>
        </w:rPr>
        <w:t>根据有关工程建设、廉政建设的规定，为做好工程建设中的党风廉政建设，保证工程建设高效优质，保证建设资金的安全和有效使用以及投资效益，</w:t>
      </w:r>
      <w:r>
        <w:rPr>
          <w:rFonts w:hint="eastAsia" w:ascii="宋体" w:hAnsi="宋体" w:cs="宋体"/>
          <w:sz w:val="24"/>
          <w:u w:val="single"/>
        </w:rPr>
        <w:t>浙江中医药大学富春校区北区食堂智慧化建设工程</w:t>
      </w:r>
      <w:r>
        <w:rPr>
          <w:rFonts w:hint="eastAsia" w:ascii="宋体" w:hAnsi="宋体" w:cs="宋体"/>
          <w:sz w:val="24"/>
        </w:rPr>
        <w:t>的项目法人</w:t>
      </w:r>
      <w:r>
        <w:rPr>
          <w:rFonts w:hint="eastAsia" w:ascii="宋体" w:hAnsi="宋体" w:cs="宋体"/>
          <w:kern w:val="0"/>
          <w:sz w:val="24"/>
          <w:u w:val="single"/>
        </w:rPr>
        <w:t xml:space="preserve">  </w:t>
      </w:r>
      <w:r>
        <w:rPr>
          <w:rFonts w:hint="eastAsia" w:ascii="宋体" w:hAnsi="宋体" w:cs="宋体"/>
          <w:sz w:val="24"/>
          <w:u w:val="single"/>
        </w:rPr>
        <w:t xml:space="preserve">浙江中医药大学  </w:t>
      </w:r>
      <w:r>
        <w:rPr>
          <w:rFonts w:hint="eastAsia" w:ascii="宋体" w:hAnsi="宋体" w:cs="宋体"/>
          <w:kern w:val="0"/>
          <w:sz w:val="24"/>
          <w:u w:val="single"/>
        </w:rPr>
        <w:t xml:space="preserve"> </w:t>
      </w:r>
      <w:r>
        <w:rPr>
          <w:rFonts w:hint="eastAsia" w:ascii="宋体" w:hAnsi="宋体" w:cs="宋体"/>
          <w:sz w:val="24"/>
        </w:rPr>
        <w:t>（以下简称发包人）与施工单位</w:t>
      </w:r>
      <w:r>
        <w:rPr>
          <w:rFonts w:hint="eastAsia" w:ascii="宋体" w:hAnsi="宋体" w:cs="宋体"/>
          <w:sz w:val="24"/>
          <w:u w:val="single"/>
        </w:rPr>
        <w:t xml:space="preserve">            </w:t>
      </w:r>
      <w:r>
        <w:rPr>
          <w:rFonts w:hint="eastAsia" w:ascii="宋体" w:hAnsi="宋体" w:cs="宋体"/>
          <w:sz w:val="24"/>
        </w:rPr>
        <w:t>（以下简称承包人），特订立如下合同。</w:t>
      </w:r>
    </w:p>
    <w:p w14:paraId="241E9327">
      <w:pPr>
        <w:tabs>
          <w:tab w:val="left" w:pos="360"/>
        </w:tabs>
        <w:spacing w:line="360" w:lineRule="auto"/>
        <w:ind w:firstLine="482" w:firstLineChars="200"/>
        <w:rPr>
          <w:rFonts w:ascii="宋体" w:hAnsi="宋体" w:cs="宋体"/>
          <w:b/>
          <w:sz w:val="24"/>
        </w:rPr>
      </w:pPr>
      <w:r>
        <w:rPr>
          <w:rFonts w:hint="eastAsia" w:ascii="宋体" w:hAnsi="宋体" w:cs="宋体"/>
          <w:b/>
          <w:sz w:val="24"/>
        </w:rPr>
        <w:t>第一条 双方的权利和义务</w:t>
      </w:r>
    </w:p>
    <w:p w14:paraId="212F9611">
      <w:pPr>
        <w:widowControl/>
        <w:numPr>
          <w:ilvl w:val="0"/>
          <w:numId w:val="2"/>
        </w:numPr>
        <w:tabs>
          <w:tab w:val="left" w:pos="360"/>
        </w:tabs>
        <w:spacing w:line="360" w:lineRule="auto"/>
        <w:ind w:firstLine="480" w:firstLineChars="200"/>
        <w:jc w:val="left"/>
        <w:rPr>
          <w:rFonts w:ascii="宋体" w:hAnsi="宋体" w:cs="宋体"/>
          <w:sz w:val="24"/>
        </w:rPr>
      </w:pPr>
      <w:r>
        <w:rPr>
          <w:rFonts w:hint="eastAsia" w:ascii="宋体" w:hAnsi="宋体" w:cs="宋体"/>
          <w:sz w:val="24"/>
        </w:rPr>
        <w:t xml:space="preserve">严格遵守党和国家有关法律法规的有关规定。 </w:t>
      </w:r>
    </w:p>
    <w:p w14:paraId="60B7DAE2">
      <w:pPr>
        <w:tabs>
          <w:tab w:val="left" w:pos="360"/>
        </w:tabs>
        <w:spacing w:line="360" w:lineRule="auto"/>
        <w:ind w:firstLine="480" w:firstLineChars="200"/>
        <w:rPr>
          <w:rFonts w:ascii="宋体" w:hAnsi="宋体" w:cs="宋体"/>
          <w:sz w:val="24"/>
        </w:rPr>
      </w:pPr>
      <w:r>
        <w:rPr>
          <w:rFonts w:hint="eastAsia" w:ascii="宋体" w:hAnsi="宋体" w:cs="宋体"/>
          <w:sz w:val="24"/>
        </w:rPr>
        <w:t>（二）严格执行</w:t>
      </w:r>
      <w:r>
        <w:rPr>
          <w:rFonts w:hint="eastAsia" w:ascii="宋体" w:hAnsi="宋体" w:cs="宋体"/>
          <w:sz w:val="24"/>
          <w:u w:val="single"/>
        </w:rPr>
        <w:t>浙江中医药大学富春校区北区食堂智慧化建设工程</w:t>
      </w:r>
      <w:r>
        <w:rPr>
          <w:rFonts w:hint="eastAsia" w:ascii="宋体" w:hAnsi="宋体" w:cs="宋体"/>
          <w:sz w:val="24"/>
        </w:rPr>
        <w:t>的合同文件，自觉按合同办事。</w:t>
      </w:r>
    </w:p>
    <w:p w14:paraId="480F8EA2">
      <w:pPr>
        <w:spacing w:line="360" w:lineRule="auto"/>
        <w:ind w:firstLine="480" w:firstLineChars="200"/>
        <w:rPr>
          <w:rFonts w:ascii="宋体" w:hAnsi="宋体" w:cs="宋体"/>
          <w:sz w:val="24"/>
        </w:rPr>
      </w:pPr>
      <w:r>
        <w:rPr>
          <w:rFonts w:hint="eastAsia" w:ascii="宋体" w:hAnsi="宋体" w:cs="宋体"/>
          <w:sz w:val="24"/>
        </w:rPr>
        <w:t>（三）双方的业务活动坚持公开、公正、诚信、透明的原则（除法律认定的商业机密和合同文件另有规定之外），不得损害国家和集体利益，违反工程建设管理规章制度。</w:t>
      </w:r>
    </w:p>
    <w:p w14:paraId="1E46FB02">
      <w:pPr>
        <w:spacing w:line="360" w:lineRule="auto"/>
        <w:ind w:firstLine="480" w:firstLineChars="200"/>
        <w:rPr>
          <w:rFonts w:ascii="宋体" w:hAnsi="宋体" w:cs="宋体"/>
          <w:sz w:val="24"/>
        </w:rPr>
      </w:pPr>
      <w:r>
        <w:rPr>
          <w:rFonts w:hint="eastAsia" w:ascii="宋体" w:hAnsi="宋体" w:cs="宋体"/>
          <w:sz w:val="24"/>
        </w:rPr>
        <w:t>（四）建立健全廉政制度，开展廉政教育，设立廉政告示牌，公布举报电话，监督并认真查处违法违纪行为。</w:t>
      </w:r>
    </w:p>
    <w:p w14:paraId="47D2E2D4">
      <w:pPr>
        <w:spacing w:line="360" w:lineRule="auto"/>
        <w:ind w:firstLine="480" w:firstLineChars="200"/>
        <w:rPr>
          <w:rFonts w:ascii="宋体" w:hAnsi="宋体" w:cs="宋体"/>
          <w:sz w:val="24"/>
        </w:rPr>
      </w:pPr>
      <w:r>
        <w:rPr>
          <w:rFonts w:hint="eastAsia" w:ascii="宋体" w:hAnsi="宋体" w:cs="宋体"/>
          <w:sz w:val="24"/>
        </w:rPr>
        <w:t>（五）发现对方在业务活动中有违反廉政规定的行为，有及时提醒对方纠正的权利和义务。</w:t>
      </w:r>
    </w:p>
    <w:p w14:paraId="6EB6D5B6">
      <w:pPr>
        <w:spacing w:line="360" w:lineRule="auto"/>
        <w:ind w:firstLine="480" w:firstLineChars="200"/>
        <w:rPr>
          <w:rFonts w:ascii="宋体" w:hAnsi="宋体" w:cs="宋体"/>
          <w:sz w:val="24"/>
        </w:rPr>
      </w:pPr>
      <w:r>
        <w:rPr>
          <w:rFonts w:hint="eastAsia" w:ascii="宋体" w:hAnsi="宋体" w:cs="宋体"/>
          <w:sz w:val="24"/>
        </w:rPr>
        <w:t>（六）发现对方严重违反本合同义务条款的行为，有向其上级有关部门举报、建议给予处分并要求告知处理结果的权利。</w:t>
      </w:r>
    </w:p>
    <w:p w14:paraId="002C24B8">
      <w:pPr>
        <w:spacing w:line="360" w:lineRule="auto"/>
        <w:ind w:firstLine="482" w:firstLineChars="200"/>
        <w:rPr>
          <w:rFonts w:ascii="宋体" w:hAnsi="宋体" w:cs="宋体"/>
          <w:b/>
          <w:sz w:val="24"/>
        </w:rPr>
      </w:pPr>
      <w:r>
        <w:rPr>
          <w:rFonts w:hint="eastAsia" w:ascii="宋体" w:hAnsi="宋体" w:cs="宋体"/>
          <w:b/>
          <w:sz w:val="24"/>
        </w:rPr>
        <w:t>第二条 发包人的义务</w:t>
      </w:r>
    </w:p>
    <w:p w14:paraId="2DE38BD0">
      <w:pPr>
        <w:spacing w:line="360" w:lineRule="auto"/>
        <w:ind w:firstLine="480" w:firstLineChars="200"/>
        <w:rPr>
          <w:rFonts w:ascii="宋体" w:hAnsi="宋体" w:cs="宋体"/>
          <w:sz w:val="24"/>
        </w:rPr>
      </w:pPr>
      <w:r>
        <w:rPr>
          <w:rFonts w:hint="eastAsia" w:ascii="宋体" w:hAnsi="宋体" w:cs="宋体"/>
          <w:sz w:val="24"/>
        </w:rPr>
        <w:t>（一）发包人及其工作人员不得索要和接受承包人的礼金、有价证券和贵重物品，不得在承包人报销任何由发包人或个人支付的费用等。</w:t>
      </w:r>
    </w:p>
    <w:p w14:paraId="4C561098">
      <w:pPr>
        <w:spacing w:line="360" w:lineRule="auto"/>
        <w:ind w:firstLine="480" w:firstLineChars="200"/>
        <w:rPr>
          <w:rFonts w:ascii="宋体" w:hAnsi="宋体" w:cs="宋体"/>
          <w:sz w:val="24"/>
        </w:rPr>
      </w:pPr>
      <w:r>
        <w:rPr>
          <w:rFonts w:hint="eastAsia" w:ascii="宋体" w:hAnsi="宋体" w:cs="宋体"/>
          <w:sz w:val="24"/>
        </w:rPr>
        <w:t>（二）发包人工作人员不得参加承包人安排的超标准宴请和娱乐活动；不得接受承包人提供的通讯工具、交通工具和高档办公用品等。</w:t>
      </w:r>
    </w:p>
    <w:p w14:paraId="5A894430">
      <w:pPr>
        <w:spacing w:line="360" w:lineRule="auto"/>
        <w:ind w:firstLine="480" w:firstLineChars="200"/>
        <w:rPr>
          <w:rFonts w:ascii="宋体" w:hAnsi="宋体" w:cs="宋体"/>
          <w:sz w:val="24"/>
        </w:rPr>
      </w:pPr>
      <w:r>
        <w:rPr>
          <w:rFonts w:hint="eastAsia" w:ascii="宋体" w:hAnsi="宋体" w:cs="宋体"/>
          <w:sz w:val="24"/>
        </w:rPr>
        <w:t>（三）发包人及其工作人员不得要求或者接受承包人为其住房装修、婚丧嫁娶活动、配偶子女的工作安排以及出国出境、旅游等提供方便等。</w:t>
      </w:r>
    </w:p>
    <w:p w14:paraId="62014CF5">
      <w:pPr>
        <w:spacing w:line="360" w:lineRule="auto"/>
        <w:ind w:firstLine="480" w:firstLineChars="200"/>
        <w:rPr>
          <w:rFonts w:ascii="宋体" w:hAnsi="宋体" w:cs="宋体"/>
          <w:sz w:val="24"/>
        </w:rPr>
      </w:pPr>
      <w:r>
        <w:rPr>
          <w:rFonts w:hint="eastAsia" w:ascii="宋体" w:hAnsi="宋体" w:cs="宋体"/>
          <w:sz w:val="24"/>
        </w:rPr>
        <w:t>（四）发包人工作人员的配偶、子女不得从事与发包人工程有关的材料设备供应、工程分包、劳务等经济活动。</w:t>
      </w:r>
    </w:p>
    <w:p w14:paraId="43BB76AB">
      <w:pPr>
        <w:spacing w:line="360" w:lineRule="auto"/>
        <w:ind w:firstLine="480" w:firstLineChars="200"/>
        <w:rPr>
          <w:rFonts w:ascii="宋体" w:hAnsi="宋体" w:cs="宋体"/>
          <w:sz w:val="24"/>
        </w:rPr>
      </w:pPr>
      <w:r>
        <w:rPr>
          <w:rFonts w:hint="eastAsia" w:ascii="宋体" w:hAnsi="宋体" w:cs="宋体"/>
          <w:sz w:val="24"/>
        </w:rPr>
        <w:t>（五）发包人及其工作人员不得以任何理由向承包人推荐分包单位，不得要求承包人购买合同规定外的材料和设备。</w:t>
      </w:r>
    </w:p>
    <w:p w14:paraId="64222BC7">
      <w:pPr>
        <w:tabs>
          <w:tab w:val="left" w:pos="720"/>
          <w:tab w:val="left" w:pos="900"/>
          <w:tab w:val="left" w:pos="2880"/>
        </w:tabs>
        <w:spacing w:line="360" w:lineRule="auto"/>
        <w:ind w:firstLine="482" w:firstLineChars="200"/>
        <w:rPr>
          <w:rFonts w:ascii="宋体" w:hAnsi="宋体" w:cs="宋体"/>
          <w:b/>
          <w:sz w:val="24"/>
        </w:rPr>
      </w:pPr>
      <w:r>
        <w:rPr>
          <w:rFonts w:hint="eastAsia" w:ascii="宋体" w:hAnsi="宋体" w:cs="宋体"/>
          <w:b/>
          <w:sz w:val="24"/>
        </w:rPr>
        <w:t>第三条 承包人义务</w:t>
      </w:r>
    </w:p>
    <w:p w14:paraId="08B27D1F">
      <w:pPr>
        <w:tabs>
          <w:tab w:val="left" w:pos="720"/>
          <w:tab w:val="left" w:pos="900"/>
          <w:tab w:val="left" w:pos="2880"/>
        </w:tabs>
        <w:spacing w:line="360" w:lineRule="auto"/>
        <w:ind w:firstLine="480" w:firstLineChars="200"/>
        <w:rPr>
          <w:rFonts w:ascii="宋体" w:hAnsi="宋体" w:cs="宋体"/>
          <w:sz w:val="24"/>
        </w:rPr>
      </w:pPr>
      <w:r>
        <w:rPr>
          <w:rFonts w:hint="eastAsia" w:ascii="宋体" w:hAnsi="宋体" w:cs="宋体"/>
          <w:sz w:val="24"/>
        </w:rPr>
        <w:t>（一）承包人不得以任何理由向发包人及其工作人员行贿或馈赠礼金、有价证券、贵重礼品。</w:t>
      </w:r>
    </w:p>
    <w:p w14:paraId="76FFB90B">
      <w:pPr>
        <w:spacing w:line="360" w:lineRule="auto"/>
        <w:ind w:firstLine="480" w:firstLineChars="200"/>
        <w:rPr>
          <w:rFonts w:ascii="宋体" w:hAnsi="宋体" w:cs="宋体"/>
          <w:sz w:val="24"/>
        </w:rPr>
      </w:pPr>
      <w:r>
        <w:rPr>
          <w:rFonts w:hint="eastAsia" w:ascii="宋体" w:hAnsi="宋体" w:cs="宋体"/>
          <w:sz w:val="24"/>
        </w:rPr>
        <w:t>（二）承包人不得以任何名义向发包人及其工作人员报销应由发包人或个人支付的任何费用。</w:t>
      </w:r>
    </w:p>
    <w:p w14:paraId="7EBC4200">
      <w:pPr>
        <w:spacing w:line="360" w:lineRule="auto"/>
        <w:ind w:firstLine="480" w:firstLineChars="200"/>
        <w:rPr>
          <w:rFonts w:ascii="宋体" w:hAnsi="宋体" w:cs="宋体"/>
          <w:sz w:val="24"/>
        </w:rPr>
      </w:pPr>
      <w:r>
        <w:rPr>
          <w:rFonts w:hint="eastAsia" w:ascii="宋体" w:hAnsi="宋体" w:cs="宋体"/>
          <w:sz w:val="24"/>
        </w:rPr>
        <w:t>（三）承包人不得以任何理由安排发包人及其工作人员参加超标准宴请及娱乐活动。承包人不得为发包人或个人购置或提供通讯工具、交通工具和高档办公用品等。</w:t>
      </w:r>
    </w:p>
    <w:p w14:paraId="200DB47C">
      <w:pPr>
        <w:tabs>
          <w:tab w:val="left" w:pos="1800"/>
          <w:tab w:val="left" w:pos="2160"/>
        </w:tabs>
        <w:spacing w:line="360" w:lineRule="auto"/>
        <w:ind w:firstLine="482" w:firstLineChars="200"/>
        <w:rPr>
          <w:rFonts w:ascii="宋体" w:hAnsi="宋体" w:cs="宋体"/>
          <w:b/>
          <w:sz w:val="24"/>
        </w:rPr>
      </w:pPr>
      <w:r>
        <w:rPr>
          <w:rFonts w:hint="eastAsia" w:ascii="宋体" w:hAnsi="宋体" w:cs="宋体"/>
          <w:b/>
          <w:sz w:val="24"/>
        </w:rPr>
        <w:t>第四条 违约责任</w:t>
      </w:r>
    </w:p>
    <w:p w14:paraId="2105823E">
      <w:pPr>
        <w:spacing w:line="360" w:lineRule="auto"/>
        <w:ind w:firstLine="480" w:firstLineChars="200"/>
        <w:rPr>
          <w:rFonts w:ascii="宋体" w:hAnsi="宋体" w:cs="宋体"/>
          <w:sz w:val="24"/>
        </w:rPr>
      </w:pPr>
      <w:r>
        <w:rPr>
          <w:rFonts w:hint="eastAsia" w:ascii="宋体" w:hAnsi="宋体" w:cs="宋体"/>
          <w:sz w:val="24"/>
        </w:rPr>
        <w:t>（一）发包人及其工作人员违反本合同第一、二条，按管理权限，根据有关规定，给予党纪、政纪或组织处理；涉嫌犯罪的移交司法机关追究刑事责任；给承包人造成经济损失的，应予以赔偿。</w:t>
      </w:r>
    </w:p>
    <w:p w14:paraId="375E586C">
      <w:pPr>
        <w:spacing w:line="360" w:lineRule="auto"/>
        <w:ind w:firstLine="480" w:firstLineChars="200"/>
        <w:rPr>
          <w:rFonts w:ascii="宋体" w:hAnsi="宋体" w:cs="宋体"/>
          <w:sz w:val="24"/>
        </w:rPr>
      </w:pPr>
      <w:r>
        <w:rPr>
          <w:rFonts w:hint="eastAsia" w:ascii="宋体" w:hAnsi="宋体" w:cs="宋体"/>
          <w:sz w:val="24"/>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2A6929D4">
      <w:pPr>
        <w:spacing w:line="360" w:lineRule="auto"/>
        <w:ind w:firstLine="482" w:firstLineChars="200"/>
        <w:rPr>
          <w:rFonts w:ascii="宋体" w:hAnsi="宋体" w:cs="宋体"/>
          <w:b/>
          <w:sz w:val="24"/>
        </w:rPr>
      </w:pPr>
      <w:r>
        <w:rPr>
          <w:rFonts w:hint="eastAsia" w:ascii="宋体" w:hAnsi="宋体" w:cs="宋体"/>
          <w:b/>
          <w:sz w:val="24"/>
        </w:rPr>
        <w:t>第五条 双方约定：</w:t>
      </w:r>
    </w:p>
    <w:p w14:paraId="1CBF8564">
      <w:pPr>
        <w:spacing w:line="360" w:lineRule="auto"/>
        <w:ind w:firstLine="480"/>
        <w:rPr>
          <w:rFonts w:ascii="宋体" w:hAnsi="宋体" w:cs="宋体"/>
          <w:sz w:val="24"/>
        </w:rPr>
      </w:pPr>
      <w:r>
        <w:rPr>
          <w:rFonts w:hint="eastAsia" w:ascii="宋体" w:hAnsi="宋体" w:cs="宋体"/>
          <w:sz w:val="24"/>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5DA7E628">
      <w:pPr>
        <w:spacing w:line="360" w:lineRule="auto"/>
        <w:ind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本合同有效期为发包人与承包人双方签署之日起至该工程项目竣工验收后止。</w:t>
      </w:r>
    </w:p>
    <w:p w14:paraId="6D34857A">
      <w:pPr>
        <w:spacing w:line="360" w:lineRule="auto"/>
        <w:ind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本合同作为</w:t>
      </w:r>
      <w:r>
        <w:rPr>
          <w:rFonts w:hint="eastAsia" w:ascii="宋体" w:hAnsi="宋体" w:cs="宋体"/>
          <w:sz w:val="24"/>
          <w:u w:val="single"/>
        </w:rPr>
        <w:t>浙江中医药大学富春校区北区食堂智慧化建设工程</w:t>
      </w:r>
      <w:r>
        <w:rPr>
          <w:rFonts w:hint="eastAsia" w:ascii="宋体" w:hAnsi="宋体" w:cs="宋体"/>
          <w:sz w:val="24"/>
        </w:rPr>
        <w:t>施工合同的附件，与施工合同具有同等的法律效力，经合同双方签署立即生效。</w:t>
      </w:r>
    </w:p>
    <w:p w14:paraId="31000616">
      <w:pPr>
        <w:spacing w:line="360" w:lineRule="auto"/>
        <w:ind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本合同发包人与承包人双方各执三份，送交双方监督单位各一份。</w:t>
      </w:r>
    </w:p>
    <w:p w14:paraId="4C0790B3">
      <w:pPr>
        <w:spacing w:line="360" w:lineRule="auto"/>
        <w:rPr>
          <w:rFonts w:ascii="宋体" w:hAnsi="宋体" w:cs="宋体"/>
          <w:sz w:val="24"/>
          <w:u w:val="single"/>
        </w:rPr>
      </w:pPr>
      <w:bookmarkStart w:id="497" w:name="_Hlk74481593"/>
      <w:r>
        <w:rPr>
          <w:rFonts w:hint="eastAsia" w:ascii="宋体" w:hAnsi="宋体" w:cs="宋体"/>
          <w:sz w:val="24"/>
        </w:rPr>
        <w:t>发包人：浙江中医药大学</w:t>
      </w:r>
      <w:r>
        <w:rPr>
          <w:rFonts w:hint="eastAsia" w:ascii="宋体" w:hAnsi="宋体" w:cs="宋体"/>
          <w:sz w:val="24"/>
          <w:u w:val="single"/>
        </w:rPr>
        <w:t xml:space="preserve">（公章）    </w:t>
      </w:r>
      <w:r>
        <w:rPr>
          <w:rFonts w:hint="eastAsia" w:ascii="宋体" w:hAnsi="宋体" w:cs="宋体"/>
          <w:sz w:val="24"/>
        </w:rPr>
        <w:t xml:space="preserve">     承包人：</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（公章） </w:t>
      </w:r>
    </w:p>
    <w:p w14:paraId="0A56BD75">
      <w:pPr>
        <w:spacing w:line="360" w:lineRule="auto"/>
        <w:rPr>
          <w:rFonts w:ascii="宋体" w:hAnsi="宋体" w:cs="宋体"/>
          <w:sz w:val="24"/>
        </w:rPr>
      </w:pPr>
      <w:r>
        <w:rPr>
          <w:rFonts w:hint="eastAsia" w:ascii="宋体" w:hAnsi="宋体" w:cs="宋体"/>
          <w:sz w:val="24"/>
        </w:rPr>
        <w:t>法定代表人或委托代理人：                法定代表人或委托代理人：</w:t>
      </w:r>
    </w:p>
    <w:p w14:paraId="007ACFF7">
      <w:pPr>
        <w:spacing w:line="360" w:lineRule="auto"/>
        <w:rPr>
          <w:rFonts w:ascii="宋体" w:hAnsi="宋体" w:cs="宋体"/>
          <w:sz w:val="24"/>
        </w:rPr>
      </w:pPr>
      <w:bookmarkStart w:id="498" w:name="_Hlk74481629"/>
      <w:r>
        <w:rPr>
          <w:rFonts w:hint="eastAsia" w:ascii="宋体" w:hAnsi="宋体" w:cs="宋体"/>
          <w:sz w:val="24"/>
        </w:rPr>
        <w:t>地    址：杭州市滨江区滨文路548号      地    址：</w:t>
      </w:r>
    </w:p>
    <w:p w14:paraId="79A7A225">
      <w:pPr>
        <w:spacing w:line="360" w:lineRule="auto"/>
        <w:rPr>
          <w:rFonts w:ascii="宋体" w:hAnsi="宋体" w:cs="宋体"/>
          <w:sz w:val="24"/>
        </w:rPr>
      </w:pPr>
      <w:r>
        <w:rPr>
          <w:rFonts w:hint="eastAsia" w:ascii="宋体" w:hAnsi="宋体" w:cs="宋体"/>
          <w:sz w:val="24"/>
        </w:rPr>
        <w:t>邮政编码：310053                        邮政编码：</w:t>
      </w:r>
    </w:p>
    <w:p w14:paraId="66140F4E">
      <w:pPr>
        <w:spacing w:line="360" w:lineRule="auto"/>
        <w:rPr>
          <w:rFonts w:ascii="宋体" w:hAnsi="宋体" w:cs="宋体"/>
          <w:sz w:val="24"/>
        </w:rPr>
      </w:pPr>
      <w:r>
        <w:rPr>
          <w:rFonts w:hint="eastAsia" w:ascii="宋体" w:hAnsi="宋体" w:cs="宋体"/>
          <w:sz w:val="24"/>
        </w:rPr>
        <w:t>电    话：                              电    话：</w:t>
      </w:r>
      <w:bookmarkEnd w:id="497"/>
      <w:bookmarkEnd w:id="498"/>
      <w:r>
        <w:rPr>
          <w:rFonts w:hint="eastAsia" w:ascii="宋体" w:hAnsi="宋体" w:cs="宋体"/>
          <w:sz w:val="24"/>
        </w:rPr>
        <w:t xml:space="preserve"> </w:t>
      </w:r>
      <w:bookmarkStart w:id="499" w:name="_Toc276907132"/>
      <w:bookmarkStart w:id="500" w:name="_Toc237979988"/>
      <w:bookmarkStart w:id="501" w:name="_Toc237256590"/>
    </w:p>
    <w:p w14:paraId="3C74CD3C">
      <w:pPr>
        <w:spacing w:line="360" w:lineRule="auto"/>
        <w:rPr>
          <w:rFonts w:ascii="宋体" w:hAnsi="宋体" w:cs="宋体"/>
          <w:sz w:val="24"/>
        </w:rPr>
      </w:pPr>
      <w:r>
        <w:rPr>
          <w:rFonts w:hint="eastAsia" w:ascii="宋体" w:hAnsi="宋体" w:cs="宋体"/>
          <w:sz w:val="24"/>
        </w:rPr>
        <w:br w:type="page"/>
      </w:r>
      <w:bookmarkEnd w:id="499"/>
      <w:bookmarkEnd w:id="500"/>
      <w:bookmarkEnd w:id="501"/>
      <w:r>
        <w:rPr>
          <w:rFonts w:hint="eastAsia" w:ascii="宋体" w:hAnsi="宋体" w:cs="宋体"/>
          <w:sz w:val="24"/>
        </w:rPr>
        <w:t>附件3：</w:t>
      </w:r>
    </w:p>
    <w:p w14:paraId="7A12384E">
      <w:pPr>
        <w:spacing w:line="360" w:lineRule="auto"/>
        <w:jc w:val="center"/>
        <w:rPr>
          <w:rFonts w:ascii="宋体" w:hAnsi="宋体" w:cs="宋体"/>
          <w:sz w:val="24"/>
        </w:rPr>
      </w:pPr>
      <w:r>
        <w:rPr>
          <w:rFonts w:hint="eastAsia" w:ascii="宋体" w:hAnsi="宋体" w:cs="宋体"/>
          <w:sz w:val="24"/>
        </w:rPr>
        <w:t>安全生产合同</w:t>
      </w:r>
    </w:p>
    <w:p w14:paraId="7DF580CB">
      <w:pPr>
        <w:spacing w:line="360" w:lineRule="auto"/>
        <w:jc w:val="center"/>
        <w:rPr>
          <w:rFonts w:ascii="宋体" w:hAnsi="宋体" w:cs="宋体"/>
          <w:sz w:val="24"/>
        </w:rPr>
      </w:pPr>
    </w:p>
    <w:p w14:paraId="678D29A6">
      <w:pPr>
        <w:spacing w:line="360" w:lineRule="auto"/>
        <w:ind w:firstLine="480" w:firstLineChars="200"/>
        <w:rPr>
          <w:rFonts w:ascii="宋体" w:hAnsi="宋体" w:cs="宋体"/>
          <w:sz w:val="24"/>
        </w:rPr>
      </w:pPr>
      <w:r>
        <w:rPr>
          <w:rFonts w:hint="eastAsia" w:ascii="宋体" w:hAnsi="宋体" w:cs="宋体"/>
          <w:sz w:val="24"/>
        </w:rPr>
        <w:t>为在</w:t>
      </w:r>
      <w:r>
        <w:rPr>
          <w:rFonts w:hint="eastAsia" w:ascii="宋体" w:hAnsi="宋体" w:cs="宋体"/>
          <w:bCs/>
          <w:sz w:val="24"/>
          <w:u w:val="single"/>
        </w:rPr>
        <w:t>浙江中医药大学富春校区北区食堂智慧化建设工程</w:t>
      </w:r>
      <w:r>
        <w:rPr>
          <w:rFonts w:hint="eastAsia" w:ascii="宋体" w:hAnsi="宋体" w:cs="宋体"/>
          <w:sz w:val="24"/>
        </w:rPr>
        <w:t>合同的实施过程中创造安全、高效的施工环境，搞好本项目的安全管理工作，本项目发包人</w:t>
      </w:r>
      <w:r>
        <w:rPr>
          <w:rFonts w:hint="eastAsia" w:ascii="宋体" w:hAnsi="宋体" w:cs="宋体"/>
          <w:kern w:val="0"/>
          <w:sz w:val="24"/>
          <w:u w:val="single"/>
        </w:rPr>
        <w:t xml:space="preserve"> </w:t>
      </w:r>
      <w:r>
        <w:rPr>
          <w:rFonts w:hint="eastAsia" w:ascii="宋体" w:hAnsi="宋体" w:cs="宋体"/>
          <w:sz w:val="24"/>
          <w:u w:val="single"/>
        </w:rPr>
        <w:t>浙江中医药大学</w:t>
      </w:r>
      <w:r>
        <w:rPr>
          <w:rFonts w:hint="eastAsia" w:ascii="宋体" w:hAnsi="宋体" w:cs="宋体"/>
          <w:kern w:val="0"/>
          <w:sz w:val="24"/>
          <w:u w:val="single"/>
        </w:rPr>
        <w:t xml:space="preserve"> </w:t>
      </w:r>
      <w:r>
        <w:rPr>
          <w:rFonts w:hint="eastAsia" w:ascii="宋体" w:hAnsi="宋体" w:cs="宋体"/>
          <w:sz w:val="24"/>
        </w:rPr>
        <w:t>与承包人</w:t>
      </w:r>
      <w:r>
        <w:rPr>
          <w:rFonts w:hint="eastAsia" w:ascii="宋体" w:hAnsi="宋体" w:cs="宋体"/>
          <w:sz w:val="24"/>
          <w:u w:val="single"/>
        </w:rPr>
        <w:t xml:space="preserve">              </w:t>
      </w:r>
      <w:r>
        <w:rPr>
          <w:rFonts w:hint="eastAsia" w:ascii="宋体" w:hAnsi="宋体" w:cs="宋体"/>
          <w:sz w:val="24"/>
        </w:rPr>
        <w:t>特此签订安全生产合同：</w:t>
      </w:r>
    </w:p>
    <w:p w14:paraId="153110AE">
      <w:pPr>
        <w:numPr>
          <w:ilvl w:val="1"/>
          <w:numId w:val="3"/>
        </w:numPr>
        <w:tabs>
          <w:tab w:val="left" w:pos="540"/>
          <w:tab w:val="left" w:pos="720"/>
          <w:tab w:val="left" w:pos="900"/>
        </w:tabs>
        <w:spacing w:line="360" w:lineRule="auto"/>
        <w:ind w:hanging="1140"/>
        <w:rPr>
          <w:rFonts w:ascii="宋体" w:hAnsi="宋体" w:cs="宋体"/>
          <w:b/>
          <w:sz w:val="24"/>
        </w:rPr>
      </w:pPr>
      <w:r>
        <w:rPr>
          <w:rFonts w:hint="eastAsia" w:ascii="宋体" w:hAnsi="宋体" w:cs="宋体"/>
          <w:b/>
          <w:sz w:val="24"/>
        </w:rPr>
        <w:t>发包人职责</w:t>
      </w:r>
    </w:p>
    <w:p w14:paraId="55EF252F">
      <w:pPr>
        <w:tabs>
          <w:tab w:val="left" w:pos="900"/>
        </w:tabs>
        <w:spacing w:line="360" w:lineRule="auto"/>
        <w:ind w:firstLine="480" w:firstLineChars="200"/>
        <w:rPr>
          <w:rFonts w:ascii="宋体" w:hAnsi="宋体" w:cs="宋体"/>
          <w:sz w:val="24"/>
        </w:rPr>
      </w:pPr>
      <w:r>
        <w:rPr>
          <w:rFonts w:hint="eastAsia" w:ascii="宋体" w:hAnsi="宋体" w:cs="宋体"/>
          <w:sz w:val="24"/>
        </w:rPr>
        <w:t>1．严格遵守国家有关安全生产的法律法规，认真执行工程承包合同中的有关安全要求。</w:t>
      </w:r>
    </w:p>
    <w:p w14:paraId="5AC8E51E">
      <w:pPr>
        <w:tabs>
          <w:tab w:val="left" w:pos="720"/>
        </w:tabs>
        <w:spacing w:line="360" w:lineRule="auto"/>
        <w:ind w:firstLine="480" w:firstLineChars="200"/>
        <w:rPr>
          <w:rFonts w:ascii="宋体" w:hAnsi="宋体" w:cs="宋体"/>
          <w:sz w:val="24"/>
        </w:rPr>
      </w:pPr>
      <w:r>
        <w:rPr>
          <w:rFonts w:hint="eastAsia" w:ascii="宋体" w:hAnsi="宋体" w:cs="宋体"/>
          <w:sz w:val="24"/>
        </w:rPr>
        <w:t>2.按照“安全第一、预防为主”和坚持“管生产必须管安全”的原则进行安全生产管理，做到生产与安全工作同时计划、布置、检查、总结和评比。</w:t>
      </w:r>
    </w:p>
    <w:p w14:paraId="3585D410">
      <w:pPr>
        <w:spacing w:line="360" w:lineRule="auto"/>
        <w:ind w:left="271" w:leftChars="129" w:firstLine="120" w:firstLineChars="50"/>
        <w:rPr>
          <w:rFonts w:ascii="宋体" w:hAnsi="宋体" w:cs="宋体"/>
          <w:sz w:val="24"/>
        </w:rPr>
      </w:pPr>
      <w:r>
        <w:rPr>
          <w:rFonts w:hint="eastAsia" w:ascii="宋体" w:hAnsi="宋体" w:cs="宋体"/>
          <w:sz w:val="24"/>
        </w:rPr>
        <w:t>3.重要的安全设施必须坚持与主体工程“三同时”的原则，即：同时设计、审批，</w:t>
      </w:r>
    </w:p>
    <w:p w14:paraId="10C326F1">
      <w:pPr>
        <w:spacing w:line="360" w:lineRule="auto"/>
        <w:rPr>
          <w:rFonts w:ascii="宋体" w:hAnsi="宋体" w:cs="宋体"/>
          <w:sz w:val="24"/>
        </w:rPr>
      </w:pPr>
      <w:r>
        <w:rPr>
          <w:rFonts w:hint="eastAsia" w:ascii="宋体" w:hAnsi="宋体" w:cs="宋体"/>
          <w:sz w:val="24"/>
        </w:rPr>
        <w:t>同时施工，同时验收，投入使用。</w:t>
      </w:r>
    </w:p>
    <w:p w14:paraId="063FC60A">
      <w:pPr>
        <w:tabs>
          <w:tab w:val="left" w:pos="720"/>
        </w:tabs>
        <w:spacing w:line="360" w:lineRule="auto"/>
        <w:ind w:firstLine="480" w:firstLineChars="200"/>
        <w:rPr>
          <w:rFonts w:ascii="宋体" w:hAnsi="宋体" w:cs="宋体"/>
          <w:sz w:val="24"/>
        </w:rPr>
      </w:pPr>
      <w:r>
        <w:rPr>
          <w:rFonts w:hint="eastAsia" w:ascii="宋体" w:hAnsi="宋体" w:cs="宋体"/>
          <w:sz w:val="24"/>
        </w:rPr>
        <w:t>4.组织对承包人施工现场安全生产检查，监督承包人及时处理发现的各种安全隐患。</w:t>
      </w:r>
    </w:p>
    <w:p w14:paraId="31E8983B">
      <w:pPr>
        <w:spacing w:line="360" w:lineRule="auto"/>
        <w:rPr>
          <w:rFonts w:ascii="宋体" w:hAnsi="宋体" w:cs="宋体"/>
          <w:b/>
          <w:sz w:val="24"/>
        </w:rPr>
      </w:pPr>
      <w:r>
        <w:rPr>
          <w:rFonts w:hint="eastAsia" w:ascii="宋体" w:hAnsi="宋体" w:cs="宋体"/>
          <w:b/>
          <w:sz w:val="24"/>
        </w:rPr>
        <w:t>二、承包人职责</w:t>
      </w:r>
    </w:p>
    <w:p w14:paraId="1F0A7D47">
      <w:pPr>
        <w:spacing w:line="360" w:lineRule="auto"/>
        <w:ind w:firstLine="480" w:firstLineChars="200"/>
        <w:rPr>
          <w:rFonts w:ascii="宋体" w:hAnsi="宋体" w:cs="宋体"/>
          <w:sz w:val="24"/>
        </w:rPr>
      </w:pPr>
      <w:r>
        <w:rPr>
          <w:rFonts w:hint="eastAsia" w:ascii="宋体" w:hAnsi="宋体" w:cs="宋体"/>
          <w:sz w:val="24"/>
        </w:rPr>
        <w:t>1.严格遵守国家有关安全生产的法律法规和有关安全生产的规定，认真执行工程承包合同中的有关安全要求。</w:t>
      </w:r>
    </w:p>
    <w:p w14:paraId="5FDD6A87">
      <w:pPr>
        <w:spacing w:line="360" w:lineRule="auto"/>
        <w:ind w:firstLine="480" w:firstLineChars="200"/>
        <w:rPr>
          <w:rFonts w:ascii="宋体" w:hAnsi="宋体" w:cs="宋体"/>
          <w:sz w:val="24"/>
        </w:rPr>
      </w:pPr>
      <w:r>
        <w:rPr>
          <w:rFonts w:hint="eastAsia" w:ascii="宋体" w:hAnsi="宋体" w:cs="宋体"/>
          <w:sz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6B43A9F9">
      <w:pPr>
        <w:spacing w:line="360" w:lineRule="auto"/>
        <w:ind w:firstLine="600" w:firstLineChars="250"/>
        <w:rPr>
          <w:rFonts w:ascii="宋体" w:hAnsi="宋体" w:cs="宋体"/>
          <w:sz w:val="24"/>
        </w:rPr>
      </w:pPr>
      <w:r>
        <w:rPr>
          <w:rFonts w:hint="eastAsia" w:ascii="宋体" w:hAnsi="宋体" w:cs="宋体"/>
          <w:sz w:val="24"/>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2FC4E6E9">
      <w:pPr>
        <w:spacing w:line="360" w:lineRule="auto"/>
        <w:ind w:firstLine="480" w:firstLineChars="200"/>
        <w:rPr>
          <w:rFonts w:ascii="宋体" w:hAnsi="宋体" w:cs="宋体"/>
          <w:sz w:val="24"/>
        </w:rPr>
      </w:pPr>
      <w:r>
        <w:rPr>
          <w:rFonts w:hint="eastAsia" w:ascii="宋体" w:hAnsi="宋体" w:cs="宋体"/>
          <w:sz w:val="24"/>
        </w:rPr>
        <w:t>4.施工期间，承包人应落实预防措施，防止其员工发生任何违法、违禁、暴力或妨碍治安的行为。</w:t>
      </w:r>
    </w:p>
    <w:p w14:paraId="3EC6F45C">
      <w:pPr>
        <w:spacing w:line="360" w:lineRule="auto"/>
        <w:ind w:firstLine="480" w:firstLineChars="200"/>
        <w:rPr>
          <w:rFonts w:ascii="宋体" w:hAnsi="宋体" w:cs="宋体"/>
          <w:sz w:val="24"/>
        </w:rPr>
      </w:pPr>
      <w:r>
        <w:rPr>
          <w:rFonts w:hint="eastAsia" w:ascii="宋体" w:hAnsi="宋体" w:cs="宋体"/>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D54A829">
      <w:pPr>
        <w:spacing w:line="360" w:lineRule="auto"/>
        <w:ind w:firstLine="480" w:firstLineChars="200"/>
        <w:rPr>
          <w:rFonts w:ascii="宋体" w:hAnsi="宋体" w:cs="宋体"/>
          <w:sz w:val="24"/>
        </w:rPr>
      </w:pPr>
      <w:r>
        <w:rPr>
          <w:rFonts w:hint="eastAsia" w:ascii="宋体" w:hAnsi="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6522DFE">
      <w:pPr>
        <w:spacing w:line="360" w:lineRule="auto"/>
        <w:ind w:firstLine="480" w:firstLineChars="200"/>
        <w:rPr>
          <w:rFonts w:ascii="宋体" w:hAnsi="宋体" w:cs="宋体"/>
          <w:sz w:val="24"/>
        </w:rPr>
      </w:pPr>
      <w:r>
        <w:rPr>
          <w:rFonts w:hint="eastAsia" w:ascii="宋体" w:hAnsi="宋体" w:cs="宋体"/>
          <w:sz w:val="24"/>
        </w:rPr>
        <w:t>7.操作人员上岗，必须按规定穿戴防护用品。各专业施工负责人和安全检查员应随时检查劳动防护用品的穿戴情况，不按规定穿戴防护用品的人员不得上岗。</w:t>
      </w:r>
    </w:p>
    <w:p w14:paraId="221CB59C">
      <w:pPr>
        <w:spacing w:line="360" w:lineRule="auto"/>
        <w:ind w:firstLine="480" w:firstLineChars="200"/>
        <w:rPr>
          <w:rFonts w:ascii="宋体" w:hAnsi="宋体" w:cs="宋体"/>
          <w:sz w:val="24"/>
        </w:rPr>
      </w:pPr>
      <w:r>
        <w:rPr>
          <w:rFonts w:hint="eastAsia" w:ascii="宋体" w:hAnsi="宋体" w:cs="宋体"/>
          <w:sz w:val="24"/>
        </w:rPr>
        <w:t>8.所有施工机具设备和高空作业的设备均应定期检查，并有安全员的签字记录，保证其经常处于完发状态；不合格的机具、设备和劳动保护用品严禁使用。</w:t>
      </w:r>
    </w:p>
    <w:p w14:paraId="7B4C30A3">
      <w:pPr>
        <w:spacing w:line="360" w:lineRule="auto"/>
        <w:ind w:firstLine="480" w:firstLineChars="200"/>
        <w:rPr>
          <w:rFonts w:ascii="宋体" w:hAnsi="宋体" w:cs="宋体"/>
          <w:sz w:val="24"/>
        </w:rPr>
      </w:pPr>
      <w:r>
        <w:rPr>
          <w:rFonts w:hint="eastAsia" w:ascii="宋体" w:hAnsi="宋体" w:cs="宋体"/>
          <w:sz w:val="24"/>
        </w:rPr>
        <w:t>9.施工中采用新技术、新工艺、新设备、新材料时，必须制定相应的安全技术措施，施工现场必须具有相关的安全标志牌。</w:t>
      </w:r>
    </w:p>
    <w:p w14:paraId="54F93FDF">
      <w:pPr>
        <w:tabs>
          <w:tab w:val="left" w:pos="360"/>
          <w:tab w:val="left" w:pos="540"/>
          <w:tab w:val="left" w:pos="900"/>
          <w:tab w:val="left" w:pos="1080"/>
        </w:tabs>
        <w:spacing w:line="360" w:lineRule="auto"/>
        <w:ind w:firstLine="480" w:firstLineChars="200"/>
        <w:rPr>
          <w:rFonts w:ascii="宋体" w:hAnsi="宋体" w:cs="宋体"/>
          <w:sz w:val="24"/>
        </w:rPr>
      </w:pPr>
      <w:r>
        <w:rPr>
          <w:rFonts w:hint="eastAsia" w:ascii="宋体" w:hAnsi="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27262038">
      <w:pPr>
        <w:tabs>
          <w:tab w:val="left" w:pos="360"/>
          <w:tab w:val="left" w:pos="540"/>
          <w:tab w:val="left" w:pos="900"/>
          <w:tab w:val="left" w:pos="1080"/>
        </w:tabs>
        <w:spacing w:line="360" w:lineRule="auto"/>
        <w:ind w:firstLine="480" w:firstLineChars="200"/>
        <w:rPr>
          <w:rFonts w:ascii="宋体" w:hAnsi="宋体" w:cs="宋体"/>
          <w:sz w:val="24"/>
        </w:rPr>
      </w:pPr>
    </w:p>
    <w:p w14:paraId="372DF6C7">
      <w:pPr>
        <w:tabs>
          <w:tab w:val="left" w:pos="360"/>
          <w:tab w:val="left" w:pos="540"/>
          <w:tab w:val="left" w:pos="900"/>
          <w:tab w:val="left" w:pos="1080"/>
        </w:tabs>
        <w:spacing w:line="360" w:lineRule="auto"/>
        <w:rPr>
          <w:rFonts w:ascii="宋体" w:hAnsi="宋体" w:cs="宋体"/>
          <w:b/>
          <w:sz w:val="24"/>
        </w:rPr>
      </w:pPr>
      <w:r>
        <w:rPr>
          <w:rFonts w:hint="eastAsia" w:ascii="宋体" w:hAnsi="宋体" w:cs="宋体"/>
          <w:b/>
          <w:sz w:val="24"/>
        </w:rPr>
        <w:t>三、违约责任</w:t>
      </w:r>
    </w:p>
    <w:p w14:paraId="102832A2">
      <w:pPr>
        <w:tabs>
          <w:tab w:val="left" w:pos="36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如因发包人或承包人违约造成安全事故，将依法追究责任。</w:t>
      </w:r>
    </w:p>
    <w:p w14:paraId="41FD09A8">
      <w:pPr>
        <w:tabs>
          <w:tab w:val="left" w:pos="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 xml:space="preserve">本合同一式八份，双方各执四份。由双方法定代表人或授权代理人签字并加盖单位印章后生效。 </w:t>
      </w:r>
    </w:p>
    <w:p w14:paraId="0D1D6F45">
      <w:pPr>
        <w:tabs>
          <w:tab w:val="left" w:pos="0"/>
          <w:tab w:val="left" w:pos="540"/>
          <w:tab w:val="left" w:pos="720"/>
          <w:tab w:val="left" w:pos="900"/>
          <w:tab w:val="left" w:pos="1080"/>
        </w:tabs>
        <w:spacing w:line="360" w:lineRule="auto"/>
        <w:ind w:firstLine="480" w:firstLineChars="200"/>
        <w:rPr>
          <w:rFonts w:ascii="宋体" w:hAnsi="宋体" w:cs="宋体"/>
          <w:sz w:val="24"/>
        </w:rPr>
      </w:pPr>
    </w:p>
    <w:p w14:paraId="48109BEB">
      <w:pPr>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浙江中医药大学 （盖章）</w:t>
      </w:r>
      <w:r>
        <w:rPr>
          <w:rFonts w:hint="eastAsia" w:ascii="宋体" w:hAnsi="宋体" w:cs="宋体"/>
          <w:sz w:val="24"/>
        </w:rPr>
        <w:t xml:space="preserve">     承包人：</w:t>
      </w:r>
      <w:r>
        <w:rPr>
          <w:rFonts w:hint="eastAsia" w:ascii="宋体" w:hAnsi="宋体" w:cs="宋体"/>
          <w:sz w:val="24"/>
          <w:u w:val="single"/>
        </w:rPr>
        <w:t xml:space="preserve">             （盖章）   </w:t>
      </w:r>
      <w:r>
        <w:rPr>
          <w:rFonts w:hint="eastAsia" w:ascii="宋体" w:hAnsi="宋体" w:cs="宋体"/>
          <w:sz w:val="24"/>
        </w:rPr>
        <w:t xml:space="preserve"> </w:t>
      </w:r>
    </w:p>
    <w:p w14:paraId="18B3E375">
      <w:pPr>
        <w:spacing w:line="360" w:lineRule="auto"/>
        <w:rPr>
          <w:rFonts w:ascii="宋体" w:hAnsi="宋体" w:cs="宋体"/>
          <w:sz w:val="24"/>
        </w:rPr>
      </w:pPr>
      <w:r>
        <w:rPr>
          <w:rFonts w:hint="eastAsia" w:ascii="宋体" w:hAnsi="宋体" w:cs="宋体"/>
          <w:sz w:val="24"/>
        </w:rPr>
        <w:t>法定代表人或授权代表人：                法定代表人或授权代表人：</w:t>
      </w:r>
    </w:p>
    <w:p w14:paraId="2ED8A058">
      <w:pPr>
        <w:spacing w:line="360" w:lineRule="auto"/>
        <w:ind w:left="6240" w:hanging="6240" w:hangingChars="2600"/>
        <w:rPr>
          <w:rFonts w:ascii="宋体" w:hAnsi="宋体" w:cs="宋体"/>
          <w:sz w:val="24"/>
        </w:rPr>
      </w:pPr>
      <w:r>
        <w:rPr>
          <w:rFonts w:hint="eastAsia" w:ascii="宋体" w:hAnsi="宋体" w:cs="宋体"/>
          <w:sz w:val="24"/>
        </w:rPr>
        <w:t>地    址：杭州市滨江区滨文路548号      地    址：</w:t>
      </w:r>
      <w:r>
        <w:rPr>
          <w:rFonts w:hint="eastAsia" w:ascii="宋体" w:hAnsi="宋体" w:cs="宋体"/>
          <w:b/>
          <w:bCs/>
          <w:sz w:val="24"/>
          <w:u w:val="single"/>
        </w:rPr>
        <w:t xml:space="preserve"> </w:t>
      </w:r>
    </w:p>
    <w:p w14:paraId="1717D49A">
      <w:pPr>
        <w:spacing w:line="360" w:lineRule="auto"/>
        <w:rPr>
          <w:rFonts w:ascii="宋体" w:hAnsi="宋体" w:cs="宋体"/>
          <w:sz w:val="24"/>
        </w:rPr>
      </w:pPr>
      <w:r>
        <w:rPr>
          <w:rFonts w:hint="eastAsia" w:ascii="宋体" w:hAnsi="宋体" w:cs="宋体"/>
          <w:sz w:val="24"/>
        </w:rPr>
        <w:t>电    话：                              电    话：</w:t>
      </w:r>
    </w:p>
    <w:p w14:paraId="4AA194FB">
      <w:pPr>
        <w:spacing w:line="360" w:lineRule="auto"/>
        <w:jc w:val="center"/>
        <w:rPr>
          <w:rFonts w:ascii="宋体" w:hAnsi="宋体" w:cs="宋体"/>
          <w:sz w:val="24"/>
        </w:rPr>
      </w:pPr>
      <w:r>
        <w:rPr>
          <w:rFonts w:hint="eastAsia" w:ascii="宋体" w:hAnsi="宋体" w:cs="宋体"/>
          <w:sz w:val="24"/>
        </w:rPr>
        <w:t>年   月   日                            年    月    日</w:t>
      </w:r>
    </w:p>
    <w:p w14:paraId="6109DAEC">
      <w:pPr>
        <w:widowControl/>
        <w:jc w:val="left"/>
        <w:rPr>
          <w:rFonts w:ascii="宋体" w:hAnsi="宋体" w:cs="宋体"/>
          <w:sz w:val="24"/>
        </w:rPr>
      </w:pPr>
      <w:r>
        <w:rPr>
          <w:rFonts w:hint="eastAsia" w:ascii="宋体" w:hAnsi="宋体" w:cs="宋体"/>
          <w:sz w:val="24"/>
        </w:rPr>
        <w:br w:type="page"/>
      </w:r>
    </w:p>
    <w:p w14:paraId="77D5777F">
      <w:pPr>
        <w:spacing w:line="360" w:lineRule="auto"/>
        <w:rPr>
          <w:rFonts w:ascii="宋体" w:hAnsi="宋体" w:cs="宋体"/>
          <w:sz w:val="24"/>
        </w:rPr>
      </w:pPr>
      <w:r>
        <w:rPr>
          <w:rFonts w:hint="eastAsia" w:ascii="宋体" w:hAnsi="宋体" w:cs="宋体"/>
          <w:sz w:val="24"/>
        </w:rPr>
        <w:t>附件4：</w:t>
      </w:r>
    </w:p>
    <w:p w14:paraId="7913963E">
      <w:pPr>
        <w:spacing w:line="360" w:lineRule="auto"/>
        <w:jc w:val="center"/>
        <w:rPr>
          <w:rFonts w:ascii="宋体" w:hAnsi="宋体" w:cs="宋体"/>
          <w:sz w:val="24"/>
        </w:rPr>
      </w:pPr>
      <w:bookmarkStart w:id="502" w:name="_Toc5449"/>
      <w:bookmarkStart w:id="503" w:name="_Toc12000"/>
      <w:bookmarkStart w:id="504" w:name="_Toc22601"/>
      <w:r>
        <w:rPr>
          <w:rFonts w:hint="eastAsia" w:ascii="宋体" w:hAnsi="宋体" w:cs="宋体"/>
          <w:sz w:val="24"/>
        </w:rPr>
        <w:t>主要材料（设备）清单</w:t>
      </w:r>
      <w:bookmarkEnd w:id="502"/>
      <w:bookmarkEnd w:id="503"/>
      <w:bookmarkEnd w:id="504"/>
    </w:p>
    <w:p w14:paraId="7881787C">
      <w:pPr>
        <w:spacing w:line="360" w:lineRule="auto"/>
        <w:jc w:val="left"/>
        <w:rPr>
          <w:rFonts w:ascii="宋体" w:hAnsi="宋体" w:cs="宋体"/>
          <w:sz w:val="24"/>
        </w:rPr>
      </w:pPr>
      <w:r>
        <w:rPr>
          <w:rFonts w:hint="eastAsia" w:ascii="宋体" w:hAnsi="宋体" w:cs="宋体"/>
          <w:sz w:val="24"/>
        </w:rPr>
        <w:t>项目名称：</w:t>
      </w:r>
    </w:p>
    <w:tbl>
      <w:tblPr>
        <w:tblStyle w:val="6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56D6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74528319">
            <w:pPr>
              <w:jc w:val="center"/>
              <w:rPr>
                <w:rFonts w:ascii="宋体" w:hAnsi="宋体" w:cs="宋体"/>
                <w:b/>
                <w:kern w:val="0"/>
                <w:sz w:val="24"/>
              </w:rPr>
            </w:pPr>
            <w:r>
              <w:rPr>
                <w:rFonts w:hint="eastAsia" w:ascii="宋体" w:hAnsi="宋体" w:cs="宋体"/>
                <w:b/>
                <w:kern w:val="0"/>
                <w:sz w:val="24"/>
              </w:rPr>
              <w:t>序号</w:t>
            </w:r>
          </w:p>
        </w:tc>
        <w:tc>
          <w:tcPr>
            <w:tcW w:w="2218" w:type="dxa"/>
          </w:tcPr>
          <w:p w14:paraId="483CC42C">
            <w:pPr>
              <w:jc w:val="center"/>
              <w:rPr>
                <w:rFonts w:ascii="宋体" w:hAnsi="宋体" w:cs="宋体"/>
                <w:b/>
                <w:kern w:val="0"/>
                <w:sz w:val="24"/>
              </w:rPr>
            </w:pPr>
            <w:r>
              <w:rPr>
                <w:rFonts w:hint="eastAsia" w:ascii="宋体" w:hAnsi="宋体" w:cs="宋体"/>
                <w:b/>
                <w:kern w:val="0"/>
                <w:sz w:val="24"/>
              </w:rPr>
              <w:t>材料（设备</w:t>
            </w:r>
            <w:r>
              <w:rPr>
                <w:rFonts w:hint="eastAsia" w:ascii="宋体" w:hAnsi="宋体" w:cs="宋体"/>
                <w:b/>
                <w:bCs/>
                <w:kern w:val="0"/>
                <w:sz w:val="24"/>
              </w:rPr>
              <w:t>）名称</w:t>
            </w:r>
          </w:p>
        </w:tc>
        <w:tc>
          <w:tcPr>
            <w:tcW w:w="1357" w:type="dxa"/>
          </w:tcPr>
          <w:p w14:paraId="191CCD1D">
            <w:pPr>
              <w:jc w:val="center"/>
              <w:rPr>
                <w:rFonts w:ascii="宋体" w:hAnsi="宋体" w:cs="宋体"/>
                <w:b/>
                <w:kern w:val="0"/>
                <w:sz w:val="24"/>
              </w:rPr>
            </w:pPr>
            <w:r>
              <w:rPr>
                <w:rFonts w:hint="eastAsia" w:ascii="宋体" w:hAnsi="宋体" w:cs="宋体"/>
                <w:b/>
                <w:kern w:val="0"/>
                <w:sz w:val="24"/>
              </w:rPr>
              <w:t>品牌</w:t>
            </w:r>
          </w:p>
        </w:tc>
        <w:tc>
          <w:tcPr>
            <w:tcW w:w="1536" w:type="dxa"/>
          </w:tcPr>
          <w:p w14:paraId="03FA5207">
            <w:pPr>
              <w:jc w:val="center"/>
              <w:rPr>
                <w:rFonts w:ascii="宋体" w:hAnsi="宋体" w:cs="宋体"/>
                <w:b/>
                <w:kern w:val="0"/>
                <w:sz w:val="24"/>
              </w:rPr>
            </w:pPr>
            <w:r>
              <w:rPr>
                <w:rFonts w:hint="eastAsia" w:ascii="宋体" w:hAnsi="宋体" w:cs="宋体"/>
                <w:b/>
                <w:kern w:val="0"/>
                <w:sz w:val="24"/>
              </w:rPr>
              <w:t>规格型号</w:t>
            </w:r>
          </w:p>
        </w:tc>
        <w:tc>
          <w:tcPr>
            <w:tcW w:w="2000" w:type="dxa"/>
          </w:tcPr>
          <w:p w14:paraId="67196141">
            <w:pPr>
              <w:jc w:val="center"/>
              <w:rPr>
                <w:rFonts w:ascii="宋体" w:hAnsi="宋体" w:cs="宋体"/>
                <w:b/>
                <w:kern w:val="0"/>
                <w:sz w:val="24"/>
              </w:rPr>
            </w:pPr>
            <w:r>
              <w:rPr>
                <w:rFonts w:hint="eastAsia" w:ascii="宋体" w:hAnsi="宋体" w:cs="宋体"/>
                <w:b/>
                <w:kern w:val="0"/>
                <w:sz w:val="24"/>
              </w:rPr>
              <w:t>厂家</w:t>
            </w:r>
          </w:p>
        </w:tc>
        <w:tc>
          <w:tcPr>
            <w:tcW w:w="973" w:type="dxa"/>
          </w:tcPr>
          <w:p w14:paraId="5AADD7FC">
            <w:pPr>
              <w:jc w:val="center"/>
              <w:rPr>
                <w:rFonts w:ascii="宋体" w:hAnsi="宋体" w:cs="宋体"/>
                <w:b/>
                <w:kern w:val="0"/>
                <w:sz w:val="24"/>
              </w:rPr>
            </w:pPr>
            <w:r>
              <w:rPr>
                <w:rFonts w:hint="eastAsia" w:ascii="宋体" w:hAnsi="宋体" w:cs="宋体"/>
                <w:b/>
                <w:kern w:val="0"/>
                <w:sz w:val="24"/>
              </w:rPr>
              <w:t>产地</w:t>
            </w:r>
          </w:p>
        </w:tc>
      </w:tr>
      <w:tr w14:paraId="34D7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tcPr>
          <w:p w14:paraId="07D142A4">
            <w:pPr>
              <w:jc w:val="center"/>
              <w:rPr>
                <w:rFonts w:ascii="宋体" w:hAnsi="宋体" w:cs="宋体"/>
                <w:kern w:val="0"/>
                <w:sz w:val="24"/>
              </w:rPr>
            </w:pPr>
            <w:r>
              <w:rPr>
                <w:rFonts w:hint="eastAsia" w:ascii="宋体" w:hAnsi="宋体" w:cs="宋体"/>
                <w:kern w:val="0"/>
                <w:sz w:val="24"/>
              </w:rPr>
              <w:t>1</w:t>
            </w:r>
          </w:p>
        </w:tc>
        <w:tc>
          <w:tcPr>
            <w:tcW w:w="2218" w:type="dxa"/>
          </w:tcPr>
          <w:p w14:paraId="31D15ECA">
            <w:pPr>
              <w:jc w:val="center"/>
              <w:rPr>
                <w:rFonts w:ascii="宋体" w:hAnsi="宋体" w:cs="宋体"/>
                <w:kern w:val="0"/>
                <w:sz w:val="24"/>
              </w:rPr>
            </w:pPr>
          </w:p>
        </w:tc>
        <w:tc>
          <w:tcPr>
            <w:tcW w:w="1357" w:type="dxa"/>
          </w:tcPr>
          <w:p w14:paraId="287EB501">
            <w:pPr>
              <w:jc w:val="center"/>
              <w:rPr>
                <w:rFonts w:ascii="宋体" w:hAnsi="宋体" w:cs="宋体"/>
                <w:kern w:val="0"/>
                <w:sz w:val="24"/>
              </w:rPr>
            </w:pPr>
          </w:p>
        </w:tc>
        <w:tc>
          <w:tcPr>
            <w:tcW w:w="1536" w:type="dxa"/>
          </w:tcPr>
          <w:p w14:paraId="213E73A9">
            <w:pPr>
              <w:jc w:val="center"/>
              <w:rPr>
                <w:rFonts w:ascii="宋体" w:hAnsi="宋体" w:cs="宋体"/>
                <w:kern w:val="0"/>
                <w:sz w:val="24"/>
              </w:rPr>
            </w:pPr>
          </w:p>
        </w:tc>
        <w:tc>
          <w:tcPr>
            <w:tcW w:w="2000" w:type="dxa"/>
          </w:tcPr>
          <w:p w14:paraId="4C78E0F2">
            <w:pPr>
              <w:jc w:val="center"/>
              <w:rPr>
                <w:rFonts w:ascii="宋体" w:hAnsi="宋体" w:cs="宋体"/>
                <w:kern w:val="0"/>
                <w:sz w:val="24"/>
              </w:rPr>
            </w:pPr>
          </w:p>
        </w:tc>
        <w:tc>
          <w:tcPr>
            <w:tcW w:w="973" w:type="dxa"/>
          </w:tcPr>
          <w:p w14:paraId="42BFEEAA">
            <w:pPr>
              <w:jc w:val="center"/>
              <w:rPr>
                <w:rFonts w:ascii="宋体" w:hAnsi="宋体" w:cs="宋体"/>
                <w:kern w:val="0"/>
                <w:sz w:val="24"/>
              </w:rPr>
            </w:pPr>
          </w:p>
        </w:tc>
      </w:tr>
      <w:tr w14:paraId="790B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tcPr>
          <w:p w14:paraId="684E1471">
            <w:pPr>
              <w:jc w:val="center"/>
              <w:rPr>
                <w:rFonts w:ascii="宋体" w:hAnsi="宋体" w:cs="宋体"/>
                <w:kern w:val="0"/>
                <w:sz w:val="24"/>
              </w:rPr>
            </w:pPr>
            <w:r>
              <w:rPr>
                <w:rFonts w:hint="eastAsia" w:ascii="宋体" w:hAnsi="宋体" w:cs="宋体"/>
                <w:kern w:val="0"/>
                <w:sz w:val="24"/>
              </w:rPr>
              <w:t>2</w:t>
            </w:r>
          </w:p>
        </w:tc>
        <w:tc>
          <w:tcPr>
            <w:tcW w:w="2218" w:type="dxa"/>
          </w:tcPr>
          <w:p w14:paraId="2EAF6739">
            <w:pPr>
              <w:jc w:val="center"/>
              <w:rPr>
                <w:rFonts w:ascii="宋体" w:hAnsi="宋体" w:cs="宋体"/>
                <w:kern w:val="0"/>
                <w:sz w:val="24"/>
              </w:rPr>
            </w:pPr>
          </w:p>
        </w:tc>
        <w:tc>
          <w:tcPr>
            <w:tcW w:w="1357" w:type="dxa"/>
          </w:tcPr>
          <w:p w14:paraId="61A3C211">
            <w:pPr>
              <w:jc w:val="center"/>
              <w:rPr>
                <w:rFonts w:ascii="宋体" w:hAnsi="宋体" w:cs="宋体"/>
                <w:kern w:val="0"/>
                <w:sz w:val="24"/>
              </w:rPr>
            </w:pPr>
          </w:p>
        </w:tc>
        <w:tc>
          <w:tcPr>
            <w:tcW w:w="1536" w:type="dxa"/>
          </w:tcPr>
          <w:p w14:paraId="187A5088">
            <w:pPr>
              <w:jc w:val="center"/>
              <w:rPr>
                <w:rFonts w:ascii="宋体" w:hAnsi="宋体" w:cs="宋体"/>
                <w:kern w:val="0"/>
                <w:sz w:val="24"/>
              </w:rPr>
            </w:pPr>
          </w:p>
        </w:tc>
        <w:tc>
          <w:tcPr>
            <w:tcW w:w="2000" w:type="dxa"/>
          </w:tcPr>
          <w:p w14:paraId="4C3690D8">
            <w:pPr>
              <w:jc w:val="center"/>
              <w:rPr>
                <w:rFonts w:ascii="宋体" w:hAnsi="宋体" w:cs="宋体"/>
                <w:kern w:val="0"/>
                <w:sz w:val="24"/>
              </w:rPr>
            </w:pPr>
          </w:p>
        </w:tc>
        <w:tc>
          <w:tcPr>
            <w:tcW w:w="973" w:type="dxa"/>
          </w:tcPr>
          <w:p w14:paraId="481A12D9">
            <w:pPr>
              <w:jc w:val="center"/>
              <w:rPr>
                <w:rFonts w:ascii="宋体" w:hAnsi="宋体" w:cs="宋体"/>
                <w:kern w:val="0"/>
                <w:sz w:val="24"/>
              </w:rPr>
            </w:pPr>
          </w:p>
        </w:tc>
      </w:tr>
      <w:tr w14:paraId="41A2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tcPr>
          <w:p w14:paraId="76A21953">
            <w:pPr>
              <w:jc w:val="center"/>
              <w:rPr>
                <w:rFonts w:ascii="宋体" w:hAnsi="宋体" w:cs="宋体"/>
                <w:kern w:val="0"/>
                <w:sz w:val="24"/>
              </w:rPr>
            </w:pPr>
            <w:r>
              <w:rPr>
                <w:rFonts w:hint="eastAsia" w:ascii="宋体" w:hAnsi="宋体" w:cs="宋体"/>
                <w:kern w:val="0"/>
                <w:sz w:val="24"/>
              </w:rPr>
              <w:t>3</w:t>
            </w:r>
          </w:p>
        </w:tc>
        <w:tc>
          <w:tcPr>
            <w:tcW w:w="2218" w:type="dxa"/>
          </w:tcPr>
          <w:p w14:paraId="22C617AA">
            <w:pPr>
              <w:jc w:val="center"/>
              <w:rPr>
                <w:rFonts w:ascii="宋体" w:hAnsi="宋体" w:cs="宋体"/>
                <w:kern w:val="0"/>
                <w:sz w:val="24"/>
              </w:rPr>
            </w:pPr>
          </w:p>
        </w:tc>
        <w:tc>
          <w:tcPr>
            <w:tcW w:w="1357" w:type="dxa"/>
          </w:tcPr>
          <w:p w14:paraId="1FAB0908">
            <w:pPr>
              <w:jc w:val="center"/>
              <w:rPr>
                <w:rFonts w:ascii="宋体" w:hAnsi="宋体" w:cs="宋体"/>
                <w:kern w:val="0"/>
                <w:sz w:val="24"/>
              </w:rPr>
            </w:pPr>
          </w:p>
        </w:tc>
        <w:tc>
          <w:tcPr>
            <w:tcW w:w="1536" w:type="dxa"/>
          </w:tcPr>
          <w:p w14:paraId="1DB700DE">
            <w:pPr>
              <w:jc w:val="center"/>
              <w:rPr>
                <w:rFonts w:ascii="宋体" w:hAnsi="宋体" w:cs="宋体"/>
                <w:kern w:val="0"/>
                <w:sz w:val="24"/>
              </w:rPr>
            </w:pPr>
          </w:p>
        </w:tc>
        <w:tc>
          <w:tcPr>
            <w:tcW w:w="2000" w:type="dxa"/>
          </w:tcPr>
          <w:p w14:paraId="1E4113E0">
            <w:pPr>
              <w:jc w:val="center"/>
              <w:rPr>
                <w:rFonts w:ascii="宋体" w:hAnsi="宋体" w:cs="宋体"/>
                <w:kern w:val="0"/>
                <w:sz w:val="24"/>
              </w:rPr>
            </w:pPr>
          </w:p>
        </w:tc>
        <w:tc>
          <w:tcPr>
            <w:tcW w:w="973" w:type="dxa"/>
          </w:tcPr>
          <w:p w14:paraId="740A2D9B">
            <w:pPr>
              <w:jc w:val="center"/>
              <w:rPr>
                <w:rFonts w:ascii="宋体" w:hAnsi="宋体" w:cs="宋体"/>
                <w:kern w:val="0"/>
                <w:sz w:val="24"/>
              </w:rPr>
            </w:pPr>
          </w:p>
        </w:tc>
      </w:tr>
      <w:tr w14:paraId="167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tcPr>
          <w:p w14:paraId="78D68B16">
            <w:pPr>
              <w:jc w:val="center"/>
              <w:rPr>
                <w:rFonts w:ascii="宋体" w:hAnsi="宋体" w:cs="宋体"/>
                <w:kern w:val="0"/>
                <w:sz w:val="24"/>
              </w:rPr>
            </w:pPr>
            <w:r>
              <w:rPr>
                <w:rFonts w:hint="eastAsia" w:ascii="宋体" w:hAnsi="宋体" w:cs="宋体"/>
                <w:kern w:val="0"/>
                <w:sz w:val="24"/>
              </w:rPr>
              <w:t>4</w:t>
            </w:r>
          </w:p>
        </w:tc>
        <w:tc>
          <w:tcPr>
            <w:tcW w:w="2218" w:type="dxa"/>
          </w:tcPr>
          <w:p w14:paraId="72512B89">
            <w:pPr>
              <w:jc w:val="center"/>
              <w:rPr>
                <w:rFonts w:ascii="宋体" w:hAnsi="宋体" w:cs="宋体"/>
                <w:kern w:val="0"/>
                <w:sz w:val="24"/>
              </w:rPr>
            </w:pPr>
          </w:p>
        </w:tc>
        <w:tc>
          <w:tcPr>
            <w:tcW w:w="1357" w:type="dxa"/>
          </w:tcPr>
          <w:p w14:paraId="1373CE17">
            <w:pPr>
              <w:jc w:val="center"/>
              <w:rPr>
                <w:rFonts w:ascii="宋体" w:hAnsi="宋体" w:cs="宋体"/>
                <w:kern w:val="0"/>
                <w:sz w:val="24"/>
              </w:rPr>
            </w:pPr>
          </w:p>
        </w:tc>
        <w:tc>
          <w:tcPr>
            <w:tcW w:w="1536" w:type="dxa"/>
          </w:tcPr>
          <w:p w14:paraId="4B5FCE8C">
            <w:pPr>
              <w:jc w:val="center"/>
              <w:rPr>
                <w:rFonts w:ascii="宋体" w:hAnsi="宋体" w:cs="宋体"/>
                <w:kern w:val="0"/>
                <w:sz w:val="24"/>
              </w:rPr>
            </w:pPr>
          </w:p>
        </w:tc>
        <w:tc>
          <w:tcPr>
            <w:tcW w:w="2000" w:type="dxa"/>
          </w:tcPr>
          <w:p w14:paraId="1B855F0A">
            <w:pPr>
              <w:jc w:val="center"/>
              <w:rPr>
                <w:rFonts w:ascii="宋体" w:hAnsi="宋体" w:cs="宋体"/>
                <w:kern w:val="0"/>
                <w:sz w:val="24"/>
              </w:rPr>
            </w:pPr>
          </w:p>
        </w:tc>
        <w:tc>
          <w:tcPr>
            <w:tcW w:w="973" w:type="dxa"/>
          </w:tcPr>
          <w:p w14:paraId="64C9D15E">
            <w:pPr>
              <w:jc w:val="center"/>
              <w:rPr>
                <w:rFonts w:ascii="宋体" w:hAnsi="宋体" w:cs="宋体"/>
                <w:kern w:val="0"/>
                <w:sz w:val="24"/>
              </w:rPr>
            </w:pPr>
          </w:p>
        </w:tc>
      </w:tr>
      <w:tr w14:paraId="41FD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tcPr>
          <w:p w14:paraId="0FA9934C">
            <w:pPr>
              <w:jc w:val="center"/>
              <w:rPr>
                <w:rFonts w:ascii="宋体" w:hAnsi="宋体" w:cs="宋体"/>
                <w:kern w:val="0"/>
                <w:sz w:val="24"/>
              </w:rPr>
            </w:pPr>
            <w:r>
              <w:rPr>
                <w:rFonts w:hint="eastAsia" w:ascii="宋体" w:hAnsi="宋体" w:cs="宋体"/>
                <w:kern w:val="0"/>
                <w:sz w:val="24"/>
              </w:rPr>
              <w:t>5</w:t>
            </w:r>
          </w:p>
        </w:tc>
        <w:tc>
          <w:tcPr>
            <w:tcW w:w="2218" w:type="dxa"/>
          </w:tcPr>
          <w:p w14:paraId="5740FCFA">
            <w:pPr>
              <w:jc w:val="center"/>
              <w:rPr>
                <w:rFonts w:ascii="宋体" w:hAnsi="宋体" w:cs="宋体"/>
                <w:kern w:val="0"/>
                <w:sz w:val="24"/>
              </w:rPr>
            </w:pPr>
          </w:p>
        </w:tc>
        <w:tc>
          <w:tcPr>
            <w:tcW w:w="1357" w:type="dxa"/>
          </w:tcPr>
          <w:p w14:paraId="075DA9C3">
            <w:pPr>
              <w:ind w:firstLine="240" w:firstLineChars="100"/>
              <w:rPr>
                <w:rFonts w:ascii="宋体" w:hAnsi="宋体" w:cs="宋体"/>
                <w:kern w:val="0"/>
                <w:sz w:val="24"/>
              </w:rPr>
            </w:pPr>
          </w:p>
        </w:tc>
        <w:tc>
          <w:tcPr>
            <w:tcW w:w="1536" w:type="dxa"/>
          </w:tcPr>
          <w:p w14:paraId="34474830">
            <w:pPr>
              <w:jc w:val="center"/>
              <w:rPr>
                <w:rFonts w:ascii="宋体" w:hAnsi="宋体" w:cs="宋体"/>
                <w:kern w:val="0"/>
                <w:sz w:val="24"/>
              </w:rPr>
            </w:pPr>
          </w:p>
        </w:tc>
        <w:tc>
          <w:tcPr>
            <w:tcW w:w="2000" w:type="dxa"/>
          </w:tcPr>
          <w:p w14:paraId="1EADE8D1">
            <w:pPr>
              <w:jc w:val="center"/>
              <w:rPr>
                <w:rFonts w:ascii="宋体" w:hAnsi="宋体" w:cs="宋体"/>
                <w:kern w:val="0"/>
                <w:sz w:val="24"/>
              </w:rPr>
            </w:pPr>
          </w:p>
        </w:tc>
        <w:tc>
          <w:tcPr>
            <w:tcW w:w="973" w:type="dxa"/>
          </w:tcPr>
          <w:p w14:paraId="0CBEDC4E">
            <w:pPr>
              <w:jc w:val="center"/>
              <w:rPr>
                <w:rFonts w:ascii="宋体" w:hAnsi="宋体" w:cs="宋体"/>
                <w:kern w:val="0"/>
                <w:sz w:val="24"/>
              </w:rPr>
            </w:pPr>
          </w:p>
        </w:tc>
      </w:tr>
      <w:tr w14:paraId="1DDA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tcPr>
          <w:p w14:paraId="1B829675">
            <w:pPr>
              <w:jc w:val="center"/>
              <w:rPr>
                <w:rFonts w:ascii="宋体" w:hAnsi="宋体" w:cs="宋体"/>
                <w:kern w:val="0"/>
                <w:sz w:val="24"/>
              </w:rPr>
            </w:pPr>
            <w:r>
              <w:rPr>
                <w:rFonts w:hint="eastAsia" w:ascii="宋体" w:hAnsi="宋体" w:cs="宋体"/>
                <w:kern w:val="0"/>
                <w:sz w:val="24"/>
              </w:rPr>
              <w:t>6</w:t>
            </w:r>
          </w:p>
        </w:tc>
        <w:tc>
          <w:tcPr>
            <w:tcW w:w="2218" w:type="dxa"/>
          </w:tcPr>
          <w:p w14:paraId="6CE50D12">
            <w:pPr>
              <w:jc w:val="center"/>
              <w:rPr>
                <w:rFonts w:ascii="宋体" w:hAnsi="宋体" w:cs="宋体"/>
                <w:kern w:val="0"/>
                <w:sz w:val="24"/>
              </w:rPr>
            </w:pPr>
          </w:p>
        </w:tc>
        <w:tc>
          <w:tcPr>
            <w:tcW w:w="1357" w:type="dxa"/>
          </w:tcPr>
          <w:p w14:paraId="6AD9819B">
            <w:pPr>
              <w:jc w:val="center"/>
              <w:rPr>
                <w:rFonts w:ascii="宋体" w:hAnsi="宋体" w:cs="宋体"/>
                <w:kern w:val="0"/>
                <w:sz w:val="24"/>
              </w:rPr>
            </w:pPr>
          </w:p>
        </w:tc>
        <w:tc>
          <w:tcPr>
            <w:tcW w:w="1536" w:type="dxa"/>
          </w:tcPr>
          <w:p w14:paraId="5DCADCC6">
            <w:pPr>
              <w:jc w:val="center"/>
              <w:rPr>
                <w:rFonts w:ascii="宋体" w:hAnsi="宋体" w:cs="宋体"/>
                <w:kern w:val="0"/>
                <w:sz w:val="24"/>
              </w:rPr>
            </w:pPr>
          </w:p>
        </w:tc>
        <w:tc>
          <w:tcPr>
            <w:tcW w:w="2000" w:type="dxa"/>
          </w:tcPr>
          <w:p w14:paraId="7200A2AA">
            <w:pPr>
              <w:jc w:val="center"/>
              <w:rPr>
                <w:rFonts w:ascii="宋体" w:hAnsi="宋体" w:cs="宋体"/>
                <w:kern w:val="0"/>
                <w:sz w:val="24"/>
              </w:rPr>
            </w:pPr>
          </w:p>
        </w:tc>
        <w:tc>
          <w:tcPr>
            <w:tcW w:w="973" w:type="dxa"/>
          </w:tcPr>
          <w:p w14:paraId="7B870057">
            <w:pPr>
              <w:jc w:val="center"/>
              <w:rPr>
                <w:rFonts w:ascii="宋体" w:hAnsi="宋体" w:cs="宋体"/>
                <w:kern w:val="0"/>
                <w:sz w:val="24"/>
              </w:rPr>
            </w:pPr>
          </w:p>
        </w:tc>
      </w:tr>
      <w:tr w14:paraId="1E3D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tcPr>
          <w:p w14:paraId="1D87881E">
            <w:pPr>
              <w:jc w:val="center"/>
              <w:rPr>
                <w:rFonts w:ascii="宋体" w:hAnsi="宋体" w:cs="宋体"/>
                <w:kern w:val="0"/>
                <w:sz w:val="24"/>
              </w:rPr>
            </w:pPr>
            <w:r>
              <w:rPr>
                <w:rFonts w:hint="eastAsia" w:ascii="宋体" w:hAnsi="宋体" w:cs="宋体"/>
                <w:kern w:val="0"/>
                <w:sz w:val="24"/>
              </w:rPr>
              <w:t>7</w:t>
            </w:r>
          </w:p>
        </w:tc>
        <w:tc>
          <w:tcPr>
            <w:tcW w:w="2218" w:type="dxa"/>
          </w:tcPr>
          <w:p w14:paraId="677E1D0D">
            <w:pPr>
              <w:jc w:val="center"/>
              <w:rPr>
                <w:rFonts w:ascii="宋体" w:hAnsi="宋体" w:cs="宋体"/>
                <w:kern w:val="0"/>
                <w:sz w:val="24"/>
              </w:rPr>
            </w:pPr>
          </w:p>
        </w:tc>
        <w:tc>
          <w:tcPr>
            <w:tcW w:w="1357" w:type="dxa"/>
          </w:tcPr>
          <w:p w14:paraId="3617421F">
            <w:pPr>
              <w:jc w:val="center"/>
              <w:rPr>
                <w:rFonts w:ascii="宋体" w:hAnsi="宋体" w:cs="宋体"/>
                <w:kern w:val="0"/>
                <w:sz w:val="24"/>
              </w:rPr>
            </w:pPr>
          </w:p>
        </w:tc>
        <w:tc>
          <w:tcPr>
            <w:tcW w:w="1536" w:type="dxa"/>
          </w:tcPr>
          <w:p w14:paraId="34F5FD30">
            <w:pPr>
              <w:jc w:val="center"/>
              <w:rPr>
                <w:rFonts w:ascii="宋体" w:hAnsi="宋体" w:cs="宋体"/>
                <w:kern w:val="0"/>
                <w:sz w:val="24"/>
              </w:rPr>
            </w:pPr>
          </w:p>
        </w:tc>
        <w:tc>
          <w:tcPr>
            <w:tcW w:w="2000" w:type="dxa"/>
          </w:tcPr>
          <w:p w14:paraId="233446D6">
            <w:pPr>
              <w:jc w:val="center"/>
              <w:rPr>
                <w:rFonts w:ascii="宋体" w:hAnsi="宋体" w:cs="宋体"/>
                <w:kern w:val="0"/>
                <w:sz w:val="24"/>
              </w:rPr>
            </w:pPr>
          </w:p>
        </w:tc>
        <w:tc>
          <w:tcPr>
            <w:tcW w:w="973" w:type="dxa"/>
          </w:tcPr>
          <w:p w14:paraId="7F094715">
            <w:pPr>
              <w:jc w:val="center"/>
              <w:rPr>
                <w:rFonts w:ascii="宋体" w:hAnsi="宋体" w:cs="宋体"/>
                <w:kern w:val="0"/>
                <w:sz w:val="24"/>
              </w:rPr>
            </w:pPr>
          </w:p>
        </w:tc>
      </w:tr>
    </w:tbl>
    <w:p w14:paraId="2A6E9533">
      <w:pPr>
        <w:pStyle w:val="2"/>
        <w:spacing w:line="600" w:lineRule="auto"/>
        <w:rPr>
          <w:rFonts w:cs="宋体"/>
        </w:rPr>
      </w:pPr>
    </w:p>
    <w:p w14:paraId="0A4D7550">
      <w:pPr>
        <w:rPr>
          <w:rFonts w:ascii="宋体" w:hAnsi="宋体" w:cs="宋体"/>
          <w:sz w:val="24"/>
        </w:rPr>
      </w:pPr>
    </w:p>
    <w:p w14:paraId="54609379">
      <w:pPr>
        <w:rPr>
          <w:rFonts w:ascii="宋体" w:hAnsi="宋体" w:cs="宋体"/>
          <w:sz w:val="24"/>
        </w:rPr>
      </w:pPr>
    </w:p>
    <w:p w14:paraId="1ED9F2C6">
      <w:pPr>
        <w:rPr>
          <w:rFonts w:ascii="宋体" w:hAnsi="宋体" w:cs="宋体"/>
          <w:sz w:val="24"/>
        </w:rPr>
      </w:pPr>
    </w:p>
    <w:p w14:paraId="1A4E32F6">
      <w:pPr>
        <w:spacing w:line="360" w:lineRule="auto"/>
        <w:rPr>
          <w:rFonts w:ascii="宋体" w:hAnsi="宋体" w:cs="宋体"/>
          <w:sz w:val="24"/>
        </w:rPr>
      </w:pPr>
      <w:r>
        <w:rPr>
          <w:rFonts w:hint="eastAsia" w:ascii="宋体" w:hAnsi="宋体" w:cs="宋体"/>
          <w:sz w:val="24"/>
        </w:rPr>
        <w:t>附件5：</w:t>
      </w:r>
    </w:p>
    <w:p w14:paraId="2C0C151F">
      <w:pPr>
        <w:spacing w:line="360" w:lineRule="auto"/>
        <w:ind w:right="-420" w:rightChars="-200"/>
        <w:rPr>
          <w:rFonts w:ascii="宋体" w:hAnsi="宋体" w:cs="宋体"/>
          <w:sz w:val="24"/>
        </w:rPr>
      </w:pPr>
      <w:r>
        <w:rPr>
          <w:rFonts w:hint="eastAsia" w:ascii="宋体" w:hAnsi="宋体" w:cs="宋体"/>
          <w:sz w:val="24"/>
        </w:rPr>
        <w:t>营业执照和相关资质</w:t>
      </w:r>
    </w:p>
    <w:p w14:paraId="0C92EF31">
      <w:pPr>
        <w:pStyle w:val="2"/>
        <w:sectPr>
          <w:headerReference r:id="rId6" w:type="first"/>
          <w:footerReference r:id="rId8" w:type="first"/>
          <w:footerReference r:id="rId7" w:type="default"/>
          <w:pgSz w:w="11906" w:h="16838"/>
          <w:pgMar w:top="1440" w:right="1080" w:bottom="1440" w:left="1080" w:header="851" w:footer="992" w:gutter="0"/>
          <w:cols w:space="720" w:num="1"/>
          <w:titlePg/>
          <w:docGrid w:linePitch="312" w:charSpace="0"/>
        </w:sectPr>
      </w:pPr>
    </w:p>
    <w:p w14:paraId="0DFA7CFE">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505" w:name="_Toc18764"/>
      <w:r>
        <w:rPr>
          <w:rFonts w:hint="eastAsia" w:ascii="宋体" w:hAnsi="宋体" w:cs="宋体"/>
          <w:b/>
          <w:color w:val="000000" w:themeColor="text1"/>
          <w:sz w:val="36"/>
          <w:szCs w:val="20"/>
          <w14:textFill>
            <w14:solidFill>
              <w14:schemeClr w14:val="tx1"/>
            </w14:solidFill>
          </w14:textFill>
        </w:rPr>
        <w:t>第六部分</w:t>
      </w:r>
      <w:bookmarkEnd w:id="435"/>
      <w:r>
        <w:rPr>
          <w:rFonts w:hint="eastAsia" w:ascii="宋体" w:hAnsi="宋体" w:cs="宋体"/>
          <w:b/>
          <w:color w:val="000000" w:themeColor="text1"/>
          <w:sz w:val="36"/>
          <w:szCs w:val="20"/>
          <w14:textFill>
            <w14:solidFill>
              <w14:schemeClr w14:val="tx1"/>
            </w14:solidFill>
          </w14:textFill>
        </w:rPr>
        <w:t xml:space="preserve"> </w:t>
      </w:r>
      <w:bookmarkEnd w:id="436"/>
      <w:r>
        <w:rPr>
          <w:rFonts w:hint="eastAsia" w:ascii="宋体" w:hAnsi="宋体" w:cs="宋体"/>
          <w:b/>
          <w:color w:val="000000" w:themeColor="text1"/>
          <w:sz w:val="36"/>
          <w:szCs w:val="20"/>
          <w14:textFill>
            <w14:solidFill>
              <w14:schemeClr w14:val="tx1"/>
            </w14:solidFill>
          </w14:textFill>
        </w:rPr>
        <w:t>应提交的有关格式范例</w:t>
      </w:r>
      <w:bookmarkEnd w:id="505"/>
    </w:p>
    <w:p w14:paraId="3E936232">
      <w:pPr>
        <w:spacing w:line="360" w:lineRule="auto"/>
        <w:jc w:val="center"/>
        <w:rPr>
          <w:rFonts w:ascii="宋体" w:hAnsi="宋体" w:cs="宋体"/>
          <w:b/>
          <w:color w:val="000000" w:themeColor="text1"/>
          <w:kern w:val="0"/>
          <w:sz w:val="36"/>
          <w:szCs w:val="36"/>
          <w14:textFill>
            <w14:solidFill>
              <w14:schemeClr w14:val="tx1"/>
            </w14:solidFill>
          </w14:textFill>
        </w:rPr>
      </w:pPr>
    </w:p>
    <w:p w14:paraId="504D7398">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06" w:name="_Toc2671"/>
      <w:r>
        <w:rPr>
          <w:rFonts w:hint="eastAsia" w:ascii="宋体" w:hAnsi="宋体" w:cs="宋体"/>
          <w:b/>
          <w:color w:val="000000" w:themeColor="text1"/>
          <w:kern w:val="0"/>
          <w:sz w:val="36"/>
          <w:szCs w:val="36"/>
          <w14:textFill>
            <w14:solidFill>
              <w14:schemeClr w14:val="tx1"/>
            </w14:solidFill>
          </w14:textFill>
        </w:rPr>
        <w:t>资格文件部分</w:t>
      </w:r>
      <w:bookmarkEnd w:id="506"/>
    </w:p>
    <w:p w14:paraId="1CEED117">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2DF2B56">
      <w:pPr>
        <w:spacing w:line="360" w:lineRule="auto"/>
        <w:jc w:val="center"/>
        <w:rPr>
          <w:rFonts w:ascii="宋体" w:hAnsi="宋体" w:cs="宋体"/>
          <w:b/>
          <w:color w:val="000000" w:themeColor="text1"/>
          <w:kern w:val="0"/>
          <w:sz w:val="36"/>
          <w:szCs w:val="36"/>
          <w14:textFill>
            <w14:solidFill>
              <w14:schemeClr w14:val="tx1"/>
            </w14:solidFill>
          </w14:textFill>
        </w:rPr>
      </w:pPr>
    </w:p>
    <w:p w14:paraId="5A6D21A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47584C7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0A26D42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2D7BF8A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5400FA40">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18663DE4">
      <w:pPr>
        <w:spacing w:line="360" w:lineRule="auto"/>
        <w:ind w:firstLine="480" w:firstLineChars="200"/>
        <w:rPr>
          <w:rFonts w:ascii="宋体" w:hAnsi="宋体" w:cs="宋体"/>
          <w:color w:val="000000" w:themeColor="text1"/>
          <w:sz w:val="24"/>
          <w14:textFill>
            <w14:solidFill>
              <w14:schemeClr w14:val="tx1"/>
            </w14:solidFill>
          </w14:textFill>
        </w:rPr>
      </w:pPr>
    </w:p>
    <w:p w14:paraId="08E1408A">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bookmarkStart w:id="507" w:name="_Toc15266"/>
      <w:bookmarkStart w:id="508" w:name="_Toc6722"/>
      <w:r>
        <w:rPr>
          <w:rFonts w:hint="eastAsia" w:ascii="宋体" w:hAnsi="宋体" w:cs="宋体"/>
          <w:b/>
          <w:color w:val="000000" w:themeColor="text1"/>
          <w:kern w:val="0"/>
          <w:sz w:val="32"/>
          <w:szCs w:val="32"/>
          <w14:textFill>
            <w14:solidFill>
              <w14:schemeClr w14:val="tx1"/>
            </w14:solidFill>
          </w14:textFill>
        </w:rPr>
        <w:t>一、符合参加政府采购活动应当具备的一般条件的承诺函</w:t>
      </w:r>
      <w:bookmarkEnd w:id="507"/>
      <w:bookmarkEnd w:id="508"/>
    </w:p>
    <w:p w14:paraId="0BE2E00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1D38896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我方参与浙江中医药大学富春校区北区食堂智慧化建设工程【项目编号：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】政府采购活动，郑重承诺：</w:t>
      </w:r>
    </w:p>
    <w:p w14:paraId="6FF823EA">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10FFBDB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205F0EF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67A7446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10A4345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659FD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540B895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EF921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971184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0A66B89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3D3F2B7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A6D9B90">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770161A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C3F8CD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9AD6980">
      <w:pPr>
        <w:widowControl/>
        <w:spacing w:line="360" w:lineRule="auto"/>
        <w:ind w:firstLine="643" w:firstLineChars="200"/>
        <w:jc w:val="center"/>
        <w:outlineLvl w:val="2"/>
        <w:rPr>
          <w:rFonts w:ascii="宋体" w:hAnsi="宋体" w:cs="宋体"/>
          <w:b/>
          <w:color w:val="000000" w:themeColor="text1"/>
          <w:kern w:val="0"/>
          <w:sz w:val="32"/>
          <w:szCs w:val="32"/>
          <w14:textFill>
            <w14:solidFill>
              <w14:schemeClr w14:val="tx1"/>
            </w14:solidFill>
          </w14:textFill>
        </w:rPr>
      </w:pPr>
      <w:bookmarkStart w:id="509" w:name="_Toc24919"/>
      <w:bookmarkStart w:id="510" w:name="_Toc30948"/>
      <w:r>
        <w:rPr>
          <w:rFonts w:hint="eastAsia" w:ascii="宋体" w:hAnsi="宋体" w:cs="宋体"/>
          <w:b/>
          <w:color w:val="000000" w:themeColor="text1"/>
          <w:kern w:val="0"/>
          <w:sz w:val="32"/>
          <w:szCs w:val="32"/>
          <w14:textFill>
            <w14:solidFill>
              <w14:schemeClr w14:val="tx1"/>
            </w14:solidFill>
          </w14:textFill>
        </w:rPr>
        <w:t>二、联合协议（如果有）</w:t>
      </w:r>
      <w:bookmarkEnd w:id="509"/>
      <w:bookmarkEnd w:id="510"/>
    </w:p>
    <w:p w14:paraId="26E91E1F">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14:paraId="5F3E230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7F9A911">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bookmarkStart w:id="511" w:name="_Toc12414"/>
      <w:bookmarkStart w:id="512" w:name="_Toc635"/>
      <w:r>
        <w:rPr>
          <w:rFonts w:hint="eastAsia" w:ascii="宋体" w:hAnsi="宋体" w:cs="宋体"/>
          <w:b/>
          <w:color w:val="000000" w:themeColor="text1"/>
          <w:kern w:val="0"/>
          <w:sz w:val="32"/>
          <w:szCs w:val="32"/>
          <w14:textFill>
            <w14:solidFill>
              <w14:schemeClr w14:val="tx1"/>
            </w14:solidFill>
          </w14:textFill>
        </w:rPr>
        <w:t>三、落实政府采购政策需满足的资格要求</w:t>
      </w:r>
      <w:bookmarkEnd w:id="511"/>
      <w:bookmarkEnd w:id="512"/>
    </w:p>
    <w:p w14:paraId="078F85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14:paraId="35BF850E">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6ED45D0A">
      <w:pPr>
        <w:widowControl/>
        <w:spacing w:line="360" w:lineRule="auto"/>
        <w:ind w:firstLine="480"/>
        <w:jc w:val="left"/>
        <w:rPr>
          <w:rFonts w:ascii="宋体" w:hAnsi="宋体" w:cs="宋体"/>
          <w:color w:val="000000" w:themeColor="text1"/>
          <w:sz w:val="24"/>
          <w14:textFill>
            <w14:solidFill>
              <w14:schemeClr w14:val="tx1"/>
            </w14:solidFill>
          </w14:textFill>
        </w:rPr>
      </w:pPr>
    </w:p>
    <w:p w14:paraId="6F8D9321">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6B733262">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5B9A34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0E7D966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759D8AD4">
      <w:pPr>
        <w:widowControl/>
        <w:spacing w:line="360" w:lineRule="auto"/>
        <w:ind w:left="150"/>
        <w:jc w:val="center"/>
        <w:outlineLvl w:val="2"/>
        <w:rPr>
          <w:rFonts w:ascii="宋体" w:hAnsi="宋体" w:cs="宋体"/>
          <w:b/>
          <w:color w:val="000000" w:themeColor="text1"/>
          <w:kern w:val="0"/>
          <w:sz w:val="32"/>
          <w:szCs w:val="32"/>
          <w14:textFill>
            <w14:solidFill>
              <w14:schemeClr w14:val="tx1"/>
            </w14:solidFill>
          </w14:textFill>
        </w:rPr>
      </w:pPr>
      <w:bookmarkStart w:id="513" w:name="_Toc26817"/>
      <w:bookmarkStart w:id="514" w:name="_Toc17874"/>
      <w:r>
        <w:rPr>
          <w:rFonts w:hint="eastAsia" w:ascii="宋体" w:hAnsi="宋体" w:cs="宋体"/>
          <w:b/>
          <w:color w:val="000000" w:themeColor="text1"/>
          <w:kern w:val="0"/>
          <w:sz w:val="32"/>
          <w:szCs w:val="32"/>
          <w14:textFill>
            <w14:solidFill>
              <w14:schemeClr w14:val="tx1"/>
            </w14:solidFill>
          </w14:textFill>
        </w:rPr>
        <w:t>四、本项目的特定资格要求</w:t>
      </w:r>
      <w:bookmarkEnd w:id="513"/>
      <w:bookmarkEnd w:id="514"/>
    </w:p>
    <w:p w14:paraId="04D6E53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14:paraId="2FF5CA88">
      <w:pPr>
        <w:rPr>
          <w:rFonts w:ascii="宋体" w:hAnsi="宋体" w:cs="宋体"/>
          <w:color w:val="000000" w:themeColor="text1"/>
          <w14:textFill>
            <w14:solidFill>
              <w14:schemeClr w14:val="tx1"/>
            </w14:solidFill>
          </w14:textFill>
        </w:rPr>
      </w:pPr>
    </w:p>
    <w:p w14:paraId="714C7A4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74872C1">
      <w:pPr>
        <w:tabs>
          <w:tab w:val="left" w:pos="432"/>
        </w:tabs>
        <w:rPr>
          <w:rFonts w:ascii="宋体" w:hAnsi="宋体" w:cs="宋体"/>
          <w:color w:val="000000" w:themeColor="text1"/>
          <w:kern w:val="0"/>
          <w:sz w:val="36"/>
          <w:szCs w:val="36"/>
          <w14:textFill>
            <w14:solidFill>
              <w14:schemeClr w14:val="tx1"/>
            </w14:solidFill>
          </w14:textFill>
        </w:rPr>
      </w:pPr>
    </w:p>
    <w:p w14:paraId="003E7DCC">
      <w:pPr>
        <w:spacing w:line="360" w:lineRule="auto"/>
        <w:ind w:right="420" w:firstLine="3614" w:firstLineChars="1000"/>
        <w:outlineLvl w:val="1"/>
        <w:rPr>
          <w:rFonts w:ascii="宋体" w:hAnsi="宋体" w:cs="宋体"/>
          <w:b/>
          <w:color w:val="000000" w:themeColor="text1"/>
          <w:kern w:val="0"/>
          <w:sz w:val="36"/>
          <w:szCs w:val="36"/>
          <w14:textFill>
            <w14:solidFill>
              <w14:schemeClr w14:val="tx1"/>
            </w14:solidFill>
          </w14:textFill>
        </w:rPr>
      </w:pPr>
      <w:bookmarkStart w:id="515" w:name="_Toc12004"/>
      <w:r>
        <w:rPr>
          <w:rFonts w:hint="eastAsia" w:ascii="宋体" w:hAnsi="宋体" w:cs="宋体"/>
          <w:b/>
          <w:color w:val="000000" w:themeColor="text1"/>
          <w:kern w:val="0"/>
          <w:sz w:val="36"/>
          <w:szCs w:val="36"/>
          <w14:textFill>
            <w14:solidFill>
              <w14:schemeClr w14:val="tx1"/>
            </w14:solidFill>
          </w14:textFill>
        </w:rPr>
        <w:t>商务技术文件部分</w:t>
      </w:r>
      <w:bookmarkEnd w:id="515"/>
    </w:p>
    <w:p w14:paraId="6FF3204F">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7542B9A5">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14:paraId="1C68AF2B">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14:paraId="1E353259">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14:paraId="008EE12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67FFB72B">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14:paraId="4A5BAEC7">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50AA0777">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FA8FF37">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16" w:name="_Toc8221"/>
      <w:bookmarkStart w:id="517" w:name="_Toc30362"/>
      <w:r>
        <w:rPr>
          <w:rFonts w:hint="eastAsia" w:ascii="宋体" w:hAnsi="宋体" w:cs="宋体"/>
          <w:b/>
          <w:bCs/>
          <w:color w:val="000000" w:themeColor="text1"/>
          <w:sz w:val="32"/>
          <w:szCs w:val="32"/>
          <w:lang w:val="zh-CN"/>
          <w14:textFill>
            <w14:solidFill>
              <w14:schemeClr w14:val="tx1"/>
            </w14:solidFill>
          </w14:textFill>
        </w:rPr>
        <w:t>一、响应函</w:t>
      </w:r>
      <w:bookmarkEnd w:id="516"/>
      <w:bookmarkEnd w:id="517"/>
    </w:p>
    <w:p w14:paraId="2C0E385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2DD73F6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我方参加你方组织的浙江中医药大学富春校区北区食堂智慧化建设工程【项目编号：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】采购的有关活动，并对此项目提交响应文件及报价。为此：</w:t>
      </w:r>
    </w:p>
    <w:p w14:paraId="1CC1A32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14:paraId="785CA2B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0E7FDA3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9FD561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3945539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3A76AE4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0C251D3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3EB1F1F2">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FBE08C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14:paraId="173AF7E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0D1A130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00ED5F2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31F0A7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14:paraId="6FD2F84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7C95B428">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221B75B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D4FF53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14:paraId="2C929CF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14:paraId="0664A6E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2F611C5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3、我方承诺除商务技术偏离表列出的偏离外，我方响应采购文件的全部要求。对响应文件中材料的真实性、合法性负责，积极配合采购人、采购代理机构复核响应文件中的资料。</w:t>
      </w:r>
    </w:p>
    <w:p w14:paraId="57118A4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6C1B932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683117F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2A617F5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1A038BC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FE92B8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85D981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6、其他补充说明: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DC6D08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23A2C9B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4664BA8">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67222D6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A61B930">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0BD6390A">
      <w:pPr>
        <w:snapToGrid w:val="0"/>
        <w:spacing w:line="360" w:lineRule="auto"/>
        <w:rPr>
          <w:rFonts w:ascii="宋体" w:hAnsi="宋体" w:cs="宋体"/>
          <w:color w:val="000000" w:themeColor="text1"/>
          <w:sz w:val="24"/>
          <w14:textFill>
            <w14:solidFill>
              <w14:schemeClr w14:val="tx1"/>
            </w14:solidFill>
          </w14:textFill>
        </w:rPr>
      </w:pPr>
    </w:p>
    <w:p w14:paraId="7BA6DAC1">
      <w:pPr>
        <w:jc w:val="center"/>
        <w:rPr>
          <w:rFonts w:ascii="宋体" w:hAnsi="宋体" w:cs="宋体"/>
          <w:b/>
          <w:color w:val="000000" w:themeColor="text1"/>
          <w:kern w:val="0"/>
          <w:sz w:val="32"/>
          <w:szCs w:val="32"/>
          <w14:textFill>
            <w14:solidFill>
              <w14:schemeClr w14:val="tx1"/>
            </w14:solidFill>
          </w14:textFill>
        </w:rPr>
      </w:pPr>
    </w:p>
    <w:p w14:paraId="0D0BD9F6">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C8007AB">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18" w:name="_Toc13845"/>
      <w:bookmarkStart w:id="519" w:name="_Toc7284"/>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bookmarkEnd w:id="518"/>
      <w:bookmarkEnd w:id="519"/>
    </w:p>
    <w:p w14:paraId="2F0C668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A205F9E">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621417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13742978">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浙江中医药大学富春校区北区食堂智慧化建设工程【项目编号：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6BF9102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B4948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61C129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72EAD509">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31E412B5">
      <w:pPr>
        <w:snapToGrid w:val="0"/>
        <w:spacing w:line="360" w:lineRule="auto"/>
        <w:rPr>
          <w:rFonts w:ascii="宋体" w:hAnsi="宋体" w:cs="宋体"/>
          <w:color w:val="000000" w:themeColor="text1"/>
          <w:sz w:val="24"/>
          <w14:textFill>
            <w14:solidFill>
              <w14:schemeClr w14:val="tx1"/>
            </w14:solidFill>
          </w14:textFill>
        </w:rPr>
      </w:pPr>
    </w:p>
    <w:p w14:paraId="74149555">
      <w:pPr>
        <w:snapToGrid w:val="0"/>
        <w:spacing w:line="360" w:lineRule="auto"/>
        <w:rPr>
          <w:rFonts w:ascii="宋体" w:hAnsi="宋体" w:cs="宋体"/>
          <w:color w:val="000000" w:themeColor="text1"/>
          <w:sz w:val="24"/>
          <w14:textFill>
            <w14:solidFill>
              <w14:schemeClr w14:val="tx1"/>
            </w14:solidFill>
          </w14:textFill>
        </w:rPr>
      </w:pPr>
    </w:p>
    <w:p w14:paraId="567D46A2">
      <w:pPr>
        <w:snapToGrid w:val="0"/>
        <w:spacing w:line="360" w:lineRule="auto"/>
        <w:rPr>
          <w:rFonts w:ascii="宋体" w:hAnsi="宋体" w:cs="宋体"/>
          <w:color w:val="000000" w:themeColor="text1"/>
          <w:sz w:val="24"/>
          <w14:textFill>
            <w14:solidFill>
              <w14:schemeClr w14:val="tx1"/>
            </w14:solidFill>
          </w14:textFill>
        </w:rPr>
      </w:pPr>
    </w:p>
    <w:p w14:paraId="6AD1FFA5">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42E33CC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541B2B7B">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浙江中医药大学富春校区北区食堂智慧化建设工程【项目编号：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7E24493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62E7746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220FC7D5">
      <w:pPr>
        <w:jc w:val="center"/>
        <w:rPr>
          <w:rFonts w:ascii="宋体" w:hAnsi="宋体" w:cs="宋体"/>
          <w:b/>
          <w:color w:val="000000" w:themeColor="text1"/>
          <w:kern w:val="0"/>
          <w:sz w:val="32"/>
          <w:szCs w:val="32"/>
          <w14:textFill>
            <w14:solidFill>
              <w14:schemeClr w14:val="tx1"/>
            </w14:solidFill>
          </w14:textFill>
        </w:rPr>
      </w:pPr>
    </w:p>
    <w:p w14:paraId="53F2D407">
      <w:pPr>
        <w:jc w:val="center"/>
        <w:rPr>
          <w:rFonts w:ascii="宋体" w:hAnsi="宋体" w:cs="宋体"/>
          <w:b/>
          <w:color w:val="000000" w:themeColor="text1"/>
          <w:kern w:val="0"/>
          <w:sz w:val="32"/>
          <w:szCs w:val="32"/>
          <w14:textFill>
            <w14:solidFill>
              <w14:schemeClr w14:val="tx1"/>
            </w14:solidFill>
          </w14:textFill>
        </w:rPr>
      </w:pPr>
    </w:p>
    <w:p w14:paraId="5BA35686">
      <w:pPr>
        <w:jc w:val="center"/>
        <w:rPr>
          <w:rFonts w:ascii="宋体" w:hAnsi="宋体" w:cs="宋体"/>
          <w:b/>
          <w:color w:val="000000" w:themeColor="text1"/>
          <w:kern w:val="0"/>
          <w:sz w:val="32"/>
          <w:szCs w:val="32"/>
          <w14:textFill>
            <w14:solidFill>
              <w14:schemeClr w14:val="tx1"/>
            </w14:solidFill>
          </w14:textFill>
        </w:rPr>
      </w:pPr>
    </w:p>
    <w:p w14:paraId="2EEA0290">
      <w:pPr>
        <w:rPr>
          <w:rFonts w:ascii="宋体" w:hAnsi="宋体" w:cs="宋体"/>
          <w:color w:val="000000" w:themeColor="text1"/>
          <w14:textFill>
            <w14:solidFill>
              <w14:schemeClr w14:val="tx1"/>
            </w14:solidFill>
          </w14:textFill>
        </w:rPr>
      </w:pPr>
    </w:p>
    <w:p w14:paraId="091B18F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6D7BAE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2BAA7E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0D3989F">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D090F1F">
      <w:pPr>
        <w:snapToGrid w:val="0"/>
        <w:jc w:val="center"/>
        <w:rPr>
          <w:rFonts w:ascii="宋体" w:hAnsi="宋体" w:cs="宋体"/>
          <w:b/>
          <w:bCs/>
          <w:color w:val="000000" w:themeColor="text1"/>
          <w:sz w:val="32"/>
          <w:szCs w:val="32"/>
          <w:lang w:val="zh-CN"/>
          <w14:textFill>
            <w14:solidFill>
              <w14:schemeClr w14:val="tx1"/>
            </w14:solidFill>
          </w14:textFill>
        </w:rPr>
      </w:pPr>
    </w:p>
    <w:p w14:paraId="67A57DE5">
      <w:pPr>
        <w:snapToGrid w:val="0"/>
        <w:jc w:val="center"/>
        <w:rPr>
          <w:rFonts w:ascii="宋体" w:hAnsi="宋体" w:cs="宋体"/>
          <w:b/>
          <w:bCs/>
          <w:color w:val="000000" w:themeColor="text1"/>
          <w:sz w:val="32"/>
          <w:szCs w:val="32"/>
          <w:lang w:val="zh-CN"/>
          <w14:textFill>
            <w14:solidFill>
              <w14:schemeClr w14:val="tx1"/>
            </w14:solidFill>
          </w14:textFill>
        </w:rPr>
      </w:pPr>
    </w:p>
    <w:p w14:paraId="414A5B66">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14:paraId="4922A773">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06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5374FD">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CDC7B6B">
            <w:pPr>
              <w:pStyle w:val="149"/>
              <w:adjustRightInd w:val="0"/>
              <w:spacing w:line="360" w:lineRule="auto"/>
              <w:rPr>
                <w:rFonts w:hAnsi="宋体" w:cs="宋体"/>
                <w:bCs/>
                <w:color w:val="000000" w:themeColor="text1"/>
                <w:sz w:val="24"/>
                <w14:textFill>
                  <w14:solidFill>
                    <w14:schemeClr w14:val="tx1"/>
                  </w14:solidFill>
                </w14:textFill>
              </w:rPr>
            </w:pPr>
          </w:p>
        </w:tc>
      </w:tr>
    </w:tbl>
    <w:p w14:paraId="19F46AE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B36FB6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361023C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5515849">
      <w:pPr>
        <w:jc w:val="center"/>
        <w:rPr>
          <w:rFonts w:ascii="宋体" w:hAnsi="宋体" w:cs="宋体"/>
          <w:b/>
          <w:color w:val="000000" w:themeColor="text1"/>
          <w:kern w:val="0"/>
          <w:sz w:val="32"/>
          <w:szCs w:val="32"/>
          <w14:textFill>
            <w14:solidFill>
              <w14:schemeClr w14:val="tx1"/>
            </w14:solidFill>
          </w14:textFill>
        </w:rPr>
      </w:pPr>
    </w:p>
    <w:p w14:paraId="5F965FAB">
      <w:pPr>
        <w:jc w:val="center"/>
        <w:rPr>
          <w:rFonts w:ascii="宋体" w:hAnsi="宋体" w:cs="宋体"/>
          <w:b/>
          <w:color w:val="000000" w:themeColor="text1"/>
          <w:kern w:val="0"/>
          <w:sz w:val="32"/>
          <w:szCs w:val="32"/>
          <w14:textFill>
            <w14:solidFill>
              <w14:schemeClr w14:val="tx1"/>
            </w14:solidFill>
          </w14:textFill>
        </w:rPr>
      </w:pPr>
    </w:p>
    <w:p w14:paraId="383BB867">
      <w:pPr>
        <w:jc w:val="center"/>
        <w:rPr>
          <w:rFonts w:ascii="宋体" w:hAnsi="宋体" w:cs="宋体"/>
          <w:b/>
          <w:color w:val="000000" w:themeColor="text1"/>
          <w:kern w:val="0"/>
          <w:sz w:val="32"/>
          <w:szCs w:val="32"/>
          <w14:textFill>
            <w14:solidFill>
              <w14:schemeClr w14:val="tx1"/>
            </w14:solidFill>
          </w14:textFill>
        </w:rPr>
      </w:pPr>
    </w:p>
    <w:p w14:paraId="18244BE0">
      <w:pPr>
        <w:jc w:val="center"/>
        <w:rPr>
          <w:rFonts w:ascii="宋体" w:hAnsi="宋体" w:cs="宋体"/>
          <w:b/>
          <w:color w:val="000000" w:themeColor="text1"/>
          <w:kern w:val="0"/>
          <w:sz w:val="32"/>
          <w:szCs w:val="32"/>
          <w14:textFill>
            <w14:solidFill>
              <w14:schemeClr w14:val="tx1"/>
            </w14:solidFill>
          </w14:textFill>
        </w:rPr>
      </w:pPr>
    </w:p>
    <w:p w14:paraId="2196D547">
      <w:pPr>
        <w:jc w:val="center"/>
        <w:rPr>
          <w:rFonts w:ascii="宋体" w:hAnsi="宋体" w:cs="宋体"/>
          <w:b/>
          <w:color w:val="000000" w:themeColor="text1"/>
          <w:kern w:val="0"/>
          <w:sz w:val="32"/>
          <w:szCs w:val="32"/>
          <w14:textFill>
            <w14:solidFill>
              <w14:schemeClr w14:val="tx1"/>
            </w14:solidFill>
          </w14:textFill>
        </w:rPr>
      </w:pPr>
    </w:p>
    <w:p w14:paraId="40F68817">
      <w:pPr>
        <w:jc w:val="center"/>
        <w:rPr>
          <w:rFonts w:ascii="宋体" w:hAnsi="宋体" w:cs="宋体"/>
          <w:b/>
          <w:color w:val="000000" w:themeColor="text1"/>
          <w:kern w:val="0"/>
          <w:sz w:val="32"/>
          <w:szCs w:val="32"/>
          <w14:textFill>
            <w14:solidFill>
              <w14:schemeClr w14:val="tx1"/>
            </w14:solidFill>
          </w14:textFill>
        </w:rPr>
      </w:pPr>
    </w:p>
    <w:p w14:paraId="4A880E6A">
      <w:pPr>
        <w:jc w:val="center"/>
        <w:rPr>
          <w:rFonts w:ascii="宋体" w:hAnsi="宋体" w:cs="宋体"/>
          <w:b/>
          <w:color w:val="000000" w:themeColor="text1"/>
          <w:kern w:val="0"/>
          <w:sz w:val="32"/>
          <w:szCs w:val="32"/>
          <w14:textFill>
            <w14:solidFill>
              <w14:schemeClr w14:val="tx1"/>
            </w14:solidFill>
          </w14:textFill>
        </w:rPr>
      </w:pPr>
    </w:p>
    <w:p w14:paraId="10BD4781">
      <w:pPr>
        <w:jc w:val="center"/>
        <w:rPr>
          <w:rFonts w:ascii="宋体" w:hAnsi="宋体" w:cs="宋体"/>
          <w:b/>
          <w:color w:val="000000" w:themeColor="text1"/>
          <w:kern w:val="0"/>
          <w:sz w:val="32"/>
          <w:szCs w:val="32"/>
          <w14:textFill>
            <w14:solidFill>
              <w14:schemeClr w14:val="tx1"/>
            </w14:solidFill>
          </w14:textFill>
        </w:rPr>
      </w:pPr>
    </w:p>
    <w:p w14:paraId="7A58505D">
      <w:pPr>
        <w:jc w:val="center"/>
        <w:rPr>
          <w:rFonts w:ascii="宋体" w:hAnsi="宋体" w:cs="宋体"/>
          <w:b/>
          <w:color w:val="000000" w:themeColor="text1"/>
          <w:kern w:val="0"/>
          <w:sz w:val="32"/>
          <w:szCs w:val="32"/>
          <w14:textFill>
            <w14:solidFill>
              <w14:schemeClr w14:val="tx1"/>
            </w14:solidFill>
          </w14:textFill>
        </w:rPr>
      </w:pPr>
    </w:p>
    <w:p w14:paraId="0E781C4C">
      <w:pPr>
        <w:jc w:val="center"/>
        <w:rPr>
          <w:rFonts w:ascii="宋体" w:hAnsi="宋体" w:cs="宋体"/>
          <w:b/>
          <w:color w:val="000000" w:themeColor="text1"/>
          <w:kern w:val="0"/>
          <w:sz w:val="32"/>
          <w:szCs w:val="32"/>
          <w14:textFill>
            <w14:solidFill>
              <w14:schemeClr w14:val="tx1"/>
            </w14:solidFill>
          </w14:textFill>
        </w:rPr>
      </w:pPr>
    </w:p>
    <w:p w14:paraId="7E0F0ABE">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2CBCC6B">
      <w:pPr>
        <w:snapToGrid w:val="0"/>
        <w:jc w:val="center"/>
        <w:outlineLvl w:val="2"/>
        <w:rPr>
          <w:rFonts w:ascii="宋体" w:hAnsi="宋体" w:cs="宋体"/>
          <w:b/>
          <w:bCs/>
          <w:color w:val="000000" w:themeColor="text1"/>
          <w:sz w:val="32"/>
          <w:szCs w:val="32"/>
          <w14:textFill>
            <w14:solidFill>
              <w14:schemeClr w14:val="tx1"/>
            </w14:solidFill>
          </w14:textFill>
        </w:rPr>
      </w:pPr>
      <w:bookmarkStart w:id="520" w:name="_Toc10868"/>
      <w:bookmarkStart w:id="521" w:name="_Toc4580"/>
      <w:r>
        <w:rPr>
          <w:rFonts w:hint="eastAsia" w:ascii="宋体" w:hAnsi="宋体" w:cs="宋体"/>
          <w:b/>
          <w:bCs/>
          <w:color w:val="000000" w:themeColor="text1"/>
          <w:sz w:val="32"/>
          <w:szCs w:val="32"/>
          <w14:textFill>
            <w14:solidFill>
              <w14:schemeClr w14:val="tx1"/>
            </w14:solidFill>
          </w14:textFill>
        </w:rPr>
        <w:t>三、分包意向协议</w:t>
      </w:r>
      <w:bookmarkEnd w:id="520"/>
      <w:bookmarkEnd w:id="521"/>
    </w:p>
    <w:p w14:paraId="67405581">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22"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522"/>
    <w:p w14:paraId="747B0295">
      <w:pPr>
        <w:snapToGrid w:val="0"/>
        <w:spacing w:line="360" w:lineRule="auto"/>
        <w:rPr>
          <w:rFonts w:ascii="宋体" w:hAnsi="宋体" w:cs="宋体"/>
          <w:color w:val="000000" w:themeColor="text1"/>
          <w:kern w:val="0"/>
          <w:sz w:val="24"/>
          <w14:textFill>
            <w14:solidFill>
              <w14:schemeClr w14:val="tx1"/>
            </w14:solidFill>
          </w14:textFill>
        </w:rPr>
      </w:pPr>
    </w:p>
    <w:p w14:paraId="4AC36A23">
      <w:pPr>
        <w:snapToGrid w:val="0"/>
        <w:jc w:val="center"/>
        <w:outlineLvl w:val="2"/>
        <w:rPr>
          <w:rFonts w:ascii="宋体" w:hAnsi="宋体" w:cs="宋体"/>
          <w:b/>
          <w:bCs/>
          <w:color w:val="000000" w:themeColor="text1"/>
          <w:sz w:val="32"/>
          <w:szCs w:val="32"/>
          <w14:textFill>
            <w14:solidFill>
              <w14:schemeClr w14:val="tx1"/>
            </w14:solidFill>
          </w14:textFill>
        </w:rPr>
      </w:pPr>
      <w:bookmarkStart w:id="523" w:name="_Toc17103"/>
      <w:bookmarkStart w:id="524" w:name="_Toc4337"/>
      <w:r>
        <w:rPr>
          <w:rFonts w:hint="eastAsia" w:ascii="宋体" w:hAnsi="宋体" w:cs="宋体"/>
          <w:b/>
          <w:bCs/>
          <w:color w:val="000000" w:themeColor="text1"/>
          <w:sz w:val="32"/>
          <w:szCs w:val="32"/>
          <w14:textFill>
            <w14:solidFill>
              <w14:schemeClr w14:val="tx1"/>
            </w14:solidFill>
          </w14:textFill>
        </w:rPr>
        <w:t>四、符合性审查资料</w:t>
      </w:r>
      <w:bookmarkEnd w:id="523"/>
      <w:bookmarkEnd w:id="524"/>
    </w:p>
    <w:p w14:paraId="76AC63C4">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0A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FD1176">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276723A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06CB4B9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1C1FCA4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12FAEBA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5EEE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CDA30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4585494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233CB89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21BF62D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0BD03A78">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E06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74C42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45B5F11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D022FB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3716AB3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7DCE6A9B">
            <w:pPr>
              <w:pStyle w:val="4"/>
              <w:jc w:val="both"/>
              <w:rPr>
                <w:rFonts w:ascii="宋体" w:hAnsi="宋体" w:eastAsia="宋体" w:cs="宋体"/>
                <w:color w:val="000000" w:themeColor="text1"/>
                <w:lang w:val="en-US"/>
                <w14:textFill>
                  <w14:solidFill>
                    <w14:schemeClr w14:val="tx1"/>
                  </w14:solidFill>
                </w14:textFill>
              </w:rPr>
            </w:pPr>
            <w:bookmarkStart w:id="525" w:name="_Toc8024"/>
            <w:bookmarkStart w:id="526" w:name="_Toc27080"/>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bookmarkEnd w:id="525"/>
            <w:bookmarkEnd w:id="526"/>
          </w:p>
        </w:tc>
      </w:tr>
      <w:tr w14:paraId="6C0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38AFD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2F0846B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14:paraId="577DC96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5E608404">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3215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DEEAB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1FDA54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162B3D9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72B68979">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EF4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414D3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991" w:type="dxa"/>
          </w:tcPr>
          <w:p w14:paraId="3EF112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2AD67DAF">
            <w:pPr>
              <w:rPr>
                <w:rFonts w:ascii="宋体" w:hAnsi="宋体" w:cs="宋体"/>
                <w:color w:val="000000" w:themeColor="text1"/>
                <w:kern w:val="0"/>
                <w:sz w:val="24"/>
                <w14:textFill>
                  <w14:solidFill>
                    <w14:schemeClr w14:val="tx1"/>
                  </w14:solidFill>
                </w14:textFill>
              </w:rPr>
            </w:pPr>
          </w:p>
        </w:tc>
        <w:tc>
          <w:tcPr>
            <w:tcW w:w="1418" w:type="dxa"/>
            <w:vAlign w:val="center"/>
          </w:tcPr>
          <w:p w14:paraId="3AF1DB4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FDC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4999FE">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685EF4D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00E8F5AE">
            <w:pPr>
              <w:rPr>
                <w:rFonts w:ascii="宋体" w:hAnsi="宋体" w:cs="宋体"/>
                <w:color w:val="000000" w:themeColor="text1"/>
                <w:kern w:val="0"/>
                <w:sz w:val="24"/>
                <w14:textFill>
                  <w14:solidFill>
                    <w14:schemeClr w14:val="tx1"/>
                  </w14:solidFill>
                </w14:textFill>
              </w:rPr>
            </w:pPr>
          </w:p>
        </w:tc>
        <w:tc>
          <w:tcPr>
            <w:tcW w:w="1418" w:type="dxa"/>
            <w:vAlign w:val="center"/>
          </w:tcPr>
          <w:p w14:paraId="09CF65B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479737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7F35756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2、采购文件中实质性要求必须明确响应。</w:t>
      </w:r>
    </w:p>
    <w:p w14:paraId="09EA56F2">
      <w:pPr>
        <w:pStyle w:val="79"/>
        <w:rPr>
          <w:color w:val="000000" w:themeColor="text1"/>
          <w14:textFill>
            <w14:solidFill>
              <w14:schemeClr w14:val="tx1"/>
            </w14:solidFill>
          </w14:textFill>
        </w:rPr>
      </w:pPr>
    </w:p>
    <w:p w14:paraId="28063C7F">
      <w:pPr>
        <w:jc w:val="center"/>
        <w:rPr>
          <w:rFonts w:ascii="宋体" w:hAnsi="宋体" w:cs="宋体"/>
          <w:b/>
          <w:color w:val="000000" w:themeColor="text1"/>
          <w:kern w:val="0"/>
          <w:sz w:val="32"/>
          <w:szCs w:val="32"/>
          <w14:textFill>
            <w14:solidFill>
              <w14:schemeClr w14:val="tx1"/>
            </w14:solidFill>
          </w14:textFill>
        </w:rPr>
      </w:pPr>
    </w:p>
    <w:p w14:paraId="42266E1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577568D">
      <w:pPr>
        <w:jc w:val="center"/>
        <w:rPr>
          <w:rFonts w:ascii="宋体" w:hAnsi="宋体" w:cs="宋体"/>
          <w:b/>
          <w:color w:val="000000" w:themeColor="text1"/>
          <w:kern w:val="0"/>
          <w:sz w:val="32"/>
          <w:szCs w:val="32"/>
          <w14:textFill>
            <w14:solidFill>
              <w14:schemeClr w14:val="tx1"/>
            </w14:solidFill>
          </w14:textFill>
        </w:rPr>
      </w:pPr>
    </w:p>
    <w:p w14:paraId="0C76C9F5">
      <w:pPr>
        <w:jc w:val="center"/>
        <w:rPr>
          <w:rFonts w:ascii="宋体" w:hAnsi="宋体" w:cs="宋体"/>
          <w:b/>
          <w:color w:val="000000" w:themeColor="text1"/>
          <w:kern w:val="0"/>
          <w:sz w:val="32"/>
          <w:szCs w:val="32"/>
          <w14:textFill>
            <w14:solidFill>
              <w14:schemeClr w14:val="tx1"/>
            </w14:solidFill>
          </w14:textFill>
        </w:rPr>
      </w:pPr>
    </w:p>
    <w:p w14:paraId="1D83C1A3">
      <w:pPr>
        <w:jc w:val="center"/>
        <w:rPr>
          <w:rFonts w:ascii="宋体" w:hAnsi="宋体" w:cs="宋体"/>
          <w:b/>
          <w:color w:val="000000" w:themeColor="text1"/>
          <w:kern w:val="0"/>
          <w:sz w:val="32"/>
          <w:szCs w:val="32"/>
          <w14:textFill>
            <w14:solidFill>
              <w14:schemeClr w14:val="tx1"/>
            </w14:solidFill>
          </w14:textFill>
        </w:rPr>
      </w:pPr>
    </w:p>
    <w:p w14:paraId="0291BABC">
      <w:pPr>
        <w:jc w:val="center"/>
        <w:rPr>
          <w:rFonts w:ascii="宋体" w:hAnsi="宋体" w:cs="宋体"/>
          <w:b/>
          <w:color w:val="000000" w:themeColor="text1"/>
          <w:kern w:val="0"/>
          <w:sz w:val="32"/>
          <w:szCs w:val="32"/>
          <w14:textFill>
            <w14:solidFill>
              <w14:schemeClr w14:val="tx1"/>
            </w14:solidFill>
          </w14:textFill>
        </w:rPr>
      </w:pPr>
    </w:p>
    <w:p w14:paraId="59F76143">
      <w:pPr>
        <w:snapToGrid w:val="0"/>
        <w:jc w:val="center"/>
        <w:outlineLvl w:val="2"/>
        <w:rPr>
          <w:rFonts w:ascii="宋体" w:hAnsi="宋体" w:cs="宋体"/>
          <w:b/>
          <w:bCs/>
          <w:color w:val="000000" w:themeColor="text1"/>
          <w:sz w:val="32"/>
          <w:szCs w:val="32"/>
          <w14:textFill>
            <w14:solidFill>
              <w14:schemeClr w14:val="tx1"/>
            </w14:solidFill>
          </w14:textFill>
        </w:rPr>
      </w:pPr>
      <w:bookmarkStart w:id="527" w:name="_Toc16222"/>
      <w:bookmarkStart w:id="528" w:name="_Toc18555"/>
      <w:r>
        <w:rPr>
          <w:rFonts w:hint="eastAsia" w:ascii="宋体" w:hAnsi="宋体" w:cs="宋体"/>
          <w:b/>
          <w:bCs/>
          <w:color w:val="000000" w:themeColor="text1"/>
          <w:sz w:val="32"/>
          <w:szCs w:val="32"/>
          <w14:textFill>
            <w14:solidFill>
              <w14:schemeClr w14:val="tx1"/>
            </w14:solidFill>
          </w14:textFill>
        </w:rPr>
        <w:t>五、评审标准相应的商务技术资料</w:t>
      </w:r>
      <w:bookmarkEnd w:id="527"/>
      <w:bookmarkEnd w:id="528"/>
    </w:p>
    <w:p w14:paraId="229856D1">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9F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B29CFE">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1C2DFD9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619DEB17">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1858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EDFC14">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6F38D0AF">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1B9696D3">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07B8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9A3813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63B4B1D8">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35760DFB">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298B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794FC9">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57463405">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459E177F">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79F1AEAC">
      <w:pPr>
        <w:jc w:val="center"/>
        <w:rPr>
          <w:rFonts w:ascii="宋体" w:hAnsi="宋体" w:cs="宋体"/>
          <w:b/>
          <w:color w:val="000000" w:themeColor="text1"/>
          <w:kern w:val="0"/>
          <w:sz w:val="32"/>
          <w:szCs w:val="32"/>
          <w14:textFill>
            <w14:solidFill>
              <w14:schemeClr w14:val="tx1"/>
            </w14:solidFill>
          </w14:textFill>
        </w:rPr>
      </w:pPr>
    </w:p>
    <w:p w14:paraId="24D0F786">
      <w:pPr>
        <w:jc w:val="center"/>
        <w:rPr>
          <w:rFonts w:ascii="宋体" w:hAnsi="宋体" w:cs="宋体"/>
          <w:b/>
          <w:color w:val="000000" w:themeColor="text1"/>
          <w:kern w:val="0"/>
          <w:sz w:val="32"/>
          <w:szCs w:val="32"/>
          <w14:textFill>
            <w14:solidFill>
              <w14:schemeClr w14:val="tx1"/>
            </w14:solidFill>
          </w14:textFill>
        </w:rPr>
      </w:pPr>
    </w:p>
    <w:p w14:paraId="7309DC04">
      <w:pPr>
        <w:jc w:val="center"/>
        <w:rPr>
          <w:rFonts w:ascii="宋体" w:hAnsi="宋体" w:cs="宋体"/>
          <w:b/>
          <w:color w:val="000000" w:themeColor="text1"/>
          <w:kern w:val="0"/>
          <w:sz w:val="32"/>
          <w:szCs w:val="32"/>
          <w14:textFill>
            <w14:solidFill>
              <w14:schemeClr w14:val="tx1"/>
            </w14:solidFill>
          </w14:textFill>
        </w:rPr>
      </w:pPr>
    </w:p>
    <w:p w14:paraId="0BE94F5F">
      <w:pPr>
        <w:jc w:val="center"/>
        <w:rPr>
          <w:rFonts w:ascii="宋体" w:hAnsi="宋体" w:cs="宋体"/>
          <w:b/>
          <w:color w:val="000000" w:themeColor="text1"/>
          <w:kern w:val="0"/>
          <w:sz w:val="32"/>
          <w:szCs w:val="32"/>
          <w14:textFill>
            <w14:solidFill>
              <w14:schemeClr w14:val="tx1"/>
            </w14:solidFill>
          </w14:textFill>
        </w:rPr>
      </w:pPr>
    </w:p>
    <w:p w14:paraId="1ABA534D">
      <w:pPr>
        <w:jc w:val="center"/>
        <w:rPr>
          <w:rFonts w:ascii="宋体" w:hAnsi="宋体" w:cs="宋体"/>
          <w:b/>
          <w:color w:val="000000" w:themeColor="text1"/>
          <w:kern w:val="0"/>
          <w:sz w:val="32"/>
          <w:szCs w:val="32"/>
          <w14:textFill>
            <w14:solidFill>
              <w14:schemeClr w14:val="tx1"/>
            </w14:solidFill>
          </w14:textFill>
        </w:rPr>
      </w:pPr>
    </w:p>
    <w:p w14:paraId="243E80BC">
      <w:pPr>
        <w:snapToGrid w:val="0"/>
        <w:jc w:val="center"/>
        <w:outlineLvl w:val="2"/>
        <w:rPr>
          <w:rFonts w:ascii="宋体" w:hAnsi="宋体" w:cs="宋体"/>
          <w:b/>
          <w:bCs/>
          <w:color w:val="000000" w:themeColor="text1"/>
          <w:sz w:val="32"/>
          <w:szCs w:val="32"/>
          <w14:textFill>
            <w14:solidFill>
              <w14:schemeClr w14:val="tx1"/>
            </w14:solidFill>
          </w14:textFill>
        </w:rPr>
      </w:pPr>
      <w:bookmarkStart w:id="529" w:name="_Toc16958"/>
      <w:bookmarkStart w:id="530" w:name="_Toc14345"/>
      <w:r>
        <w:rPr>
          <w:rFonts w:hint="eastAsia" w:ascii="宋体" w:hAnsi="宋体" w:cs="宋体"/>
          <w:b/>
          <w:bCs/>
          <w:color w:val="000000" w:themeColor="text1"/>
          <w:sz w:val="32"/>
          <w:szCs w:val="32"/>
          <w14:textFill>
            <w14:solidFill>
              <w14:schemeClr w14:val="tx1"/>
            </w14:solidFill>
          </w14:textFill>
        </w:rPr>
        <w:t>六、商务技术偏离表</w:t>
      </w:r>
      <w:bookmarkEnd w:id="529"/>
      <w:bookmarkEnd w:id="530"/>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82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4B71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55E4459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14:paraId="4FB46D5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39B3C84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0327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2A1A9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243706F8">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7E50500">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44302C1">
            <w:pPr>
              <w:jc w:val="center"/>
              <w:rPr>
                <w:rFonts w:ascii="宋体" w:hAnsi="宋体" w:cs="宋体"/>
                <w:b/>
                <w:color w:val="000000" w:themeColor="text1"/>
                <w:kern w:val="0"/>
                <w:sz w:val="32"/>
                <w:szCs w:val="32"/>
                <w14:textFill>
                  <w14:solidFill>
                    <w14:schemeClr w14:val="tx1"/>
                  </w14:solidFill>
                </w14:textFill>
              </w:rPr>
            </w:pPr>
          </w:p>
        </w:tc>
      </w:tr>
      <w:tr w14:paraId="452A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850ED">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A51522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0B2F915">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11DDC24E">
            <w:pPr>
              <w:jc w:val="center"/>
              <w:rPr>
                <w:rFonts w:ascii="宋体" w:hAnsi="宋体" w:cs="宋体"/>
                <w:b/>
                <w:color w:val="000000" w:themeColor="text1"/>
                <w:kern w:val="0"/>
                <w:sz w:val="32"/>
                <w:szCs w:val="32"/>
                <w14:textFill>
                  <w14:solidFill>
                    <w14:schemeClr w14:val="tx1"/>
                  </w14:solidFill>
                </w14:textFill>
              </w:rPr>
            </w:pPr>
          </w:p>
        </w:tc>
      </w:tr>
      <w:tr w14:paraId="0A2E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A4B6E">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30D8475E">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09718D2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D4487E5">
            <w:pPr>
              <w:jc w:val="center"/>
              <w:rPr>
                <w:rFonts w:ascii="宋体" w:hAnsi="宋体" w:cs="宋体"/>
                <w:b/>
                <w:color w:val="000000" w:themeColor="text1"/>
                <w:kern w:val="0"/>
                <w:sz w:val="32"/>
                <w:szCs w:val="32"/>
                <w14:textFill>
                  <w14:solidFill>
                    <w14:schemeClr w14:val="tx1"/>
                  </w14:solidFill>
                </w14:textFill>
              </w:rPr>
            </w:pPr>
          </w:p>
        </w:tc>
      </w:tr>
    </w:tbl>
    <w:p w14:paraId="1A6B65CD">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14:paraId="52AD1957">
      <w:pPr>
        <w:jc w:val="center"/>
        <w:rPr>
          <w:rFonts w:ascii="宋体" w:hAnsi="宋体" w:cs="宋体"/>
          <w:b/>
          <w:color w:val="000000" w:themeColor="text1"/>
          <w:kern w:val="0"/>
          <w:sz w:val="32"/>
          <w:szCs w:val="32"/>
          <w14:textFill>
            <w14:solidFill>
              <w14:schemeClr w14:val="tx1"/>
            </w14:solidFill>
          </w14:textFill>
        </w:rPr>
      </w:pPr>
    </w:p>
    <w:p w14:paraId="7567A6B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66DDD327">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D867FCF">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3.投标人须保证：除商务技术偏离表列出的偏离外，投标人响应招标文件的全部非实质性要求。</w:t>
      </w:r>
    </w:p>
    <w:p w14:paraId="01D54843">
      <w:pPr>
        <w:spacing w:line="360" w:lineRule="auto"/>
        <w:ind w:right="420"/>
        <w:rPr>
          <w:rFonts w:ascii="宋体" w:hAnsi="宋体" w:cs="宋体"/>
          <w:color w:val="000000" w:themeColor="text1"/>
          <w:sz w:val="24"/>
          <w14:textFill>
            <w14:solidFill>
              <w14:schemeClr w14:val="tx1"/>
            </w14:solidFill>
          </w14:textFill>
        </w:rPr>
      </w:pPr>
    </w:p>
    <w:p w14:paraId="63FE59E7">
      <w:pPr>
        <w:ind w:firstLine="1911" w:firstLineChars="595"/>
        <w:rPr>
          <w:rFonts w:ascii="宋体" w:hAnsi="宋体" w:cs="宋体"/>
          <w:b/>
          <w:bCs/>
          <w:color w:val="000000" w:themeColor="text1"/>
          <w:sz w:val="32"/>
          <w:szCs w:val="32"/>
          <w14:textFill>
            <w14:solidFill>
              <w14:schemeClr w14:val="tx1"/>
            </w14:solidFill>
          </w14:textFill>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3ACCD138">
      <w:pPr>
        <w:snapToGrid w:val="0"/>
        <w:jc w:val="center"/>
        <w:outlineLvl w:val="2"/>
        <w:rPr>
          <w:rFonts w:ascii="宋体" w:hAnsi="宋体" w:cs="宋体"/>
          <w:b/>
          <w:color w:val="000000" w:themeColor="text1"/>
          <w:kern w:val="0"/>
          <w:sz w:val="32"/>
          <w:szCs w:val="32"/>
          <w14:textFill>
            <w14:solidFill>
              <w14:schemeClr w14:val="tx1"/>
            </w14:solidFill>
          </w14:textFill>
        </w:rPr>
      </w:pPr>
      <w:bookmarkStart w:id="531" w:name="_Toc5877"/>
      <w:bookmarkStart w:id="532" w:name="_Toc24289"/>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bookmarkEnd w:id="531"/>
      <w:bookmarkEnd w:id="532"/>
    </w:p>
    <w:p w14:paraId="7F8671E3">
      <w:pPr>
        <w:snapToGrid w:val="0"/>
        <w:spacing w:line="360" w:lineRule="auto"/>
        <w:rPr>
          <w:rFonts w:ascii="宋体" w:hAnsi="宋体" w:cs="宋体"/>
          <w:color w:val="000000" w:themeColor="text1"/>
          <w:sz w:val="24"/>
          <w14:textFill>
            <w14:solidFill>
              <w14:schemeClr w14:val="tx1"/>
            </w14:solidFill>
          </w14:textFill>
        </w:rPr>
      </w:pPr>
    </w:p>
    <w:p w14:paraId="3A71723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09F34CB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9FAFB3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C88687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137717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9191B5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671D939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39888B3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57311FD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F266D4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7C82F1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112B1D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7E0A2A8">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1BDDA615">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14FDC19">
      <w:pPr>
        <w:spacing w:line="360" w:lineRule="auto"/>
        <w:jc w:val="center"/>
        <w:rPr>
          <w:rFonts w:ascii="宋体" w:hAnsi="宋体" w:cs="宋体"/>
          <w:b/>
          <w:bCs/>
          <w:color w:val="000000" w:themeColor="text1"/>
          <w:sz w:val="24"/>
          <w14:textFill>
            <w14:solidFill>
              <w14:schemeClr w14:val="tx1"/>
            </w14:solidFill>
          </w14:textFill>
        </w:rPr>
      </w:pPr>
    </w:p>
    <w:p w14:paraId="44228B8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F32B2FB">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7094F45">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33" w:name="_Toc28385"/>
      <w:r>
        <w:rPr>
          <w:rFonts w:hint="eastAsia" w:ascii="宋体" w:hAnsi="宋体" w:cs="宋体"/>
          <w:b/>
          <w:color w:val="000000" w:themeColor="text1"/>
          <w:kern w:val="0"/>
          <w:sz w:val="36"/>
          <w:szCs w:val="36"/>
          <w14:textFill>
            <w14:solidFill>
              <w14:schemeClr w14:val="tx1"/>
            </w14:solidFill>
          </w14:textFill>
        </w:rPr>
        <w:t>报价文件部分</w:t>
      </w:r>
      <w:bookmarkEnd w:id="533"/>
    </w:p>
    <w:p w14:paraId="676A785A">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40BA5D68">
      <w:pPr>
        <w:spacing w:line="360" w:lineRule="auto"/>
        <w:jc w:val="center"/>
        <w:rPr>
          <w:rFonts w:ascii="宋体" w:hAnsi="宋体" w:cs="宋体"/>
          <w:b/>
          <w:color w:val="000000" w:themeColor="text1"/>
          <w:kern w:val="0"/>
          <w:sz w:val="36"/>
          <w:szCs w:val="36"/>
          <w14:textFill>
            <w14:solidFill>
              <w14:schemeClr w14:val="tx1"/>
            </w14:solidFill>
          </w14:textFill>
        </w:rPr>
      </w:pPr>
    </w:p>
    <w:p w14:paraId="049C358E">
      <w:pPr>
        <w:numPr>
          <w:ilvl w:val="0"/>
          <w:numId w:val="4"/>
        </w:numPr>
        <w:snapToGrid w:val="0"/>
        <w:spacing w:line="360" w:lineRule="auto"/>
        <w:rPr>
          <w:rFonts w:ascii="宋体" w:hAnsi="宋体" w:cs="宋体"/>
          <w:sz w:val="24"/>
        </w:rPr>
      </w:pPr>
      <w:r>
        <w:rPr>
          <w:rFonts w:hint="eastAsia" w:ascii="宋体" w:hAnsi="宋体" w:cs="宋体"/>
          <w:sz w:val="24"/>
        </w:rPr>
        <w:t>报价单…………………………………………………………………………（页码）</w:t>
      </w:r>
    </w:p>
    <w:p w14:paraId="421589B5">
      <w:pPr>
        <w:snapToGrid w:val="0"/>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（2）初次报价明细表</w:t>
      </w:r>
      <w:r>
        <w:rPr>
          <w:rFonts w:hint="eastAsia" w:ascii="宋体" w:hAnsi="宋体" w:cs="宋体"/>
          <w:sz w:val="24"/>
        </w:rPr>
        <w:t>……………………………………………………………（页码）</w:t>
      </w:r>
    </w:p>
    <w:p w14:paraId="3C1E3219">
      <w:pPr>
        <w:pStyle w:val="80"/>
        <w:rPr>
          <w:color w:val="000000" w:themeColor="text1"/>
          <w14:textFill>
            <w14:solidFill>
              <w14:schemeClr w14:val="tx1"/>
            </w14:solidFill>
          </w14:textFill>
        </w:rPr>
      </w:pPr>
    </w:p>
    <w:p w14:paraId="6BF44E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4AF8CD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887F73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429987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4107F8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DB918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03925F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BC9DE3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4404E3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2EC81B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BE0E40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921489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6AAE59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FBC6A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415A5D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FBC765B">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01F030C8">
      <w:pPr>
        <w:pStyle w:val="695"/>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14:paraId="482BD18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4E4845E1">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14:textFill>
            <w14:solidFill>
              <w14:schemeClr w14:val="tx1"/>
            </w14:solidFill>
          </w14:textFill>
        </w:rPr>
        <w:t>浙江中医药大学富春校区北区食堂智慧化建设工程</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FA87A98">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w:t>
      </w:r>
      <w:r>
        <w:rPr>
          <w:rFonts w:hint="eastAsia" w:ascii="宋体" w:hAnsi="宋体" w:cs="宋体"/>
          <w:b/>
          <w:color w:val="000000" w:themeColor="text1"/>
          <w:kern w:val="0"/>
          <w:sz w:val="24"/>
          <w14:textFill>
            <w14:solidFill>
              <w14:schemeClr w14:val="tx1"/>
            </w14:solidFill>
          </w14:textFill>
        </w:rPr>
        <w:t>单</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50"/>
        <w:gridCol w:w="1841"/>
        <w:gridCol w:w="1744"/>
        <w:gridCol w:w="1742"/>
        <w:gridCol w:w="1744"/>
      </w:tblGrid>
      <w:tr w14:paraId="5D6E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8" w:type="pct"/>
            <w:vAlign w:val="center"/>
          </w:tcPr>
          <w:p w14:paraId="15761399">
            <w:pPr>
              <w:jc w:val="center"/>
              <w:rPr>
                <w:rFonts w:ascii="宋体" w:hAnsi="宋体" w:cs="宋体"/>
                <w:b/>
                <w:sz w:val="24"/>
              </w:rPr>
            </w:pPr>
            <w:r>
              <w:rPr>
                <w:rFonts w:hint="eastAsia" w:ascii="宋体" w:hAnsi="宋体" w:cs="宋体"/>
                <w:b/>
                <w:sz w:val="24"/>
              </w:rPr>
              <w:t>项目名称</w:t>
            </w:r>
          </w:p>
        </w:tc>
        <w:tc>
          <w:tcPr>
            <w:tcW w:w="779" w:type="pct"/>
            <w:vAlign w:val="center"/>
          </w:tcPr>
          <w:p w14:paraId="67247156">
            <w:pPr>
              <w:jc w:val="center"/>
              <w:rPr>
                <w:rFonts w:ascii="宋体" w:hAnsi="宋体" w:cs="宋体"/>
                <w:b/>
                <w:sz w:val="24"/>
              </w:rPr>
            </w:pPr>
            <w:r>
              <w:rPr>
                <w:rFonts w:hint="eastAsia" w:ascii="宋体" w:hAnsi="宋体" w:cs="宋体"/>
                <w:b/>
                <w:sz w:val="24"/>
              </w:rPr>
              <w:t>施工范围</w:t>
            </w:r>
          </w:p>
        </w:tc>
        <w:tc>
          <w:tcPr>
            <w:tcW w:w="924" w:type="pct"/>
            <w:vAlign w:val="center"/>
          </w:tcPr>
          <w:p w14:paraId="5DB9E70C">
            <w:pPr>
              <w:jc w:val="center"/>
              <w:rPr>
                <w:rFonts w:ascii="宋体" w:hAnsi="宋体" w:cs="宋体"/>
                <w:b/>
                <w:sz w:val="24"/>
              </w:rPr>
            </w:pPr>
            <w:r>
              <w:rPr>
                <w:rFonts w:hint="eastAsia" w:ascii="宋体" w:hAnsi="宋体" w:cs="宋体"/>
                <w:b/>
                <w:sz w:val="24"/>
              </w:rPr>
              <w:t>施工工期</w:t>
            </w:r>
          </w:p>
        </w:tc>
        <w:tc>
          <w:tcPr>
            <w:tcW w:w="876" w:type="pct"/>
            <w:vAlign w:val="center"/>
          </w:tcPr>
          <w:p w14:paraId="267235C8">
            <w:pPr>
              <w:jc w:val="center"/>
              <w:rPr>
                <w:rFonts w:ascii="宋体" w:hAnsi="宋体" w:cs="宋体"/>
                <w:b/>
                <w:sz w:val="24"/>
              </w:rPr>
            </w:pPr>
            <w:r>
              <w:rPr>
                <w:rFonts w:hint="eastAsia" w:ascii="宋体" w:hAnsi="宋体" w:cs="宋体"/>
                <w:b/>
                <w:sz w:val="24"/>
              </w:rPr>
              <w:t>项目经理</w:t>
            </w:r>
          </w:p>
        </w:tc>
        <w:tc>
          <w:tcPr>
            <w:tcW w:w="875" w:type="pct"/>
            <w:vAlign w:val="center"/>
          </w:tcPr>
          <w:p w14:paraId="4BB9D93B">
            <w:pPr>
              <w:jc w:val="center"/>
              <w:rPr>
                <w:rFonts w:ascii="宋体" w:hAnsi="宋体" w:cs="宋体"/>
                <w:b/>
                <w:sz w:val="24"/>
              </w:rPr>
            </w:pPr>
            <w:r>
              <w:rPr>
                <w:rFonts w:hint="eastAsia" w:ascii="宋体" w:hAnsi="宋体" w:cs="宋体"/>
                <w:b/>
                <w:sz w:val="24"/>
              </w:rPr>
              <w:t>执业证书信息</w:t>
            </w:r>
          </w:p>
        </w:tc>
        <w:tc>
          <w:tcPr>
            <w:tcW w:w="876" w:type="pct"/>
            <w:vAlign w:val="center"/>
          </w:tcPr>
          <w:p w14:paraId="4D2EE6B8">
            <w:pPr>
              <w:jc w:val="center"/>
              <w:rPr>
                <w:rFonts w:ascii="宋体" w:hAnsi="宋体" w:cs="宋体"/>
                <w:b/>
                <w:sz w:val="24"/>
              </w:rPr>
            </w:pPr>
          </w:p>
          <w:p w14:paraId="2087F3FF">
            <w:pPr>
              <w:jc w:val="center"/>
              <w:rPr>
                <w:rFonts w:ascii="宋体" w:hAnsi="宋体" w:cs="宋体"/>
                <w:b/>
                <w:sz w:val="24"/>
              </w:rPr>
            </w:pPr>
            <w:r>
              <w:rPr>
                <w:rFonts w:hint="eastAsia" w:ascii="宋体" w:hAnsi="宋体" w:cs="宋体"/>
                <w:b/>
                <w:sz w:val="24"/>
              </w:rPr>
              <w:t>备注（如果有）</w:t>
            </w:r>
          </w:p>
          <w:p w14:paraId="2737712A">
            <w:pPr>
              <w:jc w:val="center"/>
              <w:rPr>
                <w:rFonts w:ascii="宋体" w:hAnsi="宋体" w:cs="宋体"/>
                <w:b/>
                <w:sz w:val="24"/>
              </w:rPr>
            </w:pPr>
          </w:p>
        </w:tc>
      </w:tr>
      <w:tr w14:paraId="5891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8" w:type="pct"/>
            <w:vAlign w:val="center"/>
          </w:tcPr>
          <w:p w14:paraId="16E85946">
            <w:pPr>
              <w:snapToGrid w:val="0"/>
              <w:jc w:val="center"/>
              <w:rPr>
                <w:rFonts w:ascii="宋体" w:hAnsi="宋体" w:cs="宋体"/>
                <w:sz w:val="24"/>
              </w:rPr>
            </w:pPr>
          </w:p>
        </w:tc>
        <w:tc>
          <w:tcPr>
            <w:tcW w:w="779" w:type="pct"/>
            <w:vAlign w:val="center"/>
          </w:tcPr>
          <w:p w14:paraId="4B8CA19E">
            <w:pPr>
              <w:snapToGrid w:val="0"/>
              <w:jc w:val="center"/>
              <w:rPr>
                <w:rFonts w:ascii="宋体" w:hAnsi="宋体" w:cs="宋体"/>
                <w:sz w:val="24"/>
              </w:rPr>
            </w:pPr>
          </w:p>
        </w:tc>
        <w:tc>
          <w:tcPr>
            <w:tcW w:w="924" w:type="pct"/>
            <w:vAlign w:val="center"/>
          </w:tcPr>
          <w:p w14:paraId="3F150E57">
            <w:pPr>
              <w:snapToGrid w:val="0"/>
              <w:jc w:val="center"/>
              <w:rPr>
                <w:rFonts w:ascii="宋体" w:hAnsi="宋体" w:cs="宋体"/>
                <w:sz w:val="24"/>
              </w:rPr>
            </w:pPr>
          </w:p>
        </w:tc>
        <w:tc>
          <w:tcPr>
            <w:tcW w:w="876" w:type="pct"/>
            <w:vAlign w:val="center"/>
          </w:tcPr>
          <w:p w14:paraId="0FD41199">
            <w:pPr>
              <w:jc w:val="center"/>
              <w:rPr>
                <w:rFonts w:ascii="宋体" w:hAnsi="宋体" w:cs="宋体"/>
                <w:sz w:val="24"/>
              </w:rPr>
            </w:pPr>
          </w:p>
        </w:tc>
        <w:tc>
          <w:tcPr>
            <w:tcW w:w="875" w:type="pct"/>
            <w:vAlign w:val="center"/>
          </w:tcPr>
          <w:p w14:paraId="6F6AA299">
            <w:pPr>
              <w:jc w:val="center"/>
              <w:rPr>
                <w:rFonts w:ascii="宋体" w:hAnsi="宋体" w:cs="宋体"/>
                <w:sz w:val="24"/>
              </w:rPr>
            </w:pPr>
          </w:p>
        </w:tc>
        <w:tc>
          <w:tcPr>
            <w:tcW w:w="876" w:type="pct"/>
            <w:vAlign w:val="center"/>
          </w:tcPr>
          <w:p w14:paraId="0802D35B">
            <w:pPr>
              <w:jc w:val="center"/>
              <w:rPr>
                <w:rFonts w:ascii="宋体" w:hAnsi="宋体" w:cs="宋体"/>
                <w:sz w:val="24"/>
              </w:rPr>
            </w:pPr>
          </w:p>
        </w:tc>
      </w:tr>
      <w:tr w14:paraId="431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3"/>
            <w:vAlign w:val="center"/>
          </w:tcPr>
          <w:p w14:paraId="52A2403E">
            <w:pPr>
              <w:jc w:val="center"/>
              <w:rPr>
                <w:rFonts w:ascii="宋体" w:hAnsi="宋体" w:cs="宋体"/>
                <w:b/>
                <w:sz w:val="24"/>
              </w:rPr>
            </w:pPr>
            <w:r>
              <w:rPr>
                <w:rFonts w:hint="eastAsia" w:ascii="宋体" w:hAnsi="宋体" w:cs="宋体"/>
                <w:b/>
                <w:sz w:val="24"/>
              </w:rPr>
              <w:t>磋商报价（小写）</w:t>
            </w:r>
          </w:p>
        </w:tc>
        <w:tc>
          <w:tcPr>
            <w:tcW w:w="2627" w:type="pct"/>
            <w:gridSpan w:val="3"/>
            <w:vAlign w:val="center"/>
          </w:tcPr>
          <w:p w14:paraId="5093F5AD">
            <w:pPr>
              <w:jc w:val="center"/>
              <w:rPr>
                <w:rFonts w:ascii="宋体" w:hAnsi="宋体" w:cs="宋体"/>
                <w:sz w:val="24"/>
              </w:rPr>
            </w:pPr>
          </w:p>
        </w:tc>
      </w:tr>
      <w:tr w14:paraId="0071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3"/>
            <w:vAlign w:val="center"/>
          </w:tcPr>
          <w:p w14:paraId="154576AC">
            <w:pPr>
              <w:jc w:val="center"/>
              <w:rPr>
                <w:rFonts w:ascii="宋体" w:hAnsi="宋体" w:cs="宋体"/>
                <w:b/>
                <w:sz w:val="24"/>
              </w:rPr>
            </w:pPr>
            <w:r>
              <w:rPr>
                <w:rFonts w:hint="eastAsia" w:ascii="宋体" w:hAnsi="宋体" w:cs="宋体"/>
                <w:b/>
                <w:sz w:val="24"/>
              </w:rPr>
              <w:t>磋商报价（大写）</w:t>
            </w:r>
          </w:p>
        </w:tc>
        <w:tc>
          <w:tcPr>
            <w:tcW w:w="2627" w:type="pct"/>
            <w:gridSpan w:val="3"/>
            <w:vAlign w:val="center"/>
          </w:tcPr>
          <w:p w14:paraId="29D8E888">
            <w:pPr>
              <w:jc w:val="center"/>
              <w:rPr>
                <w:rFonts w:ascii="宋体" w:hAnsi="宋体" w:cs="宋体"/>
                <w:sz w:val="24"/>
              </w:rPr>
            </w:pPr>
          </w:p>
        </w:tc>
      </w:tr>
    </w:tbl>
    <w:p w14:paraId="00F64920">
      <w:pPr>
        <w:snapToGrid w:val="0"/>
        <w:spacing w:line="360" w:lineRule="auto"/>
        <w:ind w:left="480"/>
        <w:rPr>
          <w:rFonts w:ascii="宋体" w:hAnsi="宋体" w:cs="宋体"/>
          <w:b/>
          <w:color w:val="000000" w:themeColor="text1"/>
          <w:kern w:val="0"/>
          <w:sz w:val="24"/>
          <w:lang w:val="zh-CN"/>
          <w14:textFill>
            <w14:solidFill>
              <w14:schemeClr w14:val="tx1"/>
            </w14:solidFill>
          </w14:textFill>
        </w:rPr>
      </w:pPr>
    </w:p>
    <w:p w14:paraId="05DBBCC7">
      <w:pPr>
        <w:spacing w:line="360" w:lineRule="auto"/>
        <w:ind w:left="-2" w:leftChars="-1"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w:t>
      </w:r>
    </w:p>
    <w:p w14:paraId="620B19A7">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0E4A3A5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63633CA2">
      <w:pPr>
        <w:snapToGrid w:val="0"/>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r>
        <w:rPr>
          <w:rFonts w:hint="eastAsia" w:ascii="宋体" w:hAnsi="宋体" w:cs="宋体"/>
          <w:color w:val="000000" w:themeColor="text1"/>
          <w:sz w:val="32"/>
          <w:szCs w:val="32"/>
          <w14:textFill>
            <w14:solidFill>
              <w14:schemeClr w14:val="tx1"/>
            </w14:solidFill>
          </w14:textFill>
        </w:rPr>
        <w:br w:type="page"/>
      </w:r>
    </w:p>
    <w:p w14:paraId="2EEBDDF6">
      <w:pPr>
        <w:pStyle w:val="695"/>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kern w:val="2"/>
          <w:sz w:val="32"/>
          <w:szCs w:val="32"/>
        </w:rPr>
        <w:t>初次报价明细表</w:t>
      </w:r>
    </w:p>
    <w:p w14:paraId="5BA5402B">
      <w:pPr>
        <w:snapToGrid w:val="0"/>
        <w:spacing w:line="360" w:lineRule="auto"/>
        <w:rPr>
          <w:rFonts w:ascii="宋体" w:hAnsi="宋体" w:cs="宋体"/>
          <w:sz w:val="24"/>
        </w:rPr>
      </w:pPr>
      <w:r>
        <w:rPr>
          <w:rFonts w:ascii="宋体" w:hAnsi="宋体" w:cs="宋体"/>
          <w:sz w:val="24"/>
        </w:rPr>
        <w:t xml:space="preserve">项目名称：                                 项目编号：     </w:t>
      </w:r>
    </w:p>
    <w:tbl>
      <w:tblPr>
        <w:tblStyle w:val="6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8"/>
        <w:gridCol w:w="2312"/>
        <w:gridCol w:w="1065"/>
        <w:gridCol w:w="1065"/>
        <w:gridCol w:w="1065"/>
        <w:gridCol w:w="1065"/>
        <w:gridCol w:w="1243"/>
        <w:gridCol w:w="1253"/>
      </w:tblGrid>
      <w:tr w14:paraId="53F4E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3FE02EBD">
            <w:pPr>
              <w:tabs>
                <w:tab w:val="left" w:pos="1418"/>
              </w:tabs>
              <w:jc w:val="center"/>
              <w:rPr>
                <w:rFonts w:ascii="宋体" w:hAnsi="宋体" w:cs="宋体"/>
                <w:spacing w:val="-6"/>
                <w:sz w:val="24"/>
              </w:rPr>
            </w:pPr>
            <w:r>
              <w:rPr>
                <w:rFonts w:ascii="宋体" w:hAnsi="宋体" w:cs="宋体"/>
                <w:spacing w:val="-6"/>
                <w:sz w:val="24"/>
              </w:rPr>
              <w:t>序号</w:t>
            </w:r>
          </w:p>
        </w:tc>
        <w:tc>
          <w:tcPr>
            <w:tcW w:w="1161" w:type="pct"/>
            <w:tcBorders>
              <w:top w:val="single" w:color="auto" w:sz="4" w:space="0"/>
              <w:left w:val="single" w:color="auto" w:sz="4" w:space="0"/>
              <w:bottom w:val="single" w:color="auto" w:sz="4" w:space="0"/>
              <w:right w:val="single" w:color="auto" w:sz="4" w:space="0"/>
            </w:tcBorders>
            <w:vAlign w:val="center"/>
          </w:tcPr>
          <w:p w14:paraId="2CA05C08">
            <w:pPr>
              <w:tabs>
                <w:tab w:val="left" w:pos="1418"/>
              </w:tabs>
              <w:jc w:val="center"/>
              <w:rPr>
                <w:rFonts w:ascii="宋体" w:hAnsi="宋体" w:cs="宋体"/>
                <w:spacing w:val="-6"/>
                <w:sz w:val="24"/>
              </w:rPr>
            </w:pPr>
            <w:r>
              <w:rPr>
                <w:rFonts w:ascii="宋体" w:hAnsi="宋体" w:cs="宋体"/>
                <w:spacing w:val="-6"/>
                <w:sz w:val="24"/>
              </w:rPr>
              <w:t>名称</w:t>
            </w:r>
          </w:p>
        </w:tc>
        <w:tc>
          <w:tcPr>
            <w:tcW w:w="535" w:type="pct"/>
            <w:tcBorders>
              <w:top w:val="single" w:color="auto" w:sz="4" w:space="0"/>
              <w:left w:val="single" w:color="auto" w:sz="4" w:space="0"/>
              <w:bottom w:val="single" w:color="auto" w:sz="4" w:space="0"/>
              <w:right w:val="single" w:color="auto" w:sz="4" w:space="0"/>
            </w:tcBorders>
            <w:vAlign w:val="center"/>
          </w:tcPr>
          <w:p w14:paraId="1DFB7911">
            <w:pPr>
              <w:tabs>
                <w:tab w:val="left" w:pos="1418"/>
              </w:tabs>
              <w:jc w:val="center"/>
              <w:rPr>
                <w:rFonts w:ascii="宋体" w:hAnsi="宋体" w:cs="宋体"/>
                <w:spacing w:val="-6"/>
                <w:sz w:val="24"/>
              </w:rPr>
            </w:pPr>
            <w:r>
              <w:rPr>
                <w:rFonts w:hint="eastAsia" w:ascii="宋体" w:hAnsi="宋体" w:cs="宋体"/>
                <w:spacing w:val="-6"/>
                <w:sz w:val="24"/>
              </w:rPr>
              <w:t>功能参数要求</w:t>
            </w:r>
          </w:p>
        </w:tc>
        <w:tc>
          <w:tcPr>
            <w:tcW w:w="535" w:type="pct"/>
            <w:tcBorders>
              <w:top w:val="single" w:color="auto" w:sz="4" w:space="0"/>
              <w:left w:val="single" w:color="auto" w:sz="4" w:space="0"/>
              <w:bottom w:val="single" w:color="auto" w:sz="4" w:space="0"/>
              <w:right w:val="single" w:color="auto" w:sz="4" w:space="0"/>
            </w:tcBorders>
            <w:vAlign w:val="center"/>
          </w:tcPr>
          <w:p w14:paraId="57076FEA">
            <w:pPr>
              <w:tabs>
                <w:tab w:val="left" w:pos="1418"/>
              </w:tabs>
              <w:jc w:val="center"/>
              <w:rPr>
                <w:rFonts w:ascii="宋体" w:hAnsi="宋体" w:cs="宋体"/>
                <w:spacing w:val="-6"/>
                <w:sz w:val="24"/>
              </w:rPr>
            </w:pPr>
            <w:r>
              <w:rPr>
                <w:rFonts w:ascii="宋体" w:hAnsi="宋体" w:cs="宋体"/>
                <w:spacing w:val="-6"/>
                <w:sz w:val="24"/>
              </w:rPr>
              <w:t>数量</w:t>
            </w:r>
          </w:p>
        </w:tc>
        <w:tc>
          <w:tcPr>
            <w:tcW w:w="535" w:type="pct"/>
            <w:tcBorders>
              <w:top w:val="single" w:color="auto" w:sz="4" w:space="0"/>
              <w:left w:val="single" w:color="auto" w:sz="4" w:space="0"/>
              <w:bottom w:val="single" w:color="auto" w:sz="4" w:space="0"/>
              <w:right w:val="single" w:color="auto" w:sz="4" w:space="0"/>
            </w:tcBorders>
            <w:vAlign w:val="center"/>
          </w:tcPr>
          <w:p w14:paraId="154AC046">
            <w:pPr>
              <w:tabs>
                <w:tab w:val="left" w:pos="1418"/>
              </w:tabs>
              <w:jc w:val="center"/>
              <w:rPr>
                <w:rFonts w:ascii="宋体" w:hAnsi="宋体" w:cs="宋体"/>
                <w:spacing w:val="-6"/>
                <w:sz w:val="24"/>
              </w:rPr>
            </w:pPr>
            <w:r>
              <w:rPr>
                <w:rFonts w:ascii="宋体" w:hAnsi="宋体" w:cs="宋体"/>
                <w:spacing w:val="-6"/>
                <w:sz w:val="24"/>
              </w:rPr>
              <w:t>单位</w:t>
            </w:r>
          </w:p>
        </w:tc>
        <w:tc>
          <w:tcPr>
            <w:tcW w:w="535" w:type="pct"/>
            <w:tcBorders>
              <w:top w:val="single" w:color="auto" w:sz="4" w:space="0"/>
              <w:left w:val="single" w:color="auto" w:sz="4" w:space="0"/>
              <w:bottom w:val="single" w:color="auto" w:sz="4" w:space="0"/>
              <w:right w:val="single" w:color="auto" w:sz="4" w:space="0"/>
            </w:tcBorders>
            <w:vAlign w:val="center"/>
          </w:tcPr>
          <w:p w14:paraId="0D8605CB">
            <w:pPr>
              <w:tabs>
                <w:tab w:val="left" w:pos="1418"/>
              </w:tabs>
              <w:jc w:val="center"/>
              <w:rPr>
                <w:rFonts w:ascii="宋体" w:hAnsi="宋体" w:cs="宋体"/>
                <w:spacing w:val="-6"/>
                <w:sz w:val="24"/>
              </w:rPr>
            </w:pPr>
            <w:r>
              <w:rPr>
                <w:rFonts w:ascii="宋体" w:hAnsi="宋体" w:cs="宋体"/>
                <w:spacing w:val="-6"/>
                <w:sz w:val="24"/>
              </w:rPr>
              <w:t>单价</w:t>
            </w:r>
          </w:p>
        </w:tc>
        <w:tc>
          <w:tcPr>
            <w:tcW w:w="624" w:type="pct"/>
            <w:tcBorders>
              <w:top w:val="single" w:color="auto" w:sz="4" w:space="0"/>
              <w:left w:val="single" w:color="auto" w:sz="4" w:space="0"/>
              <w:bottom w:val="single" w:color="auto" w:sz="4" w:space="0"/>
              <w:right w:val="single" w:color="auto" w:sz="4" w:space="0"/>
            </w:tcBorders>
            <w:vAlign w:val="center"/>
          </w:tcPr>
          <w:p w14:paraId="2CDE91C9">
            <w:pPr>
              <w:tabs>
                <w:tab w:val="left" w:pos="1418"/>
              </w:tabs>
              <w:jc w:val="center"/>
              <w:rPr>
                <w:rFonts w:ascii="宋体" w:hAnsi="宋体" w:cs="宋体"/>
                <w:spacing w:val="-6"/>
                <w:sz w:val="24"/>
              </w:rPr>
            </w:pPr>
            <w:r>
              <w:rPr>
                <w:rFonts w:ascii="宋体" w:hAnsi="宋体" w:cs="宋体"/>
                <w:spacing w:val="-6"/>
                <w:sz w:val="24"/>
              </w:rPr>
              <w:t>总价</w:t>
            </w:r>
          </w:p>
        </w:tc>
        <w:tc>
          <w:tcPr>
            <w:tcW w:w="623" w:type="pct"/>
            <w:tcBorders>
              <w:top w:val="single" w:color="auto" w:sz="4" w:space="0"/>
              <w:left w:val="single" w:color="auto" w:sz="4" w:space="0"/>
              <w:bottom w:val="single" w:color="auto" w:sz="4" w:space="0"/>
              <w:right w:val="single" w:color="auto" w:sz="4" w:space="0"/>
            </w:tcBorders>
            <w:vAlign w:val="center"/>
          </w:tcPr>
          <w:p w14:paraId="4842BE82">
            <w:pPr>
              <w:tabs>
                <w:tab w:val="left" w:pos="1418"/>
              </w:tabs>
              <w:jc w:val="center"/>
              <w:rPr>
                <w:rFonts w:ascii="宋体" w:hAnsi="宋体" w:cs="宋体"/>
                <w:spacing w:val="-6"/>
                <w:sz w:val="24"/>
              </w:rPr>
            </w:pPr>
            <w:r>
              <w:rPr>
                <w:rFonts w:hint="eastAsia" w:ascii="宋体" w:hAnsi="宋体" w:cs="宋体"/>
                <w:spacing w:val="-6"/>
                <w:sz w:val="24"/>
              </w:rPr>
              <w:t>品牌、</w:t>
            </w:r>
            <w:r>
              <w:rPr>
                <w:rFonts w:ascii="宋体" w:hAnsi="宋体" w:cs="宋体"/>
                <w:spacing w:val="-6"/>
                <w:sz w:val="24"/>
              </w:rPr>
              <w:t>型号</w:t>
            </w:r>
          </w:p>
        </w:tc>
      </w:tr>
      <w:tr w14:paraId="15306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658A7211">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849DB67">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86F4D61">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1AF4A07">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209359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7E7B64C">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736A282D">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42FAD3F2">
            <w:pPr>
              <w:tabs>
                <w:tab w:val="left" w:pos="1418"/>
              </w:tabs>
              <w:jc w:val="center"/>
              <w:rPr>
                <w:rFonts w:ascii="宋体" w:hAnsi="宋体" w:cs="宋体"/>
                <w:spacing w:val="-6"/>
                <w:sz w:val="24"/>
              </w:rPr>
            </w:pPr>
          </w:p>
        </w:tc>
      </w:tr>
      <w:tr w14:paraId="4BDF4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2A7C871B">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61263D12">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B734291">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7463B0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1687BD5">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EF789EA">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57B40888">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1872671">
            <w:pPr>
              <w:tabs>
                <w:tab w:val="left" w:pos="1418"/>
              </w:tabs>
              <w:jc w:val="center"/>
              <w:rPr>
                <w:rFonts w:ascii="宋体" w:hAnsi="宋体" w:cs="宋体"/>
                <w:spacing w:val="-6"/>
                <w:sz w:val="24"/>
              </w:rPr>
            </w:pPr>
          </w:p>
        </w:tc>
      </w:tr>
      <w:tr w14:paraId="2797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6CEA9951">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FE67811">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0175229">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DC5E0C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39F9510">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0777E25">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6AD21A00">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73841BCB">
            <w:pPr>
              <w:tabs>
                <w:tab w:val="left" w:pos="1418"/>
              </w:tabs>
              <w:jc w:val="center"/>
              <w:rPr>
                <w:rFonts w:ascii="宋体" w:hAnsi="宋体" w:cs="宋体"/>
                <w:spacing w:val="-6"/>
                <w:sz w:val="24"/>
              </w:rPr>
            </w:pPr>
          </w:p>
        </w:tc>
      </w:tr>
      <w:tr w14:paraId="595C6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3DD498B3">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467FD56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E86DFE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581BED2">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4943BB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031C608">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47A2216D">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4141A2B4">
            <w:pPr>
              <w:tabs>
                <w:tab w:val="left" w:pos="1418"/>
              </w:tabs>
              <w:jc w:val="center"/>
              <w:rPr>
                <w:rFonts w:ascii="宋体" w:hAnsi="宋体" w:cs="宋体"/>
                <w:spacing w:val="-6"/>
                <w:sz w:val="24"/>
              </w:rPr>
            </w:pPr>
          </w:p>
        </w:tc>
      </w:tr>
      <w:tr w14:paraId="1E2ED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4D66EA65">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6E2BA852">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9A4E41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8B6C22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A019A36">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0F34CBC">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340FA406">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8706393">
            <w:pPr>
              <w:tabs>
                <w:tab w:val="left" w:pos="1418"/>
              </w:tabs>
              <w:jc w:val="center"/>
              <w:rPr>
                <w:rFonts w:ascii="宋体" w:hAnsi="宋体" w:cs="宋体"/>
                <w:spacing w:val="-6"/>
                <w:sz w:val="24"/>
              </w:rPr>
            </w:pPr>
          </w:p>
        </w:tc>
      </w:tr>
      <w:tr w14:paraId="429D1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043B8F80">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14C8F53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FE045AD">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2AD48C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BF114C0">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7EDEBA3">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2AB43EC7">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7AFB9741">
            <w:pPr>
              <w:tabs>
                <w:tab w:val="left" w:pos="1418"/>
              </w:tabs>
              <w:jc w:val="center"/>
              <w:rPr>
                <w:rFonts w:ascii="宋体" w:hAnsi="宋体" w:cs="宋体"/>
                <w:spacing w:val="-6"/>
                <w:sz w:val="24"/>
              </w:rPr>
            </w:pPr>
          </w:p>
        </w:tc>
      </w:tr>
      <w:tr w14:paraId="7AE8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05FE139A">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4A16C68B">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BFA5D5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D77A026">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9DC7C4B">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BC359ED">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2613C332">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72AB47F">
            <w:pPr>
              <w:tabs>
                <w:tab w:val="left" w:pos="1418"/>
              </w:tabs>
              <w:jc w:val="center"/>
              <w:rPr>
                <w:rFonts w:ascii="宋体" w:hAnsi="宋体" w:cs="宋体"/>
                <w:spacing w:val="-6"/>
                <w:sz w:val="24"/>
              </w:rPr>
            </w:pPr>
          </w:p>
        </w:tc>
      </w:tr>
      <w:tr w14:paraId="5570D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2F4C54B9">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173053A8">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AD8CACA">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C9ABE43">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4413006">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9CD4489">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5F9463F0">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592D32D5">
            <w:pPr>
              <w:tabs>
                <w:tab w:val="left" w:pos="1418"/>
              </w:tabs>
              <w:jc w:val="center"/>
              <w:rPr>
                <w:rFonts w:ascii="宋体" w:hAnsi="宋体" w:cs="宋体"/>
                <w:spacing w:val="-6"/>
                <w:sz w:val="24"/>
              </w:rPr>
            </w:pPr>
          </w:p>
        </w:tc>
      </w:tr>
      <w:tr w14:paraId="4B9C7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18F0D6D0">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73F217D">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3F3783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4362B6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253F49D">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3F9E8AA">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165CE213">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9127397">
            <w:pPr>
              <w:tabs>
                <w:tab w:val="left" w:pos="1418"/>
              </w:tabs>
              <w:jc w:val="center"/>
              <w:rPr>
                <w:rFonts w:ascii="宋体" w:hAnsi="宋体" w:cs="宋体"/>
                <w:spacing w:val="-6"/>
                <w:sz w:val="24"/>
              </w:rPr>
            </w:pPr>
          </w:p>
        </w:tc>
      </w:tr>
      <w:tr w14:paraId="268E1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3DE2200D">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5FD2FF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39C4EF9">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B53FED3">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1AB6793">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AE3241C">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090E382F">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30B96258">
            <w:pPr>
              <w:tabs>
                <w:tab w:val="left" w:pos="1418"/>
              </w:tabs>
              <w:jc w:val="center"/>
              <w:rPr>
                <w:rFonts w:ascii="宋体" w:hAnsi="宋体" w:cs="宋体"/>
                <w:spacing w:val="-6"/>
                <w:sz w:val="24"/>
              </w:rPr>
            </w:pPr>
          </w:p>
        </w:tc>
      </w:tr>
      <w:tr w14:paraId="35B34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BC1328E">
            <w:pPr>
              <w:tabs>
                <w:tab w:val="left" w:pos="1418"/>
              </w:tabs>
              <w:jc w:val="left"/>
              <w:rPr>
                <w:rFonts w:ascii="宋体" w:hAnsi="宋体" w:cs="宋体"/>
                <w:spacing w:val="-6"/>
                <w:sz w:val="24"/>
              </w:rPr>
            </w:pPr>
            <w:r>
              <w:rPr>
                <w:rFonts w:hint="eastAsia" w:ascii="宋体" w:hAnsi="宋体" w:cs="宋体"/>
                <w:spacing w:val="-6"/>
                <w:sz w:val="24"/>
              </w:rPr>
              <w:t>合价:</w:t>
            </w:r>
          </w:p>
        </w:tc>
      </w:tr>
    </w:tbl>
    <w:p w14:paraId="271F3B3A">
      <w:pPr>
        <w:tabs>
          <w:tab w:val="left" w:pos="1418"/>
        </w:tabs>
        <w:spacing w:line="360" w:lineRule="auto"/>
        <w:rPr>
          <w:rFonts w:ascii="宋体" w:hAnsi="宋体" w:cs="宋体"/>
          <w:spacing w:val="-6"/>
          <w:sz w:val="24"/>
          <w:u w:val="single"/>
        </w:rPr>
      </w:pPr>
    </w:p>
    <w:p w14:paraId="7125DB41">
      <w:pPr>
        <w:spacing w:after="120"/>
        <w:rPr>
          <w:rFonts w:ascii="宋体" w:hAnsi="宋体" w:cs="宋体"/>
          <w:sz w:val="24"/>
        </w:rPr>
      </w:pPr>
      <w:r>
        <w:rPr>
          <w:rFonts w:hint="eastAsia" w:ascii="宋体" w:hAnsi="宋体" w:cs="宋体"/>
          <w:sz w:val="24"/>
        </w:rPr>
        <w:t>格式可以自行调整。</w:t>
      </w:r>
    </w:p>
    <w:p w14:paraId="4E84E876">
      <w:pPr>
        <w:spacing w:line="360" w:lineRule="auto"/>
        <w:ind w:right="-874" w:rightChars="-416" w:firstLine="5280" w:firstLineChars="2200"/>
        <w:rPr>
          <w:rFonts w:ascii="宋体" w:hAnsi="宋体" w:cs="宋体"/>
          <w:sz w:val="24"/>
        </w:rPr>
      </w:pPr>
      <w:r>
        <w:rPr>
          <w:rFonts w:hint="eastAsia" w:ascii="宋体" w:hAnsi="宋体" w:cs="宋体"/>
          <w:sz w:val="24"/>
          <w:lang w:val="zh-CN"/>
        </w:rPr>
        <w:t>供应商名称（盖章）：</w:t>
      </w:r>
    </w:p>
    <w:p w14:paraId="7DA2554C">
      <w:pPr>
        <w:ind w:right="420"/>
        <w:rPr>
          <w:rFonts w:ascii="宋体" w:hAnsi="宋体" w:cs="宋体"/>
          <w:sz w:val="24"/>
        </w:rPr>
      </w:pPr>
      <w:r>
        <w:rPr>
          <w:rFonts w:hint="eastAsia" w:ascii="宋体" w:hAnsi="宋体" w:cs="宋体"/>
          <w:sz w:val="24"/>
          <w:lang w:val="zh-CN"/>
        </w:rPr>
        <w:t xml:space="preserve">                                            日期：    年  月   日</w:t>
      </w:r>
      <w:r>
        <w:rPr>
          <w:rFonts w:hint="eastAsia" w:ascii="宋体" w:hAnsi="宋体" w:cs="宋体"/>
          <w:sz w:val="24"/>
        </w:rPr>
        <w:t xml:space="preserve"> </w:t>
      </w:r>
    </w:p>
    <w:p w14:paraId="6344F26D">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p>
    <w:p w14:paraId="622B351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34" w:name="_Toc465665161"/>
      <w:bookmarkStart w:id="535" w:name="_Toc16921"/>
      <w:r>
        <w:rPr>
          <w:rFonts w:hint="eastAsia" w:ascii="宋体" w:hAnsi="宋体" w:cs="宋体"/>
          <w:color w:val="000000" w:themeColor="text1"/>
          <w14:textFill>
            <w14:solidFill>
              <w14:schemeClr w14:val="tx1"/>
            </w14:solidFill>
          </w14:textFill>
        </w:rPr>
        <w:t>附件</w:t>
      </w:r>
      <w:bookmarkEnd w:id="534"/>
      <w:bookmarkEnd w:id="535"/>
    </w:p>
    <w:p w14:paraId="76F74016">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BC20D46">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36" w:name="OLE_LINK13"/>
      <w:bookmarkStart w:id="537"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36"/>
    <w:bookmarkEnd w:id="537"/>
    <w:p w14:paraId="6AE2754E">
      <w:pPr>
        <w:spacing w:line="360" w:lineRule="auto"/>
        <w:rPr>
          <w:rFonts w:ascii="宋体" w:hAnsi="宋体" w:cs="宋体"/>
          <w:b/>
          <w:color w:val="000000" w:themeColor="text1"/>
          <w:spacing w:val="6"/>
          <w:sz w:val="30"/>
          <w:szCs w:val="30"/>
          <w14:textFill>
            <w14:solidFill>
              <w14:schemeClr w14:val="tx1"/>
            </w14:solidFill>
          </w14:textFill>
        </w:rPr>
      </w:pPr>
    </w:p>
    <w:p w14:paraId="4EA858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DBA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86D3EF4">
      <w:pPr>
        <w:spacing w:line="360" w:lineRule="auto"/>
        <w:ind w:firstLine="480" w:firstLineChars="200"/>
        <w:rPr>
          <w:rFonts w:ascii="宋体" w:hAnsi="宋体" w:cs="宋体"/>
          <w:color w:val="000000" w:themeColor="text1"/>
          <w:sz w:val="24"/>
          <w14:textFill>
            <w14:solidFill>
              <w14:schemeClr w14:val="tx1"/>
            </w14:solidFill>
          </w14:textFill>
        </w:rPr>
      </w:pPr>
    </w:p>
    <w:p w14:paraId="7057C8FC">
      <w:pPr>
        <w:spacing w:line="360" w:lineRule="auto"/>
        <w:ind w:firstLine="480" w:firstLineChars="200"/>
        <w:rPr>
          <w:rFonts w:ascii="宋体" w:hAnsi="宋体" w:cs="宋体"/>
          <w:color w:val="000000" w:themeColor="text1"/>
          <w:sz w:val="24"/>
          <w14:textFill>
            <w14:solidFill>
              <w14:schemeClr w14:val="tx1"/>
            </w14:solidFill>
          </w14:textFill>
        </w:rPr>
      </w:pPr>
    </w:p>
    <w:p w14:paraId="5B793AC4">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14:paraId="26BE869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76CB4C1">
      <w:pPr>
        <w:spacing w:line="360" w:lineRule="auto"/>
        <w:ind w:firstLine="480" w:firstLineChars="200"/>
        <w:rPr>
          <w:rFonts w:ascii="宋体" w:hAnsi="宋体" w:cs="宋体"/>
          <w:color w:val="000000" w:themeColor="text1"/>
          <w:sz w:val="24"/>
          <w14:textFill>
            <w14:solidFill>
              <w14:schemeClr w14:val="tx1"/>
            </w14:solidFill>
          </w14:textFill>
        </w:rPr>
      </w:pPr>
    </w:p>
    <w:p w14:paraId="6C200649">
      <w:pPr>
        <w:spacing w:line="360" w:lineRule="auto"/>
        <w:ind w:firstLine="420" w:firstLineChars="200"/>
        <w:rPr>
          <w:rFonts w:ascii="宋体" w:hAnsi="宋体" w:cs="宋体"/>
          <w:color w:val="000000" w:themeColor="text1"/>
          <w14:textFill>
            <w14:solidFill>
              <w14:schemeClr w14:val="tx1"/>
            </w14:solidFill>
          </w14:textFill>
        </w:rPr>
      </w:pPr>
    </w:p>
    <w:p w14:paraId="2DF782DA">
      <w:pPr>
        <w:spacing w:line="360" w:lineRule="auto"/>
        <w:ind w:firstLine="420" w:firstLineChars="200"/>
        <w:rPr>
          <w:rFonts w:ascii="宋体" w:hAnsi="宋体" w:cs="宋体"/>
          <w:color w:val="000000" w:themeColor="text1"/>
          <w14:textFill>
            <w14:solidFill>
              <w14:schemeClr w14:val="tx1"/>
            </w14:solidFill>
          </w14:textFill>
        </w:rPr>
      </w:pPr>
    </w:p>
    <w:p w14:paraId="6B680C7F">
      <w:pPr>
        <w:spacing w:line="360" w:lineRule="auto"/>
        <w:ind w:firstLine="420" w:firstLineChars="200"/>
        <w:rPr>
          <w:rFonts w:ascii="宋体" w:hAnsi="宋体" w:cs="宋体"/>
          <w:color w:val="000000" w:themeColor="text1"/>
          <w14:textFill>
            <w14:solidFill>
              <w14:schemeClr w14:val="tx1"/>
            </w14:solidFill>
          </w14:textFill>
        </w:rPr>
      </w:pPr>
    </w:p>
    <w:p w14:paraId="1670A9EE">
      <w:pPr>
        <w:spacing w:line="360" w:lineRule="auto"/>
        <w:ind w:firstLine="420" w:firstLineChars="200"/>
        <w:rPr>
          <w:rFonts w:ascii="宋体" w:hAnsi="宋体" w:cs="宋体"/>
          <w:color w:val="000000" w:themeColor="text1"/>
          <w14:textFill>
            <w14:solidFill>
              <w14:schemeClr w14:val="tx1"/>
            </w14:solidFill>
          </w14:textFill>
        </w:rPr>
      </w:pPr>
    </w:p>
    <w:p w14:paraId="7C9A1979">
      <w:pPr>
        <w:spacing w:line="360" w:lineRule="auto"/>
        <w:rPr>
          <w:rFonts w:ascii="宋体" w:hAnsi="宋体" w:cs="宋体"/>
          <w:b/>
          <w:color w:val="000000" w:themeColor="text1"/>
          <w:sz w:val="24"/>
          <w14:textFill>
            <w14:solidFill>
              <w14:schemeClr w14:val="tx1"/>
            </w14:solidFill>
          </w14:textFill>
        </w:rPr>
      </w:pPr>
    </w:p>
    <w:p w14:paraId="40BF3000">
      <w:pPr>
        <w:spacing w:line="360" w:lineRule="auto"/>
        <w:rPr>
          <w:rFonts w:ascii="宋体" w:hAnsi="宋体" w:cs="宋体"/>
          <w:b/>
          <w:color w:val="000000" w:themeColor="text1"/>
          <w:sz w:val="24"/>
          <w14:textFill>
            <w14:solidFill>
              <w14:schemeClr w14:val="tx1"/>
            </w14:solidFill>
          </w14:textFill>
        </w:rPr>
      </w:pPr>
    </w:p>
    <w:p w14:paraId="05C0A4FA">
      <w:pPr>
        <w:spacing w:line="360" w:lineRule="auto"/>
        <w:rPr>
          <w:rFonts w:ascii="宋体" w:hAnsi="宋体" w:cs="宋体"/>
          <w:b/>
          <w:color w:val="000000" w:themeColor="text1"/>
          <w:sz w:val="24"/>
          <w14:textFill>
            <w14:solidFill>
              <w14:schemeClr w14:val="tx1"/>
            </w14:solidFill>
          </w14:textFill>
        </w:rPr>
      </w:pPr>
    </w:p>
    <w:p w14:paraId="382460A7">
      <w:pPr>
        <w:spacing w:line="360" w:lineRule="auto"/>
        <w:rPr>
          <w:rFonts w:ascii="宋体" w:hAnsi="宋体" w:cs="宋体"/>
          <w:b/>
          <w:color w:val="000000" w:themeColor="text1"/>
          <w:sz w:val="24"/>
          <w14:textFill>
            <w14:solidFill>
              <w14:schemeClr w14:val="tx1"/>
            </w14:solidFill>
          </w14:textFill>
        </w:rPr>
      </w:pPr>
    </w:p>
    <w:p w14:paraId="44B59F6C">
      <w:pPr>
        <w:spacing w:line="360" w:lineRule="auto"/>
        <w:rPr>
          <w:rFonts w:ascii="宋体" w:hAnsi="宋体" w:cs="宋体"/>
          <w:b/>
          <w:color w:val="000000" w:themeColor="text1"/>
          <w:sz w:val="24"/>
          <w14:textFill>
            <w14:solidFill>
              <w14:schemeClr w14:val="tx1"/>
            </w14:solidFill>
          </w14:textFill>
        </w:rPr>
      </w:pPr>
    </w:p>
    <w:p w14:paraId="2003065D">
      <w:pPr>
        <w:spacing w:line="360" w:lineRule="auto"/>
        <w:rPr>
          <w:rFonts w:ascii="宋体" w:hAnsi="宋体" w:cs="宋体"/>
          <w:b/>
          <w:color w:val="000000" w:themeColor="text1"/>
          <w:sz w:val="24"/>
          <w14:textFill>
            <w14:solidFill>
              <w14:schemeClr w14:val="tx1"/>
            </w14:solidFill>
          </w14:textFill>
        </w:rPr>
      </w:pPr>
    </w:p>
    <w:p w14:paraId="6A137EE3">
      <w:pPr>
        <w:spacing w:line="360" w:lineRule="auto"/>
        <w:rPr>
          <w:rFonts w:ascii="宋体" w:hAnsi="宋体" w:cs="宋体"/>
          <w:b/>
          <w:color w:val="000000" w:themeColor="text1"/>
          <w:sz w:val="24"/>
          <w14:textFill>
            <w14:solidFill>
              <w14:schemeClr w14:val="tx1"/>
            </w14:solidFill>
          </w14:textFill>
        </w:rPr>
      </w:pPr>
    </w:p>
    <w:p w14:paraId="1E9FAE58">
      <w:pPr>
        <w:spacing w:line="360" w:lineRule="auto"/>
        <w:rPr>
          <w:rFonts w:ascii="宋体" w:hAnsi="宋体" w:cs="宋体"/>
          <w:b/>
          <w:color w:val="000000" w:themeColor="text1"/>
          <w:sz w:val="24"/>
          <w14:textFill>
            <w14:solidFill>
              <w14:schemeClr w14:val="tx1"/>
            </w14:solidFill>
          </w14:textFill>
        </w:rPr>
      </w:pPr>
    </w:p>
    <w:p w14:paraId="75FE5EDA">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2E9EE3D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25C619B">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BC1C0B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26D02CA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403C20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2B9D92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747E2F4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4D2C80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2082313">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B32922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16C4ACA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A77A56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20E2928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7E25FCA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7768146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2EAA44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3DBCF4C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098615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417402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805DF0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4E611E8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6C6323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D9FD45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68F91A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4A45B19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73A95F6">
      <w:pPr>
        <w:spacing w:line="360" w:lineRule="auto"/>
        <w:jc w:val="center"/>
        <w:rPr>
          <w:rFonts w:ascii="宋体" w:hAnsi="宋体" w:cs="宋体"/>
          <w:b/>
          <w:bCs/>
          <w:color w:val="000000" w:themeColor="text1"/>
          <w:sz w:val="24"/>
          <w14:textFill>
            <w14:solidFill>
              <w14:schemeClr w14:val="tx1"/>
            </w14:solidFill>
          </w14:textFill>
        </w:rPr>
      </w:pPr>
    </w:p>
    <w:p w14:paraId="0ED79CAD">
      <w:pPr>
        <w:spacing w:line="360" w:lineRule="auto"/>
        <w:rPr>
          <w:rFonts w:ascii="宋体" w:hAnsi="宋体" w:cs="宋体"/>
          <w:b/>
          <w:color w:val="000000" w:themeColor="text1"/>
          <w:sz w:val="24"/>
          <w14:textFill>
            <w14:solidFill>
              <w14:schemeClr w14:val="tx1"/>
            </w14:solidFill>
          </w14:textFill>
        </w:rPr>
      </w:pPr>
    </w:p>
    <w:p w14:paraId="04D4FA13">
      <w:pPr>
        <w:spacing w:line="360" w:lineRule="auto"/>
        <w:rPr>
          <w:rFonts w:ascii="宋体" w:hAnsi="宋体" w:cs="宋体"/>
          <w:b/>
          <w:color w:val="000000" w:themeColor="text1"/>
          <w:sz w:val="24"/>
          <w14:textFill>
            <w14:solidFill>
              <w14:schemeClr w14:val="tx1"/>
            </w14:solidFill>
          </w14:textFill>
        </w:rPr>
      </w:pPr>
    </w:p>
    <w:p w14:paraId="09ACB3D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7EE0211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B2CE3A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DFF470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06C4047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7C72B4F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43345E1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3CD1089">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00E2F14D">
      <w:pPr>
        <w:spacing w:line="360" w:lineRule="auto"/>
        <w:jc w:val="center"/>
        <w:rPr>
          <w:rFonts w:ascii="宋体" w:hAnsi="宋体" w:cs="宋体"/>
          <w:b/>
          <w:color w:val="000000" w:themeColor="text1"/>
          <w:spacing w:val="6"/>
          <w:sz w:val="32"/>
          <w:szCs w:val="32"/>
          <w14:textFill>
            <w14:solidFill>
              <w14:schemeClr w14:val="tx1"/>
            </w14:solidFill>
          </w14:textFill>
        </w:rPr>
      </w:pPr>
    </w:p>
    <w:p w14:paraId="7CB53FCA">
      <w:pPr>
        <w:spacing w:line="360" w:lineRule="auto"/>
        <w:jc w:val="center"/>
        <w:rPr>
          <w:rFonts w:ascii="宋体" w:hAnsi="宋体" w:cs="宋体"/>
          <w:b/>
          <w:color w:val="000000" w:themeColor="text1"/>
          <w:spacing w:val="6"/>
          <w:sz w:val="32"/>
          <w:szCs w:val="32"/>
          <w14:textFill>
            <w14:solidFill>
              <w14:schemeClr w14:val="tx1"/>
            </w14:solidFill>
          </w14:textFill>
        </w:rPr>
      </w:pPr>
    </w:p>
    <w:p w14:paraId="54E1FACD">
      <w:pPr>
        <w:spacing w:line="360" w:lineRule="auto"/>
        <w:jc w:val="center"/>
        <w:rPr>
          <w:rFonts w:ascii="宋体" w:hAnsi="宋体" w:cs="宋体"/>
          <w:b/>
          <w:color w:val="000000" w:themeColor="text1"/>
          <w:spacing w:val="6"/>
          <w:sz w:val="32"/>
          <w:szCs w:val="32"/>
          <w14:textFill>
            <w14:solidFill>
              <w14:schemeClr w14:val="tx1"/>
            </w14:solidFill>
          </w14:textFill>
        </w:rPr>
      </w:pPr>
    </w:p>
    <w:p w14:paraId="046565F4">
      <w:pPr>
        <w:spacing w:line="360" w:lineRule="auto"/>
        <w:jc w:val="center"/>
        <w:rPr>
          <w:rFonts w:ascii="宋体" w:hAnsi="宋体" w:cs="宋体"/>
          <w:b/>
          <w:color w:val="000000" w:themeColor="text1"/>
          <w:spacing w:val="6"/>
          <w:sz w:val="32"/>
          <w:szCs w:val="32"/>
          <w14:textFill>
            <w14:solidFill>
              <w14:schemeClr w14:val="tx1"/>
            </w14:solidFill>
          </w14:textFill>
        </w:rPr>
      </w:pPr>
    </w:p>
    <w:p w14:paraId="777417BE">
      <w:pPr>
        <w:spacing w:line="360" w:lineRule="auto"/>
        <w:jc w:val="center"/>
        <w:rPr>
          <w:rFonts w:ascii="宋体" w:hAnsi="宋体" w:cs="宋体"/>
          <w:b/>
          <w:color w:val="000000" w:themeColor="text1"/>
          <w:spacing w:val="6"/>
          <w:sz w:val="32"/>
          <w:szCs w:val="32"/>
          <w14:textFill>
            <w14:solidFill>
              <w14:schemeClr w14:val="tx1"/>
            </w14:solidFill>
          </w14:textFill>
        </w:rPr>
      </w:pPr>
    </w:p>
    <w:p w14:paraId="298E8B0A">
      <w:pPr>
        <w:spacing w:line="360" w:lineRule="auto"/>
        <w:jc w:val="center"/>
        <w:rPr>
          <w:rFonts w:ascii="宋体" w:hAnsi="宋体" w:cs="宋体"/>
          <w:b/>
          <w:color w:val="000000" w:themeColor="text1"/>
          <w:spacing w:val="6"/>
          <w:sz w:val="32"/>
          <w:szCs w:val="32"/>
          <w14:textFill>
            <w14:solidFill>
              <w14:schemeClr w14:val="tx1"/>
            </w14:solidFill>
          </w14:textFill>
        </w:rPr>
      </w:pPr>
    </w:p>
    <w:p w14:paraId="14AFD113">
      <w:pPr>
        <w:spacing w:line="360" w:lineRule="auto"/>
        <w:jc w:val="center"/>
        <w:rPr>
          <w:rFonts w:ascii="宋体" w:hAnsi="宋体" w:cs="宋体"/>
          <w:b/>
          <w:color w:val="000000" w:themeColor="text1"/>
          <w:spacing w:val="6"/>
          <w:sz w:val="32"/>
          <w:szCs w:val="32"/>
          <w14:textFill>
            <w14:solidFill>
              <w14:schemeClr w14:val="tx1"/>
            </w14:solidFill>
          </w14:textFill>
        </w:rPr>
      </w:pPr>
    </w:p>
    <w:p w14:paraId="1092B766">
      <w:pPr>
        <w:spacing w:line="360" w:lineRule="auto"/>
        <w:jc w:val="center"/>
        <w:rPr>
          <w:rFonts w:ascii="宋体" w:hAnsi="宋体" w:cs="宋体"/>
          <w:b/>
          <w:color w:val="000000" w:themeColor="text1"/>
          <w:spacing w:val="6"/>
          <w:sz w:val="32"/>
          <w:szCs w:val="32"/>
          <w14:textFill>
            <w14:solidFill>
              <w14:schemeClr w14:val="tx1"/>
            </w14:solidFill>
          </w14:textFill>
        </w:rPr>
      </w:pPr>
    </w:p>
    <w:p w14:paraId="2D2DBACC">
      <w:pPr>
        <w:spacing w:line="360" w:lineRule="auto"/>
        <w:jc w:val="center"/>
        <w:rPr>
          <w:rFonts w:ascii="宋体" w:hAnsi="宋体" w:cs="宋体"/>
          <w:b/>
          <w:color w:val="000000" w:themeColor="text1"/>
          <w:spacing w:val="6"/>
          <w:sz w:val="32"/>
          <w:szCs w:val="32"/>
          <w14:textFill>
            <w14:solidFill>
              <w14:schemeClr w14:val="tx1"/>
            </w14:solidFill>
          </w14:textFill>
        </w:rPr>
      </w:pPr>
    </w:p>
    <w:p w14:paraId="319FF43F">
      <w:pPr>
        <w:spacing w:line="360" w:lineRule="auto"/>
        <w:jc w:val="center"/>
        <w:rPr>
          <w:rFonts w:ascii="宋体" w:hAnsi="宋体" w:cs="宋体"/>
          <w:b/>
          <w:color w:val="000000" w:themeColor="text1"/>
          <w:spacing w:val="6"/>
          <w:sz w:val="32"/>
          <w:szCs w:val="32"/>
          <w14:textFill>
            <w14:solidFill>
              <w14:schemeClr w14:val="tx1"/>
            </w14:solidFill>
          </w14:textFill>
        </w:rPr>
      </w:pPr>
    </w:p>
    <w:p w14:paraId="4EE4B303">
      <w:pPr>
        <w:spacing w:line="360" w:lineRule="auto"/>
        <w:jc w:val="center"/>
        <w:rPr>
          <w:rFonts w:ascii="宋体" w:hAnsi="宋体" w:cs="宋体"/>
          <w:b/>
          <w:color w:val="000000" w:themeColor="text1"/>
          <w:spacing w:val="6"/>
          <w:sz w:val="32"/>
          <w:szCs w:val="32"/>
          <w14:textFill>
            <w14:solidFill>
              <w14:schemeClr w14:val="tx1"/>
            </w14:solidFill>
          </w14:textFill>
        </w:rPr>
      </w:pPr>
    </w:p>
    <w:p w14:paraId="554B751E">
      <w:pPr>
        <w:spacing w:line="360" w:lineRule="auto"/>
        <w:jc w:val="center"/>
        <w:rPr>
          <w:rFonts w:ascii="宋体" w:hAnsi="宋体" w:cs="宋体"/>
          <w:b/>
          <w:color w:val="000000" w:themeColor="text1"/>
          <w:spacing w:val="6"/>
          <w:sz w:val="32"/>
          <w:szCs w:val="32"/>
          <w14:textFill>
            <w14:solidFill>
              <w14:schemeClr w14:val="tx1"/>
            </w14:solidFill>
          </w14:textFill>
        </w:rPr>
      </w:pPr>
    </w:p>
    <w:p w14:paraId="17CDA0E4">
      <w:pPr>
        <w:spacing w:line="360" w:lineRule="auto"/>
        <w:jc w:val="left"/>
        <w:rPr>
          <w:rFonts w:ascii="宋体" w:hAnsi="宋体" w:cs="宋体"/>
          <w:b/>
          <w:color w:val="000000" w:themeColor="text1"/>
          <w:spacing w:val="6"/>
          <w:sz w:val="32"/>
          <w:szCs w:val="32"/>
          <w14:textFill>
            <w14:solidFill>
              <w14:schemeClr w14:val="tx1"/>
            </w14:solidFill>
          </w14:textFill>
        </w:rPr>
      </w:pPr>
    </w:p>
    <w:p w14:paraId="57E35259">
      <w:pPr>
        <w:spacing w:line="360" w:lineRule="auto"/>
        <w:jc w:val="left"/>
        <w:rPr>
          <w:rFonts w:ascii="宋体" w:hAnsi="宋体" w:cs="宋体"/>
          <w:b/>
          <w:color w:val="000000" w:themeColor="text1"/>
          <w:spacing w:val="6"/>
          <w:sz w:val="32"/>
          <w:szCs w:val="32"/>
          <w14:textFill>
            <w14:solidFill>
              <w14:schemeClr w14:val="tx1"/>
            </w14:solidFill>
          </w14:textFill>
        </w:rPr>
      </w:pPr>
    </w:p>
    <w:p w14:paraId="78831A1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25DC076">
      <w:pPr>
        <w:spacing w:line="360" w:lineRule="auto"/>
        <w:jc w:val="center"/>
        <w:rPr>
          <w:rFonts w:ascii="宋体" w:hAnsi="宋体" w:cs="宋体"/>
          <w:b/>
          <w:color w:val="000000" w:themeColor="text1"/>
          <w:sz w:val="24"/>
          <w14:textFill>
            <w14:solidFill>
              <w14:schemeClr w14:val="tx1"/>
            </w14:solidFill>
          </w14:textFill>
        </w:rPr>
      </w:pPr>
    </w:p>
    <w:p w14:paraId="439FFEC7">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10187C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75FAA23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FD5C6D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843F9D5">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F37D2DA">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95D3FD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59CBB4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0E18537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9D98E2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94F0F6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BE2F7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1B6E2E7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B43627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F77A67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56FA5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7C0F8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502D793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10C3E54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DA105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9E03CA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6E49D90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90C7E7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6A4235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508DB502">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14E469B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6DB9DCF">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18AB31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6167536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BA55CE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B5DE44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8E63E5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A4AF71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064521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3944171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DCAA4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E5EA9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58B51A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AFBFAF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FA25A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294BC06">
      <w:pPr>
        <w:spacing w:line="360" w:lineRule="auto"/>
        <w:rPr>
          <w:rFonts w:ascii="宋体" w:hAnsi="宋体" w:cs="宋体"/>
          <w:b/>
          <w:color w:val="000000" w:themeColor="text1"/>
          <w:sz w:val="24"/>
          <w14:textFill>
            <w14:solidFill>
              <w14:schemeClr w14:val="tx1"/>
            </w14:solidFill>
          </w14:textFill>
        </w:rPr>
      </w:pPr>
    </w:p>
    <w:p w14:paraId="584F80C1">
      <w:pPr>
        <w:spacing w:line="360" w:lineRule="auto"/>
        <w:rPr>
          <w:rFonts w:ascii="宋体" w:hAnsi="宋体" w:cs="宋体"/>
          <w:b/>
          <w:color w:val="000000" w:themeColor="text1"/>
          <w:sz w:val="24"/>
          <w14:textFill>
            <w14:solidFill>
              <w14:schemeClr w14:val="tx1"/>
            </w14:solidFill>
          </w14:textFill>
        </w:rPr>
      </w:pPr>
    </w:p>
    <w:p w14:paraId="32A2EB2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0B7F346">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A5EF80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429B693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5AB4055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DFDC7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5EEBF7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19C2D66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E1E5259">
      <w:pPr>
        <w:spacing w:line="360" w:lineRule="auto"/>
        <w:rPr>
          <w:rFonts w:ascii="宋体" w:hAnsi="宋体" w:cs="宋体"/>
          <w:b/>
          <w:color w:val="000000" w:themeColor="text1"/>
          <w:sz w:val="24"/>
          <w14:textFill>
            <w14:solidFill>
              <w14:schemeClr w14:val="tx1"/>
            </w14:solidFill>
          </w14:textFill>
        </w:rPr>
      </w:pPr>
    </w:p>
    <w:p w14:paraId="1E259C0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839BFE">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21F33DD6">
      <w:pPr>
        <w:spacing w:line="360" w:lineRule="auto"/>
        <w:rPr>
          <w:rFonts w:ascii="宋体" w:hAnsi="宋体" w:cs="宋体"/>
          <w:color w:val="000000" w:themeColor="text1"/>
          <w:sz w:val="24"/>
          <w:u w:val="single"/>
          <w14:textFill>
            <w14:solidFill>
              <w14:schemeClr w14:val="tx1"/>
            </w14:solidFill>
          </w14:textFill>
        </w:rPr>
      </w:pPr>
    </w:p>
    <w:p w14:paraId="7D3ACB7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浙江中医药大学、浙江豪圣建设项目管理有限公司</w:t>
      </w:r>
    </w:p>
    <w:p w14:paraId="564AEA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你方组织的浙江中医药大学富春校区北区食堂智慧化建设工程项目【项目编号：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CB38D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E260883">
      <w:pPr>
        <w:spacing w:line="360" w:lineRule="auto"/>
        <w:ind w:firstLine="494"/>
        <w:rPr>
          <w:rFonts w:ascii="宋体" w:hAnsi="宋体" w:cs="宋体"/>
          <w:color w:val="000000" w:themeColor="text1"/>
          <w:sz w:val="24"/>
          <w14:textFill>
            <w14:solidFill>
              <w14:schemeClr w14:val="tx1"/>
            </w14:solidFill>
          </w14:textFill>
        </w:rPr>
      </w:pPr>
    </w:p>
    <w:p w14:paraId="30D8DD7A">
      <w:pPr>
        <w:spacing w:line="360" w:lineRule="auto"/>
        <w:ind w:firstLine="494"/>
        <w:rPr>
          <w:rFonts w:ascii="宋体" w:hAnsi="宋体" w:cs="宋体"/>
          <w:color w:val="000000" w:themeColor="text1"/>
          <w:sz w:val="24"/>
          <w14:textFill>
            <w14:solidFill>
              <w14:schemeClr w14:val="tx1"/>
            </w14:solidFill>
          </w14:textFill>
        </w:rPr>
      </w:pPr>
    </w:p>
    <w:p w14:paraId="74A4E7A6">
      <w:pPr>
        <w:spacing w:line="360" w:lineRule="auto"/>
        <w:ind w:firstLine="494"/>
        <w:rPr>
          <w:rFonts w:ascii="宋体" w:hAnsi="宋体" w:cs="宋体"/>
          <w:color w:val="000000" w:themeColor="text1"/>
          <w:sz w:val="24"/>
          <w14:textFill>
            <w14:solidFill>
              <w14:schemeClr w14:val="tx1"/>
            </w14:solidFill>
          </w14:textFill>
        </w:rPr>
      </w:pPr>
    </w:p>
    <w:p w14:paraId="135F2400">
      <w:pPr>
        <w:spacing w:line="360" w:lineRule="auto"/>
        <w:ind w:firstLine="494"/>
        <w:rPr>
          <w:rFonts w:ascii="宋体" w:hAnsi="宋体" w:cs="宋体"/>
          <w:color w:val="000000" w:themeColor="text1"/>
          <w:sz w:val="24"/>
          <w14:textFill>
            <w14:solidFill>
              <w14:schemeClr w14:val="tx1"/>
            </w14:solidFill>
          </w14:textFill>
        </w:rPr>
      </w:pPr>
    </w:p>
    <w:p w14:paraId="2EFDE2B0">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14:paraId="3C56A04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7F4DD70">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2D54AC69">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14:paraId="0C89D62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BF6C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E9E64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2CAA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24506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AF1E54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4E058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3FCA5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A4099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ABBE3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E759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44CC1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1848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D9673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D4654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F03DC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2BA0B0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779560">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5022BDD4">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14:paraId="52DC748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浙江中医药大学富春校区北区食堂智慧化建设工程【项目编号：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14:paraId="2ED7A86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78771D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14:paraId="63B36F0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14:paraId="2395AD5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38"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A2CB04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32A8EE2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38"/>
    <w:p w14:paraId="2B1C5CC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2C56712B">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0CBBA2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42C2B9C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2494EAE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14:paraId="01EFA44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10A8F73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31EA001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7DBF78B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606CC92">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1682AF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7D40A24">
      <w:pPr>
        <w:autoSpaceDE w:val="0"/>
        <w:autoSpaceDN w:val="0"/>
        <w:jc w:val="center"/>
        <w:rPr>
          <w:rFonts w:ascii="宋体" w:hAnsi="宋体" w:cs="宋体"/>
          <w:b/>
          <w:color w:val="000000" w:themeColor="text1"/>
          <w:spacing w:val="6"/>
          <w:sz w:val="32"/>
          <w:szCs w:val="32"/>
          <w14:textFill>
            <w14:solidFill>
              <w14:schemeClr w14:val="tx1"/>
            </w14:solidFill>
          </w14:textFill>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6E01426">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6FCE3F6F">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14:paraId="102E546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浙江中医药大学富春校区北区食堂智慧化建设工程【项目编号：</w:t>
      </w:r>
      <w:r>
        <w:rPr>
          <w:rFonts w:hint="eastAsia" w:ascii="宋体" w:hAnsi="宋体" w:cs="宋体"/>
          <w:color w:val="000000" w:themeColor="text1"/>
          <w:sz w:val="24"/>
          <w:lang w:eastAsia="zh-CN"/>
          <w14:textFill>
            <w14:solidFill>
              <w14:schemeClr w14:val="tx1"/>
            </w14:solidFill>
          </w14:textFill>
        </w:rPr>
        <w:t>HSZB-2025-305（1）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18B8F7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721D754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6EB8169">
      <w:pPr>
        <w:tabs>
          <w:tab w:val="left" w:pos="432"/>
        </w:tabs>
        <w:ind w:left="664" w:leftChars="316" w:firstLine="228" w:firstLineChars="9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202ABE8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74522D89">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E7C3FCC">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39"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39"/>
    </w:p>
    <w:p w14:paraId="17D5677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8EFEF4A">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AB452C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21716ED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78108E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26B35CC">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14912A4">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627133E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5056E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DE7575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39A8659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70B6A4FA">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14:paraId="2DF5365D">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46FD670">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F69DE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5075B4">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005FC3E">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14:paraId="69D8F0AF">
      <w:pPr>
        <w:spacing w:line="360" w:lineRule="auto"/>
        <w:jc w:val="center"/>
        <w:rPr>
          <w:rFonts w:ascii="宋体" w:hAnsi="宋体" w:cs="宋体"/>
          <w:color w:val="000000" w:themeColor="text1"/>
          <w:sz w:val="24"/>
          <w:u w:val="single"/>
          <w14:textFill>
            <w14:solidFill>
              <w14:schemeClr w14:val="tx1"/>
            </w14:solidFill>
          </w14:textFill>
        </w:rPr>
      </w:pPr>
    </w:p>
    <w:p w14:paraId="25D86CCB">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14:paraId="1216B64F">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浙江中医药大学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浙江中医药大学富春校区北区食堂智慧化建设工程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745826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浙江中医药大学富春校区北区食堂智慧化建设工程</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（建筑业）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226423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56EE4C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CD37ED6">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49C21F5">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09E396A9">
      <w:pPr>
        <w:spacing w:line="360" w:lineRule="auto"/>
        <w:ind w:firstLine="480" w:firstLineChars="200"/>
        <w:rPr>
          <w:rFonts w:ascii="宋体" w:hAnsi="宋体" w:cs="宋体"/>
          <w:color w:val="000000" w:themeColor="text1"/>
          <w:sz w:val="24"/>
          <w14:textFill>
            <w14:solidFill>
              <w14:schemeClr w14:val="tx1"/>
            </w14:solidFill>
          </w14:textFill>
        </w:rPr>
      </w:pPr>
    </w:p>
    <w:p w14:paraId="049CE967">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780AC1D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90C7384">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020D9E52">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BA248BF">
      <w:pPr>
        <w:spacing w:line="360" w:lineRule="auto"/>
        <w:ind w:firstLine="480" w:firstLineChars="200"/>
        <w:rPr>
          <w:rFonts w:ascii="宋体" w:hAnsi="宋体" w:cs="仿宋_GB2312"/>
          <w:b/>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①从业人员、营业收入、资产总额填报上一年度数据，无上一年度数据的新成立企业可不填报。</w:t>
      </w:r>
      <w:r>
        <w:rPr>
          <w:rFonts w:hint="eastAsia" w:ascii="宋体" w:hAnsi="宋体" w:cs="宋体"/>
          <w:color w:val="000000" w:themeColor="text1"/>
          <w:sz w:val="24"/>
          <w:shd w:val="clear" w:color="auto" w:fill="C9E7FF"/>
          <w:lang w:bidi="ar"/>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w:t>
      </w:r>
    </w:p>
    <w:p w14:paraId="0336554B">
      <w:pPr>
        <w:spacing w:line="360" w:lineRule="auto"/>
        <w:jc w:val="center"/>
        <w:rPr>
          <w:rFonts w:ascii="宋体" w:hAnsi="宋体" w:cs="宋体"/>
          <w:b/>
          <w:color w:val="000000" w:themeColor="text1"/>
          <w:sz w:val="32"/>
          <w:szCs w:val="32"/>
          <w14:textFill>
            <w14:solidFill>
              <w14:schemeClr w14:val="tx1"/>
            </w14:solidFill>
          </w14:textFill>
        </w:rPr>
      </w:pPr>
    </w:p>
    <w:p w14:paraId="488239A9">
      <w:pPr>
        <w:spacing w:line="360" w:lineRule="auto"/>
        <w:rPr>
          <w:rFonts w:ascii="宋体" w:hAnsi="宋体" w:cs="宋体"/>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CCEC53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附件8：工程量清单（另附）</w:t>
      </w:r>
    </w:p>
    <w:p w14:paraId="78C9A872">
      <w:pPr>
        <w:spacing w:line="360" w:lineRule="auto"/>
        <w:rPr>
          <w:rFonts w:ascii="宋体" w:hAnsi="宋体" w:cs="宋体"/>
          <w:b/>
          <w:color w:val="000000" w:themeColor="text1"/>
          <w:spacing w:val="6"/>
          <w:sz w:val="32"/>
          <w:szCs w:val="32"/>
          <w14:textFill>
            <w14:solidFill>
              <w14:schemeClr w14:val="tx1"/>
            </w14:solidFill>
          </w14:textFill>
        </w:rPr>
      </w:pPr>
    </w:p>
    <w:p w14:paraId="39F28BBF">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附件9：图纸（另附）</w:t>
      </w:r>
    </w:p>
    <w:p w14:paraId="446BF4A4">
      <w:pPr>
        <w:pStyle w:val="2"/>
        <w:rPr>
          <w:color w:val="000000" w:themeColor="text1"/>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402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B20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58B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bookmarkStart w:id="540" w:name="_Toc131845147"/>
    <w:bookmarkStart w:id="541" w:name="_Toc36110187"/>
    <w:bookmarkStart w:id="542" w:name="_Toc91899912"/>
    <w:bookmarkStart w:id="543" w:name="_Toc164085800"/>
    <w:r>
      <w:rPr>
        <w:rFonts w:hint="eastAsia" w:ascii="仿宋_GB2312" w:eastAsia="仿宋_GB2312"/>
        <w:kern w:val="0"/>
        <w:szCs w:val="21"/>
      </w:rPr>
      <w:t xml:space="preserve"> 页</w:t>
    </w:r>
    <w:bookmarkEnd w:id="540"/>
    <w:bookmarkEnd w:id="541"/>
    <w:bookmarkEnd w:id="542"/>
    <w:bookmarkEnd w:id="5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E91D">
    <w:pPr>
      <w:pStyle w:val="39"/>
      <w:framePr w:wrap="around" w:vAnchor="text" w:hAnchor="margin" w:xAlign="right" w:y="1"/>
      <w:rPr>
        <w:rStyle w:val="72"/>
      </w:rPr>
    </w:pPr>
    <w:r>
      <w:fldChar w:fldCharType="begin"/>
    </w:r>
    <w:r>
      <w:rPr>
        <w:rStyle w:val="72"/>
      </w:rPr>
      <w:instrText xml:space="preserve">PAGE  </w:instrText>
    </w:r>
    <w:r>
      <w:fldChar w:fldCharType="end"/>
    </w:r>
  </w:p>
  <w:p w14:paraId="0EEBD5F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59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D31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717C758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45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6614F9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0C6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74D9F6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A0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2A888F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7B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617923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E3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5D5E3D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BC8E">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07A8">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E7B2">
    <w:pPr>
      <w:pStyle w:val="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B6C0D47"/>
    <w:multiLevelType w:val="singleLevel"/>
    <w:tmpl w:val="5B6C0D47"/>
    <w:lvl w:ilvl="0" w:tentative="0">
      <w:start w:val="1"/>
      <w:numFmt w:val="chineseCounting"/>
      <w:suff w:val="nothing"/>
      <w:lvlText w:val="（%1）"/>
      <w:lvlJc w:val="left"/>
    </w:lvl>
  </w:abstractNum>
  <w:abstractNum w:abstractNumId="3">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6F"/>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6A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2FBE"/>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63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9E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395"/>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9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09"/>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10"/>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72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10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6B9"/>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38E"/>
    <w:rsid w:val="00D22B13"/>
    <w:rsid w:val="00D2371E"/>
    <w:rsid w:val="00D237E0"/>
    <w:rsid w:val="00D23A17"/>
    <w:rsid w:val="00D25676"/>
    <w:rsid w:val="00D2579F"/>
    <w:rsid w:val="00D2580E"/>
    <w:rsid w:val="00D25C9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F0"/>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E9"/>
    <w:rsid w:val="019B53E2"/>
    <w:rsid w:val="019F7441"/>
    <w:rsid w:val="01B37585"/>
    <w:rsid w:val="01B82438"/>
    <w:rsid w:val="01BF5575"/>
    <w:rsid w:val="01C65DA5"/>
    <w:rsid w:val="01D55165"/>
    <w:rsid w:val="01DB7ED5"/>
    <w:rsid w:val="01DF6BF8"/>
    <w:rsid w:val="01E70DB5"/>
    <w:rsid w:val="01EC2C57"/>
    <w:rsid w:val="02145195"/>
    <w:rsid w:val="0233386D"/>
    <w:rsid w:val="024912E2"/>
    <w:rsid w:val="025C7268"/>
    <w:rsid w:val="025F0711"/>
    <w:rsid w:val="026B2E25"/>
    <w:rsid w:val="026C6D7F"/>
    <w:rsid w:val="02824D4D"/>
    <w:rsid w:val="02D0730E"/>
    <w:rsid w:val="02D52B76"/>
    <w:rsid w:val="02DC4B10"/>
    <w:rsid w:val="02DD76CE"/>
    <w:rsid w:val="02F36323"/>
    <w:rsid w:val="02F5619C"/>
    <w:rsid w:val="02FA438B"/>
    <w:rsid w:val="031C69F7"/>
    <w:rsid w:val="032633D2"/>
    <w:rsid w:val="0326446A"/>
    <w:rsid w:val="03280EF8"/>
    <w:rsid w:val="032A4C70"/>
    <w:rsid w:val="032D5555"/>
    <w:rsid w:val="034A70C0"/>
    <w:rsid w:val="035E0DBD"/>
    <w:rsid w:val="036363D4"/>
    <w:rsid w:val="036634D2"/>
    <w:rsid w:val="036F6B27"/>
    <w:rsid w:val="03773C2D"/>
    <w:rsid w:val="03DD35E4"/>
    <w:rsid w:val="03F040A4"/>
    <w:rsid w:val="04074FB1"/>
    <w:rsid w:val="04076900"/>
    <w:rsid w:val="041A5A3B"/>
    <w:rsid w:val="041A7841"/>
    <w:rsid w:val="042311BA"/>
    <w:rsid w:val="042B157A"/>
    <w:rsid w:val="042E7F90"/>
    <w:rsid w:val="04390EE3"/>
    <w:rsid w:val="043F0BEF"/>
    <w:rsid w:val="04730898"/>
    <w:rsid w:val="04781A0B"/>
    <w:rsid w:val="048F763B"/>
    <w:rsid w:val="04932CE9"/>
    <w:rsid w:val="049F330E"/>
    <w:rsid w:val="04AA775C"/>
    <w:rsid w:val="04AF1889"/>
    <w:rsid w:val="04B54A0D"/>
    <w:rsid w:val="04C64E6C"/>
    <w:rsid w:val="04F66F48"/>
    <w:rsid w:val="051756C8"/>
    <w:rsid w:val="05251E14"/>
    <w:rsid w:val="05A16594"/>
    <w:rsid w:val="05A7762D"/>
    <w:rsid w:val="05BE3D95"/>
    <w:rsid w:val="05DE7F94"/>
    <w:rsid w:val="05E355AA"/>
    <w:rsid w:val="060E5941"/>
    <w:rsid w:val="06110FAF"/>
    <w:rsid w:val="061E21DC"/>
    <w:rsid w:val="06332B7B"/>
    <w:rsid w:val="063D4CBA"/>
    <w:rsid w:val="06493CA7"/>
    <w:rsid w:val="06497B03"/>
    <w:rsid w:val="064C314F"/>
    <w:rsid w:val="065344DE"/>
    <w:rsid w:val="065A6178"/>
    <w:rsid w:val="06606BFB"/>
    <w:rsid w:val="066F1CF3"/>
    <w:rsid w:val="068E5516"/>
    <w:rsid w:val="06915006"/>
    <w:rsid w:val="06930BB8"/>
    <w:rsid w:val="069E6B2E"/>
    <w:rsid w:val="06D118A6"/>
    <w:rsid w:val="06F347DF"/>
    <w:rsid w:val="07245D42"/>
    <w:rsid w:val="07264C62"/>
    <w:rsid w:val="072D2F81"/>
    <w:rsid w:val="075A3B1D"/>
    <w:rsid w:val="0768431A"/>
    <w:rsid w:val="0779354C"/>
    <w:rsid w:val="07967637"/>
    <w:rsid w:val="07A46B95"/>
    <w:rsid w:val="07C1191B"/>
    <w:rsid w:val="07CC279A"/>
    <w:rsid w:val="07EA2C20"/>
    <w:rsid w:val="08061376"/>
    <w:rsid w:val="080822E1"/>
    <w:rsid w:val="080B2B96"/>
    <w:rsid w:val="081E0B1B"/>
    <w:rsid w:val="08452D77"/>
    <w:rsid w:val="084560A8"/>
    <w:rsid w:val="086401F8"/>
    <w:rsid w:val="08640C24"/>
    <w:rsid w:val="08661343"/>
    <w:rsid w:val="08751CAA"/>
    <w:rsid w:val="087E4C40"/>
    <w:rsid w:val="08923AEE"/>
    <w:rsid w:val="08A871D0"/>
    <w:rsid w:val="08C63CD9"/>
    <w:rsid w:val="08D35DAA"/>
    <w:rsid w:val="08D66AD6"/>
    <w:rsid w:val="08D8516E"/>
    <w:rsid w:val="08DA33A3"/>
    <w:rsid w:val="08E80F13"/>
    <w:rsid w:val="08EB280C"/>
    <w:rsid w:val="091E5277"/>
    <w:rsid w:val="09335624"/>
    <w:rsid w:val="0944690F"/>
    <w:rsid w:val="09535675"/>
    <w:rsid w:val="095F057D"/>
    <w:rsid w:val="09642282"/>
    <w:rsid w:val="09694443"/>
    <w:rsid w:val="09733572"/>
    <w:rsid w:val="09772C16"/>
    <w:rsid w:val="0978425B"/>
    <w:rsid w:val="098353B5"/>
    <w:rsid w:val="09A92330"/>
    <w:rsid w:val="09B06B87"/>
    <w:rsid w:val="09B71227"/>
    <w:rsid w:val="09BA4874"/>
    <w:rsid w:val="09C13146"/>
    <w:rsid w:val="09C3140C"/>
    <w:rsid w:val="09E04166"/>
    <w:rsid w:val="0A1C0718"/>
    <w:rsid w:val="0A3E7710"/>
    <w:rsid w:val="0A515D78"/>
    <w:rsid w:val="0A5B7E63"/>
    <w:rsid w:val="0A703465"/>
    <w:rsid w:val="0A805ABD"/>
    <w:rsid w:val="0AA374A5"/>
    <w:rsid w:val="0AAB7649"/>
    <w:rsid w:val="0AAC240E"/>
    <w:rsid w:val="0ABC5606"/>
    <w:rsid w:val="0ADB0F46"/>
    <w:rsid w:val="0AE147AE"/>
    <w:rsid w:val="0B30404E"/>
    <w:rsid w:val="0B4C6C14"/>
    <w:rsid w:val="0B547599"/>
    <w:rsid w:val="0B631A88"/>
    <w:rsid w:val="0B683D45"/>
    <w:rsid w:val="0B7F3F11"/>
    <w:rsid w:val="0B7F7B23"/>
    <w:rsid w:val="0B884417"/>
    <w:rsid w:val="0B8E5FB8"/>
    <w:rsid w:val="0B941820"/>
    <w:rsid w:val="0B980BE5"/>
    <w:rsid w:val="0BCD088E"/>
    <w:rsid w:val="0BDF6813"/>
    <w:rsid w:val="0BF6188C"/>
    <w:rsid w:val="0BF73C91"/>
    <w:rsid w:val="0C112E71"/>
    <w:rsid w:val="0C170175"/>
    <w:rsid w:val="0C571A41"/>
    <w:rsid w:val="0C5C1171"/>
    <w:rsid w:val="0C5E1CBC"/>
    <w:rsid w:val="0C615B50"/>
    <w:rsid w:val="0C7C4062"/>
    <w:rsid w:val="0C8445DA"/>
    <w:rsid w:val="0C87121B"/>
    <w:rsid w:val="0C931AD8"/>
    <w:rsid w:val="0CC007F7"/>
    <w:rsid w:val="0CC04897"/>
    <w:rsid w:val="0CC617AC"/>
    <w:rsid w:val="0CE4552E"/>
    <w:rsid w:val="0CE618DF"/>
    <w:rsid w:val="0CF12CA2"/>
    <w:rsid w:val="0CFE707A"/>
    <w:rsid w:val="0D063BDA"/>
    <w:rsid w:val="0D08375F"/>
    <w:rsid w:val="0D184CFB"/>
    <w:rsid w:val="0D1C7D1F"/>
    <w:rsid w:val="0D4A7419"/>
    <w:rsid w:val="0D71793F"/>
    <w:rsid w:val="0D827401"/>
    <w:rsid w:val="0D84094E"/>
    <w:rsid w:val="0D8A00E9"/>
    <w:rsid w:val="0D8D589E"/>
    <w:rsid w:val="0DA01C73"/>
    <w:rsid w:val="0DB25D7E"/>
    <w:rsid w:val="0DD63300"/>
    <w:rsid w:val="0DD8176C"/>
    <w:rsid w:val="0DF50604"/>
    <w:rsid w:val="0DF702FE"/>
    <w:rsid w:val="0E060E51"/>
    <w:rsid w:val="0E2008DB"/>
    <w:rsid w:val="0E3C7F4D"/>
    <w:rsid w:val="0E5604B2"/>
    <w:rsid w:val="0E666D78"/>
    <w:rsid w:val="0E6D5D79"/>
    <w:rsid w:val="0E9D0089"/>
    <w:rsid w:val="0EB803EE"/>
    <w:rsid w:val="0EDC703A"/>
    <w:rsid w:val="0EF94D4B"/>
    <w:rsid w:val="0EF95E3E"/>
    <w:rsid w:val="0F152C78"/>
    <w:rsid w:val="0F1669F0"/>
    <w:rsid w:val="0F4958DC"/>
    <w:rsid w:val="0F515DF7"/>
    <w:rsid w:val="0F596BA8"/>
    <w:rsid w:val="0F6248D2"/>
    <w:rsid w:val="0F64775C"/>
    <w:rsid w:val="0F693536"/>
    <w:rsid w:val="0F71086A"/>
    <w:rsid w:val="0F73799F"/>
    <w:rsid w:val="0F7B0511"/>
    <w:rsid w:val="0F7B76D9"/>
    <w:rsid w:val="0F816ACD"/>
    <w:rsid w:val="0F847DFE"/>
    <w:rsid w:val="0F8971C2"/>
    <w:rsid w:val="0F9832DB"/>
    <w:rsid w:val="0FBF3FD2"/>
    <w:rsid w:val="0FBF4992"/>
    <w:rsid w:val="0FBF7FF3"/>
    <w:rsid w:val="0FD83CA6"/>
    <w:rsid w:val="0FE8038D"/>
    <w:rsid w:val="0FFE7520"/>
    <w:rsid w:val="104F21BA"/>
    <w:rsid w:val="10646583"/>
    <w:rsid w:val="106F0166"/>
    <w:rsid w:val="107D4B15"/>
    <w:rsid w:val="108A3C80"/>
    <w:rsid w:val="10993435"/>
    <w:rsid w:val="10AB4F16"/>
    <w:rsid w:val="10C26171"/>
    <w:rsid w:val="10E87F18"/>
    <w:rsid w:val="10F33360"/>
    <w:rsid w:val="10FC16EA"/>
    <w:rsid w:val="10FD39C4"/>
    <w:rsid w:val="110F1D40"/>
    <w:rsid w:val="111B209C"/>
    <w:rsid w:val="11266F33"/>
    <w:rsid w:val="118963A1"/>
    <w:rsid w:val="11C6522A"/>
    <w:rsid w:val="11D63897"/>
    <w:rsid w:val="11E104CC"/>
    <w:rsid w:val="11E20309"/>
    <w:rsid w:val="11E9219A"/>
    <w:rsid w:val="12255233"/>
    <w:rsid w:val="12266F4A"/>
    <w:rsid w:val="12437C74"/>
    <w:rsid w:val="12530213"/>
    <w:rsid w:val="127723A9"/>
    <w:rsid w:val="12862074"/>
    <w:rsid w:val="12883966"/>
    <w:rsid w:val="129E45B4"/>
    <w:rsid w:val="12C10A21"/>
    <w:rsid w:val="12D81596"/>
    <w:rsid w:val="12E60488"/>
    <w:rsid w:val="12F62DC0"/>
    <w:rsid w:val="13036D42"/>
    <w:rsid w:val="1303728B"/>
    <w:rsid w:val="13072A44"/>
    <w:rsid w:val="13096776"/>
    <w:rsid w:val="13280AA0"/>
    <w:rsid w:val="134E49AB"/>
    <w:rsid w:val="135950FD"/>
    <w:rsid w:val="135F4BE2"/>
    <w:rsid w:val="139B1A0A"/>
    <w:rsid w:val="139D25C7"/>
    <w:rsid w:val="13AA7707"/>
    <w:rsid w:val="13BF1404"/>
    <w:rsid w:val="13BF3CE4"/>
    <w:rsid w:val="13EB3FA7"/>
    <w:rsid w:val="13F310AE"/>
    <w:rsid w:val="140B63F8"/>
    <w:rsid w:val="141008D8"/>
    <w:rsid w:val="14125FE6"/>
    <w:rsid w:val="1437559E"/>
    <w:rsid w:val="146D271E"/>
    <w:rsid w:val="14982588"/>
    <w:rsid w:val="149A5AD9"/>
    <w:rsid w:val="14A7619D"/>
    <w:rsid w:val="14F615A9"/>
    <w:rsid w:val="15001CD4"/>
    <w:rsid w:val="150536C3"/>
    <w:rsid w:val="150C1963"/>
    <w:rsid w:val="150C68CB"/>
    <w:rsid w:val="151447A0"/>
    <w:rsid w:val="152B4878"/>
    <w:rsid w:val="15451DDD"/>
    <w:rsid w:val="154A6454"/>
    <w:rsid w:val="15657D89"/>
    <w:rsid w:val="15762120"/>
    <w:rsid w:val="158F4E06"/>
    <w:rsid w:val="15AE1730"/>
    <w:rsid w:val="15F86924"/>
    <w:rsid w:val="15FF01DE"/>
    <w:rsid w:val="162E2871"/>
    <w:rsid w:val="16467BBB"/>
    <w:rsid w:val="166242C9"/>
    <w:rsid w:val="16691AFB"/>
    <w:rsid w:val="16907088"/>
    <w:rsid w:val="16A8729C"/>
    <w:rsid w:val="16B33777"/>
    <w:rsid w:val="16BC70A7"/>
    <w:rsid w:val="16BC7E7D"/>
    <w:rsid w:val="16C6339E"/>
    <w:rsid w:val="16D276A1"/>
    <w:rsid w:val="16ED6288"/>
    <w:rsid w:val="16F969DB"/>
    <w:rsid w:val="1701318F"/>
    <w:rsid w:val="17084E70"/>
    <w:rsid w:val="17237EFC"/>
    <w:rsid w:val="172F2D79"/>
    <w:rsid w:val="174329DC"/>
    <w:rsid w:val="17557BEF"/>
    <w:rsid w:val="176A78D9"/>
    <w:rsid w:val="178766DD"/>
    <w:rsid w:val="178C5AA1"/>
    <w:rsid w:val="17A0154D"/>
    <w:rsid w:val="17B46DA6"/>
    <w:rsid w:val="17BE7C25"/>
    <w:rsid w:val="17BF5E77"/>
    <w:rsid w:val="17C074F9"/>
    <w:rsid w:val="17D349C1"/>
    <w:rsid w:val="17E70F2A"/>
    <w:rsid w:val="17FD074D"/>
    <w:rsid w:val="17FE0021"/>
    <w:rsid w:val="181D2CB6"/>
    <w:rsid w:val="182E0907"/>
    <w:rsid w:val="1830729E"/>
    <w:rsid w:val="184A3267"/>
    <w:rsid w:val="18506ACF"/>
    <w:rsid w:val="1870062C"/>
    <w:rsid w:val="187A7FF0"/>
    <w:rsid w:val="18817102"/>
    <w:rsid w:val="18830A15"/>
    <w:rsid w:val="18852B28"/>
    <w:rsid w:val="188B5321"/>
    <w:rsid w:val="19001F04"/>
    <w:rsid w:val="197C1B46"/>
    <w:rsid w:val="19856C4C"/>
    <w:rsid w:val="19932372"/>
    <w:rsid w:val="199E7D0E"/>
    <w:rsid w:val="19A20DD5"/>
    <w:rsid w:val="19A846E9"/>
    <w:rsid w:val="19AE03F1"/>
    <w:rsid w:val="19B47531"/>
    <w:rsid w:val="19BE1321"/>
    <w:rsid w:val="19F33BB6"/>
    <w:rsid w:val="1A071A03"/>
    <w:rsid w:val="1A1F16AE"/>
    <w:rsid w:val="1A3B5C77"/>
    <w:rsid w:val="1A4E34E2"/>
    <w:rsid w:val="1A6C1BBA"/>
    <w:rsid w:val="1A725422"/>
    <w:rsid w:val="1A984BAD"/>
    <w:rsid w:val="1AB8220E"/>
    <w:rsid w:val="1AD21E95"/>
    <w:rsid w:val="1AE4166C"/>
    <w:rsid w:val="1AF06CFB"/>
    <w:rsid w:val="1AF11B8D"/>
    <w:rsid w:val="1B11359C"/>
    <w:rsid w:val="1B2A271F"/>
    <w:rsid w:val="1B3E70B3"/>
    <w:rsid w:val="1B434782"/>
    <w:rsid w:val="1B440441"/>
    <w:rsid w:val="1B530544"/>
    <w:rsid w:val="1B713184"/>
    <w:rsid w:val="1B7725C5"/>
    <w:rsid w:val="1BA209CF"/>
    <w:rsid w:val="1BB4777D"/>
    <w:rsid w:val="1BB83309"/>
    <w:rsid w:val="1BB92BDD"/>
    <w:rsid w:val="1BD75AB8"/>
    <w:rsid w:val="1BD9327F"/>
    <w:rsid w:val="1C0459C2"/>
    <w:rsid w:val="1C077DEC"/>
    <w:rsid w:val="1C183DA8"/>
    <w:rsid w:val="1C1B3B4A"/>
    <w:rsid w:val="1C1D316C"/>
    <w:rsid w:val="1C694603"/>
    <w:rsid w:val="1C6A3ED7"/>
    <w:rsid w:val="1C766D20"/>
    <w:rsid w:val="1C7725CD"/>
    <w:rsid w:val="1C7B7E93"/>
    <w:rsid w:val="1C812CD0"/>
    <w:rsid w:val="1C88086E"/>
    <w:rsid w:val="1D1327C1"/>
    <w:rsid w:val="1D266CE1"/>
    <w:rsid w:val="1D37025D"/>
    <w:rsid w:val="1D3963AF"/>
    <w:rsid w:val="1D3D0FE5"/>
    <w:rsid w:val="1D556936"/>
    <w:rsid w:val="1D6A673C"/>
    <w:rsid w:val="1D6D0123"/>
    <w:rsid w:val="1D7768AC"/>
    <w:rsid w:val="1D9247AE"/>
    <w:rsid w:val="1DB567EC"/>
    <w:rsid w:val="1DCA7323"/>
    <w:rsid w:val="1DE55F0B"/>
    <w:rsid w:val="1DF51A98"/>
    <w:rsid w:val="1E0068A1"/>
    <w:rsid w:val="1E205195"/>
    <w:rsid w:val="1E29229C"/>
    <w:rsid w:val="1E3D060F"/>
    <w:rsid w:val="1E3F7D2E"/>
    <w:rsid w:val="1E4134E4"/>
    <w:rsid w:val="1E5062B3"/>
    <w:rsid w:val="1E523514"/>
    <w:rsid w:val="1E671B83"/>
    <w:rsid w:val="1E682698"/>
    <w:rsid w:val="1E714A66"/>
    <w:rsid w:val="1E7605F3"/>
    <w:rsid w:val="1E802593"/>
    <w:rsid w:val="1E8B6156"/>
    <w:rsid w:val="1E990AA4"/>
    <w:rsid w:val="1EA703CC"/>
    <w:rsid w:val="1EAC4C7B"/>
    <w:rsid w:val="1EAC6A29"/>
    <w:rsid w:val="1EB61656"/>
    <w:rsid w:val="1EB7330C"/>
    <w:rsid w:val="1EC55E72"/>
    <w:rsid w:val="1ED61CF8"/>
    <w:rsid w:val="1EF04B68"/>
    <w:rsid w:val="1EF67CA4"/>
    <w:rsid w:val="1F0A0FF3"/>
    <w:rsid w:val="1F274302"/>
    <w:rsid w:val="1F2948B5"/>
    <w:rsid w:val="1F5771FF"/>
    <w:rsid w:val="1F646BF6"/>
    <w:rsid w:val="1F6B0692"/>
    <w:rsid w:val="1F904124"/>
    <w:rsid w:val="1F9E2816"/>
    <w:rsid w:val="1F9F033C"/>
    <w:rsid w:val="1FB77434"/>
    <w:rsid w:val="1FC63B1B"/>
    <w:rsid w:val="1FCB7383"/>
    <w:rsid w:val="1FCD30FB"/>
    <w:rsid w:val="1FE868A9"/>
    <w:rsid w:val="1FEA5A5B"/>
    <w:rsid w:val="20034907"/>
    <w:rsid w:val="20081AD8"/>
    <w:rsid w:val="20173E4B"/>
    <w:rsid w:val="20390790"/>
    <w:rsid w:val="204E48BC"/>
    <w:rsid w:val="20564E9E"/>
    <w:rsid w:val="2076109D"/>
    <w:rsid w:val="20880DD0"/>
    <w:rsid w:val="208921B3"/>
    <w:rsid w:val="209239FD"/>
    <w:rsid w:val="20973DEB"/>
    <w:rsid w:val="209B6D55"/>
    <w:rsid w:val="20A21E92"/>
    <w:rsid w:val="20B26522"/>
    <w:rsid w:val="20B44310"/>
    <w:rsid w:val="20F14BC7"/>
    <w:rsid w:val="211116EB"/>
    <w:rsid w:val="21415B4F"/>
    <w:rsid w:val="21523D75"/>
    <w:rsid w:val="216133FC"/>
    <w:rsid w:val="21C97D6C"/>
    <w:rsid w:val="21D56769"/>
    <w:rsid w:val="21E07116"/>
    <w:rsid w:val="21E52EF3"/>
    <w:rsid w:val="21FB5D7B"/>
    <w:rsid w:val="22015E94"/>
    <w:rsid w:val="220426D8"/>
    <w:rsid w:val="22056B7C"/>
    <w:rsid w:val="22066531"/>
    <w:rsid w:val="220B1C3D"/>
    <w:rsid w:val="22140B6D"/>
    <w:rsid w:val="221D1D20"/>
    <w:rsid w:val="22284619"/>
    <w:rsid w:val="223034CD"/>
    <w:rsid w:val="22334A87"/>
    <w:rsid w:val="228026A7"/>
    <w:rsid w:val="22883309"/>
    <w:rsid w:val="22BE6801"/>
    <w:rsid w:val="22E70B72"/>
    <w:rsid w:val="22E9024C"/>
    <w:rsid w:val="22F62969"/>
    <w:rsid w:val="2309264B"/>
    <w:rsid w:val="233500BF"/>
    <w:rsid w:val="23377FF7"/>
    <w:rsid w:val="236B425F"/>
    <w:rsid w:val="236D2C2B"/>
    <w:rsid w:val="23836192"/>
    <w:rsid w:val="238B30B1"/>
    <w:rsid w:val="23901F29"/>
    <w:rsid w:val="239C0061"/>
    <w:rsid w:val="23B908A4"/>
    <w:rsid w:val="23C2284B"/>
    <w:rsid w:val="23C95987"/>
    <w:rsid w:val="23DF51AB"/>
    <w:rsid w:val="23E629DD"/>
    <w:rsid w:val="23E95BEF"/>
    <w:rsid w:val="23FD0064"/>
    <w:rsid w:val="242F7EE0"/>
    <w:rsid w:val="243E45C7"/>
    <w:rsid w:val="24480FA2"/>
    <w:rsid w:val="245375B0"/>
    <w:rsid w:val="24642C0A"/>
    <w:rsid w:val="246A716A"/>
    <w:rsid w:val="24B22173"/>
    <w:rsid w:val="24B95AD9"/>
    <w:rsid w:val="24BE24DA"/>
    <w:rsid w:val="24C22B02"/>
    <w:rsid w:val="24CF5825"/>
    <w:rsid w:val="24D663E6"/>
    <w:rsid w:val="24D77F2B"/>
    <w:rsid w:val="24F44C86"/>
    <w:rsid w:val="251610A0"/>
    <w:rsid w:val="25253091"/>
    <w:rsid w:val="258129BE"/>
    <w:rsid w:val="258B00E2"/>
    <w:rsid w:val="258C3110"/>
    <w:rsid w:val="25900E53"/>
    <w:rsid w:val="25A917A6"/>
    <w:rsid w:val="25BE27CC"/>
    <w:rsid w:val="25F2430C"/>
    <w:rsid w:val="25F74A5C"/>
    <w:rsid w:val="26094761"/>
    <w:rsid w:val="2628662C"/>
    <w:rsid w:val="262D45DE"/>
    <w:rsid w:val="265605A8"/>
    <w:rsid w:val="2674607E"/>
    <w:rsid w:val="26746610"/>
    <w:rsid w:val="26871DC8"/>
    <w:rsid w:val="268F4C66"/>
    <w:rsid w:val="26A53EF9"/>
    <w:rsid w:val="26A616E9"/>
    <w:rsid w:val="26A94201"/>
    <w:rsid w:val="26AC274F"/>
    <w:rsid w:val="26CD578F"/>
    <w:rsid w:val="26DB0948"/>
    <w:rsid w:val="26DC3C24"/>
    <w:rsid w:val="27044A29"/>
    <w:rsid w:val="271D34C8"/>
    <w:rsid w:val="273B6B9C"/>
    <w:rsid w:val="276142BF"/>
    <w:rsid w:val="27783712"/>
    <w:rsid w:val="27840543"/>
    <w:rsid w:val="27907362"/>
    <w:rsid w:val="27962024"/>
    <w:rsid w:val="27A77FE3"/>
    <w:rsid w:val="27E440C0"/>
    <w:rsid w:val="280671AA"/>
    <w:rsid w:val="28333E1D"/>
    <w:rsid w:val="28454BD6"/>
    <w:rsid w:val="28455253"/>
    <w:rsid w:val="28551971"/>
    <w:rsid w:val="285B1C53"/>
    <w:rsid w:val="287E1436"/>
    <w:rsid w:val="289F7086"/>
    <w:rsid w:val="28BA1D43"/>
    <w:rsid w:val="28C11323"/>
    <w:rsid w:val="28C32028"/>
    <w:rsid w:val="28CC490F"/>
    <w:rsid w:val="28DE40AA"/>
    <w:rsid w:val="28E82D54"/>
    <w:rsid w:val="28F811E9"/>
    <w:rsid w:val="29345E77"/>
    <w:rsid w:val="29385A89"/>
    <w:rsid w:val="294C65AD"/>
    <w:rsid w:val="295757E3"/>
    <w:rsid w:val="2973086F"/>
    <w:rsid w:val="29785E86"/>
    <w:rsid w:val="29806583"/>
    <w:rsid w:val="298B3C4C"/>
    <w:rsid w:val="29A0362E"/>
    <w:rsid w:val="29A21154"/>
    <w:rsid w:val="29D07B74"/>
    <w:rsid w:val="29D357B2"/>
    <w:rsid w:val="29D37560"/>
    <w:rsid w:val="29F26D24"/>
    <w:rsid w:val="2A15033F"/>
    <w:rsid w:val="2A1662C1"/>
    <w:rsid w:val="2A1C7367"/>
    <w:rsid w:val="2A1D6A2D"/>
    <w:rsid w:val="2A2815FA"/>
    <w:rsid w:val="2A4144C9"/>
    <w:rsid w:val="2A6D6092"/>
    <w:rsid w:val="2A703001"/>
    <w:rsid w:val="2A7D76B4"/>
    <w:rsid w:val="2ABE6D75"/>
    <w:rsid w:val="2ABF7AE4"/>
    <w:rsid w:val="2AD417E1"/>
    <w:rsid w:val="2AD96DF8"/>
    <w:rsid w:val="2ADC2444"/>
    <w:rsid w:val="2AE61515"/>
    <w:rsid w:val="2AEA4B61"/>
    <w:rsid w:val="2B1B11BE"/>
    <w:rsid w:val="2B3F207C"/>
    <w:rsid w:val="2B437463"/>
    <w:rsid w:val="2B7807EE"/>
    <w:rsid w:val="2B801021"/>
    <w:rsid w:val="2B8F74B6"/>
    <w:rsid w:val="2BA50BF7"/>
    <w:rsid w:val="2BBF00EC"/>
    <w:rsid w:val="2BC37CFD"/>
    <w:rsid w:val="2BC445B9"/>
    <w:rsid w:val="2BD5237F"/>
    <w:rsid w:val="2BE536CE"/>
    <w:rsid w:val="2BE758D9"/>
    <w:rsid w:val="2BF33EE9"/>
    <w:rsid w:val="2BF37A45"/>
    <w:rsid w:val="2C0902CA"/>
    <w:rsid w:val="2C09049E"/>
    <w:rsid w:val="2C097269"/>
    <w:rsid w:val="2C0A653C"/>
    <w:rsid w:val="2C1856FE"/>
    <w:rsid w:val="2C191F85"/>
    <w:rsid w:val="2C6D5A4A"/>
    <w:rsid w:val="2CB90C8F"/>
    <w:rsid w:val="2CBB4EED"/>
    <w:rsid w:val="2CC82C80"/>
    <w:rsid w:val="2CC84EBC"/>
    <w:rsid w:val="2CD51841"/>
    <w:rsid w:val="2CE57EA0"/>
    <w:rsid w:val="2CE82D6F"/>
    <w:rsid w:val="2CF9108B"/>
    <w:rsid w:val="2D0068BE"/>
    <w:rsid w:val="2D2B1461"/>
    <w:rsid w:val="2D343236"/>
    <w:rsid w:val="2D346567"/>
    <w:rsid w:val="2D4D587B"/>
    <w:rsid w:val="2D5A06D6"/>
    <w:rsid w:val="2D790198"/>
    <w:rsid w:val="2DAF2092"/>
    <w:rsid w:val="2DC01BA9"/>
    <w:rsid w:val="2DD15014"/>
    <w:rsid w:val="2DD65871"/>
    <w:rsid w:val="2DF27D55"/>
    <w:rsid w:val="2DF72DE4"/>
    <w:rsid w:val="2E0220AF"/>
    <w:rsid w:val="2E057F04"/>
    <w:rsid w:val="2E3B3926"/>
    <w:rsid w:val="2E3D58F0"/>
    <w:rsid w:val="2E4B082A"/>
    <w:rsid w:val="2E560BBA"/>
    <w:rsid w:val="2E5642BC"/>
    <w:rsid w:val="2E5A1FFE"/>
    <w:rsid w:val="2E5D4E86"/>
    <w:rsid w:val="2E5D564A"/>
    <w:rsid w:val="2E5D790B"/>
    <w:rsid w:val="2E953036"/>
    <w:rsid w:val="2E9A3C18"/>
    <w:rsid w:val="2EBB0FEE"/>
    <w:rsid w:val="2EC63002"/>
    <w:rsid w:val="2ECD6C74"/>
    <w:rsid w:val="2EF81CDA"/>
    <w:rsid w:val="2F0A6B38"/>
    <w:rsid w:val="2F307202"/>
    <w:rsid w:val="2F946CCB"/>
    <w:rsid w:val="2FA554FB"/>
    <w:rsid w:val="2FB971F8"/>
    <w:rsid w:val="2FC31E25"/>
    <w:rsid w:val="2FD25781"/>
    <w:rsid w:val="2FDC745C"/>
    <w:rsid w:val="2FE778C1"/>
    <w:rsid w:val="2FFD7934"/>
    <w:rsid w:val="303568D9"/>
    <w:rsid w:val="304545E8"/>
    <w:rsid w:val="304F5466"/>
    <w:rsid w:val="307153DD"/>
    <w:rsid w:val="30733ACD"/>
    <w:rsid w:val="308C3862"/>
    <w:rsid w:val="309379D8"/>
    <w:rsid w:val="3095731D"/>
    <w:rsid w:val="30A270F7"/>
    <w:rsid w:val="30AA14F8"/>
    <w:rsid w:val="30DF1478"/>
    <w:rsid w:val="30EC586F"/>
    <w:rsid w:val="3112096E"/>
    <w:rsid w:val="315F6F32"/>
    <w:rsid w:val="31615451"/>
    <w:rsid w:val="317E4255"/>
    <w:rsid w:val="317F3B29"/>
    <w:rsid w:val="319C6071"/>
    <w:rsid w:val="31A11ECE"/>
    <w:rsid w:val="31AC537E"/>
    <w:rsid w:val="31E3679B"/>
    <w:rsid w:val="31E732FD"/>
    <w:rsid w:val="31EE30DC"/>
    <w:rsid w:val="31EF6F01"/>
    <w:rsid w:val="32075721"/>
    <w:rsid w:val="3225238E"/>
    <w:rsid w:val="32517576"/>
    <w:rsid w:val="326E42CA"/>
    <w:rsid w:val="32803FFD"/>
    <w:rsid w:val="328C4750"/>
    <w:rsid w:val="32933D30"/>
    <w:rsid w:val="32BE5C2C"/>
    <w:rsid w:val="32CA4507"/>
    <w:rsid w:val="32D63C1D"/>
    <w:rsid w:val="32E225C2"/>
    <w:rsid w:val="32FB6478"/>
    <w:rsid w:val="332410BB"/>
    <w:rsid w:val="33263B3F"/>
    <w:rsid w:val="3361798A"/>
    <w:rsid w:val="336963EB"/>
    <w:rsid w:val="33816EEB"/>
    <w:rsid w:val="33A361F5"/>
    <w:rsid w:val="33C323F3"/>
    <w:rsid w:val="33C541E3"/>
    <w:rsid w:val="33E800AC"/>
    <w:rsid w:val="33EB55CD"/>
    <w:rsid w:val="33EC4C02"/>
    <w:rsid w:val="33EF143A"/>
    <w:rsid w:val="33FE342B"/>
    <w:rsid w:val="340D2360"/>
    <w:rsid w:val="3410665D"/>
    <w:rsid w:val="34125129"/>
    <w:rsid w:val="34136B81"/>
    <w:rsid w:val="34211214"/>
    <w:rsid w:val="342310E4"/>
    <w:rsid w:val="342E63AB"/>
    <w:rsid w:val="344A041F"/>
    <w:rsid w:val="34605E94"/>
    <w:rsid w:val="34897199"/>
    <w:rsid w:val="34950E68"/>
    <w:rsid w:val="34986E94"/>
    <w:rsid w:val="34AF62C9"/>
    <w:rsid w:val="34B47F8E"/>
    <w:rsid w:val="34CB4388"/>
    <w:rsid w:val="34CF6B76"/>
    <w:rsid w:val="34F0546A"/>
    <w:rsid w:val="34FA3BF3"/>
    <w:rsid w:val="34FA6E12"/>
    <w:rsid w:val="3518051D"/>
    <w:rsid w:val="35386E11"/>
    <w:rsid w:val="354D7158"/>
    <w:rsid w:val="35611EC4"/>
    <w:rsid w:val="35814314"/>
    <w:rsid w:val="358D5588"/>
    <w:rsid w:val="35A95619"/>
    <w:rsid w:val="35DB6951"/>
    <w:rsid w:val="36274EBB"/>
    <w:rsid w:val="362D1DA6"/>
    <w:rsid w:val="363A3B40"/>
    <w:rsid w:val="363C023B"/>
    <w:rsid w:val="364721D8"/>
    <w:rsid w:val="365302AE"/>
    <w:rsid w:val="36607A0A"/>
    <w:rsid w:val="366E227C"/>
    <w:rsid w:val="366F2E0D"/>
    <w:rsid w:val="3679148F"/>
    <w:rsid w:val="367B6A5C"/>
    <w:rsid w:val="36A74ADA"/>
    <w:rsid w:val="36A77DAA"/>
    <w:rsid w:val="36A91D74"/>
    <w:rsid w:val="36AD60D5"/>
    <w:rsid w:val="36AE738B"/>
    <w:rsid w:val="36B224F9"/>
    <w:rsid w:val="36C97D20"/>
    <w:rsid w:val="36D6068F"/>
    <w:rsid w:val="36E0506A"/>
    <w:rsid w:val="36EC0CC9"/>
    <w:rsid w:val="371F2036"/>
    <w:rsid w:val="3733163E"/>
    <w:rsid w:val="373F410B"/>
    <w:rsid w:val="373F4487"/>
    <w:rsid w:val="375D66BB"/>
    <w:rsid w:val="37A34A15"/>
    <w:rsid w:val="37A711A3"/>
    <w:rsid w:val="37BF2ED1"/>
    <w:rsid w:val="37D050DF"/>
    <w:rsid w:val="37EE7094"/>
    <w:rsid w:val="38296C89"/>
    <w:rsid w:val="383002EB"/>
    <w:rsid w:val="38376F0C"/>
    <w:rsid w:val="383B4C4E"/>
    <w:rsid w:val="3845787B"/>
    <w:rsid w:val="384F4255"/>
    <w:rsid w:val="38586797"/>
    <w:rsid w:val="386D5023"/>
    <w:rsid w:val="388008B3"/>
    <w:rsid w:val="38AC16A8"/>
    <w:rsid w:val="38B60778"/>
    <w:rsid w:val="38BC0149"/>
    <w:rsid w:val="38D87D1C"/>
    <w:rsid w:val="38EA21D0"/>
    <w:rsid w:val="38F66DC7"/>
    <w:rsid w:val="38F97BA2"/>
    <w:rsid w:val="39291FD6"/>
    <w:rsid w:val="394144E6"/>
    <w:rsid w:val="394418E0"/>
    <w:rsid w:val="39486471"/>
    <w:rsid w:val="39565AB7"/>
    <w:rsid w:val="39636459"/>
    <w:rsid w:val="396B7F6C"/>
    <w:rsid w:val="39700927"/>
    <w:rsid w:val="39A27B01"/>
    <w:rsid w:val="39B417A9"/>
    <w:rsid w:val="39E44E71"/>
    <w:rsid w:val="39F70F52"/>
    <w:rsid w:val="39FC5695"/>
    <w:rsid w:val="3A006D8E"/>
    <w:rsid w:val="3A077E58"/>
    <w:rsid w:val="3A085004"/>
    <w:rsid w:val="3A204F94"/>
    <w:rsid w:val="3A3651E5"/>
    <w:rsid w:val="3A532FBB"/>
    <w:rsid w:val="3A577884"/>
    <w:rsid w:val="3A685AA2"/>
    <w:rsid w:val="3A726921"/>
    <w:rsid w:val="3A744481"/>
    <w:rsid w:val="3A886145"/>
    <w:rsid w:val="3A8C7BEF"/>
    <w:rsid w:val="3A906246"/>
    <w:rsid w:val="3A9E536B"/>
    <w:rsid w:val="3ACA22B9"/>
    <w:rsid w:val="3AF235BE"/>
    <w:rsid w:val="3B2349B7"/>
    <w:rsid w:val="3B3D2A8B"/>
    <w:rsid w:val="3B457B92"/>
    <w:rsid w:val="3B4756B8"/>
    <w:rsid w:val="3B4C7172"/>
    <w:rsid w:val="3B584C08"/>
    <w:rsid w:val="3B616CFF"/>
    <w:rsid w:val="3B6259F6"/>
    <w:rsid w:val="3B70073D"/>
    <w:rsid w:val="3B934DA1"/>
    <w:rsid w:val="3B976654"/>
    <w:rsid w:val="3BA951BE"/>
    <w:rsid w:val="3BBB37A0"/>
    <w:rsid w:val="3BC01EFC"/>
    <w:rsid w:val="3BCA786A"/>
    <w:rsid w:val="3BD31E2F"/>
    <w:rsid w:val="3BDA652C"/>
    <w:rsid w:val="3BDF7FE6"/>
    <w:rsid w:val="3BF15831"/>
    <w:rsid w:val="3C017F5D"/>
    <w:rsid w:val="3C105946"/>
    <w:rsid w:val="3C1934F8"/>
    <w:rsid w:val="3C471448"/>
    <w:rsid w:val="3C5F759A"/>
    <w:rsid w:val="3C667DC0"/>
    <w:rsid w:val="3C6C525A"/>
    <w:rsid w:val="3C7C4829"/>
    <w:rsid w:val="3CCE23CB"/>
    <w:rsid w:val="3CD17D17"/>
    <w:rsid w:val="3D2A5291"/>
    <w:rsid w:val="3D37175C"/>
    <w:rsid w:val="3D3C7F39"/>
    <w:rsid w:val="3D440F09"/>
    <w:rsid w:val="3D4504A0"/>
    <w:rsid w:val="3D474095"/>
    <w:rsid w:val="3D4E0F7F"/>
    <w:rsid w:val="3D6F7148"/>
    <w:rsid w:val="3D8734BB"/>
    <w:rsid w:val="3D960B78"/>
    <w:rsid w:val="3D9A11D4"/>
    <w:rsid w:val="3DA16D89"/>
    <w:rsid w:val="3DA364BE"/>
    <w:rsid w:val="3DB334D8"/>
    <w:rsid w:val="3DDA0A65"/>
    <w:rsid w:val="3DE041CB"/>
    <w:rsid w:val="3DF53AF1"/>
    <w:rsid w:val="3E0702B8"/>
    <w:rsid w:val="3E0D48F6"/>
    <w:rsid w:val="3E155F41"/>
    <w:rsid w:val="3E1868B4"/>
    <w:rsid w:val="3E377251"/>
    <w:rsid w:val="3E42664B"/>
    <w:rsid w:val="3E5A7334"/>
    <w:rsid w:val="3E5E1696"/>
    <w:rsid w:val="3E7B5D6B"/>
    <w:rsid w:val="3E843E66"/>
    <w:rsid w:val="3E8F51FE"/>
    <w:rsid w:val="3E926F87"/>
    <w:rsid w:val="3E990920"/>
    <w:rsid w:val="3E9A59DE"/>
    <w:rsid w:val="3EAF4836"/>
    <w:rsid w:val="3EC33DFA"/>
    <w:rsid w:val="3EE23E73"/>
    <w:rsid w:val="3EE6168C"/>
    <w:rsid w:val="3EEF22EE"/>
    <w:rsid w:val="3EF20030"/>
    <w:rsid w:val="3EFD0EAF"/>
    <w:rsid w:val="3F0062A9"/>
    <w:rsid w:val="3F060E16"/>
    <w:rsid w:val="3F193A6C"/>
    <w:rsid w:val="3F1D1096"/>
    <w:rsid w:val="3F2F0234"/>
    <w:rsid w:val="3F2F3423"/>
    <w:rsid w:val="3F6363FE"/>
    <w:rsid w:val="3F676329"/>
    <w:rsid w:val="3F756B8F"/>
    <w:rsid w:val="3F95482B"/>
    <w:rsid w:val="3FBA6DA0"/>
    <w:rsid w:val="3FDF6807"/>
    <w:rsid w:val="4019356B"/>
    <w:rsid w:val="404B5C4A"/>
    <w:rsid w:val="40592157"/>
    <w:rsid w:val="406E1CAE"/>
    <w:rsid w:val="4084115C"/>
    <w:rsid w:val="4090365D"/>
    <w:rsid w:val="4093314D"/>
    <w:rsid w:val="40A0133A"/>
    <w:rsid w:val="40AF61D9"/>
    <w:rsid w:val="40B21698"/>
    <w:rsid w:val="40B27A77"/>
    <w:rsid w:val="40BA4B7E"/>
    <w:rsid w:val="40C31A53"/>
    <w:rsid w:val="40C652D1"/>
    <w:rsid w:val="40D43E92"/>
    <w:rsid w:val="40FF545D"/>
    <w:rsid w:val="410067C8"/>
    <w:rsid w:val="41036525"/>
    <w:rsid w:val="412546ED"/>
    <w:rsid w:val="413B7A6D"/>
    <w:rsid w:val="41483F38"/>
    <w:rsid w:val="41524DB6"/>
    <w:rsid w:val="416176D3"/>
    <w:rsid w:val="4182569C"/>
    <w:rsid w:val="418F0D2A"/>
    <w:rsid w:val="418F7DB9"/>
    <w:rsid w:val="419E7FFC"/>
    <w:rsid w:val="41C37A62"/>
    <w:rsid w:val="41D01505"/>
    <w:rsid w:val="42134546"/>
    <w:rsid w:val="421B789E"/>
    <w:rsid w:val="423B584A"/>
    <w:rsid w:val="42402E61"/>
    <w:rsid w:val="42474939"/>
    <w:rsid w:val="424C3C57"/>
    <w:rsid w:val="425D7EB7"/>
    <w:rsid w:val="42613FF3"/>
    <w:rsid w:val="42660D96"/>
    <w:rsid w:val="4269685C"/>
    <w:rsid w:val="42756FC1"/>
    <w:rsid w:val="428667D2"/>
    <w:rsid w:val="428B67D2"/>
    <w:rsid w:val="42CB59A5"/>
    <w:rsid w:val="42CD1CE0"/>
    <w:rsid w:val="42D02437"/>
    <w:rsid w:val="42E1381E"/>
    <w:rsid w:val="42ED6459"/>
    <w:rsid w:val="42FE58DD"/>
    <w:rsid w:val="43174B3D"/>
    <w:rsid w:val="433F136A"/>
    <w:rsid w:val="434B790E"/>
    <w:rsid w:val="434C41B3"/>
    <w:rsid w:val="4360274F"/>
    <w:rsid w:val="438C2802"/>
    <w:rsid w:val="43977AB6"/>
    <w:rsid w:val="43A3342B"/>
    <w:rsid w:val="43A80F3F"/>
    <w:rsid w:val="43AE09CA"/>
    <w:rsid w:val="43C04259"/>
    <w:rsid w:val="43C77C27"/>
    <w:rsid w:val="43D30430"/>
    <w:rsid w:val="43DE09EE"/>
    <w:rsid w:val="43E50164"/>
    <w:rsid w:val="43EB60D2"/>
    <w:rsid w:val="44002FAD"/>
    <w:rsid w:val="441C37AA"/>
    <w:rsid w:val="44330ECF"/>
    <w:rsid w:val="444924A1"/>
    <w:rsid w:val="44496945"/>
    <w:rsid w:val="446948F1"/>
    <w:rsid w:val="446B0669"/>
    <w:rsid w:val="449101DD"/>
    <w:rsid w:val="449D0A3E"/>
    <w:rsid w:val="44AB6CB7"/>
    <w:rsid w:val="44B10046"/>
    <w:rsid w:val="44B55D88"/>
    <w:rsid w:val="44DE1391"/>
    <w:rsid w:val="44DE52DF"/>
    <w:rsid w:val="450D34CE"/>
    <w:rsid w:val="451B225C"/>
    <w:rsid w:val="451F3201"/>
    <w:rsid w:val="4521341D"/>
    <w:rsid w:val="45232CF2"/>
    <w:rsid w:val="452410C9"/>
    <w:rsid w:val="45317DFB"/>
    <w:rsid w:val="45605CF4"/>
    <w:rsid w:val="456D3CE4"/>
    <w:rsid w:val="4579042C"/>
    <w:rsid w:val="457E3359"/>
    <w:rsid w:val="457F0571"/>
    <w:rsid w:val="45851176"/>
    <w:rsid w:val="45B61F7E"/>
    <w:rsid w:val="45C55BC2"/>
    <w:rsid w:val="45C63B94"/>
    <w:rsid w:val="45C73FC5"/>
    <w:rsid w:val="45CA5863"/>
    <w:rsid w:val="460E7DA5"/>
    <w:rsid w:val="46276812"/>
    <w:rsid w:val="46422483"/>
    <w:rsid w:val="46517D32"/>
    <w:rsid w:val="465670F7"/>
    <w:rsid w:val="46582E6F"/>
    <w:rsid w:val="4659254A"/>
    <w:rsid w:val="465B0637"/>
    <w:rsid w:val="465E3F0D"/>
    <w:rsid w:val="466A16E6"/>
    <w:rsid w:val="46753A21"/>
    <w:rsid w:val="46893F2B"/>
    <w:rsid w:val="469D4D26"/>
    <w:rsid w:val="46C444E6"/>
    <w:rsid w:val="46C4686E"/>
    <w:rsid w:val="46DD5122"/>
    <w:rsid w:val="46FF32EA"/>
    <w:rsid w:val="470703F1"/>
    <w:rsid w:val="474D674C"/>
    <w:rsid w:val="475A49C5"/>
    <w:rsid w:val="476B783C"/>
    <w:rsid w:val="477517FF"/>
    <w:rsid w:val="477B778F"/>
    <w:rsid w:val="478203EC"/>
    <w:rsid w:val="479E6FA7"/>
    <w:rsid w:val="47B025FA"/>
    <w:rsid w:val="47C63E08"/>
    <w:rsid w:val="47CD33E9"/>
    <w:rsid w:val="47DE732A"/>
    <w:rsid w:val="4809698F"/>
    <w:rsid w:val="480F755D"/>
    <w:rsid w:val="4811697D"/>
    <w:rsid w:val="487A3E25"/>
    <w:rsid w:val="488B5503"/>
    <w:rsid w:val="48937E21"/>
    <w:rsid w:val="489A0361"/>
    <w:rsid w:val="48A8102D"/>
    <w:rsid w:val="48B94FF3"/>
    <w:rsid w:val="48BF0F83"/>
    <w:rsid w:val="48E37AAB"/>
    <w:rsid w:val="48FD4B4C"/>
    <w:rsid w:val="490A68E0"/>
    <w:rsid w:val="491055FE"/>
    <w:rsid w:val="49127986"/>
    <w:rsid w:val="491446BA"/>
    <w:rsid w:val="4921579A"/>
    <w:rsid w:val="492B56F2"/>
    <w:rsid w:val="495F5B3E"/>
    <w:rsid w:val="496F77D7"/>
    <w:rsid w:val="497654FD"/>
    <w:rsid w:val="49A81A17"/>
    <w:rsid w:val="49B64211"/>
    <w:rsid w:val="49D41AAC"/>
    <w:rsid w:val="49E50EBD"/>
    <w:rsid w:val="49F6167F"/>
    <w:rsid w:val="4A064FA0"/>
    <w:rsid w:val="4A16615C"/>
    <w:rsid w:val="4A372D9B"/>
    <w:rsid w:val="4A394D65"/>
    <w:rsid w:val="4A3B1B3B"/>
    <w:rsid w:val="4A4424D7"/>
    <w:rsid w:val="4A653DAC"/>
    <w:rsid w:val="4A9F72BE"/>
    <w:rsid w:val="4AB82D0F"/>
    <w:rsid w:val="4AEB7664"/>
    <w:rsid w:val="4AFD7C19"/>
    <w:rsid w:val="4B0567D1"/>
    <w:rsid w:val="4B217CD3"/>
    <w:rsid w:val="4B236AAE"/>
    <w:rsid w:val="4B2F799D"/>
    <w:rsid w:val="4B427C4A"/>
    <w:rsid w:val="4B6B0F4E"/>
    <w:rsid w:val="4B6E0A3F"/>
    <w:rsid w:val="4B707271"/>
    <w:rsid w:val="4B7324F9"/>
    <w:rsid w:val="4B83098E"/>
    <w:rsid w:val="4B9739F7"/>
    <w:rsid w:val="4BC32B39"/>
    <w:rsid w:val="4BEE2503"/>
    <w:rsid w:val="4BF727EA"/>
    <w:rsid w:val="4C245A30"/>
    <w:rsid w:val="4C2F01CE"/>
    <w:rsid w:val="4C5440D8"/>
    <w:rsid w:val="4CA50490"/>
    <w:rsid w:val="4CAF130F"/>
    <w:rsid w:val="4CB6685F"/>
    <w:rsid w:val="4CC367FE"/>
    <w:rsid w:val="4D077F3C"/>
    <w:rsid w:val="4D123355"/>
    <w:rsid w:val="4D2A3B31"/>
    <w:rsid w:val="4D312C52"/>
    <w:rsid w:val="4D695962"/>
    <w:rsid w:val="4D8602C2"/>
    <w:rsid w:val="4D905305"/>
    <w:rsid w:val="4D964A72"/>
    <w:rsid w:val="4D993968"/>
    <w:rsid w:val="4D9C1254"/>
    <w:rsid w:val="4D9E5B15"/>
    <w:rsid w:val="4D9F75D5"/>
    <w:rsid w:val="4DA370C6"/>
    <w:rsid w:val="4DAE5A6A"/>
    <w:rsid w:val="4DB43081"/>
    <w:rsid w:val="4DD03C33"/>
    <w:rsid w:val="4E0B07C7"/>
    <w:rsid w:val="4E28581D"/>
    <w:rsid w:val="4E612ADD"/>
    <w:rsid w:val="4E793892"/>
    <w:rsid w:val="4E800872"/>
    <w:rsid w:val="4E8862BB"/>
    <w:rsid w:val="4E962786"/>
    <w:rsid w:val="4EC569ED"/>
    <w:rsid w:val="4ED50EA1"/>
    <w:rsid w:val="4EEC050C"/>
    <w:rsid w:val="4F104EC3"/>
    <w:rsid w:val="4F1C3E96"/>
    <w:rsid w:val="4F247D92"/>
    <w:rsid w:val="4F47354A"/>
    <w:rsid w:val="4F911C54"/>
    <w:rsid w:val="4FBD3D43"/>
    <w:rsid w:val="4FC6709B"/>
    <w:rsid w:val="4FD23C92"/>
    <w:rsid w:val="4FD73056"/>
    <w:rsid w:val="4FDF63AF"/>
    <w:rsid w:val="4FE625E0"/>
    <w:rsid w:val="500D6A78"/>
    <w:rsid w:val="5021480F"/>
    <w:rsid w:val="50526B81"/>
    <w:rsid w:val="505C301C"/>
    <w:rsid w:val="505E5526"/>
    <w:rsid w:val="506B19F1"/>
    <w:rsid w:val="50962ECB"/>
    <w:rsid w:val="509C1BAA"/>
    <w:rsid w:val="50A42E38"/>
    <w:rsid w:val="50A4577F"/>
    <w:rsid w:val="50B73D1F"/>
    <w:rsid w:val="50BD5BC9"/>
    <w:rsid w:val="50C11EEE"/>
    <w:rsid w:val="50E97CFC"/>
    <w:rsid w:val="50F1639A"/>
    <w:rsid w:val="50FA4028"/>
    <w:rsid w:val="50FE2865"/>
    <w:rsid w:val="510D65B7"/>
    <w:rsid w:val="511157AB"/>
    <w:rsid w:val="5142540C"/>
    <w:rsid w:val="518832C8"/>
    <w:rsid w:val="519D3C50"/>
    <w:rsid w:val="51A0432A"/>
    <w:rsid w:val="51A86090"/>
    <w:rsid w:val="51B7396D"/>
    <w:rsid w:val="520D3263"/>
    <w:rsid w:val="52195BA8"/>
    <w:rsid w:val="52293911"/>
    <w:rsid w:val="522E4CC3"/>
    <w:rsid w:val="5244713B"/>
    <w:rsid w:val="52615633"/>
    <w:rsid w:val="52693347"/>
    <w:rsid w:val="526F4DE4"/>
    <w:rsid w:val="52756B57"/>
    <w:rsid w:val="528A2602"/>
    <w:rsid w:val="52977FD4"/>
    <w:rsid w:val="52A25790"/>
    <w:rsid w:val="52A631B4"/>
    <w:rsid w:val="52A96B6F"/>
    <w:rsid w:val="52B45975"/>
    <w:rsid w:val="52C33D66"/>
    <w:rsid w:val="52C35B14"/>
    <w:rsid w:val="52D7511B"/>
    <w:rsid w:val="52D94AA4"/>
    <w:rsid w:val="52EA3A62"/>
    <w:rsid w:val="52F50BB8"/>
    <w:rsid w:val="53097272"/>
    <w:rsid w:val="530F2B07"/>
    <w:rsid w:val="534C1537"/>
    <w:rsid w:val="53544462"/>
    <w:rsid w:val="536B6D64"/>
    <w:rsid w:val="5397158E"/>
    <w:rsid w:val="53C71634"/>
    <w:rsid w:val="53E325D5"/>
    <w:rsid w:val="54013861"/>
    <w:rsid w:val="544669FD"/>
    <w:rsid w:val="54487265"/>
    <w:rsid w:val="544D6070"/>
    <w:rsid w:val="54556C40"/>
    <w:rsid w:val="545A24A8"/>
    <w:rsid w:val="545A4256"/>
    <w:rsid w:val="54605E1E"/>
    <w:rsid w:val="546450D5"/>
    <w:rsid w:val="546E1AAF"/>
    <w:rsid w:val="54B3506A"/>
    <w:rsid w:val="54CA0D16"/>
    <w:rsid w:val="54D9161F"/>
    <w:rsid w:val="54DD4057"/>
    <w:rsid w:val="54E7490F"/>
    <w:rsid w:val="54E76163"/>
    <w:rsid w:val="550764A4"/>
    <w:rsid w:val="550B2BF6"/>
    <w:rsid w:val="55214EB5"/>
    <w:rsid w:val="55364EFD"/>
    <w:rsid w:val="553920BD"/>
    <w:rsid w:val="553E1482"/>
    <w:rsid w:val="55497041"/>
    <w:rsid w:val="555923AB"/>
    <w:rsid w:val="555D4828"/>
    <w:rsid w:val="556F1F83"/>
    <w:rsid w:val="55782BE6"/>
    <w:rsid w:val="557A4C8B"/>
    <w:rsid w:val="558931E1"/>
    <w:rsid w:val="558E065B"/>
    <w:rsid w:val="559002B6"/>
    <w:rsid w:val="55923347"/>
    <w:rsid w:val="55925180"/>
    <w:rsid w:val="55937A20"/>
    <w:rsid w:val="55983B1B"/>
    <w:rsid w:val="55A8376B"/>
    <w:rsid w:val="55BD684B"/>
    <w:rsid w:val="55DC29B6"/>
    <w:rsid w:val="55DD4241"/>
    <w:rsid w:val="55E069DD"/>
    <w:rsid w:val="55E464CD"/>
    <w:rsid w:val="55E95892"/>
    <w:rsid w:val="55FC3817"/>
    <w:rsid w:val="560A5808"/>
    <w:rsid w:val="5621327D"/>
    <w:rsid w:val="563805C7"/>
    <w:rsid w:val="563D798B"/>
    <w:rsid w:val="566B6D1E"/>
    <w:rsid w:val="56777341"/>
    <w:rsid w:val="56815ACA"/>
    <w:rsid w:val="57032A2C"/>
    <w:rsid w:val="570F5219"/>
    <w:rsid w:val="572E78E5"/>
    <w:rsid w:val="573C7C43"/>
    <w:rsid w:val="575C2093"/>
    <w:rsid w:val="575D12B5"/>
    <w:rsid w:val="57610A87"/>
    <w:rsid w:val="577B1140"/>
    <w:rsid w:val="577B7F21"/>
    <w:rsid w:val="577F181B"/>
    <w:rsid w:val="578A4E52"/>
    <w:rsid w:val="57917F8F"/>
    <w:rsid w:val="57921984"/>
    <w:rsid w:val="579737F0"/>
    <w:rsid w:val="57AB7B30"/>
    <w:rsid w:val="57AF5251"/>
    <w:rsid w:val="57B26373"/>
    <w:rsid w:val="57B63F04"/>
    <w:rsid w:val="57B65C47"/>
    <w:rsid w:val="57CD20C2"/>
    <w:rsid w:val="57D675AB"/>
    <w:rsid w:val="57D95FDD"/>
    <w:rsid w:val="580F5357"/>
    <w:rsid w:val="58256929"/>
    <w:rsid w:val="58353010"/>
    <w:rsid w:val="583F5C3D"/>
    <w:rsid w:val="58737A58"/>
    <w:rsid w:val="58773629"/>
    <w:rsid w:val="588E44CE"/>
    <w:rsid w:val="588F7EBD"/>
    <w:rsid w:val="58917D2F"/>
    <w:rsid w:val="5894085C"/>
    <w:rsid w:val="58A261CC"/>
    <w:rsid w:val="58AE4F0C"/>
    <w:rsid w:val="58B85899"/>
    <w:rsid w:val="58E363A9"/>
    <w:rsid w:val="58E93DFA"/>
    <w:rsid w:val="59036C6A"/>
    <w:rsid w:val="591E264C"/>
    <w:rsid w:val="592A2449"/>
    <w:rsid w:val="595E1678"/>
    <w:rsid w:val="596516D3"/>
    <w:rsid w:val="59693603"/>
    <w:rsid w:val="596D5BD4"/>
    <w:rsid w:val="597E3DD8"/>
    <w:rsid w:val="597F77E2"/>
    <w:rsid w:val="598558D1"/>
    <w:rsid w:val="598D0C2A"/>
    <w:rsid w:val="59967ADE"/>
    <w:rsid w:val="59B241EC"/>
    <w:rsid w:val="59B63CDD"/>
    <w:rsid w:val="59E7033A"/>
    <w:rsid w:val="59F64A21"/>
    <w:rsid w:val="59F80043"/>
    <w:rsid w:val="5A09252F"/>
    <w:rsid w:val="5A0B2778"/>
    <w:rsid w:val="5A2A7C7B"/>
    <w:rsid w:val="5A3E2560"/>
    <w:rsid w:val="5A5D3B6E"/>
    <w:rsid w:val="5A637A76"/>
    <w:rsid w:val="5A6D33BA"/>
    <w:rsid w:val="5A792B1F"/>
    <w:rsid w:val="5A7C4F26"/>
    <w:rsid w:val="5A874767"/>
    <w:rsid w:val="5AA85BE2"/>
    <w:rsid w:val="5AAD6F28"/>
    <w:rsid w:val="5AAE6397"/>
    <w:rsid w:val="5ABE2749"/>
    <w:rsid w:val="5AC16DDD"/>
    <w:rsid w:val="5AD63A24"/>
    <w:rsid w:val="5AE26D53"/>
    <w:rsid w:val="5AE51A4D"/>
    <w:rsid w:val="5B215ACE"/>
    <w:rsid w:val="5B231846"/>
    <w:rsid w:val="5B2E1A1D"/>
    <w:rsid w:val="5B615ECA"/>
    <w:rsid w:val="5B7F45A2"/>
    <w:rsid w:val="5B843A1C"/>
    <w:rsid w:val="5B873E3F"/>
    <w:rsid w:val="5BAA4E32"/>
    <w:rsid w:val="5BB41F11"/>
    <w:rsid w:val="5BCF72D8"/>
    <w:rsid w:val="5C02690E"/>
    <w:rsid w:val="5C196DA7"/>
    <w:rsid w:val="5C2A048C"/>
    <w:rsid w:val="5C4D2220"/>
    <w:rsid w:val="5C5F68AD"/>
    <w:rsid w:val="5C71038F"/>
    <w:rsid w:val="5C7B745F"/>
    <w:rsid w:val="5C80234E"/>
    <w:rsid w:val="5C8A680C"/>
    <w:rsid w:val="5C9A78E6"/>
    <w:rsid w:val="5D0C4701"/>
    <w:rsid w:val="5D0E5BDE"/>
    <w:rsid w:val="5D0F0395"/>
    <w:rsid w:val="5D101956"/>
    <w:rsid w:val="5D1A4582"/>
    <w:rsid w:val="5D221076"/>
    <w:rsid w:val="5D2E44D2"/>
    <w:rsid w:val="5D397964"/>
    <w:rsid w:val="5D537A94"/>
    <w:rsid w:val="5D5A391C"/>
    <w:rsid w:val="5D5F10C0"/>
    <w:rsid w:val="5D790E2F"/>
    <w:rsid w:val="5D891B7B"/>
    <w:rsid w:val="5D8D2FA6"/>
    <w:rsid w:val="5DAA1DAA"/>
    <w:rsid w:val="5DAD38EE"/>
    <w:rsid w:val="5DDC4B42"/>
    <w:rsid w:val="5DEC23C3"/>
    <w:rsid w:val="5E006862"/>
    <w:rsid w:val="5E0207B9"/>
    <w:rsid w:val="5E1834A1"/>
    <w:rsid w:val="5E1B4A56"/>
    <w:rsid w:val="5E261785"/>
    <w:rsid w:val="5E326D6C"/>
    <w:rsid w:val="5E4A7017"/>
    <w:rsid w:val="5E552BBA"/>
    <w:rsid w:val="5E59557E"/>
    <w:rsid w:val="5E60690D"/>
    <w:rsid w:val="5E611C10"/>
    <w:rsid w:val="5E7A0F3F"/>
    <w:rsid w:val="5E8365F6"/>
    <w:rsid w:val="5E912F6A"/>
    <w:rsid w:val="5E9F4AA7"/>
    <w:rsid w:val="5EAA35A6"/>
    <w:rsid w:val="5EEC63F2"/>
    <w:rsid w:val="5EF27585"/>
    <w:rsid w:val="5EFC7377"/>
    <w:rsid w:val="5EFF1C82"/>
    <w:rsid w:val="5F06174D"/>
    <w:rsid w:val="5F3A3602"/>
    <w:rsid w:val="5F45733B"/>
    <w:rsid w:val="5F6277C6"/>
    <w:rsid w:val="5F6D0B1D"/>
    <w:rsid w:val="5F8405CE"/>
    <w:rsid w:val="5F8D0B82"/>
    <w:rsid w:val="5F990328"/>
    <w:rsid w:val="5FAB1E0A"/>
    <w:rsid w:val="5FCC5339"/>
    <w:rsid w:val="5FD56E87"/>
    <w:rsid w:val="5FE34A5B"/>
    <w:rsid w:val="5FFC654F"/>
    <w:rsid w:val="5FFE1E36"/>
    <w:rsid w:val="60232584"/>
    <w:rsid w:val="6025396A"/>
    <w:rsid w:val="6042451C"/>
    <w:rsid w:val="6046746B"/>
    <w:rsid w:val="606F2E37"/>
    <w:rsid w:val="607330CE"/>
    <w:rsid w:val="60765F74"/>
    <w:rsid w:val="60825176"/>
    <w:rsid w:val="609F2AC4"/>
    <w:rsid w:val="60FA2EE8"/>
    <w:rsid w:val="61054A27"/>
    <w:rsid w:val="610A52BC"/>
    <w:rsid w:val="610D059B"/>
    <w:rsid w:val="611D2366"/>
    <w:rsid w:val="61421856"/>
    <w:rsid w:val="615227C4"/>
    <w:rsid w:val="61654E3F"/>
    <w:rsid w:val="6170330B"/>
    <w:rsid w:val="61812E22"/>
    <w:rsid w:val="6182292A"/>
    <w:rsid w:val="619F7F92"/>
    <w:rsid w:val="61BC02FE"/>
    <w:rsid w:val="61C84EF5"/>
    <w:rsid w:val="61E33F36"/>
    <w:rsid w:val="61E84C4F"/>
    <w:rsid w:val="61F94C26"/>
    <w:rsid w:val="62000E56"/>
    <w:rsid w:val="620852F1"/>
    <w:rsid w:val="62265778"/>
    <w:rsid w:val="62375BD7"/>
    <w:rsid w:val="624502F4"/>
    <w:rsid w:val="624C47EB"/>
    <w:rsid w:val="624F3E49"/>
    <w:rsid w:val="62632286"/>
    <w:rsid w:val="62885958"/>
    <w:rsid w:val="628D57F7"/>
    <w:rsid w:val="629152E7"/>
    <w:rsid w:val="62A274F4"/>
    <w:rsid w:val="62B611F1"/>
    <w:rsid w:val="62F13FD7"/>
    <w:rsid w:val="62F31AFE"/>
    <w:rsid w:val="62F40B65"/>
    <w:rsid w:val="62FC2CFE"/>
    <w:rsid w:val="63024505"/>
    <w:rsid w:val="63330B83"/>
    <w:rsid w:val="63343EC4"/>
    <w:rsid w:val="635600A5"/>
    <w:rsid w:val="635B1DB5"/>
    <w:rsid w:val="63711FED"/>
    <w:rsid w:val="6373477E"/>
    <w:rsid w:val="63880DDC"/>
    <w:rsid w:val="638D750D"/>
    <w:rsid w:val="639A466F"/>
    <w:rsid w:val="63AC6CC0"/>
    <w:rsid w:val="63E91153"/>
    <w:rsid w:val="63F23480"/>
    <w:rsid w:val="63F41FD1"/>
    <w:rsid w:val="64055776"/>
    <w:rsid w:val="64085A7D"/>
    <w:rsid w:val="641F5B67"/>
    <w:rsid w:val="64240056"/>
    <w:rsid w:val="642B52C7"/>
    <w:rsid w:val="643E143A"/>
    <w:rsid w:val="64491666"/>
    <w:rsid w:val="64552344"/>
    <w:rsid w:val="645A795A"/>
    <w:rsid w:val="647C3D75"/>
    <w:rsid w:val="648B6EEF"/>
    <w:rsid w:val="64917820"/>
    <w:rsid w:val="64C158BF"/>
    <w:rsid w:val="64CE2EAA"/>
    <w:rsid w:val="64EC0EFA"/>
    <w:rsid w:val="64FD3107"/>
    <w:rsid w:val="650A2FD0"/>
    <w:rsid w:val="650F237D"/>
    <w:rsid w:val="65143FAD"/>
    <w:rsid w:val="65363F24"/>
    <w:rsid w:val="653C3090"/>
    <w:rsid w:val="6545060B"/>
    <w:rsid w:val="65854376"/>
    <w:rsid w:val="658767BE"/>
    <w:rsid w:val="65892531"/>
    <w:rsid w:val="658A7C58"/>
    <w:rsid w:val="65A32EA1"/>
    <w:rsid w:val="65D06126"/>
    <w:rsid w:val="65DF280D"/>
    <w:rsid w:val="66195831"/>
    <w:rsid w:val="66195D1F"/>
    <w:rsid w:val="662E75B1"/>
    <w:rsid w:val="66342C2E"/>
    <w:rsid w:val="66344907"/>
    <w:rsid w:val="663E784C"/>
    <w:rsid w:val="66756CCD"/>
    <w:rsid w:val="668B6A45"/>
    <w:rsid w:val="66B772E6"/>
    <w:rsid w:val="66ED0F5A"/>
    <w:rsid w:val="67112C4A"/>
    <w:rsid w:val="6716225F"/>
    <w:rsid w:val="67184229"/>
    <w:rsid w:val="672F3F24"/>
    <w:rsid w:val="673411F0"/>
    <w:rsid w:val="673E055F"/>
    <w:rsid w:val="67551CE3"/>
    <w:rsid w:val="678371C8"/>
    <w:rsid w:val="67876CB8"/>
    <w:rsid w:val="67A22552"/>
    <w:rsid w:val="67A71109"/>
    <w:rsid w:val="67B22DCC"/>
    <w:rsid w:val="67BE71AA"/>
    <w:rsid w:val="67CD5013"/>
    <w:rsid w:val="67CF7323"/>
    <w:rsid w:val="67D90273"/>
    <w:rsid w:val="67DE5875"/>
    <w:rsid w:val="67E55852"/>
    <w:rsid w:val="67EB1AB4"/>
    <w:rsid w:val="67FA1285"/>
    <w:rsid w:val="68077DF9"/>
    <w:rsid w:val="684F3C7A"/>
    <w:rsid w:val="68534DEC"/>
    <w:rsid w:val="68551F4F"/>
    <w:rsid w:val="685A261F"/>
    <w:rsid w:val="68637725"/>
    <w:rsid w:val="687A3533"/>
    <w:rsid w:val="687C10C9"/>
    <w:rsid w:val="68840C16"/>
    <w:rsid w:val="68876EFB"/>
    <w:rsid w:val="68884654"/>
    <w:rsid w:val="689F444F"/>
    <w:rsid w:val="68B96DBB"/>
    <w:rsid w:val="68C47C0A"/>
    <w:rsid w:val="68CA2805"/>
    <w:rsid w:val="68DE6DAC"/>
    <w:rsid w:val="68E937A3"/>
    <w:rsid w:val="68FB149A"/>
    <w:rsid w:val="693E15D3"/>
    <w:rsid w:val="695B03FD"/>
    <w:rsid w:val="69627681"/>
    <w:rsid w:val="6977531D"/>
    <w:rsid w:val="69A00505"/>
    <w:rsid w:val="69AA3132"/>
    <w:rsid w:val="69BB0E9B"/>
    <w:rsid w:val="69C266CE"/>
    <w:rsid w:val="69CC2BFF"/>
    <w:rsid w:val="69D81A4D"/>
    <w:rsid w:val="69FD55B8"/>
    <w:rsid w:val="6A042842"/>
    <w:rsid w:val="6A0665BA"/>
    <w:rsid w:val="6A0B1C62"/>
    <w:rsid w:val="6A1C5DDE"/>
    <w:rsid w:val="6A2406C8"/>
    <w:rsid w:val="6A3B7666"/>
    <w:rsid w:val="6A6B28C1"/>
    <w:rsid w:val="6A9A1ADF"/>
    <w:rsid w:val="6AA302AD"/>
    <w:rsid w:val="6ACF2E50"/>
    <w:rsid w:val="6ADE0BD1"/>
    <w:rsid w:val="6AE81378"/>
    <w:rsid w:val="6AE96859"/>
    <w:rsid w:val="6B0625EA"/>
    <w:rsid w:val="6B147746"/>
    <w:rsid w:val="6B24787C"/>
    <w:rsid w:val="6B573233"/>
    <w:rsid w:val="6B5B6274"/>
    <w:rsid w:val="6B935D53"/>
    <w:rsid w:val="6B945E48"/>
    <w:rsid w:val="6BAE0CB8"/>
    <w:rsid w:val="6BD44496"/>
    <w:rsid w:val="6C1316F7"/>
    <w:rsid w:val="6C196F71"/>
    <w:rsid w:val="6C226FCB"/>
    <w:rsid w:val="6C266DB6"/>
    <w:rsid w:val="6C31226F"/>
    <w:rsid w:val="6C333690"/>
    <w:rsid w:val="6C421739"/>
    <w:rsid w:val="6C517EC7"/>
    <w:rsid w:val="6C552F0B"/>
    <w:rsid w:val="6C8C67B7"/>
    <w:rsid w:val="6C9D744C"/>
    <w:rsid w:val="6CEC0DA4"/>
    <w:rsid w:val="6D064B23"/>
    <w:rsid w:val="6D0B213A"/>
    <w:rsid w:val="6D167928"/>
    <w:rsid w:val="6D254FA9"/>
    <w:rsid w:val="6D26299B"/>
    <w:rsid w:val="6D4772EC"/>
    <w:rsid w:val="6D82064E"/>
    <w:rsid w:val="6D8A7502"/>
    <w:rsid w:val="6D9078AF"/>
    <w:rsid w:val="6DA73C10"/>
    <w:rsid w:val="6DAA3FEF"/>
    <w:rsid w:val="6DBB3B60"/>
    <w:rsid w:val="6DC0172B"/>
    <w:rsid w:val="6DCB690C"/>
    <w:rsid w:val="6DD41A5B"/>
    <w:rsid w:val="6DE54739"/>
    <w:rsid w:val="6DF43C2E"/>
    <w:rsid w:val="6DF51CA3"/>
    <w:rsid w:val="6E0C6169"/>
    <w:rsid w:val="6E526272"/>
    <w:rsid w:val="6E62222D"/>
    <w:rsid w:val="6E712470"/>
    <w:rsid w:val="6E8335BD"/>
    <w:rsid w:val="6E8E12EF"/>
    <w:rsid w:val="6E972936"/>
    <w:rsid w:val="6E983DCC"/>
    <w:rsid w:val="6EAB14DE"/>
    <w:rsid w:val="6EB178F7"/>
    <w:rsid w:val="6ED446C5"/>
    <w:rsid w:val="6F2A7D94"/>
    <w:rsid w:val="6F40431D"/>
    <w:rsid w:val="6F410095"/>
    <w:rsid w:val="6F72024E"/>
    <w:rsid w:val="6F8331F1"/>
    <w:rsid w:val="6F9208F0"/>
    <w:rsid w:val="6FAE1A09"/>
    <w:rsid w:val="6FBD3BBF"/>
    <w:rsid w:val="6FD75BF8"/>
    <w:rsid w:val="6FE32D16"/>
    <w:rsid w:val="6FE80510"/>
    <w:rsid w:val="6FF62C2D"/>
    <w:rsid w:val="70027824"/>
    <w:rsid w:val="701B08E6"/>
    <w:rsid w:val="703F2826"/>
    <w:rsid w:val="70685902"/>
    <w:rsid w:val="707149AA"/>
    <w:rsid w:val="70765B1C"/>
    <w:rsid w:val="707723D0"/>
    <w:rsid w:val="707F70C6"/>
    <w:rsid w:val="70AE175A"/>
    <w:rsid w:val="70F5661B"/>
    <w:rsid w:val="71267542"/>
    <w:rsid w:val="71357785"/>
    <w:rsid w:val="71360107"/>
    <w:rsid w:val="713A4D9B"/>
    <w:rsid w:val="713B688E"/>
    <w:rsid w:val="7148279F"/>
    <w:rsid w:val="71D43752"/>
    <w:rsid w:val="71F1796A"/>
    <w:rsid w:val="71FB63D5"/>
    <w:rsid w:val="72154626"/>
    <w:rsid w:val="721E53FB"/>
    <w:rsid w:val="72262B5D"/>
    <w:rsid w:val="72283FF7"/>
    <w:rsid w:val="722E7212"/>
    <w:rsid w:val="72345C8F"/>
    <w:rsid w:val="723A0474"/>
    <w:rsid w:val="725923E4"/>
    <w:rsid w:val="72691DDC"/>
    <w:rsid w:val="726D4D03"/>
    <w:rsid w:val="727907ED"/>
    <w:rsid w:val="72833651"/>
    <w:rsid w:val="72864BF7"/>
    <w:rsid w:val="729023FC"/>
    <w:rsid w:val="72987FCC"/>
    <w:rsid w:val="72EE22E1"/>
    <w:rsid w:val="72F1592E"/>
    <w:rsid w:val="72F35B4A"/>
    <w:rsid w:val="734B3290"/>
    <w:rsid w:val="739F35DC"/>
    <w:rsid w:val="73C0646E"/>
    <w:rsid w:val="73C13552"/>
    <w:rsid w:val="742222F5"/>
    <w:rsid w:val="743E30A2"/>
    <w:rsid w:val="74476126"/>
    <w:rsid w:val="744E128A"/>
    <w:rsid w:val="745D1B3E"/>
    <w:rsid w:val="74706664"/>
    <w:rsid w:val="747F3682"/>
    <w:rsid w:val="748E5B2A"/>
    <w:rsid w:val="749C4185"/>
    <w:rsid w:val="74A569D0"/>
    <w:rsid w:val="74EC45FF"/>
    <w:rsid w:val="75067759"/>
    <w:rsid w:val="7513602F"/>
    <w:rsid w:val="75291143"/>
    <w:rsid w:val="752E6DCD"/>
    <w:rsid w:val="75461F61"/>
    <w:rsid w:val="7551380D"/>
    <w:rsid w:val="755D394A"/>
    <w:rsid w:val="75600BE5"/>
    <w:rsid w:val="7564475C"/>
    <w:rsid w:val="756D1BE3"/>
    <w:rsid w:val="756E34B6"/>
    <w:rsid w:val="7583797F"/>
    <w:rsid w:val="75AA6994"/>
    <w:rsid w:val="75D20F1D"/>
    <w:rsid w:val="75DA2C18"/>
    <w:rsid w:val="75E023B5"/>
    <w:rsid w:val="75F54412"/>
    <w:rsid w:val="761D08E0"/>
    <w:rsid w:val="7641097A"/>
    <w:rsid w:val="765863F0"/>
    <w:rsid w:val="765D347C"/>
    <w:rsid w:val="767825EE"/>
    <w:rsid w:val="76826699"/>
    <w:rsid w:val="76A333E3"/>
    <w:rsid w:val="76BB24DB"/>
    <w:rsid w:val="76C87133"/>
    <w:rsid w:val="76CC0B8C"/>
    <w:rsid w:val="76CD08D5"/>
    <w:rsid w:val="76DB4B92"/>
    <w:rsid w:val="76E732D0"/>
    <w:rsid w:val="77052AA4"/>
    <w:rsid w:val="77136511"/>
    <w:rsid w:val="77161E07"/>
    <w:rsid w:val="771816DB"/>
    <w:rsid w:val="7725204A"/>
    <w:rsid w:val="77340A39"/>
    <w:rsid w:val="77351FD0"/>
    <w:rsid w:val="773A5AF5"/>
    <w:rsid w:val="77472422"/>
    <w:rsid w:val="775546DD"/>
    <w:rsid w:val="777F31F2"/>
    <w:rsid w:val="77972F48"/>
    <w:rsid w:val="77D1700D"/>
    <w:rsid w:val="77EC04CC"/>
    <w:rsid w:val="780F6F82"/>
    <w:rsid w:val="784B788E"/>
    <w:rsid w:val="78770683"/>
    <w:rsid w:val="78775729"/>
    <w:rsid w:val="78830D50"/>
    <w:rsid w:val="78A42DB0"/>
    <w:rsid w:val="78A656AB"/>
    <w:rsid w:val="78B2245C"/>
    <w:rsid w:val="78B95140"/>
    <w:rsid w:val="78E172CC"/>
    <w:rsid w:val="78EA1D1F"/>
    <w:rsid w:val="78FD502C"/>
    <w:rsid w:val="79036DC3"/>
    <w:rsid w:val="7904172F"/>
    <w:rsid w:val="790C6793"/>
    <w:rsid w:val="790F7E27"/>
    <w:rsid w:val="792702FB"/>
    <w:rsid w:val="792A231A"/>
    <w:rsid w:val="79316829"/>
    <w:rsid w:val="79490272"/>
    <w:rsid w:val="797E66A9"/>
    <w:rsid w:val="798518A4"/>
    <w:rsid w:val="79863274"/>
    <w:rsid w:val="79A97383"/>
    <w:rsid w:val="79BF0534"/>
    <w:rsid w:val="79E27E8B"/>
    <w:rsid w:val="79F850CE"/>
    <w:rsid w:val="79FD443C"/>
    <w:rsid w:val="79FEE5E2"/>
    <w:rsid w:val="7A1D1975"/>
    <w:rsid w:val="7A2F7467"/>
    <w:rsid w:val="7A3E5150"/>
    <w:rsid w:val="7A410F49"/>
    <w:rsid w:val="7A413B47"/>
    <w:rsid w:val="7A4670D6"/>
    <w:rsid w:val="7A4D3D91"/>
    <w:rsid w:val="7A534B63"/>
    <w:rsid w:val="7A615382"/>
    <w:rsid w:val="7A67303B"/>
    <w:rsid w:val="7AAB1D04"/>
    <w:rsid w:val="7ABA4368"/>
    <w:rsid w:val="7ABE4C8F"/>
    <w:rsid w:val="7AD05746"/>
    <w:rsid w:val="7ADB75EF"/>
    <w:rsid w:val="7AEA5A84"/>
    <w:rsid w:val="7B14665D"/>
    <w:rsid w:val="7B257FFD"/>
    <w:rsid w:val="7B310FBD"/>
    <w:rsid w:val="7B343476"/>
    <w:rsid w:val="7B362A78"/>
    <w:rsid w:val="7B466080"/>
    <w:rsid w:val="7B5A2978"/>
    <w:rsid w:val="7B5A7E4C"/>
    <w:rsid w:val="7B667AF9"/>
    <w:rsid w:val="7B6E0463"/>
    <w:rsid w:val="7B7468F8"/>
    <w:rsid w:val="7B762E74"/>
    <w:rsid w:val="7B7D06A6"/>
    <w:rsid w:val="7B7F61CD"/>
    <w:rsid w:val="7B8657AD"/>
    <w:rsid w:val="7BEE0103"/>
    <w:rsid w:val="7C0A0FE4"/>
    <w:rsid w:val="7C254906"/>
    <w:rsid w:val="7C5533D1"/>
    <w:rsid w:val="7C590818"/>
    <w:rsid w:val="7C75312C"/>
    <w:rsid w:val="7C7C10F6"/>
    <w:rsid w:val="7C853BEA"/>
    <w:rsid w:val="7C8810B1"/>
    <w:rsid w:val="7C881368"/>
    <w:rsid w:val="7C8B294F"/>
    <w:rsid w:val="7CB63E70"/>
    <w:rsid w:val="7CCB71F0"/>
    <w:rsid w:val="7CD564F7"/>
    <w:rsid w:val="7CE27788"/>
    <w:rsid w:val="7CEC1640"/>
    <w:rsid w:val="7D0C32F1"/>
    <w:rsid w:val="7D0F408D"/>
    <w:rsid w:val="7D126BCC"/>
    <w:rsid w:val="7D470F6C"/>
    <w:rsid w:val="7D491C6C"/>
    <w:rsid w:val="7D5429C0"/>
    <w:rsid w:val="7D6E6D43"/>
    <w:rsid w:val="7D917C65"/>
    <w:rsid w:val="7DB06B11"/>
    <w:rsid w:val="7DB57A34"/>
    <w:rsid w:val="7DB859C6"/>
    <w:rsid w:val="7DE22A43"/>
    <w:rsid w:val="7DE60973"/>
    <w:rsid w:val="7DEF0916"/>
    <w:rsid w:val="7E1E5218"/>
    <w:rsid w:val="7E292420"/>
    <w:rsid w:val="7E33329E"/>
    <w:rsid w:val="7E6C679B"/>
    <w:rsid w:val="7E9A4E1F"/>
    <w:rsid w:val="7EA146AC"/>
    <w:rsid w:val="7EA1645A"/>
    <w:rsid w:val="7EA7723A"/>
    <w:rsid w:val="7EA83C8C"/>
    <w:rsid w:val="7EB048EF"/>
    <w:rsid w:val="7EF56FBB"/>
    <w:rsid w:val="7F0768EB"/>
    <w:rsid w:val="7F143BEC"/>
    <w:rsid w:val="7F3217A8"/>
    <w:rsid w:val="7F362021"/>
    <w:rsid w:val="7F4514DB"/>
    <w:rsid w:val="7F5160D2"/>
    <w:rsid w:val="7F6851CA"/>
    <w:rsid w:val="7F715AF2"/>
    <w:rsid w:val="7F7B47F9"/>
    <w:rsid w:val="7F886E69"/>
    <w:rsid w:val="7F9B10FB"/>
    <w:rsid w:val="7FDB599C"/>
    <w:rsid w:val="7FF058EB"/>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7"/>
    <w:qFormat/>
    <w:uiPriority w:val="0"/>
    <w:pPr>
      <w:spacing w:line="480" w:lineRule="exact"/>
      <w:ind w:firstLine="480" w:firstLineChars="200"/>
    </w:pPr>
    <w:rPr>
      <w:rFonts w:ascii="宋体" w:hAnsi="宋体"/>
      <w:sz w:val="24"/>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next w:val="50"/>
    <w:link w:val="323"/>
    <w:qFormat/>
    <w:uiPriority w:val="0"/>
    <w:pPr>
      <w:ind w:firstLine="420"/>
    </w:pPr>
    <w:rPr>
      <w:rFonts w:hAnsi="Calibri" w:cs="Times New Roman"/>
      <w:snapToGrid/>
      <w:szCs w:val="20"/>
    </w:rPr>
  </w:style>
  <w:style w:type="paragraph" w:styleId="61">
    <w:name w:val="Body Text First Indent 2"/>
    <w:basedOn w:val="2"/>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7">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8"/>
    <w:qFormat/>
    <w:uiPriority w:val="10"/>
    <w:rPr>
      <w:b/>
      <w:sz w:val="24"/>
      <w:lang w:val="en-GB"/>
    </w:rPr>
  </w:style>
  <w:style w:type="character" w:customStyle="1" w:styleId="289">
    <w:name w:val="font81"/>
    <w:basedOn w:val="69"/>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9"/>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basedOn w:val="69"/>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styleId="969">
    <w:name w:val="List Paragraph"/>
    <w:basedOn w:val="1"/>
    <w:qFormat/>
    <w:uiPriority w:val="0"/>
    <w:pPr>
      <w:ind w:firstLine="420" w:firstLineChars="200"/>
    </w:pPr>
  </w:style>
  <w:style w:type="paragraph" w:customStyle="1" w:styleId="970">
    <w:name w:val="无列表1"/>
    <w:qFormat/>
    <w:uiPriority w:val="0"/>
    <w:rPr>
      <w:rFonts w:ascii="Calibri" w:hAnsi="Calibri" w:eastAsia="宋体" w:cs="宋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NULL" TargetMode="Externa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108</Pages>
  <Words>19757</Words>
  <Characters>21563</Characters>
  <Lines>531</Lines>
  <Paragraphs>149</Paragraphs>
  <TotalTime>17</TotalTime>
  <ScaleCrop>false</ScaleCrop>
  <LinksUpToDate>false</LinksUpToDate>
  <CharactersWithSpaces>22023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2025-06-13T02:58:00Z</dcterms:created>
  <dc:creator>评标专家</dc:creator>
  <cp:lastModifiedBy>K_Mamba</cp:lastModifiedBy>
  <cp:lastPrinted>2021-12-28T03:06:00Z</cp:lastPrinted>
  <dcterms:modified xsi:type="dcterms:W3CDTF">2025-07-11T03:24:30Z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E60E47F91C424C8C89C43F63A92FDB62_13</vt:lpwstr>
  </property>
  <property fmtid="{D5CDD505-2E9C-101B-9397-08002B2CF9AE}" pid="5" name="commondata">
    <vt:lpwstr>eyJoZGlkIjoiNGNlMmFkMDQ1NDY0ZmRiM2Q0NjY4NTFjN2IwMTllYjMifQ==</vt:lpwstr>
  </property>
  <property fmtid="{D5CDD505-2E9C-101B-9397-08002B2CF9AE}" pid="6" name="KSOTemplateDocerSaveRecord">
    <vt:lpwstr>eyJoZGlkIjoiY2JhOGJhMWNmMjNmMDkxNzVjNzhiNDIxNTk3YTA2MTciLCJ1c2VySWQiOiI2NDQ5NzkyNzYifQ==</vt:lpwstr>
  </property>
</Properties>
</file>