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7C4D12">
      <w:pPr>
        <w:spacing w:line="360" w:lineRule="auto"/>
        <w:jc w:val="center"/>
        <w:rPr>
          <w:rFonts w:ascii="宋体" w:hAnsi="宋体" w:cs="宋体"/>
          <w:b/>
          <w:color w:val="000000" w:themeColor="text1"/>
          <w:sz w:val="24"/>
          <w14:textFill>
            <w14:solidFill>
              <w14:schemeClr w14:val="tx1"/>
            </w14:solidFill>
          </w14:textFill>
        </w:rPr>
      </w:pPr>
    </w:p>
    <w:p w14:paraId="35391DA4">
      <w:pPr>
        <w:spacing w:line="360" w:lineRule="auto"/>
        <w:jc w:val="center"/>
        <w:rPr>
          <w:rFonts w:ascii="宋体" w:hAnsi="宋体" w:cs="宋体"/>
          <w:b/>
          <w:color w:val="000000" w:themeColor="text1"/>
          <w:sz w:val="24"/>
          <w14:textFill>
            <w14:solidFill>
              <w14:schemeClr w14:val="tx1"/>
            </w14:solidFill>
          </w14:textFill>
        </w:rPr>
      </w:pPr>
    </w:p>
    <w:p w14:paraId="6C8EA355">
      <w:pPr>
        <w:adjustRightInd/>
        <w:spacing w:line="360" w:lineRule="auto"/>
        <w:jc w:val="center"/>
        <w:rPr>
          <w:rFonts w:ascii="宋体" w:hAnsi="宋体" w:cs="宋体"/>
          <w:b/>
          <w:color w:val="000000" w:themeColor="text1"/>
          <w:sz w:val="44"/>
          <w:szCs w:val="44"/>
          <w14:textFill>
            <w14:solidFill>
              <w14:schemeClr w14:val="tx1"/>
            </w14:solidFill>
          </w14:textFill>
        </w:rPr>
      </w:pPr>
    </w:p>
    <w:p w14:paraId="614BC577">
      <w:pPr>
        <w:spacing w:line="360" w:lineRule="auto"/>
        <w:jc w:val="center"/>
        <w:rPr>
          <w:rFonts w:ascii="宋体" w:hAnsi="宋体" w:cs="宋体"/>
          <w:b/>
          <w:color w:val="000000" w:themeColor="text1"/>
          <w:sz w:val="44"/>
          <w:szCs w:val="44"/>
          <w14:textFill>
            <w14:solidFill>
              <w14:schemeClr w14:val="tx1"/>
            </w14:solidFill>
          </w14:textFill>
        </w:rPr>
      </w:pPr>
    </w:p>
    <w:p w14:paraId="304DCF18">
      <w:pPr>
        <w:adjustRightInd/>
        <w:spacing w:line="360" w:lineRule="auto"/>
        <w:jc w:val="center"/>
        <w:rPr>
          <w:rFonts w:ascii="宋体" w:hAnsi="宋体" w:cs="宋体"/>
          <w:b/>
          <w:color w:val="000000" w:themeColor="text1"/>
          <w:sz w:val="48"/>
          <w:szCs w:val="48"/>
          <w14:textFill>
            <w14:solidFill>
              <w14:schemeClr w14:val="tx1"/>
            </w14:solidFill>
          </w14:textFill>
        </w:rPr>
      </w:pPr>
    </w:p>
    <w:p w14:paraId="4350DCEC">
      <w:pPr>
        <w:adjustRightInd/>
        <w:spacing w:line="360" w:lineRule="auto"/>
        <w:jc w:val="center"/>
        <w:rPr>
          <w:rFonts w:ascii="宋体" w:hAnsi="宋体" w:cs="宋体"/>
          <w:color w:val="000000" w:themeColor="text1"/>
          <w:sz w:val="48"/>
          <w:szCs w:val="48"/>
          <w14:textFill>
            <w14:solidFill>
              <w14:schemeClr w14:val="tx1"/>
            </w14:solidFill>
          </w14:textFill>
        </w:rPr>
      </w:pPr>
      <w:r>
        <w:rPr>
          <w:rFonts w:hint="eastAsia" w:ascii="宋体" w:hAnsi="宋体" w:cs="宋体"/>
          <w:color w:val="000000" w:themeColor="text1"/>
          <w:sz w:val="48"/>
          <w:szCs w:val="48"/>
          <w14:textFill>
            <w14:solidFill>
              <w14:schemeClr w14:val="tx1"/>
            </w14:solidFill>
          </w14:textFill>
        </w:rPr>
        <w:t>浙江中医药大学富春校区体育场地修缮工程</w:t>
      </w:r>
    </w:p>
    <w:p w14:paraId="741EE6A9">
      <w:pPr>
        <w:adjustRightInd/>
        <w:spacing w:line="360" w:lineRule="auto"/>
        <w:jc w:val="center"/>
        <w:rPr>
          <w:rFonts w:ascii="宋体" w:hAnsi="宋体" w:cs="宋体"/>
          <w:color w:val="000000" w:themeColor="text1"/>
          <w:sz w:val="48"/>
          <w:szCs w:val="48"/>
          <w14:textFill>
            <w14:solidFill>
              <w14:schemeClr w14:val="tx1"/>
            </w14:solidFill>
          </w14:textFill>
        </w:rPr>
      </w:pPr>
      <w:r>
        <w:rPr>
          <w:rFonts w:hint="eastAsia" w:ascii="宋体" w:hAnsi="宋体" w:cs="宋体"/>
          <w:color w:val="000000" w:themeColor="text1"/>
          <w:sz w:val="48"/>
          <w:szCs w:val="48"/>
          <w14:textFill>
            <w14:solidFill>
              <w14:schemeClr w14:val="tx1"/>
            </w14:solidFill>
          </w14:textFill>
        </w:rPr>
        <w:t>竞争性磋商文件</w:t>
      </w:r>
    </w:p>
    <w:p w14:paraId="6E993401">
      <w:pPr>
        <w:adjustRightInd/>
        <w:spacing w:line="360" w:lineRule="auto"/>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（电子交易）</w:t>
      </w:r>
    </w:p>
    <w:p w14:paraId="1A12DED5">
      <w:pPr>
        <w:snapToGrid w:val="0"/>
        <w:spacing w:line="360" w:lineRule="auto"/>
        <w:jc w:val="center"/>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编号:HSZB-2025-512</w:t>
      </w:r>
    </w:p>
    <w:p w14:paraId="4513EEB0">
      <w:pPr>
        <w:adjustRightInd/>
        <w:spacing w:line="360" w:lineRule="auto"/>
        <w:rPr>
          <w:rFonts w:ascii="宋体" w:hAnsi="宋体" w:cs="宋体"/>
          <w:color w:val="000000" w:themeColor="text1"/>
          <w:sz w:val="28"/>
          <w:szCs w:val="20"/>
          <w14:textFill>
            <w14:solidFill>
              <w14:schemeClr w14:val="tx1"/>
            </w14:solidFill>
          </w14:textFill>
        </w:rPr>
      </w:pPr>
    </w:p>
    <w:p w14:paraId="7AA2ACE0">
      <w:pPr>
        <w:spacing w:line="360" w:lineRule="auto"/>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 xml:space="preserve"> </w:t>
      </w:r>
    </w:p>
    <w:p w14:paraId="0D8A209C">
      <w:pPr>
        <w:spacing w:line="360" w:lineRule="auto"/>
        <w:jc w:val="center"/>
        <w:rPr>
          <w:rFonts w:ascii="宋体" w:hAnsi="宋体" w:cs="宋体"/>
          <w:b/>
          <w:color w:val="000000" w:themeColor="text1"/>
          <w:sz w:val="44"/>
          <w:szCs w:val="44"/>
          <w14:textFill>
            <w14:solidFill>
              <w14:schemeClr w14:val="tx1"/>
            </w14:solidFill>
          </w14:textFill>
        </w:rPr>
      </w:pPr>
    </w:p>
    <w:p w14:paraId="15F6A224">
      <w:pPr>
        <w:spacing w:line="360" w:lineRule="auto"/>
        <w:jc w:val="center"/>
        <w:rPr>
          <w:rFonts w:ascii="宋体" w:hAnsi="宋体" w:cs="宋体"/>
          <w:color w:val="000000" w:themeColor="text1"/>
          <w:sz w:val="24"/>
          <w14:textFill>
            <w14:solidFill>
              <w14:schemeClr w14:val="tx1"/>
            </w14:solidFill>
          </w14:textFill>
        </w:rPr>
      </w:pPr>
    </w:p>
    <w:p w14:paraId="0F61F976">
      <w:pPr>
        <w:spacing w:line="360" w:lineRule="auto"/>
        <w:jc w:val="center"/>
        <w:rPr>
          <w:rFonts w:ascii="宋体" w:hAnsi="宋体" w:cs="宋体"/>
          <w:color w:val="000000" w:themeColor="text1"/>
          <w:sz w:val="24"/>
          <w14:textFill>
            <w14:solidFill>
              <w14:schemeClr w14:val="tx1"/>
            </w14:solidFill>
          </w14:textFill>
        </w:rPr>
      </w:pPr>
    </w:p>
    <w:p w14:paraId="0FFC21E7">
      <w:pPr>
        <w:spacing w:line="360" w:lineRule="auto"/>
        <w:rPr>
          <w:rFonts w:ascii="宋体" w:hAnsi="宋体" w:cs="宋体"/>
          <w:color w:val="000000" w:themeColor="text1"/>
          <w:sz w:val="32"/>
          <w:szCs w:val="32"/>
          <w14:textFill>
            <w14:solidFill>
              <w14:schemeClr w14:val="tx1"/>
            </w14:solidFill>
          </w14:textFill>
        </w:rPr>
      </w:pPr>
    </w:p>
    <w:p w14:paraId="7169BA44">
      <w:pPr>
        <w:snapToGrid w:val="0"/>
        <w:spacing w:line="360" w:lineRule="auto"/>
        <w:jc w:val="center"/>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浙江中医药大学</w:t>
      </w:r>
    </w:p>
    <w:p w14:paraId="1363A550">
      <w:pPr>
        <w:spacing w:line="360" w:lineRule="auto"/>
        <w:jc w:val="center"/>
        <w:rPr>
          <w:rFonts w:ascii="宋体" w:hAnsi="宋体" w:cs="宋体"/>
          <w:bCs/>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浙江豪圣建设项目管理有限公司</w:t>
      </w:r>
    </w:p>
    <w:p w14:paraId="631E7776">
      <w:pPr>
        <w:snapToGrid w:val="0"/>
        <w:spacing w:line="360" w:lineRule="auto"/>
        <w:jc w:val="center"/>
        <w:rPr>
          <w:rFonts w:ascii="宋体" w:hAnsi="宋体" w:cs="宋体"/>
          <w:bCs/>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二〇二五年五月</w:t>
      </w:r>
      <w:r>
        <w:rPr>
          <w:rFonts w:hint="eastAsia" w:ascii="宋体" w:hAnsi="宋体" w:cs="宋体"/>
          <w:bCs/>
          <w:color w:val="000000" w:themeColor="text1"/>
          <w:sz w:val="32"/>
          <w:szCs w:val="32"/>
          <w:lang w:val="en-US" w:eastAsia="zh-CN"/>
          <w14:textFill>
            <w14:solidFill>
              <w14:schemeClr w14:val="tx1"/>
            </w14:solidFill>
          </w14:textFill>
        </w:rPr>
        <w:t>二十九</w:t>
      </w:r>
      <w:r>
        <w:rPr>
          <w:rFonts w:hint="eastAsia" w:ascii="宋体" w:hAnsi="宋体" w:cs="宋体"/>
          <w:bCs/>
          <w:color w:val="000000" w:themeColor="text1"/>
          <w:sz w:val="32"/>
          <w:szCs w:val="32"/>
          <w14:textFill>
            <w14:solidFill>
              <w14:schemeClr w14:val="tx1"/>
            </w14:solidFill>
          </w14:textFill>
        </w:rPr>
        <w:t>日</w:t>
      </w:r>
    </w:p>
    <w:p w14:paraId="5FE10648">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bookmarkStart w:id="0" w:name="_Hlt67893495"/>
      <w:bookmarkEnd w:id="0"/>
    </w:p>
    <w:p w14:paraId="058433F1">
      <w:pPr>
        <w:spacing w:line="360" w:lineRule="auto"/>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目  录</w:t>
      </w:r>
    </w:p>
    <w:sdt>
      <w:sdtPr>
        <w:rPr>
          <w:rFonts w:hint="eastAsia" w:ascii="宋体" w:hAnsi="宋体" w:cs="宋体"/>
          <w:sz w:val="24"/>
        </w:rPr>
        <w:id w:val="147468607"/>
        <w:docPartObj>
          <w:docPartGallery w:val="Table of Contents"/>
          <w:docPartUnique/>
        </w:docPartObj>
      </w:sdtPr>
      <w:sdtEndPr>
        <w:rPr>
          <w:rFonts w:hint="eastAsia" w:ascii="宋体" w:hAnsi="宋体" w:cs="宋体"/>
          <w:color w:val="000000" w:themeColor="text1"/>
          <w:sz w:val="21"/>
          <w:szCs w:val="32"/>
          <w14:textFill>
            <w14:solidFill>
              <w14:schemeClr w14:val="tx1"/>
            </w14:solidFill>
          </w14:textFill>
        </w:rPr>
      </w:sdtEndPr>
      <w:sdtContent>
        <w:p w14:paraId="0AB2510B">
          <w:pPr>
            <w:jc w:val="center"/>
            <w:rPr>
              <w:rFonts w:ascii="宋体" w:hAnsi="宋体" w:cs="宋体"/>
              <w:sz w:val="24"/>
            </w:rPr>
          </w:pPr>
        </w:p>
        <w:p w14:paraId="5890B638">
          <w:pPr>
            <w:pStyle w:val="42"/>
            <w:tabs>
              <w:tab w:val="right" w:leader="dot" w:pos="9746"/>
            </w:tabs>
            <w:rPr>
              <w:rFonts w:ascii="宋体" w:hAnsi="宋体" w:cs="宋体"/>
              <w:sz w:val="24"/>
            </w:rPr>
          </w:pPr>
          <w:r>
            <w:rPr>
              <w:rFonts w:hint="eastAsia" w:ascii="宋体" w:hAnsi="宋体" w:cs="宋体"/>
              <w:color w:val="000000" w:themeColor="text1"/>
              <w:sz w:val="24"/>
              <w14:textFill>
                <w14:solidFill>
                  <w14:schemeClr w14:val="tx1"/>
                </w14:solidFill>
              </w14:textFill>
            </w:rPr>
            <w:fldChar w:fldCharType="begin"/>
          </w:r>
          <w:r>
            <w:rPr>
              <w:rFonts w:hint="eastAsia" w:ascii="宋体" w:hAnsi="宋体" w:cs="宋体"/>
              <w:color w:val="000000" w:themeColor="text1"/>
              <w:sz w:val="24"/>
              <w14:textFill>
                <w14:solidFill>
                  <w14:schemeClr w14:val="tx1"/>
                </w14:solidFill>
              </w14:textFill>
            </w:rPr>
            <w:instrText xml:space="preserve">TOC \o "1-3" \h \u </w:instrText>
          </w:r>
          <w:r>
            <w:rPr>
              <w:rFonts w:hint="eastAsia" w:ascii="宋体" w:hAnsi="宋体" w:cs="宋体"/>
              <w:color w:val="000000" w:themeColor="text1"/>
              <w:sz w:val="24"/>
              <w14:textFill>
                <w14:solidFill>
                  <w14:schemeClr w14:val="tx1"/>
                </w14:solidFill>
              </w14:textFill>
            </w:rPr>
            <w:fldChar w:fldCharType="separate"/>
          </w:r>
          <w:r>
            <w:fldChar w:fldCharType="begin"/>
          </w:r>
          <w:r>
            <w:instrText xml:space="preserve"> HYPERLINK \l "_Toc12771" </w:instrText>
          </w:r>
          <w:r>
            <w:fldChar w:fldCharType="separate"/>
          </w:r>
          <w:r>
            <w:rPr>
              <w:rFonts w:hint="eastAsia" w:ascii="宋体" w:hAnsi="宋体" w:cs="宋体"/>
              <w:sz w:val="24"/>
            </w:rPr>
            <w:t>第一部分 竞争性磋商公告</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_Toc12771 \h </w:instrText>
          </w:r>
          <w:r>
            <w:rPr>
              <w:rFonts w:hint="eastAsia" w:ascii="宋体" w:hAnsi="宋体" w:cs="宋体"/>
              <w:sz w:val="24"/>
            </w:rPr>
            <w:fldChar w:fldCharType="separate"/>
          </w:r>
          <w:r>
            <w:rPr>
              <w:rFonts w:hint="eastAsia" w:ascii="宋体" w:hAnsi="宋体" w:cs="宋体"/>
              <w:sz w:val="24"/>
            </w:rPr>
            <w:t>3</w:t>
          </w:r>
          <w:r>
            <w:rPr>
              <w:rFonts w:hint="eastAsia" w:ascii="宋体" w:hAnsi="宋体" w:cs="宋体"/>
              <w:sz w:val="24"/>
            </w:rPr>
            <w:fldChar w:fldCharType="end"/>
          </w:r>
          <w:r>
            <w:rPr>
              <w:rFonts w:hint="eastAsia" w:ascii="宋体" w:hAnsi="宋体" w:cs="宋体"/>
              <w:sz w:val="24"/>
            </w:rPr>
            <w:fldChar w:fldCharType="end"/>
          </w:r>
        </w:p>
        <w:p w14:paraId="607BFB38">
          <w:pPr>
            <w:pStyle w:val="42"/>
            <w:tabs>
              <w:tab w:val="right" w:leader="dot" w:pos="9746"/>
            </w:tabs>
            <w:rPr>
              <w:rFonts w:ascii="宋体" w:hAnsi="宋体" w:cs="宋体"/>
              <w:sz w:val="24"/>
            </w:rPr>
          </w:pPr>
          <w:r>
            <w:fldChar w:fldCharType="begin"/>
          </w:r>
          <w:r>
            <w:instrText xml:space="preserve"> HYPERLINK \l "_Toc3407" </w:instrText>
          </w:r>
          <w:r>
            <w:fldChar w:fldCharType="separate"/>
          </w:r>
          <w:r>
            <w:rPr>
              <w:rFonts w:hint="eastAsia" w:ascii="宋体" w:hAnsi="宋体" w:cs="宋体"/>
              <w:sz w:val="24"/>
            </w:rPr>
            <w:t>第二部分 供应商须知</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_Toc3407 \h </w:instrText>
          </w:r>
          <w:r>
            <w:rPr>
              <w:rFonts w:hint="eastAsia" w:ascii="宋体" w:hAnsi="宋体" w:cs="宋体"/>
              <w:sz w:val="24"/>
            </w:rPr>
            <w:fldChar w:fldCharType="separate"/>
          </w:r>
          <w:r>
            <w:rPr>
              <w:rFonts w:hint="eastAsia" w:ascii="宋体" w:hAnsi="宋体" w:cs="宋体"/>
              <w:sz w:val="24"/>
            </w:rPr>
            <w:t>8</w:t>
          </w:r>
          <w:r>
            <w:rPr>
              <w:rFonts w:hint="eastAsia" w:ascii="宋体" w:hAnsi="宋体" w:cs="宋体"/>
              <w:sz w:val="24"/>
            </w:rPr>
            <w:fldChar w:fldCharType="end"/>
          </w:r>
          <w:r>
            <w:rPr>
              <w:rFonts w:hint="eastAsia" w:ascii="宋体" w:hAnsi="宋体" w:cs="宋体"/>
              <w:sz w:val="24"/>
            </w:rPr>
            <w:fldChar w:fldCharType="end"/>
          </w:r>
        </w:p>
        <w:p w14:paraId="18DCB045">
          <w:pPr>
            <w:pStyle w:val="53"/>
            <w:tabs>
              <w:tab w:val="right" w:leader="dot" w:pos="9746"/>
            </w:tabs>
            <w:rPr>
              <w:rFonts w:ascii="宋体" w:hAnsi="宋体" w:cs="宋体"/>
              <w:sz w:val="24"/>
            </w:rPr>
          </w:pPr>
          <w:r>
            <w:fldChar w:fldCharType="begin"/>
          </w:r>
          <w:r>
            <w:instrText xml:space="preserve"> HYPERLINK \l "_Toc21400" </w:instrText>
          </w:r>
          <w:r>
            <w:fldChar w:fldCharType="separate"/>
          </w:r>
          <w:r>
            <w:rPr>
              <w:rFonts w:hint="eastAsia" w:ascii="宋体" w:hAnsi="宋体" w:cs="宋体"/>
              <w:sz w:val="24"/>
            </w:rPr>
            <w:t>前附表</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_Toc21400 \h </w:instrText>
          </w:r>
          <w:r>
            <w:rPr>
              <w:rFonts w:hint="eastAsia" w:ascii="宋体" w:hAnsi="宋体" w:cs="宋体"/>
              <w:sz w:val="24"/>
            </w:rPr>
            <w:fldChar w:fldCharType="separate"/>
          </w:r>
          <w:r>
            <w:rPr>
              <w:rFonts w:hint="eastAsia" w:ascii="宋体" w:hAnsi="宋体" w:cs="宋体"/>
              <w:sz w:val="24"/>
            </w:rPr>
            <w:t>8</w:t>
          </w:r>
          <w:r>
            <w:rPr>
              <w:rFonts w:hint="eastAsia" w:ascii="宋体" w:hAnsi="宋体" w:cs="宋体"/>
              <w:sz w:val="24"/>
            </w:rPr>
            <w:fldChar w:fldCharType="end"/>
          </w:r>
          <w:r>
            <w:rPr>
              <w:rFonts w:hint="eastAsia" w:ascii="宋体" w:hAnsi="宋体" w:cs="宋体"/>
              <w:sz w:val="24"/>
            </w:rPr>
            <w:fldChar w:fldCharType="end"/>
          </w:r>
        </w:p>
        <w:p w14:paraId="28201D6B">
          <w:pPr>
            <w:pStyle w:val="53"/>
            <w:tabs>
              <w:tab w:val="right" w:leader="dot" w:pos="9746"/>
            </w:tabs>
            <w:rPr>
              <w:rFonts w:ascii="宋体" w:hAnsi="宋体" w:cs="宋体"/>
              <w:sz w:val="24"/>
            </w:rPr>
          </w:pPr>
          <w:r>
            <w:fldChar w:fldCharType="begin"/>
          </w:r>
          <w:r>
            <w:instrText xml:space="preserve"> HYPERLINK \l "_Toc12991" </w:instrText>
          </w:r>
          <w:r>
            <w:fldChar w:fldCharType="separate"/>
          </w:r>
          <w:r>
            <w:rPr>
              <w:rFonts w:hint="eastAsia" w:ascii="宋体" w:hAnsi="宋体" w:cs="宋体"/>
              <w:sz w:val="24"/>
            </w:rPr>
            <w:t>一、总则</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_Toc12991 \h </w:instrText>
          </w:r>
          <w:r>
            <w:rPr>
              <w:rFonts w:hint="eastAsia" w:ascii="宋体" w:hAnsi="宋体" w:cs="宋体"/>
              <w:sz w:val="24"/>
            </w:rPr>
            <w:fldChar w:fldCharType="separate"/>
          </w:r>
          <w:r>
            <w:rPr>
              <w:rFonts w:hint="eastAsia" w:ascii="宋体" w:hAnsi="宋体" w:cs="宋体"/>
              <w:sz w:val="24"/>
            </w:rPr>
            <w:t>11</w:t>
          </w:r>
          <w:r>
            <w:rPr>
              <w:rFonts w:hint="eastAsia" w:ascii="宋体" w:hAnsi="宋体" w:cs="宋体"/>
              <w:sz w:val="24"/>
            </w:rPr>
            <w:fldChar w:fldCharType="end"/>
          </w:r>
          <w:r>
            <w:rPr>
              <w:rFonts w:hint="eastAsia" w:ascii="宋体" w:hAnsi="宋体" w:cs="宋体"/>
              <w:sz w:val="24"/>
            </w:rPr>
            <w:fldChar w:fldCharType="end"/>
          </w:r>
        </w:p>
        <w:p w14:paraId="3671ED80">
          <w:pPr>
            <w:pStyle w:val="53"/>
            <w:tabs>
              <w:tab w:val="right" w:leader="dot" w:pos="9746"/>
            </w:tabs>
            <w:rPr>
              <w:rFonts w:ascii="宋体" w:hAnsi="宋体" w:cs="宋体"/>
              <w:sz w:val="24"/>
            </w:rPr>
          </w:pPr>
          <w:r>
            <w:fldChar w:fldCharType="begin"/>
          </w:r>
          <w:r>
            <w:instrText xml:space="preserve"> HYPERLINK \l "_Toc12619" </w:instrText>
          </w:r>
          <w:r>
            <w:fldChar w:fldCharType="separate"/>
          </w:r>
          <w:r>
            <w:rPr>
              <w:rFonts w:hint="eastAsia" w:ascii="宋体" w:hAnsi="宋体" w:cs="宋体"/>
              <w:sz w:val="24"/>
            </w:rPr>
            <w:t>二、采购文件的构成、澄清、修改</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_Toc12619 \h </w:instrText>
          </w:r>
          <w:r>
            <w:rPr>
              <w:rFonts w:hint="eastAsia" w:ascii="宋体" w:hAnsi="宋体" w:cs="宋体"/>
              <w:sz w:val="24"/>
            </w:rPr>
            <w:fldChar w:fldCharType="separate"/>
          </w:r>
          <w:r>
            <w:rPr>
              <w:rFonts w:hint="eastAsia" w:ascii="宋体" w:hAnsi="宋体" w:cs="宋体"/>
              <w:sz w:val="24"/>
            </w:rPr>
            <w:t>15</w:t>
          </w:r>
          <w:r>
            <w:rPr>
              <w:rFonts w:hint="eastAsia" w:ascii="宋体" w:hAnsi="宋体" w:cs="宋体"/>
              <w:sz w:val="24"/>
            </w:rPr>
            <w:fldChar w:fldCharType="end"/>
          </w:r>
          <w:r>
            <w:rPr>
              <w:rFonts w:hint="eastAsia" w:ascii="宋体" w:hAnsi="宋体" w:cs="宋体"/>
              <w:sz w:val="24"/>
            </w:rPr>
            <w:fldChar w:fldCharType="end"/>
          </w:r>
        </w:p>
        <w:p w14:paraId="73A4D7A2">
          <w:pPr>
            <w:pStyle w:val="53"/>
            <w:tabs>
              <w:tab w:val="right" w:leader="dot" w:pos="9746"/>
            </w:tabs>
            <w:rPr>
              <w:rFonts w:ascii="宋体" w:hAnsi="宋体" w:cs="宋体"/>
              <w:sz w:val="24"/>
            </w:rPr>
          </w:pPr>
          <w:r>
            <w:fldChar w:fldCharType="begin"/>
          </w:r>
          <w:r>
            <w:instrText xml:space="preserve"> HYPERLINK \l "_Toc8666" </w:instrText>
          </w:r>
          <w:r>
            <w:fldChar w:fldCharType="separate"/>
          </w:r>
          <w:r>
            <w:rPr>
              <w:rFonts w:hint="eastAsia" w:ascii="宋体" w:hAnsi="宋体" w:cs="宋体"/>
              <w:sz w:val="24"/>
            </w:rPr>
            <w:t>三、提交响应文件</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_Toc8666 \h </w:instrText>
          </w:r>
          <w:r>
            <w:rPr>
              <w:rFonts w:hint="eastAsia" w:ascii="宋体" w:hAnsi="宋体" w:cs="宋体"/>
              <w:sz w:val="24"/>
            </w:rPr>
            <w:fldChar w:fldCharType="separate"/>
          </w:r>
          <w:r>
            <w:rPr>
              <w:rFonts w:hint="eastAsia" w:ascii="宋体" w:hAnsi="宋体" w:cs="宋体"/>
              <w:sz w:val="24"/>
            </w:rPr>
            <w:t>16</w:t>
          </w:r>
          <w:r>
            <w:rPr>
              <w:rFonts w:hint="eastAsia" w:ascii="宋体" w:hAnsi="宋体" w:cs="宋体"/>
              <w:sz w:val="24"/>
            </w:rPr>
            <w:fldChar w:fldCharType="end"/>
          </w:r>
          <w:r>
            <w:rPr>
              <w:rFonts w:hint="eastAsia" w:ascii="宋体" w:hAnsi="宋体" w:cs="宋体"/>
              <w:sz w:val="24"/>
            </w:rPr>
            <w:fldChar w:fldCharType="end"/>
          </w:r>
        </w:p>
        <w:p w14:paraId="70959DF8">
          <w:pPr>
            <w:pStyle w:val="53"/>
            <w:tabs>
              <w:tab w:val="right" w:leader="dot" w:pos="9746"/>
            </w:tabs>
            <w:rPr>
              <w:rFonts w:ascii="宋体" w:hAnsi="宋体" w:cs="宋体"/>
              <w:sz w:val="24"/>
            </w:rPr>
          </w:pPr>
          <w:r>
            <w:fldChar w:fldCharType="begin"/>
          </w:r>
          <w:r>
            <w:instrText xml:space="preserve"> HYPERLINK \l "_Toc26759" </w:instrText>
          </w:r>
          <w:r>
            <w:fldChar w:fldCharType="separate"/>
          </w:r>
          <w:r>
            <w:rPr>
              <w:rFonts w:hint="eastAsia" w:ascii="宋体" w:hAnsi="宋体" w:cs="宋体"/>
              <w:sz w:val="24"/>
            </w:rPr>
            <w:t>四、响应文件开启、资格审查与信用信息查询</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_Toc26759 \h </w:instrText>
          </w:r>
          <w:r>
            <w:rPr>
              <w:rFonts w:hint="eastAsia" w:ascii="宋体" w:hAnsi="宋体" w:cs="宋体"/>
              <w:sz w:val="24"/>
            </w:rPr>
            <w:fldChar w:fldCharType="separate"/>
          </w:r>
          <w:r>
            <w:rPr>
              <w:rFonts w:hint="eastAsia" w:ascii="宋体" w:hAnsi="宋体" w:cs="宋体"/>
              <w:sz w:val="24"/>
            </w:rPr>
            <w:t>18</w:t>
          </w:r>
          <w:r>
            <w:rPr>
              <w:rFonts w:hint="eastAsia" w:ascii="宋体" w:hAnsi="宋体" w:cs="宋体"/>
              <w:sz w:val="24"/>
            </w:rPr>
            <w:fldChar w:fldCharType="end"/>
          </w:r>
          <w:r>
            <w:rPr>
              <w:rFonts w:hint="eastAsia" w:ascii="宋体" w:hAnsi="宋体" w:cs="宋体"/>
              <w:sz w:val="24"/>
            </w:rPr>
            <w:fldChar w:fldCharType="end"/>
          </w:r>
        </w:p>
        <w:p w14:paraId="2471CF44">
          <w:pPr>
            <w:pStyle w:val="53"/>
            <w:tabs>
              <w:tab w:val="right" w:leader="dot" w:pos="9746"/>
            </w:tabs>
            <w:rPr>
              <w:rFonts w:ascii="宋体" w:hAnsi="宋体" w:cs="宋体"/>
              <w:sz w:val="24"/>
            </w:rPr>
          </w:pPr>
          <w:r>
            <w:fldChar w:fldCharType="begin"/>
          </w:r>
          <w:r>
            <w:instrText xml:space="preserve"> HYPERLINK \l "_Toc29860" </w:instrText>
          </w:r>
          <w:r>
            <w:fldChar w:fldCharType="separate"/>
          </w:r>
          <w:r>
            <w:rPr>
              <w:rFonts w:hint="eastAsia" w:ascii="宋体" w:hAnsi="宋体" w:cs="宋体"/>
              <w:sz w:val="24"/>
            </w:rPr>
            <w:t>五、评审</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_Toc29860 \h </w:instrText>
          </w:r>
          <w:r>
            <w:rPr>
              <w:rFonts w:hint="eastAsia" w:ascii="宋体" w:hAnsi="宋体" w:cs="宋体"/>
              <w:sz w:val="24"/>
            </w:rPr>
            <w:fldChar w:fldCharType="separate"/>
          </w:r>
          <w:r>
            <w:rPr>
              <w:rFonts w:hint="eastAsia" w:ascii="宋体" w:hAnsi="宋体" w:cs="宋体"/>
              <w:sz w:val="24"/>
            </w:rPr>
            <w:t>19</w:t>
          </w:r>
          <w:r>
            <w:rPr>
              <w:rFonts w:hint="eastAsia" w:ascii="宋体" w:hAnsi="宋体" w:cs="宋体"/>
              <w:sz w:val="24"/>
            </w:rPr>
            <w:fldChar w:fldCharType="end"/>
          </w:r>
          <w:r>
            <w:rPr>
              <w:rFonts w:hint="eastAsia" w:ascii="宋体" w:hAnsi="宋体" w:cs="宋体"/>
              <w:sz w:val="24"/>
            </w:rPr>
            <w:fldChar w:fldCharType="end"/>
          </w:r>
        </w:p>
        <w:p w14:paraId="03869CE1">
          <w:pPr>
            <w:pStyle w:val="53"/>
            <w:tabs>
              <w:tab w:val="right" w:leader="dot" w:pos="9746"/>
            </w:tabs>
            <w:rPr>
              <w:rFonts w:ascii="宋体" w:hAnsi="宋体" w:cs="宋体"/>
              <w:sz w:val="24"/>
            </w:rPr>
          </w:pPr>
          <w:r>
            <w:fldChar w:fldCharType="begin"/>
          </w:r>
          <w:r>
            <w:instrText xml:space="preserve"> HYPERLINK \l "_Toc29770" </w:instrText>
          </w:r>
          <w:r>
            <w:fldChar w:fldCharType="separate"/>
          </w:r>
          <w:r>
            <w:rPr>
              <w:rFonts w:hint="eastAsia" w:ascii="宋体" w:hAnsi="宋体" w:cs="宋体"/>
              <w:sz w:val="24"/>
            </w:rPr>
            <w:t>六、成交供应商确定</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_Toc29770 \h </w:instrText>
          </w:r>
          <w:r>
            <w:rPr>
              <w:rFonts w:hint="eastAsia" w:ascii="宋体" w:hAnsi="宋体" w:cs="宋体"/>
              <w:sz w:val="24"/>
            </w:rPr>
            <w:fldChar w:fldCharType="separate"/>
          </w:r>
          <w:r>
            <w:rPr>
              <w:rFonts w:hint="eastAsia" w:ascii="宋体" w:hAnsi="宋体" w:cs="宋体"/>
              <w:sz w:val="24"/>
            </w:rPr>
            <w:t>20</w:t>
          </w:r>
          <w:r>
            <w:rPr>
              <w:rFonts w:hint="eastAsia" w:ascii="宋体" w:hAnsi="宋体" w:cs="宋体"/>
              <w:sz w:val="24"/>
            </w:rPr>
            <w:fldChar w:fldCharType="end"/>
          </w:r>
          <w:r>
            <w:rPr>
              <w:rFonts w:hint="eastAsia" w:ascii="宋体" w:hAnsi="宋体" w:cs="宋体"/>
              <w:sz w:val="24"/>
            </w:rPr>
            <w:fldChar w:fldCharType="end"/>
          </w:r>
        </w:p>
        <w:p w14:paraId="322335C3">
          <w:pPr>
            <w:pStyle w:val="53"/>
            <w:tabs>
              <w:tab w:val="right" w:leader="dot" w:pos="9746"/>
            </w:tabs>
            <w:rPr>
              <w:rFonts w:ascii="宋体" w:hAnsi="宋体" w:cs="宋体"/>
              <w:sz w:val="24"/>
            </w:rPr>
          </w:pPr>
          <w:r>
            <w:fldChar w:fldCharType="begin"/>
          </w:r>
          <w:r>
            <w:instrText xml:space="preserve"> HYPERLINK \l "_Toc31763" </w:instrText>
          </w:r>
          <w:r>
            <w:fldChar w:fldCharType="separate"/>
          </w:r>
          <w:r>
            <w:rPr>
              <w:rFonts w:hint="eastAsia" w:ascii="宋体" w:hAnsi="宋体" w:cs="宋体"/>
              <w:sz w:val="24"/>
            </w:rPr>
            <w:t>七、合同授予</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_Toc31763 \h </w:instrText>
          </w:r>
          <w:r>
            <w:rPr>
              <w:rFonts w:hint="eastAsia" w:ascii="宋体" w:hAnsi="宋体" w:cs="宋体"/>
              <w:sz w:val="24"/>
            </w:rPr>
            <w:fldChar w:fldCharType="separate"/>
          </w:r>
          <w:r>
            <w:rPr>
              <w:rFonts w:hint="eastAsia" w:ascii="宋体" w:hAnsi="宋体" w:cs="宋体"/>
              <w:sz w:val="24"/>
            </w:rPr>
            <w:t>20</w:t>
          </w:r>
          <w:r>
            <w:rPr>
              <w:rFonts w:hint="eastAsia" w:ascii="宋体" w:hAnsi="宋体" w:cs="宋体"/>
              <w:sz w:val="24"/>
            </w:rPr>
            <w:fldChar w:fldCharType="end"/>
          </w:r>
          <w:r>
            <w:rPr>
              <w:rFonts w:hint="eastAsia" w:ascii="宋体" w:hAnsi="宋体" w:cs="宋体"/>
              <w:sz w:val="24"/>
            </w:rPr>
            <w:fldChar w:fldCharType="end"/>
          </w:r>
        </w:p>
        <w:p w14:paraId="5E9722B0">
          <w:pPr>
            <w:pStyle w:val="53"/>
            <w:tabs>
              <w:tab w:val="right" w:leader="dot" w:pos="9746"/>
            </w:tabs>
            <w:rPr>
              <w:rFonts w:ascii="宋体" w:hAnsi="宋体" w:cs="宋体"/>
              <w:sz w:val="24"/>
            </w:rPr>
          </w:pPr>
          <w:r>
            <w:fldChar w:fldCharType="begin"/>
          </w:r>
          <w:r>
            <w:instrText xml:space="preserve"> HYPERLINK \l "_Toc14461" </w:instrText>
          </w:r>
          <w:r>
            <w:fldChar w:fldCharType="separate"/>
          </w:r>
          <w:r>
            <w:rPr>
              <w:rFonts w:hint="eastAsia" w:ascii="宋体" w:hAnsi="宋体" w:cs="宋体"/>
              <w:sz w:val="24"/>
            </w:rPr>
            <w:t>八、电子交易活动的中止</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_Toc14461 \h </w:instrText>
          </w:r>
          <w:r>
            <w:rPr>
              <w:rFonts w:hint="eastAsia" w:ascii="宋体" w:hAnsi="宋体" w:cs="宋体"/>
              <w:sz w:val="24"/>
            </w:rPr>
            <w:fldChar w:fldCharType="separate"/>
          </w:r>
          <w:r>
            <w:rPr>
              <w:rFonts w:hint="eastAsia" w:ascii="宋体" w:hAnsi="宋体" w:cs="宋体"/>
              <w:sz w:val="24"/>
            </w:rPr>
            <w:t>22</w:t>
          </w:r>
          <w:r>
            <w:rPr>
              <w:rFonts w:hint="eastAsia" w:ascii="宋体" w:hAnsi="宋体" w:cs="宋体"/>
              <w:sz w:val="24"/>
            </w:rPr>
            <w:fldChar w:fldCharType="end"/>
          </w:r>
          <w:r>
            <w:rPr>
              <w:rFonts w:hint="eastAsia" w:ascii="宋体" w:hAnsi="宋体" w:cs="宋体"/>
              <w:sz w:val="24"/>
            </w:rPr>
            <w:fldChar w:fldCharType="end"/>
          </w:r>
        </w:p>
        <w:p w14:paraId="2FBBF7CF">
          <w:pPr>
            <w:pStyle w:val="53"/>
            <w:tabs>
              <w:tab w:val="right" w:leader="dot" w:pos="9746"/>
            </w:tabs>
            <w:rPr>
              <w:rFonts w:ascii="宋体" w:hAnsi="宋体" w:cs="宋体"/>
              <w:sz w:val="24"/>
            </w:rPr>
          </w:pPr>
          <w:r>
            <w:fldChar w:fldCharType="begin"/>
          </w:r>
          <w:r>
            <w:instrText xml:space="preserve"> HYPERLINK \l "_Toc4129" </w:instrText>
          </w:r>
          <w:r>
            <w:fldChar w:fldCharType="separate"/>
          </w:r>
          <w:r>
            <w:rPr>
              <w:rFonts w:hint="eastAsia" w:ascii="宋体" w:hAnsi="宋体" w:cs="宋体"/>
              <w:sz w:val="24"/>
            </w:rPr>
            <w:t>九、验收</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_Toc4129 \h </w:instrText>
          </w:r>
          <w:r>
            <w:rPr>
              <w:rFonts w:hint="eastAsia" w:ascii="宋体" w:hAnsi="宋体" w:cs="宋体"/>
              <w:sz w:val="24"/>
            </w:rPr>
            <w:fldChar w:fldCharType="separate"/>
          </w:r>
          <w:r>
            <w:rPr>
              <w:rFonts w:hint="eastAsia" w:ascii="宋体" w:hAnsi="宋体" w:cs="宋体"/>
              <w:sz w:val="24"/>
            </w:rPr>
            <w:t>22</w:t>
          </w:r>
          <w:r>
            <w:rPr>
              <w:rFonts w:hint="eastAsia" w:ascii="宋体" w:hAnsi="宋体" w:cs="宋体"/>
              <w:sz w:val="24"/>
            </w:rPr>
            <w:fldChar w:fldCharType="end"/>
          </w:r>
          <w:r>
            <w:rPr>
              <w:rFonts w:hint="eastAsia" w:ascii="宋体" w:hAnsi="宋体" w:cs="宋体"/>
              <w:sz w:val="24"/>
            </w:rPr>
            <w:fldChar w:fldCharType="end"/>
          </w:r>
        </w:p>
        <w:p w14:paraId="15661122">
          <w:pPr>
            <w:pStyle w:val="42"/>
            <w:tabs>
              <w:tab w:val="right" w:leader="dot" w:pos="9746"/>
            </w:tabs>
            <w:rPr>
              <w:rFonts w:ascii="宋体" w:hAnsi="宋体" w:cs="宋体"/>
              <w:sz w:val="24"/>
            </w:rPr>
          </w:pPr>
          <w:r>
            <w:fldChar w:fldCharType="begin"/>
          </w:r>
          <w:r>
            <w:instrText xml:space="preserve"> HYPERLINK \l "_Toc2555" </w:instrText>
          </w:r>
          <w:r>
            <w:fldChar w:fldCharType="separate"/>
          </w:r>
          <w:r>
            <w:rPr>
              <w:rFonts w:hint="eastAsia" w:ascii="宋体" w:hAnsi="宋体" w:cs="宋体"/>
              <w:sz w:val="24"/>
            </w:rPr>
            <w:t>第三部分 采购需求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_Toc2555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14:paraId="41EC77E2">
          <w:pPr>
            <w:pStyle w:val="53"/>
            <w:tabs>
              <w:tab w:val="right" w:leader="dot" w:pos="9746"/>
            </w:tabs>
            <w:rPr>
              <w:rFonts w:ascii="宋体" w:hAnsi="宋体" w:cs="宋体"/>
              <w:sz w:val="24"/>
            </w:rPr>
          </w:pPr>
          <w:r>
            <w:fldChar w:fldCharType="begin"/>
          </w:r>
          <w:r>
            <w:instrText xml:space="preserve"> HYPERLINK \l "_Toc25546" </w:instrText>
          </w:r>
          <w:r>
            <w:fldChar w:fldCharType="separate"/>
          </w:r>
          <w:r>
            <w:rPr>
              <w:rFonts w:hint="eastAsia" w:ascii="宋体" w:hAnsi="宋体" w:cs="宋体"/>
              <w:sz w:val="24"/>
            </w:rPr>
            <w:t>一、项目概况</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_Toc25546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14:paraId="3CE082CF">
          <w:pPr>
            <w:pStyle w:val="53"/>
            <w:tabs>
              <w:tab w:val="right" w:leader="dot" w:pos="9746"/>
            </w:tabs>
            <w:rPr>
              <w:rFonts w:ascii="宋体" w:hAnsi="宋体" w:cs="宋体"/>
              <w:sz w:val="24"/>
            </w:rPr>
          </w:pPr>
          <w:r>
            <w:fldChar w:fldCharType="begin"/>
          </w:r>
          <w:r>
            <w:instrText xml:space="preserve"> HYPERLINK \l "_Toc25402" </w:instrText>
          </w:r>
          <w:r>
            <w:fldChar w:fldCharType="separate"/>
          </w:r>
          <w:r>
            <w:rPr>
              <w:rFonts w:hint="eastAsia" w:ascii="宋体" w:hAnsi="宋体" w:cs="宋体"/>
              <w:bCs/>
              <w:sz w:val="24"/>
            </w:rPr>
            <w:t>二、</w:t>
          </w:r>
          <w:r>
            <w:rPr>
              <w:rFonts w:hint="eastAsia" w:ascii="宋体" w:hAnsi="宋体" w:cs="宋体"/>
              <w:sz w:val="24"/>
            </w:rPr>
            <w:t>工程内容</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_Toc25402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14:paraId="412BCAA2">
          <w:pPr>
            <w:pStyle w:val="53"/>
            <w:tabs>
              <w:tab w:val="right" w:leader="dot" w:pos="9746"/>
            </w:tabs>
            <w:rPr>
              <w:rFonts w:ascii="宋体" w:hAnsi="宋体" w:cs="宋体"/>
              <w:sz w:val="24"/>
            </w:rPr>
          </w:pPr>
          <w:r>
            <w:fldChar w:fldCharType="begin"/>
          </w:r>
          <w:r>
            <w:instrText xml:space="preserve"> HYPERLINK \l "_Toc21893" </w:instrText>
          </w:r>
          <w:r>
            <w:fldChar w:fldCharType="separate"/>
          </w:r>
          <w:r>
            <w:rPr>
              <w:rFonts w:hint="eastAsia" w:ascii="宋体" w:hAnsi="宋体" w:cs="宋体"/>
              <w:bCs/>
              <w:sz w:val="24"/>
            </w:rPr>
            <w:t>三、技术要求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_Toc21893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14:paraId="0AC333EC">
          <w:pPr>
            <w:pStyle w:val="53"/>
            <w:tabs>
              <w:tab w:val="right" w:leader="dot" w:pos="9746"/>
            </w:tabs>
            <w:rPr>
              <w:rFonts w:ascii="宋体" w:hAnsi="宋体" w:cs="宋体"/>
              <w:sz w:val="24"/>
            </w:rPr>
          </w:pPr>
          <w:r>
            <w:fldChar w:fldCharType="begin"/>
          </w:r>
          <w:r>
            <w:instrText xml:space="preserve"> HYPERLINK \l "_Toc10049" </w:instrText>
          </w:r>
          <w:r>
            <w:fldChar w:fldCharType="separate"/>
          </w:r>
          <w:r>
            <w:rPr>
              <w:rFonts w:hint="eastAsia" w:ascii="宋体" w:hAnsi="宋体" w:cs="宋体"/>
              <w:bCs/>
              <w:sz w:val="24"/>
            </w:rPr>
            <w:t>四、材料参数要求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_Toc10049 \h </w:instrText>
          </w:r>
          <w:r>
            <w:rPr>
              <w:rFonts w:hint="eastAsia" w:ascii="宋体" w:hAnsi="宋体" w:cs="宋体"/>
              <w:sz w:val="24"/>
            </w:rPr>
            <w:fldChar w:fldCharType="separate"/>
          </w:r>
          <w:r>
            <w:rPr>
              <w:rFonts w:hint="eastAsia" w:ascii="宋体" w:hAnsi="宋体" w:cs="宋体"/>
              <w:sz w:val="24"/>
            </w:rPr>
            <w:t>25</w:t>
          </w:r>
          <w:r>
            <w:rPr>
              <w:rFonts w:hint="eastAsia" w:ascii="宋体" w:hAnsi="宋体" w:cs="宋体"/>
              <w:sz w:val="24"/>
            </w:rPr>
            <w:fldChar w:fldCharType="end"/>
          </w:r>
          <w:r>
            <w:rPr>
              <w:rFonts w:hint="eastAsia" w:ascii="宋体" w:hAnsi="宋体" w:cs="宋体"/>
              <w:sz w:val="24"/>
            </w:rPr>
            <w:fldChar w:fldCharType="end"/>
          </w:r>
        </w:p>
        <w:p w14:paraId="090CF4B8">
          <w:pPr>
            <w:pStyle w:val="53"/>
            <w:tabs>
              <w:tab w:val="right" w:leader="dot" w:pos="9746"/>
            </w:tabs>
            <w:rPr>
              <w:rFonts w:ascii="宋体" w:hAnsi="宋体" w:cs="宋体"/>
              <w:sz w:val="24"/>
            </w:rPr>
          </w:pPr>
          <w:r>
            <w:fldChar w:fldCharType="begin"/>
          </w:r>
          <w:r>
            <w:instrText xml:space="preserve"> HYPERLINK \l "_Toc14878" </w:instrText>
          </w:r>
          <w:r>
            <w:fldChar w:fldCharType="separate"/>
          </w:r>
          <w:r>
            <w:rPr>
              <w:rFonts w:hint="eastAsia" w:ascii="宋体" w:hAnsi="宋体" w:cs="宋体"/>
              <w:bCs/>
              <w:sz w:val="24"/>
            </w:rPr>
            <w:t>五、施工要求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_Toc14878 \h </w:instrText>
          </w:r>
          <w:r>
            <w:rPr>
              <w:rFonts w:hint="eastAsia" w:ascii="宋体" w:hAnsi="宋体" w:cs="宋体"/>
              <w:sz w:val="24"/>
            </w:rPr>
            <w:fldChar w:fldCharType="separate"/>
          </w:r>
          <w:r>
            <w:rPr>
              <w:rFonts w:hint="eastAsia" w:ascii="宋体" w:hAnsi="宋体" w:cs="宋体"/>
              <w:sz w:val="24"/>
            </w:rPr>
            <w:t>29</w:t>
          </w:r>
          <w:r>
            <w:rPr>
              <w:rFonts w:hint="eastAsia" w:ascii="宋体" w:hAnsi="宋体" w:cs="宋体"/>
              <w:sz w:val="24"/>
            </w:rPr>
            <w:fldChar w:fldCharType="end"/>
          </w:r>
          <w:r>
            <w:rPr>
              <w:rFonts w:hint="eastAsia" w:ascii="宋体" w:hAnsi="宋体" w:cs="宋体"/>
              <w:sz w:val="24"/>
            </w:rPr>
            <w:fldChar w:fldCharType="end"/>
          </w:r>
        </w:p>
        <w:p w14:paraId="13D388CD">
          <w:pPr>
            <w:pStyle w:val="53"/>
            <w:tabs>
              <w:tab w:val="right" w:leader="dot" w:pos="9746"/>
            </w:tabs>
            <w:rPr>
              <w:rFonts w:ascii="宋体" w:hAnsi="宋体" w:cs="宋体"/>
              <w:sz w:val="24"/>
            </w:rPr>
          </w:pPr>
          <w:r>
            <w:fldChar w:fldCharType="begin"/>
          </w:r>
          <w:r>
            <w:instrText xml:space="preserve"> HYPERLINK \l "_Toc25341" </w:instrText>
          </w:r>
          <w:r>
            <w:fldChar w:fldCharType="separate"/>
          </w:r>
          <w:r>
            <w:rPr>
              <w:rFonts w:hint="eastAsia" w:ascii="宋体" w:hAnsi="宋体" w:cs="宋体"/>
              <w:bCs/>
              <w:sz w:val="24"/>
            </w:rPr>
            <w:t>六、安全文明施工要求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_Toc25341 \h </w:instrText>
          </w:r>
          <w:r>
            <w:rPr>
              <w:rFonts w:hint="eastAsia" w:ascii="宋体" w:hAnsi="宋体" w:cs="宋体"/>
              <w:sz w:val="24"/>
            </w:rPr>
            <w:fldChar w:fldCharType="separate"/>
          </w:r>
          <w:r>
            <w:rPr>
              <w:rFonts w:hint="eastAsia" w:ascii="宋体" w:hAnsi="宋体" w:cs="宋体"/>
              <w:sz w:val="24"/>
            </w:rPr>
            <w:t>29</w:t>
          </w:r>
          <w:r>
            <w:rPr>
              <w:rFonts w:hint="eastAsia" w:ascii="宋体" w:hAnsi="宋体" w:cs="宋体"/>
              <w:sz w:val="24"/>
            </w:rPr>
            <w:fldChar w:fldCharType="end"/>
          </w:r>
          <w:r>
            <w:rPr>
              <w:rFonts w:hint="eastAsia" w:ascii="宋体" w:hAnsi="宋体" w:cs="宋体"/>
              <w:sz w:val="24"/>
            </w:rPr>
            <w:fldChar w:fldCharType="end"/>
          </w:r>
        </w:p>
        <w:p w14:paraId="0C564C83">
          <w:pPr>
            <w:pStyle w:val="53"/>
            <w:tabs>
              <w:tab w:val="right" w:leader="dot" w:pos="9746"/>
            </w:tabs>
            <w:rPr>
              <w:rFonts w:ascii="宋体" w:hAnsi="宋体" w:cs="宋体"/>
              <w:sz w:val="24"/>
            </w:rPr>
          </w:pPr>
          <w:r>
            <w:fldChar w:fldCharType="begin"/>
          </w:r>
          <w:r>
            <w:instrText xml:space="preserve"> HYPERLINK \l "_Toc599" </w:instrText>
          </w:r>
          <w:r>
            <w:fldChar w:fldCharType="separate"/>
          </w:r>
          <w:r>
            <w:rPr>
              <w:rFonts w:hint="eastAsia" w:ascii="宋体" w:hAnsi="宋体" w:cs="宋体"/>
              <w:bCs/>
              <w:sz w:val="24"/>
            </w:rPr>
            <w:t>七、样品要求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_Toc599 \h </w:instrText>
          </w:r>
          <w:r>
            <w:rPr>
              <w:rFonts w:hint="eastAsia" w:ascii="宋体" w:hAnsi="宋体" w:cs="宋体"/>
              <w:sz w:val="24"/>
            </w:rPr>
            <w:fldChar w:fldCharType="separate"/>
          </w:r>
          <w:r>
            <w:rPr>
              <w:rFonts w:hint="eastAsia" w:ascii="宋体" w:hAnsi="宋体" w:cs="宋体"/>
              <w:sz w:val="24"/>
            </w:rPr>
            <w:t>30</w:t>
          </w:r>
          <w:r>
            <w:rPr>
              <w:rFonts w:hint="eastAsia" w:ascii="宋体" w:hAnsi="宋体" w:cs="宋体"/>
              <w:sz w:val="24"/>
            </w:rPr>
            <w:fldChar w:fldCharType="end"/>
          </w:r>
          <w:r>
            <w:rPr>
              <w:rFonts w:hint="eastAsia" w:ascii="宋体" w:hAnsi="宋体" w:cs="宋体"/>
              <w:sz w:val="24"/>
            </w:rPr>
            <w:fldChar w:fldCharType="end"/>
          </w:r>
        </w:p>
        <w:p w14:paraId="210580BB">
          <w:pPr>
            <w:pStyle w:val="53"/>
            <w:tabs>
              <w:tab w:val="right" w:leader="dot" w:pos="9746"/>
            </w:tabs>
            <w:rPr>
              <w:rFonts w:ascii="宋体" w:hAnsi="宋体" w:cs="宋体"/>
              <w:sz w:val="24"/>
            </w:rPr>
          </w:pPr>
          <w:r>
            <w:fldChar w:fldCharType="begin"/>
          </w:r>
          <w:r>
            <w:instrText xml:space="preserve"> HYPERLINK \l "_Toc32602" </w:instrText>
          </w:r>
          <w:r>
            <w:fldChar w:fldCharType="separate"/>
          </w:r>
          <w:r>
            <w:rPr>
              <w:rFonts w:hint="eastAsia" w:ascii="宋体" w:hAnsi="宋体" w:cs="宋体"/>
              <w:bCs/>
              <w:sz w:val="24"/>
            </w:rPr>
            <w:t>八、商务要求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_Toc32602 \h </w:instrText>
          </w:r>
          <w:r>
            <w:rPr>
              <w:rFonts w:hint="eastAsia" w:ascii="宋体" w:hAnsi="宋体" w:cs="宋体"/>
              <w:sz w:val="24"/>
            </w:rPr>
            <w:fldChar w:fldCharType="separate"/>
          </w:r>
          <w:r>
            <w:rPr>
              <w:rFonts w:hint="eastAsia" w:ascii="宋体" w:hAnsi="宋体" w:cs="宋体"/>
              <w:sz w:val="24"/>
            </w:rPr>
            <w:t>30</w:t>
          </w:r>
          <w:r>
            <w:rPr>
              <w:rFonts w:hint="eastAsia" w:ascii="宋体" w:hAnsi="宋体" w:cs="宋体"/>
              <w:sz w:val="24"/>
            </w:rPr>
            <w:fldChar w:fldCharType="end"/>
          </w:r>
          <w:r>
            <w:rPr>
              <w:rFonts w:hint="eastAsia" w:ascii="宋体" w:hAnsi="宋体" w:cs="宋体"/>
              <w:sz w:val="24"/>
            </w:rPr>
            <w:fldChar w:fldCharType="end"/>
          </w:r>
        </w:p>
        <w:p w14:paraId="50ACBFCB">
          <w:pPr>
            <w:pStyle w:val="53"/>
            <w:tabs>
              <w:tab w:val="right" w:leader="dot" w:pos="9746"/>
            </w:tabs>
            <w:rPr>
              <w:rFonts w:ascii="宋体" w:hAnsi="宋体" w:cs="宋体"/>
              <w:sz w:val="24"/>
            </w:rPr>
          </w:pPr>
          <w:r>
            <w:fldChar w:fldCharType="begin"/>
          </w:r>
          <w:r>
            <w:instrText xml:space="preserve"> HYPERLINK \l "_Toc15442" </w:instrText>
          </w:r>
          <w:r>
            <w:fldChar w:fldCharType="separate"/>
          </w:r>
          <w:r>
            <w:rPr>
              <w:rFonts w:hint="eastAsia" w:ascii="宋体" w:hAnsi="宋体" w:cs="宋体"/>
              <w:sz w:val="24"/>
            </w:rPr>
            <w:t>九、民事责任</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_Toc15442 \h </w:instrText>
          </w:r>
          <w:r>
            <w:rPr>
              <w:rFonts w:hint="eastAsia" w:ascii="宋体" w:hAnsi="宋体" w:cs="宋体"/>
              <w:sz w:val="24"/>
            </w:rPr>
            <w:fldChar w:fldCharType="separate"/>
          </w:r>
          <w:r>
            <w:rPr>
              <w:rFonts w:hint="eastAsia" w:ascii="宋体" w:hAnsi="宋体" w:cs="宋体"/>
              <w:sz w:val="24"/>
            </w:rPr>
            <w:t>31</w:t>
          </w:r>
          <w:r>
            <w:rPr>
              <w:rFonts w:hint="eastAsia" w:ascii="宋体" w:hAnsi="宋体" w:cs="宋体"/>
              <w:sz w:val="24"/>
            </w:rPr>
            <w:fldChar w:fldCharType="end"/>
          </w:r>
          <w:r>
            <w:rPr>
              <w:rFonts w:hint="eastAsia" w:ascii="宋体" w:hAnsi="宋体" w:cs="宋体"/>
              <w:sz w:val="24"/>
            </w:rPr>
            <w:fldChar w:fldCharType="end"/>
          </w:r>
        </w:p>
        <w:p w14:paraId="36282BE5">
          <w:pPr>
            <w:pStyle w:val="53"/>
            <w:tabs>
              <w:tab w:val="right" w:leader="dot" w:pos="9746"/>
            </w:tabs>
            <w:rPr>
              <w:rFonts w:ascii="宋体" w:hAnsi="宋体" w:cs="宋体"/>
              <w:sz w:val="24"/>
            </w:rPr>
          </w:pPr>
          <w:r>
            <w:fldChar w:fldCharType="begin"/>
          </w:r>
          <w:r>
            <w:instrText xml:space="preserve"> HYPERLINK \l "_Toc22997" </w:instrText>
          </w:r>
          <w:r>
            <w:fldChar w:fldCharType="separate"/>
          </w:r>
          <w:r>
            <w:rPr>
              <w:rFonts w:hint="eastAsia" w:ascii="宋体" w:hAnsi="宋体" w:cs="宋体"/>
              <w:sz w:val="24"/>
            </w:rPr>
            <w:t>十、其他</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_Toc22997 \h </w:instrText>
          </w:r>
          <w:r>
            <w:rPr>
              <w:rFonts w:hint="eastAsia" w:ascii="宋体" w:hAnsi="宋体" w:cs="宋体"/>
              <w:sz w:val="24"/>
            </w:rPr>
            <w:fldChar w:fldCharType="separate"/>
          </w:r>
          <w:r>
            <w:rPr>
              <w:rFonts w:hint="eastAsia" w:ascii="宋体" w:hAnsi="宋体" w:cs="宋体"/>
              <w:sz w:val="24"/>
            </w:rPr>
            <w:t>31</w:t>
          </w:r>
          <w:r>
            <w:rPr>
              <w:rFonts w:hint="eastAsia" w:ascii="宋体" w:hAnsi="宋体" w:cs="宋体"/>
              <w:sz w:val="24"/>
            </w:rPr>
            <w:fldChar w:fldCharType="end"/>
          </w:r>
          <w:r>
            <w:rPr>
              <w:rFonts w:hint="eastAsia" w:ascii="宋体" w:hAnsi="宋体" w:cs="宋体"/>
              <w:sz w:val="24"/>
            </w:rPr>
            <w:fldChar w:fldCharType="end"/>
          </w:r>
        </w:p>
        <w:p w14:paraId="721BF154">
          <w:pPr>
            <w:pStyle w:val="53"/>
            <w:tabs>
              <w:tab w:val="right" w:leader="dot" w:pos="9746"/>
            </w:tabs>
            <w:rPr>
              <w:rFonts w:ascii="宋体" w:hAnsi="宋体" w:cs="宋体"/>
              <w:sz w:val="24"/>
            </w:rPr>
          </w:pPr>
          <w:r>
            <w:fldChar w:fldCharType="begin"/>
          </w:r>
          <w:r>
            <w:instrText xml:space="preserve"> HYPERLINK \l "_Toc29369" </w:instrText>
          </w:r>
          <w:r>
            <w:fldChar w:fldCharType="separate"/>
          </w:r>
          <w:r>
            <w:rPr>
              <w:rFonts w:hint="eastAsia" w:ascii="宋体" w:hAnsi="宋体" w:cs="宋体"/>
              <w:sz w:val="24"/>
            </w:rPr>
            <w:t>十一、其他详见合同条款</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_Toc29369 \h </w:instrText>
          </w:r>
          <w:r>
            <w:rPr>
              <w:rFonts w:hint="eastAsia" w:ascii="宋体" w:hAnsi="宋体" w:cs="宋体"/>
              <w:sz w:val="24"/>
            </w:rPr>
            <w:fldChar w:fldCharType="separate"/>
          </w:r>
          <w:r>
            <w:rPr>
              <w:rFonts w:hint="eastAsia" w:ascii="宋体" w:hAnsi="宋体" w:cs="宋体"/>
              <w:sz w:val="24"/>
            </w:rPr>
            <w:t>31</w:t>
          </w:r>
          <w:r>
            <w:rPr>
              <w:rFonts w:hint="eastAsia" w:ascii="宋体" w:hAnsi="宋体" w:cs="宋体"/>
              <w:sz w:val="24"/>
            </w:rPr>
            <w:fldChar w:fldCharType="end"/>
          </w:r>
          <w:r>
            <w:rPr>
              <w:rFonts w:hint="eastAsia" w:ascii="宋体" w:hAnsi="宋体" w:cs="宋体"/>
              <w:sz w:val="24"/>
            </w:rPr>
            <w:fldChar w:fldCharType="end"/>
          </w:r>
        </w:p>
        <w:p w14:paraId="6ABC716D">
          <w:pPr>
            <w:pStyle w:val="42"/>
            <w:tabs>
              <w:tab w:val="right" w:leader="dot" w:pos="9746"/>
            </w:tabs>
            <w:rPr>
              <w:rFonts w:ascii="宋体" w:hAnsi="宋体" w:cs="宋体"/>
              <w:sz w:val="24"/>
            </w:rPr>
          </w:pPr>
          <w:r>
            <w:fldChar w:fldCharType="begin"/>
          </w:r>
          <w:r>
            <w:instrText xml:space="preserve"> HYPERLINK \l "_Toc18359" </w:instrText>
          </w:r>
          <w:r>
            <w:fldChar w:fldCharType="separate"/>
          </w:r>
          <w:r>
            <w:rPr>
              <w:rFonts w:hint="eastAsia" w:ascii="宋体" w:hAnsi="宋体" w:cs="宋体"/>
              <w:sz w:val="24"/>
            </w:rPr>
            <w:t>第四部分 评审办法</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_Toc18359 \h </w:instrText>
          </w:r>
          <w:r>
            <w:rPr>
              <w:rFonts w:hint="eastAsia" w:ascii="宋体" w:hAnsi="宋体" w:cs="宋体"/>
              <w:sz w:val="24"/>
            </w:rPr>
            <w:fldChar w:fldCharType="separate"/>
          </w:r>
          <w:r>
            <w:rPr>
              <w:rFonts w:hint="eastAsia" w:ascii="宋体" w:hAnsi="宋体" w:cs="宋体"/>
              <w:sz w:val="24"/>
            </w:rPr>
            <w:t>32</w:t>
          </w:r>
          <w:r>
            <w:rPr>
              <w:rFonts w:hint="eastAsia" w:ascii="宋体" w:hAnsi="宋体" w:cs="宋体"/>
              <w:sz w:val="24"/>
            </w:rPr>
            <w:fldChar w:fldCharType="end"/>
          </w:r>
          <w:r>
            <w:rPr>
              <w:rFonts w:hint="eastAsia" w:ascii="宋体" w:hAnsi="宋体" w:cs="宋体"/>
              <w:sz w:val="24"/>
            </w:rPr>
            <w:fldChar w:fldCharType="end"/>
          </w:r>
        </w:p>
        <w:p w14:paraId="40F2FC21">
          <w:pPr>
            <w:pStyle w:val="53"/>
            <w:tabs>
              <w:tab w:val="right" w:leader="dot" w:pos="9746"/>
            </w:tabs>
            <w:rPr>
              <w:rFonts w:ascii="宋体" w:hAnsi="宋体" w:cs="宋体"/>
              <w:sz w:val="24"/>
            </w:rPr>
          </w:pPr>
          <w:r>
            <w:fldChar w:fldCharType="begin"/>
          </w:r>
          <w:r>
            <w:instrText xml:space="preserve"> HYPERLINK \l "_Toc19947" </w:instrText>
          </w:r>
          <w:r>
            <w:fldChar w:fldCharType="separate"/>
          </w:r>
          <w:r>
            <w:rPr>
              <w:rFonts w:hint="eastAsia" w:ascii="宋体" w:hAnsi="宋体" w:cs="宋体"/>
              <w:sz w:val="24"/>
            </w:rPr>
            <w:t>评审办法前附表</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_Toc19947 \h </w:instrText>
          </w:r>
          <w:r>
            <w:rPr>
              <w:rFonts w:hint="eastAsia" w:ascii="宋体" w:hAnsi="宋体" w:cs="宋体"/>
              <w:sz w:val="24"/>
            </w:rPr>
            <w:fldChar w:fldCharType="separate"/>
          </w:r>
          <w:r>
            <w:rPr>
              <w:rFonts w:hint="eastAsia" w:ascii="宋体" w:hAnsi="宋体" w:cs="宋体"/>
              <w:sz w:val="24"/>
            </w:rPr>
            <w:t>32</w:t>
          </w:r>
          <w:r>
            <w:rPr>
              <w:rFonts w:hint="eastAsia" w:ascii="宋体" w:hAnsi="宋体" w:cs="宋体"/>
              <w:sz w:val="24"/>
            </w:rPr>
            <w:fldChar w:fldCharType="end"/>
          </w:r>
          <w:r>
            <w:rPr>
              <w:rFonts w:hint="eastAsia" w:ascii="宋体" w:hAnsi="宋体" w:cs="宋体"/>
              <w:sz w:val="24"/>
            </w:rPr>
            <w:fldChar w:fldCharType="end"/>
          </w:r>
        </w:p>
        <w:p w14:paraId="7E5AAFDC">
          <w:pPr>
            <w:pStyle w:val="53"/>
            <w:tabs>
              <w:tab w:val="right" w:leader="dot" w:pos="9746"/>
            </w:tabs>
            <w:rPr>
              <w:rFonts w:ascii="宋体" w:hAnsi="宋体" w:cs="宋体"/>
              <w:sz w:val="24"/>
            </w:rPr>
          </w:pPr>
          <w:r>
            <w:fldChar w:fldCharType="begin"/>
          </w:r>
          <w:r>
            <w:instrText xml:space="preserve"> HYPERLINK \l "_Toc7261" </w:instrText>
          </w:r>
          <w:r>
            <w:fldChar w:fldCharType="separate"/>
          </w:r>
          <w:r>
            <w:rPr>
              <w:rFonts w:hint="eastAsia" w:ascii="宋体" w:hAnsi="宋体" w:cs="宋体"/>
              <w:sz w:val="24"/>
            </w:rPr>
            <w:t>一、评审方法</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_Toc7261 \h </w:instrText>
          </w:r>
          <w:r>
            <w:rPr>
              <w:rFonts w:hint="eastAsia" w:ascii="宋体" w:hAnsi="宋体" w:cs="宋体"/>
              <w:sz w:val="24"/>
            </w:rPr>
            <w:fldChar w:fldCharType="separate"/>
          </w:r>
          <w:r>
            <w:rPr>
              <w:rFonts w:hint="eastAsia" w:ascii="宋体" w:hAnsi="宋体" w:cs="宋体"/>
              <w:sz w:val="24"/>
            </w:rPr>
            <w:t>35</w:t>
          </w:r>
          <w:r>
            <w:rPr>
              <w:rFonts w:hint="eastAsia" w:ascii="宋体" w:hAnsi="宋体" w:cs="宋体"/>
              <w:sz w:val="24"/>
            </w:rPr>
            <w:fldChar w:fldCharType="end"/>
          </w:r>
          <w:r>
            <w:rPr>
              <w:rFonts w:hint="eastAsia" w:ascii="宋体" w:hAnsi="宋体" w:cs="宋体"/>
              <w:sz w:val="24"/>
            </w:rPr>
            <w:fldChar w:fldCharType="end"/>
          </w:r>
        </w:p>
        <w:p w14:paraId="4A8CC89D">
          <w:pPr>
            <w:pStyle w:val="53"/>
            <w:tabs>
              <w:tab w:val="right" w:leader="dot" w:pos="9746"/>
            </w:tabs>
            <w:rPr>
              <w:rFonts w:ascii="宋体" w:hAnsi="宋体" w:cs="宋体"/>
              <w:sz w:val="24"/>
            </w:rPr>
          </w:pPr>
          <w:r>
            <w:fldChar w:fldCharType="begin"/>
          </w:r>
          <w:r>
            <w:instrText xml:space="preserve"> HYPERLINK \l "_Toc12610" </w:instrText>
          </w:r>
          <w:r>
            <w:fldChar w:fldCharType="separate"/>
          </w:r>
          <w:r>
            <w:rPr>
              <w:rFonts w:hint="eastAsia" w:ascii="宋体" w:hAnsi="宋体" w:cs="宋体"/>
              <w:sz w:val="24"/>
            </w:rPr>
            <w:t>二、评审标准</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_Toc12610 \h </w:instrText>
          </w:r>
          <w:r>
            <w:rPr>
              <w:rFonts w:hint="eastAsia" w:ascii="宋体" w:hAnsi="宋体" w:cs="宋体"/>
              <w:sz w:val="24"/>
            </w:rPr>
            <w:fldChar w:fldCharType="separate"/>
          </w:r>
          <w:r>
            <w:rPr>
              <w:rFonts w:hint="eastAsia" w:ascii="宋体" w:hAnsi="宋体" w:cs="宋体"/>
              <w:sz w:val="24"/>
            </w:rPr>
            <w:t>35</w:t>
          </w:r>
          <w:r>
            <w:rPr>
              <w:rFonts w:hint="eastAsia" w:ascii="宋体" w:hAnsi="宋体" w:cs="宋体"/>
              <w:sz w:val="24"/>
            </w:rPr>
            <w:fldChar w:fldCharType="end"/>
          </w:r>
          <w:r>
            <w:rPr>
              <w:rFonts w:hint="eastAsia" w:ascii="宋体" w:hAnsi="宋体" w:cs="宋体"/>
              <w:sz w:val="24"/>
            </w:rPr>
            <w:fldChar w:fldCharType="end"/>
          </w:r>
        </w:p>
        <w:p w14:paraId="3104DDD4">
          <w:pPr>
            <w:pStyle w:val="53"/>
            <w:tabs>
              <w:tab w:val="right" w:leader="dot" w:pos="9746"/>
            </w:tabs>
            <w:rPr>
              <w:rFonts w:ascii="宋体" w:hAnsi="宋体" w:cs="宋体"/>
              <w:sz w:val="24"/>
            </w:rPr>
          </w:pPr>
          <w:r>
            <w:fldChar w:fldCharType="begin"/>
          </w:r>
          <w:r>
            <w:instrText xml:space="preserve"> HYPERLINK \l "_Toc25188" </w:instrText>
          </w:r>
          <w:r>
            <w:fldChar w:fldCharType="separate"/>
          </w:r>
          <w:r>
            <w:rPr>
              <w:rFonts w:hint="eastAsia" w:ascii="宋体" w:hAnsi="宋体" w:cs="宋体"/>
              <w:sz w:val="24"/>
            </w:rPr>
            <w:t>三、评审程序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_Toc25188 \h </w:instrText>
          </w:r>
          <w:r>
            <w:rPr>
              <w:rFonts w:hint="eastAsia" w:ascii="宋体" w:hAnsi="宋体" w:cs="宋体"/>
              <w:sz w:val="24"/>
            </w:rPr>
            <w:fldChar w:fldCharType="separate"/>
          </w:r>
          <w:r>
            <w:rPr>
              <w:rFonts w:hint="eastAsia" w:ascii="宋体" w:hAnsi="宋体" w:cs="宋体"/>
              <w:sz w:val="24"/>
            </w:rPr>
            <w:t>35</w:t>
          </w:r>
          <w:r>
            <w:rPr>
              <w:rFonts w:hint="eastAsia" w:ascii="宋体" w:hAnsi="宋体" w:cs="宋体"/>
              <w:sz w:val="24"/>
            </w:rPr>
            <w:fldChar w:fldCharType="end"/>
          </w:r>
          <w:r>
            <w:rPr>
              <w:rFonts w:hint="eastAsia" w:ascii="宋体" w:hAnsi="宋体" w:cs="宋体"/>
              <w:sz w:val="24"/>
            </w:rPr>
            <w:fldChar w:fldCharType="end"/>
          </w:r>
        </w:p>
        <w:p w14:paraId="77CC7C36">
          <w:pPr>
            <w:pStyle w:val="53"/>
            <w:tabs>
              <w:tab w:val="right" w:leader="dot" w:pos="9746"/>
            </w:tabs>
            <w:rPr>
              <w:rFonts w:ascii="宋体" w:hAnsi="宋体" w:cs="宋体"/>
              <w:sz w:val="24"/>
            </w:rPr>
          </w:pPr>
          <w:r>
            <w:fldChar w:fldCharType="begin"/>
          </w:r>
          <w:r>
            <w:instrText xml:space="preserve"> HYPERLINK \l "_Toc249" </w:instrText>
          </w:r>
          <w:r>
            <w:fldChar w:fldCharType="separate"/>
          </w:r>
          <w:r>
            <w:rPr>
              <w:rFonts w:hint="eastAsia" w:ascii="宋体" w:hAnsi="宋体" w:cs="宋体"/>
              <w:sz w:val="24"/>
            </w:rPr>
            <w:t>四、评审中的其他事项</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_Toc249 \h </w:instrText>
          </w:r>
          <w:r>
            <w:rPr>
              <w:rFonts w:hint="eastAsia" w:ascii="宋体" w:hAnsi="宋体" w:cs="宋体"/>
              <w:sz w:val="24"/>
            </w:rPr>
            <w:fldChar w:fldCharType="separate"/>
          </w:r>
          <w:r>
            <w:rPr>
              <w:rFonts w:hint="eastAsia" w:ascii="宋体" w:hAnsi="宋体" w:cs="宋体"/>
              <w:sz w:val="24"/>
            </w:rPr>
            <w:t>37</w:t>
          </w:r>
          <w:r>
            <w:rPr>
              <w:rFonts w:hint="eastAsia" w:ascii="宋体" w:hAnsi="宋体" w:cs="宋体"/>
              <w:sz w:val="24"/>
            </w:rPr>
            <w:fldChar w:fldCharType="end"/>
          </w:r>
          <w:r>
            <w:rPr>
              <w:rFonts w:hint="eastAsia" w:ascii="宋体" w:hAnsi="宋体" w:cs="宋体"/>
              <w:sz w:val="24"/>
            </w:rPr>
            <w:fldChar w:fldCharType="end"/>
          </w:r>
        </w:p>
        <w:p w14:paraId="2B952713">
          <w:pPr>
            <w:pStyle w:val="42"/>
            <w:tabs>
              <w:tab w:val="right" w:leader="dot" w:pos="9746"/>
            </w:tabs>
            <w:rPr>
              <w:rFonts w:ascii="宋体" w:hAnsi="宋体" w:cs="宋体"/>
              <w:sz w:val="24"/>
            </w:rPr>
          </w:pPr>
          <w:r>
            <w:fldChar w:fldCharType="begin"/>
          </w:r>
          <w:r>
            <w:instrText xml:space="preserve"> HYPERLINK \l "_Toc19193" </w:instrText>
          </w:r>
          <w:r>
            <w:fldChar w:fldCharType="separate"/>
          </w:r>
          <w:r>
            <w:rPr>
              <w:rFonts w:hint="eastAsia" w:ascii="宋体" w:hAnsi="宋体" w:cs="宋体"/>
              <w:sz w:val="24"/>
            </w:rPr>
            <w:t>第五部分 拟签订的合同文本</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_Toc19193 \h </w:instrText>
          </w:r>
          <w:r>
            <w:rPr>
              <w:rFonts w:hint="eastAsia" w:ascii="宋体" w:hAnsi="宋体" w:cs="宋体"/>
              <w:sz w:val="24"/>
            </w:rPr>
            <w:fldChar w:fldCharType="separate"/>
          </w:r>
          <w:r>
            <w:rPr>
              <w:rFonts w:hint="eastAsia" w:ascii="宋体" w:hAnsi="宋体" w:cs="宋体"/>
              <w:sz w:val="24"/>
            </w:rPr>
            <w:t>40</w:t>
          </w:r>
          <w:r>
            <w:rPr>
              <w:rFonts w:hint="eastAsia" w:ascii="宋体" w:hAnsi="宋体" w:cs="宋体"/>
              <w:sz w:val="24"/>
            </w:rPr>
            <w:fldChar w:fldCharType="end"/>
          </w:r>
          <w:r>
            <w:rPr>
              <w:rFonts w:hint="eastAsia" w:ascii="宋体" w:hAnsi="宋体" w:cs="宋体"/>
              <w:sz w:val="24"/>
            </w:rPr>
            <w:fldChar w:fldCharType="end"/>
          </w:r>
        </w:p>
        <w:p w14:paraId="72CD443C">
          <w:pPr>
            <w:pStyle w:val="53"/>
            <w:tabs>
              <w:tab w:val="right" w:leader="dot" w:pos="9746"/>
            </w:tabs>
            <w:rPr>
              <w:rFonts w:ascii="宋体" w:hAnsi="宋体" w:cs="宋体"/>
              <w:sz w:val="24"/>
            </w:rPr>
          </w:pPr>
          <w:r>
            <w:fldChar w:fldCharType="begin"/>
          </w:r>
          <w:r>
            <w:instrText xml:space="preserve"> HYPERLINK \l "_Toc2223" </w:instrText>
          </w:r>
          <w:r>
            <w:fldChar w:fldCharType="separate"/>
          </w:r>
          <w:r>
            <w:rPr>
              <w:rFonts w:hint="eastAsia" w:ascii="宋体" w:hAnsi="宋体" w:cs="宋体"/>
              <w:sz w:val="24"/>
            </w:rPr>
            <w:t>第一部分 合同协议书</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_Toc2223 \h </w:instrText>
          </w:r>
          <w:r>
            <w:rPr>
              <w:rFonts w:hint="eastAsia" w:ascii="宋体" w:hAnsi="宋体" w:cs="宋体"/>
              <w:sz w:val="24"/>
            </w:rPr>
            <w:fldChar w:fldCharType="separate"/>
          </w:r>
          <w:r>
            <w:rPr>
              <w:rFonts w:hint="eastAsia" w:ascii="宋体" w:hAnsi="宋体" w:cs="宋体"/>
              <w:sz w:val="24"/>
            </w:rPr>
            <w:t>40</w:t>
          </w:r>
          <w:r>
            <w:rPr>
              <w:rFonts w:hint="eastAsia" w:ascii="宋体" w:hAnsi="宋体" w:cs="宋体"/>
              <w:sz w:val="24"/>
            </w:rPr>
            <w:fldChar w:fldCharType="end"/>
          </w:r>
          <w:r>
            <w:rPr>
              <w:rFonts w:hint="eastAsia" w:ascii="宋体" w:hAnsi="宋体" w:cs="宋体"/>
              <w:sz w:val="24"/>
            </w:rPr>
            <w:fldChar w:fldCharType="end"/>
          </w:r>
        </w:p>
        <w:p w14:paraId="3B7CA03C">
          <w:pPr>
            <w:pStyle w:val="53"/>
            <w:tabs>
              <w:tab w:val="right" w:leader="dot" w:pos="9746"/>
            </w:tabs>
            <w:rPr>
              <w:rFonts w:ascii="宋体" w:hAnsi="宋体" w:cs="宋体"/>
              <w:sz w:val="24"/>
            </w:rPr>
          </w:pPr>
          <w:r>
            <w:fldChar w:fldCharType="begin"/>
          </w:r>
          <w:r>
            <w:instrText xml:space="preserve"> HYPERLINK \l "_Toc5535" </w:instrText>
          </w:r>
          <w:r>
            <w:fldChar w:fldCharType="separate"/>
          </w:r>
          <w:r>
            <w:rPr>
              <w:rFonts w:hint="eastAsia" w:ascii="宋体" w:hAnsi="宋体" w:cs="宋体"/>
              <w:sz w:val="24"/>
            </w:rPr>
            <w:t>第二部分 通用合同条款（略)</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_Toc5535 \h </w:instrText>
          </w:r>
          <w:r>
            <w:rPr>
              <w:rFonts w:hint="eastAsia" w:ascii="宋体" w:hAnsi="宋体" w:cs="宋体"/>
              <w:sz w:val="24"/>
            </w:rPr>
            <w:fldChar w:fldCharType="separate"/>
          </w:r>
          <w:r>
            <w:rPr>
              <w:rFonts w:hint="eastAsia" w:ascii="宋体" w:hAnsi="宋体" w:cs="宋体"/>
              <w:sz w:val="24"/>
            </w:rPr>
            <w:t>43</w:t>
          </w:r>
          <w:r>
            <w:rPr>
              <w:rFonts w:hint="eastAsia" w:ascii="宋体" w:hAnsi="宋体" w:cs="宋体"/>
              <w:sz w:val="24"/>
            </w:rPr>
            <w:fldChar w:fldCharType="end"/>
          </w:r>
          <w:r>
            <w:rPr>
              <w:rFonts w:hint="eastAsia" w:ascii="宋体" w:hAnsi="宋体" w:cs="宋体"/>
              <w:sz w:val="24"/>
            </w:rPr>
            <w:fldChar w:fldCharType="end"/>
          </w:r>
        </w:p>
        <w:p w14:paraId="72C3DB22">
          <w:pPr>
            <w:pStyle w:val="53"/>
            <w:tabs>
              <w:tab w:val="right" w:leader="dot" w:pos="9746"/>
            </w:tabs>
            <w:rPr>
              <w:rFonts w:ascii="宋体" w:hAnsi="宋体" w:cs="宋体"/>
              <w:sz w:val="24"/>
            </w:rPr>
          </w:pPr>
          <w:r>
            <w:fldChar w:fldCharType="begin"/>
          </w:r>
          <w:r>
            <w:instrText xml:space="preserve"> HYPERLINK \l "_Toc4361" </w:instrText>
          </w:r>
          <w:r>
            <w:fldChar w:fldCharType="separate"/>
          </w:r>
          <w:r>
            <w:rPr>
              <w:rFonts w:hint="eastAsia" w:ascii="宋体" w:hAnsi="宋体" w:cs="宋体"/>
              <w:sz w:val="24"/>
            </w:rPr>
            <w:t>第三部分 专用合同条款</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_Toc4361 \h </w:instrText>
          </w:r>
          <w:r>
            <w:rPr>
              <w:rFonts w:hint="eastAsia" w:ascii="宋体" w:hAnsi="宋体" w:cs="宋体"/>
              <w:sz w:val="24"/>
            </w:rPr>
            <w:fldChar w:fldCharType="separate"/>
          </w:r>
          <w:r>
            <w:rPr>
              <w:rFonts w:hint="eastAsia" w:ascii="宋体" w:hAnsi="宋体" w:cs="宋体"/>
              <w:sz w:val="24"/>
            </w:rPr>
            <w:t>43</w:t>
          </w:r>
          <w:r>
            <w:rPr>
              <w:rFonts w:hint="eastAsia" w:ascii="宋体" w:hAnsi="宋体" w:cs="宋体"/>
              <w:sz w:val="24"/>
            </w:rPr>
            <w:fldChar w:fldCharType="end"/>
          </w:r>
          <w:r>
            <w:rPr>
              <w:rFonts w:hint="eastAsia" w:ascii="宋体" w:hAnsi="宋体" w:cs="宋体"/>
              <w:sz w:val="24"/>
            </w:rPr>
            <w:fldChar w:fldCharType="end"/>
          </w:r>
        </w:p>
        <w:p w14:paraId="590AC5F9">
          <w:pPr>
            <w:pStyle w:val="42"/>
            <w:tabs>
              <w:tab w:val="right" w:leader="dot" w:pos="9746"/>
            </w:tabs>
            <w:rPr>
              <w:rFonts w:ascii="宋体" w:hAnsi="宋体" w:cs="宋体"/>
              <w:sz w:val="24"/>
            </w:rPr>
          </w:pPr>
          <w:r>
            <w:fldChar w:fldCharType="begin"/>
          </w:r>
          <w:r>
            <w:instrText xml:space="preserve"> HYPERLINK \l "_Toc6863" </w:instrText>
          </w:r>
          <w:r>
            <w:fldChar w:fldCharType="separate"/>
          </w:r>
          <w:r>
            <w:rPr>
              <w:rFonts w:hint="eastAsia" w:ascii="宋体" w:hAnsi="宋体" w:cs="宋体"/>
              <w:sz w:val="24"/>
            </w:rPr>
            <w:t>第六部分 应提交的有关格式范例</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_Toc6863 \h </w:instrText>
          </w:r>
          <w:r>
            <w:rPr>
              <w:rFonts w:hint="eastAsia" w:ascii="宋体" w:hAnsi="宋体" w:cs="宋体"/>
              <w:sz w:val="24"/>
            </w:rPr>
            <w:fldChar w:fldCharType="separate"/>
          </w:r>
          <w:r>
            <w:rPr>
              <w:rFonts w:hint="eastAsia" w:ascii="宋体" w:hAnsi="宋体" w:cs="宋体"/>
              <w:sz w:val="24"/>
            </w:rPr>
            <w:t>77</w:t>
          </w:r>
          <w:r>
            <w:rPr>
              <w:rFonts w:hint="eastAsia" w:ascii="宋体" w:hAnsi="宋体" w:cs="宋体"/>
              <w:sz w:val="24"/>
            </w:rPr>
            <w:fldChar w:fldCharType="end"/>
          </w:r>
          <w:r>
            <w:rPr>
              <w:rFonts w:hint="eastAsia" w:ascii="宋体" w:hAnsi="宋体" w:cs="宋体"/>
              <w:sz w:val="24"/>
            </w:rPr>
            <w:fldChar w:fldCharType="end"/>
          </w:r>
        </w:p>
        <w:p w14:paraId="46FA625E">
          <w:pPr>
            <w:pStyle w:val="53"/>
            <w:tabs>
              <w:tab w:val="right" w:leader="dot" w:pos="9746"/>
            </w:tabs>
            <w:rPr>
              <w:rFonts w:ascii="宋体" w:hAnsi="宋体" w:cs="宋体"/>
              <w:sz w:val="24"/>
            </w:rPr>
          </w:pPr>
          <w:r>
            <w:fldChar w:fldCharType="begin"/>
          </w:r>
          <w:r>
            <w:instrText xml:space="preserve"> HYPERLINK \l "_Toc8541" </w:instrText>
          </w:r>
          <w:r>
            <w:fldChar w:fldCharType="separate"/>
          </w:r>
          <w:r>
            <w:rPr>
              <w:rFonts w:hint="eastAsia" w:ascii="宋体" w:hAnsi="宋体" w:cs="宋体"/>
              <w:kern w:val="0"/>
              <w:sz w:val="24"/>
            </w:rPr>
            <w:t>资格文件部分</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_Toc8541 \h </w:instrText>
          </w:r>
          <w:r>
            <w:rPr>
              <w:rFonts w:hint="eastAsia" w:ascii="宋体" w:hAnsi="宋体" w:cs="宋体"/>
              <w:sz w:val="24"/>
            </w:rPr>
            <w:fldChar w:fldCharType="separate"/>
          </w:r>
          <w:r>
            <w:rPr>
              <w:rFonts w:hint="eastAsia" w:ascii="宋体" w:hAnsi="宋体" w:cs="宋体"/>
              <w:sz w:val="24"/>
            </w:rPr>
            <w:t>77</w:t>
          </w:r>
          <w:r>
            <w:rPr>
              <w:rFonts w:hint="eastAsia" w:ascii="宋体" w:hAnsi="宋体" w:cs="宋体"/>
              <w:sz w:val="24"/>
            </w:rPr>
            <w:fldChar w:fldCharType="end"/>
          </w:r>
          <w:r>
            <w:rPr>
              <w:rFonts w:hint="eastAsia" w:ascii="宋体" w:hAnsi="宋体" w:cs="宋体"/>
              <w:sz w:val="24"/>
            </w:rPr>
            <w:fldChar w:fldCharType="end"/>
          </w:r>
        </w:p>
        <w:p w14:paraId="6A4AA344">
          <w:pPr>
            <w:pStyle w:val="53"/>
            <w:tabs>
              <w:tab w:val="right" w:leader="dot" w:pos="9746"/>
            </w:tabs>
            <w:rPr>
              <w:rFonts w:ascii="宋体" w:hAnsi="宋体" w:cs="宋体"/>
              <w:sz w:val="24"/>
            </w:rPr>
          </w:pPr>
          <w:r>
            <w:fldChar w:fldCharType="begin"/>
          </w:r>
          <w:r>
            <w:instrText xml:space="preserve"> HYPERLINK \l "_Toc22017" </w:instrText>
          </w:r>
          <w:r>
            <w:fldChar w:fldCharType="separate"/>
          </w:r>
          <w:r>
            <w:rPr>
              <w:rFonts w:hint="eastAsia" w:ascii="宋体" w:hAnsi="宋体" w:cs="宋体"/>
              <w:kern w:val="0"/>
              <w:sz w:val="24"/>
            </w:rPr>
            <w:t>商务技术文件部分</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_Toc22017 \h </w:instrText>
          </w:r>
          <w:r>
            <w:rPr>
              <w:rFonts w:hint="eastAsia" w:ascii="宋体" w:hAnsi="宋体" w:cs="宋体"/>
              <w:sz w:val="24"/>
            </w:rPr>
            <w:fldChar w:fldCharType="separate"/>
          </w:r>
          <w:r>
            <w:rPr>
              <w:rFonts w:hint="eastAsia" w:ascii="宋体" w:hAnsi="宋体" w:cs="宋体"/>
              <w:sz w:val="24"/>
            </w:rPr>
            <w:t>81</w:t>
          </w:r>
          <w:r>
            <w:rPr>
              <w:rFonts w:hint="eastAsia" w:ascii="宋体" w:hAnsi="宋体" w:cs="宋体"/>
              <w:sz w:val="24"/>
            </w:rPr>
            <w:fldChar w:fldCharType="end"/>
          </w:r>
          <w:r>
            <w:rPr>
              <w:rFonts w:hint="eastAsia" w:ascii="宋体" w:hAnsi="宋体" w:cs="宋体"/>
              <w:sz w:val="24"/>
            </w:rPr>
            <w:fldChar w:fldCharType="end"/>
          </w:r>
        </w:p>
        <w:p w14:paraId="7D2C4A1F">
          <w:pPr>
            <w:pStyle w:val="53"/>
            <w:tabs>
              <w:tab w:val="right" w:leader="dot" w:pos="9746"/>
            </w:tabs>
            <w:rPr>
              <w:rFonts w:ascii="宋体" w:hAnsi="宋体" w:cs="宋体"/>
              <w:sz w:val="24"/>
            </w:rPr>
          </w:pPr>
          <w:r>
            <w:fldChar w:fldCharType="begin"/>
          </w:r>
          <w:r>
            <w:instrText xml:space="preserve"> HYPERLINK \l "_Toc16346" </w:instrText>
          </w:r>
          <w:r>
            <w:fldChar w:fldCharType="separate"/>
          </w:r>
          <w:r>
            <w:rPr>
              <w:rFonts w:hint="eastAsia" w:ascii="宋体" w:hAnsi="宋体" w:cs="宋体"/>
              <w:kern w:val="0"/>
              <w:sz w:val="24"/>
            </w:rPr>
            <w:t>报价文件部分</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_Toc16346 \h </w:instrText>
          </w:r>
          <w:r>
            <w:rPr>
              <w:rFonts w:hint="eastAsia" w:ascii="宋体" w:hAnsi="宋体" w:cs="宋体"/>
              <w:sz w:val="24"/>
            </w:rPr>
            <w:fldChar w:fldCharType="separate"/>
          </w:r>
          <w:r>
            <w:rPr>
              <w:rFonts w:hint="eastAsia" w:ascii="宋体" w:hAnsi="宋体" w:cs="宋体"/>
              <w:sz w:val="24"/>
            </w:rPr>
            <w:t>89</w:t>
          </w:r>
          <w:r>
            <w:rPr>
              <w:rFonts w:hint="eastAsia" w:ascii="宋体" w:hAnsi="宋体" w:cs="宋体"/>
              <w:sz w:val="24"/>
            </w:rPr>
            <w:fldChar w:fldCharType="end"/>
          </w:r>
          <w:r>
            <w:rPr>
              <w:rFonts w:hint="eastAsia" w:ascii="宋体" w:hAnsi="宋体" w:cs="宋体"/>
              <w:sz w:val="24"/>
            </w:rPr>
            <w:fldChar w:fldCharType="end"/>
          </w:r>
        </w:p>
        <w:p w14:paraId="2A7EE42C">
          <w:pPr>
            <w:pStyle w:val="42"/>
            <w:tabs>
              <w:tab w:val="right" w:leader="dot" w:pos="9746"/>
            </w:tabs>
            <w:rPr>
              <w:rFonts w:ascii="宋体" w:hAnsi="宋体" w:cs="宋体"/>
              <w:sz w:val="24"/>
            </w:rPr>
          </w:pPr>
          <w:r>
            <w:fldChar w:fldCharType="begin"/>
          </w:r>
          <w:r>
            <w:instrText xml:space="preserve"> HYPERLINK \l "_Toc21218" </w:instrText>
          </w:r>
          <w:r>
            <w:fldChar w:fldCharType="separate"/>
          </w:r>
          <w:r>
            <w:rPr>
              <w:rFonts w:hint="eastAsia" w:ascii="宋体" w:hAnsi="宋体" w:cs="宋体"/>
              <w:sz w:val="24"/>
            </w:rPr>
            <w:t>附件</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_Toc21218 \h </w:instrText>
          </w:r>
          <w:r>
            <w:rPr>
              <w:rFonts w:hint="eastAsia" w:ascii="宋体" w:hAnsi="宋体" w:cs="宋体"/>
              <w:sz w:val="24"/>
            </w:rPr>
            <w:fldChar w:fldCharType="separate"/>
          </w:r>
          <w:r>
            <w:rPr>
              <w:rFonts w:hint="eastAsia" w:ascii="宋体" w:hAnsi="宋体" w:cs="宋体"/>
              <w:sz w:val="24"/>
            </w:rPr>
            <w:t>92</w:t>
          </w:r>
          <w:r>
            <w:rPr>
              <w:rFonts w:hint="eastAsia" w:ascii="宋体" w:hAnsi="宋体" w:cs="宋体"/>
              <w:sz w:val="24"/>
            </w:rPr>
            <w:fldChar w:fldCharType="end"/>
          </w:r>
          <w:r>
            <w:rPr>
              <w:rFonts w:hint="eastAsia" w:ascii="宋体" w:hAnsi="宋体" w:cs="宋体"/>
              <w:sz w:val="24"/>
            </w:rPr>
            <w:fldChar w:fldCharType="end"/>
          </w:r>
        </w:p>
        <w:p w14:paraId="029A4F13">
          <w:pPr>
            <w:spacing w:line="360" w:lineRule="auto"/>
          </w:pPr>
          <w:r>
            <w:rPr>
              <w:rFonts w:hint="eastAsia" w:ascii="宋体" w:hAnsi="宋体" w:cs="宋体"/>
              <w:color w:val="000000" w:themeColor="text1"/>
              <w:sz w:val="24"/>
              <w14:textFill>
                <w14:solidFill>
                  <w14:schemeClr w14:val="tx1"/>
                </w14:solidFill>
              </w14:textFill>
            </w:rPr>
            <w:fldChar w:fldCharType="end"/>
          </w:r>
        </w:p>
      </w:sdtContent>
    </w:sdt>
    <w:p w14:paraId="466B811E">
      <w:pPr>
        <w:spacing w:line="360" w:lineRule="auto"/>
        <w:jc w:val="center"/>
        <w:outlineLvl w:val="0"/>
        <w:rPr>
          <w:rFonts w:ascii="宋体" w:hAnsi="宋体" w:cs="宋体"/>
          <w:b/>
          <w:color w:val="000000" w:themeColor="text1"/>
          <w:sz w:val="36"/>
          <w:szCs w:val="20"/>
          <w14:textFill>
            <w14:solidFill>
              <w14:schemeClr w14:val="tx1"/>
            </w14:solidFill>
          </w14:textFill>
        </w:rPr>
      </w:pPr>
      <w:bookmarkStart w:id="1" w:name="_Hlt74729822"/>
      <w:bookmarkEnd w:id="1"/>
      <w:bookmarkStart w:id="2" w:name="_Hlt74649545"/>
      <w:bookmarkEnd w:id="2"/>
      <w:bookmarkStart w:id="3" w:name="_Hlt91233176"/>
      <w:bookmarkEnd w:id="3"/>
      <w:bookmarkStart w:id="4" w:name="_Hlt74728647"/>
      <w:bookmarkEnd w:id="4"/>
      <w:bookmarkStart w:id="5" w:name="_Hlt74707423"/>
      <w:bookmarkEnd w:id="5"/>
      <w:bookmarkStart w:id="6" w:name="_Toc12771"/>
      <w:bookmarkStart w:id="7" w:name="第二部分"/>
      <w:bookmarkStart w:id="8" w:name="_Toc91899870"/>
      <w:bookmarkStart w:id="9" w:name="_Toc91899871"/>
      <w:r>
        <w:rPr>
          <w:rFonts w:hint="eastAsia" w:ascii="宋体" w:hAnsi="宋体" w:cs="宋体"/>
          <w:b/>
          <w:color w:val="000000" w:themeColor="text1"/>
          <w:sz w:val="36"/>
          <w:szCs w:val="20"/>
          <w14:textFill>
            <w14:solidFill>
              <w14:schemeClr w14:val="tx1"/>
            </w14:solidFill>
          </w14:textFill>
        </w:rPr>
        <w:t>第一部分 竞争性磋商公告</w:t>
      </w:r>
      <w:bookmarkEnd w:id="6"/>
    </w:p>
    <w:p w14:paraId="4D9406A1">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p w14:paraId="0EBAD303">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浙江中医药大学富春校区体育场地修缮工程</w:t>
      </w:r>
      <w:r>
        <w:rPr>
          <w:rFonts w:hint="eastAsia" w:ascii="宋体" w:hAnsi="宋体" w:cs="宋体"/>
          <w:color w:val="000000" w:themeColor="text1"/>
          <w:sz w:val="24"/>
          <w14:textFill>
            <w14:solidFill>
              <w14:schemeClr w14:val="tx1"/>
            </w14:solidFill>
          </w14:textFill>
        </w:rPr>
        <w:t>采购项目的潜在供应商应在政采云平台（</w:t>
      </w:r>
      <w:r>
        <w:fldChar w:fldCharType="begin"/>
      </w:r>
      <w:r>
        <w:instrText xml:space="preserve"> HYPERLINK "https://www.zcygov.cn/）获取（下载）招标文件，并于2021年" </w:instrText>
      </w:r>
      <w:r>
        <w:fldChar w:fldCharType="separate"/>
      </w:r>
      <w:r>
        <w:rPr>
          <w:rStyle w:val="76"/>
          <w:rFonts w:hint="eastAsia" w:ascii="宋体" w:hAnsi="宋体" w:eastAsia="宋体" w:cs="宋体"/>
          <w:snapToGrid/>
          <w:color w:val="000000" w:themeColor="text1"/>
          <w:kern w:val="2"/>
          <w:sz w:val="24"/>
          <w:szCs w:val="24"/>
          <w14:textFill>
            <w14:solidFill>
              <w14:schemeClr w14:val="tx1"/>
            </w14:solidFill>
          </w14:textFill>
        </w:rPr>
        <w:t>https://www.zcygov.cn/）获取（下载）采购文件，并于</w:t>
      </w:r>
      <w:r>
        <w:rPr>
          <w:rFonts w:hint="eastAsia" w:ascii="宋体" w:hAnsi="宋体" w:cs="宋体"/>
          <w:color w:val="000000" w:themeColor="text1"/>
          <w:sz w:val="24"/>
          <w:u w:val="single"/>
          <w14:textFill>
            <w14:solidFill>
              <w14:schemeClr w14:val="tx1"/>
            </w14:solidFill>
          </w14:textFill>
        </w:rPr>
        <w:t>2025年</w:t>
      </w:r>
      <w:r>
        <w:rPr>
          <w:rFonts w:hint="eastAsia" w:ascii="宋体" w:hAnsi="宋体" w:cs="宋体"/>
          <w:color w:val="000000" w:themeColor="text1"/>
          <w:sz w:val="24"/>
          <w:u w:val="single"/>
          <w:lang w:eastAsia="zh-CN"/>
          <w14:textFill>
            <w14:solidFill>
              <w14:schemeClr w14:val="tx1"/>
            </w14:solidFill>
          </w14:textFill>
        </w:rPr>
        <w:t>06月11日09点30分</w:t>
      </w:r>
      <w:r>
        <w:rPr>
          <w:rFonts w:hint="eastAsia" w:ascii="宋体" w:hAnsi="宋体" w:cs="宋体"/>
          <w:bCs/>
          <w:color w:val="000000" w:themeColor="text1"/>
          <w:sz w:val="24"/>
          <w:u w:val="single"/>
          <w14:textFill>
            <w14:solidFill>
              <w14:schemeClr w14:val="tx1"/>
            </w14:solidFill>
          </w14:textFill>
        </w:rPr>
        <w:t>00秒</w:t>
      </w:r>
      <w:r>
        <w:rPr>
          <w:rFonts w:hint="eastAsia" w:ascii="宋体" w:hAnsi="宋体" w:cs="宋体"/>
          <w:bCs/>
          <w:color w:val="000000" w:themeColor="text1"/>
          <w:sz w:val="24"/>
          <w:u w:val="single"/>
          <w14:textFill>
            <w14:solidFill>
              <w14:schemeClr w14:val="tx1"/>
            </w14:solidFill>
          </w14:textFill>
        </w:rPr>
        <w:fldChar w:fldCharType="end"/>
      </w:r>
      <w:r>
        <w:rPr>
          <w:rFonts w:hint="eastAsia" w:ascii="宋体" w:hAnsi="宋体" w:cs="宋体"/>
          <w:bCs/>
          <w:color w:val="000000" w:themeColor="text1"/>
          <w:sz w:val="24"/>
          <w14:textFill>
            <w14:solidFill>
              <w14:schemeClr w14:val="tx1"/>
            </w14:solidFill>
          </w14:textFill>
        </w:rPr>
        <w:t>（北京时间）前</w:t>
      </w:r>
      <w:r>
        <w:rPr>
          <w:rFonts w:hint="eastAsia" w:ascii="宋体" w:hAnsi="宋体" w:cs="宋体"/>
          <w:color w:val="000000" w:themeColor="text1"/>
          <w:sz w:val="24"/>
          <w14:textFill>
            <w14:solidFill>
              <w14:schemeClr w14:val="tx1"/>
            </w14:solidFill>
          </w14:textFill>
        </w:rPr>
        <w:t>提交（上传）响应文件。</w:t>
      </w:r>
    </w:p>
    <w:p w14:paraId="14F8A4B1">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一、项目基本情况                                            </w:t>
      </w:r>
    </w:p>
    <w:p w14:paraId="49D0F566">
      <w:pPr>
        <w:snapToGrid w:val="0"/>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项目编号：</w:t>
      </w:r>
      <w:r>
        <w:rPr>
          <w:rFonts w:hint="eastAsia" w:ascii="宋体" w:hAnsi="宋体" w:cs="宋体"/>
          <w:color w:val="000000" w:themeColor="text1"/>
          <w:sz w:val="24"/>
          <w14:textFill>
            <w14:solidFill>
              <w14:schemeClr w14:val="tx1"/>
            </w14:solidFill>
          </w14:textFill>
        </w:rPr>
        <w:t>HSZB-2025-512</w:t>
      </w:r>
    </w:p>
    <w:p w14:paraId="51B12DD5">
      <w:pPr>
        <w:snapToGrid w:val="0"/>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浙江中医药大学富春校区体育场地修缮工程</w:t>
      </w:r>
    </w:p>
    <w:p w14:paraId="7034FCB1">
      <w:pPr>
        <w:snapToGrid w:val="0"/>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预算金额（元）：</w:t>
      </w:r>
      <w:r>
        <w:rPr>
          <w:rFonts w:hint="eastAsia" w:ascii="宋体" w:hAnsi="宋体" w:cs="宋体"/>
          <w:bCs/>
          <w:color w:val="000000" w:themeColor="text1"/>
          <w:sz w:val="24"/>
          <w14:textFill>
            <w14:solidFill>
              <w14:schemeClr w14:val="tx1"/>
            </w14:solidFill>
          </w14:textFill>
        </w:rPr>
        <w:t>3800000</w:t>
      </w:r>
      <w:r>
        <w:rPr>
          <w:rFonts w:hint="eastAsia" w:ascii="宋体" w:hAnsi="宋体" w:cs="宋体"/>
          <w:color w:val="000000" w:themeColor="text1"/>
          <w:sz w:val="24"/>
          <w14:textFill>
            <w14:solidFill>
              <w14:schemeClr w14:val="tx1"/>
            </w14:solidFill>
          </w14:textFill>
        </w:rPr>
        <w:t xml:space="preserve">  </w:t>
      </w:r>
    </w:p>
    <w:p w14:paraId="420F230B">
      <w:pPr>
        <w:snapToGrid w:val="0"/>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最高限价（元）：</w:t>
      </w:r>
      <w:r>
        <w:rPr>
          <w:rFonts w:hint="eastAsia" w:ascii="宋体" w:hAnsi="宋体" w:cs="宋体"/>
          <w:bCs/>
          <w:color w:val="000000" w:themeColor="text1"/>
          <w:sz w:val="24"/>
          <w14:textFill>
            <w14:solidFill>
              <w14:schemeClr w14:val="tx1"/>
            </w14:solidFill>
          </w14:textFill>
        </w:rPr>
        <w:t>3750000</w:t>
      </w:r>
      <w:r>
        <w:rPr>
          <w:rFonts w:hint="eastAsia" w:ascii="宋体" w:hAnsi="宋体" w:cs="宋体"/>
          <w:color w:val="000000" w:themeColor="text1"/>
          <w:sz w:val="24"/>
          <w14:textFill>
            <w14:solidFill>
              <w14:schemeClr w14:val="tx1"/>
            </w14:solidFill>
          </w14:textFill>
        </w:rPr>
        <w:t xml:space="preserve">  </w:t>
      </w:r>
    </w:p>
    <w:p w14:paraId="1ED9F5EF">
      <w:pPr>
        <w:pStyle w:val="5"/>
        <w:spacing w:line="360" w:lineRule="auto"/>
        <w:ind w:firstLine="482" w:firstLineChars="200"/>
        <w:rPr>
          <w:rFonts w:hAnsi="宋体" w:cs="宋体"/>
          <w:bCs/>
          <w:snapToGrid/>
          <w:color w:val="000000" w:themeColor="text1"/>
          <w:kern w:val="2"/>
          <w:sz w:val="24"/>
          <w:szCs w:val="24"/>
          <w14:textFill>
            <w14:solidFill>
              <w14:schemeClr w14:val="tx1"/>
            </w14:solidFill>
          </w14:textFill>
        </w:rPr>
      </w:pPr>
      <w:r>
        <w:rPr>
          <w:rFonts w:hint="eastAsia" w:hAnsi="宋体" w:cs="宋体"/>
          <w:b/>
          <w:color w:val="000000" w:themeColor="text1"/>
          <w:sz w:val="24"/>
          <w14:textFill>
            <w14:solidFill>
              <w14:schemeClr w14:val="tx1"/>
            </w14:solidFill>
          </w14:textFill>
        </w:rPr>
        <w:t>采购需求：</w:t>
      </w:r>
      <w:r>
        <w:rPr>
          <w:rFonts w:hint="eastAsia" w:hAnsi="宋体" w:cs="宋体"/>
          <w:bCs/>
          <w:snapToGrid/>
          <w:color w:val="000000" w:themeColor="text1"/>
          <w:kern w:val="2"/>
          <w:sz w:val="24"/>
          <w:szCs w:val="24"/>
          <w14:textFill>
            <w14:solidFill>
              <w14:schemeClr w14:val="tx1"/>
            </w14:solidFill>
          </w14:textFill>
        </w:rPr>
        <w:t>浙江中医药大学富春校区体育场地修缮工程主要内容：详见采购文件第三部分采购需求。</w:t>
      </w:r>
    </w:p>
    <w:p w14:paraId="2AFFB8E0">
      <w:pPr>
        <w:pStyle w:val="131"/>
        <w:snapToGrid w:val="0"/>
        <w:spacing w:before="0"/>
        <w:ind w:firstLine="482"/>
        <w:rPr>
          <w:rFonts w:ascii="宋体" w:hAnsi="宋体" w:cs="宋体"/>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合同履约期限：</w:t>
      </w:r>
      <w:r>
        <w:rPr>
          <w:rFonts w:hint="eastAsia" w:asciiTheme="minorEastAsia" w:hAnsiTheme="minorEastAsia" w:eastAsiaTheme="minorEastAsia"/>
          <w:color w:val="000000" w:themeColor="text1"/>
          <w14:textFill>
            <w14:solidFill>
              <w14:schemeClr w14:val="tx1"/>
            </w14:solidFill>
          </w14:textFill>
        </w:rPr>
        <w:t>工期：60日历天。</w:t>
      </w:r>
    </w:p>
    <w:p w14:paraId="26AB5E2B">
      <w:pPr>
        <w:pStyle w:val="5"/>
        <w:spacing w:line="360" w:lineRule="auto"/>
        <w:ind w:firstLine="482" w:firstLineChars="200"/>
        <w:rPr>
          <w:rFonts w:hAnsi="宋体" w:cs="宋体"/>
          <w:b/>
          <w:color w:val="000000" w:themeColor="text1"/>
          <w:sz w:val="24"/>
          <w14:textFill>
            <w14:solidFill>
              <w14:schemeClr w14:val="tx1"/>
            </w14:solidFill>
          </w14:textFill>
        </w:rPr>
      </w:pPr>
      <w:r>
        <w:rPr>
          <w:rFonts w:hint="eastAsia" w:hAnsi="宋体" w:cs="宋体"/>
          <w:b/>
          <w:color w:val="000000" w:themeColor="text1"/>
          <w:sz w:val="24"/>
          <w14:textFill>
            <w14:solidFill>
              <w14:schemeClr w14:val="tx1"/>
            </w14:solidFill>
          </w14:textFill>
        </w:rPr>
        <w:t>备注：</w:t>
      </w:r>
    </w:p>
    <w:p w14:paraId="75BB1500">
      <w:pPr>
        <w:pStyle w:val="5"/>
        <w:spacing w:line="360" w:lineRule="auto"/>
        <w:ind w:firstLine="482" w:firstLineChars="200"/>
        <w:rPr>
          <w:rFonts w:hAnsi="宋体" w:cs="宋体"/>
          <w:b/>
          <w:color w:val="000000" w:themeColor="text1"/>
          <w:sz w:val="24"/>
          <w14:textFill>
            <w14:solidFill>
              <w14:schemeClr w14:val="tx1"/>
            </w14:solidFill>
          </w14:textFill>
        </w:rPr>
      </w:pPr>
      <w:r>
        <w:rPr>
          <w:rFonts w:hint="eastAsia" w:hAnsi="宋体" w:cs="宋体"/>
          <w:b/>
          <w:color w:val="000000" w:themeColor="text1"/>
          <w:sz w:val="24"/>
          <w14:textFill>
            <w14:solidFill>
              <w14:schemeClr w14:val="tx1"/>
            </w14:solidFill>
          </w14:textFill>
        </w:rPr>
        <w:t>本项目接受联合体：</w:t>
      </w:r>
    </w:p>
    <w:p w14:paraId="392AFFFC">
      <w:pPr>
        <w:pStyle w:val="5"/>
        <w:spacing w:line="360" w:lineRule="auto"/>
        <w:ind w:firstLine="480" w:firstLineChars="200"/>
        <w:rPr>
          <w:rFonts w:hAnsi="宋体" w:cs="宋体"/>
          <w:color w:val="000000" w:themeColor="text1"/>
          <w:sz w:val="24"/>
          <w14:textFill>
            <w14:solidFill>
              <w14:schemeClr w14:val="tx1"/>
            </w14:solidFill>
          </w14:textFill>
        </w:rPr>
      </w:pPr>
      <w:sdt>
        <w:sdtPr>
          <w:rPr>
            <w:rFonts w:hint="eastAsia" w:hAnsi="宋体" w:cs="宋体"/>
            <w:color w:val="000000" w:themeColor="text1"/>
            <w:kern w:val="0"/>
            <w:sz w:val="24"/>
            <w14:textFill>
              <w14:solidFill>
                <w14:schemeClr w14:val="tx1"/>
              </w14:solidFill>
            </w14:textFill>
          </w:rPr>
          <w:id w:val="2035453831"/>
          <w14:checkbox>
            <w14:checked w14:val="1"/>
            <w14:checkedState w14:val="00FE" w14:font="Wingdings"/>
            <w14:uncheckedState w14:val="2610" w14:font="MS Gothic"/>
          </w14:checkbox>
        </w:sdtPr>
        <w:sdtEndPr>
          <w:rPr>
            <w:rFonts w:hint="eastAsia" w:hAnsi="宋体" w:cs="宋体"/>
            <w:color w:val="000000" w:themeColor="text1"/>
            <w:kern w:val="0"/>
            <w:sz w:val="24"/>
            <w14:textFill>
              <w14:solidFill>
                <w14:schemeClr w14:val="tx1"/>
              </w14:solidFill>
            </w14:textFill>
          </w:rPr>
        </w:sdtEndPr>
        <w:sdtContent>
          <w:r>
            <w:rPr>
              <w:rFonts w:hAnsi="宋体" w:cs="宋体"/>
              <w:color w:val="000000" w:themeColor="text1"/>
              <w:kern w:val="0"/>
              <w:sz w:val="24"/>
              <w14:textFill>
                <w14:solidFill>
                  <w14:schemeClr w14:val="tx1"/>
                </w14:solidFill>
              </w14:textFill>
            </w:rPr>
            <w:sym w:font="Wingdings" w:char="F0FE"/>
          </w:r>
        </w:sdtContent>
      </w:sdt>
      <w:r>
        <w:rPr>
          <w:rFonts w:hint="eastAsia" w:hAnsi="宋体" w:cs="宋体"/>
          <w:color w:val="000000" w:themeColor="text1"/>
          <w:sz w:val="24"/>
          <w14:textFill>
            <w14:solidFill>
              <w14:schemeClr w14:val="tx1"/>
            </w14:solidFill>
          </w14:textFill>
        </w:rPr>
        <w:t>是；</w:t>
      </w:r>
    </w:p>
    <w:p w14:paraId="13C2E0C0">
      <w:pPr>
        <w:pStyle w:val="5"/>
        <w:spacing w:line="360" w:lineRule="auto"/>
        <w:ind w:firstLine="480" w:firstLineChars="200"/>
        <w:rPr>
          <w:rFonts w:hAnsi="宋体" w:cs="宋体"/>
          <w:color w:val="000000" w:themeColor="text1"/>
          <w:kern w:val="0"/>
          <w:sz w:val="24"/>
          <w14:textFill>
            <w14:solidFill>
              <w14:schemeClr w14:val="tx1"/>
            </w14:solidFill>
          </w14:textFill>
        </w:rPr>
      </w:pPr>
      <w:sdt>
        <w:sdtPr>
          <w:rPr>
            <w:rFonts w:hint="eastAsia" w:hAnsi="宋体" w:cs="宋体"/>
            <w:color w:val="000000" w:themeColor="text1"/>
            <w:kern w:val="0"/>
            <w:sz w:val="24"/>
            <w14:textFill>
              <w14:solidFill>
                <w14:schemeClr w14:val="tx1"/>
              </w14:solidFill>
            </w14:textFill>
          </w:rPr>
          <w:id w:val="87168129"/>
          <w14:checkbox>
            <w14:checked w14:val="0"/>
            <w14:checkedState w14:val="00FE" w14:font="Wingdings"/>
            <w14:uncheckedState w14:val="2610" w14:font="MS Gothic"/>
          </w14:checkbox>
        </w:sdtPr>
        <w:sdtEndPr>
          <w:rPr>
            <w:rFonts w:hint="eastAsia" w:hAnsi="宋体" w:cs="宋体"/>
            <w:color w:val="000000" w:themeColor="text1"/>
            <w:kern w:val="0"/>
            <w:sz w:val="24"/>
            <w14:textFill>
              <w14:solidFill>
                <w14:schemeClr w14:val="tx1"/>
              </w14:solidFill>
            </w14:textFill>
          </w:rPr>
        </w:sdtEndPr>
        <w:sdtContent>
          <w:r>
            <w:rPr>
              <w:rFonts w:hAnsi="宋体" w:cs="宋体"/>
              <w:color w:val="000000" w:themeColor="text1"/>
              <w:kern w:val="0"/>
              <w:sz w:val="24"/>
              <w14:textFill>
                <w14:solidFill>
                  <w14:schemeClr w14:val="tx1"/>
                </w14:solidFill>
              </w14:textFill>
            </w:rPr>
            <w:t>☐</w:t>
          </w:r>
        </w:sdtContent>
      </w:sdt>
      <w:r>
        <w:rPr>
          <w:rFonts w:hint="eastAsia" w:hAnsi="宋体" w:cs="宋体"/>
          <w:color w:val="000000" w:themeColor="text1"/>
          <w:sz w:val="24"/>
          <w14:textFill>
            <w14:solidFill>
              <w14:schemeClr w14:val="tx1"/>
            </w14:solidFill>
          </w14:textFill>
        </w:rPr>
        <w:t>否</w:t>
      </w:r>
      <w:r>
        <w:rPr>
          <w:rFonts w:hint="eastAsia" w:hAnsi="宋体" w:cs="宋体"/>
          <w:color w:val="000000" w:themeColor="text1"/>
          <w:kern w:val="0"/>
          <w:sz w:val="24"/>
          <w14:textFill>
            <w14:solidFill>
              <w14:schemeClr w14:val="tx1"/>
            </w14:solidFill>
          </w14:textFill>
        </w:rPr>
        <w:t>，不接受联合体理由：</w:t>
      </w:r>
      <w:r>
        <w:rPr>
          <w:rFonts w:hAnsi="宋体" w:cs="宋体"/>
          <w:color w:val="000000" w:themeColor="text1"/>
          <w:kern w:val="0"/>
          <w:sz w:val="24"/>
          <w:u w:val="single"/>
          <w14:textFill>
            <w14:solidFill>
              <w14:schemeClr w14:val="tx1"/>
            </w14:solidFill>
          </w14:textFill>
        </w:rPr>
        <w:t xml:space="preserve">              </w:t>
      </w:r>
      <w:r>
        <w:rPr>
          <w:rFonts w:hint="eastAsia" w:hAnsi="宋体" w:cs="宋体"/>
          <w:color w:val="000000" w:themeColor="text1"/>
          <w:kern w:val="0"/>
          <w:sz w:val="24"/>
          <w14:textFill>
            <w14:solidFill>
              <w14:schemeClr w14:val="tx1"/>
            </w14:solidFill>
          </w14:textFill>
        </w:rPr>
        <w:t>。</w:t>
      </w:r>
    </w:p>
    <w:p w14:paraId="492A4C19">
      <w:pPr>
        <w:pStyle w:val="131"/>
        <w:snapToGrid w:val="0"/>
        <w:spacing w:before="0"/>
        <w:ind w:firstLine="482"/>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注：不得限制大中型企业与小微企业组成联合体参与。</w:t>
      </w:r>
    </w:p>
    <w:p w14:paraId="49070D64">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w:t>
      </w:r>
      <w:bookmarkStart w:id="10" w:name="_Hlk101132948"/>
      <w:r>
        <w:rPr>
          <w:rFonts w:hint="eastAsia" w:ascii="宋体" w:hAnsi="宋体" w:cs="宋体"/>
          <w:b/>
          <w:color w:val="000000" w:themeColor="text1"/>
          <w:sz w:val="24"/>
          <w14:textFill>
            <w14:solidFill>
              <w14:schemeClr w14:val="tx1"/>
            </w14:solidFill>
          </w14:textFill>
        </w:rPr>
        <w:t>申请人的资格要求</w:t>
      </w:r>
      <w:bookmarkEnd w:id="10"/>
      <w:r>
        <w:rPr>
          <w:rFonts w:hint="eastAsia" w:ascii="宋体" w:hAnsi="宋体" w:cs="宋体"/>
          <w:b/>
          <w:color w:val="000000" w:themeColor="text1"/>
          <w:sz w:val="24"/>
          <w14:textFill>
            <w14:solidFill>
              <w14:schemeClr w14:val="tx1"/>
            </w14:solidFill>
          </w14:textFill>
        </w:rPr>
        <w:t>：</w:t>
      </w:r>
    </w:p>
    <w:p w14:paraId="65819AB8">
      <w:pPr>
        <w:spacing w:line="360" w:lineRule="auto"/>
        <w:ind w:firstLine="480"/>
        <w:rPr>
          <w:rFonts w:ascii="宋体" w:hAnsi="宋体" w:cs="宋体"/>
          <w:snapToGrid w:val="0"/>
          <w:color w:val="000000" w:themeColor="text1"/>
          <w:kern w:val="28"/>
          <w:sz w:val="24"/>
          <w:szCs w:val="20"/>
          <w14:textFill>
            <w14:solidFill>
              <w14:schemeClr w14:val="tx1"/>
            </w14:solidFill>
          </w14:textFill>
        </w:rPr>
      </w:pPr>
      <w:r>
        <w:rPr>
          <w:rFonts w:hint="eastAsia" w:ascii="宋体" w:hAnsi="宋体" w:cs="宋体"/>
          <w:snapToGrid w:val="0"/>
          <w:color w:val="000000" w:themeColor="text1"/>
          <w:kern w:val="28"/>
          <w:sz w:val="24"/>
          <w:szCs w:val="20"/>
          <w14:textFill>
            <w14:solidFill>
              <w14:schemeClr w14:val="tx1"/>
            </w14:solidFill>
          </w14:textFill>
        </w:rPr>
        <w:t>1.满足《中华人民共和国政府采购法》第二十二条规定；未被“信用中国”（www.creditchina.gov.cn)、中国政府采购网（www.ccgp.gov.cn）列入失信被执行人、重大税收违法案件当事人名单、政府采购严重违法失信行为记录名单；</w:t>
      </w:r>
    </w:p>
    <w:p w14:paraId="17EC84D5">
      <w:pPr>
        <w:spacing w:line="360" w:lineRule="auto"/>
        <w:rPr>
          <w:rFonts w:ascii="宋体" w:hAnsi="宋体" w:cs="宋体"/>
          <w:snapToGrid w:val="0"/>
          <w:color w:val="000000" w:themeColor="text1"/>
          <w:kern w:val="28"/>
          <w:sz w:val="24"/>
          <w:szCs w:val="20"/>
          <w14:textFill>
            <w14:solidFill>
              <w14:schemeClr w14:val="tx1"/>
            </w14:solidFill>
          </w14:textFill>
        </w:rPr>
      </w:pPr>
      <w:r>
        <w:rPr>
          <w:rFonts w:hint="eastAsia" w:ascii="宋体" w:hAnsi="宋体" w:cs="宋体"/>
          <w:snapToGrid w:val="0"/>
          <w:color w:val="000000" w:themeColor="text1"/>
          <w:kern w:val="28"/>
          <w:sz w:val="24"/>
          <w:szCs w:val="20"/>
          <w14:textFill>
            <w14:solidFill>
              <w14:schemeClr w14:val="tx1"/>
            </w14:solidFill>
          </w14:textFill>
        </w:rPr>
        <w:t xml:space="preserve">    </w:t>
      </w:r>
      <w:r>
        <w:rPr>
          <w:rFonts w:ascii="宋体" w:hAnsi="宋体" w:cs="宋体"/>
          <w:snapToGrid w:val="0"/>
          <w:color w:val="000000" w:themeColor="text1"/>
          <w:kern w:val="28"/>
          <w:sz w:val="24"/>
          <w:szCs w:val="20"/>
          <w14:textFill>
            <w14:solidFill>
              <w14:schemeClr w14:val="tx1"/>
            </w14:solidFill>
          </w14:textFill>
        </w:rPr>
        <w:t>2</w:t>
      </w:r>
      <w:r>
        <w:rPr>
          <w:rFonts w:hint="eastAsia" w:ascii="宋体" w:hAnsi="宋体" w:cs="宋体"/>
          <w:snapToGrid w:val="0"/>
          <w:color w:val="000000" w:themeColor="text1"/>
          <w:kern w:val="28"/>
          <w:sz w:val="24"/>
          <w:szCs w:val="20"/>
          <w14:textFill>
            <w14:solidFill>
              <w14:schemeClr w14:val="tx1"/>
            </w14:solidFill>
          </w14:textFill>
        </w:rPr>
        <w:t>.以联合体形式参与的，提供联合协议(本项目不接受联合体或者供应商不以联合体形式参与的，则不需要提供) ；</w:t>
      </w:r>
    </w:p>
    <w:p w14:paraId="0E78F1AC">
      <w:pPr>
        <w:spacing w:line="360" w:lineRule="auto"/>
        <w:ind w:firstLine="480" w:firstLineChars="200"/>
        <w:rPr>
          <w:rFonts w:ascii="宋体" w:hAnsi="宋体" w:cs="宋体"/>
          <w:snapToGrid w:val="0"/>
          <w:color w:val="000000" w:themeColor="text1"/>
          <w:kern w:val="28"/>
          <w:sz w:val="24"/>
          <w:szCs w:val="20"/>
          <w14:textFill>
            <w14:solidFill>
              <w14:schemeClr w14:val="tx1"/>
            </w14:solidFill>
          </w14:textFill>
        </w:rPr>
      </w:pPr>
      <w:r>
        <w:rPr>
          <w:rFonts w:ascii="宋体" w:hAnsi="宋体" w:cs="宋体"/>
          <w:snapToGrid w:val="0"/>
          <w:color w:val="000000" w:themeColor="text1"/>
          <w:kern w:val="28"/>
          <w:sz w:val="24"/>
          <w:szCs w:val="20"/>
          <w14:textFill>
            <w14:solidFill>
              <w14:schemeClr w14:val="tx1"/>
            </w14:solidFill>
          </w14:textFill>
        </w:rPr>
        <w:t>3</w:t>
      </w:r>
      <w:r>
        <w:rPr>
          <w:rFonts w:hint="eastAsia" w:ascii="宋体" w:hAnsi="宋体" w:cs="宋体"/>
          <w:snapToGrid w:val="0"/>
          <w:color w:val="000000" w:themeColor="text1"/>
          <w:kern w:val="28"/>
          <w:sz w:val="24"/>
          <w:szCs w:val="20"/>
          <w14:textFill>
            <w14:solidFill>
              <w14:schemeClr w14:val="tx1"/>
            </w14:solidFill>
          </w14:textFill>
        </w:rPr>
        <w:t>.落实政府采购政策需满足的资格要求：</w:t>
      </w:r>
    </w:p>
    <w:p w14:paraId="1A573E5D">
      <w:pPr>
        <w:spacing w:line="360" w:lineRule="auto"/>
        <w:ind w:firstLine="480" w:firstLineChars="200"/>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1928616923"/>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sdtContent>
      </w:sdt>
      <w:r>
        <w:rPr>
          <w:rFonts w:hint="eastAsia" w:ascii="宋体" w:hAnsi="宋体" w:cs="宋体"/>
          <w:color w:val="000000" w:themeColor="text1"/>
          <w:sz w:val="24"/>
          <w14:textFill>
            <w14:solidFill>
              <w14:schemeClr w14:val="tx1"/>
            </w14:solidFill>
          </w14:textFill>
        </w:rPr>
        <w:t>无；</w:t>
      </w:r>
    </w:p>
    <w:p w14:paraId="57E95760">
      <w:pPr>
        <w:spacing w:line="360" w:lineRule="auto"/>
        <w:ind w:firstLine="480" w:firstLineChars="200"/>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609159493"/>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sym w:font="Wingdings" w:char="F0FE"/>
          </w:r>
        </w:sdtContent>
      </w:sdt>
      <w:r>
        <w:rPr>
          <w:rFonts w:hint="eastAsia" w:ascii="宋体" w:hAnsi="宋体" w:cs="宋体"/>
          <w:color w:val="000000" w:themeColor="text1"/>
          <w:kern w:val="0"/>
          <w:sz w:val="24"/>
          <w14:textFill>
            <w14:solidFill>
              <w14:schemeClr w14:val="tx1"/>
            </w14:solidFill>
          </w14:textFill>
        </w:rPr>
        <w:t>专</w:t>
      </w:r>
      <w:r>
        <w:rPr>
          <w:rFonts w:hint="eastAsia" w:ascii="宋体" w:hAnsi="宋体" w:cs="宋体"/>
          <w:color w:val="000000" w:themeColor="text1"/>
          <w:sz w:val="24"/>
          <w14:textFill>
            <w14:solidFill>
              <w14:schemeClr w14:val="tx1"/>
            </w14:solidFill>
          </w14:textFill>
        </w:rPr>
        <w:t>门面向中小企业</w:t>
      </w:r>
    </w:p>
    <w:p w14:paraId="25125929">
      <w:pPr>
        <w:spacing w:line="360" w:lineRule="auto"/>
        <w:ind w:firstLine="897" w:firstLineChars="374"/>
        <w:rPr>
          <w:rFonts w:ascii="宋体" w:hAnsi="宋体" w:cs="宋体"/>
          <w:color w:val="000000" w:themeColor="text1"/>
          <w:sz w:val="24"/>
          <w:u w:val="single"/>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228163809"/>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sym w:font="Wingdings" w:char="F0FE"/>
          </w:r>
        </w:sdtContent>
      </w:sdt>
      <w:r>
        <w:rPr>
          <w:rFonts w:hint="eastAsia" w:ascii="宋体" w:hAnsi="宋体" w:cs="宋体"/>
          <w:color w:val="000000" w:themeColor="text1"/>
          <w:sz w:val="24"/>
          <w14:textFill>
            <w14:solidFill>
              <w14:schemeClr w14:val="tx1"/>
            </w14:solidFill>
          </w14:textFill>
        </w:rPr>
        <w:t>工程全部由符合政策要求的中小企业承建，提供中小企业声明函；</w:t>
      </w:r>
    </w:p>
    <w:p w14:paraId="79102C04">
      <w:pPr>
        <w:spacing w:line="360" w:lineRule="auto"/>
        <w:ind w:firstLine="897" w:firstLineChars="374"/>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701143851"/>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sdtContent>
      </w:sdt>
      <w:r>
        <w:rPr>
          <w:rFonts w:hint="eastAsia" w:ascii="宋体" w:hAnsi="宋体" w:cs="宋体"/>
          <w:color w:val="000000" w:themeColor="text1"/>
          <w:sz w:val="24"/>
          <w14:textFill>
            <w14:solidFill>
              <w14:schemeClr w14:val="tx1"/>
            </w14:solidFill>
          </w14:textFill>
        </w:rPr>
        <w:t>工程全部由符合政策要求的小微企业承建，提供中小企业声明函；</w:t>
      </w:r>
    </w:p>
    <w:p w14:paraId="1B26D25F">
      <w:pPr>
        <w:spacing w:line="360" w:lineRule="auto"/>
        <w:ind w:firstLine="480" w:firstLineChars="200"/>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139280155"/>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bookmarkStart w:id="11" w:name="_Hlk101132524"/>
        </w:sdtContent>
      </w:sdt>
      <w:r>
        <w:rPr>
          <w:rFonts w:hint="eastAsia" w:ascii="宋体" w:hAnsi="宋体" w:cs="宋体"/>
          <w:color w:val="000000" w:themeColor="text1"/>
          <w:sz w:val="24"/>
          <w14:textFill>
            <w14:solidFill>
              <w14:schemeClr w14:val="tx1"/>
            </w14:solidFill>
          </w14:textFill>
        </w:rPr>
        <w:t>要求以联合体形式参加，提供联合协议和中小企业声明函，联合协议中中小企业合同金额应当达到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%，其中小微企业合同金额应当达到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pacing w:val="8"/>
          <w:kern w:val="0"/>
          <w:sz w:val="24"/>
          <w14:textFill>
            <w14:solidFill>
              <w14:schemeClr w14:val="tx1"/>
            </w14:solidFill>
          </w14:textFill>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cs="宋体"/>
          <w:color w:val="000000" w:themeColor="text1"/>
          <w:sz w:val="24"/>
          <w14:textFill>
            <w14:solidFill>
              <w14:schemeClr w14:val="tx1"/>
            </w14:solidFill>
          </w14:textFill>
        </w:rPr>
        <w:t>；</w:t>
      </w:r>
    </w:p>
    <w:bookmarkEnd w:id="11"/>
    <w:p w14:paraId="7C9A35BD">
      <w:pPr>
        <w:spacing w:line="360" w:lineRule="auto"/>
        <w:ind w:firstLine="480" w:firstLineChars="200"/>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34630645"/>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sdtContent>
      </w:sdt>
      <w:r>
        <w:rPr>
          <w:rFonts w:hint="eastAsia" w:ascii="宋体" w:hAnsi="宋体" w:cs="宋体"/>
          <w:color w:val="000000" w:themeColor="text1"/>
          <w:sz w:val="24"/>
          <w14:textFill>
            <w14:solidFill>
              <w14:schemeClr w14:val="tx1"/>
            </w14:solidFill>
          </w14:textFill>
        </w:rPr>
        <w:t>要求合同分包，提供分包意向协议和中小企业声明函，分包意向协议中中小企业合同金额应当达到达到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，其中小微企业合同金额应当达到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w:t>
      </w:r>
      <w:r>
        <w:rPr>
          <w:rFonts w:hint="eastAsia" w:ascii="宋体" w:hAnsi="宋体" w:cs="宋体"/>
          <w:color w:val="000000" w:themeColor="text1"/>
          <w:spacing w:val="8"/>
          <w:kern w:val="0"/>
          <w:sz w:val="24"/>
          <w14:textFill>
            <w14:solidFill>
              <w14:schemeClr w14:val="tx1"/>
            </w14:solidFill>
          </w14:textFill>
        </w:rPr>
        <w:t>如果供应商本身提供所有标的均由中小企业承建，并相应达到了前述比例要求，视同符合了资格条件，无需再向中小企业分包，无需提供分包意向协议</w:t>
      </w:r>
      <w:r>
        <w:rPr>
          <w:rFonts w:hint="eastAsia" w:ascii="宋体" w:hAnsi="宋体" w:cs="宋体"/>
          <w:color w:val="000000" w:themeColor="text1"/>
          <w:sz w:val="24"/>
          <w14:textFill>
            <w14:solidFill>
              <w14:schemeClr w14:val="tx1"/>
            </w14:solidFill>
          </w14:textFill>
        </w:rPr>
        <w:t>；</w:t>
      </w:r>
    </w:p>
    <w:p w14:paraId="3D09A7D7">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.本项目的特定资格要求：</w:t>
      </w:r>
    </w:p>
    <w:p w14:paraId="400AC22E">
      <w:pPr>
        <w:snapToGrid w:val="0"/>
        <w:spacing w:line="360" w:lineRule="auto"/>
        <w:ind w:firstLine="480" w:firstLineChars="200"/>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147466463"/>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MS Gothic" w:hAnsi="MS Gothic" w:eastAsia="MS Gothic"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无。</w:t>
      </w:r>
    </w:p>
    <w:p w14:paraId="3EA3AC93">
      <w:pPr>
        <w:snapToGrid w:val="0"/>
        <w:spacing w:line="360" w:lineRule="auto"/>
        <w:ind w:firstLine="480" w:firstLineChars="200"/>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900648444"/>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ascii="Wingdings" w:hAnsi="Wingdings" w:eastAsia="MS Gothic" w:cs="宋体"/>
              <w:color w:val="000000" w:themeColor="text1"/>
              <w:kern w:val="0"/>
              <w:sz w:val="24"/>
              <w14:textFill>
                <w14:solidFill>
                  <w14:schemeClr w14:val="tx1"/>
                </w14:solidFill>
              </w14:textFill>
            </w:rPr>
            <w:t></w:t>
          </w:r>
        </w:sdtContent>
      </w:sdt>
      <w:r>
        <w:rPr>
          <w:rFonts w:hint="eastAsia" w:ascii="宋体" w:hAnsi="宋体" w:cs="宋体"/>
          <w:color w:val="000000" w:themeColor="text1"/>
          <w:sz w:val="24"/>
          <w14:textFill>
            <w14:solidFill>
              <w14:schemeClr w14:val="tx1"/>
            </w14:solidFill>
          </w14:textFill>
        </w:rPr>
        <w:t>有特定资格要求：</w:t>
      </w:r>
    </w:p>
    <w:p w14:paraId="2CE1AA3A">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（1）供应商具有市政公用工程施工总承包三级及以上资质或建筑工程施工总承包三级及以上资质；</w:t>
      </w:r>
    </w:p>
    <w:p w14:paraId="5D8F9979">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（2）供应商具有企业《安全生产许可证》；</w:t>
      </w:r>
    </w:p>
    <w:p w14:paraId="6B0C37F6">
      <w:pPr>
        <w:pStyle w:val="24"/>
        <w:spacing w:line="360" w:lineRule="auto"/>
        <w:rPr>
          <w:color w:val="0000FF"/>
        </w:rPr>
      </w:pPr>
      <w:r>
        <w:rPr>
          <w:rFonts w:hint="eastAsia" w:cs="宋体"/>
          <w:color w:val="000000" w:themeColor="text1"/>
          <w14:textFill>
            <w14:solidFill>
              <w14:schemeClr w14:val="tx1"/>
            </w14:solidFill>
          </w14:textFill>
        </w:rPr>
        <w:t>（3）以联合体形式参加本项目磋商的，须签订联合体协议；联合体各方均应满足资格条件。</w:t>
      </w:r>
    </w:p>
    <w:p w14:paraId="21AD97ED">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26DFC3AB">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三、获取采购文件 </w:t>
      </w:r>
    </w:p>
    <w:p w14:paraId="7A4A1220">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时间：</w:t>
      </w:r>
      <w:r>
        <w:rPr>
          <w:rFonts w:hint="eastAsia" w:ascii="宋体" w:hAnsi="宋体" w:cs="宋体"/>
          <w:color w:val="000000" w:themeColor="text1"/>
          <w:sz w:val="24"/>
          <w14:textFill>
            <w14:solidFill>
              <w14:schemeClr w14:val="tx1"/>
            </w14:solidFill>
          </w14:textFill>
        </w:rPr>
        <w:t>/至</w:t>
      </w:r>
      <w:r>
        <w:rPr>
          <w:rFonts w:hint="eastAsia" w:ascii="宋体" w:hAnsi="宋体" w:cs="宋体"/>
          <w:color w:val="000000" w:themeColor="text1"/>
          <w:sz w:val="24"/>
          <w:u w:val="single"/>
          <w14:textFill>
            <w14:solidFill>
              <w14:schemeClr w14:val="tx1"/>
            </w14:solidFill>
          </w14:textFill>
        </w:rPr>
        <w:t>2025年0</w:t>
      </w:r>
      <w:r>
        <w:rPr>
          <w:rFonts w:hint="eastAsia" w:ascii="宋体" w:hAnsi="宋体" w:cs="宋体"/>
          <w:color w:val="000000" w:themeColor="text1"/>
          <w:sz w:val="24"/>
          <w:u w:val="single"/>
          <w:lang w:val="en-US" w:eastAsia="zh-CN"/>
          <w14:textFill>
            <w14:solidFill>
              <w14:schemeClr w14:val="tx1"/>
            </w14:solidFill>
          </w14:textFill>
        </w:rPr>
        <w:t>6</w:t>
      </w:r>
      <w:r>
        <w:rPr>
          <w:rFonts w:hint="eastAsia"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11</w:t>
      </w:r>
      <w:r>
        <w:rPr>
          <w:rFonts w:hint="eastAsia"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，每天上午00:00至12:00 ，下午12:00至23:59（北京时间，线上获取法定节假日均可，线下获取文件法定节假日除外）</w:t>
      </w:r>
    </w:p>
    <w:p w14:paraId="4BA61B84">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地点（网址）：</w:t>
      </w:r>
      <w:r>
        <w:rPr>
          <w:rFonts w:hint="eastAsia" w:ascii="宋体" w:hAnsi="宋体" w:cs="宋体"/>
          <w:color w:val="000000" w:themeColor="text1"/>
          <w:sz w:val="24"/>
          <w14:textFill>
            <w14:solidFill>
              <w14:schemeClr w14:val="tx1"/>
            </w14:solidFill>
          </w14:textFill>
        </w:rPr>
        <w:t xml:space="preserve">政采云平台（https://www.zcygov.cn/） </w:t>
      </w:r>
    </w:p>
    <w:p w14:paraId="72A18A67">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方式：</w:t>
      </w:r>
      <w:r>
        <w:rPr>
          <w:rFonts w:hint="eastAsia" w:ascii="宋体" w:hAnsi="宋体" w:cs="宋体"/>
          <w:color w:val="000000" w:themeColor="text1"/>
          <w:sz w:val="24"/>
          <w14:textFill>
            <w14:solidFill>
              <w14:schemeClr w14:val="tx1"/>
            </w14:solidFill>
          </w14:textFill>
        </w:rPr>
        <w:t xml:space="preserve">供应商登录政采云平台https://www.zcygov.cn/在线申请获取采购文件（进入“项目采购”应用，在获取采购文件菜单中选择项目，申请获取采购文件）。 </w:t>
      </w:r>
    </w:p>
    <w:p w14:paraId="34434745">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售价（元）：</w:t>
      </w:r>
      <w:r>
        <w:rPr>
          <w:rFonts w:hint="eastAsia" w:ascii="宋体" w:hAnsi="宋体" w:cs="宋体"/>
          <w:color w:val="000000" w:themeColor="text1"/>
          <w:sz w:val="24"/>
          <w14:textFill>
            <w14:solidFill>
              <w14:schemeClr w14:val="tx1"/>
            </w14:solidFill>
          </w14:textFill>
        </w:rPr>
        <w:t xml:space="preserve">0 </w:t>
      </w:r>
      <w:r>
        <w:rPr>
          <w:rFonts w:hint="eastAsia" w:ascii="宋体" w:hAnsi="宋体" w:cs="宋体"/>
          <w:color w:val="000000" w:themeColor="text1"/>
          <w:sz w:val="24"/>
          <w14:textFill>
            <w14:solidFill>
              <w14:schemeClr w14:val="tx1"/>
            </w14:solidFill>
          </w14:textFill>
        </w:rPr>
        <w:tab/>
      </w:r>
    </w:p>
    <w:p w14:paraId="63FAACF9">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四、响应文件提交（上传）</w:t>
      </w:r>
    </w:p>
    <w:p w14:paraId="3F8F8AD0">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截止时间：</w:t>
      </w:r>
      <w:r>
        <w:rPr>
          <w:rFonts w:hint="eastAsia" w:ascii="宋体" w:hAnsi="宋体" w:cs="宋体"/>
          <w:color w:val="000000" w:themeColor="text1"/>
          <w:sz w:val="24"/>
          <w:u w:val="single"/>
          <w14:textFill>
            <w14:solidFill>
              <w14:schemeClr w14:val="tx1"/>
            </w14:solidFill>
          </w14:textFill>
        </w:rPr>
        <w:t xml:space="preserve"> 2025年</w:t>
      </w:r>
      <w:r>
        <w:rPr>
          <w:rFonts w:hint="eastAsia" w:ascii="宋体" w:hAnsi="宋体" w:cs="宋体"/>
          <w:color w:val="000000" w:themeColor="text1"/>
          <w:sz w:val="24"/>
          <w:u w:val="single"/>
          <w:lang w:eastAsia="zh-CN"/>
          <w14:textFill>
            <w14:solidFill>
              <w14:schemeClr w14:val="tx1"/>
            </w14:solidFill>
          </w14:textFill>
        </w:rPr>
        <w:t>06月11日09点30分</w:t>
      </w:r>
      <w:r>
        <w:rPr>
          <w:rFonts w:hint="eastAsia" w:ascii="宋体" w:hAnsi="宋体" w:cs="宋体"/>
          <w:bCs/>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（北京时间）</w:t>
      </w:r>
    </w:p>
    <w:p w14:paraId="536400A8">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地点（网址）：</w:t>
      </w:r>
      <w:r>
        <w:rPr>
          <w:rFonts w:hint="eastAsia" w:ascii="宋体" w:hAnsi="宋体" w:cs="宋体"/>
          <w:color w:val="000000" w:themeColor="text1"/>
          <w:sz w:val="24"/>
          <w14:textFill>
            <w14:solidFill>
              <w14:schemeClr w14:val="tx1"/>
            </w14:solidFill>
          </w14:textFill>
        </w:rPr>
        <w:t xml:space="preserve">政采云平台（https://www.zcygov.cn/） </w:t>
      </w:r>
    </w:p>
    <w:p w14:paraId="46EE5478">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五、响应文件开启 </w:t>
      </w:r>
    </w:p>
    <w:p w14:paraId="6E763A6B">
      <w:pPr>
        <w:spacing w:line="360" w:lineRule="auto"/>
        <w:ind w:firstLine="482"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开启时间：</w:t>
      </w:r>
      <w:r>
        <w:rPr>
          <w:rFonts w:hint="eastAsia" w:ascii="宋体" w:hAnsi="宋体" w:cs="宋体"/>
          <w:color w:val="000000" w:themeColor="text1"/>
          <w:sz w:val="24"/>
          <w:u w:val="single"/>
          <w14:textFill>
            <w14:solidFill>
              <w14:schemeClr w14:val="tx1"/>
            </w14:solidFill>
          </w14:textFill>
        </w:rPr>
        <w:t>2025年</w:t>
      </w:r>
      <w:r>
        <w:rPr>
          <w:rFonts w:hint="eastAsia" w:ascii="宋体" w:hAnsi="宋体" w:cs="宋体"/>
          <w:color w:val="000000" w:themeColor="text1"/>
          <w:sz w:val="24"/>
          <w:u w:val="single"/>
          <w:lang w:eastAsia="zh-CN"/>
          <w14:textFill>
            <w14:solidFill>
              <w14:schemeClr w14:val="tx1"/>
            </w14:solidFill>
          </w14:textFill>
        </w:rPr>
        <w:t>06月11日09点30分</w:t>
      </w:r>
      <w:r>
        <w:rPr>
          <w:rFonts w:hint="eastAsia" w:ascii="宋体" w:hAnsi="宋体" w:cs="宋体"/>
          <w:bCs/>
          <w:color w:val="000000" w:themeColor="text1"/>
          <w:sz w:val="24"/>
          <w:u w:val="single"/>
          <w14:textFill>
            <w14:solidFill>
              <w14:schemeClr w14:val="tx1"/>
            </w14:solidFill>
          </w14:textFill>
        </w:rPr>
        <w:t xml:space="preserve"> </w:t>
      </w:r>
    </w:p>
    <w:p w14:paraId="5FF19F9F">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地点（网址）：</w:t>
      </w:r>
      <w:r>
        <w:rPr>
          <w:rFonts w:hint="eastAsia" w:ascii="宋体" w:hAnsi="宋体" w:cs="宋体"/>
          <w:color w:val="000000" w:themeColor="text1"/>
          <w:sz w:val="24"/>
          <w14:textFill>
            <w14:solidFill>
              <w14:schemeClr w14:val="tx1"/>
            </w14:solidFill>
          </w14:textFill>
        </w:rPr>
        <w:t>政采云平台（https://www.zcygov.cn/）</w:t>
      </w:r>
    </w:p>
    <w:p w14:paraId="348DB7F3">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六、公告期限 </w:t>
      </w:r>
    </w:p>
    <w:p w14:paraId="6525B45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自本公告发布之日起3个工作日。</w:t>
      </w:r>
    </w:p>
    <w:p w14:paraId="6B194D33">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七、其他补充事宜</w:t>
      </w:r>
    </w:p>
    <w:p w14:paraId="75640F1B">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 支持中小企业力度 助力扎实稳住经济 的通知》（浙财采监〔2022〕8号）已分别于2022年1月29日、2022年2月1日和2022年7月1日开始实施，此前有关规定与上述文件内容不一致的，按上述文件要求执行。</w:t>
      </w:r>
    </w:p>
    <w:p w14:paraId="7EABA096">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42BD993F">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620E7128">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33D66D16">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八、对本次采购提出询问、质疑、投诉，请按以下方式联系</w:t>
      </w:r>
    </w:p>
    <w:p w14:paraId="1FF1CCAD">
      <w:pPr>
        <w:spacing w:line="360" w:lineRule="auto"/>
        <w:rPr>
          <w:rFonts w:ascii="宋体" w:hAnsi="宋体" w:cs="宋体" w:eastAsiaTheme="minorEastAsia"/>
          <w:b/>
          <w:bCs/>
          <w:color w:val="000000" w:themeColor="text1"/>
          <w:sz w:val="24"/>
          <w14:textFill>
            <w14:solidFill>
              <w14:schemeClr w14:val="tx1"/>
            </w14:solidFill>
          </w14:textFill>
        </w:rPr>
      </w:pPr>
      <w:bookmarkStart w:id="12" w:name="_Toc35393806"/>
      <w:bookmarkStart w:id="13" w:name="_Toc35393637"/>
      <w:bookmarkStart w:id="14" w:name="_Toc28359096"/>
      <w:bookmarkStart w:id="15" w:name="_Toc28359019"/>
      <w:r>
        <w:rPr>
          <w:rFonts w:hint="eastAsia" w:ascii="宋体" w:hAnsi="宋体" w:cs="宋体" w:eastAsiaTheme="minorEastAsia"/>
          <w:b/>
          <w:bCs/>
          <w:color w:val="000000" w:themeColor="text1"/>
          <w:sz w:val="24"/>
          <w14:textFill>
            <w14:solidFill>
              <w14:schemeClr w14:val="tx1"/>
            </w14:solidFill>
          </w14:textFill>
        </w:rPr>
        <w:t>1.采购人信息</w:t>
      </w:r>
      <w:bookmarkEnd w:id="12"/>
      <w:bookmarkEnd w:id="13"/>
      <w:bookmarkEnd w:id="14"/>
      <w:bookmarkEnd w:id="15"/>
      <w:r>
        <w:rPr>
          <w:rFonts w:hint="eastAsia" w:ascii="宋体" w:hAnsi="宋体" w:cs="宋体" w:eastAsiaTheme="minorEastAsia"/>
          <w:b/>
          <w:bCs/>
          <w:color w:val="000000" w:themeColor="text1"/>
          <w:sz w:val="24"/>
          <w14:textFill>
            <w14:solidFill>
              <w14:schemeClr w14:val="tx1"/>
            </w14:solidFill>
          </w14:textFill>
        </w:rPr>
        <w:t>：</w:t>
      </w:r>
    </w:p>
    <w:p w14:paraId="443FAE38">
      <w:pPr>
        <w:spacing w:line="360" w:lineRule="auto"/>
        <w:ind w:firstLine="480" w:firstLineChars="200"/>
        <w:rPr>
          <w:rFonts w:ascii="宋体" w:hAnsi="宋体" w:cs="宋体" w:eastAsiaTheme="minorEastAsia"/>
          <w:color w:val="000000" w:themeColor="text1"/>
          <w:sz w:val="24"/>
          <w14:textFill>
            <w14:solidFill>
              <w14:schemeClr w14:val="tx1"/>
            </w14:solidFill>
          </w14:textFill>
        </w:rPr>
      </w:pPr>
      <w:r>
        <w:rPr>
          <w:rFonts w:hint="eastAsia" w:ascii="宋体" w:hAnsi="宋体" w:cs="宋体" w:eastAsiaTheme="minorEastAsia"/>
          <w:color w:val="000000" w:themeColor="text1"/>
          <w:sz w:val="24"/>
          <w14:textFill>
            <w14:solidFill>
              <w14:schemeClr w14:val="tx1"/>
            </w14:solidFill>
          </w14:textFill>
        </w:rPr>
        <w:t>名    称：浙江中医药大学</w:t>
      </w:r>
    </w:p>
    <w:p w14:paraId="61E0F966">
      <w:pPr>
        <w:spacing w:line="360" w:lineRule="auto"/>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宋体" w:hAnsi="宋体" w:cs="宋体" w:eastAsiaTheme="minorEastAsia"/>
          <w:color w:val="000000" w:themeColor="text1"/>
          <w:sz w:val="24"/>
          <w14:textFill>
            <w14:solidFill>
              <w14:schemeClr w14:val="tx1"/>
            </w14:solidFill>
          </w14:textFill>
        </w:rPr>
        <w:t>地    址：浙江省</w:t>
      </w:r>
      <w:r>
        <w:rPr>
          <w:rFonts w:hint="eastAsia" w:asciiTheme="minorEastAsia" w:hAnsiTheme="minorEastAsia" w:eastAsiaTheme="minorEastAsia"/>
          <w:color w:val="000000" w:themeColor="text1"/>
          <w:sz w:val="24"/>
          <w14:textFill>
            <w14:solidFill>
              <w14:schemeClr w14:val="tx1"/>
            </w14:solidFill>
          </w14:textFill>
        </w:rPr>
        <w:t>杭州市滨江滨文路548号</w:t>
      </w:r>
    </w:p>
    <w:p w14:paraId="5C116485">
      <w:pPr>
        <w:spacing w:line="360" w:lineRule="auto"/>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传    真：/</w:t>
      </w:r>
    </w:p>
    <w:p w14:paraId="391740E5">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项目联系人（询问）：董老师 </w:t>
      </w:r>
    </w:p>
    <w:p w14:paraId="565F7E60">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项目联系方式（询问）：0571-86658086</w:t>
      </w:r>
    </w:p>
    <w:p w14:paraId="5E33198D">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质疑联系人：刘清明 </w:t>
      </w:r>
    </w:p>
    <w:p w14:paraId="644021A6">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质疑联系方式：0571-86658089 </w:t>
      </w:r>
    </w:p>
    <w:p w14:paraId="6B22243F">
      <w:pPr>
        <w:spacing w:line="360" w:lineRule="auto"/>
        <w:rPr>
          <w:rFonts w:ascii="宋体" w:hAnsi="宋体" w:cs="宋体" w:eastAsiaTheme="minorEastAsia"/>
          <w:b/>
          <w:bCs/>
          <w:color w:val="000000" w:themeColor="text1"/>
          <w:sz w:val="24"/>
          <w14:textFill>
            <w14:solidFill>
              <w14:schemeClr w14:val="tx1"/>
            </w14:solidFill>
          </w14:textFill>
        </w:rPr>
      </w:pPr>
      <w:bookmarkStart w:id="16" w:name="_Toc28359020"/>
      <w:bookmarkStart w:id="17" w:name="_Toc35393807"/>
      <w:bookmarkStart w:id="18" w:name="_Toc28359097"/>
      <w:bookmarkStart w:id="19" w:name="_Toc35393638"/>
      <w:r>
        <w:rPr>
          <w:rFonts w:hint="eastAsia" w:ascii="宋体" w:hAnsi="宋体" w:cs="宋体" w:eastAsiaTheme="minorEastAsia"/>
          <w:b/>
          <w:bCs/>
          <w:color w:val="000000" w:themeColor="text1"/>
          <w:sz w:val="24"/>
          <w14:textFill>
            <w14:solidFill>
              <w14:schemeClr w14:val="tx1"/>
            </w14:solidFill>
          </w14:textFill>
        </w:rPr>
        <w:t>2.采购代理机构信息</w:t>
      </w:r>
      <w:bookmarkEnd w:id="16"/>
      <w:bookmarkEnd w:id="17"/>
      <w:bookmarkEnd w:id="18"/>
      <w:bookmarkEnd w:id="19"/>
      <w:r>
        <w:rPr>
          <w:rFonts w:hint="eastAsia" w:ascii="宋体" w:hAnsi="宋体" w:cs="宋体" w:eastAsiaTheme="minorEastAsia"/>
          <w:b/>
          <w:bCs/>
          <w:color w:val="000000" w:themeColor="text1"/>
          <w:sz w:val="24"/>
          <w14:textFill>
            <w14:solidFill>
              <w14:schemeClr w14:val="tx1"/>
            </w14:solidFill>
          </w14:textFill>
        </w:rPr>
        <w:t>：</w:t>
      </w:r>
    </w:p>
    <w:p w14:paraId="27589C8C">
      <w:pPr>
        <w:spacing w:line="360" w:lineRule="auto"/>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宋体" w:hAnsi="宋体" w:cs="宋体" w:eastAsiaTheme="minorEastAsia"/>
          <w:color w:val="000000" w:themeColor="text1"/>
          <w:sz w:val="24"/>
          <w14:textFill>
            <w14:solidFill>
              <w14:schemeClr w14:val="tx1"/>
            </w14:solidFill>
          </w14:textFill>
        </w:rPr>
        <w:t>名    称：浙江豪圣</w:t>
      </w:r>
      <w:r>
        <w:rPr>
          <w:rFonts w:hint="eastAsia" w:asciiTheme="minorEastAsia" w:hAnsiTheme="minorEastAsia" w:eastAsiaTheme="minorEastAsia"/>
          <w:color w:val="000000" w:themeColor="text1"/>
          <w:sz w:val="24"/>
          <w14:textFill>
            <w14:solidFill>
              <w14:schemeClr w14:val="tx1"/>
            </w14:solidFill>
          </w14:textFill>
        </w:rPr>
        <w:t xml:space="preserve">建设项目管理有限公司             </w:t>
      </w:r>
    </w:p>
    <w:p w14:paraId="0806A88C">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地    址：杭州市拱墅区大关路179号远洋国际中心A座17楼1706室</w:t>
      </w:r>
      <w:r>
        <w:rPr>
          <w:rFonts w:asciiTheme="minorEastAsia" w:hAnsiTheme="minorEastAsia" w:eastAsiaTheme="minorEastAsia"/>
          <w:color w:val="000000" w:themeColor="text1"/>
          <w:sz w:val="24"/>
          <w14:textFill>
            <w14:solidFill>
              <w14:schemeClr w14:val="tx1"/>
            </w14:solidFill>
          </w14:textFill>
        </w:rPr>
        <w:t xml:space="preserve"> </w:t>
      </w:r>
    </w:p>
    <w:p w14:paraId="16A72456">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传    真：/             </w:t>
      </w:r>
    </w:p>
    <w:p w14:paraId="1C265D53">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项目联系人（询问）：赵邵东、杨男、王俭、陶传林</w:t>
      </w:r>
    </w:p>
    <w:p w14:paraId="374EEFC4">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项目联系方式（询问）：0571-87981527 </w:t>
      </w:r>
    </w:p>
    <w:p w14:paraId="0F5C1AFE">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质疑联系人：桑国坚             </w:t>
      </w:r>
    </w:p>
    <w:p w14:paraId="6DF574DF">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质疑联系方式：0571-56386096</w:t>
      </w:r>
    </w:p>
    <w:p w14:paraId="4B2E8147">
      <w:pPr>
        <w:spacing w:line="360" w:lineRule="auto"/>
        <w:rPr>
          <w:rFonts w:asciiTheme="minorEastAsia" w:hAnsiTheme="minorEastAsia" w:eastAsiaTheme="minorEastAsia"/>
          <w:b/>
          <w:color w:val="000000" w:themeColor="text1"/>
          <w:sz w:val="24"/>
          <w14:textFill>
            <w14:solidFill>
              <w14:schemeClr w14:val="tx1"/>
            </w14:solidFill>
          </w14:textFill>
        </w:rPr>
      </w:pPr>
      <w:bookmarkStart w:id="20" w:name="_Toc28359098"/>
      <w:bookmarkStart w:id="21" w:name="_Toc35393808"/>
      <w:bookmarkStart w:id="22" w:name="_Toc28359021"/>
      <w:bookmarkStart w:id="23" w:name="_Toc35393639"/>
      <w:r>
        <w:rPr>
          <w:rFonts w:hint="eastAsia" w:cs="宋体" w:asciiTheme="minorEastAsia" w:hAnsiTheme="minorEastAsia" w:eastAsiaTheme="minorEastAsia"/>
          <w:b/>
          <w:bCs/>
          <w:color w:val="000000" w:themeColor="text1"/>
          <w:sz w:val="24"/>
          <w14:textFill>
            <w14:solidFill>
              <w14:schemeClr w14:val="tx1"/>
            </w14:solidFill>
          </w14:textFill>
        </w:rPr>
        <w:t>3.</w:t>
      </w:r>
      <w:r>
        <w:rPr>
          <w:rFonts w:hint="eastAsia" w:asciiTheme="minorEastAsia" w:hAnsiTheme="minorEastAsia" w:eastAsiaTheme="minorEastAsia"/>
          <w:b/>
          <w:color w:val="000000" w:themeColor="text1"/>
          <w:sz w:val="24"/>
          <w14:textFill>
            <w14:solidFill>
              <w14:schemeClr w14:val="tx1"/>
            </w14:solidFill>
          </w14:textFill>
        </w:rPr>
        <w:t xml:space="preserve">同级政府采购监督管理部门：            </w:t>
      </w:r>
    </w:p>
    <w:p w14:paraId="0B4C9C68">
      <w:pPr>
        <w:spacing w:line="360" w:lineRule="auto"/>
        <w:rPr>
          <w:rFonts w:ascii="宋体" w:hAnsi="宋体" w:cs="宋体"/>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w:t>
      </w:r>
      <w:bookmarkEnd w:id="20"/>
      <w:bookmarkEnd w:id="21"/>
      <w:bookmarkEnd w:id="22"/>
      <w:bookmarkEnd w:id="23"/>
      <w:r>
        <w:rPr>
          <w:rFonts w:hint="eastAsia" w:ascii="宋体" w:hAnsi="宋体" w:cs="宋体"/>
          <w:color w:val="000000" w:themeColor="text1"/>
          <w:sz w:val="24"/>
          <w14:textFill>
            <w14:solidFill>
              <w14:schemeClr w14:val="tx1"/>
            </w14:solidFill>
          </w14:textFill>
        </w:rPr>
        <w:t>名    称：浙江省政府采购行政裁决服务中心（杭州）</w:t>
      </w:r>
    </w:p>
    <w:p w14:paraId="21C2ACD5">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地    址：杭州市上城区清泰街549号城建综合大楼11楼（快递仅限ems或顺丰） </w:t>
      </w:r>
    </w:p>
    <w:p w14:paraId="73E8E4AA">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传    真： /</w:t>
      </w:r>
    </w:p>
    <w:p w14:paraId="643389F7">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联</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系</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人：匡老师</w:t>
      </w:r>
    </w:p>
    <w:p w14:paraId="202CBDD2">
      <w:pPr>
        <w:spacing w:line="360" w:lineRule="auto"/>
        <w:ind w:firstLine="48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监督投诉电话：0571-87807798</w:t>
      </w:r>
    </w:p>
    <w:p w14:paraId="2CA9E215">
      <w:pPr>
        <w:spacing w:line="360" w:lineRule="auto"/>
        <w:ind w:firstLine="480"/>
        <w:rPr>
          <w:rFonts w:ascii="宋体" w:hAnsi="宋体" w:cs="宋体"/>
          <w:color w:val="000000" w:themeColor="text1"/>
          <w:sz w:val="24"/>
          <w14:textFill>
            <w14:solidFill>
              <w14:schemeClr w14:val="tx1"/>
            </w14:solidFill>
          </w14:textFill>
        </w:rPr>
      </w:pPr>
    </w:p>
    <w:p w14:paraId="5DF6ABD1">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政策咨询：何一平、冯华，0571-87058424、87055741     </w:t>
      </w:r>
    </w:p>
    <w:p w14:paraId="7340350C">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若对项目采购电子交易系统操作有疑问，可登录政采云（https://www.zcygov.cn/），点击右侧咨询小采，获取采小蜜智能服务管家帮助，或拨打政采云服务热线</w:t>
      </w:r>
      <w:r>
        <w:rPr>
          <w:rFonts w:hint="eastAsia" w:asciiTheme="minorEastAsia" w:hAnsiTheme="minorEastAsia" w:eastAsiaTheme="minorEastAsia"/>
          <w:color w:val="000000" w:themeColor="text1"/>
          <w:sz w:val="24"/>
          <w14:textFill>
            <w14:solidFill>
              <w14:schemeClr w14:val="tx1"/>
            </w14:solidFill>
          </w14:textFill>
        </w:rPr>
        <w:t>95763</w:t>
      </w:r>
      <w:r>
        <w:rPr>
          <w:rFonts w:hint="eastAsia" w:ascii="宋体" w:hAnsi="宋体" w:cs="宋体"/>
          <w:color w:val="000000" w:themeColor="text1"/>
          <w:sz w:val="24"/>
          <w14:textFill>
            <w14:solidFill>
              <w14:schemeClr w14:val="tx1"/>
            </w14:solidFill>
          </w14:textFill>
        </w:rPr>
        <w:t>获取热线服务帮助。</w:t>
      </w:r>
    </w:p>
    <w:p w14:paraId="060784CA">
      <w:pPr>
        <w:snapToGrid w:val="0"/>
        <w:spacing w:line="360" w:lineRule="auto"/>
        <w:ind w:firstLine="480" w:firstLineChars="200"/>
        <w:rPr>
          <w:rFonts w:ascii="宋体" w:hAnsi="宋体" w:cs="宋体"/>
          <w:color w:val="000000" w:themeColor="text1"/>
          <w:sz w:val="24"/>
          <w14:textFill>
            <w14:solidFill>
              <w14:schemeClr w14:val="tx1"/>
            </w14:solidFill>
          </w14:textFill>
        </w:rPr>
        <w:sectPr>
          <w:footerReference r:id="rId5" w:type="first"/>
          <w:footerReference r:id="rId3" w:type="default"/>
          <w:footerReference r:id="rId4" w:type="even"/>
          <w:pgSz w:w="11906" w:h="16838"/>
          <w:pgMar w:top="1440" w:right="1080" w:bottom="1440" w:left="1080" w:header="851" w:footer="992" w:gutter="0"/>
          <w:cols w:space="720" w:num="1"/>
          <w:titlePg/>
          <w:docGrid w:linePitch="312" w:charSpace="0"/>
        </w:sectPr>
      </w:pPr>
      <w:r>
        <w:rPr>
          <w:rFonts w:hint="eastAsia" w:ascii="宋体" w:hAnsi="宋体" w:cs="宋体"/>
          <w:color w:val="000000" w:themeColor="text1"/>
          <w:sz w:val="24"/>
          <w14:textFill>
            <w14:solidFill>
              <w14:schemeClr w14:val="tx1"/>
            </w14:solidFill>
          </w14:textFill>
        </w:rPr>
        <w:t>CA问题联系电话（人工）：汇信CA 400-888-4636；天谷CA 400-087-8198。</w:t>
      </w:r>
    </w:p>
    <w:p w14:paraId="311D5A43">
      <w:pPr>
        <w:pStyle w:val="32"/>
        <w:spacing w:line="360" w:lineRule="auto"/>
        <w:jc w:val="center"/>
        <w:outlineLvl w:val="0"/>
        <w:rPr>
          <w:rFonts w:hAnsi="宋体" w:cs="宋体"/>
          <w:b/>
          <w:snapToGrid/>
          <w:color w:val="000000" w:themeColor="text1"/>
          <w:sz w:val="36"/>
          <w:szCs w:val="20"/>
          <w14:textFill>
            <w14:solidFill>
              <w14:schemeClr w14:val="tx1"/>
            </w14:solidFill>
          </w14:textFill>
        </w:rPr>
      </w:pPr>
      <w:bookmarkStart w:id="24" w:name="_Toc3407"/>
      <w:r>
        <w:rPr>
          <w:rFonts w:hint="eastAsia" w:hAnsi="宋体" w:cs="宋体"/>
          <w:b/>
          <w:snapToGrid/>
          <w:color w:val="000000" w:themeColor="text1"/>
          <w:sz w:val="36"/>
          <w:szCs w:val="20"/>
          <w14:textFill>
            <w14:solidFill>
              <w14:schemeClr w14:val="tx1"/>
            </w14:solidFill>
          </w14:textFill>
        </w:rPr>
        <w:t>第二部分</w:t>
      </w:r>
      <w:bookmarkEnd w:id="7"/>
      <w:r>
        <w:rPr>
          <w:rFonts w:hint="eastAsia" w:hAnsi="宋体" w:cs="宋体"/>
          <w:b/>
          <w:snapToGrid/>
          <w:color w:val="000000" w:themeColor="text1"/>
          <w:sz w:val="36"/>
          <w:szCs w:val="20"/>
          <w14:textFill>
            <w14:solidFill>
              <w14:schemeClr w14:val="tx1"/>
            </w14:solidFill>
          </w14:textFill>
        </w:rPr>
        <w:t xml:space="preserve"> 供应商须知</w:t>
      </w:r>
      <w:bookmarkEnd w:id="8"/>
      <w:bookmarkEnd w:id="24"/>
    </w:p>
    <w:p w14:paraId="797C7BDE">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25" w:name="_Toc21400"/>
      <w:r>
        <w:rPr>
          <w:rFonts w:hint="eastAsia" w:ascii="宋体" w:hAnsi="宋体" w:cs="宋体"/>
          <w:b/>
          <w:color w:val="000000" w:themeColor="text1"/>
          <w:sz w:val="32"/>
          <w:szCs w:val="20"/>
          <w14:textFill>
            <w14:solidFill>
              <w14:schemeClr w14:val="tx1"/>
            </w14:solidFill>
          </w14:textFill>
        </w:rPr>
        <w:t>前附表</w:t>
      </w:r>
      <w:bookmarkEnd w:id="25"/>
    </w:p>
    <w:tbl>
      <w:tblPr>
        <w:tblStyle w:val="62"/>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09B88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45" w:hRule="atLeast"/>
        </w:trPr>
        <w:tc>
          <w:tcPr>
            <w:tcW w:w="714" w:type="dxa"/>
          </w:tcPr>
          <w:p w14:paraId="19249804">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序号</w:t>
            </w:r>
          </w:p>
        </w:tc>
        <w:tc>
          <w:tcPr>
            <w:tcW w:w="2093" w:type="dxa"/>
            <w:vAlign w:val="center"/>
          </w:tcPr>
          <w:p w14:paraId="4A2D7AE7">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事项</w:t>
            </w:r>
          </w:p>
        </w:tc>
        <w:tc>
          <w:tcPr>
            <w:tcW w:w="6927" w:type="dxa"/>
            <w:vAlign w:val="center"/>
          </w:tcPr>
          <w:p w14:paraId="5F777FC9">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本项目的特别规定</w:t>
            </w:r>
          </w:p>
        </w:tc>
      </w:tr>
      <w:tr w14:paraId="16953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7" w:hRule="atLeast"/>
        </w:trPr>
        <w:tc>
          <w:tcPr>
            <w:tcW w:w="714" w:type="dxa"/>
            <w:vAlign w:val="center"/>
          </w:tcPr>
          <w:p w14:paraId="31DF7431">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093" w:type="dxa"/>
            <w:vAlign w:val="center"/>
          </w:tcPr>
          <w:p w14:paraId="34648DC4">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项目属性</w:t>
            </w:r>
          </w:p>
        </w:tc>
        <w:tc>
          <w:tcPr>
            <w:tcW w:w="6927" w:type="dxa"/>
            <w:vAlign w:val="center"/>
          </w:tcPr>
          <w:p w14:paraId="1BA49E13">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工程</w:t>
            </w:r>
            <w:r>
              <w:rPr>
                <w:rFonts w:hint="eastAsia" w:ascii="宋体" w:hAnsi="宋体" w:cs="宋体"/>
                <w:color w:val="000000" w:themeColor="text1"/>
                <w:sz w:val="24"/>
                <w14:textFill>
                  <w14:solidFill>
                    <w14:schemeClr w14:val="tx1"/>
                  </w14:solidFill>
                </w14:textFill>
              </w:rPr>
              <w:t>类</w:t>
            </w:r>
          </w:p>
        </w:tc>
      </w:tr>
      <w:tr w14:paraId="23B1A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BF763DF">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093" w:type="dxa"/>
            <w:vAlign w:val="center"/>
          </w:tcPr>
          <w:p w14:paraId="6AB90C59">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采购标的及其对应的中小企业划分标准所属行业</w:t>
            </w:r>
          </w:p>
        </w:tc>
        <w:tc>
          <w:tcPr>
            <w:tcW w:w="6927" w:type="dxa"/>
            <w:vAlign w:val="center"/>
          </w:tcPr>
          <w:p w14:paraId="626F91E4">
            <w:pPr>
              <w:pStyle w:val="3"/>
              <w:spacing w:line="240" w:lineRule="auto"/>
              <w:ind w:left="0" w:firstLine="0"/>
              <w:rPr>
                <w:rFonts w:ascii="宋体" w:hAnsi="宋体" w:eastAsia="宋体" w:cs="宋体"/>
                <w:color w:val="000000" w:themeColor="text1"/>
                <w:kern w:val="0"/>
                <w:sz w:val="24"/>
                <w14:textFill>
                  <w14:solidFill>
                    <w14:schemeClr w14:val="tx1"/>
                  </w14:solidFill>
                </w14:textFill>
              </w:rPr>
            </w:pPr>
            <w:bookmarkStart w:id="26" w:name="_Toc19396"/>
            <w:r>
              <w:rPr>
                <w:rFonts w:hint="eastAsia" w:ascii="宋体" w:hAnsi="宋体" w:eastAsia="宋体" w:cs="宋体"/>
                <w:color w:val="000000" w:themeColor="text1"/>
                <w:kern w:val="0"/>
                <w:sz w:val="24"/>
                <w14:textFill>
                  <w14:solidFill>
                    <w14:schemeClr w14:val="tx1"/>
                  </w14:solidFill>
                </w14:textFill>
              </w:rPr>
              <w:t>（1）标的：</w:t>
            </w:r>
            <w:r>
              <w:rPr>
                <w:rFonts w:hint="eastAsia" w:ascii="宋体" w:hAnsi="宋体" w:eastAsia="宋体" w:cs="宋体"/>
                <w:color w:val="000000" w:themeColor="text1"/>
                <w:kern w:val="0"/>
                <w:sz w:val="24"/>
                <w:u w:val="single"/>
                <w14:textFill>
                  <w14:solidFill>
                    <w14:schemeClr w14:val="tx1"/>
                  </w14:solidFill>
                </w14:textFill>
              </w:rPr>
              <w:t>浙江中医药大学富春校区体育场地修缮工程</w:t>
            </w:r>
            <w:r>
              <w:rPr>
                <w:rFonts w:hint="eastAsia" w:ascii="宋体" w:hAnsi="宋体" w:eastAsia="宋体" w:cs="宋体"/>
                <w:color w:val="000000" w:themeColor="text1"/>
                <w:kern w:val="0"/>
                <w:sz w:val="24"/>
                <w14:textFill>
                  <w14:solidFill>
                    <w14:schemeClr w14:val="tx1"/>
                  </w14:solidFill>
                </w14:textFill>
              </w:rPr>
              <w:t>，属于</w:t>
            </w:r>
            <w:r>
              <w:rPr>
                <w:rFonts w:hint="eastAsia" w:ascii="宋体" w:hAnsi="宋体" w:eastAsia="宋体" w:cs="宋体"/>
                <w:color w:val="000000" w:themeColor="text1"/>
                <w:kern w:val="0"/>
                <w:sz w:val="24"/>
                <w:u w:val="single"/>
                <w14:textFill>
                  <w14:solidFill>
                    <w14:schemeClr w14:val="tx1"/>
                  </w14:solidFill>
                </w14:textFill>
              </w:rPr>
              <w:t xml:space="preserve"> 建筑业 </w:t>
            </w:r>
            <w:r>
              <w:rPr>
                <w:rFonts w:hint="eastAsia" w:ascii="宋体" w:hAnsi="宋体" w:eastAsia="宋体" w:cs="宋体"/>
                <w:color w:val="000000" w:themeColor="text1"/>
                <w:kern w:val="0"/>
                <w:sz w:val="24"/>
                <w14:textFill>
                  <w14:solidFill>
                    <w14:schemeClr w14:val="tx1"/>
                  </w14:solidFill>
                </w14:textFill>
              </w:rPr>
              <w:t>行业；</w:t>
            </w:r>
            <w:bookmarkEnd w:id="26"/>
          </w:p>
          <w:p w14:paraId="16BA4E3D">
            <w:pPr>
              <w:pStyle w:val="3"/>
              <w:spacing w:line="240" w:lineRule="auto"/>
              <w:ind w:left="0" w:firstLine="0"/>
              <w:rPr>
                <w:rFonts w:ascii="宋体" w:hAnsi="宋体" w:eastAsia="宋体" w:cs="宋体"/>
                <w:color w:val="000000" w:themeColor="text1"/>
                <w:lang w:val="en-US"/>
                <w14:textFill>
                  <w14:solidFill>
                    <w14:schemeClr w14:val="tx1"/>
                  </w14:solidFill>
                </w14:textFill>
              </w:rPr>
            </w:pPr>
            <w:bookmarkStart w:id="27" w:name="_Toc17433"/>
            <w:r>
              <w:rPr>
                <w:rFonts w:hint="eastAsia" w:ascii="宋体" w:hAnsi="宋体" w:eastAsia="宋体" w:cs="宋体"/>
                <w:b w:val="0"/>
                <w:bCs w:val="0"/>
                <w:color w:val="000000" w:themeColor="text1"/>
                <w:kern w:val="0"/>
                <w:sz w:val="24"/>
                <w:szCs w:val="24"/>
                <w:lang w:val="en-US"/>
                <w14:textFill>
                  <w14:solidFill>
                    <w14:schemeClr w14:val="tx1"/>
                  </w14:solidFill>
                </w14:textFill>
              </w:rPr>
              <w:t>（2）根据《关于印发中小企业划型标准规定的通知》（工信部联企业〔2011〕300号）规定：建筑业行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bookmarkEnd w:id="27"/>
          </w:p>
        </w:tc>
      </w:tr>
      <w:tr w14:paraId="0F5FA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9C4C474">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093" w:type="dxa"/>
            <w:vAlign w:val="center"/>
          </w:tcPr>
          <w:p w14:paraId="7952D33E">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是否允许采购进口产品</w:t>
            </w:r>
          </w:p>
        </w:tc>
        <w:tc>
          <w:tcPr>
            <w:tcW w:w="6927" w:type="dxa"/>
            <w:vAlign w:val="center"/>
          </w:tcPr>
          <w:p w14:paraId="40F6566D">
            <w:pPr>
              <w:rPr>
                <w:rFonts w:ascii="宋体" w:hAnsi="宋体" w:cs="宋体"/>
                <w:color w:val="000000" w:themeColor="text1"/>
                <w:kern w:val="0"/>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39348121"/>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ascii="Wingdings" w:hAnsi="Wingdings"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本项目不允许采购进口产品。</w:t>
            </w:r>
          </w:p>
          <w:p w14:paraId="093FB834">
            <w:pPr>
              <w:rPr>
                <w:rFonts w:ascii="宋体" w:hAnsi="宋体" w:cs="宋体"/>
                <w:color w:val="000000" w:themeColor="text1"/>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934249032"/>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可以就</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采购进口产品。</w:t>
            </w:r>
          </w:p>
        </w:tc>
      </w:tr>
      <w:tr w14:paraId="4892E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D390DFF">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093" w:type="dxa"/>
            <w:vAlign w:val="center"/>
          </w:tcPr>
          <w:p w14:paraId="71BD0EB5">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分包</w:t>
            </w:r>
          </w:p>
        </w:tc>
        <w:tc>
          <w:tcPr>
            <w:tcW w:w="6927" w:type="dxa"/>
            <w:vAlign w:val="center"/>
          </w:tcPr>
          <w:p w14:paraId="37F06369">
            <w:pPr>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830507879"/>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ascii="Wingdings" w:hAnsi="Wingdings"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同意将非主体、非关键性的</w:t>
            </w:r>
            <w:r>
              <w:rPr>
                <w:rFonts w:hint="eastAsia" w:ascii="宋体" w:hAnsi="宋体" w:cs="宋体"/>
                <w:sz w:val="24"/>
                <w:u w:val="single"/>
              </w:rPr>
              <w:t>材料运输</w:t>
            </w:r>
            <w:r>
              <w:rPr>
                <w:rFonts w:hint="eastAsia" w:ascii="宋体" w:hAnsi="宋体" w:cs="宋体"/>
                <w:color w:val="000000" w:themeColor="text1"/>
                <w:sz w:val="24"/>
                <w14:textFill>
                  <w14:solidFill>
                    <w14:schemeClr w14:val="tx1"/>
                  </w14:solidFill>
                </w14:textFill>
              </w:rPr>
              <w:t>工作分包。</w:t>
            </w:r>
          </w:p>
          <w:p w14:paraId="7D27AB45">
            <w:pPr>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895793254"/>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MS Gothic" w:hAnsi="MS Gothic"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不同意分包，具体理由：</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p>
          <w:p w14:paraId="79381993">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注：不得限制大中型企业向小微企业合理分包。</w:t>
            </w:r>
          </w:p>
        </w:tc>
      </w:tr>
      <w:tr w14:paraId="65AE1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9F98133">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093" w:type="dxa"/>
            <w:vAlign w:val="center"/>
          </w:tcPr>
          <w:p w14:paraId="18E2FB5A">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磋商前答疑会或现场考察</w:t>
            </w:r>
          </w:p>
        </w:tc>
        <w:tc>
          <w:tcPr>
            <w:tcW w:w="6927" w:type="dxa"/>
            <w:vAlign w:val="center"/>
          </w:tcPr>
          <w:p w14:paraId="0DCCA566">
            <w:pPr>
              <w:pStyle w:val="79"/>
              <w:spacing w:line="240" w:lineRule="auto"/>
              <w:ind w:firstLine="0" w:firstLineChars="0"/>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sz w:val="24"/>
                  <w14:textFill>
                    <w14:solidFill>
                      <w14:schemeClr w14:val="tx1"/>
                    </w14:solidFill>
                  </w14:textFill>
                </w:rPr>
                <w:id w:val="688692135"/>
                <w14:checkbox>
                  <w14:checked w14:val="1"/>
                  <w14:checkedState w14:val="00FE" w14:font="Wingdings"/>
                  <w14:uncheckedState w14:val="2610" w14:font="MS Gothic"/>
                </w14:checkbox>
              </w:sdtPr>
              <w:sdtEndPr>
                <w:rPr>
                  <w:rFonts w:hint="eastAsia" w:ascii="宋体" w:hAnsi="宋体" w:eastAsia="宋体" w:cs="宋体"/>
                  <w:color w:val="000000" w:themeColor="text1"/>
                  <w:sz w:val="24"/>
                  <w14:textFill>
                    <w14:solidFill>
                      <w14:schemeClr w14:val="tx1"/>
                    </w14:solidFill>
                  </w14:textFill>
                </w:rPr>
              </w:sdtEndPr>
              <w:sdtContent>
                <w:r>
                  <w:rPr>
                    <w:rFonts w:hint="eastAsia" w:ascii="宋体" w:hAnsi="宋体" w:cs="宋体"/>
                    <w:color w:val="000000" w:themeColor="text1"/>
                    <w:sz w:val="24"/>
                    <w14:textFill>
                      <w14:solidFill>
                        <w14:schemeClr w14:val="tx1"/>
                      </w14:solidFill>
                    </w14:textFill>
                  </w:rPr>
                  <w:sym w:font="Wingdings" w:char="F0FE"/>
                </w:r>
              </w:sdtContent>
            </w:sdt>
            <w:r>
              <w:rPr>
                <w:rFonts w:hint="eastAsia" w:ascii="宋体" w:hAnsi="宋体" w:eastAsia="宋体" w:cs="宋体"/>
                <w:color w:val="000000" w:themeColor="text1"/>
                <w:sz w:val="24"/>
                <w14:textFill>
                  <w14:solidFill>
                    <w14:schemeClr w14:val="tx1"/>
                  </w14:solidFill>
                </w14:textFill>
              </w:rPr>
              <w:t>A不组织。</w:t>
            </w:r>
          </w:p>
          <w:p w14:paraId="5AC735F2">
            <w:pPr>
              <w:pStyle w:val="79"/>
              <w:spacing w:line="240" w:lineRule="auto"/>
              <w:ind w:firstLine="0" w:firstLineChars="0"/>
              <w:rPr>
                <w:rFonts w:ascii="宋体" w:hAnsi="宋体" w:cs="宋体"/>
                <w:color w:val="000000" w:themeColor="text1"/>
                <w:sz w:val="24"/>
                <w:szCs w:val="20"/>
                <w14:textFill>
                  <w14:solidFill>
                    <w14:schemeClr w14:val="tx1"/>
                  </w14:solidFill>
                </w14:textFill>
              </w:rPr>
            </w:pPr>
            <w:sdt>
              <w:sdtPr>
                <w:rPr>
                  <w:rFonts w:hint="eastAsia" w:ascii="宋体" w:hAnsi="宋体" w:cs="宋体"/>
                  <w:color w:val="000000" w:themeColor="text1"/>
                  <w:sz w:val="24"/>
                  <w14:textFill>
                    <w14:solidFill>
                      <w14:schemeClr w14:val="tx1"/>
                    </w14:solidFill>
                  </w14:textFill>
                </w:rPr>
                <w:id w:val="374731186"/>
                <w14:checkbox>
                  <w14:checked w14:val="0"/>
                  <w14:checkedState w14:val="00FE" w14:font="Wingdings"/>
                  <w14:uncheckedState w14:val="2610" w14:font="MS Gothic"/>
                </w14:checkbox>
              </w:sdtPr>
              <w:sdtEndPr>
                <w:rPr>
                  <w:rFonts w:hint="eastAsia" w:ascii="宋体" w:hAnsi="宋体" w:eastAsia="宋体" w:cs="宋体"/>
                  <w:color w:val="000000" w:themeColor="text1"/>
                  <w:sz w:val="24"/>
                  <w14:textFill>
                    <w14:solidFill>
                      <w14:schemeClr w14:val="tx1"/>
                    </w14:solidFill>
                  </w14:textFill>
                </w:rPr>
              </w:sdtEndPr>
              <w:sdtContent>
                <w:r>
                  <w:rPr>
                    <w:rFonts w:hint="eastAsia" w:ascii="宋体" w:hAnsi="宋体" w:cs="宋体"/>
                    <w:color w:val="000000" w:themeColor="text1"/>
                    <w:sz w:val="24"/>
                    <w14:textFill>
                      <w14:solidFill>
                        <w14:schemeClr w14:val="tx1"/>
                      </w14:solidFill>
                    </w14:textFill>
                  </w:rPr>
                  <w:t>☐</w:t>
                </w:r>
              </w:sdtContent>
            </w:sdt>
            <w:r>
              <w:rPr>
                <w:rFonts w:hint="eastAsia" w:ascii="宋体" w:hAnsi="宋体" w:eastAsia="宋体" w:cs="宋体"/>
                <w:color w:val="000000" w:themeColor="text1"/>
                <w:sz w:val="24"/>
                <w14:textFill>
                  <w14:solidFill>
                    <w14:schemeClr w14:val="tx1"/>
                  </w14:solidFill>
                </w14:textFill>
              </w:rPr>
              <w:t>B组织，时间：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,地点：</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，联系人：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，联系方式：</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szCs w:val="20"/>
                <w14:textFill>
                  <w14:solidFill>
                    <w14:schemeClr w14:val="tx1"/>
                  </w14:solidFill>
                </w14:textFill>
              </w:rPr>
              <w:t>。</w:t>
            </w:r>
          </w:p>
          <w:p w14:paraId="31B0CA7C">
            <w:pPr>
              <w:pStyle w:val="79"/>
              <w:spacing w:line="240" w:lineRule="auto"/>
              <w:ind w:firstLine="0" w:firstLineChars="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C不统一组织，供应商在获取采购文件后，自行至项目现场考察。地点： ，联系人： ，联系方式： 。</w:t>
            </w:r>
          </w:p>
        </w:tc>
      </w:tr>
      <w:tr w14:paraId="5D756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FC1176D">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093" w:type="dxa"/>
            <w:vAlign w:val="center"/>
          </w:tcPr>
          <w:p w14:paraId="0F08A12D">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样品提供</w:t>
            </w:r>
          </w:p>
        </w:tc>
        <w:tc>
          <w:tcPr>
            <w:tcW w:w="6927" w:type="dxa"/>
            <w:vAlign w:val="center"/>
          </w:tcPr>
          <w:p w14:paraId="6AC2E909">
            <w:pPr>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586211181"/>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ascii="MS Gothic" w:hAnsi="MS Gothic"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不要求提供。</w:t>
            </w:r>
          </w:p>
          <w:p w14:paraId="04AF3948">
            <w:pPr>
              <w:rPr>
                <w:rFonts w:ascii="宋体" w:hAnsi="宋体" w:cs="宋体"/>
                <w:color w:val="000000" w:themeColor="text1"/>
                <w:kern w:val="0"/>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1026831988"/>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ascii="Wingdings" w:hAnsi="Wingdings"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B要求提供，</w:t>
            </w:r>
          </w:p>
          <w:p w14:paraId="6F5E47B3">
            <w:pPr>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w:t>
            </w:r>
            <w:r>
              <w:rPr>
                <w:rFonts w:hint="eastAsia" w:ascii="宋体" w:hAnsi="宋体" w:cs="宋体"/>
                <w:snapToGrid w:val="0"/>
                <w:color w:val="000000" w:themeColor="text1"/>
                <w:kern w:val="28"/>
                <w:sz w:val="24"/>
                <w14:textFill>
                  <w14:solidFill>
                    <w14:schemeClr w14:val="tx1"/>
                  </w14:solidFill>
                </w14:textFill>
              </w:rPr>
              <w:t>样品：</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snapToGrid w:val="0"/>
                <w:kern w:val="28"/>
                <w:sz w:val="24"/>
                <w:u w:val="single"/>
              </w:rPr>
              <w:t>塑胶跑道样品二块，尺寸350mm*450mm*14mm；人造草坪样品二块，尺寸700mm*800mm*50mm</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w:t>
            </w:r>
          </w:p>
          <w:p w14:paraId="11EF7B5A">
            <w:pP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hint="eastAsia" w:ascii="宋体" w:hAnsi="宋体" w:cs="宋体"/>
                <w:b/>
                <w:color w:val="000000" w:themeColor="text1"/>
                <w:kern w:val="0"/>
                <w:sz w:val="24"/>
                <w14:textFill>
                  <w14:solidFill>
                    <w14:schemeClr w14:val="tx1"/>
                  </w14:solidFill>
                </w14:textFill>
              </w:rPr>
              <w:t>未提供样品或样品不全按无效标处理。</w:t>
            </w:r>
          </w:p>
          <w:p w14:paraId="48D0A998">
            <w:pP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w:t>
            </w:r>
            <w:r>
              <w:rPr>
                <w:rFonts w:hint="eastAsia" w:ascii="宋体" w:hAnsi="宋体" w:cs="宋体"/>
                <w:snapToGrid w:val="0"/>
                <w:color w:val="000000" w:themeColor="text1"/>
                <w:kern w:val="28"/>
                <w:sz w:val="24"/>
                <w14:textFill>
                  <w14:solidFill>
                    <w14:schemeClr w14:val="tx1"/>
                  </w14:solidFill>
                </w14:textFill>
              </w:rPr>
              <w:t>样品制作的标准和要求：</w:t>
            </w:r>
            <w:r>
              <w:rPr>
                <w:rFonts w:hint="eastAsia" w:ascii="宋体" w:hAnsi="宋体" w:cs="宋体"/>
                <w:color w:val="000000" w:themeColor="text1"/>
                <w:sz w:val="24"/>
                <w:u w:val="single"/>
                <w14:textFill>
                  <w14:solidFill>
                    <w14:schemeClr w14:val="tx1"/>
                  </w14:solidFill>
                </w14:textFill>
              </w:rPr>
              <w:t xml:space="preserve"> 需提供符合采购文件参数要求的样品 </w:t>
            </w:r>
            <w:r>
              <w:rPr>
                <w:rFonts w:hint="eastAsia" w:ascii="宋体" w:hAnsi="宋体" w:cs="宋体"/>
                <w:color w:val="000000" w:themeColor="text1"/>
                <w:kern w:val="0"/>
                <w:sz w:val="24"/>
                <w14:textFill>
                  <w14:solidFill>
                    <w14:schemeClr w14:val="tx1"/>
                  </w14:solidFill>
                </w14:textFill>
              </w:rPr>
              <w:t>；</w:t>
            </w:r>
          </w:p>
          <w:p w14:paraId="60EDAEE5">
            <w:pP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（3）样品的评审方法以及评审标准</w:t>
            </w:r>
            <w:r>
              <w:rPr>
                <w:rFonts w:hint="eastAsia" w:ascii="宋体" w:hAnsi="宋体" w:cs="宋体"/>
                <w:snapToGrid w:val="0"/>
                <w:color w:val="000000" w:themeColor="text1"/>
                <w:kern w:val="28"/>
                <w:sz w:val="24"/>
                <w14:textFill>
                  <w14:solidFill>
                    <w14:schemeClr w14:val="tx1"/>
                  </w14:solidFill>
                </w14:textFill>
              </w:rPr>
              <w:t>：详见</w:t>
            </w:r>
            <w:r>
              <w:rPr>
                <w:rFonts w:hint="eastAsia" w:ascii="宋体" w:hAnsi="宋体" w:cs="宋体"/>
                <w:color w:val="000000" w:themeColor="text1"/>
                <w:sz w:val="24"/>
                <w:u w:val="single"/>
                <w14:textFill>
                  <w14:solidFill>
                    <w14:schemeClr w14:val="tx1"/>
                  </w14:solidFill>
                </w14:textFill>
              </w:rPr>
              <w:t>评审办法</w:t>
            </w:r>
            <w:r>
              <w:rPr>
                <w:rFonts w:hint="eastAsia" w:ascii="宋体" w:hAnsi="宋体" w:cs="宋体"/>
                <w:color w:val="000000" w:themeColor="text1"/>
                <w:kern w:val="0"/>
                <w:sz w:val="24"/>
                <w14:textFill>
                  <w14:solidFill>
                    <w14:schemeClr w14:val="tx1"/>
                  </w14:solidFill>
                </w14:textFill>
              </w:rPr>
              <w:t>；</w:t>
            </w:r>
          </w:p>
          <w:p w14:paraId="0056A2ED">
            <w:pP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（4）是否需要随样品提交检测报告：</w:t>
            </w:r>
            <w:sdt>
              <w:sdtPr>
                <w:rPr>
                  <w:rFonts w:hint="eastAsia" w:ascii="宋体" w:hAnsi="宋体" w:cs="宋体"/>
                  <w:color w:val="000000" w:themeColor="text1"/>
                  <w:kern w:val="0"/>
                  <w:sz w:val="24"/>
                  <w14:textFill>
                    <w14:solidFill>
                      <w14:schemeClr w14:val="tx1"/>
                    </w14:solidFill>
                  </w14:textFill>
                </w:rPr>
                <w:id w:val="1303421454"/>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ascii="Wingdings" w:hAnsi="Wingdings"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否；</w:t>
            </w:r>
            <w:sdt>
              <w:sdtPr>
                <w:rPr>
                  <w:rFonts w:hint="eastAsia" w:ascii="宋体" w:hAnsi="宋体" w:cs="宋体"/>
                  <w:color w:val="000000" w:themeColor="text1"/>
                  <w:kern w:val="0"/>
                  <w:sz w:val="24"/>
                  <w14:textFill>
                    <w14:solidFill>
                      <w14:schemeClr w14:val="tx1"/>
                    </w14:solidFill>
                  </w14:textFill>
                </w:rPr>
                <w:id w:val="1621728433"/>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是，检测机构的要求</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；检测内容</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w:t>
            </w:r>
          </w:p>
          <w:p w14:paraId="4B981A04">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（5）提供样品的时间：</w:t>
            </w:r>
            <w:r>
              <w:rPr>
                <w:rFonts w:hint="eastAsia" w:ascii="宋体" w:hAnsi="宋体" w:cs="宋体"/>
                <w:color w:val="000000" w:themeColor="text1"/>
                <w:sz w:val="24"/>
                <w:u w:val="single"/>
                <w14:textFill>
                  <w14:solidFill>
                    <w14:schemeClr w14:val="tx1"/>
                  </w14:solidFill>
                </w14:textFill>
              </w:rPr>
              <w:t xml:space="preserve">  开标截止时间前  </w:t>
            </w:r>
            <w:r>
              <w:rPr>
                <w:rFonts w:hint="eastAsia" w:ascii="宋体" w:hAnsi="宋体" w:cs="宋体"/>
                <w:color w:val="000000" w:themeColor="text1"/>
                <w:kern w:val="0"/>
                <w:sz w:val="24"/>
                <w14:textFill>
                  <w14:solidFill>
                    <w14:schemeClr w14:val="tx1"/>
                  </w14:solidFill>
                </w14:textFill>
              </w:rPr>
              <w:t>；地点：</w:t>
            </w:r>
            <w:r>
              <w:rPr>
                <w:rFonts w:hint="eastAsia" w:ascii="宋体" w:hAnsi="宋体" w:cs="宋体"/>
                <w:color w:val="000000" w:themeColor="text1"/>
                <w:sz w:val="24"/>
                <w:u w:val="single"/>
                <w14:textFill>
                  <w14:solidFill>
                    <w14:schemeClr w14:val="tx1"/>
                  </w14:solidFill>
                </w14:textFill>
              </w:rPr>
              <w:t xml:space="preserve">  杭州市拱墅区大关路179号远洋国际中心A座17楼1705室  </w:t>
            </w:r>
            <w:r>
              <w:rPr>
                <w:rFonts w:hint="eastAsia" w:ascii="宋体" w:hAnsi="宋体" w:cs="宋体"/>
                <w:color w:val="000000" w:themeColor="text1"/>
                <w:kern w:val="0"/>
                <w:sz w:val="24"/>
                <w14:textFill>
                  <w14:solidFill>
                    <w14:schemeClr w14:val="tx1"/>
                  </w14:solidFill>
                </w14:textFill>
              </w:rPr>
              <w:t>；联系人</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u w:val="single"/>
                <w14:textFill>
                  <w14:solidFill>
                    <w14:schemeClr w14:val="tx1"/>
                  </w14:solidFill>
                </w14:textFill>
              </w:rPr>
              <w:t xml:space="preserve">  赵邵东 </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kern w:val="28"/>
                <w:sz w:val="24"/>
                <w14:textFill>
                  <w14:solidFill>
                    <w14:schemeClr w14:val="tx1"/>
                  </w14:solidFill>
                </w14:textFill>
              </w:rPr>
              <w:t>联系电话：</w:t>
            </w:r>
            <w:r>
              <w:rPr>
                <w:rFonts w:hint="eastAsia" w:ascii="宋体" w:hAnsi="宋体" w:cs="宋体"/>
                <w:color w:val="000000" w:themeColor="text1"/>
                <w:sz w:val="24"/>
                <w:u w:val="single"/>
                <w14:textFill>
                  <w14:solidFill>
                    <w14:schemeClr w14:val="tx1"/>
                  </w14:solidFill>
                </w14:textFill>
              </w:rPr>
              <w:t xml:space="preserve">  0571-87981527  </w:t>
            </w:r>
            <w:r>
              <w:rPr>
                <w:rFonts w:hint="eastAsia" w:ascii="宋体" w:hAnsi="宋体" w:cs="宋体"/>
                <w:color w:val="000000" w:themeColor="text1"/>
                <w:sz w:val="24"/>
                <w14:textFill>
                  <w14:solidFill>
                    <w14:schemeClr w14:val="tx1"/>
                  </w14:solidFill>
                </w14:textFill>
              </w:rPr>
              <w:t>。请供应商在上述时间内提供样品并按规定位置安装完毕。超过截止时间的，采购人或采购代理机构将不予接收，并将清场并封闭样品现场。</w:t>
            </w:r>
          </w:p>
          <w:p w14:paraId="3DBCE91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14:paraId="47EE82A3">
            <w:pPr>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（7）制作、运输、安装和保管样品所发生的一切费用由供应商自理。</w:t>
            </w:r>
          </w:p>
        </w:tc>
      </w:tr>
      <w:tr w14:paraId="73B82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E0BF653">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093" w:type="dxa"/>
            <w:vAlign w:val="center"/>
          </w:tcPr>
          <w:p w14:paraId="26C7955F">
            <w:pPr>
              <w:snapToGrid w:val="0"/>
              <w:jc w:val="center"/>
              <w:rPr>
                <w:rFonts w:ascii="宋体" w:hAnsi="宋体" w:cs="宋体"/>
                <w:bCs/>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方案讲解演示</w:t>
            </w:r>
          </w:p>
        </w:tc>
        <w:tc>
          <w:tcPr>
            <w:tcW w:w="6927" w:type="dxa"/>
            <w:vAlign w:val="center"/>
          </w:tcPr>
          <w:p w14:paraId="49527314">
            <w:pPr>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505456896"/>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ascii="Wingdings" w:hAnsi="Wingdings"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不组织。</w:t>
            </w:r>
          </w:p>
          <w:p w14:paraId="63C7E811">
            <w:pPr>
              <w:rPr>
                <w:rFonts w:ascii="宋体" w:hAnsi="宋体" w:cs="宋体"/>
                <w:color w:val="000000" w:themeColor="text1"/>
                <w:kern w:val="0"/>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1174071719"/>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B组织。</w:t>
            </w:r>
          </w:p>
          <w:p w14:paraId="2FB5C9FB">
            <w:pPr>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（1）在评审时安排每个供应商进行方案讲解演示。每个供应商时间不超过</w:t>
            </w:r>
            <w:r>
              <w:rPr>
                <w:rFonts w:hint="eastAsia" w:ascii="宋体" w:hAnsi="宋体" w:cs="宋体"/>
                <w:color w:val="000000" w:themeColor="text1"/>
                <w:kern w:val="0"/>
                <w:sz w:val="24"/>
                <w:u w:val="single"/>
                <w14:textFill>
                  <w14:solidFill>
                    <w14:schemeClr w14:val="tx1"/>
                  </w14:solidFill>
                </w14:textFill>
              </w:rPr>
              <w:t>20（编制时可根据项目情况进行调整）</w:t>
            </w:r>
            <w:r>
              <w:rPr>
                <w:rFonts w:hint="eastAsia" w:ascii="宋体" w:hAnsi="宋体" w:cs="宋体"/>
                <w:color w:val="000000" w:themeColor="text1"/>
                <w:kern w:val="0"/>
                <w:sz w:val="24"/>
                <w14:textFill>
                  <w14:solidFill>
                    <w14:schemeClr w14:val="tx1"/>
                  </w14:solidFill>
                </w14:textFill>
              </w:rPr>
              <w:t>分钟，讲解次序以响应文件解密时间先后次序为准，讲解演示人员不超过</w:t>
            </w:r>
            <w:r>
              <w:rPr>
                <w:rFonts w:hint="eastAsia" w:ascii="宋体" w:hAnsi="宋体" w:cs="宋体"/>
                <w:color w:val="000000" w:themeColor="text1"/>
                <w:kern w:val="0"/>
                <w:sz w:val="24"/>
                <w:u w:val="single"/>
                <w14:textFill>
                  <w14:solidFill>
                    <w14:schemeClr w14:val="tx1"/>
                  </w14:solidFill>
                </w14:textFill>
              </w:rPr>
              <w:t>3（编制时可根据项目情况进行调整）</w:t>
            </w:r>
            <w:r>
              <w:rPr>
                <w:rFonts w:hint="eastAsia" w:ascii="宋体" w:hAnsi="宋体" w:cs="宋体"/>
                <w:color w:val="000000" w:themeColor="text1"/>
                <w:kern w:val="0"/>
                <w:sz w:val="24"/>
                <w14:textFill>
                  <w14:solidFill>
                    <w14:schemeClr w14:val="tx1"/>
                  </w14:solidFill>
                </w14:textFill>
              </w:rPr>
              <w:t>人。讲解演示结束后按要求解答磋商小组提问。</w:t>
            </w:r>
          </w:p>
          <w:p w14:paraId="4095FE45">
            <w:pPr>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（2）方案讲解演示可选择以下其中一种方式：</w:t>
            </w:r>
          </w:p>
          <w:p w14:paraId="1A92D403">
            <w:pPr>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方式一：政采云平台在线讲解演示。政采云平台在线讲解需供应商根据政采云平台操作要求做好准备工作，提前完善软硬件配置环境。</w:t>
            </w:r>
          </w:p>
          <w:p w14:paraId="71EC8DB6">
            <w:pPr>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方式二：现场讲解演示。现场讲解地点为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，讲解演示所用电脑等设备由供应商自备。现场讲解演示人员进场时提供讲解人员名单（加盖公章或授权代表签名）及身份证明，否则不得讲解演示。</w:t>
            </w:r>
          </w:p>
          <w:p w14:paraId="4F1ABAD2">
            <w:pPr>
              <w:snapToGrid w:val="0"/>
              <w:rPr>
                <w:rFonts w:ascii="宋体" w:hAnsi="宋体" w:cs="宋体"/>
                <w:b/>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注：因供应商自身原因导致无法演示或者演示效果不理想的，责任自负。因平台原因导致本项目方案讲解演示环节无法顺利开展，按照《浙江省政府采购项目电子交易管理暂行办法》相关规定执行。</w:t>
            </w:r>
          </w:p>
        </w:tc>
      </w:tr>
      <w:tr w14:paraId="03C0E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14:paraId="0AF32DE3">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093" w:type="dxa"/>
            <w:vMerge w:val="restart"/>
            <w:vAlign w:val="center"/>
          </w:tcPr>
          <w:p w14:paraId="744541FB">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供应商应当提供的资格、资信证明文件</w:t>
            </w:r>
          </w:p>
        </w:tc>
        <w:tc>
          <w:tcPr>
            <w:tcW w:w="6927" w:type="dxa"/>
            <w:vAlign w:val="center"/>
          </w:tcPr>
          <w:p w14:paraId="3ABD89FA">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（1）资格证明文件：见采购文件第二部分11.1。</w:t>
            </w:r>
          </w:p>
          <w:p w14:paraId="7A0878A0">
            <w:pPr>
              <w:rPr>
                <w:rFonts w:ascii="宋体" w:hAnsi="宋体" w:cs="宋体"/>
                <w:snapToGrid w:val="0"/>
                <w:color w:val="000000" w:themeColor="text1"/>
                <w:kern w:val="0"/>
                <w:szCs w:val="21"/>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供应商未提供有效的资格证明文件的，视为供应商不具备采购文件中规定的资格要求，响应文件无效。</w:t>
            </w:r>
          </w:p>
        </w:tc>
      </w:tr>
      <w:tr w14:paraId="3D70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14:paraId="1B8034AB">
            <w:pPr>
              <w:snapToGrid w:val="0"/>
              <w:jc w:val="center"/>
              <w:rPr>
                <w:rFonts w:ascii="宋体" w:hAnsi="宋体" w:cs="宋体"/>
                <w:color w:val="000000" w:themeColor="text1"/>
                <w:sz w:val="24"/>
                <w14:textFill>
                  <w14:solidFill>
                    <w14:schemeClr w14:val="tx1"/>
                  </w14:solidFill>
                </w14:textFill>
              </w:rPr>
            </w:pPr>
          </w:p>
        </w:tc>
        <w:tc>
          <w:tcPr>
            <w:tcW w:w="2093" w:type="dxa"/>
            <w:vMerge w:val="continue"/>
            <w:vAlign w:val="center"/>
          </w:tcPr>
          <w:p w14:paraId="52E092DD">
            <w:pPr>
              <w:snapToGrid w:val="0"/>
              <w:jc w:val="center"/>
              <w:rPr>
                <w:rFonts w:ascii="宋体" w:hAnsi="宋体" w:cs="宋体"/>
                <w:b/>
                <w:color w:val="000000" w:themeColor="text1"/>
                <w:sz w:val="24"/>
                <w14:textFill>
                  <w14:solidFill>
                    <w14:schemeClr w14:val="tx1"/>
                  </w14:solidFill>
                </w14:textFill>
              </w:rPr>
            </w:pPr>
          </w:p>
        </w:tc>
        <w:tc>
          <w:tcPr>
            <w:tcW w:w="6927" w:type="dxa"/>
            <w:vAlign w:val="center"/>
          </w:tcPr>
          <w:p w14:paraId="636CA9C6">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（2）资信证明文件：根据采购文件第四部分评审标准提供。</w:t>
            </w:r>
          </w:p>
        </w:tc>
      </w:tr>
      <w:tr w14:paraId="76E36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CBC72C7">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093" w:type="dxa"/>
            <w:vAlign w:val="center"/>
          </w:tcPr>
          <w:p w14:paraId="650352D7">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节能产品、环境标志产品</w:t>
            </w:r>
          </w:p>
        </w:tc>
        <w:tc>
          <w:tcPr>
            <w:tcW w:w="6927" w:type="dxa"/>
            <w:vAlign w:val="center"/>
          </w:tcPr>
          <w:p w14:paraId="798EC99F">
            <w:pPr>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p w14:paraId="4B95240E">
            <w:pPr>
              <w:pStyle w:val="79"/>
              <w:spacing w:line="240" w:lineRule="auto"/>
              <w:ind w:firstLine="0" w:firstLineChars="0"/>
              <w:rPr>
                <w:rFonts w:ascii="宋体" w:hAnsi="宋体" w:eastAsia="宋体" w:cs="宋体"/>
                <w:color w:val="000000" w:themeColor="text1"/>
                <w:sz w:val="24"/>
                <w:szCs w:val="24"/>
                <w14:textFill>
                  <w14:solidFill>
                    <w14:schemeClr w14:val="tx1"/>
                  </w14:solidFill>
                </w14:textFill>
              </w:rPr>
            </w:pPr>
            <w:sdt>
              <w:sdtPr>
                <w:rPr>
                  <w:rFonts w:hint="eastAsia" w:ascii="宋体" w:hAnsi="宋体" w:eastAsia="宋体" w:cs="宋体"/>
                  <w:color w:val="000000" w:themeColor="text1"/>
                  <w:sz w:val="24"/>
                  <w:szCs w:val="24"/>
                  <w14:textFill>
                    <w14:solidFill>
                      <w14:schemeClr w14:val="tx1"/>
                    </w14:solidFill>
                  </w14:textFill>
                </w:rPr>
                <w:id w:val="147461840"/>
                <w14:checkbox>
                  <w14:checked w14:val="0"/>
                  <w14:checkedState w14:val="00FE" w14:font="Wingdings"/>
                  <w14:uncheckedState w14:val="2610" w14:font="MS Gothic"/>
                </w14:checkbox>
              </w:sdtPr>
              <w:sdtEndPr>
                <w:rPr>
                  <w:rFonts w:hint="eastAsia" w:ascii="宋体" w:hAnsi="宋体" w:eastAsia="宋体" w:cs="宋体"/>
                  <w:color w:val="000000" w:themeColor="text1"/>
                  <w:sz w:val="24"/>
                  <w:szCs w:val="24"/>
                  <w14:textFill>
                    <w14:solidFill>
                      <w14:schemeClr w14:val="tx1"/>
                    </w14:solidFill>
                  </w14:textFill>
                </w:rPr>
              </w:sdtEndPr>
              <w:sdtContent>
                <w:r>
                  <w:rPr>
                    <w:rFonts w:hint="eastAsia" w:ascii="MS Gothic" w:hAnsi="MS Gothic" w:eastAsia="宋体" w:cs="宋体"/>
                    <w:color w:val="000000" w:themeColor="text1"/>
                    <w:sz w:val="24"/>
                    <w:szCs w:val="24"/>
                    <w14:textFill>
                      <w14:solidFill>
                        <w14:schemeClr w14:val="tx1"/>
                      </w14:solidFill>
                    </w14:textFill>
                  </w:rPr>
                  <w:t>☐</w:t>
                </w:r>
              </w:sdtContent>
            </w:sdt>
            <w:r>
              <w:rPr>
                <w:rFonts w:hint="eastAsia" w:ascii="宋体" w:hAnsi="宋体" w:eastAsia="宋体" w:cs="宋体"/>
                <w:color w:val="000000" w:themeColor="text1"/>
                <w:sz w:val="24"/>
                <w:szCs w:val="24"/>
                <w14:textFill>
                  <w14:solidFill>
                    <w14:schemeClr w14:val="tx1"/>
                  </w14:solidFill>
                </w14:textFill>
              </w:rPr>
              <w:t>强制采购节能产品。产品：</w:t>
            </w:r>
          </w:p>
          <w:p w14:paraId="2D66B470">
            <w:pPr>
              <w:pStyle w:val="79"/>
              <w:spacing w:line="240" w:lineRule="auto"/>
              <w:ind w:firstLine="0" w:firstLineChars="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□优先采购节能产品。产品：   </w:t>
            </w:r>
          </w:p>
          <w:p w14:paraId="36BFD09F">
            <w:pPr>
              <w:pStyle w:val="79"/>
              <w:spacing w:line="240" w:lineRule="auto"/>
              <w:ind w:firstLine="0" w:firstLineChars="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□优先采购环保产品。产品：    </w:t>
            </w:r>
          </w:p>
          <w:p w14:paraId="5AE19C4A">
            <w:pPr>
              <w:pStyle w:val="79"/>
              <w:spacing w:line="240" w:lineRule="auto"/>
              <w:ind w:firstLine="0" w:firstLineChars="0"/>
              <w:rPr>
                <w:color w:val="000000" w:themeColor="text1"/>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无</w:t>
            </w:r>
          </w:p>
        </w:tc>
      </w:tr>
      <w:tr w14:paraId="69839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AB49253">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093" w:type="dxa"/>
            <w:vAlign w:val="center"/>
          </w:tcPr>
          <w:p w14:paraId="0C833DE2">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报价要求</w:t>
            </w:r>
          </w:p>
        </w:tc>
        <w:tc>
          <w:tcPr>
            <w:tcW w:w="6927" w:type="dxa"/>
            <w:vAlign w:val="center"/>
          </w:tcPr>
          <w:p w14:paraId="1B6F5DFE">
            <w:pPr>
              <w:snapToGrid w:val="0"/>
              <w:jc w:val="left"/>
              <w:rPr>
                <w:rFonts w:ascii="宋体" w:hAnsi="宋体" w:cs="宋体"/>
                <w:b/>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有关本项目实施所需的所有费用（含税费）均计入报价。</w:t>
            </w:r>
            <w:r>
              <w:rPr>
                <w:rFonts w:hint="eastAsia" w:ascii="宋体" w:hAnsi="宋体" w:cs="宋体"/>
                <w:color w:val="000000" w:themeColor="text1"/>
                <w:sz w:val="24"/>
                <w14:textFill>
                  <w14:solidFill>
                    <w14:schemeClr w14:val="tx1"/>
                  </w14:solidFill>
                </w14:textFill>
              </w:rPr>
              <w:t>报价单是报价的唯一载体</w:t>
            </w:r>
            <w:r>
              <w:rPr>
                <w:rFonts w:hint="eastAsia" w:ascii="宋体" w:hAnsi="宋体" w:cs="宋体"/>
                <w:color w:val="000000" w:themeColor="text1"/>
                <w:kern w:val="0"/>
                <w:sz w:val="24"/>
                <w:lang w:val="zh-CN"/>
                <w14:textFill>
                  <w14:solidFill>
                    <w14:schemeClr w14:val="tx1"/>
                  </w14:solidFill>
                </w14:textFill>
              </w:rPr>
              <w:t>。响应文件中价格全部采用</w:t>
            </w:r>
            <w:r>
              <w:rPr>
                <w:rFonts w:hint="eastAsia" w:ascii="宋体" w:hAnsi="宋体" w:cs="宋体"/>
                <w:color w:val="000000" w:themeColor="text1"/>
                <w:kern w:val="0"/>
                <w:sz w:val="24"/>
                <w14:textFill>
                  <w14:solidFill>
                    <w14:schemeClr w14:val="tx1"/>
                  </w14:solidFill>
                </w14:textFill>
              </w:rPr>
              <w:t>折扣</w:t>
            </w:r>
            <w:r>
              <w:rPr>
                <w:rFonts w:hint="eastAsia" w:ascii="宋体" w:hAnsi="宋体" w:cs="宋体"/>
                <w:color w:val="000000" w:themeColor="text1"/>
                <w:kern w:val="0"/>
                <w:sz w:val="24"/>
                <w:lang w:val="zh-CN"/>
                <w14:textFill>
                  <w14:solidFill>
                    <w14:schemeClr w14:val="tx1"/>
                  </w14:solidFill>
                </w14:textFill>
              </w:rPr>
              <w:t>报价。采购文件未列明，而供应商认为必需的费用也需列入报价。</w:t>
            </w:r>
          </w:p>
          <w:p w14:paraId="0ED426A0">
            <w:pPr>
              <w:snapToGrid w:val="0"/>
              <w:jc w:val="left"/>
              <w:rPr>
                <w:rFonts w:ascii="宋体" w:hAnsi="宋体" w:cs="宋体"/>
                <w:b/>
                <w:color w:val="000000" w:themeColor="text1"/>
                <w:kern w:val="0"/>
                <w:sz w:val="24"/>
                <w:lang w:val="zh-CN"/>
                <w14:textFill>
                  <w14:solidFill>
                    <w14:schemeClr w14:val="tx1"/>
                  </w14:solidFill>
                </w14:textFill>
              </w:rPr>
            </w:pPr>
            <w:r>
              <w:rPr>
                <w:rFonts w:hint="eastAsia" w:ascii="宋体" w:hAnsi="宋体" w:cs="宋体"/>
                <w:b/>
                <w:color w:val="000000" w:themeColor="text1"/>
                <w:kern w:val="0"/>
                <w:sz w:val="24"/>
                <w:lang w:val="zh-CN"/>
                <w14:textFill>
                  <w14:solidFill>
                    <w14:schemeClr w14:val="tx1"/>
                  </w14:solidFill>
                </w14:textFill>
              </w:rPr>
              <w:t>最后报价出现下列情形的，响应文件无效：</w:t>
            </w:r>
          </w:p>
          <w:p w14:paraId="2E7E5400">
            <w:pPr>
              <w:snapToGrid w:val="0"/>
              <w:ind w:firstLine="241" w:firstLineChars="100"/>
              <w:jc w:val="left"/>
              <w:rPr>
                <w:rFonts w:ascii="宋体" w:hAnsi="宋体" w:cs="宋体"/>
                <w:b/>
                <w:color w:val="000000" w:themeColor="text1"/>
                <w:kern w:val="0"/>
                <w:sz w:val="24"/>
                <w:lang w:val="zh-CN"/>
                <w14:textFill>
                  <w14:solidFill>
                    <w14:schemeClr w14:val="tx1"/>
                  </w14:solidFill>
                </w14:textFill>
              </w:rPr>
            </w:pPr>
            <w:r>
              <w:rPr>
                <w:rFonts w:hint="eastAsia" w:ascii="宋体" w:hAnsi="宋体" w:cs="宋体"/>
                <w:b/>
                <w:color w:val="000000" w:themeColor="text1"/>
                <w:kern w:val="0"/>
                <w:sz w:val="24"/>
                <w:lang w:val="zh-CN"/>
                <w14:textFill>
                  <w14:solidFill>
                    <w14:schemeClr w14:val="tx1"/>
                  </w14:solidFill>
                </w14:textFill>
              </w:rPr>
              <w:t>响应文件出现不是唯一的、有选择性最后报价的；</w:t>
            </w:r>
          </w:p>
          <w:p w14:paraId="1D0742F5">
            <w:pPr>
              <w:snapToGrid w:val="0"/>
              <w:ind w:firstLine="241" w:firstLineChars="100"/>
              <w:jc w:val="left"/>
              <w:rPr>
                <w:color w:val="000000" w:themeColor="text1"/>
                <w14:textFill>
                  <w14:solidFill>
                    <w14:schemeClr w14:val="tx1"/>
                  </w14:solidFill>
                </w14:textFill>
              </w:rPr>
            </w:pPr>
            <w:r>
              <w:rPr>
                <w:rFonts w:hint="eastAsia" w:ascii="宋体" w:hAnsi="宋体" w:cs="宋体"/>
                <w:b/>
                <w:color w:val="000000" w:themeColor="text1"/>
                <w:kern w:val="0"/>
                <w:sz w:val="24"/>
                <w:lang w:val="zh-CN"/>
                <w14:textFill>
                  <w14:solidFill>
                    <w14:schemeClr w14:val="tx1"/>
                  </w14:solidFill>
                </w14:textFill>
              </w:rPr>
              <w:t>最后报价超过采购文件中规定的预算金额或者最高限价的；</w:t>
            </w:r>
          </w:p>
          <w:p w14:paraId="14F58270">
            <w:pPr>
              <w:ind w:firstLine="241" w:firstLineChars="100"/>
              <w:rPr>
                <w:rFonts w:ascii="宋体" w:hAnsi="宋体" w:cs="宋体"/>
                <w:b/>
                <w:color w:val="000000" w:themeColor="text1"/>
                <w:sz w:val="24"/>
                <w14:textFill>
                  <w14:solidFill>
                    <w14:schemeClr w14:val="tx1"/>
                  </w14:solidFill>
                </w14:textFill>
              </w:rPr>
            </w:pPr>
            <w:r>
              <w:rPr>
                <w:rFonts w:hint="eastAsia" w:cs="宋体" w:asciiTheme="minorEastAsia" w:hAnsiTheme="minorEastAsia" w:eastAsiaTheme="minorEastAsia"/>
                <w:b/>
                <w:kern w:val="0"/>
                <w:sz w:val="24"/>
              </w:rPr>
              <w:t>供应商不得进行影响产品质量或者诚信履约的恶意报价如供应商响应报价低于最高限价50%的，应当在报价文件中详细阐述不影响产品质量或者诚信履约的具体原因以及相应证明材料，以备评审小组核查。如供应商未按要求提供相关说明及证明材料的，评审小组将对其响应文件作为无效响应处理；</w:t>
            </w:r>
          </w:p>
          <w:p w14:paraId="4DA94C71">
            <w:pPr>
              <w:ind w:firstLine="241" w:firstLineChars="1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供应商对根据修正原则修正后的报价不确认的</w:t>
            </w:r>
            <w:r>
              <w:rPr>
                <w:rFonts w:hint="eastAsia" w:ascii="宋体" w:hAnsi="宋体" w:cs="宋体"/>
                <w:b/>
                <w:color w:val="000000" w:themeColor="text1"/>
                <w:sz w:val="24"/>
                <w14:textFill>
                  <w14:solidFill>
                    <w14:schemeClr w14:val="tx1"/>
                  </w14:solidFill>
                </w14:textFill>
              </w:rPr>
              <w:t>。</w:t>
            </w:r>
          </w:p>
        </w:tc>
      </w:tr>
      <w:tr w14:paraId="3BC78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5C1EA0F">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093" w:type="dxa"/>
            <w:vAlign w:val="center"/>
          </w:tcPr>
          <w:p w14:paraId="28A435E7">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备份响应文件送达地点和签收人员</w:t>
            </w:r>
          </w:p>
        </w:tc>
        <w:tc>
          <w:tcPr>
            <w:tcW w:w="6927" w:type="dxa"/>
            <w:vAlign w:val="center"/>
          </w:tcPr>
          <w:p w14:paraId="6C32CED1">
            <w:pPr>
              <w:pStyle w:val="32"/>
              <w:rPr>
                <w:rFonts w:hAnsi="宋体" w:cs="宋体"/>
                <w:color w:val="000000" w:themeColor="text1"/>
                <w:kern w:val="28"/>
                <w:sz w:val="24"/>
                <w14:textFill>
                  <w14:solidFill>
                    <w14:schemeClr w14:val="tx1"/>
                  </w14:solidFill>
                </w14:textFill>
              </w:rPr>
            </w:pPr>
            <w:r>
              <w:rPr>
                <w:rFonts w:hint="eastAsia" w:cs="宋体" w:asciiTheme="minorEastAsia" w:hAnsiTheme="minorEastAsia" w:eastAsiaTheme="minorEastAsia"/>
                <w:color w:val="000000" w:themeColor="text1"/>
                <w:kern w:val="28"/>
                <w:sz w:val="24"/>
                <w:szCs w:val="24"/>
                <w14:textFill>
                  <w14:solidFill>
                    <w14:schemeClr w14:val="tx1"/>
                  </w14:solidFill>
                </w14:textFill>
              </w:rPr>
              <w:t>备份响应文件送达地点：</w:t>
            </w:r>
            <w:r>
              <w:rPr>
                <w:rFonts w:hint="eastAsia" w:cs="宋体" w:asciiTheme="minorEastAsia" w:hAnsiTheme="minorEastAsia" w:eastAsiaTheme="minorEastAsia"/>
                <w:color w:val="000000" w:themeColor="text1"/>
                <w:kern w:val="28"/>
                <w:sz w:val="24"/>
                <w:szCs w:val="24"/>
                <w:u w:val="single"/>
                <w14:textFill>
                  <w14:solidFill>
                    <w14:schemeClr w14:val="tx1"/>
                  </w14:solidFill>
                </w14:textFill>
              </w:rPr>
              <w:t>杭州市拱墅区远洋国际A座17楼1705室</w:t>
            </w:r>
            <w:r>
              <w:rPr>
                <w:rFonts w:hint="eastAsia" w:cs="宋体" w:asciiTheme="minorEastAsia" w:hAnsiTheme="minorEastAsia" w:eastAsiaTheme="minorEastAsia"/>
                <w:color w:val="000000" w:themeColor="text1"/>
                <w:kern w:val="28"/>
                <w:sz w:val="24"/>
                <w:szCs w:val="24"/>
                <w14:textFill>
                  <w14:solidFill>
                    <w14:schemeClr w14:val="tx1"/>
                  </w14:solidFill>
                </w14:textFill>
              </w:rPr>
              <w:t>；备份响应文件签收人员联系电话：</w:t>
            </w:r>
            <w:r>
              <w:rPr>
                <w:rFonts w:hint="eastAsia" w:cs="宋体" w:asciiTheme="minorEastAsia" w:hAnsiTheme="minorEastAsia" w:eastAsiaTheme="minorEastAsia"/>
                <w:color w:val="000000" w:themeColor="text1"/>
                <w:sz w:val="24"/>
                <w:u w:val="single"/>
                <w14:textFill>
                  <w14:solidFill>
                    <w14:schemeClr w14:val="tx1"/>
                  </w14:solidFill>
                </w14:textFill>
              </w:rPr>
              <w:t>赵邵东，0571-87981527</w:t>
            </w:r>
            <w:r>
              <w:rPr>
                <w:rFonts w:hint="eastAsia" w:cs="宋体" w:asciiTheme="minorEastAsia" w:hAnsiTheme="minorEastAsia" w:eastAsiaTheme="minorEastAsia"/>
                <w:color w:val="000000" w:themeColor="text1"/>
                <w:sz w:val="24"/>
                <w:szCs w:val="24"/>
                <w14:textFill>
                  <w14:solidFill>
                    <w14:schemeClr w14:val="tx1"/>
                  </w14:solidFill>
                </w14:textFill>
              </w:rPr>
              <w:t>。</w:t>
            </w:r>
            <w:r>
              <w:rPr>
                <w:rFonts w:hint="eastAsia" w:cs="宋体" w:asciiTheme="minorEastAsia" w:hAnsiTheme="minorEastAsia" w:eastAsiaTheme="minorEastAsia"/>
                <w:b/>
                <w:color w:val="000000" w:themeColor="text1"/>
                <w:sz w:val="24"/>
                <w:szCs w:val="24"/>
                <w14:textFill>
                  <w14:solidFill>
                    <w14:schemeClr w14:val="tx1"/>
                  </w14:solidFill>
                </w14:textFill>
              </w:rPr>
              <w:t>采购人、采购代理机构不强制或变相强制供应商提交备份响应文件。</w:t>
            </w:r>
          </w:p>
        </w:tc>
      </w:tr>
      <w:tr w14:paraId="3DB82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27A76CA">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093" w:type="dxa"/>
            <w:vAlign w:val="center"/>
          </w:tcPr>
          <w:p w14:paraId="7831EBFE">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其它说明</w:t>
            </w:r>
          </w:p>
        </w:tc>
        <w:tc>
          <w:tcPr>
            <w:tcW w:w="6927" w:type="dxa"/>
            <w:vAlign w:val="center"/>
          </w:tcPr>
          <w:p w14:paraId="6252308E">
            <w:pPr>
              <w:rPr>
                <w:rFonts w:ascii="宋体" w:hAnsi="宋体" w:cs="宋体"/>
                <w:snapToGrid w:val="0"/>
                <w:color w:val="000000" w:themeColor="text1"/>
                <w:kern w:val="28"/>
                <w:sz w:val="24"/>
                <w14:textFill>
                  <w14:solidFill>
                    <w14:schemeClr w14:val="tx1"/>
                  </w14:solidFill>
                </w14:textFill>
              </w:rPr>
            </w:pPr>
            <w:r>
              <w:rPr>
                <w:rFonts w:hint="eastAsia" w:ascii="宋体" w:hAnsi="宋体" w:cs="宋体"/>
                <w:snapToGrid w:val="0"/>
                <w:color w:val="000000" w:themeColor="text1"/>
                <w:kern w:val="28"/>
                <w:sz w:val="24"/>
                <w14:textFill>
                  <w14:solidFill>
                    <w14:schemeClr w14:val="tx1"/>
                  </w14:solidFill>
                </w14:textFill>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宋体" w:hAnsi="宋体" w:cs="宋体"/>
                <w:b/>
                <w:color w:val="000000" w:themeColor="text1"/>
                <w:kern w:val="0"/>
                <w:sz w:val="24"/>
                <w14:textFill>
                  <w14:solidFill>
                    <w14:schemeClr w14:val="tx1"/>
                  </w14:solidFill>
                </w14:textFill>
              </w:rPr>
              <w:t>。</w:t>
            </w:r>
          </w:p>
        </w:tc>
      </w:tr>
      <w:tr w14:paraId="6774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45" w:hRule="atLeast"/>
        </w:trPr>
        <w:tc>
          <w:tcPr>
            <w:tcW w:w="714" w:type="dxa"/>
            <w:vAlign w:val="center"/>
          </w:tcPr>
          <w:p w14:paraId="4DC088FC">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093" w:type="dxa"/>
            <w:vAlign w:val="center"/>
          </w:tcPr>
          <w:p w14:paraId="61B0CE13">
            <w:pPr>
              <w:snapToGrid w:val="0"/>
              <w:jc w:val="center"/>
              <w:rPr>
                <w:rFonts w:ascii="宋体" w:hAnsi="宋体" w:cs="宋体"/>
                <w:b/>
                <w:color w:val="000000" w:themeColor="text1"/>
                <w:sz w:val="24"/>
                <w14:textFill>
                  <w14:solidFill>
                    <w14:schemeClr w14:val="tx1"/>
                  </w14:solidFill>
                </w14:textFill>
              </w:rPr>
            </w:pPr>
            <w:r>
              <w:rPr>
                <w:rFonts w:hint="eastAsia" w:cs="仿宋_GB2312" w:asciiTheme="minorEastAsia" w:hAnsiTheme="minorEastAsia" w:eastAsiaTheme="minorEastAsia"/>
                <w:b/>
                <w:color w:val="000000" w:themeColor="text1"/>
                <w:sz w:val="24"/>
                <w:lang w:val="en"/>
                <w14:textFill>
                  <w14:solidFill>
                    <w14:schemeClr w14:val="tx1"/>
                  </w14:solidFill>
                </w14:textFill>
              </w:rPr>
              <w:t>成交候选人数量</w:t>
            </w:r>
          </w:p>
        </w:tc>
        <w:tc>
          <w:tcPr>
            <w:tcW w:w="6927" w:type="dxa"/>
            <w:vAlign w:val="center"/>
          </w:tcPr>
          <w:p w14:paraId="480342E8">
            <w:pPr>
              <w:rPr>
                <w:rFonts w:ascii="宋体" w:hAnsi="宋体" w:cs="宋体"/>
                <w:snapToGrid w:val="0"/>
                <w:color w:val="000000" w:themeColor="text1"/>
                <w:kern w:val="28"/>
                <w:sz w:val="24"/>
                <w14:textFill>
                  <w14:solidFill>
                    <w14:schemeClr w14:val="tx1"/>
                  </w14:solidFill>
                </w14:textFill>
              </w:rPr>
            </w:pPr>
            <w:r>
              <w:rPr>
                <w:rFonts w:hint="eastAsia" w:ascii="宋体" w:hAnsi="宋体" w:cs="宋体"/>
                <w:color w:val="000000" w:themeColor="text1"/>
                <w:kern w:val="0"/>
                <w:sz w:val="24"/>
                <w:lang w:val="en"/>
                <w14:textFill>
                  <w14:solidFill>
                    <w14:schemeClr w14:val="tx1"/>
                  </w14:solidFill>
                </w14:textFill>
              </w:rPr>
              <w:t>本项目推荐的成交候选人数量：</w:t>
            </w:r>
            <w:r>
              <w:rPr>
                <w:rFonts w:hint="eastAsia" w:ascii="宋体" w:hAnsi="宋体" w:cs="宋体"/>
                <w:color w:val="000000" w:themeColor="text1"/>
                <w:kern w:val="0"/>
                <w:sz w:val="24"/>
                <w:u w:val="single"/>
                <w14:textFill>
                  <w14:solidFill>
                    <w14:schemeClr w14:val="tx1"/>
                  </w14:solidFill>
                </w14:textFill>
              </w:rPr>
              <w:t xml:space="preserve"> 3 </w:t>
            </w:r>
            <w:r>
              <w:rPr>
                <w:rFonts w:hint="eastAsia" w:ascii="宋体" w:hAnsi="宋体" w:cs="宋体"/>
                <w:color w:val="000000" w:themeColor="text1"/>
                <w:kern w:val="0"/>
                <w:sz w:val="24"/>
                <w:lang w:val="en"/>
                <w14:textFill>
                  <w14:solidFill>
                    <w14:schemeClr w14:val="tx1"/>
                  </w14:solidFill>
                </w14:textFill>
              </w:rPr>
              <w:t>。</w:t>
            </w:r>
          </w:p>
        </w:tc>
      </w:tr>
      <w:tr w14:paraId="086E4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35DA9C6">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w:t>
            </w:r>
          </w:p>
        </w:tc>
        <w:tc>
          <w:tcPr>
            <w:tcW w:w="2093" w:type="dxa"/>
            <w:vAlign w:val="center"/>
          </w:tcPr>
          <w:p w14:paraId="6A8A5D7D">
            <w:pPr>
              <w:snapToGrid w:val="0"/>
              <w:jc w:val="center"/>
              <w:rPr>
                <w:rFonts w:ascii="宋体" w:hAnsi="宋体" w:cs="宋体"/>
                <w:b/>
                <w:color w:val="000000" w:themeColor="text1"/>
                <w:sz w:val="24"/>
                <w14:textFill>
                  <w14:solidFill>
                    <w14:schemeClr w14:val="tx1"/>
                  </w14:solidFill>
                </w14:textFill>
              </w:rPr>
            </w:pPr>
            <w:r>
              <w:rPr>
                <w:rFonts w:hint="eastAsia" w:cs="仿宋_GB2312" w:asciiTheme="minorEastAsia" w:hAnsiTheme="minorEastAsia" w:eastAsiaTheme="minorEastAsia"/>
                <w:b/>
                <w:color w:val="000000" w:themeColor="text1"/>
                <w:sz w:val="24"/>
                <w:lang w:val="en"/>
                <w14:textFill>
                  <w14:solidFill>
                    <w14:schemeClr w14:val="tx1"/>
                  </w14:solidFill>
                </w14:textFill>
              </w:rPr>
              <w:t>代理费用收取方式及标准</w:t>
            </w:r>
          </w:p>
        </w:tc>
        <w:tc>
          <w:tcPr>
            <w:tcW w:w="6927" w:type="dxa"/>
            <w:vAlign w:val="center"/>
          </w:tcPr>
          <w:p w14:paraId="135BA31E">
            <w:pPr>
              <w:rPr>
                <w:rFonts w:ascii="宋体" w:hAnsi="宋体" w:cs="宋体"/>
                <w:color w:val="000000" w:themeColor="text1"/>
                <w:kern w:val="0"/>
                <w:sz w:val="24"/>
                <w:lang w:val="en"/>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w:t>
            </w:r>
            <w:r>
              <w:rPr>
                <w:rFonts w:hint="eastAsia" w:ascii="宋体" w:hAnsi="宋体" w:cs="宋体"/>
                <w:color w:val="000000" w:themeColor="text1"/>
                <w:kern w:val="0"/>
                <w:sz w:val="24"/>
                <w:lang w:val="en"/>
                <w14:textFill>
                  <w14:solidFill>
                    <w14:schemeClr w14:val="tx1"/>
                  </w14:solidFill>
                </w14:textFill>
              </w:rPr>
              <w:t>采购代理费按《招标代理服务收费管理暂行办法》（计价格〔2002〕1980 号）文件规定的收费标准×50%。不足2000元时按2000元收取，以</w:t>
            </w:r>
            <w:r>
              <w:rPr>
                <w:rFonts w:hint="eastAsia" w:ascii="宋体" w:hAnsi="宋体" w:cs="宋体"/>
                <w:color w:val="000000" w:themeColor="text1"/>
                <w:kern w:val="0"/>
                <w:sz w:val="24"/>
                <w14:textFill>
                  <w14:solidFill>
                    <w14:schemeClr w14:val="tx1"/>
                  </w14:solidFill>
                </w14:textFill>
              </w:rPr>
              <w:t>成交价</w:t>
            </w:r>
            <w:r>
              <w:rPr>
                <w:rFonts w:hint="eastAsia" w:ascii="宋体" w:hAnsi="宋体" w:cs="宋体"/>
                <w:color w:val="000000" w:themeColor="text1"/>
                <w:kern w:val="0"/>
                <w:sz w:val="24"/>
                <w:lang w:val="en"/>
                <w14:textFill>
                  <w14:solidFill>
                    <w14:schemeClr w14:val="tx1"/>
                  </w14:solidFill>
                </w14:textFill>
              </w:rPr>
              <w:t>为计算基数。由成交供应商在领取成交通知书时支付给</w:t>
            </w:r>
            <w:r>
              <w:rPr>
                <w:rFonts w:hint="eastAsia" w:ascii="宋体" w:hAnsi="宋体" w:cs="宋体"/>
                <w:color w:val="000000" w:themeColor="text1"/>
                <w:kern w:val="0"/>
                <w:sz w:val="24"/>
                <w14:textFill>
                  <w14:solidFill>
                    <w14:schemeClr w14:val="tx1"/>
                  </w14:solidFill>
                </w14:textFill>
              </w:rPr>
              <w:t>采购</w:t>
            </w:r>
            <w:r>
              <w:rPr>
                <w:rFonts w:hint="eastAsia" w:ascii="宋体" w:hAnsi="宋体" w:cs="宋体"/>
                <w:color w:val="000000" w:themeColor="text1"/>
                <w:kern w:val="0"/>
                <w:sz w:val="24"/>
                <w:lang w:val="en"/>
                <w14:textFill>
                  <w14:solidFill>
                    <w14:schemeClr w14:val="tx1"/>
                  </w14:solidFill>
                </w14:textFill>
              </w:rPr>
              <w:t>代理机构。</w:t>
            </w:r>
          </w:p>
          <w:p w14:paraId="71271743">
            <w:pP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2.造价咨询服务费按浙江省物价局《关于进一步完善工程造价咨询服务收费的通知》(浙价服(2009)84号)文件规定的收费标准</w:t>
            </w:r>
            <w:r>
              <w:rPr>
                <w:rFonts w:hint="eastAsia" w:ascii="宋体" w:hAnsi="宋体" w:cs="宋体"/>
                <w:color w:val="000000" w:themeColor="text1"/>
                <w:kern w:val="0"/>
                <w:sz w:val="24"/>
                <w:lang w:val="en"/>
                <w14:textFill>
                  <w14:solidFill>
                    <w14:schemeClr w14:val="tx1"/>
                  </w14:solidFill>
                </w14:textFill>
              </w:rPr>
              <w:t>×</w:t>
            </w:r>
            <w:r>
              <w:rPr>
                <w:rFonts w:hint="eastAsia" w:ascii="宋体" w:hAnsi="宋体" w:cs="宋体"/>
                <w:color w:val="000000" w:themeColor="text1"/>
                <w:kern w:val="0"/>
                <w:sz w:val="24"/>
                <w14:textFill>
                  <w14:solidFill>
                    <w14:schemeClr w14:val="tx1"/>
                  </w14:solidFill>
                </w14:textFill>
              </w:rPr>
              <w:t>50%，单个项目造价咨询服务费用不足2000元的，按2000元计收取</w:t>
            </w:r>
            <w:r>
              <w:rPr>
                <w:rFonts w:hint="eastAsia" w:ascii="宋体" w:hAnsi="宋体" w:cs="宋体"/>
                <w:color w:val="000000" w:themeColor="text1"/>
                <w:kern w:val="0"/>
                <w:sz w:val="24"/>
                <w:lang w:val="en"/>
                <w14:textFill>
                  <w14:solidFill>
                    <w14:schemeClr w14:val="tx1"/>
                  </w14:solidFill>
                </w14:textFill>
              </w:rPr>
              <w:t>，以</w:t>
            </w:r>
            <w:r>
              <w:rPr>
                <w:rFonts w:hint="eastAsia" w:ascii="宋体" w:hAnsi="宋体" w:cs="宋体"/>
                <w:color w:val="000000" w:themeColor="text1"/>
                <w:kern w:val="0"/>
                <w:sz w:val="24"/>
                <w14:textFill>
                  <w14:solidFill>
                    <w14:schemeClr w14:val="tx1"/>
                  </w14:solidFill>
                </w14:textFill>
              </w:rPr>
              <w:t>成交价</w:t>
            </w:r>
            <w:r>
              <w:rPr>
                <w:rFonts w:hint="eastAsia" w:ascii="宋体" w:hAnsi="宋体" w:cs="宋体"/>
                <w:color w:val="000000" w:themeColor="text1"/>
                <w:kern w:val="0"/>
                <w:sz w:val="24"/>
                <w:lang w:val="en"/>
                <w14:textFill>
                  <w14:solidFill>
                    <w14:schemeClr w14:val="tx1"/>
                  </w14:solidFill>
                </w14:textFill>
              </w:rPr>
              <w:t>为计算基数。由成交供应商在领取成交通知书时支付给</w:t>
            </w:r>
            <w:r>
              <w:rPr>
                <w:rFonts w:hint="eastAsia" w:ascii="宋体" w:hAnsi="宋体" w:cs="宋体"/>
                <w:color w:val="000000" w:themeColor="text1"/>
                <w:kern w:val="0"/>
                <w:sz w:val="24"/>
                <w14:textFill>
                  <w14:solidFill>
                    <w14:schemeClr w14:val="tx1"/>
                  </w14:solidFill>
                </w14:textFill>
              </w:rPr>
              <w:t>采购</w:t>
            </w:r>
            <w:r>
              <w:rPr>
                <w:rFonts w:hint="eastAsia" w:ascii="宋体" w:hAnsi="宋体" w:cs="宋体"/>
                <w:color w:val="000000" w:themeColor="text1"/>
                <w:kern w:val="0"/>
                <w:sz w:val="24"/>
                <w:lang w:val="en"/>
                <w14:textFill>
                  <w14:solidFill>
                    <w14:schemeClr w14:val="tx1"/>
                  </w14:solidFill>
                </w14:textFill>
              </w:rPr>
              <w:t>代理机构。</w:t>
            </w:r>
          </w:p>
        </w:tc>
      </w:tr>
      <w:tr w14:paraId="522A7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B1CBE6B">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w:t>
            </w:r>
          </w:p>
        </w:tc>
        <w:tc>
          <w:tcPr>
            <w:tcW w:w="2093" w:type="dxa"/>
            <w:vAlign w:val="center"/>
          </w:tcPr>
          <w:p w14:paraId="291D0151">
            <w:pPr>
              <w:snapToGrid w:val="0"/>
              <w:jc w:val="center"/>
              <w:rPr>
                <w:rFonts w:cs="仿宋_GB2312" w:asciiTheme="minorEastAsia" w:hAnsiTheme="minorEastAsia" w:eastAsiaTheme="minorEastAsia"/>
                <w:b/>
                <w:color w:val="000000" w:themeColor="text1"/>
                <w:sz w:val="24"/>
                <w14:textFill>
                  <w14:solidFill>
                    <w14:schemeClr w14:val="tx1"/>
                  </w14:solidFill>
                </w14:textFill>
              </w:rPr>
            </w:pPr>
            <w:r>
              <w:rPr>
                <w:rFonts w:hint="eastAsia" w:cs="仿宋_GB2312" w:asciiTheme="minorEastAsia" w:hAnsiTheme="minorEastAsia" w:eastAsiaTheme="minorEastAsia"/>
                <w:b/>
                <w:color w:val="000000" w:themeColor="text1"/>
                <w:sz w:val="24"/>
                <w14:textFill>
                  <w14:solidFill>
                    <w14:schemeClr w14:val="tx1"/>
                  </w14:solidFill>
                </w14:textFill>
              </w:rPr>
              <w:t>重要提醒</w:t>
            </w:r>
          </w:p>
        </w:tc>
        <w:tc>
          <w:tcPr>
            <w:tcW w:w="6927" w:type="dxa"/>
            <w:vAlign w:val="center"/>
          </w:tcPr>
          <w:p w14:paraId="1BEF6F7D">
            <w:pPr>
              <w:rPr>
                <w:rFonts w:ascii="宋体" w:hAnsi="宋体" w:cs="宋体"/>
                <w:color w:val="000000" w:themeColor="text1"/>
                <w:kern w:val="0"/>
                <w:sz w:val="24"/>
                <w:lang w:val="en"/>
                <w14:textFill>
                  <w14:solidFill>
                    <w14:schemeClr w14:val="tx1"/>
                  </w14:solidFill>
                </w14:textFill>
              </w:rPr>
            </w:pPr>
            <w:r>
              <w:rPr>
                <w:rFonts w:hint="eastAsia" w:ascii="宋体" w:hAnsi="宋体" w:cs="宋体"/>
                <w:b/>
                <w:bCs/>
                <w:color w:val="000000" w:themeColor="text1"/>
                <w:kern w:val="0"/>
                <w:sz w:val="24"/>
                <w:lang w:val="en"/>
                <w14:textFill>
                  <w14:solidFill>
                    <w14:schemeClr w14:val="tx1"/>
                  </w14:solidFill>
                </w14:textFill>
              </w:rPr>
              <w:t>根据《浙江省财政厅关于进一步规范政府采购秩序 促进公平竞争的通知》（浙财采监〔2025〕2号）的规定，供应商应遵循诚实信用原则在投标（响应）文件中提供真实材料。中标（成交）供应商在评审结束后5个工作日内，须提供在投标（响应）文件中涉及客观分评审内容的检测报告、认证证书、合同业绩、产品彩页（或说明书）等材料的查询网站或原件，以供采购人及采购代理机构核查资料真实性。如发现供应商提供虚假材料的，将报告本级财政部门。由于供应商提供虚假材料中标，采购人保留追溯其法律责任的权利，所产生的法律费用和时间损失由供应商承担。</w:t>
            </w:r>
          </w:p>
        </w:tc>
      </w:tr>
    </w:tbl>
    <w:p w14:paraId="5DBD56A7">
      <w:pPr>
        <w:snapToGrid w:val="0"/>
        <w:spacing w:line="360" w:lineRule="auto"/>
        <w:jc w:val="center"/>
        <w:rPr>
          <w:rFonts w:ascii="宋体" w:hAnsi="宋体" w:cs="宋体"/>
          <w:b/>
          <w:color w:val="000000" w:themeColor="text1"/>
          <w:sz w:val="32"/>
          <w:szCs w:val="20"/>
          <w14:textFill>
            <w14:solidFill>
              <w14:schemeClr w14:val="tx1"/>
            </w14:solidFill>
          </w14:textFill>
        </w:rPr>
      </w:pPr>
    </w:p>
    <w:bookmarkEnd w:id="9"/>
    <w:p w14:paraId="452BEBFB">
      <w:pPr>
        <w:widowControl/>
        <w:adjustRightInd/>
        <w:jc w:val="left"/>
        <w:rPr>
          <w:rFonts w:ascii="宋体" w:hAnsi="宋体" w:cs="宋体"/>
          <w:b/>
          <w:color w:val="000000" w:themeColor="text1"/>
          <w:sz w:val="32"/>
          <w:szCs w:val="20"/>
          <w14:textFill>
            <w14:solidFill>
              <w14:schemeClr w14:val="tx1"/>
            </w14:solidFill>
          </w14:textFill>
        </w:rPr>
      </w:pPr>
      <w:bookmarkStart w:id="28" w:name="第三部分"/>
      <w:bookmarkStart w:id="29" w:name="_Toc164416483"/>
      <w:r>
        <w:rPr>
          <w:rFonts w:hint="eastAsia" w:ascii="宋体" w:hAnsi="宋体" w:cs="宋体"/>
          <w:b/>
          <w:color w:val="000000" w:themeColor="text1"/>
          <w:sz w:val="32"/>
          <w:szCs w:val="20"/>
          <w14:textFill>
            <w14:solidFill>
              <w14:schemeClr w14:val="tx1"/>
            </w14:solidFill>
          </w14:textFill>
        </w:rPr>
        <w:br w:type="page"/>
      </w:r>
    </w:p>
    <w:p w14:paraId="3539DF98">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30" w:name="_Toc12991"/>
      <w:r>
        <w:rPr>
          <w:rFonts w:hint="eastAsia" w:ascii="宋体" w:hAnsi="宋体" w:cs="宋体"/>
          <w:b/>
          <w:color w:val="000000" w:themeColor="text1"/>
          <w:sz w:val="32"/>
          <w:szCs w:val="20"/>
          <w14:textFill>
            <w14:solidFill>
              <w14:schemeClr w14:val="tx1"/>
            </w14:solidFill>
          </w14:textFill>
        </w:rPr>
        <w:t>一、总则</w:t>
      </w:r>
      <w:bookmarkEnd w:id="30"/>
    </w:p>
    <w:p w14:paraId="36327399">
      <w:pPr>
        <w:snapToGrid w:val="0"/>
        <w:spacing w:line="360" w:lineRule="auto"/>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1.适用范围</w:t>
      </w:r>
    </w:p>
    <w:p w14:paraId="7B92D5C1">
      <w:pPr>
        <w:snapToGrid w:val="0"/>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本采购文件适用于该项目的采购邀请、响应文件提交、响应文件开启、资格审查及信用信息查询、磋商、评审、成交供应商确定、合同、验收等行为（法律、法规另有规定的，从其规定）。</w:t>
      </w:r>
    </w:p>
    <w:p w14:paraId="26A9F405">
      <w:pPr>
        <w:snapToGrid w:val="0"/>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2.定义</w:t>
      </w:r>
    </w:p>
    <w:p w14:paraId="56ECAC0D">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 “采购人”系指竞争性磋商公告中载明的本项目的采购人。</w:t>
      </w:r>
    </w:p>
    <w:p w14:paraId="5C6634A1">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 “采购代理机构”系指竞争性磋商公告中载明的本项目的采购代理机构。</w:t>
      </w:r>
    </w:p>
    <w:p w14:paraId="65B0A86C">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 “供应商”系指是指提交响应文件和报价、参与竞争性磋商采购活动的法人、其他组织或者自然人。</w:t>
      </w:r>
    </w:p>
    <w:p w14:paraId="333AB334">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 “负责人”系指法人企业的法定负责人，或其他组织为法律、行政法规规定代表单位行使职权的主要负责人，或自然人本人。</w:t>
      </w:r>
    </w:p>
    <w:p w14:paraId="437B8880">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14:paraId="01CBB213">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2.6“电子交易平台”系指本项目政府采购活动所依托的政府采购云平台（https://www.zcygov.cn/）。</w:t>
      </w:r>
    </w:p>
    <w:p w14:paraId="2A1FE16F">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2.7 “▲” 系指实质性要求条款，“</w:t>
      </w:r>
      <w:sdt>
        <w:sdtPr>
          <w:rPr>
            <w:rFonts w:hint="eastAsia" w:ascii="宋体" w:hAnsi="宋体" w:cs="宋体"/>
            <w:color w:val="000000" w:themeColor="text1"/>
            <w:kern w:val="0"/>
            <w:sz w:val="24"/>
            <w14:textFill>
              <w14:solidFill>
                <w14:schemeClr w14:val="tx1"/>
              </w14:solidFill>
            </w14:textFill>
          </w:rPr>
          <w:id w:val="512970236"/>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ascii="Wingdings" w:hAnsi="Wingdings" w:cs="宋体"/>
              <w:color w:val="000000" w:themeColor="text1"/>
              <w:kern w:val="0"/>
              <w:sz w:val="24"/>
              <w14:textFill>
                <w14:solidFill>
                  <w14:schemeClr w14:val="tx1"/>
                </w14:solidFill>
              </w14:textFill>
            </w:rPr>
            <w:t></w:t>
          </w:r>
        </w:sdtContent>
      </w:sdt>
      <w:r>
        <w:rPr>
          <w:rFonts w:hint="eastAsia" w:ascii="宋体" w:hAnsi="宋体" w:cs="宋体"/>
          <w:color w:val="000000" w:themeColor="text1"/>
          <w:sz w:val="24"/>
          <w14:textFill>
            <w14:solidFill>
              <w14:schemeClr w14:val="tx1"/>
            </w14:solidFill>
          </w14:textFill>
        </w:rPr>
        <w:t>” 系指适用本项目的要求，“</w:t>
      </w:r>
      <w:sdt>
        <w:sdtPr>
          <w:rPr>
            <w:rFonts w:hint="eastAsia" w:ascii="宋体" w:hAnsi="宋体" w:cs="宋体"/>
            <w:color w:val="000000" w:themeColor="text1"/>
            <w:kern w:val="0"/>
            <w:sz w:val="24"/>
            <w14:textFill>
              <w14:solidFill>
                <w14:schemeClr w14:val="tx1"/>
              </w14:solidFill>
            </w14:textFill>
          </w:rPr>
          <w:id w:val="404888855"/>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sdtContent>
      </w:sdt>
      <w:r>
        <w:rPr>
          <w:rFonts w:hint="eastAsia" w:ascii="宋体" w:hAnsi="宋体" w:cs="宋体"/>
          <w:color w:val="000000" w:themeColor="text1"/>
          <w:sz w:val="24"/>
          <w14:textFill>
            <w14:solidFill>
              <w14:schemeClr w14:val="tx1"/>
            </w14:solidFill>
          </w14:textFill>
        </w:rPr>
        <w:t>” 系指不适用本项目的要求，“※”系指磋商过程中可能实质性变动的内容。</w:t>
      </w:r>
    </w:p>
    <w:p w14:paraId="42A2759E">
      <w:pPr>
        <w:snapToGrid w:val="0"/>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w:t>
      </w:r>
      <w:r>
        <w:rPr>
          <w:rFonts w:hint="eastAsia" w:ascii="宋体" w:hAnsi="宋体" w:cs="宋体"/>
          <w:color w:val="000000" w:themeColor="text1"/>
          <w14:textFill>
            <w14:solidFill>
              <w14:schemeClr w14:val="tx1"/>
            </w14:solidFill>
          </w14:textFill>
        </w:rPr>
        <w:t xml:space="preserve"> </w:t>
      </w:r>
      <w:r>
        <w:rPr>
          <w:rFonts w:hint="eastAsia" w:ascii="宋体" w:hAnsi="宋体" w:cs="宋体"/>
          <w:b/>
          <w:color w:val="000000" w:themeColor="text1"/>
          <w:sz w:val="24"/>
          <w14:textFill>
            <w14:solidFill>
              <w14:schemeClr w14:val="tx1"/>
            </w14:solidFill>
          </w14:textFill>
        </w:rPr>
        <w:t>采购项目需要落实的政府采购政策</w:t>
      </w:r>
    </w:p>
    <w:p w14:paraId="3AA70010">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宋体" w:hAnsi="宋体" w:cs="宋体"/>
          <w:color w:val="000000" w:themeColor="text1"/>
          <w:kern w:val="0"/>
          <w:sz w:val="24"/>
          <w14:textFill>
            <w14:solidFill>
              <w14:schemeClr w14:val="tx1"/>
            </w14:solidFill>
          </w14:textFill>
        </w:rPr>
        <w:t>优先采购向我国企业转让技术、与我国企业签订消化吸收再创新方案的供应商的进口产品</w:t>
      </w:r>
      <w:r>
        <w:rPr>
          <w:rFonts w:hint="eastAsia" w:ascii="宋体" w:hAnsi="宋体" w:cs="宋体"/>
          <w:color w:val="000000" w:themeColor="text1"/>
          <w:sz w:val="24"/>
          <w14:textFill>
            <w14:solidFill>
              <w14:schemeClr w14:val="tx1"/>
            </w14:solidFill>
          </w14:textFill>
        </w:rPr>
        <w:t>。</w:t>
      </w:r>
    </w:p>
    <w:p w14:paraId="7A861E27">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3.2 支持绿色发展</w:t>
      </w:r>
    </w:p>
    <w:p w14:paraId="2E59686C">
      <w:pPr>
        <w:snapToGrid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宋体" w:hAnsi="宋体" w:cs="宋体"/>
          <w:b/>
          <w:color w:val="000000" w:themeColor="text1"/>
          <w:sz w:val="24"/>
          <w14:textFill>
            <w14:solidFill>
              <w14:schemeClr w14:val="tx1"/>
            </w14:solidFill>
          </w14:textFill>
        </w:rPr>
        <w:t>采购人拟采购的产品属于政府强制采购的节能产品品目清单范围的，供应商未按采购文件要求提供国家确定的认证机构出具的、处于有效期之内的节能产品认证证书的，响应文件无效。</w:t>
      </w:r>
    </w:p>
    <w:p w14:paraId="3427255C">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3.2.2纳入政府采购管理的修缮、装修类项目采购建材的，鼓励采购单位将绿色建材性能、指标等作为实质性条件纳入采购文件和合同，具体性能指标要求参考相关绿色建材政府采购需求标准。</w:t>
      </w:r>
    </w:p>
    <w:p w14:paraId="0D340B2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4C0EE70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3.2.4 鼓励供应商在参加政府采购过程中开展绿色设计、选择绿色材料、打造绿色制造工艺、开展绿色运输、做好废弃产品回收处理，实现产品全周期的绿色环保。鼓励采购单位对其提高预付款比例、免收履约保证金。</w:t>
      </w:r>
    </w:p>
    <w:p w14:paraId="258AEBF0">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3.3支持中小企业发展</w:t>
      </w:r>
    </w:p>
    <w:p w14:paraId="236C5050">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20E7FE49">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符合中小企业划分标准的个体工商户，在政府采购活动中视同中小企业。</w:t>
      </w:r>
    </w:p>
    <w:p w14:paraId="027EA91C">
      <w:pPr>
        <w:widowControl/>
        <w:snapToGrid w:val="0"/>
        <w:spacing w:line="36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3.3.2</w:t>
      </w:r>
      <w:r>
        <w:rPr>
          <w:rFonts w:hint="eastAsia" w:ascii="宋体" w:hAnsi="宋体" w:cs="宋体"/>
          <w:color w:val="000000" w:themeColor="text1"/>
          <w:kern w:val="0"/>
          <w:sz w:val="24"/>
          <w14:textFill>
            <w14:solidFill>
              <w14:schemeClr w14:val="tx1"/>
            </w14:solidFill>
          </w14:textFill>
        </w:rPr>
        <w:t>在政府采购活动中，供应商提供的工程符合下列情形的，享受中小企业扶持政策：</w:t>
      </w:r>
      <w:r>
        <w:rPr>
          <w:rFonts w:ascii="宋体" w:hAnsi="宋体" w:cs="宋体"/>
          <w:color w:val="000000" w:themeColor="text1"/>
          <w:sz w:val="24"/>
          <w14:textFill>
            <w14:solidFill>
              <w14:schemeClr w14:val="tx1"/>
            </w14:solidFill>
          </w14:textFill>
        </w:rPr>
        <w:t>在工程采购项目中，工程由中小企业承建，即工程施工单位为中小企业</w:t>
      </w:r>
      <w:r>
        <w:rPr>
          <w:rFonts w:hint="eastAsia" w:ascii="宋体" w:hAnsi="宋体" w:cs="宋体"/>
          <w:color w:val="000000" w:themeColor="text1"/>
          <w:kern w:val="0"/>
          <w:sz w:val="24"/>
          <w14:textFill>
            <w14:solidFill>
              <w14:schemeClr w14:val="tx1"/>
            </w14:solidFill>
          </w14:textFill>
        </w:rPr>
        <w:t>。</w:t>
      </w:r>
    </w:p>
    <w:p w14:paraId="15FB4B9B">
      <w:pPr>
        <w:widowControl/>
        <w:snapToGrid w:val="0"/>
        <w:spacing w:line="36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以联合体形式参加政府采购活动，联合体各方均为中小企业的，联合体视同中小企业。其中，联合体各方均为小微企业的，联合体视同小微企业。</w:t>
      </w:r>
    </w:p>
    <w:p w14:paraId="36E94ED6">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31" w:name="_Hlk101132181"/>
      <w:r>
        <w:rPr>
          <w:rFonts w:hint="eastAsia" w:ascii="宋体" w:hAnsi="宋体" w:cs="宋体"/>
          <w:color w:val="000000" w:themeColor="text1"/>
          <w:sz w:val="24"/>
          <w14:textFill>
            <w14:solidFill>
              <w14:schemeClr w14:val="tx1"/>
            </w14:solidFill>
          </w14:textFill>
        </w:rPr>
        <w:t>联合协议或者分包意向协议约定小微企业的合同份额占到合同总金额30%以上的</w:t>
      </w:r>
      <w:bookmarkEnd w:id="31"/>
      <w:r>
        <w:rPr>
          <w:rFonts w:hint="eastAsia" w:ascii="宋体" w:hAnsi="宋体" w:cs="宋体"/>
          <w:color w:val="000000" w:themeColor="text1"/>
          <w:sz w:val="24"/>
          <w14:textFill>
            <w14:solidFill>
              <w14:schemeClr w14:val="tx1"/>
            </w14:solidFill>
          </w14:textFill>
        </w:rPr>
        <w:t>，对联合体或者大中型企业的报价给予2%的扣除，用扣除后的价格参加评审。组成联合体或者接受分包的小微企业与联合体内其他企业、分包企业之间存在直接控股、管理关系的，不享受价格扣除优惠政策。</w:t>
      </w:r>
    </w:p>
    <w:p w14:paraId="065CBDC2">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3.3.4符合《关于促进残疾人就业政府采购政策的通知》（财库〔2017〕141号）规定的条件并提供《残疾人福利性单位声明函》（附件1）的残疾人福利性单位视同小型、微型企业；</w:t>
      </w:r>
    </w:p>
    <w:p w14:paraId="553F3DF7">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11BF2529">
      <w:pPr>
        <w:spacing w:line="360" w:lineRule="auto"/>
        <w:ind w:firstLine="480" w:firstLineChars="200"/>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3.6可享受中小企业扶持政策的供应商应按照磋商文件格式要求提供《中小企业声明函》，</w:t>
      </w:r>
      <w:r>
        <w:rPr>
          <w:rFonts w:hint="eastAsia" w:cs="宋体" w:asciiTheme="minorEastAsia" w:hAnsiTheme="minorEastAsia" w:eastAsiaTheme="minorEastAsia"/>
          <w:color w:val="000000" w:themeColor="text1"/>
          <w:sz w:val="24"/>
          <w:lang w:val="en"/>
          <w14:textFill>
            <w14:solidFill>
              <w14:schemeClr w14:val="tx1"/>
            </w14:solidFill>
          </w14:textFill>
        </w:rPr>
        <w:t>《中小企业声明函》填写企业类型错误，导致该企业享受本不能享受的中小企业扶持政策，响应无效并依法承担法律责任</w:t>
      </w:r>
      <w:r>
        <w:rPr>
          <w:rFonts w:hint="eastAsia" w:cs="宋体" w:asciiTheme="minorEastAsia" w:hAnsiTheme="minorEastAsia" w:eastAsiaTheme="minorEastAsia"/>
          <w:color w:val="000000" w:themeColor="text1"/>
          <w:sz w:val="24"/>
          <w14:textFill>
            <w14:solidFill>
              <w14:schemeClr w14:val="tx1"/>
            </w14:solidFill>
          </w14:textFill>
        </w:rPr>
        <w:t>。</w:t>
      </w:r>
    </w:p>
    <w:p w14:paraId="6486E1FA">
      <w:pPr>
        <w:spacing w:line="360" w:lineRule="auto"/>
        <w:ind w:firstLine="480" w:firstLineChars="200"/>
        <w:rPr>
          <w:rFonts w:cs="宋体" w:asciiTheme="minorEastAsia" w:hAnsiTheme="minorEastAsia" w:eastAsiaTheme="minorEastAsia"/>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3.3.7中小企业享受扶持政策获得政府采购合同的，小微企业不得将合同分包给大中型企</w:t>
      </w:r>
      <w:r>
        <w:rPr>
          <w:rFonts w:hint="eastAsia" w:cs="宋体" w:asciiTheme="minorEastAsia" w:hAnsiTheme="minorEastAsia" w:eastAsiaTheme="minorEastAsia"/>
          <w:color w:val="000000" w:themeColor="text1"/>
          <w:sz w:val="24"/>
          <w14:textFill>
            <w14:solidFill>
              <w14:schemeClr w14:val="tx1"/>
            </w14:solidFill>
          </w14:textFill>
        </w:rPr>
        <w:t>业，中型企业不得将合同分包给大型企业。</w:t>
      </w:r>
    </w:p>
    <w:p w14:paraId="79983046">
      <w:pPr>
        <w:spacing w:line="360" w:lineRule="auto"/>
        <w:ind w:firstLine="480" w:firstLineChars="200"/>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3.4支持创新发展</w:t>
      </w:r>
    </w:p>
    <w:p w14:paraId="1A8A31F2">
      <w:pPr>
        <w:spacing w:line="360" w:lineRule="auto"/>
        <w:ind w:firstLine="480" w:firstLineChars="200"/>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3.4.1 首台套、“制造精品”、“专精特新”等创新产品按规定享受政府采购支持政策。</w:t>
      </w:r>
    </w:p>
    <w:p w14:paraId="70E1A434">
      <w:pPr>
        <w:spacing w:line="360" w:lineRule="auto"/>
        <w:ind w:firstLine="480" w:firstLineChars="200"/>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3.4.2 采购人应当贯彻落实知识产权保护相关法律法规，应当采购使用正版软件。</w:t>
      </w:r>
    </w:p>
    <w:p w14:paraId="3F565CD1">
      <w:pPr>
        <w:snapToGrid w:val="0"/>
        <w:spacing w:line="360" w:lineRule="auto"/>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3.5平等对待内外资企业和符合条件的破产重整企业：</w:t>
      </w:r>
    </w:p>
    <w:p w14:paraId="150EB81A">
      <w:pPr>
        <w:snapToGrid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平等对待内外资企业和符合条件的破产重整企业，切实保障企业公平竞争，平等维护企业的合法利益。</w:t>
      </w:r>
      <w:r>
        <w:rPr>
          <w:rFonts w:hint="eastAsia" w:ascii="宋体" w:hAnsi="宋体" w:cs="宋体"/>
          <w:color w:val="000000" w:themeColor="text1"/>
          <w:sz w:val="24"/>
          <w14:textFill>
            <w14:solidFill>
              <w14:schemeClr w14:val="tx1"/>
            </w14:solidFill>
          </w14:textFill>
        </w:rPr>
        <w:cr/>
      </w:r>
      <w:r>
        <w:rPr>
          <w:rFonts w:hint="eastAsia" w:ascii="宋体" w:hAnsi="宋体" w:cs="宋体"/>
          <w:b/>
          <w:color w:val="000000" w:themeColor="text1"/>
          <w:sz w:val="24"/>
          <w14:textFill>
            <w14:solidFill>
              <w14:schemeClr w14:val="tx1"/>
            </w14:solidFill>
          </w14:textFill>
        </w:rPr>
        <w:t>4. 询问、质疑、投诉</w:t>
      </w:r>
    </w:p>
    <w:p w14:paraId="0B91EE36">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4.1在线询问、质疑、投诉</w:t>
      </w:r>
    </w:p>
    <w:p w14:paraId="246E5F50">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4C8A1C44">
      <w:pPr>
        <w:autoSpaceDE w:val="0"/>
        <w:autoSpaceDN w:val="0"/>
        <w:snapToGrid w:val="0"/>
        <w:spacing w:line="360" w:lineRule="auto"/>
        <w:ind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4.2供应商询问</w:t>
      </w:r>
    </w:p>
    <w:p w14:paraId="1E77C1B5">
      <w:pPr>
        <w:autoSpaceDE w:val="0"/>
        <w:autoSpaceDN w:val="0"/>
        <w:snapToGrid w:val="0"/>
        <w:spacing w:line="360" w:lineRule="auto"/>
        <w:ind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4DCB850C">
      <w:pPr>
        <w:autoSpaceDE w:val="0"/>
        <w:autoSpaceDN w:val="0"/>
        <w:snapToGrid w:val="0"/>
        <w:spacing w:line="360" w:lineRule="auto"/>
        <w:ind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4.3供应商质疑</w:t>
      </w:r>
    </w:p>
    <w:p w14:paraId="75252F87">
      <w:pPr>
        <w:pStyle w:val="32"/>
        <w:snapToGrid w:val="0"/>
        <w:spacing w:line="360" w:lineRule="auto"/>
        <w:ind w:firstLine="480" w:firstLineChars="200"/>
        <w:rPr>
          <w:rFonts w:hAnsi="宋体" w:cs="宋体"/>
          <w:color w:val="000000" w:themeColor="text1"/>
          <w:sz w:val="24"/>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w:t>
      </w:r>
      <w:r>
        <w:rPr>
          <w:rFonts w:hint="eastAsia" w:hAnsi="宋体" w:cs="宋体"/>
          <w:color w:val="000000" w:themeColor="text1"/>
          <w:sz w:val="24"/>
          <w14:textFill>
            <w14:solidFill>
              <w14:schemeClr w14:val="tx1"/>
            </w14:solidFill>
          </w14:textFill>
        </w:rPr>
        <w:t>.1提出质疑的供应商应当是参与所质疑项目采购活动的供应商。潜在供应商已依法获取其可质疑的采购文件的，可以对该文件提出质疑。</w:t>
      </w:r>
    </w:p>
    <w:p w14:paraId="5528490D">
      <w:pPr>
        <w:pStyle w:val="32"/>
        <w:snapToGrid w:val="0"/>
        <w:spacing w:line="360" w:lineRule="auto"/>
        <w:ind w:firstLine="480" w:firstLineChars="200"/>
        <w:rPr>
          <w:rFonts w:hAnsi="宋体" w:cs="宋体"/>
          <w:color w:val="000000" w:themeColor="text1"/>
          <w:sz w:val="24"/>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w:t>
      </w:r>
      <w:r>
        <w:rPr>
          <w:rFonts w:hint="eastAsia" w:hAnsi="宋体" w:cs="宋体"/>
          <w:color w:val="000000" w:themeColor="text1"/>
          <w:sz w:val="24"/>
          <w14:textFill>
            <w14:solidFill>
              <w14:schemeClr w14:val="tx1"/>
            </w14:solidFill>
          </w14:textFill>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0F3A7DB2">
      <w:pPr>
        <w:pStyle w:val="5"/>
        <w:spacing w:line="360" w:lineRule="auto"/>
        <w:ind w:firstLine="480" w:firstLineChars="200"/>
        <w:rPr>
          <w:rFonts w:hAnsi="宋体" w:cs="宋体"/>
          <w:snapToGrid/>
          <w:color w:val="000000" w:themeColor="text1"/>
          <w:kern w:val="2"/>
          <w:sz w:val="24"/>
          <w14:textFill>
            <w14:solidFill>
              <w14:schemeClr w14:val="tx1"/>
            </w14:solidFill>
          </w14:textFill>
        </w:rPr>
      </w:pPr>
      <w:r>
        <w:rPr>
          <w:rFonts w:hint="eastAsia" w:hAnsi="宋体" w:cs="宋体"/>
          <w:snapToGrid/>
          <w:color w:val="000000" w:themeColor="text1"/>
          <w:kern w:val="2"/>
          <w:sz w:val="24"/>
          <w14:textFill>
            <w14:solidFill>
              <w14:schemeClr w14:val="tx1"/>
            </w14:solidFill>
          </w14:textFill>
        </w:rPr>
        <w:t>4.3.2.1对采购文件提出质疑的，质疑期限为供应商获得采购文件之日或者采购文件公告期限届满之日起计算。</w:t>
      </w:r>
    </w:p>
    <w:p w14:paraId="48E65CAD">
      <w:pPr>
        <w:pStyle w:val="32"/>
        <w:snapToGrid w:val="0"/>
        <w:spacing w:line="360" w:lineRule="auto"/>
        <w:ind w:firstLine="480" w:firstLineChars="200"/>
        <w:rPr>
          <w:rFonts w:hAnsi="宋体" w:cs="宋体"/>
          <w:color w:val="000000" w:themeColor="text1"/>
          <w:sz w:val="24"/>
          <w14:textFill>
            <w14:solidFill>
              <w14:schemeClr w14:val="tx1"/>
            </w14:solidFill>
          </w14:textFill>
        </w:rPr>
      </w:pPr>
      <w:r>
        <w:rPr>
          <w:rFonts w:hint="eastAsia" w:hAnsi="宋体" w:cs="宋体"/>
          <w:color w:val="000000" w:themeColor="text1"/>
          <w:sz w:val="24"/>
          <w14:textFill>
            <w14:solidFill>
              <w14:schemeClr w14:val="tx1"/>
            </w14:solidFill>
          </w14:textFill>
        </w:rPr>
        <w:t>4.3.2.2对采购过程提出质疑的，质疑期限为各采购程序环节结束之日起计算。</w:t>
      </w:r>
    </w:p>
    <w:p w14:paraId="1D1D386B">
      <w:pPr>
        <w:pStyle w:val="32"/>
        <w:snapToGrid w:val="0"/>
        <w:spacing w:line="360" w:lineRule="auto"/>
        <w:ind w:firstLine="480" w:firstLineChars="200"/>
        <w:rPr>
          <w:rFonts w:hAnsi="宋体" w:cs="宋体"/>
          <w:color w:val="000000" w:themeColor="text1"/>
          <w:sz w:val="24"/>
          <w14:textFill>
            <w14:solidFill>
              <w14:schemeClr w14:val="tx1"/>
            </w14:solidFill>
          </w14:textFill>
        </w:rPr>
      </w:pPr>
      <w:r>
        <w:rPr>
          <w:rFonts w:hint="eastAsia" w:hAnsi="宋体" w:cs="宋体"/>
          <w:color w:val="000000" w:themeColor="text1"/>
          <w:sz w:val="24"/>
          <w14:textFill>
            <w14:solidFill>
              <w14:schemeClr w14:val="tx1"/>
            </w14:solidFill>
          </w14:textFill>
        </w:rPr>
        <w:t>4.3.2.3对采购结果提出质疑的，质疑期限自采购结果公告期限届满之日起计算。</w:t>
      </w:r>
    </w:p>
    <w:p w14:paraId="5D726D35">
      <w:pPr>
        <w:pStyle w:val="32"/>
        <w:snapToGrid w:val="0"/>
        <w:spacing w:line="360" w:lineRule="auto"/>
        <w:ind w:firstLine="480" w:firstLineChars="200"/>
        <w:rPr>
          <w:rFonts w:hAnsi="宋体" w:cs="宋体"/>
          <w:color w:val="000000" w:themeColor="text1"/>
          <w:kern w:val="0"/>
          <w:sz w:val="24"/>
          <w:lang w:val="zh-CN"/>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4.3.3</w:t>
      </w:r>
      <w:r>
        <w:rPr>
          <w:rFonts w:hint="eastAsia" w:hAnsi="宋体" w:cs="宋体"/>
          <w:color w:val="000000" w:themeColor="text1"/>
          <w:sz w:val="24"/>
          <w14:textFill>
            <w14:solidFill>
              <w14:schemeClr w14:val="tx1"/>
            </w14:solidFill>
          </w14:textFill>
        </w:rPr>
        <w:t>供应商提出质疑应当提交质疑函和必要的证明材料。质疑函应当包括下列内容：</w:t>
      </w:r>
    </w:p>
    <w:p w14:paraId="118EEBDD">
      <w:pPr>
        <w:pStyle w:val="32"/>
        <w:snapToGrid w:val="0"/>
        <w:spacing w:line="360" w:lineRule="auto"/>
        <w:ind w:firstLine="720" w:firstLineChars="300"/>
        <w:rPr>
          <w:rFonts w:hAnsi="宋体" w:cs="宋体"/>
          <w:color w:val="000000" w:themeColor="text1"/>
          <w:kern w:val="0"/>
          <w:sz w:val="24"/>
          <w:lang w:val="zh-CN"/>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4.3.3.1供应商的姓名或者名称、地址、邮编、联系人及联系电话；</w:t>
      </w:r>
    </w:p>
    <w:p w14:paraId="11BD8C50">
      <w:pPr>
        <w:pStyle w:val="32"/>
        <w:snapToGrid w:val="0"/>
        <w:spacing w:line="360" w:lineRule="auto"/>
        <w:ind w:firstLine="720" w:firstLineChars="300"/>
        <w:rPr>
          <w:rFonts w:hAnsi="宋体" w:cs="宋体"/>
          <w:color w:val="000000" w:themeColor="text1"/>
          <w:kern w:val="0"/>
          <w:sz w:val="24"/>
          <w:lang w:val="zh-CN"/>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4.3.3.2质疑项目的名称、编号；</w:t>
      </w:r>
    </w:p>
    <w:p w14:paraId="5CD05AD2">
      <w:pPr>
        <w:pStyle w:val="32"/>
        <w:snapToGrid w:val="0"/>
        <w:spacing w:line="360" w:lineRule="auto"/>
        <w:ind w:firstLine="720" w:firstLineChars="300"/>
        <w:rPr>
          <w:rFonts w:hAnsi="宋体" w:cs="宋体"/>
          <w:color w:val="000000" w:themeColor="text1"/>
          <w:kern w:val="0"/>
          <w:sz w:val="24"/>
          <w:lang w:val="zh-CN"/>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4.3.3.3具体、明确的质疑事项和与质疑事项相关的请求；</w:t>
      </w:r>
    </w:p>
    <w:p w14:paraId="0449505E">
      <w:pPr>
        <w:pStyle w:val="32"/>
        <w:snapToGrid w:val="0"/>
        <w:spacing w:line="360" w:lineRule="auto"/>
        <w:ind w:firstLine="720" w:firstLineChars="300"/>
        <w:rPr>
          <w:rFonts w:hAnsi="宋体" w:cs="宋体"/>
          <w:color w:val="000000" w:themeColor="text1"/>
          <w:kern w:val="0"/>
          <w:sz w:val="24"/>
          <w:lang w:val="zh-CN"/>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4.3.3.4事实依据；</w:t>
      </w:r>
    </w:p>
    <w:p w14:paraId="611BDF39">
      <w:pPr>
        <w:pStyle w:val="32"/>
        <w:snapToGrid w:val="0"/>
        <w:spacing w:line="360" w:lineRule="auto"/>
        <w:ind w:firstLine="720" w:firstLineChars="300"/>
        <w:rPr>
          <w:rFonts w:hAnsi="宋体" w:cs="宋体"/>
          <w:color w:val="000000" w:themeColor="text1"/>
          <w:kern w:val="0"/>
          <w:sz w:val="24"/>
          <w:lang w:val="zh-CN"/>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4.3.3.5必要的法律依据；</w:t>
      </w:r>
    </w:p>
    <w:p w14:paraId="77BA5B7D">
      <w:pPr>
        <w:pStyle w:val="32"/>
        <w:snapToGrid w:val="0"/>
        <w:spacing w:line="360" w:lineRule="auto"/>
        <w:ind w:firstLine="720" w:firstLineChars="300"/>
        <w:rPr>
          <w:rFonts w:hAnsi="宋体" w:cs="宋体"/>
          <w:color w:val="000000" w:themeColor="text1"/>
          <w:kern w:val="0"/>
          <w:sz w:val="24"/>
          <w:lang w:val="zh-CN"/>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4.3.3.6提出质疑的日期。</w:t>
      </w:r>
    </w:p>
    <w:p w14:paraId="5EED7370">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供应商提交的质疑函需一式三份。供应商为自然人的，应当由本人签字；供应商为法人或者其他组织的，应当由法定代表人、主要负责人，或者其授权代表签字或者盖章，并加盖公章。</w:t>
      </w:r>
    </w:p>
    <w:p w14:paraId="30245333">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质疑函范本及制作说明详见附件2。</w:t>
      </w:r>
    </w:p>
    <w:p w14:paraId="57A943D0">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4.3.4对同一采购程序环节的质疑，供应商须在法定质疑期内一次性提出。</w:t>
      </w:r>
    </w:p>
    <w:p w14:paraId="36B47A94">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lang w:val="zh-CN"/>
          <w14:textFill>
            <w14:solidFill>
              <w14:schemeClr w14:val="tx1"/>
            </w14:solidFill>
          </w14:textFill>
        </w:rPr>
        <w:t>4.3</w:t>
      </w:r>
      <w:r>
        <w:rPr>
          <w:rFonts w:hint="eastAsia"/>
          <w:color w:val="000000" w:themeColor="text1"/>
          <w14:textFill>
            <w14:solidFill>
              <w14:schemeClr w14:val="tx1"/>
            </w14:solidFill>
          </w14:textFill>
        </w:rPr>
        <w:t>.5采购人或者采购代理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采购代理机构在质疑回复后5个工作日内，在浙江政府采购网的“其他公告”栏目公开质疑答复，答复内容应当完整。质疑函作为附件上传。</w:t>
      </w:r>
    </w:p>
    <w:p w14:paraId="6AA72E0C">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lang w:val="zh-CN"/>
          <w14:textFill>
            <w14:solidFill>
              <w14:schemeClr w14:val="tx1"/>
            </w14:solidFill>
          </w14:textFill>
        </w:rPr>
        <w:t>4.3</w:t>
      </w:r>
      <w:r>
        <w:rPr>
          <w:rFonts w:hint="eastAsia"/>
          <w:color w:val="000000" w:themeColor="text1"/>
          <w14:textFill>
            <w14:solidFill>
              <w14:schemeClr w14:val="tx1"/>
            </w14:solidFill>
          </w14:textFill>
        </w:rPr>
        <w:t>.6询问或者质疑事项可能影响采购结果的，采购人应当暂停签订合同，已经签订合同的，应当中止履行合同。</w:t>
      </w:r>
    </w:p>
    <w:p w14:paraId="469AA055">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4.4供应商投诉</w:t>
      </w:r>
    </w:p>
    <w:p w14:paraId="1BC55F5E">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4.4.1质疑供应商对采购人、采购代理机构的答复不满意或者采购人、采购代理机构未在规定的时间内作出答复的，可以在答复期满后十五个工作日内向同级政府采购监督管理部门提出投诉。</w:t>
      </w:r>
    </w:p>
    <w:p w14:paraId="2005A39A">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4.4.</w:t>
      </w:r>
      <w:r>
        <w:rPr>
          <w:rFonts w:hint="eastAsia"/>
          <w:color w:val="000000" w:themeColor="text1"/>
          <w:lang w:val="zh-CN"/>
          <w14:textFill>
            <w14:solidFill>
              <w14:schemeClr w14:val="tx1"/>
            </w14:solidFill>
          </w14:textFill>
        </w:rPr>
        <w:t>2</w:t>
      </w:r>
      <w:r>
        <w:rPr>
          <w:rFonts w:hint="eastAsia"/>
          <w:color w:val="000000" w:themeColor="text1"/>
          <w14:textFill>
            <w14:solidFill>
              <w14:schemeClr w14:val="tx1"/>
            </w14:solidFill>
          </w14:textFill>
        </w:rPr>
        <w:t>供应商投诉的事项不得超出已质疑事项的范围，基于质疑答复内容提出的投诉事项除外。</w:t>
      </w:r>
    </w:p>
    <w:p w14:paraId="5D316636">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4.4.3供应商投诉应当有明确的请求和必要的证明材料。</w:t>
      </w:r>
    </w:p>
    <w:p w14:paraId="515E777A">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4.4.4以联合体形式参加政府采购活动的，其投诉应当由组成联合体的所有供应商共同提出。</w:t>
      </w:r>
    </w:p>
    <w:p w14:paraId="15D7018D">
      <w:pPr>
        <w:pStyle w:val="891"/>
        <w:shd w:val="clear" w:color="auto" w:fill="FFFFFF"/>
        <w:snapToGrid w:val="0"/>
        <w:spacing w:after="240" w:afterAutospacing="0" w:line="360" w:lineRule="auto"/>
        <w:ind w:firstLine="480" w:firstLineChars="200"/>
        <w:contextualSpacing/>
        <w:rPr>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4.4.5</w:t>
      </w:r>
      <w:r>
        <w:rPr>
          <w:rFonts w:hint="eastAsia"/>
          <w:color w:val="000000" w:themeColor="text1"/>
          <w14:textFill>
            <w14:solidFill>
              <w14:schemeClr w14:val="tx1"/>
            </w14:solidFill>
          </w14:textFill>
        </w:rPr>
        <w:t>根据政府采购行政裁决省市区三级联动试点工作安排，政府采购项目投诉材料可寄送至浙江省政府采购行政裁决服务中心（杭州），地址：杭州市上城区清泰街549号城建综合大楼11楼（快递仅限ems或顺丰），收件人：匡老师</w:t>
      </w:r>
      <w:bookmarkStart w:id="571" w:name="_GoBack"/>
      <w:bookmarkEnd w:id="571"/>
      <w:r>
        <w:rPr>
          <w:rFonts w:hint="eastAsia"/>
          <w:color w:val="000000" w:themeColor="text1"/>
          <w14:textFill>
            <w14:solidFill>
              <w14:schemeClr w14:val="tx1"/>
            </w14:solidFill>
          </w14:textFill>
        </w:rPr>
        <w:t>，电话：0571-87807798</w:t>
      </w:r>
      <w:r>
        <w:rPr>
          <w:rFonts w:hint="eastAsia" w:cs="仿宋"/>
          <w:color w:val="000000" w:themeColor="text1"/>
          <w14:textFill>
            <w14:solidFill>
              <w14:schemeClr w14:val="tx1"/>
            </w14:solidFill>
          </w14:textFill>
        </w:rPr>
        <w:t>。</w:t>
      </w:r>
    </w:p>
    <w:p w14:paraId="3ED011C8">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投诉书范本及制作说明详见附件3。</w:t>
      </w:r>
    </w:p>
    <w:p w14:paraId="6E3C6FDF">
      <w:pPr>
        <w:pStyle w:val="131"/>
        <w:snapToGrid w:val="0"/>
        <w:spacing w:before="0"/>
        <w:ind w:firstLine="360"/>
        <w:rPr>
          <w:rFonts w:ascii="宋体" w:hAnsi="宋体" w:cs="宋体"/>
          <w:color w:val="000000" w:themeColor="text1"/>
          <w:sz w:val="18"/>
          <w:szCs w:val="18"/>
          <w14:textFill>
            <w14:solidFill>
              <w14:schemeClr w14:val="tx1"/>
            </w14:solidFill>
          </w14:textFill>
        </w:rPr>
      </w:pPr>
    </w:p>
    <w:p w14:paraId="5E60FE8B">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32" w:name="_Toc12619"/>
      <w:r>
        <w:rPr>
          <w:rFonts w:hint="eastAsia" w:ascii="宋体" w:hAnsi="宋体" w:cs="宋体"/>
          <w:b/>
          <w:color w:val="000000" w:themeColor="text1"/>
          <w:sz w:val="32"/>
          <w:szCs w:val="20"/>
          <w14:textFill>
            <w14:solidFill>
              <w14:schemeClr w14:val="tx1"/>
            </w14:solidFill>
          </w14:textFill>
        </w:rPr>
        <w:t>二、采购文件的构成、澄清、修改</w:t>
      </w:r>
      <w:bookmarkEnd w:id="32"/>
    </w:p>
    <w:p w14:paraId="0BAE7A8A">
      <w:pPr>
        <w:pStyle w:val="32"/>
        <w:spacing w:line="360" w:lineRule="auto"/>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5．采购文件的构成</w:t>
      </w:r>
    </w:p>
    <w:p w14:paraId="40D1B999">
      <w:pPr>
        <w:pStyle w:val="32"/>
        <w:spacing w:line="360" w:lineRule="auto"/>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5.1 采购文件包括下列文件及附件：</w:t>
      </w:r>
    </w:p>
    <w:p w14:paraId="47DC7939">
      <w:pPr>
        <w:pStyle w:val="32"/>
        <w:tabs>
          <w:tab w:val="left" w:pos="840"/>
        </w:tabs>
        <w:spacing w:line="360" w:lineRule="auto"/>
        <w:ind w:firstLine="960" w:firstLineChars="4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5.1.1竞争性磋商公告；</w:t>
      </w:r>
    </w:p>
    <w:p w14:paraId="3115900B">
      <w:pPr>
        <w:pStyle w:val="32"/>
        <w:tabs>
          <w:tab w:val="left" w:pos="840"/>
        </w:tabs>
        <w:spacing w:line="360" w:lineRule="auto"/>
        <w:ind w:firstLine="960" w:firstLineChars="4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5.1.2供应商须知；</w:t>
      </w:r>
    </w:p>
    <w:p w14:paraId="0946EB34">
      <w:pPr>
        <w:pStyle w:val="32"/>
        <w:tabs>
          <w:tab w:val="left" w:pos="840"/>
        </w:tabs>
        <w:spacing w:line="360" w:lineRule="auto"/>
        <w:ind w:firstLine="960" w:firstLineChars="4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5.1.3采购需求；</w:t>
      </w:r>
    </w:p>
    <w:p w14:paraId="05F058F9">
      <w:pPr>
        <w:pStyle w:val="32"/>
        <w:tabs>
          <w:tab w:val="left" w:pos="840"/>
        </w:tabs>
        <w:spacing w:line="360" w:lineRule="auto"/>
        <w:ind w:firstLine="960" w:firstLineChars="4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5.1.4评审办法；</w:t>
      </w:r>
    </w:p>
    <w:p w14:paraId="57CC8AA7">
      <w:pPr>
        <w:pStyle w:val="32"/>
        <w:tabs>
          <w:tab w:val="left" w:pos="840"/>
        </w:tabs>
        <w:spacing w:line="360" w:lineRule="auto"/>
        <w:ind w:firstLine="960" w:firstLineChars="4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5.1.5拟签订的合同文本；</w:t>
      </w:r>
    </w:p>
    <w:p w14:paraId="76C8A605">
      <w:pPr>
        <w:pStyle w:val="32"/>
        <w:tabs>
          <w:tab w:val="left" w:pos="840"/>
        </w:tabs>
        <w:spacing w:line="360" w:lineRule="auto"/>
        <w:ind w:firstLine="960" w:firstLineChars="4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14:textFill>
            <w14:solidFill>
              <w14:schemeClr w14:val="tx1"/>
            </w14:solidFill>
          </w14:textFill>
        </w:rPr>
        <w:t>5.1.6</w:t>
      </w:r>
      <w:r>
        <w:rPr>
          <w:rFonts w:hint="eastAsia" w:hAnsi="宋体" w:cs="宋体"/>
          <w:color w:val="000000" w:themeColor="text1"/>
          <w:sz w:val="24"/>
          <w:szCs w:val="24"/>
          <w14:textFill>
            <w14:solidFill>
              <w14:schemeClr w14:val="tx1"/>
            </w14:solidFill>
          </w14:textFill>
        </w:rPr>
        <w:t>应提交的有关格式范例。</w:t>
      </w:r>
    </w:p>
    <w:p w14:paraId="68DAEEA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5.2与本项目有关的</w:t>
      </w:r>
      <w:r>
        <w:rPr>
          <w:rFonts w:hint="eastAsia" w:ascii="宋体" w:hAnsi="宋体" w:cs="宋体"/>
          <w:bCs/>
          <w:color w:val="000000" w:themeColor="text1"/>
          <w:sz w:val="24"/>
          <w14:textFill>
            <w14:solidFill>
              <w14:schemeClr w14:val="tx1"/>
            </w14:solidFill>
          </w14:textFill>
        </w:rPr>
        <w:t>澄清或者修改的内容为采购文件的组成部分</w:t>
      </w:r>
      <w:r>
        <w:rPr>
          <w:rFonts w:hint="eastAsia" w:ascii="宋体" w:hAnsi="宋体" w:cs="宋体"/>
          <w:color w:val="000000" w:themeColor="text1"/>
          <w:sz w:val="24"/>
          <w14:textFill>
            <w14:solidFill>
              <w14:schemeClr w14:val="tx1"/>
            </w14:solidFill>
          </w14:textFill>
        </w:rPr>
        <w:t>。</w:t>
      </w:r>
    </w:p>
    <w:p w14:paraId="2EB0C448">
      <w:pPr>
        <w:pStyle w:val="32"/>
        <w:spacing w:line="360" w:lineRule="auto"/>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6. 采购文件的澄清、修改</w:t>
      </w:r>
    </w:p>
    <w:p w14:paraId="6292D5CF">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6.1已获取采购文件的潜在供应商，若有问题需要澄清，应于响应文件提交（上传）截止时间前，以书面形式向采购代理机构提出。</w:t>
      </w:r>
    </w:p>
    <w:p w14:paraId="4FF472DE">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4CF108AE">
      <w:pPr>
        <w:pStyle w:val="23"/>
        <w:rPr>
          <w:rFonts w:hAnsi="宋体" w:cs="宋体"/>
          <w:color w:val="000000" w:themeColor="text1"/>
          <w:sz w:val="18"/>
          <w:szCs w:val="18"/>
          <w:lang w:val="en-US"/>
          <w14:textFill>
            <w14:solidFill>
              <w14:schemeClr w14:val="tx1"/>
            </w14:solidFill>
          </w14:textFill>
        </w:rPr>
      </w:pPr>
    </w:p>
    <w:p w14:paraId="7735D0A4">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33" w:name="_Toc8666"/>
      <w:r>
        <w:rPr>
          <w:rFonts w:hint="eastAsia" w:ascii="宋体" w:hAnsi="宋体" w:cs="宋体"/>
          <w:b/>
          <w:color w:val="000000" w:themeColor="text1"/>
          <w:sz w:val="32"/>
          <w:szCs w:val="20"/>
          <w14:textFill>
            <w14:solidFill>
              <w14:schemeClr w14:val="tx1"/>
            </w14:solidFill>
          </w14:textFill>
        </w:rPr>
        <w:t>三、提交响应文件</w:t>
      </w:r>
      <w:bookmarkEnd w:id="33"/>
    </w:p>
    <w:p w14:paraId="6DACA982">
      <w:pPr>
        <w:pStyle w:val="32"/>
        <w:spacing w:line="360" w:lineRule="auto"/>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7. 采购文件的获取</w:t>
      </w:r>
    </w:p>
    <w:p w14:paraId="261E293F">
      <w:pPr>
        <w:spacing w:line="360" w:lineRule="auto"/>
        <w:ind w:firstLine="480" w:firstLineChars="200"/>
        <w:rPr>
          <w:rFonts w:ascii="宋体" w:hAnsi="宋体" w:cs="宋体"/>
          <w:snapToGrid w:val="0"/>
          <w:color w:val="000000" w:themeColor="text1"/>
          <w:kern w:val="28"/>
          <w:sz w:val="24"/>
          <w14:textFill>
            <w14:solidFill>
              <w14:schemeClr w14:val="tx1"/>
            </w14:solidFill>
          </w14:textFill>
        </w:rPr>
      </w:pPr>
      <w:r>
        <w:rPr>
          <w:rFonts w:hint="eastAsia" w:ascii="宋体" w:hAnsi="宋体" w:cs="宋体"/>
          <w:snapToGrid w:val="0"/>
          <w:color w:val="000000" w:themeColor="text1"/>
          <w:kern w:val="28"/>
          <w:sz w:val="24"/>
          <w14:textFill>
            <w14:solidFill>
              <w14:schemeClr w14:val="tx1"/>
            </w14:solidFill>
          </w14:textFill>
        </w:rPr>
        <w:t>详见竞争性磋商公告中获取采购文件的时间期限、地点、方式及采购文件售价。</w:t>
      </w:r>
    </w:p>
    <w:p w14:paraId="0F4FA8B4">
      <w:pPr>
        <w:pStyle w:val="32"/>
        <w:spacing w:line="360" w:lineRule="auto"/>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8.磋商前答疑会或现场考察</w:t>
      </w:r>
    </w:p>
    <w:p w14:paraId="484CD251">
      <w:pPr>
        <w:pStyle w:val="32"/>
        <w:spacing w:line="360" w:lineRule="auto"/>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采购人组织潜在供应商现场考察或者召开磋商前答疑会的，潜在供应商按第二部分供应商须知前附表的规定参加现场考察或者磋商前答疑会。</w:t>
      </w:r>
    </w:p>
    <w:p w14:paraId="487DD031">
      <w:pPr>
        <w:pStyle w:val="32"/>
        <w:spacing w:line="360" w:lineRule="auto"/>
        <w:rPr>
          <w:rFonts w:hAnsi="宋体" w:cs="宋体"/>
          <w:b/>
          <w:color w:val="000000" w:themeColor="text1"/>
          <w:szCs w:val="24"/>
          <w14:textFill>
            <w14:solidFill>
              <w14:schemeClr w14:val="tx1"/>
            </w14:solidFill>
          </w14:textFill>
        </w:rPr>
      </w:pPr>
      <w:r>
        <w:rPr>
          <w:rFonts w:hint="eastAsia" w:hAnsi="宋体" w:cs="宋体"/>
          <w:b/>
          <w:color w:val="000000" w:themeColor="text1"/>
          <w:kern w:val="28"/>
          <w:sz w:val="24"/>
          <w:szCs w:val="24"/>
          <w14:textFill>
            <w14:solidFill>
              <w14:schemeClr w14:val="tx1"/>
            </w14:solidFill>
          </w14:textFill>
        </w:rPr>
        <w:t>9.磋商保证金</w:t>
      </w:r>
    </w:p>
    <w:p w14:paraId="532ADCB1">
      <w:pPr>
        <w:pStyle w:val="5"/>
        <w:spacing w:line="360" w:lineRule="auto"/>
        <w:ind w:firstLine="470" w:firstLineChars="196"/>
        <w:rPr>
          <w:rFonts w:hAnsi="宋体" w:cs="宋体"/>
          <w:color w:val="000000" w:themeColor="text1"/>
          <w:sz w:val="24"/>
          <w14:textFill>
            <w14:solidFill>
              <w14:schemeClr w14:val="tx1"/>
            </w14:solidFill>
          </w14:textFill>
        </w:rPr>
      </w:pPr>
      <w:r>
        <w:rPr>
          <w:rFonts w:hint="eastAsia" w:hAnsi="宋体" w:cs="宋体"/>
          <w:color w:val="000000" w:themeColor="text1"/>
          <w:sz w:val="24"/>
          <w14:textFill>
            <w14:solidFill>
              <w14:schemeClr w14:val="tx1"/>
            </w14:solidFill>
          </w14:textFill>
        </w:rPr>
        <w:t>本项目不需缴纳磋商保证金。</w:t>
      </w:r>
    </w:p>
    <w:p w14:paraId="1907DAAA">
      <w:pPr>
        <w:pStyle w:val="32"/>
        <w:spacing w:line="360" w:lineRule="auto"/>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10. 响应文件的语言</w:t>
      </w:r>
    </w:p>
    <w:p w14:paraId="2F6EC598">
      <w:pPr>
        <w:autoSpaceDE w:val="0"/>
        <w:autoSpaceDN w:val="0"/>
        <w:spacing w:line="360"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响应文件及供应商与采购有关的来往通知、函件和文件均应使用中文。</w:t>
      </w:r>
    </w:p>
    <w:p w14:paraId="1344CB96">
      <w:pPr>
        <w:pStyle w:val="32"/>
        <w:spacing w:line="360" w:lineRule="auto"/>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11. 响应文件的组成</w:t>
      </w:r>
    </w:p>
    <w:p w14:paraId="16C74929">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w:t>
      </w:r>
      <w:r>
        <w:rPr>
          <w:rFonts w:hint="eastAsia" w:ascii="宋体" w:hAnsi="宋体" w:cs="宋体"/>
          <w:b/>
          <w:color w:val="000000" w:themeColor="text1"/>
          <w:sz w:val="24"/>
          <w14:textFill>
            <w14:solidFill>
              <w14:schemeClr w14:val="tx1"/>
            </w14:solidFill>
          </w14:textFill>
        </w:rPr>
        <w:t>资格文件</w:t>
      </w:r>
      <w:r>
        <w:rPr>
          <w:rFonts w:hint="eastAsia" w:ascii="宋体" w:hAnsi="宋体" w:cs="宋体"/>
          <w:color w:val="000000" w:themeColor="text1"/>
          <w:sz w:val="24"/>
          <w14:textFill>
            <w14:solidFill>
              <w14:schemeClr w14:val="tx1"/>
            </w14:solidFill>
          </w14:textFill>
        </w:rPr>
        <w:t>：</w:t>
      </w:r>
    </w:p>
    <w:p w14:paraId="52802E48">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11.1.1符合参加政府采购活动应当具备的一般条件的承诺函；</w:t>
      </w:r>
    </w:p>
    <w:p w14:paraId="27D1BB90">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ascii="宋体" w:hAnsi="宋体" w:cs="宋体"/>
          <w:color w:val="000000" w:themeColor="text1"/>
          <w:sz w:val="24"/>
          <w14:textFill>
            <w14:solidFill>
              <w14:schemeClr w14:val="tx1"/>
            </w14:solidFill>
          </w14:textFill>
        </w:rPr>
        <w:t>1.1.2</w:t>
      </w:r>
      <w:bookmarkStart w:id="34" w:name="_Hlk101259339"/>
      <w:r>
        <w:rPr>
          <w:rFonts w:hint="eastAsia" w:ascii="宋体" w:hAnsi="宋体" w:cs="宋体"/>
          <w:snapToGrid w:val="0"/>
          <w:color w:val="000000" w:themeColor="text1"/>
          <w:kern w:val="28"/>
          <w:sz w:val="24"/>
          <w:szCs w:val="20"/>
          <w14:textFill>
            <w14:solidFill>
              <w14:schemeClr w14:val="tx1"/>
            </w14:solidFill>
          </w14:textFill>
        </w:rPr>
        <w:t>联合协议</w:t>
      </w:r>
      <w:bookmarkStart w:id="35" w:name="_Hlk101257010"/>
      <w:r>
        <w:rPr>
          <w:rFonts w:hint="eastAsia" w:ascii="宋体" w:hAnsi="宋体" w:cs="宋体"/>
          <w:snapToGrid w:val="0"/>
          <w:color w:val="000000" w:themeColor="text1"/>
          <w:kern w:val="28"/>
          <w:sz w:val="24"/>
          <w:szCs w:val="20"/>
          <w14:textFill>
            <w14:solidFill>
              <w14:schemeClr w14:val="tx1"/>
            </w14:solidFill>
          </w14:textFill>
        </w:rPr>
        <w:t>（如果有)</w:t>
      </w:r>
      <w:bookmarkEnd w:id="34"/>
      <w:bookmarkEnd w:id="35"/>
      <w:r>
        <w:rPr>
          <w:rFonts w:hint="eastAsia" w:ascii="宋体" w:hAnsi="宋体" w:cs="宋体"/>
          <w:snapToGrid w:val="0"/>
          <w:color w:val="000000" w:themeColor="text1"/>
          <w:kern w:val="28"/>
          <w:sz w:val="24"/>
          <w:szCs w:val="20"/>
          <w14:textFill>
            <w14:solidFill>
              <w14:schemeClr w14:val="tx1"/>
            </w14:solidFill>
          </w14:textFill>
        </w:rPr>
        <w:t>；</w:t>
      </w:r>
    </w:p>
    <w:p w14:paraId="073875A4">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落实政府采购政策需满足的资格要求；</w:t>
      </w:r>
    </w:p>
    <w:p w14:paraId="3C0B900A">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本项目的特定资格要求。</w:t>
      </w:r>
    </w:p>
    <w:p w14:paraId="1F974E5A">
      <w:pPr>
        <w:snapToGrid w:val="0"/>
        <w:spacing w:line="360"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11.</w:t>
      </w:r>
      <w:r>
        <w:rPr>
          <w:rFonts w:hint="eastAsia" w:ascii="宋体" w:hAnsi="宋体" w:cs="宋体"/>
          <w:color w:val="000000" w:themeColor="text1"/>
          <w:sz w:val="24"/>
          <w14:textFill>
            <w14:solidFill>
              <w14:schemeClr w14:val="tx1"/>
            </w14:solidFill>
          </w14:textFill>
        </w:rPr>
        <w:t>2</w:t>
      </w:r>
      <w:r>
        <w:rPr>
          <w:rFonts w:hint="eastAsia" w:ascii="宋体" w:hAnsi="宋体" w:cs="宋体"/>
          <w:b/>
          <w:bCs/>
          <w:color w:val="000000" w:themeColor="text1"/>
          <w:sz w:val="24"/>
          <w14:textFill>
            <w14:solidFill>
              <w14:schemeClr w14:val="tx1"/>
            </w14:solidFill>
          </w14:textFill>
        </w:rPr>
        <w:t>商务技术</w:t>
      </w:r>
      <w:r>
        <w:rPr>
          <w:rFonts w:hint="eastAsia" w:ascii="宋体" w:hAnsi="宋体" w:cs="宋体"/>
          <w:b/>
          <w:bCs/>
          <w:color w:val="000000" w:themeColor="text1"/>
          <w:sz w:val="24"/>
          <w:lang w:val="zh-CN"/>
          <w14:textFill>
            <w14:solidFill>
              <w14:schemeClr w14:val="tx1"/>
            </w14:solidFill>
          </w14:textFill>
        </w:rPr>
        <w:t>文件：</w:t>
      </w:r>
    </w:p>
    <w:p w14:paraId="19F0BB6B">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11.2.1响应函；</w:t>
      </w:r>
      <w:r>
        <w:rPr>
          <w:rFonts w:hint="eastAsia" w:ascii="宋体" w:hAnsi="宋体" w:cs="宋体"/>
          <w:color w:val="000000" w:themeColor="text1"/>
          <w:sz w:val="24"/>
          <w:lang w:val="zh-CN"/>
          <w14:textFill>
            <w14:solidFill>
              <w14:schemeClr w14:val="tx1"/>
            </w14:solidFill>
          </w14:textFill>
        </w:rPr>
        <w:t xml:space="preserve"> </w:t>
      </w:r>
    </w:p>
    <w:p w14:paraId="43F6A663">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11.2.2授权委托书或法定代表人（单位负责人、自然人本人）身份证明；</w:t>
      </w:r>
    </w:p>
    <w:p w14:paraId="3177187E">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11.2.3分包意向协议（如果有)；</w:t>
      </w:r>
    </w:p>
    <w:p w14:paraId="536F6F6D">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11.2.4符合性审查资料；</w:t>
      </w:r>
    </w:p>
    <w:p w14:paraId="2DDBAE14">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11.2.5评审标准相应的商务技术资料；</w:t>
      </w:r>
    </w:p>
    <w:p w14:paraId="1384C66D">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11.2.6商务技术偏离表；</w:t>
      </w:r>
    </w:p>
    <w:p w14:paraId="2E9EFDB3">
      <w:pPr>
        <w:snapToGrid w:val="0"/>
        <w:spacing w:line="360" w:lineRule="auto"/>
        <w:ind w:firstLine="960" w:firstLineChars="4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11.</w:t>
      </w: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lang w:val="zh-CN"/>
          <w14:textFill>
            <w14:solidFill>
              <w14:schemeClr w14:val="tx1"/>
            </w14:solidFill>
          </w14:textFill>
        </w:rPr>
        <w:t>政府采购供应商廉洁自律承诺书；</w:t>
      </w:r>
    </w:p>
    <w:p w14:paraId="4CCBCF79">
      <w:pPr>
        <w:snapToGrid w:val="0"/>
        <w:spacing w:line="360" w:lineRule="auto"/>
        <w:ind w:firstLine="480" w:firstLineChars="200"/>
        <w:rPr>
          <w:rFonts w:ascii="宋体" w:hAnsi="宋体" w:cs="宋体"/>
          <w:color w:val="000000" w:themeColor="text1"/>
          <w:sz w:val="24"/>
          <w:u w:val="single"/>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11.</w:t>
      </w:r>
      <w:r>
        <w:rPr>
          <w:rFonts w:hint="eastAsia" w:ascii="宋体" w:hAnsi="宋体" w:cs="宋体"/>
          <w:color w:val="000000" w:themeColor="text1"/>
          <w:kern w:val="0"/>
          <w:sz w:val="24"/>
          <w14:textFill>
            <w14:solidFill>
              <w14:schemeClr w14:val="tx1"/>
            </w14:solidFill>
          </w14:textFill>
        </w:rPr>
        <w:t>3</w:t>
      </w:r>
      <w:r>
        <w:rPr>
          <w:rFonts w:hint="eastAsia" w:ascii="宋体" w:hAnsi="宋体" w:cs="宋体"/>
          <w:b/>
          <w:color w:val="000000" w:themeColor="text1"/>
          <w:sz w:val="24"/>
          <w14:textFill>
            <w14:solidFill>
              <w14:schemeClr w14:val="tx1"/>
            </w14:solidFill>
          </w14:textFill>
        </w:rPr>
        <w:t>报价文件：</w:t>
      </w:r>
      <w:r>
        <w:rPr>
          <w:rFonts w:hint="eastAsia" w:ascii="宋体" w:hAnsi="宋体" w:cs="宋体"/>
          <w:color w:val="000000" w:themeColor="text1"/>
          <w:sz w:val="24"/>
          <w14:textFill>
            <w14:solidFill>
              <w14:schemeClr w14:val="tx1"/>
            </w14:solidFill>
          </w14:textFill>
        </w:rPr>
        <w:t xml:space="preserve"> </w:t>
      </w:r>
    </w:p>
    <w:p w14:paraId="46DAA220">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11.3.1报价单；</w:t>
      </w:r>
    </w:p>
    <w:p w14:paraId="6E240865">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11.3.2已标价工程量清单。</w:t>
      </w:r>
    </w:p>
    <w:p w14:paraId="0E10455A">
      <w:pPr>
        <w:spacing w:line="360" w:lineRule="auto"/>
        <w:ind w:firstLine="723" w:firstLineChars="3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响应文件含有采购人不能接受的附加条件的，响应文件无效；</w:t>
      </w:r>
    </w:p>
    <w:p w14:paraId="07FF6C6C">
      <w:pPr>
        <w:spacing w:line="360" w:lineRule="auto"/>
        <w:ind w:firstLine="723" w:firstLineChars="3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供应商提供虚假材料的，响应文件无效。</w:t>
      </w:r>
    </w:p>
    <w:p w14:paraId="0AB1CA82">
      <w:pPr>
        <w:spacing w:line="360" w:lineRule="auto"/>
        <w:ind w:firstLine="720" w:firstLineChars="300"/>
        <w:rPr>
          <w:color w:val="000000" w:themeColor="text1"/>
          <w14:textFill>
            <w14:solidFill>
              <w14:schemeClr w14:val="tx1"/>
            </w14:solidFill>
          </w14:textFill>
        </w:rPr>
      </w:pPr>
      <w:r>
        <w:rPr>
          <w:rFonts w:hint="eastAsia"/>
          <w:color w:val="000000" w:themeColor="text1"/>
          <w:sz w:val="24"/>
          <w:shd w:val="clear" w:color="auto" w:fill="FFFFFF"/>
          <w14:textFill>
            <w14:solidFill>
              <w14:schemeClr w14:val="tx1"/>
            </w14:solidFill>
          </w14:textFill>
        </w:rPr>
        <w:t>供应商可事先在公开官网查询、核对相关证书和报告内容，确保投标（响应）文件资料准确无误。供应商应对响应文件中材料的真实性、合法性负责。</w:t>
      </w:r>
    </w:p>
    <w:p w14:paraId="77AC0F17">
      <w:pPr>
        <w:pStyle w:val="131"/>
        <w:snapToGrid w:val="0"/>
        <w:spacing w:before="0"/>
        <w:ind w:firstLine="0" w:firstLineChars="0"/>
        <w:rPr>
          <w:rFonts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t>12</w:t>
      </w:r>
      <w:r>
        <w:rPr>
          <w:rFonts w:hint="eastAsia" w:ascii="宋体" w:hAnsi="宋体" w:cs="宋体"/>
          <w:b/>
          <w:color w:val="000000" w:themeColor="text1"/>
          <w:kern w:val="0"/>
          <w:szCs w:val="24"/>
          <w:lang w:val="zh-CN"/>
          <w14:textFill>
            <w14:solidFill>
              <w14:schemeClr w14:val="tx1"/>
            </w14:solidFill>
          </w14:textFill>
        </w:rPr>
        <w:t>.</w:t>
      </w:r>
      <w:r>
        <w:rPr>
          <w:rFonts w:hint="eastAsia" w:ascii="宋体" w:hAnsi="宋体" w:cs="宋体"/>
          <w:b/>
          <w:color w:val="000000" w:themeColor="text1"/>
          <w:szCs w:val="24"/>
          <w14:textFill>
            <w14:solidFill>
              <w14:schemeClr w14:val="tx1"/>
            </w14:solidFill>
          </w14:textFill>
        </w:rPr>
        <w:t>响应文件的编制</w:t>
      </w:r>
    </w:p>
    <w:p w14:paraId="17DC97BB">
      <w:pPr>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5B110809">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12.2供应商进行电子投标应安装客户端软件—“政采云电子交易客户端”，并按照采购文件和电子交易平台的要求编制并加密响应文件。供应商未按规定加密的响应文件，电子交易平台将拒收并提示。</w:t>
      </w:r>
    </w:p>
    <w:p w14:paraId="1C2B4E5D">
      <w:pPr>
        <w:snapToGrid w:val="0"/>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12.3使用“政采云电子交易客户端”需要提前申领CA数字证书，申领流程请自行前往“浙江政府采购网-下载专区-电子交易客户端-CA驱动和申领流程”进行查阅。</w:t>
      </w:r>
    </w:p>
    <w:p w14:paraId="64A9FA68">
      <w:pPr>
        <w:snapToGrid w:val="0"/>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13.响应文件的签署、盖章</w:t>
      </w:r>
    </w:p>
    <w:p w14:paraId="6B0659D9">
      <w:pPr>
        <w:pStyle w:val="131"/>
        <w:snapToGrid w:val="0"/>
        <w:spacing w:before="0"/>
        <w:ind w:firstLine="480"/>
        <w:rPr>
          <w:rFonts w:ascii="宋体" w:hAnsi="宋体" w:cs="宋体"/>
          <w:b/>
          <w:color w:val="000000" w:themeColor="text1"/>
          <w14:textFill>
            <w14:solidFill>
              <w14:schemeClr w14:val="tx1"/>
            </w14:solidFill>
          </w14:textFill>
        </w:rPr>
      </w:pPr>
      <w:r>
        <w:rPr>
          <w:rFonts w:hint="eastAsia" w:ascii="宋体" w:hAnsi="宋体" w:cs="宋体"/>
          <w:color w:val="000000" w:themeColor="text1"/>
          <w:szCs w:val="24"/>
          <w14:textFill>
            <w14:solidFill>
              <w14:schemeClr w14:val="tx1"/>
            </w14:solidFill>
          </w14:textFill>
        </w:rPr>
        <w:t>13.1响应文件按照采购文件第六部分格式要</w:t>
      </w:r>
      <w:r>
        <w:rPr>
          <w:rFonts w:hint="eastAsia" w:ascii="宋体" w:hAnsi="宋体" w:cs="宋体"/>
          <w:color w:val="000000" w:themeColor="text1"/>
          <w14:textFill>
            <w14:solidFill>
              <w14:schemeClr w14:val="tx1"/>
            </w14:solidFill>
          </w14:textFill>
        </w:rPr>
        <w:t>求进行签署、盖章。</w:t>
      </w:r>
      <w:r>
        <w:rPr>
          <w:rFonts w:hint="eastAsia" w:ascii="宋体" w:hAnsi="宋体" w:cs="宋体"/>
          <w:b/>
          <w:color w:val="000000" w:themeColor="text1"/>
          <w14:textFill>
            <w14:solidFill>
              <w14:schemeClr w14:val="tx1"/>
            </w14:solidFill>
          </w14:textFill>
        </w:rPr>
        <w:t>▲供应商的响应文件未按照采购文件要求签署、盖章的，其响应文件无效</w:t>
      </w:r>
      <w:r>
        <w:rPr>
          <w:rFonts w:hint="eastAsia" w:ascii="宋体" w:hAnsi="宋体" w:cs="宋体"/>
          <w:color w:val="000000" w:themeColor="text1"/>
          <w:szCs w:val="24"/>
          <w14:textFill>
            <w14:solidFill>
              <w14:schemeClr w14:val="tx1"/>
            </w14:solidFill>
          </w14:textFill>
        </w:rPr>
        <w:t>。</w:t>
      </w:r>
    </w:p>
    <w:p w14:paraId="3EE789F0">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13.2为确保网上操作合法、有效和安全，供应商应当在响应文件提交（上传）截止时间前完成在“政府采购云平台”的身份认证，确保在电子投标过程中能够对相关数据电文进行加密和使用电子签名。</w:t>
      </w:r>
    </w:p>
    <w:p w14:paraId="10D75C09">
      <w:pPr>
        <w:pStyle w:val="131"/>
        <w:snapToGrid w:val="0"/>
        <w:spacing w:before="0"/>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14:textFill>
            <w14:solidFill>
              <w14:schemeClr w14:val="tx1"/>
            </w14:solidFill>
          </w14:textFill>
        </w:rPr>
        <w:t>13.3采购文件对响应文件签署、盖章的要求适用于电子签名。</w:t>
      </w:r>
    </w:p>
    <w:p w14:paraId="375A9804">
      <w:pPr>
        <w:pStyle w:val="131"/>
        <w:snapToGrid w:val="0"/>
        <w:spacing w:before="0"/>
        <w:ind w:firstLine="0" w:firstLineChars="0"/>
        <w:rPr>
          <w:rFonts w:ascii="宋体" w:hAnsi="宋体" w:cs="宋体"/>
          <w:b/>
          <w:color w:val="000000" w:themeColor="text1"/>
          <w:szCs w:val="24"/>
          <w14:textFill>
            <w14:solidFill>
              <w14:schemeClr w14:val="tx1"/>
            </w14:solidFill>
          </w14:textFill>
        </w:rPr>
      </w:pPr>
    </w:p>
    <w:p w14:paraId="0872A159">
      <w:pPr>
        <w:pStyle w:val="131"/>
        <w:snapToGrid w:val="0"/>
        <w:spacing w:before="0"/>
        <w:ind w:firstLine="0" w:firstLineChars="0"/>
        <w:rPr>
          <w:rFonts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t>14. 响应文件的提交、补充、修改、撤回</w:t>
      </w:r>
    </w:p>
    <w:p w14:paraId="2C9962C1">
      <w:pPr>
        <w:pStyle w:val="131"/>
        <w:snapToGrid w:val="0"/>
        <w:spacing w:before="0"/>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68BF6C3A">
      <w:pPr>
        <w:pStyle w:val="131"/>
        <w:snapToGrid w:val="0"/>
        <w:spacing w:before="0"/>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14.2电子交易平台收到响应文件，将妥善保存并即时向供应商发出确认回执通知。在响应文件提交（上传）截止时间前，除供应商补充、修改或者撤回响应文件外，任何单位和个人不得解密或提取响应文件。</w:t>
      </w:r>
    </w:p>
    <w:p w14:paraId="33E2DB05">
      <w:pPr>
        <w:pStyle w:val="131"/>
        <w:snapToGrid w:val="0"/>
        <w:spacing w:before="0"/>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14:paraId="32849912">
      <w:pPr>
        <w:pStyle w:val="32"/>
        <w:snapToGrid w:val="0"/>
        <w:spacing w:line="360" w:lineRule="auto"/>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15.备份响应文件</w:t>
      </w:r>
    </w:p>
    <w:p w14:paraId="65060F3E">
      <w:pPr>
        <w:pStyle w:val="32"/>
        <w:snapToGrid w:val="0"/>
        <w:spacing w:line="360" w:lineRule="auto"/>
        <w:ind w:firstLine="360" w:firstLineChars="150"/>
        <w:rPr>
          <w:rFonts w:hAnsi="宋体" w:cs="宋体"/>
          <w:b/>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 xml:space="preserve"> 15.1供应商在电子交易平台传输递交响应文件后，还可以在响应文件提交（上传）截止时间前直接提交或者以邮政快递方式递交备份响应文件1份，</w:t>
      </w:r>
      <w:r>
        <w:rPr>
          <w:rFonts w:hint="eastAsia" w:hAnsi="宋体" w:cs="宋体"/>
          <w:b/>
          <w:color w:val="000000" w:themeColor="text1"/>
          <w:sz w:val="24"/>
          <w:szCs w:val="24"/>
          <w14:textFill>
            <w14:solidFill>
              <w14:schemeClr w14:val="tx1"/>
            </w14:solidFill>
          </w14:textFill>
        </w:rPr>
        <w:t>但采购人、采购代理机构不强制或变相强制供应商提交备份响应文件。</w:t>
      </w:r>
    </w:p>
    <w:p w14:paraId="1A41F66C">
      <w:pPr>
        <w:pStyle w:val="32"/>
        <w:snapToGrid w:val="0"/>
        <w:spacing w:line="360" w:lineRule="auto"/>
        <w:ind w:firstLine="480" w:firstLineChars="200"/>
        <w:rPr>
          <w:rFonts w:hAnsi="宋体" w:cs="宋体"/>
          <w:b/>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15.2备份响应文件须在“政采云投标客户端”制作生成，并储存在</w:t>
      </w:r>
      <w:r>
        <w:rPr>
          <w:rFonts w:hint="eastAsia" w:hAnsi="宋体" w:cs="宋体"/>
          <w:color w:val="000000" w:themeColor="text1"/>
          <w:sz w:val="24"/>
          <w14:textFill>
            <w14:solidFill>
              <w14:schemeClr w14:val="tx1"/>
            </w14:solidFill>
          </w14:textFill>
        </w:rPr>
        <w:t>DVD光盘等存储介质</w:t>
      </w:r>
      <w:r>
        <w:rPr>
          <w:rFonts w:hint="eastAsia" w:hAnsi="宋体" w:cs="宋体"/>
          <w:color w:val="000000" w:themeColor="text1"/>
          <w:sz w:val="24"/>
          <w:szCs w:val="24"/>
          <w14:textFill>
            <w14:solidFill>
              <w14:schemeClr w14:val="tx1"/>
            </w14:solidFill>
          </w14:textFill>
        </w:rPr>
        <w:t>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hAnsi="宋体" w:cs="宋体"/>
          <w:b/>
          <w:color w:val="000000" w:themeColor="text1"/>
          <w:sz w:val="24"/>
          <w14:textFill>
            <w14:solidFill>
              <w14:schemeClr w14:val="tx1"/>
            </w14:solidFill>
          </w14:textFill>
        </w:rPr>
        <w:t>不符合上述制作、</w:t>
      </w:r>
      <w:r>
        <w:rPr>
          <w:rFonts w:hint="eastAsia" w:hAnsi="宋体" w:cs="宋体"/>
          <w:b/>
          <w:color w:val="000000" w:themeColor="text1"/>
          <w:sz w:val="24"/>
          <w:szCs w:val="24"/>
          <w14:textFill>
            <w14:solidFill>
              <w14:schemeClr w14:val="tx1"/>
            </w14:solidFill>
          </w14:textFill>
        </w:rPr>
        <w:t>存储、密封规定的备份响应文件将被视为无效或者被拒绝接收。</w:t>
      </w:r>
    </w:p>
    <w:p w14:paraId="5613514F">
      <w:pPr>
        <w:pStyle w:val="32"/>
        <w:snapToGrid w:val="0"/>
        <w:spacing w:line="360" w:lineRule="auto"/>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14:paraId="5827A9B3">
      <w:pPr>
        <w:pStyle w:val="32"/>
        <w:snapToGrid w:val="0"/>
        <w:spacing w:line="360" w:lineRule="auto"/>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15.4以邮政快递方式递交备份响应文件的，供应商应先将备份响应文件按要求密封和标记，再进行邮政快递包装后邮寄。备份响应文件须在响应文件提交（上传）截止时间之前送达</w:t>
      </w:r>
      <w:r>
        <w:rPr>
          <w:rFonts w:hint="eastAsia" w:hAnsi="宋体" w:cs="宋体"/>
          <w:snapToGrid/>
          <w:color w:val="000000" w:themeColor="text1"/>
          <w:sz w:val="24"/>
          <w:szCs w:val="24"/>
          <w14:textFill>
            <w14:solidFill>
              <w14:schemeClr w14:val="tx1"/>
            </w14:solidFill>
          </w14:textFill>
        </w:rPr>
        <w:t>采购文件第二部分供应商须知前附表规定的备份响应文件送达地点；</w:t>
      </w:r>
      <w:r>
        <w:rPr>
          <w:rFonts w:hint="eastAsia" w:hAnsi="宋体" w:cs="宋体"/>
          <w:color w:val="000000" w:themeColor="text1"/>
          <w:sz w:val="24"/>
          <w:szCs w:val="24"/>
          <w14:textFill>
            <w14:solidFill>
              <w14:schemeClr w14:val="tx1"/>
            </w14:solidFill>
          </w14:textFill>
        </w:rPr>
        <w:t>送达时间以签收人签收时间为准。采购代理机构将拒绝接受逾期送达的备份响应文件。邮寄过程中，电子备份响应文件发生泄露、遗失、损坏或延期送达等情况的，由供应商自行负责。</w:t>
      </w:r>
    </w:p>
    <w:p w14:paraId="0F3CAC86">
      <w:pPr>
        <w:pStyle w:val="32"/>
        <w:snapToGrid w:val="0"/>
        <w:spacing w:line="360" w:lineRule="auto"/>
        <w:ind w:firstLine="479" w:firstLineChars="199"/>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15.5供应商仅提交备份响应文件，未在电子交易平台传输递交响应文件的，响应文件无效。</w:t>
      </w:r>
    </w:p>
    <w:p w14:paraId="171A2A7A">
      <w:pPr>
        <w:pStyle w:val="131"/>
        <w:spacing w:before="0"/>
        <w:ind w:firstLine="0" w:firstLineChars="0"/>
        <w:rPr>
          <w:rFonts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t>16.响应文件的无效处理</w:t>
      </w:r>
    </w:p>
    <w:p w14:paraId="5ED1A405">
      <w:pPr>
        <w:pStyle w:val="24"/>
        <w:spacing w:line="360" w:lineRule="auto"/>
        <w:ind w:firstLine="360" w:firstLineChars="150"/>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有采购文件第四部分</w:t>
      </w:r>
      <w:r>
        <w:rPr>
          <w:rFonts w:hint="eastAsia" w:cs="宋体"/>
          <w:color w:val="000000" w:themeColor="text1"/>
          <w14:textFill>
            <w14:solidFill>
              <w14:schemeClr w14:val="tx1"/>
            </w14:solidFill>
          </w14:textFill>
        </w:rPr>
        <w:t>4.2规定</w:t>
      </w:r>
      <w:r>
        <w:rPr>
          <w:rFonts w:hint="eastAsia" w:cs="宋体"/>
          <w:color w:val="000000" w:themeColor="text1"/>
          <w:szCs w:val="21"/>
          <w14:textFill>
            <w14:solidFill>
              <w14:schemeClr w14:val="tx1"/>
            </w14:solidFill>
          </w14:textFill>
        </w:rPr>
        <w:t>的情形之一的，响应文件无效：</w:t>
      </w:r>
    </w:p>
    <w:p w14:paraId="5106C6AA">
      <w:pPr>
        <w:pStyle w:val="131"/>
        <w:spacing w:before="0"/>
        <w:ind w:firstLine="0" w:firstLineChars="0"/>
        <w:rPr>
          <w:rFonts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t>17.响应文件有效期</w:t>
      </w:r>
    </w:p>
    <w:p w14:paraId="59A509D8">
      <w:pPr>
        <w:spacing w:line="360" w:lineRule="auto"/>
        <w:ind w:firstLine="480" w:firstLineChars="200"/>
        <w:rPr>
          <w:rFonts w:ascii="宋体" w:hAnsi="宋体" w:cs="宋体"/>
          <w:b/>
          <w:color w:val="000000" w:themeColor="text1"/>
          <w:sz w:val="24"/>
          <w:szCs w:val="21"/>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17.1响应文件有效期为从提交响应文件的截止之日起90天。▲</w:t>
      </w:r>
      <w:r>
        <w:rPr>
          <w:rFonts w:hint="eastAsia" w:ascii="宋体" w:hAnsi="宋体" w:cs="宋体"/>
          <w:b/>
          <w:color w:val="000000" w:themeColor="text1"/>
          <w:sz w:val="24"/>
          <w:szCs w:val="20"/>
          <w14:textFill>
            <w14:solidFill>
              <w14:schemeClr w14:val="tx1"/>
            </w14:solidFill>
          </w14:textFill>
        </w:rPr>
        <w:t>供应商的响应文件中承</w:t>
      </w:r>
      <w:r>
        <w:rPr>
          <w:rFonts w:hint="eastAsia" w:ascii="宋体" w:hAnsi="宋体" w:cs="宋体"/>
          <w:b/>
          <w:color w:val="000000" w:themeColor="text1"/>
          <w:sz w:val="24"/>
          <w:szCs w:val="21"/>
          <w14:textFill>
            <w14:solidFill>
              <w14:schemeClr w14:val="tx1"/>
            </w14:solidFill>
          </w14:textFill>
        </w:rPr>
        <w:t>诺的响应文件有效期少于采购文件中载明的响应文件有效期的，响应文件无效。</w:t>
      </w:r>
    </w:p>
    <w:p w14:paraId="2227DCD4">
      <w:pPr>
        <w:pStyle w:val="131"/>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17.2响应文件合格投递后，自响应文件提交截止时间起，在响应文件有效期内有效。</w:t>
      </w:r>
    </w:p>
    <w:p w14:paraId="11A5F34B">
      <w:pPr>
        <w:pStyle w:val="131"/>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17.3在原定响应文件有效期满之前，如果出现特殊情况，采购代理机构可以以书面形式通知供应商延长响应文件有效期。供应商同意延长的，不得要求或被允许修改其响应文件，供应商拒绝延长的，其响应文件无效。</w:t>
      </w:r>
    </w:p>
    <w:p w14:paraId="0B41D08D">
      <w:pPr>
        <w:pStyle w:val="131"/>
        <w:spacing w:before="0"/>
        <w:ind w:firstLine="643"/>
        <w:rPr>
          <w:rFonts w:ascii="宋体" w:hAnsi="宋体" w:cs="宋体"/>
          <w:b/>
          <w:color w:val="000000" w:themeColor="text1"/>
          <w:sz w:val="32"/>
          <w14:textFill>
            <w14:solidFill>
              <w14:schemeClr w14:val="tx1"/>
            </w14:solidFill>
          </w14:textFill>
        </w:rPr>
      </w:pPr>
    </w:p>
    <w:p w14:paraId="797776E0">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36" w:name="_Toc26759"/>
      <w:r>
        <w:rPr>
          <w:rFonts w:hint="eastAsia" w:ascii="宋体" w:hAnsi="宋体" w:cs="宋体"/>
          <w:b/>
          <w:color w:val="000000" w:themeColor="text1"/>
          <w:sz w:val="32"/>
          <w:szCs w:val="20"/>
          <w14:textFill>
            <w14:solidFill>
              <w14:schemeClr w14:val="tx1"/>
            </w14:solidFill>
          </w14:textFill>
        </w:rPr>
        <w:t>四、响应文件开启、资格审查与信用信息查询</w:t>
      </w:r>
      <w:bookmarkEnd w:id="36"/>
    </w:p>
    <w:p w14:paraId="06B9FBA8">
      <w:pPr>
        <w:pStyle w:val="559"/>
        <w:spacing w:before="0" w:line="360" w:lineRule="auto"/>
        <w:ind w:left="0" w:firstLine="0"/>
        <w:contextualSpacing/>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18.响应文件开启</w:t>
      </w:r>
      <w:r>
        <w:rPr>
          <w:rFonts w:hint="eastAsia" w:ascii="宋体" w:hAnsi="宋体" w:cs="宋体"/>
          <w:color w:val="000000" w:themeColor="text1"/>
          <w:sz w:val="24"/>
          <w14:textFill>
            <w14:solidFill>
              <w14:schemeClr w14:val="tx1"/>
            </w14:solidFill>
          </w14:textFill>
        </w:rPr>
        <w:t xml:space="preserve"> </w:t>
      </w:r>
    </w:p>
    <w:p w14:paraId="1429231B">
      <w:pPr>
        <w:pStyle w:val="559"/>
        <w:snapToGrid w:val="0"/>
        <w:spacing w:before="0" w:line="360" w:lineRule="auto"/>
        <w:ind w:left="0" w:firstLine="480" w:firstLineChars="200"/>
        <w:contextualSpacing/>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18.1采购代理机构按照采购文件规定的时间通过电子交易平台组织响应文件开启，所有供应商均应当准时在线参加。供应商不足3家的，不得开启。</w:t>
      </w:r>
    </w:p>
    <w:p w14:paraId="0BB1B1A7">
      <w:pPr>
        <w:pStyle w:val="559"/>
        <w:snapToGrid w:val="0"/>
        <w:spacing w:before="0" w:line="360" w:lineRule="auto"/>
        <w:ind w:left="0" w:firstLine="480" w:firstLineChars="200"/>
        <w:contextualSpacing/>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18.2响应文件开启时，电子交易平台按响应文件开启时间自动提取所有响应文件。采购代理机构依托电子交易平台发起开始解密指令，供应商按照平台提示和采购文件的规定在半小时内完成在线解密。</w:t>
      </w:r>
    </w:p>
    <w:p w14:paraId="4C46CBA3">
      <w:pPr>
        <w:pStyle w:val="559"/>
        <w:snapToGrid w:val="0"/>
        <w:spacing w:before="0" w:line="360" w:lineRule="auto"/>
        <w:ind w:left="0" w:firstLine="480" w:firstLineChars="200"/>
        <w:contextualSpacing/>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18.3</w:t>
      </w:r>
      <w:r>
        <w:rPr>
          <w:rFonts w:hint="eastAsia" w:ascii="宋体" w:hAnsi="宋体" w:cs="宋体"/>
          <w:b/>
          <w:bCs/>
          <w:color w:val="000000" w:themeColor="text1"/>
          <w:sz w:val="24"/>
          <w14:textFill>
            <w14:solidFill>
              <w14:schemeClr w14:val="tx1"/>
            </w14:solidFill>
          </w14:textFill>
        </w:rPr>
        <w:t>响应文件未按时解密，供应商提供了备份响应文件的，以备份响应文件作为依据，否则视为响应文件撤回。响应文件已按时解密的，备份响应文件自动失效。</w:t>
      </w:r>
    </w:p>
    <w:p w14:paraId="79752120">
      <w:pPr>
        <w:pStyle w:val="559"/>
        <w:spacing w:before="0" w:line="360" w:lineRule="auto"/>
        <w:ind w:left="0" w:firstLine="0"/>
        <w:contextualSpacing/>
        <w:rPr>
          <w:rFonts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19.资格审查</w:t>
      </w:r>
    </w:p>
    <w:p w14:paraId="3CBFB01E">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19.1</w:t>
      </w:r>
      <w:r>
        <w:rPr>
          <w:rFonts w:hint="eastAsia" w:ascii="宋体" w:hAnsi="宋体" w:cs="宋体"/>
          <w:color w:val="000000" w:themeColor="text1"/>
          <w:sz w:val="24"/>
          <w14:textFill>
            <w14:solidFill>
              <w14:schemeClr w14:val="tx1"/>
            </w14:solidFill>
          </w14:textFill>
        </w:rPr>
        <w:t>采购人、采购代理机构或磋商小组依据法律法规和采购文件的规定，对供应商的资格进行审查。</w:t>
      </w:r>
    </w:p>
    <w:p w14:paraId="20A5CAED">
      <w:pPr>
        <w:pStyle w:val="131"/>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19.2供应商未按照采购文件要求提供与</w:t>
      </w:r>
      <w:r>
        <w:rPr>
          <w:rFonts w:hint="eastAsia" w:ascii="宋体" w:hAnsi="宋体" w:cs="宋体"/>
          <w:color w:val="000000" w:themeColor="text1"/>
          <w14:textFill>
            <w14:solidFill>
              <w14:schemeClr w14:val="tx1"/>
            </w14:solidFill>
          </w14:textFill>
        </w:rPr>
        <w:t>资格条件相应的</w:t>
      </w:r>
      <w:r>
        <w:rPr>
          <w:rFonts w:hint="eastAsia" w:ascii="宋体" w:hAnsi="宋体" w:cs="宋体"/>
          <w:color w:val="000000" w:themeColor="text1"/>
          <w:kern w:val="0"/>
          <w:szCs w:val="24"/>
          <w14:textFill>
            <w14:solidFill>
              <w14:schemeClr w14:val="tx1"/>
            </w14:solidFill>
          </w14:textFill>
        </w:rPr>
        <w:t>有效资格证明材料的，视为</w:t>
      </w:r>
      <w:r>
        <w:rPr>
          <w:rFonts w:hint="eastAsia" w:ascii="宋体" w:hAnsi="宋体" w:cs="宋体"/>
          <w:color w:val="000000" w:themeColor="text1"/>
          <w14:textFill>
            <w14:solidFill>
              <w14:schemeClr w14:val="tx1"/>
            </w14:solidFill>
          </w14:textFill>
        </w:rPr>
        <w:t>供应商不具备采购文件中规定的资格要求，其响应文件无效。</w:t>
      </w:r>
    </w:p>
    <w:p w14:paraId="0FDE735C">
      <w:pPr>
        <w:pStyle w:val="131"/>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19.</w:t>
      </w:r>
      <w:r>
        <w:rPr>
          <w:rFonts w:hint="eastAsia" w:ascii="宋体" w:hAnsi="宋体" w:cs="宋体"/>
          <w:color w:val="000000" w:themeColor="text1"/>
          <w14:textFill>
            <w14:solidFill>
              <w14:schemeClr w14:val="tx1"/>
            </w14:solidFill>
          </w14:textFill>
        </w:rPr>
        <w:t>3对未通过资格审查的供应商，采购人或采购代理机构告知其未通过的原因。</w:t>
      </w:r>
    </w:p>
    <w:p w14:paraId="21A43EE3">
      <w:pPr>
        <w:pStyle w:val="131"/>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19.</w:t>
      </w:r>
      <w:r>
        <w:rPr>
          <w:rFonts w:hint="eastAsia" w:ascii="宋体" w:hAnsi="宋体" w:cs="宋体"/>
          <w:color w:val="000000" w:themeColor="text1"/>
          <w14:textFill>
            <w14:solidFill>
              <w14:schemeClr w14:val="tx1"/>
            </w14:solidFill>
          </w14:textFill>
        </w:rPr>
        <w:t>4合格供应商不足3家的，不再评审。</w:t>
      </w:r>
    </w:p>
    <w:p w14:paraId="2A79ECFD">
      <w:pPr>
        <w:pStyle w:val="131"/>
        <w:spacing w:before="0"/>
        <w:ind w:firstLine="0" w:firstLineChars="0"/>
        <w:rPr>
          <w:rFonts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t>20.信用信息查询</w:t>
      </w:r>
    </w:p>
    <w:p w14:paraId="27A57DDB">
      <w:pPr>
        <w:pStyle w:val="131"/>
        <w:spacing w:before="0"/>
        <w:ind w:firstLine="495" w:firstLineChars="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20.1信用信息查询渠道及截止时间：采购代理机构将在资格审查时通过“信用中国”网站(www.creditchina.gov.cn)、中国政府采购网(www.ccgp.gov.cn)渠道查询供应商接受资格审查时的信用记录。</w:t>
      </w:r>
    </w:p>
    <w:p w14:paraId="1D18EC58">
      <w:pPr>
        <w:pStyle w:val="131"/>
        <w:spacing w:before="0"/>
        <w:ind w:firstLine="495" w:firstLineChars="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20.2信用信息查询记录和证据留存的具体方式：现场查询的供应商的信用记录、查询结果经确认后将与采购文件一起存档。</w:t>
      </w:r>
    </w:p>
    <w:p w14:paraId="35A9667B">
      <w:pPr>
        <w:pStyle w:val="131"/>
        <w:spacing w:before="0"/>
        <w:ind w:firstLine="495" w:firstLineChars="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20.3信用信息的使用规则：经查询列入失信被执行人名单、重大税收违法案件当事人名单、政府采购严重违法失信行为记录名单的供应商将被拒绝参与政府采购活动。</w:t>
      </w:r>
    </w:p>
    <w:p w14:paraId="5CD2DAC2">
      <w:pPr>
        <w:pStyle w:val="131"/>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color w:val="000000" w:themeColor="text1"/>
          <w14:textFill>
            <w14:solidFill>
              <w14:schemeClr w14:val="tx1"/>
            </w14:solidFill>
          </w14:textFill>
        </w:rPr>
        <w:t>。</w:t>
      </w:r>
    </w:p>
    <w:p w14:paraId="0AA10513">
      <w:pPr>
        <w:pStyle w:val="131"/>
        <w:spacing w:before="0"/>
        <w:ind w:firstLine="0" w:firstLineChars="0"/>
        <w:rPr>
          <w:rFonts w:ascii="宋体" w:hAnsi="宋体" w:cs="宋体"/>
          <w:color w:val="000000" w:themeColor="text1"/>
          <w:kern w:val="0"/>
          <w:szCs w:val="24"/>
          <w14:textFill>
            <w14:solidFill>
              <w14:schemeClr w14:val="tx1"/>
            </w14:solidFill>
          </w14:textFill>
        </w:rPr>
      </w:pPr>
    </w:p>
    <w:p w14:paraId="4B202AE7">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37" w:name="_Toc29860"/>
      <w:r>
        <w:rPr>
          <w:rFonts w:hint="eastAsia" w:ascii="宋体" w:hAnsi="宋体" w:cs="宋体"/>
          <w:b/>
          <w:color w:val="000000" w:themeColor="text1"/>
          <w:sz w:val="32"/>
          <w:szCs w:val="20"/>
          <w14:textFill>
            <w14:solidFill>
              <w14:schemeClr w14:val="tx1"/>
            </w14:solidFill>
          </w14:textFill>
        </w:rPr>
        <w:t>五、评审</w:t>
      </w:r>
      <w:bookmarkEnd w:id="37"/>
    </w:p>
    <w:p w14:paraId="7C18D2F7">
      <w:pPr>
        <w:spacing w:line="360" w:lineRule="auto"/>
        <w:rPr>
          <w:rFonts w:ascii="宋体" w:hAnsi="宋体" w:cs="宋体"/>
          <w:b/>
          <w:color w:val="000000" w:themeColor="text1"/>
          <w:sz w:val="24"/>
          <w14:textFill>
            <w14:solidFill>
              <w14:schemeClr w14:val="tx1"/>
            </w14:solidFill>
          </w14:textFill>
        </w:rPr>
      </w:pPr>
      <w:bookmarkStart w:id="38" w:name="_Toc91899903"/>
      <w:r>
        <w:rPr>
          <w:rFonts w:hint="eastAsia" w:ascii="宋体" w:hAnsi="宋体" w:cs="宋体"/>
          <w:b/>
          <w:color w:val="000000" w:themeColor="text1"/>
          <w:sz w:val="24"/>
          <w14:textFill>
            <w14:solidFill>
              <w14:schemeClr w14:val="tx1"/>
            </w14:solidFill>
          </w14:textFill>
        </w:rPr>
        <w:t>21.</w:t>
      </w:r>
      <w:r>
        <w:rPr>
          <w:rFonts w:hint="eastAsia" w:ascii="宋体" w:hAnsi="宋体" w:cs="宋体"/>
          <w:color w:val="000000" w:themeColor="text1"/>
          <w:sz w:val="24"/>
          <w14:textFill>
            <w14:solidFill>
              <w14:schemeClr w14:val="tx1"/>
            </w14:solidFill>
          </w14:textFill>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宋体" w:hAnsi="宋体" w:cs="宋体"/>
          <w:b/>
          <w:color w:val="000000" w:themeColor="text1"/>
          <w:sz w:val="24"/>
          <w14:textFill>
            <w14:solidFill>
              <w14:schemeClr w14:val="tx1"/>
            </w14:solidFill>
          </w14:textFill>
        </w:rPr>
        <w:t>详见采购文件第四部分评审办法。</w:t>
      </w:r>
    </w:p>
    <w:p w14:paraId="78DB0624">
      <w:pPr>
        <w:spacing w:line="360" w:lineRule="auto"/>
        <w:rPr>
          <w:rFonts w:ascii="宋体" w:hAnsi="宋体" w:cs="宋体"/>
          <w:b/>
          <w:color w:val="000000" w:themeColor="text1"/>
          <w:sz w:val="24"/>
          <w14:textFill>
            <w14:solidFill>
              <w14:schemeClr w14:val="tx1"/>
            </w14:solidFill>
          </w14:textFill>
        </w:rPr>
      </w:pPr>
    </w:p>
    <w:p w14:paraId="0457EB5B">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39" w:name="_Toc29770"/>
      <w:r>
        <w:rPr>
          <w:rFonts w:hint="eastAsia" w:ascii="宋体" w:hAnsi="宋体" w:cs="宋体"/>
          <w:b/>
          <w:color w:val="000000" w:themeColor="text1"/>
          <w:sz w:val="32"/>
          <w:szCs w:val="20"/>
          <w14:textFill>
            <w14:solidFill>
              <w14:schemeClr w14:val="tx1"/>
            </w14:solidFill>
          </w14:textFill>
        </w:rPr>
        <w:t>六、成交供应商确定</w:t>
      </w:r>
      <w:bookmarkEnd w:id="39"/>
    </w:p>
    <w:p w14:paraId="3D51780A">
      <w:pPr>
        <w:pStyle w:val="24"/>
        <w:spacing w:line="360" w:lineRule="auto"/>
        <w:ind w:left="479" w:hanging="479" w:hangingChars="199"/>
        <w:rPr>
          <w:rFonts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22.确定成交供应商</w:t>
      </w:r>
    </w:p>
    <w:p w14:paraId="104825C6">
      <w:pPr>
        <w:pStyle w:val="131"/>
        <w:snapToGrid w:val="0"/>
        <w:spacing w:before="0"/>
        <w:ind w:firstLine="480"/>
        <w:rPr>
          <w:rFonts w:ascii="宋体" w:hAnsi="宋体" w:cs="宋体"/>
          <w:b/>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鼓励在收到评审报告当天在线确定中标或者成交供应商。中标、成交通知书和中标、成交结果公告应当在规定时间内同时发出。</w:t>
      </w:r>
    </w:p>
    <w:p w14:paraId="3463F470">
      <w:pPr>
        <w:pStyle w:val="131"/>
        <w:snapToGrid w:val="0"/>
        <w:spacing w:before="0"/>
        <w:ind w:firstLine="0" w:firstLineChars="0"/>
        <w:rPr>
          <w:rFonts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t>23.成交通知与成交结果公告</w:t>
      </w:r>
    </w:p>
    <w:p w14:paraId="66909826">
      <w:pPr>
        <w:widowControl/>
        <w:shd w:val="clear" w:color="auto" w:fill="FFFFFF"/>
        <w:spacing w:line="360" w:lineRule="auto"/>
        <w:ind w:firstLine="48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23.1自成交供应商确定之日起1个工作日内，采购代理机构通过电子交易平台向成交供应商发出成交通知书，同时编制发布采购结果公告。采购代理机构也可以以纸质形式进行成交通知。</w:t>
      </w:r>
    </w:p>
    <w:p w14:paraId="12542E1F">
      <w:pPr>
        <w:widowControl/>
        <w:shd w:val="clear" w:color="auto" w:fill="FFFFFF"/>
        <w:spacing w:line="360" w:lineRule="auto"/>
        <w:ind w:firstLine="48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23.2成交结果公告内容包括采购人及其委托的采购代理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p>
    <w:p w14:paraId="4A804CCF">
      <w:pPr>
        <w:widowControl/>
        <w:shd w:val="clear" w:color="auto" w:fill="FFFFFF"/>
        <w:spacing w:line="360" w:lineRule="auto"/>
        <w:ind w:firstLine="48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23.3公告期限为1个工作日。</w:t>
      </w:r>
    </w:p>
    <w:p w14:paraId="6FA9BB40">
      <w:pPr>
        <w:widowControl/>
        <w:shd w:val="clear" w:color="auto" w:fill="FFFFFF"/>
        <w:spacing w:line="360" w:lineRule="auto"/>
        <w:ind w:firstLine="480"/>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23.4由于成交供应商原因导致重新采购的，应当承担支付代理费和专家评审费等费用在内的赔偿责任。</w:t>
      </w:r>
    </w:p>
    <w:p w14:paraId="0BC67D78">
      <w:pPr>
        <w:snapToGrid w:val="0"/>
        <w:spacing w:line="360" w:lineRule="auto"/>
        <w:ind w:left="120" w:leftChars="57" w:firstLine="482" w:firstLineChars="150"/>
        <w:jc w:val="center"/>
        <w:rPr>
          <w:rFonts w:ascii="宋体" w:hAnsi="宋体" w:cs="宋体"/>
          <w:b/>
          <w:color w:val="000000" w:themeColor="text1"/>
          <w:sz w:val="32"/>
          <w14:textFill>
            <w14:solidFill>
              <w14:schemeClr w14:val="tx1"/>
            </w14:solidFill>
          </w14:textFill>
        </w:rPr>
      </w:pPr>
    </w:p>
    <w:p w14:paraId="4F27F0D2">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40" w:name="_Toc31763"/>
      <w:r>
        <w:rPr>
          <w:rFonts w:hint="eastAsia" w:ascii="宋体" w:hAnsi="宋体" w:cs="宋体"/>
          <w:b/>
          <w:color w:val="000000" w:themeColor="text1"/>
          <w:sz w:val="32"/>
          <w:szCs w:val="20"/>
          <w14:textFill>
            <w14:solidFill>
              <w14:schemeClr w14:val="tx1"/>
            </w14:solidFill>
          </w14:textFill>
        </w:rPr>
        <w:t>七、合同授予</w:t>
      </w:r>
      <w:bookmarkEnd w:id="40"/>
    </w:p>
    <w:p w14:paraId="1E0C875D">
      <w:pPr>
        <w:pStyle w:val="24"/>
        <w:snapToGrid w:val="0"/>
        <w:spacing w:line="360" w:lineRule="auto"/>
        <w:ind w:left="479" w:hanging="479" w:hangingChars="199"/>
        <w:rPr>
          <w:rFonts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24.</w:t>
      </w:r>
      <w:r>
        <w:rPr>
          <w:rFonts w:hint="eastAsia" w:cs="宋体"/>
          <w:color w:val="000000" w:themeColor="text1"/>
          <w14:textFill>
            <w14:solidFill>
              <w14:schemeClr w14:val="tx1"/>
            </w14:solidFill>
          </w14:textFill>
        </w:rPr>
        <w:t>合同主要条款详见第五部分拟签订的合同文本。</w:t>
      </w:r>
    </w:p>
    <w:p w14:paraId="0F0EBC51">
      <w:pPr>
        <w:pStyle w:val="24"/>
        <w:snapToGrid w:val="0"/>
        <w:spacing w:line="360" w:lineRule="auto"/>
        <w:ind w:left="479" w:hanging="479" w:hangingChars="199"/>
        <w:rPr>
          <w:rFonts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25.合同的签订</w:t>
      </w:r>
    </w:p>
    <w:p w14:paraId="7BE0FDC8">
      <w:pPr>
        <w:widowControl/>
        <w:shd w:val="clear" w:color="auto" w:fill="FFFFFF"/>
        <w:snapToGrid w:val="0"/>
        <w:spacing w:line="360" w:lineRule="auto"/>
        <w:ind w:firstLine="48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25.1</w:t>
      </w:r>
      <w:r>
        <w:rPr>
          <w:rFonts w:hint="eastAsia" w:ascii="宋体" w:hAnsi="宋体" w:cs="宋体"/>
          <w:color w:val="000000" w:themeColor="text1"/>
          <w:kern w:val="0"/>
          <w:sz w:val="24"/>
          <w14:textFill>
            <w14:solidFill>
              <w14:schemeClr w14:val="tx1"/>
            </w14:solidFill>
          </w14:textFill>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三十日内，与成交供应商按照采购文件确定的事项签订政府采购合同。</w:t>
      </w:r>
    </w:p>
    <w:p w14:paraId="2EA07930">
      <w:pPr>
        <w:pStyle w:val="131"/>
        <w:snapToGrid w:val="0"/>
        <w:spacing w:before="0"/>
        <w:ind w:firstLine="480"/>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lang w:val="zh-CN"/>
          <w14:textFill>
            <w14:solidFill>
              <w14:schemeClr w14:val="tx1"/>
            </w14:solidFill>
          </w14:textFill>
        </w:rPr>
        <w:t>25.2成交供应商按规定的日期、时间、地点，由法定代表人或其授权代表与采购人代表签订合同。如成交供应商为联合体的，由联合体成员各方法定代表人或其授权代表与采购人代表签订合同。</w:t>
      </w:r>
    </w:p>
    <w:p w14:paraId="64CB7CA5">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25.3如签订合同并生效后，供应商无故拒绝或延期，除按照合同条款处理外，列入不良行为记录一次，并给予通报。</w:t>
      </w:r>
    </w:p>
    <w:p w14:paraId="6E86D4B9">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4E77912B">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25.5采购合同由采购人与成交供应商根据采购文件、响应文件等内容通过政府采购电子交易平台在线签订，自动备案。</w:t>
      </w:r>
    </w:p>
    <w:p w14:paraId="01F4E498">
      <w:pPr>
        <w:pStyle w:val="24"/>
        <w:snapToGrid w:val="0"/>
        <w:spacing w:line="360" w:lineRule="auto"/>
        <w:ind w:left="479" w:hanging="479" w:hangingChars="199"/>
        <w:rPr>
          <w:rFonts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26. 履约保证金</w:t>
      </w:r>
    </w:p>
    <w:p w14:paraId="1ADB4AB2">
      <w:pPr>
        <w:tabs>
          <w:tab w:val="left" w:pos="0"/>
        </w:tabs>
        <w:snapToGrid w:val="0"/>
        <w:spacing w:line="360" w:lineRule="auto"/>
        <w:ind w:firstLine="482"/>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拟签订的合同文本要求成交供应商提交履约保证金的，供应商应当以支票、汇票、本票或者金融机构、担保机构出具的保函等非现金形式提交</w:t>
      </w:r>
      <w:r>
        <w:rPr>
          <w:rFonts w:hint="eastAsia" w:ascii="宋体" w:hAnsi="宋体" w:cs="宋体"/>
          <w:color w:val="000000" w:themeColor="text1"/>
          <w:sz w:val="24"/>
          <w14:textFill>
            <w14:solidFill>
              <w14:schemeClr w14:val="tx1"/>
            </w14:solidFill>
          </w14:textFill>
        </w:rPr>
        <w:t>。杭州市政府采购网公布的供应商履约评价为满分的供应商，采购单位应当免收履约保证金。确需收取履约保证金的，履约保证金缴纳最高比例由不超过合同金额的2%，鼓励根据项目特点、供应商诚信等因素免收履约保证金或降低缴纳比例。采购单位鼓励供应商采取履约保函形式提供信用保证；供应商提供保函的，采购单位不得拒收。项目验收结束后应及时退还，延迟退还的，应当按照合同约定和法律规定承担相应的赔偿责任。</w:t>
      </w:r>
    </w:p>
    <w:p w14:paraId="7FC78FDE">
      <w:pPr>
        <w:tabs>
          <w:tab w:val="left" w:pos="0"/>
        </w:tabs>
        <w:snapToGrid w:val="0"/>
        <w:spacing w:line="360" w:lineRule="auto"/>
        <w:ind w:firstLine="482"/>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95763。</w:t>
      </w:r>
    </w:p>
    <w:p w14:paraId="68A1A5E0">
      <w:pPr>
        <w:tabs>
          <w:tab w:val="left" w:pos="0"/>
        </w:tabs>
        <w:snapToGrid w:val="0"/>
        <w:spacing w:line="360" w:lineRule="auto"/>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27.预付款</w:t>
      </w:r>
    </w:p>
    <w:p w14:paraId="01927D7F">
      <w:pPr>
        <w:tabs>
          <w:tab w:val="left" w:pos="0"/>
        </w:tabs>
        <w:snapToGrid w:val="0"/>
        <w:spacing w:line="360" w:lineRule="auto"/>
        <w:ind w:firstLine="482"/>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采购单位应当在政府采购合同中约定预付款，对中小企业合同预付款比例原则上不低于合同金额的40％，不</w:t>
      </w:r>
      <w:r>
        <w:rPr>
          <w:rFonts w:hint="eastAsia" w:ascii="宋体" w:hAnsi="宋体"/>
          <w:color w:val="000000" w:themeColor="text1"/>
          <w:sz w:val="24"/>
          <w14:textFill>
            <w14:solidFill>
              <w14:schemeClr w14:val="tx1"/>
            </w14:solidFill>
          </w14:textFill>
        </w:rPr>
        <w:t>高于合同金额的</w:t>
      </w:r>
      <w:r>
        <w:rPr>
          <w:rFonts w:ascii="宋体" w:hAnsi="宋体"/>
          <w:color w:val="000000" w:themeColor="text1"/>
          <w:sz w:val="24"/>
          <w14:textFill>
            <w14:solidFill>
              <w14:schemeClr w14:val="tx1"/>
            </w14:solidFill>
          </w14:textFill>
        </w:rPr>
        <w:t>70%；项目分年安排预算的，每年预付款比例</w:t>
      </w:r>
      <w:r>
        <w:rPr>
          <w:rFonts w:hint="eastAsia" w:ascii="宋体" w:hAnsi="宋体"/>
          <w:color w:val="000000" w:themeColor="text1"/>
          <w:sz w:val="24"/>
          <w14:textFill>
            <w14:solidFill>
              <w14:schemeClr w14:val="tx1"/>
            </w14:solidFill>
          </w14:textFill>
        </w:rPr>
        <w:t>不低于</w:t>
      </w:r>
      <w:r>
        <w:rPr>
          <w:rFonts w:ascii="宋体" w:hAnsi="宋体"/>
          <w:color w:val="000000" w:themeColor="text1"/>
          <w:sz w:val="24"/>
          <w14:textFill>
            <w14:solidFill>
              <w14:schemeClr w14:val="tx1"/>
            </w14:solidFill>
          </w14:textFill>
        </w:rPr>
        <w:t>项目年度计划支付资金额的40％</w:t>
      </w:r>
      <w:r>
        <w:rPr>
          <w:rFonts w:hint="eastAsia" w:ascii="宋体" w:hAnsi="宋体"/>
          <w:color w:val="000000" w:themeColor="text1"/>
          <w:sz w:val="24"/>
          <w14:textFill>
            <w14:solidFill>
              <w14:schemeClr w14:val="tx1"/>
            </w14:solidFill>
          </w14:textFill>
        </w:rPr>
        <w:t>，不高于合同金额的</w:t>
      </w:r>
      <w:r>
        <w:rPr>
          <w:rFonts w:ascii="宋体" w:hAnsi="宋体"/>
          <w:color w:val="000000" w:themeColor="text1"/>
          <w:sz w:val="24"/>
          <w14:textFill>
            <w14:solidFill>
              <w14:schemeClr w14:val="tx1"/>
            </w14:solidFill>
          </w14:textFill>
        </w:rPr>
        <w:t>70%；采购项目实施以人工投入为主的，</w:t>
      </w:r>
      <w:r>
        <w:rPr>
          <w:rFonts w:hint="eastAsia" w:ascii="宋体" w:hAnsi="宋体"/>
          <w:color w:val="000000" w:themeColor="text1"/>
          <w:sz w:val="24"/>
          <w14:textFill>
            <w14:solidFill>
              <w14:schemeClr w14:val="tx1"/>
            </w14:solidFill>
          </w14:textFill>
        </w:rPr>
        <w:t>可适当降低预付款比例，但不得低于</w:t>
      </w:r>
      <w:r>
        <w:rPr>
          <w:rFonts w:ascii="宋体" w:hAnsi="宋体"/>
          <w:color w:val="000000" w:themeColor="text1"/>
          <w:sz w:val="24"/>
          <w14:textFill>
            <w14:solidFill>
              <w14:schemeClr w14:val="tx1"/>
            </w14:solidFill>
          </w14:textFill>
        </w:rPr>
        <w:t>20%。对供应商为大型企业的项目或者以人工投入为主且实行按月定期结算支付款项的项目，预付款可低于上述比例或者不约定预付款。在签订合同时，</w:t>
      </w:r>
      <w:r>
        <w:rPr>
          <w:rFonts w:hint="eastAsia" w:ascii="宋体" w:hAnsi="宋体"/>
          <w:color w:val="000000" w:themeColor="text1"/>
          <w:sz w:val="24"/>
          <w14:textFill>
            <w14:solidFill>
              <w14:schemeClr w14:val="tx1"/>
            </w14:solidFill>
          </w14:textFill>
        </w:rPr>
        <w:t>供应商</w:t>
      </w:r>
      <w:r>
        <w:rPr>
          <w:rFonts w:ascii="宋体" w:hAnsi="宋体"/>
          <w:color w:val="000000" w:themeColor="text1"/>
          <w:sz w:val="24"/>
          <w14:textFill>
            <w14:solidFill>
              <w14:schemeClr w14:val="tx1"/>
            </w14:solidFill>
          </w14:textFill>
        </w:rPr>
        <w:t>明确表示无需预付款或者主动要求降低预付款比例的，</w:t>
      </w:r>
      <w:r>
        <w:rPr>
          <w:rFonts w:hint="eastAsia" w:ascii="宋体" w:hAnsi="宋体"/>
          <w:color w:val="000000" w:themeColor="text1"/>
          <w:sz w:val="24"/>
          <w14:textFill>
            <w14:solidFill>
              <w14:schemeClr w14:val="tx1"/>
            </w14:solidFill>
          </w14:textFill>
        </w:rPr>
        <w:t>采购单位</w:t>
      </w:r>
      <w:r>
        <w:rPr>
          <w:rFonts w:ascii="宋体" w:hAnsi="宋体"/>
          <w:color w:val="000000" w:themeColor="text1"/>
          <w:sz w:val="24"/>
          <w14:textFill>
            <w14:solidFill>
              <w14:schemeClr w14:val="tx1"/>
            </w14:solidFill>
          </w14:textFill>
        </w:rPr>
        <w:t>可不适用前述规定。</w:t>
      </w:r>
      <w:r>
        <w:rPr>
          <w:rFonts w:hint="eastAsia" w:ascii="宋体" w:hAnsi="宋体"/>
          <w:color w:val="000000" w:themeColor="text1"/>
          <w:sz w:val="24"/>
          <w14:textFill>
            <w14:solidFill>
              <w14:schemeClr w14:val="tx1"/>
            </w14:solidFill>
          </w14:textFill>
        </w:rPr>
        <w:t>采购单位</w:t>
      </w:r>
      <w:r>
        <w:rPr>
          <w:rFonts w:ascii="宋体" w:hAnsi="宋体"/>
          <w:color w:val="000000" w:themeColor="text1"/>
          <w:sz w:val="24"/>
          <w14:textFill>
            <w14:solidFill>
              <w14:schemeClr w14:val="tx1"/>
            </w14:solidFill>
          </w14:textFill>
        </w:rPr>
        <w:t>根据项目特点、供应商诚信等因素，可以要求</w:t>
      </w:r>
      <w:r>
        <w:rPr>
          <w:rFonts w:hint="eastAsia" w:ascii="宋体" w:hAnsi="宋体"/>
          <w:color w:val="000000" w:themeColor="text1"/>
          <w:sz w:val="24"/>
          <w14:textFill>
            <w14:solidFill>
              <w14:schemeClr w14:val="tx1"/>
            </w14:solidFill>
          </w14:textFill>
        </w:rPr>
        <w:t>供应商</w:t>
      </w:r>
      <w:r>
        <w:rPr>
          <w:rFonts w:ascii="宋体" w:hAnsi="宋体"/>
          <w:color w:val="000000" w:themeColor="text1"/>
          <w:sz w:val="24"/>
          <w14:textFill>
            <w14:solidFill>
              <w14:schemeClr w14:val="tx1"/>
            </w14:solidFill>
          </w14:textFill>
        </w:rPr>
        <w:t>提交银行、保险公司等金融机构出具的预付款保函或其他担保措施。政府采购预付款应在合同生效以及具备实施条件后5个工作日内支付。</w:t>
      </w:r>
      <w:r>
        <w:rPr>
          <w:rFonts w:hint="eastAsia" w:ascii="宋体" w:hAnsi="宋体"/>
          <w:color w:val="000000" w:themeColor="text1"/>
          <w:sz w:val="24"/>
          <w14:textFill>
            <w14:solidFill>
              <w14:schemeClr w14:val="tx1"/>
            </w14:solidFill>
          </w14:textFill>
        </w:rPr>
        <w:t>政府采购工程以及与工程建设有关的货物、服务，采用招标方式采购的，预付款从其相关规定。供应商可登录政采云前台大厅选择金融服务</w:t>
      </w:r>
      <w:r>
        <w:rPr>
          <w:rFonts w:ascii="宋体" w:hAnsi="宋体"/>
          <w:color w:val="000000" w:themeColor="text1"/>
          <w:sz w:val="24"/>
          <w14:textFill>
            <w14:solidFill>
              <w14:schemeClr w14:val="tx1"/>
            </w14:solidFill>
          </w14:textFill>
        </w:rPr>
        <w:t xml:space="preserve"> - </w:t>
      </w:r>
      <w:r>
        <w:rPr>
          <w:rFonts w:hint="eastAsia" w:ascii="宋体" w:hAnsi="宋体"/>
          <w:color w:val="000000" w:themeColor="text1"/>
          <w:sz w:val="24"/>
          <w14:textFill>
            <w14:solidFill>
              <w14:schemeClr w14:val="tx1"/>
            </w14:solidFill>
          </w14:textFill>
        </w:rPr>
        <w:t>【保函保险服务】出具预付款保函，具体步骤：选择产品—填写供应商信息—选择中标项目—确认信息—等待保险</w:t>
      </w:r>
      <w:r>
        <w:rPr>
          <w:rFonts w:ascii="宋体" w:hAnsi="宋体"/>
          <w:color w:val="000000" w:themeColor="text1"/>
          <w:sz w:val="24"/>
          <w14:textFill>
            <w14:solidFill>
              <w14:schemeClr w14:val="tx1"/>
            </w14:solidFill>
          </w14:textFill>
        </w:rPr>
        <w:t>/保函受理—确认保单—支付保费—成功出单。政</w:t>
      </w:r>
      <w:r>
        <w:rPr>
          <w:rFonts w:hint="eastAsia" w:ascii="宋体" w:hAnsi="宋体"/>
          <w:color w:val="000000" w:themeColor="text1"/>
          <w:sz w:val="24"/>
          <w14:textFill>
            <w14:solidFill>
              <w14:schemeClr w14:val="tx1"/>
            </w14:solidFill>
          </w14:textFill>
        </w:rPr>
        <w:t>采云金融专线95763</w:t>
      </w:r>
      <w:r>
        <w:rPr>
          <w:rFonts w:ascii="宋体" w:hAnsi="宋体"/>
          <w:color w:val="000000" w:themeColor="text1"/>
          <w:sz w:val="24"/>
          <w14:textFill>
            <w14:solidFill>
              <w14:schemeClr w14:val="tx1"/>
            </w14:solidFill>
          </w14:textFill>
        </w:rPr>
        <w:t>。</w:t>
      </w:r>
    </w:p>
    <w:p w14:paraId="21D1F298">
      <w:pPr>
        <w:rPr>
          <w:color w:val="000000" w:themeColor="text1"/>
          <w14:textFill>
            <w14:solidFill>
              <w14:schemeClr w14:val="tx1"/>
            </w14:solidFill>
          </w14:textFill>
        </w:rPr>
      </w:pPr>
    </w:p>
    <w:p w14:paraId="4107D60E">
      <w:pPr>
        <w:snapToGrid w:val="0"/>
        <w:spacing w:line="360" w:lineRule="auto"/>
        <w:ind w:firstLine="3357" w:firstLineChars="1045"/>
        <w:rPr>
          <w:rFonts w:ascii="宋体" w:hAnsi="宋体" w:cs="宋体"/>
          <w:b/>
          <w:color w:val="000000" w:themeColor="text1"/>
          <w:sz w:val="32"/>
          <w14:textFill>
            <w14:solidFill>
              <w14:schemeClr w14:val="tx1"/>
            </w14:solidFill>
          </w14:textFill>
        </w:rPr>
      </w:pPr>
    </w:p>
    <w:p w14:paraId="3C54C4F5">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41" w:name="_Toc14461"/>
      <w:r>
        <w:rPr>
          <w:rFonts w:hint="eastAsia" w:ascii="宋体" w:hAnsi="宋体" w:cs="宋体"/>
          <w:b/>
          <w:color w:val="000000" w:themeColor="text1"/>
          <w:sz w:val="32"/>
          <w:szCs w:val="20"/>
          <w14:textFill>
            <w14:solidFill>
              <w14:schemeClr w14:val="tx1"/>
            </w14:solidFill>
          </w14:textFill>
        </w:rPr>
        <w:t>八、电子交易活动的中止</w:t>
      </w:r>
      <w:bookmarkEnd w:id="41"/>
    </w:p>
    <w:p w14:paraId="0123AC49">
      <w:pPr>
        <w:pStyle w:val="131"/>
        <w:snapToGrid w:val="0"/>
        <w:spacing w:before="0"/>
        <w:ind w:firstLine="0" w:firstLineChars="0"/>
        <w:rPr>
          <w:rFonts w:ascii="宋体" w:hAnsi="宋体" w:cs="宋体"/>
          <w:color w:val="000000" w:themeColor="text1"/>
          <w14:textFill>
            <w14:solidFill>
              <w14:schemeClr w14:val="tx1"/>
            </w14:solidFill>
          </w14:textFill>
        </w:rPr>
      </w:pPr>
      <w:r>
        <w:rPr>
          <w:rFonts w:ascii="宋体" w:hAnsi="宋体" w:cs="宋体"/>
          <w:b/>
          <w:bCs/>
          <w:color w:val="000000" w:themeColor="text1"/>
          <w14:textFill>
            <w14:solidFill>
              <w14:schemeClr w14:val="tx1"/>
            </w14:solidFill>
          </w14:textFill>
        </w:rPr>
        <w:t>2</w:t>
      </w:r>
      <w:r>
        <w:rPr>
          <w:rFonts w:ascii="宋体" w:hAnsi="宋体" w:cs="宋体"/>
          <w:b/>
          <w:bCs/>
          <w:color w:val="000000" w:themeColor="text1"/>
          <w:szCs w:val="24"/>
          <w14:textFill>
            <w14:solidFill>
              <w14:schemeClr w14:val="tx1"/>
            </w14:solidFill>
          </w14:textFill>
        </w:rPr>
        <w:t>8</w:t>
      </w:r>
      <w:r>
        <w:rPr>
          <w:rFonts w:hint="eastAsia" w:ascii="宋体" w:hAnsi="宋体" w:cs="宋体"/>
          <w:b/>
          <w:color w:val="000000" w:themeColor="text1"/>
          <w:szCs w:val="24"/>
          <w14:textFill>
            <w14:solidFill>
              <w14:schemeClr w14:val="tx1"/>
            </w14:solidFill>
          </w14:textFill>
        </w:rPr>
        <w:t>. 电子交易活动的中止。</w:t>
      </w:r>
      <w:r>
        <w:rPr>
          <w:rFonts w:hint="eastAsia" w:ascii="宋体" w:hAnsi="宋体" w:cs="宋体"/>
          <w:color w:val="000000" w:themeColor="text1"/>
          <w14:textFill>
            <w14:solidFill>
              <w14:schemeClr w14:val="tx1"/>
            </w14:solidFill>
          </w14:textFill>
        </w:rPr>
        <w:t>采购过程中出现以下情形，导致电子交易平台无法正常运行，或者无法保证电子交易的公平、公正和安全时，采购代理机构可中止电子交易活动：</w:t>
      </w:r>
    </w:p>
    <w:p w14:paraId="09DC0725">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28.1电子交易平台发生故障而无法登录访问的； </w:t>
      </w:r>
    </w:p>
    <w:p w14:paraId="5751E62F">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28.2电子交易平台应用或数据库出现错误，不能进行正常操作的；</w:t>
      </w:r>
    </w:p>
    <w:p w14:paraId="32315534">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28.3电子交易平台发现严重安全漏洞，有潜在泄密危险的；</w:t>
      </w:r>
    </w:p>
    <w:p w14:paraId="75A305DE">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28.4病毒发作导致不能进行正常操作的； </w:t>
      </w:r>
    </w:p>
    <w:p w14:paraId="4D07D788">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28.5其他无法保证电子交易的公平、公正和安全的情况。</w:t>
      </w:r>
    </w:p>
    <w:p w14:paraId="627904E1">
      <w:pPr>
        <w:pStyle w:val="131"/>
        <w:snapToGrid w:val="0"/>
        <w:spacing w:before="0"/>
        <w:ind w:firstLine="0" w:firstLineChars="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0C7F0F6A">
      <w:pPr>
        <w:tabs>
          <w:tab w:val="left" w:pos="0"/>
        </w:tabs>
        <w:spacing w:line="360" w:lineRule="auto"/>
        <w:ind w:firstLine="480"/>
        <w:rPr>
          <w:rFonts w:ascii="宋体" w:hAnsi="宋体" w:cs="宋体"/>
          <w:color w:val="000000" w:themeColor="text1"/>
          <w:sz w:val="24"/>
          <w14:textFill>
            <w14:solidFill>
              <w14:schemeClr w14:val="tx1"/>
            </w14:solidFill>
          </w14:textFill>
        </w:rPr>
      </w:pPr>
    </w:p>
    <w:p w14:paraId="4ACF9A86">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42" w:name="_Toc4129"/>
      <w:r>
        <w:rPr>
          <w:rFonts w:hint="eastAsia" w:ascii="宋体" w:hAnsi="宋体" w:cs="宋体"/>
          <w:b/>
          <w:color w:val="000000" w:themeColor="text1"/>
          <w:sz w:val="32"/>
          <w:szCs w:val="20"/>
          <w14:textFill>
            <w14:solidFill>
              <w14:schemeClr w14:val="tx1"/>
            </w14:solidFill>
          </w14:textFill>
        </w:rPr>
        <w:t>九、验收</w:t>
      </w:r>
      <w:bookmarkEnd w:id="42"/>
    </w:p>
    <w:p w14:paraId="6A597966">
      <w:pPr>
        <w:pStyle w:val="24"/>
        <w:spacing w:line="360" w:lineRule="auto"/>
        <w:ind w:firstLine="0" w:firstLineChars="0"/>
        <w:rPr>
          <w:rFonts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30.验收</w:t>
      </w:r>
    </w:p>
    <w:p w14:paraId="6683518E">
      <w:pPr>
        <w:tabs>
          <w:tab w:val="left" w:pos="0"/>
        </w:tabs>
        <w:spacing w:line="360" w:lineRule="auto"/>
        <w:ind w:firstLine="48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521E91CB">
      <w:pPr>
        <w:tabs>
          <w:tab w:val="left" w:pos="0"/>
        </w:tabs>
        <w:spacing w:line="360" w:lineRule="auto"/>
        <w:ind w:firstLine="48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30.2采购人可以邀请参加本项目的其他供应商或者第三方机构参与验收。参与验收的供应商或者第三方机构的意见作为验收书的参考资料一并存档。</w:t>
      </w:r>
    </w:p>
    <w:p w14:paraId="2FAE3FC1">
      <w:pPr>
        <w:tabs>
          <w:tab w:val="left" w:pos="0"/>
        </w:tabs>
        <w:spacing w:line="360" w:lineRule="auto"/>
        <w:ind w:firstLine="48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2199186F">
      <w:pPr>
        <w:tabs>
          <w:tab w:val="left" w:pos="0"/>
        </w:tabs>
        <w:spacing w:line="360" w:lineRule="auto"/>
        <w:ind w:firstLine="48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38"/>
    <w:p w14:paraId="40309123">
      <w:pPr>
        <w:tabs>
          <w:tab w:val="left" w:pos="0"/>
        </w:tabs>
        <w:spacing w:line="360" w:lineRule="auto"/>
        <w:ind w:firstLine="480"/>
        <w:rPr>
          <w:rFonts w:ascii="宋体" w:hAnsi="宋体" w:cs="宋体"/>
          <w:color w:val="000000" w:themeColor="text1"/>
          <w:kern w:val="0"/>
          <w:sz w:val="24"/>
          <w14:textFill>
            <w14:solidFill>
              <w14:schemeClr w14:val="tx1"/>
            </w14:solidFill>
          </w14:textFill>
        </w:rPr>
      </w:pPr>
      <w:bookmarkStart w:id="43" w:name="_Hlt68403820"/>
      <w:bookmarkEnd w:id="43"/>
      <w:bookmarkStart w:id="44" w:name="_Hlt74714665"/>
      <w:bookmarkEnd w:id="44"/>
      <w:bookmarkStart w:id="45" w:name="_Hlt75236290"/>
      <w:bookmarkEnd w:id="45"/>
      <w:bookmarkStart w:id="46" w:name="_Hlt68072998"/>
      <w:bookmarkEnd w:id="46"/>
      <w:bookmarkStart w:id="47" w:name="_Hlt68057669"/>
      <w:bookmarkEnd w:id="47"/>
      <w:bookmarkStart w:id="48" w:name="_Hlt75236011"/>
      <w:bookmarkEnd w:id="48"/>
      <w:bookmarkStart w:id="49" w:name="_Hlt74729768"/>
      <w:bookmarkEnd w:id="49"/>
      <w:bookmarkStart w:id="50" w:name="_Hlt74730295"/>
      <w:bookmarkEnd w:id="50"/>
      <w:bookmarkStart w:id="51" w:name="_Hlt68073093"/>
      <w:bookmarkEnd w:id="51"/>
      <w:bookmarkStart w:id="52" w:name="_Hlt75236101"/>
      <w:bookmarkEnd w:id="52"/>
      <w:bookmarkStart w:id="53" w:name="_Hlt68072990"/>
      <w:bookmarkEnd w:id="53"/>
      <w:bookmarkStart w:id="54" w:name="_Hlt74707468"/>
      <w:bookmarkEnd w:id="54"/>
      <w:r>
        <w:rPr>
          <w:rFonts w:hint="eastAsia" w:ascii="宋体" w:hAnsi="宋体" w:cs="宋体"/>
          <w:color w:val="000000" w:themeColor="text1"/>
          <w:kern w:val="0"/>
          <w:sz w:val="24"/>
          <w14:textFill>
            <w14:solidFill>
              <w14:schemeClr w14:val="tx1"/>
            </w14:solidFill>
          </w14:textFill>
        </w:rPr>
        <w:t>30.5 对于满足合同约定的采购资金支付条件的，供应商可通过政采云平台提起在线支付申请、查询支付结果，路径为政采云-我的工作台-合同管理-支付管理。对于供应商提起在线支付申请的，采购人应当按规定做好审核并完成支付。</w:t>
      </w:r>
    </w:p>
    <w:p w14:paraId="1485B017">
      <w:pPr>
        <w:pStyle w:val="80"/>
        <w:rPr>
          <w:color w:val="000000" w:themeColor="text1"/>
          <w14:textFill>
            <w14:solidFill>
              <w14:schemeClr w14:val="tx1"/>
            </w14:solidFill>
          </w14:textFill>
        </w:rPr>
        <w:sectPr>
          <w:pgSz w:w="11906" w:h="16838"/>
          <w:pgMar w:top="1440" w:right="1080" w:bottom="1440" w:left="1080" w:header="851" w:footer="992" w:gutter="0"/>
          <w:cols w:space="720" w:num="1"/>
          <w:titlePg/>
          <w:docGrid w:linePitch="312" w:charSpace="0"/>
        </w:sectPr>
      </w:pPr>
    </w:p>
    <w:bookmarkEnd w:id="28"/>
    <w:bookmarkEnd w:id="29"/>
    <w:p w14:paraId="42063B25">
      <w:pPr>
        <w:pStyle w:val="32"/>
        <w:spacing w:line="360" w:lineRule="auto"/>
        <w:jc w:val="center"/>
        <w:outlineLvl w:val="0"/>
        <w:rPr>
          <w:rFonts w:hAnsi="宋体" w:cs="宋体"/>
          <w:b/>
          <w:snapToGrid/>
          <w:color w:val="000000" w:themeColor="text1"/>
          <w:sz w:val="36"/>
          <w:szCs w:val="20"/>
          <w14:textFill>
            <w14:solidFill>
              <w14:schemeClr w14:val="tx1"/>
            </w14:solidFill>
          </w14:textFill>
        </w:rPr>
      </w:pPr>
      <w:bookmarkStart w:id="55" w:name="_Toc2555"/>
      <w:bookmarkStart w:id="56" w:name="第四部分"/>
      <w:r>
        <w:rPr>
          <w:rFonts w:hint="eastAsia" w:hAnsi="宋体" w:cs="宋体"/>
          <w:b/>
          <w:snapToGrid/>
          <w:color w:val="000000" w:themeColor="text1"/>
          <w:sz w:val="36"/>
          <w:szCs w:val="20"/>
          <w14:textFill>
            <w14:solidFill>
              <w14:schemeClr w14:val="tx1"/>
            </w14:solidFill>
          </w14:textFill>
        </w:rPr>
        <w:t>第三部分 采购需求</w:t>
      </w:r>
      <w:bookmarkEnd w:id="55"/>
    </w:p>
    <w:p w14:paraId="60CE7915">
      <w:pPr>
        <w:adjustRightInd/>
        <w:spacing w:line="360" w:lineRule="auto"/>
        <w:jc w:val="left"/>
        <w:outlineLvl w:val="1"/>
        <w:rPr>
          <w:rFonts w:ascii="宋体" w:hAnsi="宋体" w:cs="宋体"/>
          <w:b/>
          <w:color w:val="000000" w:themeColor="text1"/>
          <w:sz w:val="28"/>
          <w:szCs w:val="28"/>
          <w14:textFill>
            <w14:solidFill>
              <w14:schemeClr w14:val="tx1"/>
            </w14:solidFill>
          </w14:textFill>
        </w:rPr>
      </w:pPr>
      <w:bookmarkStart w:id="57" w:name="_Toc25546"/>
      <w:r>
        <w:rPr>
          <w:rFonts w:hint="eastAsia" w:ascii="宋体" w:hAnsi="宋体" w:cs="宋体"/>
          <w:b/>
          <w:color w:val="000000" w:themeColor="text1"/>
          <w:sz w:val="28"/>
          <w:szCs w:val="28"/>
          <w14:textFill>
            <w14:solidFill>
              <w14:schemeClr w14:val="tx1"/>
            </w14:solidFill>
          </w14:textFill>
        </w:rPr>
        <w:t>一、项目概况</w:t>
      </w:r>
      <w:bookmarkEnd w:id="57"/>
    </w:p>
    <w:p w14:paraId="7A985CE0">
      <w:pPr>
        <w:adjustRightInd/>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富春校区田径场及足球场地自2015年建成以来，已使用近10年，从未进行过大规模的维修。室外体育场地的使用年限一般为7-8年，目前田径场、老化严重，大面积龟裂，面层磨损严重，多处露出黑色底颗粒，破坏塑胶层，中间人造草足球场的草丝磨损严重已经露出底砂及冲砂颗粒。现场田径场排水沟因长久使用，存在部分排水沟面板损坏，水沟沉降，同时排水沟因塑胶包裹，启用至今没有进行过清淤处理，水沟出口部分堵塞，影响排水等情况。富春校区涉及体育课上课学生近六千人，还有各项群体竞赛活动的组织、代表队的训练和学生的日常锻炼等。经过长时间的使用，目前的田径场和足球场地已无法支持学校正常教学、训练、锻炼的开展。随着国家提出体育强国的口号，国家也意识到高校学生体质逐年下降的趋势，要求各高校重视学校体育教学和锻炼。鉴于国家政策大背景，结合学校的实际需要，对富春校区的田径和足球场进行彻底的维修，以保障校内体育教学、训练、群体锻炼等需求。对田径场及足球场人造草场地进行整体性能提升改造，处理内容包含：田径场塑胶铲除外运，沥青铲除3公分并外运，重新浇筑沥青，铺设透气型自结纹跑道，足球场旧草皮及石英砂铲除外运，铺设新的50mm高人造草坪以及冲砂充胶粒等工序。打开排水沟面板，更换损坏部分水沟面板，清理底部淤积的淤泥，疏通排水，同时修缮沉降、损坏的水沟基础部分。</w:t>
      </w:r>
    </w:p>
    <w:p w14:paraId="209CF5DF">
      <w:pPr>
        <w:adjustRightInd/>
        <w:spacing w:line="360" w:lineRule="auto"/>
        <w:jc w:val="left"/>
        <w:outlineLvl w:val="1"/>
        <w:rPr>
          <w:rFonts w:ascii="宋体" w:hAnsi="宋体" w:cs="宋体"/>
          <w:b/>
          <w:bCs/>
          <w:color w:val="000000" w:themeColor="text1"/>
          <w:sz w:val="28"/>
          <w:szCs w:val="28"/>
          <w14:textFill>
            <w14:solidFill>
              <w14:schemeClr w14:val="tx1"/>
            </w14:solidFill>
          </w14:textFill>
        </w:rPr>
      </w:pPr>
      <w:bookmarkStart w:id="58" w:name="_Toc25402"/>
      <w:r>
        <w:rPr>
          <w:rFonts w:hint="eastAsia" w:ascii="宋体" w:hAnsi="宋体" w:cs="宋体"/>
          <w:b/>
          <w:bCs/>
          <w:color w:val="000000" w:themeColor="text1"/>
          <w:sz w:val="28"/>
          <w:szCs w:val="28"/>
          <w14:textFill>
            <w14:solidFill>
              <w14:schemeClr w14:val="tx1"/>
            </w14:solidFill>
          </w14:textFill>
        </w:rPr>
        <w:t>二、</w:t>
      </w:r>
      <w:r>
        <w:rPr>
          <w:rFonts w:hint="eastAsia" w:ascii="宋体" w:hAnsi="宋体"/>
          <w:b/>
          <w:sz w:val="28"/>
          <w:szCs w:val="28"/>
        </w:rPr>
        <w:t>工程内容</w:t>
      </w:r>
      <w:bookmarkEnd w:id="58"/>
    </w:p>
    <w:p w14:paraId="4CA904D5">
      <w:pPr>
        <w:adjustRightInd/>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将现有足球场场地旧人造草拆除，草皮及旧石英砂外运。对原基础局部破损进行修复，铺设抗震垫，铺设五厘米专业人造足球草，充30公斤石英砂及6公斤TPE塑胶颗粒。铲除田径场塑胶颗粒外运无害处理。同时由于田径场的沥青基础老化破损较为厉害，根据现场情况田径场部分铣刨表层三厘米沥青外运处理后，喷乳化沥青油后重新浇筑3厘米沥青基础，养护结束以后铺设14毫米厚度透气型自结纹跑道。清通排水沟淤积，更换损坏部分的水沟面板，修复损坏或沉降的水沟基础。</w:t>
      </w:r>
    </w:p>
    <w:p w14:paraId="06D951F2">
      <w:pPr>
        <w:adjustRightInd/>
        <w:spacing w:line="360" w:lineRule="auto"/>
        <w:jc w:val="left"/>
        <w:outlineLvl w:val="1"/>
        <w:rPr>
          <w:rFonts w:ascii="宋体" w:hAnsi="宋体" w:cs="宋体"/>
          <w:b/>
          <w:bCs/>
          <w:color w:val="000000" w:themeColor="text1"/>
          <w:sz w:val="28"/>
          <w:szCs w:val="28"/>
          <w14:textFill>
            <w14:solidFill>
              <w14:schemeClr w14:val="tx1"/>
            </w14:solidFill>
          </w14:textFill>
        </w:rPr>
      </w:pPr>
      <w:bookmarkStart w:id="59" w:name="_Toc21893"/>
      <w:r>
        <w:rPr>
          <w:rFonts w:hint="eastAsia" w:ascii="宋体" w:hAnsi="宋体" w:cs="宋体"/>
          <w:b/>
          <w:bCs/>
          <w:color w:val="000000" w:themeColor="text1"/>
          <w:sz w:val="28"/>
          <w:szCs w:val="28"/>
          <w14:textFill>
            <w14:solidFill>
              <w14:schemeClr w14:val="tx1"/>
            </w14:solidFill>
          </w14:textFill>
        </w:rPr>
        <w:t>三、技术要求</w:t>
      </w:r>
      <w:bookmarkEnd w:id="59"/>
    </w:p>
    <w:p w14:paraId="19A07B31">
      <w:pPr>
        <w:adjustRightInd/>
        <w:spacing w:line="360" w:lineRule="auto"/>
        <w:ind w:firstLine="240" w:firstLineChars="1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▲1.拟派项目经理具有建筑工程或市政工程专业二级及以上注册建造师资格（在响应文件中提供证书扫描件）；</w:t>
      </w:r>
    </w:p>
    <w:p w14:paraId="1CE833FA">
      <w:pPr>
        <w:adjustRightInd/>
        <w:spacing w:line="360" w:lineRule="auto"/>
        <w:ind w:firstLine="240" w:firstLineChars="1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▲2.拟派项目经理具有“三类人员”B类证书；拟驻现场的安全专职管理员具有“三类人员”C类证书）（在响应文件中提供证书扫描件）。</w:t>
      </w:r>
    </w:p>
    <w:p w14:paraId="10B94454">
      <w:pPr>
        <w:adjustRightInd/>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3.质量要求：工程质量符合国家验收规范合格标准，达到国家有关技术标准、规范、规程要求。</w:t>
      </w:r>
    </w:p>
    <w:p w14:paraId="2841D584">
      <w:pPr>
        <w:adjustRightInd/>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4.主要材料（设备）品牌推荐表</w:t>
      </w:r>
    </w:p>
    <w:tbl>
      <w:tblPr>
        <w:tblStyle w:val="6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2503"/>
        <w:gridCol w:w="4724"/>
        <w:gridCol w:w="1955"/>
      </w:tblGrid>
      <w:tr w14:paraId="01BE2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390" w:type="pct"/>
            <w:vAlign w:val="center"/>
          </w:tcPr>
          <w:p w14:paraId="5058C9D8">
            <w:pPr>
              <w:widowControl/>
              <w:jc w:val="center"/>
              <w:rPr>
                <w:rFonts w:ascii="宋体" w:hAnsi="宋体" w:cs="宋体"/>
                <w:kern w:val="0"/>
                <w:sz w:val="24"/>
              </w:rPr>
            </w:pPr>
            <w:r>
              <w:rPr>
                <w:rFonts w:hint="eastAsia" w:ascii="宋体" w:hAnsi="宋体" w:cs="宋体"/>
                <w:kern w:val="0"/>
                <w:sz w:val="24"/>
              </w:rPr>
              <w:t>序号</w:t>
            </w:r>
          </w:p>
        </w:tc>
        <w:tc>
          <w:tcPr>
            <w:tcW w:w="1256" w:type="pct"/>
            <w:vAlign w:val="center"/>
          </w:tcPr>
          <w:p w14:paraId="5BE398E4">
            <w:pPr>
              <w:widowControl/>
              <w:jc w:val="center"/>
              <w:rPr>
                <w:rFonts w:ascii="宋体" w:hAnsi="宋体" w:cs="宋体"/>
                <w:kern w:val="0"/>
                <w:sz w:val="24"/>
              </w:rPr>
            </w:pPr>
            <w:r>
              <w:rPr>
                <w:rFonts w:hint="eastAsia" w:ascii="宋体" w:hAnsi="宋体" w:cs="宋体"/>
                <w:kern w:val="0"/>
                <w:sz w:val="24"/>
              </w:rPr>
              <w:t>材料（设备）名称</w:t>
            </w:r>
          </w:p>
        </w:tc>
        <w:tc>
          <w:tcPr>
            <w:tcW w:w="2371" w:type="pct"/>
            <w:vAlign w:val="center"/>
          </w:tcPr>
          <w:p w14:paraId="72E81A2B">
            <w:pPr>
              <w:widowControl/>
              <w:jc w:val="center"/>
              <w:rPr>
                <w:rFonts w:ascii="宋体" w:hAnsi="宋体" w:cs="宋体"/>
                <w:kern w:val="0"/>
                <w:sz w:val="24"/>
              </w:rPr>
            </w:pPr>
            <w:r>
              <w:rPr>
                <w:rFonts w:hint="eastAsia" w:ascii="宋体" w:hAnsi="宋体" w:cs="宋体"/>
                <w:kern w:val="0"/>
                <w:sz w:val="24"/>
              </w:rPr>
              <w:t>采购人推荐生产厂或品牌</w:t>
            </w:r>
          </w:p>
        </w:tc>
        <w:tc>
          <w:tcPr>
            <w:tcW w:w="981" w:type="pct"/>
            <w:vAlign w:val="center"/>
          </w:tcPr>
          <w:p w14:paraId="2CC34C35">
            <w:pPr>
              <w:widowControl/>
              <w:jc w:val="center"/>
              <w:rPr>
                <w:rFonts w:ascii="宋体" w:hAnsi="宋体" w:cs="宋体"/>
                <w:kern w:val="0"/>
                <w:sz w:val="24"/>
              </w:rPr>
            </w:pPr>
            <w:r>
              <w:rPr>
                <w:rFonts w:hint="eastAsia" w:ascii="宋体" w:hAnsi="宋体" w:cs="宋体"/>
                <w:kern w:val="0"/>
                <w:sz w:val="24"/>
              </w:rPr>
              <w:t>备注及技术要求</w:t>
            </w:r>
          </w:p>
        </w:tc>
      </w:tr>
      <w:tr w14:paraId="4A579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390" w:type="pct"/>
            <w:vAlign w:val="center"/>
          </w:tcPr>
          <w:p w14:paraId="51D5D83E">
            <w:pPr>
              <w:widowControl/>
              <w:jc w:val="center"/>
              <w:rPr>
                <w:rFonts w:ascii="宋体" w:hAnsi="宋体" w:cs="宋体"/>
                <w:color w:val="C00000"/>
                <w:kern w:val="0"/>
                <w:sz w:val="24"/>
              </w:rPr>
            </w:pPr>
            <w:r>
              <w:rPr>
                <w:rFonts w:hint="eastAsia" w:ascii="宋体" w:hAnsi="宋体" w:cs="宋体"/>
                <w:color w:val="000000"/>
                <w:sz w:val="24"/>
              </w:rPr>
              <w:t>1</w:t>
            </w:r>
          </w:p>
        </w:tc>
        <w:tc>
          <w:tcPr>
            <w:tcW w:w="1256" w:type="pct"/>
            <w:vAlign w:val="center"/>
          </w:tcPr>
          <w:p w14:paraId="605CD831">
            <w:pPr>
              <w:widowControl/>
              <w:jc w:val="center"/>
              <w:rPr>
                <w:rFonts w:ascii="宋体" w:hAnsi="宋体" w:cs="宋体"/>
                <w:color w:val="000000"/>
                <w:sz w:val="24"/>
              </w:rPr>
            </w:pPr>
            <w:r>
              <w:rPr>
                <w:rFonts w:hint="eastAsia" w:ascii="宋体" w:hAnsi="宋体" w:cs="宋体"/>
                <w:color w:val="000000"/>
                <w:sz w:val="24"/>
              </w:rPr>
              <w:t>人工草</w:t>
            </w:r>
          </w:p>
        </w:tc>
        <w:tc>
          <w:tcPr>
            <w:tcW w:w="2371" w:type="pct"/>
            <w:vAlign w:val="center"/>
          </w:tcPr>
          <w:p w14:paraId="3D0598B7">
            <w:pPr>
              <w:widowControl/>
              <w:jc w:val="center"/>
              <w:rPr>
                <w:rFonts w:ascii="宋体" w:hAnsi="宋体" w:cs="宋体"/>
                <w:color w:val="000000"/>
                <w:sz w:val="24"/>
              </w:rPr>
            </w:pPr>
            <w:r>
              <w:rPr>
                <w:rFonts w:hint="eastAsia" w:ascii="宋体" w:hAnsi="宋体" w:cs="宋体"/>
                <w:color w:val="000000"/>
                <w:sz w:val="24"/>
              </w:rPr>
              <w:t>威腾、恒远、森泰、柏康或相当于同等档次及以上</w:t>
            </w:r>
          </w:p>
        </w:tc>
        <w:tc>
          <w:tcPr>
            <w:tcW w:w="981" w:type="pct"/>
            <w:vAlign w:val="center"/>
          </w:tcPr>
          <w:p w14:paraId="661416C7">
            <w:pPr>
              <w:widowControl/>
              <w:jc w:val="center"/>
              <w:rPr>
                <w:rFonts w:ascii="宋体" w:hAnsi="宋体" w:cs="宋体"/>
                <w:kern w:val="0"/>
                <w:sz w:val="24"/>
              </w:rPr>
            </w:pPr>
          </w:p>
        </w:tc>
      </w:tr>
      <w:tr w14:paraId="28EBB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390" w:type="pct"/>
            <w:vAlign w:val="center"/>
          </w:tcPr>
          <w:p w14:paraId="09DC99DD">
            <w:pPr>
              <w:widowControl/>
              <w:jc w:val="center"/>
              <w:rPr>
                <w:rFonts w:ascii="宋体" w:hAnsi="宋体" w:cs="宋体"/>
                <w:color w:val="000000"/>
                <w:sz w:val="24"/>
              </w:rPr>
            </w:pPr>
            <w:r>
              <w:rPr>
                <w:rFonts w:hint="eastAsia" w:ascii="宋体" w:hAnsi="宋体" w:cs="宋体"/>
                <w:color w:val="000000"/>
                <w:sz w:val="24"/>
              </w:rPr>
              <w:t>2</w:t>
            </w:r>
          </w:p>
        </w:tc>
        <w:tc>
          <w:tcPr>
            <w:tcW w:w="1256" w:type="pct"/>
            <w:vAlign w:val="center"/>
          </w:tcPr>
          <w:p w14:paraId="51B84E46">
            <w:pPr>
              <w:widowControl/>
              <w:jc w:val="center"/>
              <w:rPr>
                <w:rFonts w:ascii="宋体" w:hAnsi="宋体" w:cs="宋体"/>
                <w:color w:val="000000"/>
                <w:sz w:val="24"/>
              </w:rPr>
            </w:pPr>
            <w:r>
              <w:rPr>
                <w:rFonts w:hint="eastAsia" w:ascii="宋体" w:hAnsi="宋体" w:cs="宋体"/>
                <w:color w:val="000000"/>
                <w:sz w:val="24"/>
              </w:rPr>
              <w:t>塑胶颗粒</w:t>
            </w:r>
          </w:p>
        </w:tc>
        <w:tc>
          <w:tcPr>
            <w:tcW w:w="2371" w:type="pct"/>
            <w:vAlign w:val="center"/>
          </w:tcPr>
          <w:p w14:paraId="4FB43614">
            <w:pPr>
              <w:widowControl/>
              <w:jc w:val="center"/>
              <w:rPr>
                <w:rFonts w:ascii="宋体" w:hAnsi="宋体" w:cs="宋体"/>
                <w:color w:val="000000"/>
                <w:sz w:val="24"/>
              </w:rPr>
            </w:pPr>
            <w:r>
              <w:rPr>
                <w:rFonts w:hint="eastAsia" w:ascii="宋体" w:hAnsi="宋体" w:cs="宋体"/>
                <w:color w:val="000000"/>
                <w:sz w:val="24"/>
              </w:rPr>
              <w:t>长河、柏康、广州铭宥或相当于同等档次及以上</w:t>
            </w:r>
          </w:p>
        </w:tc>
        <w:tc>
          <w:tcPr>
            <w:tcW w:w="981" w:type="pct"/>
            <w:vAlign w:val="center"/>
          </w:tcPr>
          <w:p w14:paraId="3F6DA0DF">
            <w:pPr>
              <w:widowControl/>
              <w:jc w:val="center"/>
              <w:rPr>
                <w:rFonts w:ascii="宋体" w:hAnsi="宋体" w:cs="宋体"/>
                <w:kern w:val="0"/>
                <w:sz w:val="24"/>
              </w:rPr>
            </w:pPr>
          </w:p>
        </w:tc>
      </w:tr>
      <w:tr w14:paraId="315BB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390" w:type="pct"/>
            <w:vAlign w:val="center"/>
          </w:tcPr>
          <w:p w14:paraId="2458B834">
            <w:pPr>
              <w:widowControl/>
              <w:jc w:val="center"/>
              <w:rPr>
                <w:rFonts w:ascii="宋体" w:hAnsi="宋体" w:cs="宋体"/>
                <w:color w:val="000000"/>
                <w:sz w:val="24"/>
              </w:rPr>
            </w:pPr>
            <w:r>
              <w:rPr>
                <w:rFonts w:hint="eastAsia" w:ascii="宋体" w:hAnsi="宋体" w:cs="宋体"/>
                <w:color w:val="000000"/>
                <w:sz w:val="24"/>
              </w:rPr>
              <w:t>3</w:t>
            </w:r>
          </w:p>
        </w:tc>
        <w:tc>
          <w:tcPr>
            <w:tcW w:w="1256" w:type="pct"/>
            <w:vAlign w:val="center"/>
          </w:tcPr>
          <w:p w14:paraId="7C0234F9">
            <w:pPr>
              <w:widowControl/>
              <w:jc w:val="center"/>
              <w:rPr>
                <w:rFonts w:ascii="宋体" w:hAnsi="宋体" w:cs="宋体"/>
                <w:color w:val="000000"/>
                <w:sz w:val="24"/>
              </w:rPr>
            </w:pPr>
            <w:r>
              <w:rPr>
                <w:rFonts w:hint="eastAsia" w:ascii="宋体" w:hAnsi="宋体" w:cs="宋体"/>
                <w:color w:val="000000"/>
                <w:sz w:val="24"/>
              </w:rPr>
              <w:t>胶水</w:t>
            </w:r>
          </w:p>
        </w:tc>
        <w:tc>
          <w:tcPr>
            <w:tcW w:w="2371" w:type="pct"/>
            <w:vAlign w:val="center"/>
          </w:tcPr>
          <w:p w14:paraId="46B92419">
            <w:pPr>
              <w:widowControl/>
              <w:jc w:val="center"/>
              <w:rPr>
                <w:rFonts w:ascii="宋体" w:hAnsi="宋体" w:cs="宋体"/>
                <w:color w:val="000000"/>
                <w:sz w:val="24"/>
              </w:rPr>
            </w:pPr>
            <w:r>
              <w:rPr>
                <w:rFonts w:hint="eastAsia" w:ascii="宋体" w:hAnsi="宋体" w:cs="宋体"/>
                <w:color w:val="000000"/>
                <w:sz w:val="24"/>
              </w:rPr>
              <w:t>长河、山东东海、广州铭宥、柏康或相当于同等档次及以上</w:t>
            </w:r>
          </w:p>
        </w:tc>
        <w:tc>
          <w:tcPr>
            <w:tcW w:w="981" w:type="pct"/>
            <w:vAlign w:val="center"/>
          </w:tcPr>
          <w:p w14:paraId="15D0CE6F">
            <w:pPr>
              <w:widowControl/>
              <w:jc w:val="center"/>
              <w:rPr>
                <w:rFonts w:ascii="宋体" w:hAnsi="宋体" w:cs="宋体"/>
                <w:kern w:val="0"/>
                <w:sz w:val="24"/>
              </w:rPr>
            </w:pPr>
          </w:p>
        </w:tc>
      </w:tr>
      <w:tr w14:paraId="5AC54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390" w:type="pct"/>
            <w:vAlign w:val="center"/>
          </w:tcPr>
          <w:p w14:paraId="185D2B14">
            <w:pPr>
              <w:widowControl/>
              <w:jc w:val="center"/>
              <w:rPr>
                <w:rFonts w:ascii="宋体" w:hAnsi="宋体" w:cs="宋体"/>
                <w:color w:val="000000"/>
                <w:sz w:val="24"/>
              </w:rPr>
            </w:pPr>
            <w:r>
              <w:rPr>
                <w:rFonts w:hint="eastAsia" w:ascii="宋体" w:hAnsi="宋体" w:cs="宋体"/>
                <w:color w:val="000000"/>
                <w:sz w:val="24"/>
              </w:rPr>
              <w:t>4</w:t>
            </w:r>
          </w:p>
        </w:tc>
        <w:tc>
          <w:tcPr>
            <w:tcW w:w="1256" w:type="pct"/>
            <w:vAlign w:val="center"/>
          </w:tcPr>
          <w:p w14:paraId="6A6F08B8">
            <w:pPr>
              <w:widowControl/>
              <w:jc w:val="center"/>
              <w:rPr>
                <w:rFonts w:ascii="宋体" w:hAnsi="宋体" w:cs="宋体"/>
                <w:color w:val="000000"/>
                <w:sz w:val="24"/>
              </w:rPr>
            </w:pPr>
            <w:r>
              <w:rPr>
                <w:rFonts w:hint="eastAsia" w:ascii="宋体" w:hAnsi="宋体" w:cs="宋体"/>
                <w:color w:val="000000"/>
                <w:sz w:val="24"/>
              </w:rPr>
              <w:t>TPE填充颗粒</w:t>
            </w:r>
          </w:p>
        </w:tc>
        <w:tc>
          <w:tcPr>
            <w:tcW w:w="2371" w:type="pct"/>
            <w:vAlign w:val="center"/>
          </w:tcPr>
          <w:p w14:paraId="75D58468">
            <w:pPr>
              <w:widowControl/>
              <w:jc w:val="center"/>
              <w:rPr>
                <w:rFonts w:ascii="宋体" w:hAnsi="宋体" w:cs="宋体"/>
                <w:color w:val="000000"/>
                <w:sz w:val="24"/>
              </w:rPr>
            </w:pPr>
            <w:r>
              <w:rPr>
                <w:rFonts w:hint="eastAsia" w:ascii="宋体" w:hAnsi="宋体" w:cs="宋体"/>
                <w:color w:val="000000"/>
                <w:sz w:val="24"/>
              </w:rPr>
              <w:t>耐美舒、倍捷、利龙或相当于同等档次及以上</w:t>
            </w:r>
          </w:p>
        </w:tc>
        <w:tc>
          <w:tcPr>
            <w:tcW w:w="981" w:type="pct"/>
            <w:vAlign w:val="center"/>
          </w:tcPr>
          <w:p w14:paraId="1B3E7A63">
            <w:pPr>
              <w:widowControl/>
              <w:jc w:val="center"/>
              <w:rPr>
                <w:rFonts w:ascii="宋体" w:hAnsi="宋体" w:cs="宋体"/>
                <w:kern w:val="0"/>
                <w:sz w:val="24"/>
              </w:rPr>
            </w:pPr>
          </w:p>
        </w:tc>
      </w:tr>
      <w:tr w14:paraId="44632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390" w:type="pct"/>
            <w:vAlign w:val="center"/>
          </w:tcPr>
          <w:p w14:paraId="64C2B161">
            <w:pPr>
              <w:widowControl/>
              <w:jc w:val="center"/>
              <w:rPr>
                <w:rFonts w:ascii="宋体" w:hAnsi="宋体" w:cs="宋体"/>
                <w:color w:val="000000"/>
                <w:sz w:val="24"/>
              </w:rPr>
            </w:pPr>
            <w:r>
              <w:rPr>
                <w:rFonts w:hint="eastAsia" w:ascii="宋体" w:hAnsi="宋体" w:cs="宋体"/>
                <w:color w:val="000000"/>
                <w:sz w:val="24"/>
              </w:rPr>
              <w:t>5</w:t>
            </w:r>
          </w:p>
        </w:tc>
        <w:tc>
          <w:tcPr>
            <w:tcW w:w="1256" w:type="pct"/>
            <w:vAlign w:val="center"/>
          </w:tcPr>
          <w:p w14:paraId="4C16FB6C">
            <w:pPr>
              <w:widowControl/>
              <w:jc w:val="center"/>
              <w:rPr>
                <w:rFonts w:ascii="宋体" w:hAnsi="宋体" w:cs="宋体"/>
                <w:color w:val="000000"/>
                <w:sz w:val="24"/>
              </w:rPr>
            </w:pPr>
            <w:r>
              <w:rPr>
                <w:rFonts w:hint="eastAsia" w:ascii="宋体" w:hAnsi="宋体" w:cs="宋体"/>
                <w:color w:val="000000"/>
                <w:sz w:val="24"/>
              </w:rPr>
              <w:t>单组分聚氨酯发泡材料</w:t>
            </w:r>
          </w:p>
        </w:tc>
        <w:tc>
          <w:tcPr>
            <w:tcW w:w="2371" w:type="pct"/>
            <w:vAlign w:val="center"/>
          </w:tcPr>
          <w:p w14:paraId="3FA820C2">
            <w:pPr>
              <w:widowControl/>
              <w:jc w:val="center"/>
              <w:rPr>
                <w:rFonts w:ascii="宋体" w:hAnsi="宋体" w:cs="宋体"/>
                <w:color w:val="000000"/>
                <w:sz w:val="24"/>
              </w:rPr>
            </w:pPr>
            <w:r>
              <w:rPr>
                <w:rFonts w:hint="eastAsia" w:ascii="宋体" w:hAnsi="宋体" w:cs="宋体"/>
                <w:color w:val="000000"/>
                <w:sz w:val="24"/>
              </w:rPr>
              <w:t>长河、山东东海、广州铭宥或相当于同等档次及以上</w:t>
            </w:r>
          </w:p>
        </w:tc>
        <w:tc>
          <w:tcPr>
            <w:tcW w:w="981" w:type="pct"/>
            <w:vAlign w:val="center"/>
          </w:tcPr>
          <w:p w14:paraId="14214253">
            <w:pPr>
              <w:widowControl/>
              <w:jc w:val="center"/>
              <w:rPr>
                <w:rFonts w:ascii="宋体" w:hAnsi="宋体" w:cs="宋体"/>
                <w:kern w:val="0"/>
                <w:sz w:val="24"/>
              </w:rPr>
            </w:pPr>
          </w:p>
        </w:tc>
      </w:tr>
    </w:tbl>
    <w:p w14:paraId="31370501">
      <w:pPr>
        <w:pStyle w:val="50"/>
        <w:ind w:left="0" w:leftChars="0"/>
      </w:pPr>
    </w:p>
    <w:p w14:paraId="61A096B7">
      <w:pPr>
        <w:wordWrap w:val="0"/>
        <w:overflowPunct w:val="0"/>
        <w:autoSpaceDN w:val="0"/>
        <w:snapToGrid w:val="0"/>
        <w:spacing w:line="324" w:lineRule="auto"/>
        <w:ind w:left="-283" w:leftChars="-135" w:right="-334" w:rightChars="-159" w:firstLine="440"/>
        <w:rPr>
          <w:rFonts w:ascii="宋体" w:hAnsi="宋体" w:cs="宋体"/>
          <w:b/>
          <w:sz w:val="24"/>
        </w:rPr>
      </w:pPr>
      <w:r>
        <w:rPr>
          <w:rFonts w:hint="eastAsia" w:ascii="宋体" w:hAnsi="宋体" w:cs="宋体"/>
          <w:b/>
          <w:bCs/>
          <w:kern w:val="0"/>
          <w:sz w:val="24"/>
        </w:rPr>
        <w:t>注：</w:t>
      </w:r>
      <w:r>
        <w:rPr>
          <w:rFonts w:hint="eastAsia" w:ascii="宋体" w:hAnsi="宋体" w:cs="宋体"/>
          <w:b/>
          <w:kern w:val="0"/>
          <w:sz w:val="24"/>
        </w:rPr>
        <w:t>①磋商响应供应商可在“备选品牌、厂家”选择一项填写在“投标（响应）品牌”一栏中，如在此表“备选品牌、厂家”之外选择的，需要在“投标（响应）品牌”一栏中注明所选品牌</w:t>
      </w:r>
      <w:r>
        <w:rPr>
          <w:rFonts w:hint="eastAsia" w:ascii="宋体" w:hAnsi="宋体" w:cs="宋体"/>
          <w:b/>
          <w:sz w:val="24"/>
        </w:rPr>
        <w:t>。</w:t>
      </w:r>
    </w:p>
    <w:p w14:paraId="596EE5D0">
      <w:pPr>
        <w:wordWrap w:val="0"/>
        <w:overflowPunct w:val="0"/>
        <w:autoSpaceDN w:val="0"/>
        <w:snapToGrid w:val="0"/>
        <w:spacing w:line="324" w:lineRule="auto"/>
        <w:ind w:left="-283" w:leftChars="-135" w:right="-334" w:rightChars="-159" w:firstLine="440"/>
        <w:rPr>
          <w:rFonts w:ascii="宋体" w:hAnsi="宋体" w:cs="宋体"/>
          <w:b/>
          <w:sz w:val="24"/>
        </w:rPr>
      </w:pPr>
      <w:r>
        <w:rPr>
          <w:rFonts w:hint="eastAsia" w:ascii="宋体" w:hAnsi="宋体" w:cs="宋体"/>
          <w:b/>
          <w:bCs/>
          <w:sz w:val="24"/>
        </w:rPr>
        <w:t>②</w:t>
      </w:r>
      <w:r>
        <w:rPr>
          <w:rFonts w:hint="eastAsia" w:ascii="宋体" w:hAnsi="宋体" w:cs="宋体"/>
          <w:b/>
          <w:sz w:val="24"/>
        </w:rPr>
        <w:t>磋商文件中对主要材料设备品牌、厂家、规格、型号有推荐的，磋商响应供应商应采用并选用其中高档产品，或选用与采购人推荐的品牌相当及以上的中高档产品，如磋商响应供应商所选材料设备的材质、规格、颜色、档次与磋商文件及施工图纸要求的存在明显差别，或虽按磋商文件推荐的材料品牌选择但该材料因某种原因停产或其他原因而不能供应的，则实际施工过程中采购人有权在磋商文件推荐的材料品牌中自行确定，且投标（响应）价格不予调整。</w:t>
      </w:r>
    </w:p>
    <w:p w14:paraId="7EA68747">
      <w:pPr>
        <w:wordWrap w:val="0"/>
        <w:overflowPunct w:val="0"/>
        <w:autoSpaceDN w:val="0"/>
        <w:snapToGrid w:val="0"/>
        <w:spacing w:line="324" w:lineRule="auto"/>
        <w:ind w:left="-283" w:leftChars="-135" w:right="-334" w:rightChars="-159" w:firstLine="440"/>
        <w:rPr>
          <w:rFonts w:ascii="宋体" w:hAnsi="宋体" w:cs="宋体"/>
          <w:b/>
          <w:sz w:val="24"/>
        </w:rPr>
      </w:pPr>
      <w:r>
        <w:rPr>
          <w:rFonts w:hint="eastAsia" w:ascii="宋体" w:hAnsi="宋体" w:cs="宋体"/>
          <w:b/>
          <w:sz w:val="24"/>
        </w:rPr>
        <w:t>③发包人有权根据实际情况在发包人推荐的供应商（厂家）或品牌范围内进行调整，承包人须接受调整，并不得因此而要求调价。</w:t>
      </w:r>
    </w:p>
    <w:p w14:paraId="29F9B79D">
      <w:pPr>
        <w:wordWrap w:val="0"/>
        <w:overflowPunct w:val="0"/>
        <w:autoSpaceDN w:val="0"/>
        <w:snapToGrid w:val="0"/>
        <w:spacing w:line="324" w:lineRule="auto"/>
        <w:ind w:left="-283" w:leftChars="-135" w:right="-334" w:rightChars="-159" w:firstLine="440"/>
        <w:rPr>
          <w:rFonts w:ascii="宋体" w:hAnsi="宋体" w:cs="宋体"/>
          <w:b/>
          <w:bCs/>
          <w:color w:val="000000" w:themeColor="text1"/>
          <w:sz w:val="28"/>
          <w:szCs w:val="28"/>
          <w14:textFill>
            <w14:solidFill>
              <w14:schemeClr w14:val="tx1"/>
            </w14:solidFill>
          </w14:textFill>
        </w:rPr>
      </w:pPr>
      <w:r>
        <w:rPr>
          <w:rFonts w:hint="eastAsia" w:ascii="宋体" w:hAnsi="宋体" w:cs="宋体"/>
          <w:b/>
          <w:sz w:val="24"/>
        </w:rPr>
        <w:t>④请将本表放置在商务技术文件中最后一页，注明所选材料设备的品牌、规格、型号。若磋商响应供应商未明确品牌，采购人将在此表 “推荐品牌或厂家”中指定品牌及型号，磋商报价不予调整。</w:t>
      </w:r>
    </w:p>
    <w:p w14:paraId="54CB109B">
      <w:pPr>
        <w:adjustRightInd/>
        <w:spacing w:line="360" w:lineRule="auto"/>
        <w:jc w:val="left"/>
        <w:outlineLvl w:val="1"/>
        <w:rPr>
          <w:rFonts w:ascii="宋体" w:hAnsi="宋体" w:cs="宋体"/>
          <w:b/>
          <w:bCs/>
          <w:color w:val="000000" w:themeColor="text1"/>
          <w:sz w:val="28"/>
          <w:szCs w:val="28"/>
          <w14:textFill>
            <w14:solidFill>
              <w14:schemeClr w14:val="tx1"/>
            </w14:solidFill>
          </w14:textFill>
        </w:rPr>
      </w:pPr>
      <w:bookmarkStart w:id="60" w:name="_Toc10049"/>
      <w:r>
        <w:rPr>
          <w:rFonts w:hint="eastAsia" w:ascii="宋体" w:hAnsi="宋体" w:cs="宋体"/>
          <w:b/>
          <w:bCs/>
          <w:color w:val="000000" w:themeColor="text1"/>
          <w:sz w:val="28"/>
          <w:szCs w:val="28"/>
          <w14:textFill>
            <w14:solidFill>
              <w14:schemeClr w14:val="tx1"/>
            </w14:solidFill>
          </w14:textFill>
        </w:rPr>
        <w:t>四、材料参数要求</w:t>
      </w:r>
      <w:bookmarkEnd w:id="60"/>
    </w:p>
    <w:p w14:paraId="7308479C">
      <w:pPr>
        <w:spacing w:line="360" w:lineRule="auto"/>
        <w:ind w:firstLine="420"/>
        <w:outlineLvl w:val="2"/>
        <w:rPr>
          <w:rFonts w:ascii="宋体" w:hAnsi="宋体" w:cs="宋体"/>
          <w:b/>
          <w:bCs/>
          <w:sz w:val="24"/>
        </w:rPr>
      </w:pPr>
      <w:bookmarkStart w:id="61" w:name="_Toc2279"/>
      <w:r>
        <w:rPr>
          <w:rFonts w:hint="eastAsia" w:ascii="宋体" w:hAnsi="宋体" w:cs="宋体"/>
          <w:b/>
          <w:bCs/>
          <w:sz w:val="24"/>
        </w:rPr>
        <w:t>塑胶跑道</w:t>
      </w:r>
      <w:bookmarkEnd w:id="61"/>
    </w:p>
    <w:p w14:paraId="62B39583">
      <w:pPr>
        <w:spacing w:line="360" w:lineRule="auto"/>
        <w:ind w:firstLine="420"/>
        <w:rPr>
          <w:rFonts w:ascii="宋体" w:hAnsi="宋体" w:cs="宋体"/>
          <w:sz w:val="24"/>
        </w:rPr>
      </w:pPr>
      <w:r>
        <w:rPr>
          <w:rFonts w:hint="eastAsia" w:ascii="宋体" w:hAnsi="宋体" w:cs="宋体"/>
          <w:sz w:val="24"/>
        </w:rPr>
        <w:t>1.跑道弹性层材料、自结纹面层材料符合GB36246-2018对非固体原料有害物质限量型式要求。</w:t>
      </w:r>
    </w:p>
    <w:tbl>
      <w:tblPr>
        <w:tblStyle w:val="62"/>
        <w:tblW w:w="4999" w:type="pct"/>
        <w:jc w:val="center"/>
        <w:tblLayout w:type="autofit"/>
        <w:tblCellMar>
          <w:top w:w="0" w:type="dxa"/>
          <w:left w:w="108" w:type="dxa"/>
          <w:bottom w:w="0" w:type="dxa"/>
          <w:right w:w="108" w:type="dxa"/>
        </w:tblCellMar>
      </w:tblPr>
      <w:tblGrid>
        <w:gridCol w:w="1406"/>
        <w:gridCol w:w="6536"/>
        <w:gridCol w:w="2019"/>
      </w:tblGrid>
      <w:tr w14:paraId="3A2212A6">
        <w:tblPrEx>
          <w:tblCellMar>
            <w:top w:w="0" w:type="dxa"/>
            <w:left w:w="108" w:type="dxa"/>
            <w:bottom w:w="0" w:type="dxa"/>
            <w:right w:w="108" w:type="dxa"/>
          </w:tblCellMar>
        </w:tblPrEx>
        <w:trPr>
          <w:trHeight w:val="499" w:hRule="atLeast"/>
          <w:jc w:val="center"/>
        </w:trPr>
        <w:tc>
          <w:tcPr>
            <w:tcW w:w="3986" w:type="pct"/>
            <w:gridSpan w:val="2"/>
            <w:tcBorders>
              <w:top w:val="single" w:color="000000" w:sz="4" w:space="0"/>
              <w:left w:val="single" w:color="000000" w:sz="4" w:space="0"/>
              <w:bottom w:val="single" w:color="000000" w:sz="4" w:space="0"/>
              <w:right w:val="single" w:color="000000" w:sz="4" w:space="0"/>
            </w:tcBorders>
            <w:vAlign w:val="center"/>
          </w:tcPr>
          <w:p w14:paraId="07A20DA8">
            <w:pPr>
              <w:widowControl/>
              <w:adjustRightInd/>
              <w:jc w:val="center"/>
              <w:textAlignment w:val="center"/>
              <w:rPr>
                <w:rFonts w:ascii="宋体" w:hAnsi="宋体" w:cs="宋体"/>
                <w:b/>
                <w:bCs/>
                <w:color w:val="000000"/>
                <w:sz w:val="24"/>
              </w:rPr>
            </w:pPr>
            <w:r>
              <w:rPr>
                <w:rFonts w:hint="eastAsia" w:ascii="宋体" w:hAnsi="宋体" w:cs="宋体"/>
                <w:b/>
                <w:bCs/>
                <w:color w:val="000000"/>
                <w:kern w:val="0"/>
                <w:sz w:val="24"/>
                <w:lang w:bidi="ar"/>
              </w:rPr>
              <w:t>检测项目</w:t>
            </w:r>
          </w:p>
        </w:tc>
        <w:tc>
          <w:tcPr>
            <w:tcW w:w="1013" w:type="pct"/>
            <w:tcBorders>
              <w:top w:val="single" w:color="000000" w:sz="4" w:space="0"/>
              <w:left w:val="single" w:color="000000" w:sz="4" w:space="0"/>
              <w:bottom w:val="single" w:color="000000" w:sz="4" w:space="0"/>
              <w:right w:val="single" w:color="000000" w:sz="4" w:space="0"/>
            </w:tcBorders>
            <w:vAlign w:val="center"/>
          </w:tcPr>
          <w:p w14:paraId="4BF13346">
            <w:pPr>
              <w:widowControl/>
              <w:adjustRightInd/>
              <w:jc w:val="center"/>
              <w:textAlignment w:val="center"/>
              <w:rPr>
                <w:rFonts w:ascii="宋体" w:hAnsi="宋体" w:cs="宋体"/>
                <w:b/>
                <w:bCs/>
                <w:color w:val="000000"/>
                <w:sz w:val="24"/>
              </w:rPr>
            </w:pPr>
            <w:r>
              <w:rPr>
                <w:rFonts w:hint="eastAsia" w:ascii="宋体" w:hAnsi="宋体" w:cs="宋体"/>
                <w:b/>
                <w:bCs/>
                <w:color w:val="000000"/>
                <w:sz w:val="24"/>
              </w:rPr>
              <w:t>限量值要求</w:t>
            </w:r>
          </w:p>
        </w:tc>
      </w:tr>
      <w:tr w14:paraId="15D1B652">
        <w:tblPrEx>
          <w:tblCellMar>
            <w:top w:w="0" w:type="dxa"/>
            <w:left w:w="108" w:type="dxa"/>
            <w:bottom w:w="0" w:type="dxa"/>
            <w:right w:w="108" w:type="dxa"/>
          </w:tblCellMar>
        </w:tblPrEx>
        <w:trPr>
          <w:trHeight w:val="463" w:hRule="atLeast"/>
          <w:jc w:val="center"/>
        </w:trPr>
        <w:tc>
          <w:tcPr>
            <w:tcW w:w="706" w:type="pct"/>
            <w:vMerge w:val="restart"/>
            <w:tcBorders>
              <w:top w:val="single" w:color="000000" w:sz="4" w:space="0"/>
              <w:left w:val="single" w:color="000000" w:sz="4" w:space="0"/>
              <w:bottom w:val="single" w:color="000000" w:sz="4" w:space="0"/>
              <w:right w:val="single" w:color="000000" w:sz="4" w:space="0"/>
            </w:tcBorders>
            <w:vAlign w:val="center"/>
          </w:tcPr>
          <w:p w14:paraId="14205264">
            <w:pPr>
              <w:widowControl/>
              <w:adjustRightInd/>
              <w:jc w:val="center"/>
              <w:textAlignment w:val="center"/>
              <w:rPr>
                <w:rFonts w:ascii="宋体" w:hAnsi="宋体" w:cs="宋体"/>
                <w:b/>
                <w:bCs/>
                <w:color w:val="000000"/>
                <w:sz w:val="24"/>
              </w:rPr>
            </w:pPr>
            <w:r>
              <w:rPr>
                <w:rFonts w:hint="eastAsia" w:ascii="宋体" w:hAnsi="宋体" w:cs="宋体"/>
                <w:b/>
                <w:bCs/>
                <w:color w:val="000000"/>
                <w:kern w:val="0"/>
                <w:sz w:val="24"/>
                <w:lang w:bidi="ar"/>
              </w:rPr>
              <w:t>有害物质含量</w:t>
            </w:r>
          </w:p>
        </w:tc>
        <w:tc>
          <w:tcPr>
            <w:tcW w:w="3279" w:type="pct"/>
            <w:tcBorders>
              <w:top w:val="single" w:color="000000" w:sz="4" w:space="0"/>
              <w:left w:val="single" w:color="000000" w:sz="4" w:space="0"/>
              <w:bottom w:val="single" w:color="000000" w:sz="4" w:space="0"/>
              <w:right w:val="single" w:color="000000" w:sz="4" w:space="0"/>
            </w:tcBorders>
            <w:vAlign w:val="center"/>
          </w:tcPr>
          <w:p w14:paraId="6ED8DE80">
            <w:pPr>
              <w:widowControl/>
              <w:adjustRightInd/>
              <w:jc w:val="center"/>
              <w:textAlignment w:val="center"/>
              <w:rPr>
                <w:rFonts w:ascii="宋体" w:hAnsi="宋体" w:cs="宋体"/>
                <w:color w:val="000000"/>
                <w:sz w:val="24"/>
              </w:rPr>
            </w:pPr>
            <w:r>
              <w:rPr>
                <w:rStyle w:val="146"/>
                <w:rFonts w:ascii="宋体" w:hAnsi="宋体" w:eastAsia="宋体" w:cs="宋体"/>
                <w:sz w:val="24"/>
                <w:szCs w:val="24"/>
                <w:lang w:bidi="ar"/>
              </w:rPr>
              <w:t>3</w:t>
            </w:r>
            <w:r>
              <w:rPr>
                <w:rStyle w:val="375"/>
                <w:rFonts w:ascii="宋体" w:hAnsi="宋体" w:eastAsia="宋体" w:cs="宋体"/>
                <w:sz w:val="24"/>
                <w:szCs w:val="24"/>
                <w:lang w:bidi="ar"/>
              </w:rPr>
              <w:t>种邻苯二甲酸酯类（DBP、BBP、DEHP）总和</w:t>
            </w:r>
            <w:r>
              <w:rPr>
                <w:rStyle w:val="206"/>
                <w:rFonts w:ascii="宋体" w:hAnsi="宋体" w:eastAsia="宋体" w:cs="宋体"/>
                <w:sz w:val="24"/>
                <w:szCs w:val="24"/>
                <w:lang w:bidi="ar"/>
              </w:rPr>
              <w:t>b</w:t>
            </w:r>
            <w:r>
              <w:rPr>
                <w:rStyle w:val="375"/>
                <w:rFonts w:ascii="宋体" w:hAnsi="宋体" w:eastAsia="宋体" w:cs="宋体"/>
                <w:sz w:val="24"/>
                <w:szCs w:val="24"/>
                <w:lang w:bidi="ar"/>
              </w:rPr>
              <w:t>/（g/kg）</w:t>
            </w:r>
          </w:p>
        </w:tc>
        <w:tc>
          <w:tcPr>
            <w:tcW w:w="1013" w:type="pct"/>
            <w:tcBorders>
              <w:top w:val="single" w:color="000000" w:sz="4" w:space="0"/>
              <w:left w:val="single" w:color="000000" w:sz="4" w:space="0"/>
              <w:bottom w:val="single" w:color="000000" w:sz="4" w:space="0"/>
              <w:right w:val="single" w:color="000000" w:sz="4" w:space="0"/>
            </w:tcBorders>
            <w:vAlign w:val="center"/>
          </w:tcPr>
          <w:p w14:paraId="2CE0CFF9">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01A76476">
        <w:tblPrEx>
          <w:tblCellMar>
            <w:top w:w="0" w:type="dxa"/>
            <w:left w:w="108" w:type="dxa"/>
            <w:bottom w:w="0" w:type="dxa"/>
            <w:right w:w="108" w:type="dxa"/>
          </w:tblCellMar>
        </w:tblPrEx>
        <w:trPr>
          <w:trHeight w:val="571"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6DC47B32">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42B2C20B">
            <w:pPr>
              <w:widowControl/>
              <w:adjustRightInd/>
              <w:jc w:val="center"/>
              <w:textAlignment w:val="center"/>
              <w:rPr>
                <w:rFonts w:ascii="宋体" w:hAnsi="宋体" w:cs="宋体"/>
                <w:color w:val="000000"/>
                <w:sz w:val="24"/>
              </w:rPr>
            </w:pPr>
            <w:r>
              <w:rPr>
                <w:rStyle w:val="146"/>
                <w:rFonts w:ascii="宋体" w:hAnsi="宋体" w:eastAsia="宋体" w:cs="宋体"/>
                <w:sz w:val="24"/>
                <w:szCs w:val="24"/>
                <w:lang w:bidi="ar"/>
              </w:rPr>
              <w:t>3</w:t>
            </w:r>
            <w:r>
              <w:rPr>
                <w:rStyle w:val="375"/>
                <w:rFonts w:ascii="宋体" w:hAnsi="宋体" w:eastAsia="宋体" w:cs="宋体"/>
                <w:sz w:val="24"/>
                <w:szCs w:val="24"/>
                <w:lang w:bidi="ar"/>
              </w:rPr>
              <w:t>种邻苯二甲酸酯类（DNOP、DINP、DIDP）总和</w:t>
            </w:r>
            <w:r>
              <w:rPr>
                <w:rStyle w:val="964"/>
                <w:sz w:val="24"/>
                <w:szCs w:val="24"/>
                <w:lang w:bidi="ar"/>
              </w:rPr>
              <w:t>b</w:t>
            </w:r>
            <w:r>
              <w:rPr>
                <w:rStyle w:val="375"/>
                <w:rFonts w:ascii="宋体" w:hAnsi="宋体" w:eastAsia="宋体" w:cs="宋体"/>
                <w:sz w:val="24"/>
                <w:szCs w:val="24"/>
                <w:lang w:bidi="ar"/>
              </w:rPr>
              <w:t>/（g/kg）</w:t>
            </w:r>
          </w:p>
        </w:tc>
        <w:tc>
          <w:tcPr>
            <w:tcW w:w="1013" w:type="pct"/>
            <w:tcBorders>
              <w:top w:val="single" w:color="000000" w:sz="4" w:space="0"/>
              <w:left w:val="single" w:color="000000" w:sz="4" w:space="0"/>
              <w:bottom w:val="single" w:color="000000" w:sz="4" w:space="0"/>
              <w:right w:val="single" w:color="000000" w:sz="4" w:space="0"/>
            </w:tcBorders>
            <w:vAlign w:val="center"/>
          </w:tcPr>
          <w:p w14:paraId="6412626B">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50289CEB">
        <w:tblPrEx>
          <w:tblCellMar>
            <w:top w:w="0" w:type="dxa"/>
            <w:left w:w="108" w:type="dxa"/>
            <w:bottom w:w="0" w:type="dxa"/>
            <w:right w:w="108" w:type="dxa"/>
          </w:tblCellMar>
        </w:tblPrEx>
        <w:trPr>
          <w:trHeight w:val="731"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3666DD1F">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2E0B0366">
            <w:pPr>
              <w:widowControl/>
              <w:adjustRightInd/>
              <w:jc w:val="center"/>
              <w:textAlignment w:val="center"/>
              <w:rPr>
                <w:rFonts w:ascii="宋体" w:hAnsi="宋体" w:cs="宋体"/>
                <w:color w:val="000000"/>
                <w:sz w:val="24"/>
              </w:rPr>
            </w:pPr>
            <w:r>
              <w:rPr>
                <w:rStyle w:val="375"/>
                <w:rFonts w:ascii="宋体" w:hAnsi="宋体" w:eastAsia="宋体" w:cs="宋体"/>
                <w:sz w:val="24"/>
                <w:szCs w:val="24"/>
                <w:lang w:bidi="ar"/>
              </w:rPr>
              <w:t>游离甲苯二异氰酸酯（</w:t>
            </w:r>
            <w:r>
              <w:rPr>
                <w:rStyle w:val="146"/>
                <w:rFonts w:ascii="宋体" w:hAnsi="宋体" w:eastAsia="宋体" w:cs="宋体"/>
                <w:sz w:val="24"/>
                <w:szCs w:val="24"/>
                <w:lang w:bidi="ar"/>
              </w:rPr>
              <w:t>TDI</w:t>
            </w:r>
            <w:r>
              <w:rPr>
                <w:rStyle w:val="375"/>
                <w:rFonts w:ascii="宋体" w:hAnsi="宋体" w:eastAsia="宋体" w:cs="宋体"/>
                <w:sz w:val="24"/>
                <w:szCs w:val="24"/>
                <w:lang w:bidi="ar"/>
              </w:rPr>
              <w:t>）和游离六亚甲基二异氰酸酯（</w:t>
            </w:r>
            <w:r>
              <w:rPr>
                <w:rStyle w:val="146"/>
                <w:rFonts w:ascii="宋体" w:hAnsi="宋体" w:eastAsia="宋体" w:cs="宋体"/>
                <w:sz w:val="24"/>
                <w:szCs w:val="24"/>
                <w:lang w:bidi="ar"/>
              </w:rPr>
              <w:t>HDI</w:t>
            </w:r>
            <w:r>
              <w:rPr>
                <w:rStyle w:val="375"/>
                <w:rFonts w:ascii="宋体" w:hAnsi="宋体" w:eastAsia="宋体" w:cs="宋体"/>
                <w:sz w:val="24"/>
                <w:szCs w:val="24"/>
                <w:lang w:bidi="ar"/>
              </w:rPr>
              <w:t>）总和</w:t>
            </w:r>
            <w:r>
              <w:rPr>
                <w:rStyle w:val="146"/>
                <w:rFonts w:ascii="宋体" w:hAnsi="宋体" w:eastAsia="宋体" w:cs="宋体"/>
                <w:sz w:val="24"/>
                <w:szCs w:val="24"/>
                <w:lang w:bidi="ar"/>
              </w:rPr>
              <w:t>/</w:t>
            </w:r>
            <w:r>
              <w:rPr>
                <w:rStyle w:val="375"/>
                <w:rFonts w:ascii="宋体" w:hAnsi="宋体" w:eastAsia="宋体" w:cs="宋体"/>
                <w:sz w:val="24"/>
                <w:szCs w:val="24"/>
                <w:lang w:bidi="ar"/>
              </w:rPr>
              <w:t>（</w:t>
            </w:r>
            <w:r>
              <w:rPr>
                <w:rStyle w:val="146"/>
                <w:rFonts w:ascii="宋体" w:hAnsi="宋体" w:eastAsia="宋体" w:cs="宋体"/>
                <w:sz w:val="24"/>
                <w:szCs w:val="24"/>
                <w:lang w:bidi="ar"/>
              </w:rPr>
              <w:t>g/kg</w:t>
            </w:r>
            <w:r>
              <w:rPr>
                <w:rStyle w:val="375"/>
                <w:rFonts w:ascii="宋体" w:hAnsi="宋体" w:eastAsia="宋体" w:cs="宋体"/>
                <w:sz w:val="24"/>
                <w:szCs w:val="24"/>
                <w:lang w:bidi="ar"/>
              </w:rPr>
              <w:t>）</w:t>
            </w:r>
          </w:p>
        </w:tc>
        <w:tc>
          <w:tcPr>
            <w:tcW w:w="1013" w:type="pct"/>
            <w:tcBorders>
              <w:top w:val="single" w:color="000000" w:sz="4" w:space="0"/>
              <w:left w:val="single" w:color="000000" w:sz="4" w:space="0"/>
              <w:bottom w:val="single" w:color="000000" w:sz="4" w:space="0"/>
              <w:right w:val="single" w:color="000000" w:sz="4" w:space="0"/>
            </w:tcBorders>
            <w:vAlign w:val="center"/>
          </w:tcPr>
          <w:p w14:paraId="47345800">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2CDC8E69">
        <w:tblPrEx>
          <w:tblCellMar>
            <w:top w:w="0" w:type="dxa"/>
            <w:left w:w="108" w:type="dxa"/>
            <w:bottom w:w="0" w:type="dxa"/>
            <w:right w:w="108" w:type="dxa"/>
          </w:tblCellMar>
        </w:tblPrEx>
        <w:trPr>
          <w:trHeight w:val="590"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4B1F20C1">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544E4C70">
            <w:pPr>
              <w:widowControl/>
              <w:adjustRightInd/>
              <w:jc w:val="center"/>
              <w:textAlignment w:val="center"/>
              <w:rPr>
                <w:rFonts w:ascii="宋体" w:hAnsi="宋体" w:cs="宋体"/>
                <w:color w:val="000000"/>
                <w:sz w:val="24"/>
              </w:rPr>
            </w:pPr>
            <w:r>
              <w:rPr>
                <w:rStyle w:val="375"/>
                <w:rFonts w:ascii="宋体" w:hAnsi="宋体" w:eastAsia="宋体" w:cs="宋体"/>
                <w:sz w:val="24"/>
                <w:szCs w:val="24"/>
                <w:lang w:bidi="ar"/>
              </w:rPr>
              <w:t>短链氯化石蜡（</w:t>
            </w:r>
            <w:r>
              <w:rPr>
                <w:rStyle w:val="146"/>
                <w:rFonts w:ascii="宋体" w:hAnsi="宋体" w:eastAsia="宋体" w:cs="宋体"/>
                <w:sz w:val="24"/>
                <w:szCs w:val="24"/>
                <w:lang w:bidi="ar"/>
              </w:rPr>
              <w:t>C</w:t>
            </w:r>
            <w:r>
              <w:rPr>
                <w:rStyle w:val="289"/>
                <w:rFonts w:hint="eastAsia" w:ascii="宋体" w:hAnsi="宋体" w:eastAsia="宋体" w:cs="宋体"/>
                <w:sz w:val="24"/>
                <w:szCs w:val="24"/>
                <w:lang w:bidi="ar"/>
              </w:rPr>
              <w:t>10</w:t>
            </w:r>
            <w:r>
              <w:rPr>
                <w:rStyle w:val="146"/>
                <w:rFonts w:ascii="宋体" w:hAnsi="宋体" w:eastAsia="宋体" w:cs="宋体"/>
                <w:sz w:val="24"/>
                <w:szCs w:val="24"/>
                <w:lang w:bidi="ar"/>
              </w:rPr>
              <w:t>-C</w:t>
            </w:r>
            <w:r>
              <w:rPr>
                <w:rStyle w:val="289"/>
                <w:rFonts w:hint="eastAsia" w:ascii="宋体" w:hAnsi="宋体" w:eastAsia="宋体" w:cs="宋体"/>
                <w:sz w:val="24"/>
                <w:szCs w:val="24"/>
                <w:lang w:bidi="ar"/>
              </w:rPr>
              <w:t>13</w:t>
            </w:r>
            <w:r>
              <w:rPr>
                <w:rStyle w:val="375"/>
                <w:rFonts w:ascii="宋体" w:hAnsi="宋体" w:eastAsia="宋体" w:cs="宋体"/>
                <w:sz w:val="24"/>
                <w:szCs w:val="24"/>
                <w:lang w:bidi="ar"/>
              </w:rPr>
              <w:t>）</w:t>
            </w:r>
            <w:r>
              <w:rPr>
                <w:rStyle w:val="146"/>
                <w:rFonts w:ascii="宋体" w:hAnsi="宋体" w:eastAsia="宋体" w:cs="宋体"/>
                <w:sz w:val="24"/>
                <w:szCs w:val="24"/>
                <w:lang w:bidi="ar"/>
              </w:rPr>
              <w:t>/</w:t>
            </w:r>
            <w:r>
              <w:rPr>
                <w:rStyle w:val="375"/>
                <w:rFonts w:ascii="宋体" w:hAnsi="宋体" w:eastAsia="宋体" w:cs="宋体"/>
                <w:sz w:val="24"/>
                <w:szCs w:val="24"/>
                <w:lang w:bidi="ar"/>
              </w:rPr>
              <w:t>（</w:t>
            </w:r>
            <w:r>
              <w:rPr>
                <w:rStyle w:val="146"/>
                <w:rFonts w:ascii="宋体" w:hAnsi="宋体" w:eastAsia="宋体" w:cs="宋体"/>
                <w:sz w:val="24"/>
                <w:szCs w:val="24"/>
                <w:lang w:bidi="ar"/>
              </w:rPr>
              <w:t>g/kg</w:t>
            </w:r>
            <w:r>
              <w:rPr>
                <w:rStyle w:val="375"/>
                <w:rFonts w:ascii="宋体" w:hAnsi="宋体" w:eastAsia="宋体" w:cs="宋体"/>
                <w:sz w:val="24"/>
                <w:szCs w:val="24"/>
                <w:lang w:bidi="ar"/>
              </w:rPr>
              <w:t>）</w:t>
            </w:r>
          </w:p>
        </w:tc>
        <w:tc>
          <w:tcPr>
            <w:tcW w:w="1013" w:type="pct"/>
            <w:tcBorders>
              <w:top w:val="single" w:color="000000" w:sz="4" w:space="0"/>
              <w:left w:val="single" w:color="000000" w:sz="4" w:space="0"/>
              <w:bottom w:val="single" w:color="000000" w:sz="4" w:space="0"/>
              <w:right w:val="single" w:color="000000" w:sz="4" w:space="0"/>
            </w:tcBorders>
            <w:vAlign w:val="center"/>
          </w:tcPr>
          <w:p w14:paraId="453EF3B7">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≤1.5</w:t>
            </w:r>
          </w:p>
        </w:tc>
      </w:tr>
      <w:tr w14:paraId="39B45D4E">
        <w:tblPrEx>
          <w:tblCellMar>
            <w:top w:w="0" w:type="dxa"/>
            <w:left w:w="108" w:type="dxa"/>
            <w:bottom w:w="0" w:type="dxa"/>
            <w:right w:w="108" w:type="dxa"/>
          </w:tblCellMar>
        </w:tblPrEx>
        <w:trPr>
          <w:trHeight w:val="530"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79349EB4">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4E053B3B">
            <w:pPr>
              <w:widowControl/>
              <w:adjustRightInd/>
              <w:jc w:val="center"/>
              <w:textAlignment w:val="center"/>
              <w:rPr>
                <w:rFonts w:ascii="宋体" w:hAnsi="宋体" w:cs="宋体"/>
                <w:color w:val="000000"/>
                <w:sz w:val="24"/>
              </w:rPr>
            </w:pPr>
            <w:r>
              <w:rPr>
                <w:rStyle w:val="375"/>
                <w:rFonts w:ascii="宋体" w:hAnsi="宋体" w:eastAsia="宋体" w:cs="宋体"/>
                <w:sz w:val="24"/>
                <w:szCs w:val="24"/>
                <w:lang w:bidi="ar"/>
              </w:rPr>
              <w:t>挥发性有机化合物</w:t>
            </w:r>
            <w:r>
              <w:rPr>
                <w:rStyle w:val="146"/>
                <w:rFonts w:ascii="宋体" w:hAnsi="宋体" w:eastAsia="宋体" w:cs="宋体"/>
                <w:sz w:val="24"/>
                <w:szCs w:val="24"/>
                <w:lang w:bidi="ar"/>
              </w:rPr>
              <w:t>/</w:t>
            </w:r>
            <w:r>
              <w:rPr>
                <w:rStyle w:val="375"/>
                <w:rFonts w:ascii="宋体" w:hAnsi="宋体" w:eastAsia="宋体" w:cs="宋体"/>
                <w:sz w:val="24"/>
                <w:szCs w:val="24"/>
                <w:lang w:bidi="ar"/>
              </w:rPr>
              <w:t>（</w:t>
            </w:r>
            <w:r>
              <w:rPr>
                <w:rStyle w:val="146"/>
                <w:rFonts w:ascii="宋体" w:hAnsi="宋体" w:eastAsia="宋体" w:cs="宋体"/>
                <w:sz w:val="24"/>
                <w:szCs w:val="24"/>
                <w:lang w:bidi="ar"/>
              </w:rPr>
              <w:t>g/L</w:t>
            </w:r>
            <w:r>
              <w:rPr>
                <w:rStyle w:val="375"/>
                <w:rFonts w:ascii="宋体" w:hAnsi="宋体" w:eastAsia="宋体" w:cs="宋体"/>
                <w:sz w:val="24"/>
                <w:szCs w:val="24"/>
                <w:lang w:bidi="ar"/>
              </w:rPr>
              <w:t>）</w:t>
            </w:r>
          </w:p>
        </w:tc>
        <w:tc>
          <w:tcPr>
            <w:tcW w:w="1013" w:type="pct"/>
            <w:tcBorders>
              <w:top w:val="single" w:color="000000" w:sz="4" w:space="0"/>
              <w:left w:val="single" w:color="000000" w:sz="4" w:space="0"/>
              <w:bottom w:val="single" w:color="000000" w:sz="4" w:space="0"/>
              <w:right w:val="single" w:color="000000" w:sz="4" w:space="0"/>
            </w:tcBorders>
            <w:vAlign w:val="center"/>
          </w:tcPr>
          <w:p w14:paraId="26A72217">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≤50</w:t>
            </w:r>
          </w:p>
        </w:tc>
      </w:tr>
      <w:tr w14:paraId="4CFF07C1">
        <w:tblPrEx>
          <w:tblCellMar>
            <w:top w:w="0" w:type="dxa"/>
            <w:left w:w="108" w:type="dxa"/>
            <w:bottom w:w="0" w:type="dxa"/>
            <w:right w:w="108" w:type="dxa"/>
          </w:tblCellMar>
        </w:tblPrEx>
        <w:trPr>
          <w:trHeight w:val="499"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35D06500">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581E058D">
            <w:pPr>
              <w:widowControl/>
              <w:adjustRightInd/>
              <w:jc w:val="center"/>
              <w:textAlignment w:val="center"/>
              <w:rPr>
                <w:rFonts w:ascii="宋体" w:hAnsi="宋体" w:cs="宋体"/>
                <w:color w:val="000000"/>
                <w:sz w:val="24"/>
              </w:rPr>
            </w:pPr>
            <w:r>
              <w:rPr>
                <w:rStyle w:val="375"/>
                <w:rFonts w:ascii="宋体" w:hAnsi="宋体" w:eastAsia="宋体" w:cs="宋体"/>
                <w:sz w:val="24"/>
                <w:szCs w:val="24"/>
                <w:lang w:bidi="ar"/>
              </w:rPr>
              <w:t>游离甲醛</w:t>
            </w:r>
            <w:r>
              <w:rPr>
                <w:rStyle w:val="146"/>
                <w:rFonts w:ascii="宋体" w:hAnsi="宋体" w:eastAsia="宋体" w:cs="宋体"/>
                <w:sz w:val="24"/>
                <w:szCs w:val="24"/>
                <w:lang w:bidi="ar"/>
              </w:rPr>
              <w:t>/</w:t>
            </w:r>
            <w:r>
              <w:rPr>
                <w:rStyle w:val="375"/>
                <w:rFonts w:ascii="宋体" w:hAnsi="宋体" w:eastAsia="宋体" w:cs="宋体"/>
                <w:sz w:val="24"/>
                <w:szCs w:val="24"/>
                <w:lang w:bidi="ar"/>
              </w:rPr>
              <w:t>（</w:t>
            </w:r>
            <w:r>
              <w:rPr>
                <w:rStyle w:val="146"/>
                <w:rFonts w:ascii="宋体" w:hAnsi="宋体" w:eastAsia="宋体" w:cs="宋体"/>
                <w:sz w:val="24"/>
                <w:szCs w:val="24"/>
                <w:lang w:bidi="ar"/>
              </w:rPr>
              <w:t>g/kg</w:t>
            </w:r>
            <w:r>
              <w:rPr>
                <w:rStyle w:val="375"/>
                <w:rFonts w:ascii="宋体" w:hAnsi="宋体" w:eastAsia="宋体" w:cs="宋体"/>
                <w:sz w:val="24"/>
                <w:szCs w:val="24"/>
                <w:lang w:bidi="ar"/>
              </w:rPr>
              <w:t>）</w:t>
            </w:r>
          </w:p>
        </w:tc>
        <w:tc>
          <w:tcPr>
            <w:tcW w:w="1013" w:type="pct"/>
            <w:tcBorders>
              <w:top w:val="single" w:color="000000" w:sz="4" w:space="0"/>
              <w:left w:val="single" w:color="000000" w:sz="4" w:space="0"/>
              <w:bottom w:val="single" w:color="000000" w:sz="4" w:space="0"/>
              <w:right w:val="single" w:color="000000" w:sz="4" w:space="0"/>
            </w:tcBorders>
            <w:vAlign w:val="center"/>
          </w:tcPr>
          <w:p w14:paraId="5CB07439">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≤0.50</w:t>
            </w:r>
          </w:p>
        </w:tc>
      </w:tr>
      <w:tr w14:paraId="1E33CCAE">
        <w:tblPrEx>
          <w:tblCellMar>
            <w:top w:w="0" w:type="dxa"/>
            <w:left w:w="108" w:type="dxa"/>
            <w:bottom w:w="0" w:type="dxa"/>
            <w:right w:w="108" w:type="dxa"/>
          </w:tblCellMar>
        </w:tblPrEx>
        <w:trPr>
          <w:trHeight w:val="499"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06ECB6BE">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294A88A9">
            <w:pPr>
              <w:widowControl/>
              <w:adjustRightInd/>
              <w:jc w:val="center"/>
              <w:textAlignment w:val="center"/>
              <w:rPr>
                <w:rFonts w:ascii="宋体" w:hAnsi="宋体" w:cs="宋体"/>
                <w:color w:val="000000"/>
                <w:sz w:val="24"/>
              </w:rPr>
            </w:pPr>
            <w:r>
              <w:rPr>
                <w:rStyle w:val="375"/>
                <w:rFonts w:ascii="宋体" w:hAnsi="宋体" w:eastAsia="宋体" w:cs="宋体"/>
                <w:sz w:val="24"/>
                <w:szCs w:val="24"/>
                <w:lang w:bidi="ar"/>
              </w:rPr>
              <w:t>苯</w:t>
            </w:r>
            <w:r>
              <w:rPr>
                <w:rStyle w:val="146"/>
                <w:rFonts w:ascii="宋体" w:hAnsi="宋体" w:eastAsia="宋体" w:cs="宋体"/>
                <w:sz w:val="24"/>
                <w:szCs w:val="24"/>
                <w:lang w:bidi="ar"/>
              </w:rPr>
              <w:t>/</w:t>
            </w:r>
            <w:r>
              <w:rPr>
                <w:rStyle w:val="375"/>
                <w:rFonts w:ascii="宋体" w:hAnsi="宋体" w:eastAsia="宋体" w:cs="宋体"/>
                <w:sz w:val="24"/>
                <w:szCs w:val="24"/>
                <w:lang w:bidi="ar"/>
              </w:rPr>
              <w:t>（</w:t>
            </w:r>
            <w:r>
              <w:rPr>
                <w:rStyle w:val="146"/>
                <w:rFonts w:ascii="宋体" w:hAnsi="宋体" w:eastAsia="宋体" w:cs="宋体"/>
                <w:sz w:val="24"/>
                <w:szCs w:val="24"/>
                <w:lang w:bidi="ar"/>
              </w:rPr>
              <w:t>g/kg</w:t>
            </w:r>
            <w:r>
              <w:rPr>
                <w:rStyle w:val="375"/>
                <w:rFonts w:ascii="宋体" w:hAnsi="宋体" w:eastAsia="宋体" w:cs="宋体"/>
                <w:sz w:val="24"/>
                <w:szCs w:val="24"/>
                <w:lang w:bidi="ar"/>
              </w:rPr>
              <w:t>）</w:t>
            </w:r>
          </w:p>
        </w:tc>
        <w:tc>
          <w:tcPr>
            <w:tcW w:w="1013" w:type="pct"/>
            <w:tcBorders>
              <w:top w:val="single" w:color="000000" w:sz="4" w:space="0"/>
              <w:left w:val="single" w:color="000000" w:sz="4" w:space="0"/>
              <w:bottom w:val="single" w:color="000000" w:sz="4" w:space="0"/>
              <w:right w:val="single" w:color="000000" w:sz="4" w:space="0"/>
            </w:tcBorders>
            <w:vAlign w:val="center"/>
          </w:tcPr>
          <w:p w14:paraId="44A4763E">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≤0.05</w:t>
            </w:r>
          </w:p>
        </w:tc>
      </w:tr>
      <w:tr w14:paraId="1837E1F1">
        <w:tblPrEx>
          <w:tblCellMar>
            <w:top w:w="0" w:type="dxa"/>
            <w:left w:w="108" w:type="dxa"/>
            <w:bottom w:w="0" w:type="dxa"/>
            <w:right w:w="108" w:type="dxa"/>
          </w:tblCellMar>
        </w:tblPrEx>
        <w:trPr>
          <w:trHeight w:val="499"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14C6AA56">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27FCB780">
            <w:pPr>
              <w:widowControl/>
              <w:adjustRightInd/>
              <w:jc w:val="center"/>
              <w:textAlignment w:val="center"/>
              <w:rPr>
                <w:rFonts w:ascii="宋体" w:hAnsi="宋体" w:cs="宋体"/>
                <w:color w:val="000000"/>
                <w:sz w:val="24"/>
              </w:rPr>
            </w:pPr>
            <w:r>
              <w:rPr>
                <w:rStyle w:val="375"/>
                <w:rFonts w:ascii="宋体" w:hAnsi="宋体" w:eastAsia="宋体" w:cs="宋体"/>
                <w:sz w:val="24"/>
                <w:szCs w:val="24"/>
                <w:lang w:bidi="ar"/>
              </w:rPr>
              <w:t>甲苯、二甲苯和乙苯总和</w:t>
            </w:r>
            <w:r>
              <w:rPr>
                <w:rStyle w:val="146"/>
                <w:rFonts w:ascii="宋体" w:hAnsi="宋体" w:eastAsia="宋体" w:cs="宋体"/>
                <w:sz w:val="24"/>
                <w:szCs w:val="24"/>
                <w:lang w:bidi="ar"/>
              </w:rPr>
              <w:t>/</w:t>
            </w:r>
            <w:r>
              <w:rPr>
                <w:rStyle w:val="375"/>
                <w:rFonts w:ascii="宋体" w:hAnsi="宋体" w:eastAsia="宋体" w:cs="宋体"/>
                <w:sz w:val="24"/>
                <w:szCs w:val="24"/>
                <w:lang w:bidi="ar"/>
              </w:rPr>
              <w:t>（</w:t>
            </w:r>
            <w:r>
              <w:rPr>
                <w:rStyle w:val="146"/>
                <w:rFonts w:ascii="宋体" w:hAnsi="宋体" w:eastAsia="宋体" w:cs="宋体"/>
                <w:sz w:val="24"/>
                <w:szCs w:val="24"/>
                <w:lang w:bidi="ar"/>
              </w:rPr>
              <w:t>g/kg</w:t>
            </w:r>
            <w:r>
              <w:rPr>
                <w:rStyle w:val="375"/>
                <w:rFonts w:ascii="宋体" w:hAnsi="宋体" w:eastAsia="宋体" w:cs="宋体"/>
                <w:sz w:val="24"/>
                <w:szCs w:val="24"/>
                <w:lang w:bidi="ar"/>
              </w:rPr>
              <w:t>）</w:t>
            </w:r>
          </w:p>
        </w:tc>
        <w:tc>
          <w:tcPr>
            <w:tcW w:w="1013" w:type="pct"/>
            <w:tcBorders>
              <w:top w:val="single" w:color="000000" w:sz="4" w:space="0"/>
              <w:left w:val="single" w:color="000000" w:sz="4" w:space="0"/>
              <w:bottom w:val="single" w:color="000000" w:sz="4" w:space="0"/>
              <w:right w:val="single" w:color="000000" w:sz="4" w:space="0"/>
            </w:tcBorders>
            <w:vAlign w:val="center"/>
          </w:tcPr>
          <w:p w14:paraId="47DCF635">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713862DA">
        <w:tblPrEx>
          <w:tblCellMar>
            <w:top w:w="0" w:type="dxa"/>
            <w:left w:w="108" w:type="dxa"/>
            <w:bottom w:w="0" w:type="dxa"/>
            <w:right w:w="108" w:type="dxa"/>
          </w:tblCellMar>
        </w:tblPrEx>
        <w:trPr>
          <w:trHeight w:val="499"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479A6167">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60DA907B">
            <w:pPr>
              <w:widowControl/>
              <w:adjustRightInd/>
              <w:jc w:val="center"/>
              <w:textAlignment w:val="center"/>
              <w:rPr>
                <w:rFonts w:ascii="宋体" w:hAnsi="宋体" w:cs="宋体"/>
                <w:color w:val="000000"/>
                <w:sz w:val="24"/>
              </w:rPr>
            </w:pPr>
            <w:r>
              <w:rPr>
                <w:rStyle w:val="375"/>
                <w:rFonts w:ascii="宋体" w:hAnsi="宋体" w:eastAsia="宋体" w:cs="宋体"/>
                <w:sz w:val="24"/>
                <w:szCs w:val="24"/>
                <w:lang w:bidi="ar"/>
              </w:rPr>
              <w:t>可溶性铅</w:t>
            </w:r>
            <w:r>
              <w:rPr>
                <w:rStyle w:val="146"/>
                <w:rFonts w:ascii="宋体" w:hAnsi="宋体" w:eastAsia="宋体" w:cs="宋体"/>
                <w:sz w:val="24"/>
                <w:szCs w:val="24"/>
                <w:lang w:bidi="ar"/>
              </w:rPr>
              <w:t xml:space="preserve"> /(mg/kg)</w:t>
            </w:r>
          </w:p>
        </w:tc>
        <w:tc>
          <w:tcPr>
            <w:tcW w:w="1013" w:type="pct"/>
            <w:tcBorders>
              <w:top w:val="single" w:color="000000" w:sz="4" w:space="0"/>
              <w:left w:val="single" w:color="000000" w:sz="4" w:space="0"/>
              <w:bottom w:val="single" w:color="000000" w:sz="4" w:space="0"/>
              <w:right w:val="single" w:color="000000" w:sz="4" w:space="0"/>
            </w:tcBorders>
            <w:vAlign w:val="center"/>
          </w:tcPr>
          <w:p w14:paraId="375C140F">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≤50</w:t>
            </w:r>
          </w:p>
        </w:tc>
      </w:tr>
      <w:tr w14:paraId="538C2804">
        <w:tblPrEx>
          <w:tblCellMar>
            <w:top w:w="0" w:type="dxa"/>
            <w:left w:w="108" w:type="dxa"/>
            <w:bottom w:w="0" w:type="dxa"/>
            <w:right w:w="108" w:type="dxa"/>
          </w:tblCellMar>
        </w:tblPrEx>
        <w:trPr>
          <w:trHeight w:val="499"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20162FCB">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10D2B8C4">
            <w:pPr>
              <w:widowControl/>
              <w:adjustRightInd/>
              <w:jc w:val="center"/>
              <w:textAlignment w:val="center"/>
              <w:rPr>
                <w:rFonts w:ascii="宋体" w:hAnsi="宋体" w:cs="宋体"/>
                <w:color w:val="000000"/>
                <w:sz w:val="24"/>
              </w:rPr>
            </w:pPr>
            <w:r>
              <w:rPr>
                <w:rStyle w:val="375"/>
                <w:rFonts w:ascii="宋体" w:hAnsi="宋体" w:eastAsia="宋体" w:cs="宋体"/>
                <w:sz w:val="24"/>
                <w:szCs w:val="24"/>
                <w:lang w:bidi="ar"/>
              </w:rPr>
              <w:t>可溶性镉</w:t>
            </w:r>
            <w:r>
              <w:rPr>
                <w:rStyle w:val="146"/>
                <w:rFonts w:ascii="宋体" w:hAnsi="宋体" w:eastAsia="宋体" w:cs="宋体"/>
                <w:sz w:val="24"/>
                <w:szCs w:val="24"/>
                <w:lang w:bidi="ar"/>
              </w:rPr>
              <w:t xml:space="preserve"> /(mg/kg)</w:t>
            </w:r>
          </w:p>
        </w:tc>
        <w:tc>
          <w:tcPr>
            <w:tcW w:w="1013" w:type="pct"/>
            <w:tcBorders>
              <w:top w:val="single" w:color="000000" w:sz="4" w:space="0"/>
              <w:left w:val="single" w:color="000000" w:sz="4" w:space="0"/>
              <w:bottom w:val="single" w:color="000000" w:sz="4" w:space="0"/>
              <w:right w:val="single" w:color="000000" w:sz="4" w:space="0"/>
            </w:tcBorders>
            <w:vAlign w:val="center"/>
          </w:tcPr>
          <w:p w14:paraId="5CBCB98F">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3C7ED9D3">
        <w:tblPrEx>
          <w:tblCellMar>
            <w:top w:w="0" w:type="dxa"/>
            <w:left w:w="108" w:type="dxa"/>
            <w:bottom w:w="0" w:type="dxa"/>
            <w:right w:w="108" w:type="dxa"/>
          </w:tblCellMar>
        </w:tblPrEx>
        <w:trPr>
          <w:trHeight w:val="499"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6F02DE9C">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6AA35673">
            <w:pPr>
              <w:widowControl/>
              <w:adjustRightInd/>
              <w:jc w:val="center"/>
              <w:textAlignment w:val="center"/>
              <w:rPr>
                <w:rFonts w:ascii="宋体" w:hAnsi="宋体" w:cs="宋体"/>
                <w:color w:val="000000"/>
                <w:sz w:val="24"/>
              </w:rPr>
            </w:pPr>
            <w:r>
              <w:rPr>
                <w:rStyle w:val="375"/>
                <w:rFonts w:ascii="宋体" w:hAnsi="宋体" w:eastAsia="宋体" w:cs="宋体"/>
                <w:sz w:val="24"/>
                <w:szCs w:val="24"/>
                <w:lang w:bidi="ar"/>
              </w:rPr>
              <w:t>可溶性铬</w:t>
            </w:r>
            <w:r>
              <w:rPr>
                <w:rStyle w:val="146"/>
                <w:rFonts w:ascii="宋体" w:hAnsi="宋体" w:eastAsia="宋体" w:cs="宋体"/>
                <w:sz w:val="24"/>
                <w:szCs w:val="24"/>
                <w:lang w:bidi="ar"/>
              </w:rPr>
              <w:t xml:space="preserve"> /(mg/kg)</w:t>
            </w:r>
          </w:p>
        </w:tc>
        <w:tc>
          <w:tcPr>
            <w:tcW w:w="1013" w:type="pct"/>
            <w:tcBorders>
              <w:top w:val="single" w:color="000000" w:sz="4" w:space="0"/>
              <w:left w:val="single" w:color="000000" w:sz="4" w:space="0"/>
              <w:bottom w:val="single" w:color="000000" w:sz="4" w:space="0"/>
              <w:right w:val="single" w:color="000000" w:sz="4" w:space="0"/>
            </w:tcBorders>
            <w:vAlign w:val="center"/>
          </w:tcPr>
          <w:p w14:paraId="36A650A3">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47C463EC">
        <w:tblPrEx>
          <w:tblCellMar>
            <w:top w:w="0" w:type="dxa"/>
            <w:left w:w="108" w:type="dxa"/>
            <w:bottom w:w="0" w:type="dxa"/>
            <w:right w:w="108" w:type="dxa"/>
          </w:tblCellMar>
        </w:tblPrEx>
        <w:trPr>
          <w:trHeight w:val="528"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248E8D55">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698CA05A">
            <w:pPr>
              <w:widowControl/>
              <w:adjustRightInd/>
              <w:jc w:val="center"/>
              <w:textAlignment w:val="center"/>
              <w:rPr>
                <w:rFonts w:ascii="宋体" w:hAnsi="宋体" w:cs="宋体"/>
                <w:color w:val="000000"/>
                <w:sz w:val="24"/>
              </w:rPr>
            </w:pPr>
            <w:r>
              <w:rPr>
                <w:rStyle w:val="375"/>
                <w:rFonts w:ascii="宋体" w:hAnsi="宋体" w:eastAsia="宋体" w:cs="宋体"/>
                <w:sz w:val="24"/>
                <w:szCs w:val="24"/>
                <w:lang w:bidi="ar"/>
              </w:rPr>
              <w:t>可溶性汞</w:t>
            </w:r>
            <w:r>
              <w:rPr>
                <w:rStyle w:val="146"/>
                <w:rFonts w:ascii="宋体" w:hAnsi="宋体" w:eastAsia="宋体" w:cs="宋体"/>
                <w:sz w:val="24"/>
                <w:szCs w:val="24"/>
                <w:lang w:bidi="ar"/>
              </w:rPr>
              <w:t xml:space="preserve"> /(mg/kg)</w:t>
            </w:r>
          </w:p>
        </w:tc>
        <w:tc>
          <w:tcPr>
            <w:tcW w:w="1013" w:type="pct"/>
            <w:tcBorders>
              <w:top w:val="single" w:color="000000" w:sz="4" w:space="0"/>
              <w:left w:val="single" w:color="000000" w:sz="4" w:space="0"/>
              <w:bottom w:val="single" w:color="000000" w:sz="4" w:space="0"/>
              <w:right w:val="single" w:color="000000" w:sz="4" w:space="0"/>
            </w:tcBorders>
            <w:vAlign w:val="center"/>
          </w:tcPr>
          <w:p w14:paraId="6F73ED36">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≤2</w:t>
            </w:r>
          </w:p>
        </w:tc>
      </w:tr>
    </w:tbl>
    <w:p w14:paraId="4AEF5546">
      <w:pPr>
        <w:spacing w:line="360" w:lineRule="auto"/>
        <w:ind w:firstLine="420"/>
        <w:rPr>
          <w:rFonts w:ascii="宋体" w:hAnsi="宋体" w:cs="宋体"/>
          <w:sz w:val="24"/>
        </w:rPr>
      </w:pPr>
      <w:r>
        <w:rPr>
          <w:rFonts w:hint="eastAsia" w:ascii="宋体" w:hAnsi="宋体" w:cs="宋体"/>
          <w:sz w:val="24"/>
        </w:rPr>
        <w:t>2.透气自结纹型跑道面层符合GB36246-2018有害物质限量以及气味等级、物理性能、老化性能、无机填料全项型式要求。</w:t>
      </w:r>
    </w:p>
    <w:tbl>
      <w:tblPr>
        <w:tblStyle w:val="62"/>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71"/>
        <w:gridCol w:w="1536"/>
        <w:gridCol w:w="4194"/>
        <w:gridCol w:w="2360"/>
      </w:tblGrid>
      <w:tr w14:paraId="442235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3815" w:type="pct"/>
            <w:gridSpan w:val="3"/>
            <w:tcBorders>
              <w:tl2br w:val="nil"/>
              <w:tr2bl w:val="nil"/>
            </w:tcBorders>
            <w:vAlign w:val="center"/>
          </w:tcPr>
          <w:p w14:paraId="52FC4FEE">
            <w:pPr>
              <w:widowControl/>
              <w:jc w:val="center"/>
              <w:textAlignment w:val="center"/>
              <w:rPr>
                <w:rFonts w:ascii="宋体" w:hAnsi="宋体" w:cs="宋体"/>
                <w:b/>
                <w:bCs/>
                <w:color w:val="000000"/>
                <w:kern w:val="0"/>
                <w:sz w:val="24"/>
                <w:lang w:bidi="ar"/>
              </w:rPr>
            </w:pPr>
            <w:r>
              <w:rPr>
                <w:rFonts w:hint="eastAsia" w:ascii="宋体" w:hAnsi="宋体" w:cs="宋体"/>
                <w:b/>
                <w:bCs/>
                <w:color w:val="000000"/>
                <w:sz w:val="24"/>
              </w:rPr>
              <w:t>检测项目</w:t>
            </w:r>
          </w:p>
        </w:tc>
        <w:tc>
          <w:tcPr>
            <w:tcW w:w="1184" w:type="pct"/>
            <w:tcBorders>
              <w:tl2br w:val="nil"/>
              <w:tr2bl w:val="nil"/>
            </w:tcBorders>
            <w:vAlign w:val="center"/>
          </w:tcPr>
          <w:p w14:paraId="65F260A4">
            <w:pPr>
              <w:widowControl/>
              <w:jc w:val="center"/>
              <w:textAlignment w:val="center"/>
              <w:rPr>
                <w:rFonts w:ascii="宋体" w:hAnsi="宋体" w:cs="宋体"/>
                <w:color w:val="000000"/>
                <w:kern w:val="0"/>
                <w:sz w:val="24"/>
                <w:lang w:bidi="ar"/>
              </w:rPr>
            </w:pPr>
            <w:r>
              <w:rPr>
                <w:rFonts w:hint="eastAsia" w:ascii="宋体" w:hAnsi="宋体" w:cs="宋体"/>
                <w:b/>
                <w:bCs/>
                <w:color w:val="000000"/>
                <w:sz w:val="24"/>
              </w:rPr>
              <w:t>限量值要求</w:t>
            </w:r>
          </w:p>
        </w:tc>
      </w:tr>
      <w:tr w14:paraId="687A84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jc w:val="center"/>
        </w:trPr>
        <w:tc>
          <w:tcPr>
            <w:tcW w:w="939" w:type="pct"/>
            <w:vMerge w:val="restart"/>
            <w:tcBorders>
              <w:tl2br w:val="nil"/>
              <w:tr2bl w:val="nil"/>
            </w:tcBorders>
            <w:vAlign w:val="center"/>
          </w:tcPr>
          <w:p w14:paraId="69CBC3A9">
            <w:pPr>
              <w:jc w:val="center"/>
              <w:rPr>
                <w:rFonts w:ascii="宋体" w:hAnsi="宋体" w:cs="宋体"/>
                <w:color w:val="000000"/>
                <w:sz w:val="24"/>
              </w:rPr>
            </w:pPr>
            <w:r>
              <w:rPr>
                <w:rFonts w:hint="eastAsia" w:ascii="宋体" w:hAnsi="宋体" w:cs="宋体"/>
                <w:color w:val="000000"/>
                <w:sz w:val="24"/>
              </w:rPr>
              <w:t>物理性能</w:t>
            </w:r>
          </w:p>
        </w:tc>
        <w:tc>
          <w:tcPr>
            <w:tcW w:w="2876" w:type="pct"/>
            <w:gridSpan w:val="2"/>
            <w:tcBorders>
              <w:tl2br w:val="nil"/>
              <w:tr2bl w:val="nil"/>
            </w:tcBorders>
            <w:vAlign w:val="center"/>
          </w:tcPr>
          <w:p w14:paraId="1CA1D12E">
            <w:pPr>
              <w:widowControl/>
              <w:jc w:val="center"/>
              <w:textAlignment w:val="center"/>
              <w:rPr>
                <w:rFonts w:ascii="宋体" w:hAnsi="宋体" w:cs="宋体"/>
                <w:color w:val="000000"/>
                <w:sz w:val="24"/>
              </w:rPr>
            </w:pPr>
            <w:r>
              <w:rPr>
                <w:rFonts w:hint="eastAsia" w:ascii="宋体" w:hAnsi="宋体" w:cs="宋体"/>
                <w:color w:val="000000"/>
                <w:kern w:val="0"/>
                <w:sz w:val="24"/>
                <w:lang w:bidi="ar"/>
              </w:rPr>
              <w:t>冲击吸收/%</w:t>
            </w:r>
          </w:p>
        </w:tc>
        <w:tc>
          <w:tcPr>
            <w:tcW w:w="1184" w:type="pct"/>
            <w:tcBorders>
              <w:tl2br w:val="nil"/>
              <w:tr2bl w:val="nil"/>
            </w:tcBorders>
            <w:vAlign w:val="center"/>
          </w:tcPr>
          <w:p w14:paraId="1FBC36C1">
            <w:pPr>
              <w:widowControl/>
              <w:jc w:val="center"/>
              <w:textAlignment w:val="center"/>
              <w:rPr>
                <w:rFonts w:ascii="宋体" w:hAnsi="宋体" w:cs="宋体"/>
                <w:color w:val="000000"/>
                <w:sz w:val="24"/>
              </w:rPr>
            </w:pPr>
            <w:r>
              <w:rPr>
                <w:rFonts w:hint="eastAsia" w:ascii="宋体" w:hAnsi="宋体" w:cs="宋体"/>
                <w:color w:val="000000"/>
                <w:kern w:val="0"/>
                <w:sz w:val="24"/>
                <w:lang w:bidi="ar"/>
              </w:rPr>
              <w:t>35~50</w:t>
            </w:r>
          </w:p>
        </w:tc>
      </w:tr>
      <w:tr w14:paraId="7F0A39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445F835E">
            <w:pPr>
              <w:jc w:val="center"/>
              <w:rPr>
                <w:rFonts w:ascii="宋体" w:hAnsi="宋体" w:cs="宋体"/>
                <w:color w:val="000000"/>
                <w:sz w:val="24"/>
              </w:rPr>
            </w:pPr>
          </w:p>
        </w:tc>
        <w:tc>
          <w:tcPr>
            <w:tcW w:w="2876" w:type="pct"/>
            <w:gridSpan w:val="2"/>
            <w:tcBorders>
              <w:tl2br w:val="nil"/>
              <w:tr2bl w:val="nil"/>
            </w:tcBorders>
            <w:vAlign w:val="center"/>
          </w:tcPr>
          <w:p w14:paraId="1041AB87">
            <w:pPr>
              <w:widowControl/>
              <w:jc w:val="center"/>
              <w:textAlignment w:val="center"/>
              <w:rPr>
                <w:rFonts w:ascii="宋体" w:hAnsi="宋体" w:cs="宋体"/>
                <w:color w:val="000000"/>
                <w:sz w:val="24"/>
              </w:rPr>
            </w:pPr>
            <w:r>
              <w:rPr>
                <w:rFonts w:hint="eastAsia" w:ascii="宋体" w:hAnsi="宋体" w:cs="宋体"/>
                <w:color w:val="000000"/>
                <w:kern w:val="0"/>
                <w:sz w:val="24"/>
                <w:lang w:bidi="ar"/>
              </w:rPr>
              <w:t>垂直变形/mm</w:t>
            </w:r>
          </w:p>
        </w:tc>
        <w:tc>
          <w:tcPr>
            <w:tcW w:w="1184" w:type="pct"/>
            <w:tcBorders>
              <w:tl2br w:val="nil"/>
              <w:tr2bl w:val="nil"/>
            </w:tcBorders>
            <w:vAlign w:val="center"/>
          </w:tcPr>
          <w:p w14:paraId="09C21F6E">
            <w:pPr>
              <w:widowControl/>
              <w:jc w:val="center"/>
              <w:textAlignment w:val="center"/>
              <w:rPr>
                <w:rFonts w:ascii="宋体" w:hAnsi="宋体" w:cs="宋体"/>
                <w:color w:val="000000"/>
                <w:sz w:val="24"/>
              </w:rPr>
            </w:pPr>
            <w:r>
              <w:rPr>
                <w:rFonts w:hint="eastAsia" w:ascii="宋体" w:hAnsi="宋体" w:cs="宋体"/>
                <w:color w:val="000000"/>
                <w:kern w:val="0"/>
                <w:sz w:val="24"/>
                <w:lang w:bidi="ar"/>
              </w:rPr>
              <w:t>0.6~3.0</w:t>
            </w:r>
          </w:p>
        </w:tc>
      </w:tr>
      <w:tr w14:paraId="7D09B0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939" w:type="pct"/>
            <w:vMerge w:val="continue"/>
            <w:tcBorders>
              <w:tl2br w:val="nil"/>
              <w:tr2bl w:val="nil"/>
            </w:tcBorders>
            <w:vAlign w:val="center"/>
          </w:tcPr>
          <w:p w14:paraId="473C3F63">
            <w:pPr>
              <w:jc w:val="center"/>
              <w:rPr>
                <w:rFonts w:ascii="宋体" w:hAnsi="宋体" w:cs="宋体"/>
                <w:color w:val="000000"/>
                <w:sz w:val="24"/>
              </w:rPr>
            </w:pPr>
          </w:p>
        </w:tc>
        <w:tc>
          <w:tcPr>
            <w:tcW w:w="2876" w:type="pct"/>
            <w:gridSpan w:val="2"/>
            <w:tcBorders>
              <w:tl2br w:val="nil"/>
              <w:tr2bl w:val="nil"/>
            </w:tcBorders>
            <w:vAlign w:val="center"/>
          </w:tcPr>
          <w:p w14:paraId="04730F34">
            <w:pPr>
              <w:widowControl/>
              <w:jc w:val="center"/>
              <w:textAlignment w:val="center"/>
              <w:rPr>
                <w:rFonts w:ascii="宋体" w:hAnsi="宋体" w:cs="宋体"/>
                <w:color w:val="000000"/>
                <w:sz w:val="24"/>
              </w:rPr>
            </w:pPr>
            <w:r>
              <w:rPr>
                <w:rFonts w:hint="eastAsia" w:ascii="宋体" w:hAnsi="宋体" w:cs="宋体"/>
                <w:color w:val="000000"/>
                <w:kern w:val="0"/>
                <w:sz w:val="24"/>
                <w:lang w:bidi="ar"/>
              </w:rPr>
              <w:t>抗滑值（20℃）/BPN</w:t>
            </w:r>
          </w:p>
        </w:tc>
        <w:tc>
          <w:tcPr>
            <w:tcW w:w="1184" w:type="pct"/>
            <w:tcBorders>
              <w:tl2br w:val="nil"/>
              <w:tr2bl w:val="nil"/>
            </w:tcBorders>
            <w:vAlign w:val="center"/>
          </w:tcPr>
          <w:p w14:paraId="58A84314">
            <w:pPr>
              <w:widowControl/>
              <w:jc w:val="center"/>
              <w:textAlignment w:val="center"/>
              <w:rPr>
                <w:rFonts w:ascii="宋体" w:hAnsi="宋体" w:cs="宋体"/>
                <w:color w:val="000000"/>
                <w:sz w:val="24"/>
              </w:rPr>
            </w:pPr>
            <w:r>
              <w:rPr>
                <w:rFonts w:hint="eastAsia" w:ascii="宋体" w:hAnsi="宋体" w:cs="宋体"/>
                <w:color w:val="000000"/>
                <w:kern w:val="0"/>
                <w:sz w:val="24"/>
                <w:lang w:bidi="ar"/>
              </w:rPr>
              <w:t>≥47（湿测）</w:t>
            </w:r>
          </w:p>
        </w:tc>
      </w:tr>
      <w:tr w14:paraId="33B13A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70F5AA38">
            <w:pPr>
              <w:jc w:val="center"/>
              <w:rPr>
                <w:rFonts w:ascii="宋体" w:hAnsi="宋体" w:cs="宋体"/>
                <w:color w:val="000000"/>
                <w:sz w:val="24"/>
              </w:rPr>
            </w:pPr>
          </w:p>
        </w:tc>
        <w:tc>
          <w:tcPr>
            <w:tcW w:w="2876" w:type="pct"/>
            <w:gridSpan w:val="2"/>
            <w:tcBorders>
              <w:tl2br w:val="nil"/>
              <w:tr2bl w:val="nil"/>
            </w:tcBorders>
            <w:vAlign w:val="center"/>
          </w:tcPr>
          <w:p w14:paraId="1292962C">
            <w:pPr>
              <w:widowControl/>
              <w:jc w:val="center"/>
              <w:textAlignment w:val="center"/>
              <w:rPr>
                <w:rFonts w:ascii="宋体" w:hAnsi="宋体" w:cs="宋体"/>
                <w:color w:val="000000"/>
                <w:sz w:val="24"/>
              </w:rPr>
            </w:pPr>
            <w:r>
              <w:rPr>
                <w:rFonts w:hint="eastAsia" w:ascii="宋体" w:hAnsi="宋体" w:cs="宋体"/>
                <w:color w:val="000000"/>
                <w:kern w:val="0"/>
                <w:sz w:val="24"/>
                <w:lang w:bidi="ar"/>
              </w:rPr>
              <w:t>拉伸强度/MPa</w:t>
            </w:r>
          </w:p>
        </w:tc>
        <w:tc>
          <w:tcPr>
            <w:tcW w:w="1184" w:type="pct"/>
            <w:tcBorders>
              <w:tl2br w:val="nil"/>
              <w:tr2bl w:val="nil"/>
            </w:tcBorders>
            <w:vAlign w:val="center"/>
          </w:tcPr>
          <w:p w14:paraId="7EB3D85F">
            <w:pPr>
              <w:widowControl/>
              <w:jc w:val="center"/>
              <w:textAlignment w:val="center"/>
              <w:rPr>
                <w:rFonts w:ascii="宋体" w:hAnsi="宋体" w:cs="宋体"/>
                <w:color w:val="000000"/>
                <w:sz w:val="24"/>
              </w:rPr>
            </w:pPr>
            <w:r>
              <w:rPr>
                <w:rFonts w:hint="eastAsia" w:ascii="宋体" w:hAnsi="宋体" w:cs="宋体"/>
                <w:color w:val="000000"/>
                <w:kern w:val="0"/>
                <w:sz w:val="24"/>
                <w:lang w:bidi="ar"/>
              </w:rPr>
              <w:t>≥0.5</w:t>
            </w:r>
          </w:p>
        </w:tc>
      </w:tr>
      <w:tr w14:paraId="52A54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5FDDEA87">
            <w:pPr>
              <w:jc w:val="center"/>
              <w:rPr>
                <w:rFonts w:ascii="宋体" w:hAnsi="宋体" w:cs="宋体"/>
                <w:color w:val="000000"/>
                <w:sz w:val="24"/>
              </w:rPr>
            </w:pPr>
          </w:p>
        </w:tc>
        <w:tc>
          <w:tcPr>
            <w:tcW w:w="2876" w:type="pct"/>
            <w:gridSpan w:val="2"/>
            <w:tcBorders>
              <w:tl2br w:val="nil"/>
              <w:tr2bl w:val="nil"/>
            </w:tcBorders>
            <w:vAlign w:val="center"/>
          </w:tcPr>
          <w:p w14:paraId="654509A3">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拉断伸长率/%</w:t>
            </w:r>
          </w:p>
        </w:tc>
        <w:tc>
          <w:tcPr>
            <w:tcW w:w="1184" w:type="pct"/>
            <w:tcBorders>
              <w:tl2br w:val="nil"/>
              <w:tr2bl w:val="nil"/>
            </w:tcBorders>
            <w:vAlign w:val="center"/>
          </w:tcPr>
          <w:p w14:paraId="3907E1EE">
            <w:pPr>
              <w:widowControl/>
              <w:jc w:val="center"/>
              <w:textAlignment w:val="center"/>
              <w:rPr>
                <w:rFonts w:ascii="宋体" w:hAnsi="宋体" w:cs="宋体"/>
                <w:color w:val="000000"/>
                <w:sz w:val="24"/>
              </w:rPr>
            </w:pPr>
            <w:r>
              <w:rPr>
                <w:rFonts w:hint="eastAsia" w:ascii="宋体" w:hAnsi="宋体" w:cs="宋体"/>
                <w:color w:val="000000"/>
                <w:kern w:val="0"/>
                <w:sz w:val="24"/>
                <w:lang w:bidi="ar"/>
              </w:rPr>
              <w:t>≥40</w:t>
            </w:r>
          </w:p>
        </w:tc>
      </w:tr>
      <w:tr w14:paraId="38BE9F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60A63D50">
            <w:pPr>
              <w:jc w:val="center"/>
              <w:rPr>
                <w:rFonts w:ascii="宋体" w:hAnsi="宋体" w:cs="宋体"/>
                <w:color w:val="000000"/>
                <w:sz w:val="24"/>
              </w:rPr>
            </w:pPr>
          </w:p>
        </w:tc>
        <w:tc>
          <w:tcPr>
            <w:tcW w:w="2876" w:type="pct"/>
            <w:gridSpan w:val="2"/>
            <w:tcBorders>
              <w:tl2br w:val="nil"/>
              <w:tr2bl w:val="nil"/>
            </w:tcBorders>
            <w:vAlign w:val="center"/>
          </w:tcPr>
          <w:p w14:paraId="7A0D69C5">
            <w:pPr>
              <w:widowControl/>
              <w:jc w:val="center"/>
              <w:textAlignment w:val="center"/>
              <w:rPr>
                <w:rFonts w:ascii="宋体" w:hAnsi="宋体" w:cs="宋体"/>
                <w:color w:val="000000"/>
                <w:sz w:val="24"/>
              </w:rPr>
            </w:pPr>
            <w:r>
              <w:rPr>
                <w:rFonts w:hint="eastAsia" w:ascii="宋体" w:hAnsi="宋体" w:cs="宋体"/>
                <w:color w:val="000000"/>
                <w:kern w:val="0"/>
                <w:sz w:val="24"/>
                <w:lang w:bidi="ar"/>
              </w:rPr>
              <w:t>阻燃性能/级</w:t>
            </w:r>
          </w:p>
        </w:tc>
        <w:tc>
          <w:tcPr>
            <w:tcW w:w="1184" w:type="pct"/>
            <w:tcBorders>
              <w:tl2br w:val="nil"/>
              <w:tr2bl w:val="nil"/>
            </w:tcBorders>
            <w:vAlign w:val="center"/>
          </w:tcPr>
          <w:p w14:paraId="0C3808F6">
            <w:pPr>
              <w:widowControl/>
              <w:jc w:val="center"/>
              <w:textAlignment w:val="center"/>
              <w:rPr>
                <w:rFonts w:ascii="宋体" w:hAnsi="宋体" w:cs="宋体"/>
                <w:color w:val="000000"/>
                <w:sz w:val="24"/>
              </w:rPr>
            </w:pPr>
            <w:r>
              <w:rPr>
                <w:rFonts w:hint="eastAsia" w:ascii="宋体" w:hAnsi="宋体" w:cs="宋体"/>
                <w:color w:val="000000"/>
                <w:kern w:val="0"/>
                <w:sz w:val="24"/>
                <w:lang w:bidi="ar"/>
              </w:rPr>
              <w:t>I</w:t>
            </w:r>
          </w:p>
        </w:tc>
      </w:tr>
      <w:tr w14:paraId="07CFE4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59C96103">
            <w:pPr>
              <w:jc w:val="center"/>
              <w:rPr>
                <w:rFonts w:ascii="宋体" w:hAnsi="宋体" w:cs="宋体"/>
                <w:color w:val="000000"/>
                <w:sz w:val="24"/>
              </w:rPr>
            </w:pPr>
          </w:p>
        </w:tc>
        <w:tc>
          <w:tcPr>
            <w:tcW w:w="2876" w:type="pct"/>
            <w:gridSpan w:val="2"/>
            <w:tcBorders>
              <w:tl2br w:val="nil"/>
              <w:tr2bl w:val="nil"/>
            </w:tcBorders>
            <w:vAlign w:val="center"/>
          </w:tcPr>
          <w:p w14:paraId="760BF184">
            <w:pPr>
              <w:widowControl/>
              <w:jc w:val="center"/>
              <w:textAlignment w:val="center"/>
              <w:rPr>
                <w:rFonts w:ascii="宋体" w:hAnsi="宋体" w:cs="宋体"/>
                <w:color w:val="000000"/>
                <w:sz w:val="24"/>
              </w:rPr>
            </w:pPr>
            <w:r>
              <w:rPr>
                <w:rFonts w:hint="eastAsia" w:ascii="宋体" w:hAnsi="宋体" w:cs="宋体"/>
                <w:color w:val="000000"/>
                <w:kern w:val="0"/>
                <w:sz w:val="24"/>
                <w:lang w:bidi="ar"/>
              </w:rPr>
              <w:t>无机填料</w:t>
            </w:r>
          </w:p>
        </w:tc>
        <w:tc>
          <w:tcPr>
            <w:tcW w:w="1184" w:type="pct"/>
            <w:tcBorders>
              <w:tl2br w:val="nil"/>
              <w:tr2bl w:val="nil"/>
            </w:tcBorders>
            <w:vAlign w:val="center"/>
          </w:tcPr>
          <w:p w14:paraId="77598934">
            <w:pPr>
              <w:widowControl/>
              <w:jc w:val="center"/>
              <w:textAlignment w:val="center"/>
              <w:rPr>
                <w:rFonts w:ascii="宋体" w:hAnsi="宋体" w:cs="宋体"/>
                <w:color w:val="000000"/>
                <w:sz w:val="24"/>
              </w:rPr>
            </w:pPr>
            <w:r>
              <w:rPr>
                <w:rFonts w:hint="eastAsia" w:ascii="宋体" w:hAnsi="宋体" w:cs="宋体"/>
                <w:color w:val="000000"/>
                <w:kern w:val="0"/>
                <w:sz w:val="24"/>
                <w:lang w:bidi="ar"/>
              </w:rPr>
              <w:t>≤65%</w:t>
            </w:r>
          </w:p>
        </w:tc>
      </w:tr>
      <w:tr w14:paraId="78413A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 w:hRule="atLeast"/>
          <w:jc w:val="center"/>
        </w:trPr>
        <w:tc>
          <w:tcPr>
            <w:tcW w:w="939" w:type="pct"/>
            <w:vMerge w:val="restart"/>
            <w:tcBorders>
              <w:tl2br w:val="nil"/>
              <w:tr2bl w:val="nil"/>
            </w:tcBorders>
            <w:vAlign w:val="center"/>
          </w:tcPr>
          <w:p w14:paraId="3F9C623E">
            <w:pPr>
              <w:widowControl/>
              <w:jc w:val="center"/>
              <w:textAlignment w:val="center"/>
              <w:rPr>
                <w:rFonts w:ascii="宋体" w:hAnsi="宋体" w:cs="宋体"/>
                <w:color w:val="000000"/>
                <w:sz w:val="24"/>
              </w:rPr>
            </w:pPr>
            <w:r>
              <w:rPr>
                <w:rFonts w:hint="eastAsia" w:ascii="宋体" w:hAnsi="宋体" w:cs="宋体"/>
                <w:color w:val="000000"/>
                <w:kern w:val="0"/>
                <w:sz w:val="24"/>
                <w:lang w:bidi="ar"/>
              </w:rPr>
              <w:t>人工气候老化500h</w:t>
            </w:r>
          </w:p>
        </w:tc>
        <w:tc>
          <w:tcPr>
            <w:tcW w:w="2876" w:type="pct"/>
            <w:gridSpan w:val="2"/>
            <w:tcBorders>
              <w:tl2br w:val="nil"/>
              <w:tr2bl w:val="nil"/>
            </w:tcBorders>
            <w:vAlign w:val="center"/>
          </w:tcPr>
          <w:p w14:paraId="74344F6B">
            <w:pPr>
              <w:widowControl/>
              <w:jc w:val="center"/>
              <w:textAlignment w:val="center"/>
              <w:rPr>
                <w:rFonts w:ascii="宋体" w:hAnsi="宋体" w:cs="宋体"/>
                <w:color w:val="000000"/>
                <w:sz w:val="24"/>
              </w:rPr>
            </w:pPr>
            <w:r>
              <w:rPr>
                <w:rFonts w:hint="eastAsia" w:ascii="宋体" w:hAnsi="宋体" w:cs="宋体"/>
                <w:color w:val="000000"/>
                <w:kern w:val="0"/>
                <w:sz w:val="24"/>
                <w:lang w:bidi="ar"/>
              </w:rPr>
              <w:t>拉伸强度/MPa</w:t>
            </w:r>
          </w:p>
        </w:tc>
        <w:tc>
          <w:tcPr>
            <w:tcW w:w="1184" w:type="pct"/>
            <w:tcBorders>
              <w:tl2br w:val="nil"/>
              <w:tr2bl w:val="nil"/>
            </w:tcBorders>
            <w:vAlign w:val="center"/>
          </w:tcPr>
          <w:p w14:paraId="2B9A994E">
            <w:pPr>
              <w:widowControl/>
              <w:jc w:val="center"/>
              <w:textAlignment w:val="center"/>
              <w:rPr>
                <w:rFonts w:ascii="宋体" w:hAnsi="宋体" w:cs="宋体"/>
                <w:color w:val="000000"/>
                <w:sz w:val="24"/>
              </w:rPr>
            </w:pPr>
            <w:r>
              <w:rPr>
                <w:rFonts w:hint="eastAsia" w:ascii="宋体" w:hAnsi="宋体" w:cs="宋体"/>
                <w:color w:val="000000"/>
                <w:kern w:val="0"/>
                <w:sz w:val="24"/>
                <w:lang w:bidi="ar"/>
              </w:rPr>
              <w:t>≥0.5</w:t>
            </w:r>
          </w:p>
        </w:tc>
      </w:tr>
      <w:tr w14:paraId="7BFB3F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jc w:val="center"/>
        </w:trPr>
        <w:tc>
          <w:tcPr>
            <w:tcW w:w="939" w:type="pct"/>
            <w:vMerge w:val="continue"/>
            <w:tcBorders>
              <w:tl2br w:val="nil"/>
              <w:tr2bl w:val="nil"/>
            </w:tcBorders>
            <w:vAlign w:val="center"/>
          </w:tcPr>
          <w:p w14:paraId="1A407529">
            <w:pPr>
              <w:jc w:val="center"/>
              <w:rPr>
                <w:rFonts w:ascii="宋体" w:hAnsi="宋体" w:cs="宋体"/>
                <w:color w:val="000000"/>
                <w:sz w:val="24"/>
              </w:rPr>
            </w:pPr>
          </w:p>
        </w:tc>
        <w:tc>
          <w:tcPr>
            <w:tcW w:w="2876" w:type="pct"/>
            <w:gridSpan w:val="2"/>
            <w:tcBorders>
              <w:tl2br w:val="nil"/>
              <w:tr2bl w:val="nil"/>
            </w:tcBorders>
            <w:vAlign w:val="center"/>
          </w:tcPr>
          <w:p w14:paraId="75133732">
            <w:pPr>
              <w:widowControl/>
              <w:jc w:val="center"/>
              <w:textAlignment w:val="center"/>
              <w:rPr>
                <w:rFonts w:ascii="宋体" w:hAnsi="宋体" w:cs="宋体"/>
                <w:color w:val="000000"/>
                <w:sz w:val="24"/>
              </w:rPr>
            </w:pPr>
            <w:r>
              <w:rPr>
                <w:rFonts w:hint="eastAsia" w:ascii="宋体" w:hAnsi="宋体" w:cs="宋体"/>
                <w:color w:val="000000"/>
                <w:kern w:val="0"/>
                <w:sz w:val="24"/>
                <w:lang w:bidi="ar"/>
              </w:rPr>
              <w:t>拉断伸长率/%</w:t>
            </w:r>
          </w:p>
        </w:tc>
        <w:tc>
          <w:tcPr>
            <w:tcW w:w="1184" w:type="pct"/>
            <w:tcBorders>
              <w:tl2br w:val="nil"/>
              <w:tr2bl w:val="nil"/>
            </w:tcBorders>
            <w:vAlign w:val="center"/>
          </w:tcPr>
          <w:p w14:paraId="6EE4D7CB">
            <w:pPr>
              <w:widowControl/>
              <w:jc w:val="center"/>
              <w:textAlignment w:val="center"/>
              <w:rPr>
                <w:rFonts w:ascii="宋体" w:hAnsi="宋体" w:cs="宋体"/>
                <w:color w:val="000000"/>
                <w:sz w:val="24"/>
              </w:rPr>
            </w:pPr>
            <w:r>
              <w:rPr>
                <w:rFonts w:hint="eastAsia" w:ascii="宋体" w:hAnsi="宋体" w:cs="宋体"/>
                <w:color w:val="000000"/>
                <w:kern w:val="0"/>
                <w:sz w:val="24"/>
                <w:lang w:bidi="ar"/>
              </w:rPr>
              <w:t>≥40</w:t>
            </w:r>
          </w:p>
        </w:tc>
      </w:tr>
      <w:tr w14:paraId="22BC70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restart"/>
            <w:tcBorders>
              <w:tl2br w:val="nil"/>
              <w:tr2bl w:val="nil"/>
            </w:tcBorders>
            <w:vAlign w:val="center"/>
          </w:tcPr>
          <w:p w14:paraId="71CAB764">
            <w:pPr>
              <w:widowControl/>
              <w:jc w:val="center"/>
              <w:textAlignment w:val="center"/>
              <w:rPr>
                <w:rFonts w:ascii="宋体" w:hAnsi="宋体" w:cs="宋体"/>
                <w:color w:val="000000"/>
                <w:sz w:val="24"/>
              </w:rPr>
            </w:pPr>
            <w:r>
              <w:rPr>
                <w:rFonts w:hint="eastAsia" w:ascii="宋体" w:hAnsi="宋体" w:cs="宋体"/>
                <w:color w:val="000000"/>
                <w:kern w:val="0"/>
                <w:sz w:val="24"/>
                <w:lang w:bidi="ar"/>
              </w:rPr>
              <w:t>有害物质限量</w:t>
            </w:r>
          </w:p>
        </w:tc>
        <w:tc>
          <w:tcPr>
            <w:tcW w:w="771" w:type="pct"/>
            <w:vMerge w:val="restart"/>
            <w:tcBorders>
              <w:tl2br w:val="nil"/>
              <w:tr2bl w:val="nil"/>
            </w:tcBorders>
            <w:vAlign w:val="center"/>
          </w:tcPr>
          <w:p w14:paraId="4A25C6E1">
            <w:pPr>
              <w:widowControl/>
              <w:jc w:val="center"/>
              <w:textAlignment w:val="center"/>
              <w:rPr>
                <w:rFonts w:ascii="宋体" w:hAnsi="宋体" w:cs="宋体"/>
                <w:color w:val="000000"/>
                <w:sz w:val="24"/>
              </w:rPr>
            </w:pPr>
            <w:r>
              <w:rPr>
                <w:rFonts w:hint="eastAsia" w:ascii="宋体" w:hAnsi="宋体" w:cs="宋体"/>
                <w:color w:val="000000"/>
                <w:kern w:val="0"/>
                <w:sz w:val="24"/>
                <w:lang w:bidi="ar"/>
              </w:rPr>
              <w:t>有害物质含量</w:t>
            </w:r>
          </w:p>
        </w:tc>
        <w:tc>
          <w:tcPr>
            <w:tcW w:w="2104" w:type="pct"/>
            <w:tcBorders>
              <w:tl2br w:val="nil"/>
              <w:tr2bl w:val="nil"/>
            </w:tcBorders>
            <w:vAlign w:val="center"/>
          </w:tcPr>
          <w:p w14:paraId="206D9752">
            <w:pPr>
              <w:widowControl/>
              <w:jc w:val="center"/>
              <w:textAlignment w:val="center"/>
              <w:rPr>
                <w:rFonts w:ascii="宋体" w:hAnsi="宋体" w:cs="宋体"/>
                <w:color w:val="000000"/>
                <w:sz w:val="24"/>
              </w:rPr>
            </w:pPr>
            <w:r>
              <w:rPr>
                <w:rFonts w:hint="eastAsia" w:ascii="宋体" w:hAnsi="宋体" w:cs="宋体"/>
                <w:color w:val="000000"/>
                <w:kern w:val="0"/>
                <w:sz w:val="24"/>
                <w:lang w:bidi="ar"/>
              </w:rPr>
              <w:t>3种邻苯二甲酸酯类（DBP、BBP、DEHP）总和</w:t>
            </w:r>
            <w:r>
              <w:rPr>
                <w:rFonts w:hint="eastAsia" w:ascii="宋体" w:hAnsi="宋体" w:cs="宋体"/>
                <w:color w:val="000000"/>
                <w:kern w:val="0"/>
                <w:sz w:val="24"/>
                <w:vertAlign w:val="superscript"/>
                <w:lang w:bidi="ar"/>
              </w:rPr>
              <w:t>b</w:t>
            </w:r>
            <w:r>
              <w:rPr>
                <w:rFonts w:hint="eastAsia" w:ascii="宋体" w:hAnsi="宋体" w:cs="宋体"/>
                <w:color w:val="000000"/>
                <w:kern w:val="0"/>
                <w:sz w:val="24"/>
                <w:lang w:bidi="ar"/>
              </w:rPr>
              <w:t>/（g/kg）</w:t>
            </w:r>
          </w:p>
        </w:tc>
        <w:tc>
          <w:tcPr>
            <w:tcW w:w="1184" w:type="pct"/>
            <w:tcBorders>
              <w:tl2br w:val="nil"/>
              <w:tr2bl w:val="nil"/>
            </w:tcBorders>
            <w:vAlign w:val="center"/>
          </w:tcPr>
          <w:p w14:paraId="579A7DCC">
            <w:pPr>
              <w:widowControl/>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2835D1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2" w:hRule="atLeast"/>
          <w:jc w:val="center"/>
        </w:trPr>
        <w:tc>
          <w:tcPr>
            <w:tcW w:w="939" w:type="pct"/>
            <w:vMerge w:val="continue"/>
            <w:tcBorders>
              <w:tl2br w:val="nil"/>
              <w:tr2bl w:val="nil"/>
            </w:tcBorders>
            <w:vAlign w:val="center"/>
          </w:tcPr>
          <w:p w14:paraId="25515AC2">
            <w:pPr>
              <w:jc w:val="center"/>
              <w:rPr>
                <w:rFonts w:ascii="宋体" w:hAnsi="宋体" w:cs="宋体"/>
                <w:color w:val="000000"/>
                <w:sz w:val="24"/>
              </w:rPr>
            </w:pPr>
          </w:p>
        </w:tc>
        <w:tc>
          <w:tcPr>
            <w:tcW w:w="771" w:type="pct"/>
            <w:vMerge w:val="continue"/>
            <w:tcBorders>
              <w:tl2br w:val="nil"/>
              <w:tr2bl w:val="nil"/>
            </w:tcBorders>
            <w:vAlign w:val="center"/>
          </w:tcPr>
          <w:p w14:paraId="6C19F97B">
            <w:pPr>
              <w:jc w:val="center"/>
              <w:rPr>
                <w:rFonts w:ascii="宋体" w:hAnsi="宋体" w:cs="宋体"/>
                <w:color w:val="000000"/>
                <w:sz w:val="24"/>
              </w:rPr>
            </w:pPr>
          </w:p>
        </w:tc>
        <w:tc>
          <w:tcPr>
            <w:tcW w:w="2104" w:type="pct"/>
            <w:tcBorders>
              <w:tl2br w:val="nil"/>
              <w:tr2bl w:val="nil"/>
            </w:tcBorders>
            <w:vAlign w:val="center"/>
          </w:tcPr>
          <w:p w14:paraId="23438CEE">
            <w:pPr>
              <w:widowControl/>
              <w:jc w:val="center"/>
              <w:textAlignment w:val="center"/>
              <w:rPr>
                <w:rFonts w:ascii="宋体" w:hAnsi="宋体" w:cs="宋体"/>
                <w:color w:val="000000"/>
                <w:sz w:val="24"/>
              </w:rPr>
            </w:pPr>
            <w:r>
              <w:rPr>
                <w:rFonts w:hint="eastAsia" w:ascii="宋体" w:hAnsi="宋体" w:cs="宋体"/>
                <w:color w:val="000000"/>
                <w:kern w:val="0"/>
                <w:sz w:val="24"/>
                <w:lang w:bidi="ar"/>
              </w:rPr>
              <w:t>3种邻苯二甲酸酯类（DNOP、DINP、DIDP）总和</w:t>
            </w:r>
            <w:r>
              <w:rPr>
                <w:rFonts w:hint="eastAsia" w:ascii="宋体" w:hAnsi="宋体" w:cs="宋体"/>
                <w:color w:val="000000"/>
                <w:kern w:val="0"/>
                <w:sz w:val="24"/>
                <w:vertAlign w:val="superscript"/>
                <w:lang w:bidi="ar"/>
              </w:rPr>
              <w:t>b</w:t>
            </w:r>
            <w:r>
              <w:rPr>
                <w:rFonts w:hint="eastAsia" w:ascii="宋体" w:hAnsi="宋体" w:cs="宋体"/>
                <w:color w:val="000000"/>
                <w:kern w:val="0"/>
                <w:sz w:val="24"/>
                <w:lang w:bidi="ar"/>
              </w:rPr>
              <w:t>/（g/kg）</w:t>
            </w:r>
          </w:p>
        </w:tc>
        <w:tc>
          <w:tcPr>
            <w:tcW w:w="1184" w:type="pct"/>
            <w:tcBorders>
              <w:tl2br w:val="nil"/>
              <w:tr2bl w:val="nil"/>
            </w:tcBorders>
            <w:vAlign w:val="center"/>
          </w:tcPr>
          <w:p w14:paraId="4E797BB2">
            <w:pPr>
              <w:widowControl/>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1C50ED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32509E32">
            <w:pPr>
              <w:jc w:val="center"/>
              <w:rPr>
                <w:rFonts w:ascii="宋体" w:hAnsi="宋体" w:cs="宋体"/>
                <w:color w:val="000000"/>
                <w:sz w:val="24"/>
              </w:rPr>
            </w:pPr>
          </w:p>
        </w:tc>
        <w:tc>
          <w:tcPr>
            <w:tcW w:w="771" w:type="pct"/>
            <w:vMerge w:val="continue"/>
            <w:tcBorders>
              <w:tl2br w:val="nil"/>
              <w:tr2bl w:val="nil"/>
            </w:tcBorders>
            <w:vAlign w:val="center"/>
          </w:tcPr>
          <w:p w14:paraId="2224DC75">
            <w:pPr>
              <w:jc w:val="center"/>
              <w:rPr>
                <w:rFonts w:ascii="宋体" w:hAnsi="宋体" w:cs="宋体"/>
                <w:color w:val="000000"/>
                <w:sz w:val="24"/>
              </w:rPr>
            </w:pPr>
          </w:p>
        </w:tc>
        <w:tc>
          <w:tcPr>
            <w:tcW w:w="2104" w:type="pct"/>
            <w:vMerge w:val="restart"/>
            <w:tcBorders>
              <w:tl2br w:val="nil"/>
              <w:tr2bl w:val="nil"/>
            </w:tcBorders>
            <w:vAlign w:val="center"/>
          </w:tcPr>
          <w:p w14:paraId="1D735DBE">
            <w:pPr>
              <w:widowControl/>
              <w:jc w:val="center"/>
              <w:textAlignment w:val="center"/>
              <w:rPr>
                <w:rFonts w:ascii="宋体" w:hAnsi="宋体" w:cs="宋体"/>
                <w:color w:val="000000"/>
                <w:sz w:val="24"/>
              </w:rPr>
            </w:pPr>
            <w:r>
              <w:rPr>
                <w:rFonts w:hint="eastAsia" w:ascii="宋体" w:hAnsi="宋体" w:cs="宋体"/>
                <w:color w:val="000000"/>
                <w:kern w:val="0"/>
                <w:sz w:val="24"/>
                <w:lang w:bidi="ar"/>
              </w:rPr>
              <w:t>18种多环芳烃总和</w:t>
            </w:r>
            <w:r>
              <w:rPr>
                <w:rFonts w:hint="eastAsia" w:ascii="宋体" w:hAnsi="宋体" w:cs="宋体"/>
                <w:color w:val="000000"/>
                <w:kern w:val="0"/>
                <w:sz w:val="24"/>
                <w:vertAlign w:val="superscript"/>
                <w:lang w:bidi="ar"/>
              </w:rPr>
              <w:t>a</w:t>
            </w:r>
            <w:r>
              <w:rPr>
                <w:rFonts w:hint="eastAsia" w:ascii="宋体" w:hAnsi="宋体" w:cs="宋体"/>
                <w:color w:val="000000"/>
                <w:kern w:val="0"/>
                <w:sz w:val="24"/>
                <w:lang w:bidi="ar"/>
              </w:rPr>
              <w:t>/ (mg/kg)</w:t>
            </w:r>
          </w:p>
        </w:tc>
        <w:tc>
          <w:tcPr>
            <w:tcW w:w="1184" w:type="pct"/>
            <w:tcBorders>
              <w:tl2br w:val="nil"/>
              <w:tr2bl w:val="nil"/>
            </w:tcBorders>
            <w:vAlign w:val="center"/>
          </w:tcPr>
          <w:p w14:paraId="691FD44D">
            <w:pPr>
              <w:widowControl/>
              <w:jc w:val="center"/>
              <w:textAlignment w:val="center"/>
              <w:rPr>
                <w:rFonts w:ascii="宋体" w:hAnsi="宋体" w:cs="宋体"/>
                <w:color w:val="000000"/>
                <w:sz w:val="24"/>
              </w:rPr>
            </w:pPr>
            <w:r>
              <w:rPr>
                <w:rFonts w:hint="eastAsia" w:ascii="宋体" w:hAnsi="宋体" w:cs="宋体"/>
                <w:color w:val="000000"/>
                <w:kern w:val="0"/>
                <w:sz w:val="24"/>
                <w:lang w:bidi="ar"/>
              </w:rPr>
              <w:t>≤50</w:t>
            </w:r>
          </w:p>
        </w:tc>
      </w:tr>
      <w:tr w14:paraId="202558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06888FAA">
            <w:pPr>
              <w:jc w:val="center"/>
              <w:rPr>
                <w:rFonts w:ascii="宋体" w:hAnsi="宋体" w:cs="宋体"/>
                <w:color w:val="000000"/>
                <w:sz w:val="24"/>
              </w:rPr>
            </w:pPr>
          </w:p>
        </w:tc>
        <w:tc>
          <w:tcPr>
            <w:tcW w:w="771" w:type="pct"/>
            <w:vMerge w:val="continue"/>
            <w:tcBorders>
              <w:tl2br w:val="nil"/>
              <w:tr2bl w:val="nil"/>
            </w:tcBorders>
            <w:vAlign w:val="center"/>
          </w:tcPr>
          <w:p w14:paraId="6920E61D">
            <w:pPr>
              <w:jc w:val="center"/>
              <w:rPr>
                <w:rFonts w:ascii="宋体" w:hAnsi="宋体" w:cs="宋体"/>
                <w:color w:val="000000"/>
                <w:sz w:val="24"/>
              </w:rPr>
            </w:pPr>
          </w:p>
        </w:tc>
        <w:tc>
          <w:tcPr>
            <w:tcW w:w="2104" w:type="pct"/>
            <w:vMerge w:val="continue"/>
            <w:tcBorders>
              <w:tl2br w:val="nil"/>
              <w:tr2bl w:val="nil"/>
            </w:tcBorders>
            <w:vAlign w:val="center"/>
          </w:tcPr>
          <w:p w14:paraId="6337ACDF">
            <w:pPr>
              <w:jc w:val="center"/>
              <w:rPr>
                <w:rFonts w:ascii="宋体" w:hAnsi="宋体" w:cs="宋体"/>
                <w:color w:val="000000"/>
                <w:sz w:val="24"/>
              </w:rPr>
            </w:pPr>
          </w:p>
        </w:tc>
        <w:tc>
          <w:tcPr>
            <w:tcW w:w="1184" w:type="pct"/>
            <w:tcBorders>
              <w:tl2br w:val="nil"/>
              <w:tr2bl w:val="nil"/>
            </w:tcBorders>
            <w:vAlign w:val="center"/>
          </w:tcPr>
          <w:p w14:paraId="68EF0CAE">
            <w:pPr>
              <w:widowControl/>
              <w:jc w:val="center"/>
              <w:textAlignment w:val="center"/>
              <w:rPr>
                <w:rFonts w:ascii="宋体" w:hAnsi="宋体" w:cs="宋体"/>
                <w:color w:val="000000"/>
                <w:sz w:val="24"/>
              </w:rPr>
            </w:pPr>
            <w:r>
              <w:rPr>
                <w:rFonts w:hint="eastAsia" w:ascii="宋体" w:hAnsi="宋体" w:cs="宋体"/>
                <w:color w:val="000000"/>
                <w:kern w:val="0"/>
                <w:sz w:val="24"/>
                <w:lang w:bidi="ar"/>
              </w:rPr>
              <w:t>≤20</w:t>
            </w:r>
            <w:r>
              <w:rPr>
                <w:rFonts w:hint="eastAsia" w:ascii="宋体" w:hAnsi="宋体" w:cs="宋体"/>
                <w:color w:val="000000"/>
                <w:kern w:val="0"/>
                <w:sz w:val="24"/>
                <w:vertAlign w:val="superscript"/>
                <w:lang w:bidi="ar"/>
              </w:rPr>
              <w:t>c</w:t>
            </w:r>
          </w:p>
        </w:tc>
      </w:tr>
      <w:tr w14:paraId="4478D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45A15A3B">
            <w:pPr>
              <w:jc w:val="center"/>
              <w:rPr>
                <w:rFonts w:ascii="宋体" w:hAnsi="宋体" w:cs="宋体"/>
                <w:color w:val="000000"/>
                <w:sz w:val="24"/>
              </w:rPr>
            </w:pPr>
          </w:p>
        </w:tc>
        <w:tc>
          <w:tcPr>
            <w:tcW w:w="771" w:type="pct"/>
            <w:vMerge w:val="continue"/>
            <w:tcBorders>
              <w:tl2br w:val="nil"/>
              <w:tr2bl w:val="nil"/>
            </w:tcBorders>
            <w:vAlign w:val="center"/>
          </w:tcPr>
          <w:p w14:paraId="626A23B3">
            <w:pPr>
              <w:jc w:val="center"/>
              <w:rPr>
                <w:rFonts w:ascii="宋体" w:hAnsi="宋体" w:cs="宋体"/>
                <w:color w:val="000000"/>
                <w:sz w:val="24"/>
              </w:rPr>
            </w:pPr>
          </w:p>
        </w:tc>
        <w:tc>
          <w:tcPr>
            <w:tcW w:w="2104" w:type="pct"/>
            <w:tcBorders>
              <w:tl2br w:val="nil"/>
              <w:tr2bl w:val="nil"/>
            </w:tcBorders>
            <w:vAlign w:val="center"/>
          </w:tcPr>
          <w:p w14:paraId="2BEBDC16">
            <w:pPr>
              <w:widowControl/>
              <w:jc w:val="center"/>
              <w:textAlignment w:val="center"/>
              <w:rPr>
                <w:rFonts w:ascii="宋体" w:hAnsi="宋体" w:cs="宋体"/>
                <w:color w:val="000000"/>
                <w:sz w:val="24"/>
              </w:rPr>
            </w:pPr>
            <w:r>
              <w:rPr>
                <w:rFonts w:hint="eastAsia" w:ascii="宋体" w:hAnsi="宋体" w:cs="宋体"/>
                <w:color w:val="000000"/>
                <w:kern w:val="0"/>
                <w:sz w:val="24"/>
                <w:lang w:bidi="ar"/>
              </w:rPr>
              <w:t>苯并[a]芘(mg/kg)</w:t>
            </w:r>
          </w:p>
        </w:tc>
        <w:tc>
          <w:tcPr>
            <w:tcW w:w="1184" w:type="pct"/>
            <w:tcBorders>
              <w:tl2br w:val="nil"/>
              <w:tr2bl w:val="nil"/>
            </w:tcBorders>
            <w:vAlign w:val="center"/>
          </w:tcPr>
          <w:p w14:paraId="1C42EFD7">
            <w:pPr>
              <w:widowControl/>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7CB979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56BF2B82">
            <w:pPr>
              <w:jc w:val="center"/>
              <w:rPr>
                <w:rFonts w:ascii="宋体" w:hAnsi="宋体" w:cs="宋体"/>
                <w:color w:val="000000"/>
                <w:sz w:val="24"/>
              </w:rPr>
            </w:pPr>
          </w:p>
        </w:tc>
        <w:tc>
          <w:tcPr>
            <w:tcW w:w="771" w:type="pct"/>
            <w:vMerge w:val="continue"/>
            <w:tcBorders>
              <w:tl2br w:val="nil"/>
              <w:tr2bl w:val="nil"/>
            </w:tcBorders>
            <w:vAlign w:val="center"/>
          </w:tcPr>
          <w:p w14:paraId="536C7773">
            <w:pPr>
              <w:jc w:val="center"/>
              <w:rPr>
                <w:rFonts w:ascii="宋体" w:hAnsi="宋体" w:cs="宋体"/>
                <w:color w:val="000000"/>
                <w:sz w:val="24"/>
              </w:rPr>
            </w:pPr>
          </w:p>
        </w:tc>
        <w:tc>
          <w:tcPr>
            <w:tcW w:w="2104" w:type="pct"/>
            <w:tcBorders>
              <w:tl2br w:val="nil"/>
              <w:tr2bl w:val="nil"/>
            </w:tcBorders>
            <w:vAlign w:val="center"/>
          </w:tcPr>
          <w:p w14:paraId="0E9A02EF">
            <w:pPr>
              <w:widowControl/>
              <w:jc w:val="center"/>
              <w:textAlignment w:val="center"/>
              <w:rPr>
                <w:rFonts w:ascii="宋体" w:hAnsi="宋体" w:cs="宋体"/>
                <w:color w:val="000000"/>
                <w:sz w:val="24"/>
              </w:rPr>
            </w:pPr>
            <w:r>
              <w:rPr>
                <w:rFonts w:hint="eastAsia" w:ascii="宋体" w:hAnsi="宋体" w:cs="宋体"/>
                <w:color w:val="000000"/>
                <w:kern w:val="0"/>
                <w:sz w:val="24"/>
                <w:lang w:bidi="ar"/>
              </w:rPr>
              <w:t>短链氯化石蜡（C</w:t>
            </w:r>
            <w:r>
              <w:rPr>
                <w:rFonts w:hint="eastAsia" w:ascii="宋体" w:hAnsi="宋体" w:cs="宋体"/>
                <w:color w:val="000000"/>
                <w:kern w:val="0"/>
                <w:sz w:val="24"/>
                <w:vertAlign w:val="subscript"/>
                <w:lang w:bidi="ar"/>
              </w:rPr>
              <w:t>10</w:t>
            </w:r>
            <w:r>
              <w:rPr>
                <w:rFonts w:hint="eastAsia" w:ascii="宋体" w:hAnsi="宋体" w:cs="宋体"/>
                <w:color w:val="000000"/>
                <w:kern w:val="0"/>
                <w:sz w:val="24"/>
                <w:lang w:bidi="ar"/>
              </w:rPr>
              <w:t>-C</w:t>
            </w:r>
            <w:r>
              <w:rPr>
                <w:rFonts w:hint="eastAsia" w:ascii="宋体" w:hAnsi="宋体" w:cs="宋体"/>
                <w:color w:val="000000"/>
                <w:kern w:val="0"/>
                <w:sz w:val="24"/>
                <w:vertAlign w:val="subscript"/>
                <w:lang w:bidi="ar"/>
              </w:rPr>
              <w:t>13</w:t>
            </w:r>
            <w:r>
              <w:rPr>
                <w:rFonts w:hint="eastAsia" w:ascii="宋体" w:hAnsi="宋体" w:cs="宋体"/>
                <w:color w:val="000000"/>
                <w:kern w:val="0"/>
                <w:sz w:val="24"/>
                <w:lang w:bidi="ar"/>
              </w:rPr>
              <w:t>）/（g/kg）</w:t>
            </w:r>
          </w:p>
        </w:tc>
        <w:tc>
          <w:tcPr>
            <w:tcW w:w="1184" w:type="pct"/>
            <w:tcBorders>
              <w:tl2br w:val="nil"/>
              <w:tr2bl w:val="nil"/>
            </w:tcBorders>
            <w:vAlign w:val="center"/>
          </w:tcPr>
          <w:p w14:paraId="67ECD59A">
            <w:pPr>
              <w:widowControl/>
              <w:jc w:val="center"/>
              <w:textAlignment w:val="center"/>
              <w:rPr>
                <w:rFonts w:ascii="宋体" w:hAnsi="宋体" w:cs="宋体"/>
                <w:color w:val="000000"/>
                <w:sz w:val="24"/>
              </w:rPr>
            </w:pPr>
            <w:r>
              <w:rPr>
                <w:rFonts w:hint="eastAsia" w:ascii="宋体" w:hAnsi="宋体" w:cs="宋体"/>
                <w:color w:val="000000"/>
                <w:kern w:val="0"/>
                <w:sz w:val="24"/>
                <w:lang w:bidi="ar"/>
              </w:rPr>
              <w:t>≤1.5</w:t>
            </w:r>
          </w:p>
        </w:tc>
      </w:tr>
      <w:tr w14:paraId="508BC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0" w:hRule="atLeast"/>
          <w:jc w:val="center"/>
        </w:trPr>
        <w:tc>
          <w:tcPr>
            <w:tcW w:w="939" w:type="pct"/>
            <w:vMerge w:val="continue"/>
            <w:tcBorders>
              <w:tl2br w:val="nil"/>
              <w:tr2bl w:val="nil"/>
            </w:tcBorders>
            <w:vAlign w:val="center"/>
          </w:tcPr>
          <w:p w14:paraId="56518DE1">
            <w:pPr>
              <w:jc w:val="center"/>
              <w:rPr>
                <w:rFonts w:ascii="宋体" w:hAnsi="宋体" w:cs="宋体"/>
                <w:color w:val="000000"/>
                <w:sz w:val="24"/>
              </w:rPr>
            </w:pPr>
          </w:p>
        </w:tc>
        <w:tc>
          <w:tcPr>
            <w:tcW w:w="771" w:type="pct"/>
            <w:vMerge w:val="continue"/>
            <w:tcBorders>
              <w:tl2br w:val="nil"/>
              <w:tr2bl w:val="nil"/>
            </w:tcBorders>
            <w:vAlign w:val="center"/>
          </w:tcPr>
          <w:p w14:paraId="3B97A5E3">
            <w:pPr>
              <w:jc w:val="center"/>
              <w:rPr>
                <w:rFonts w:ascii="宋体" w:hAnsi="宋体" w:cs="宋体"/>
                <w:color w:val="000000"/>
                <w:sz w:val="24"/>
              </w:rPr>
            </w:pPr>
          </w:p>
        </w:tc>
        <w:tc>
          <w:tcPr>
            <w:tcW w:w="2104" w:type="pct"/>
            <w:tcBorders>
              <w:tl2br w:val="nil"/>
              <w:tr2bl w:val="nil"/>
            </w:tcBorders>
            <w:vAlign w:val="center"/>
          </w:tcPr>
          <w:p w14:paraId="3134DD51">
            <w:pPr>
              <w:widowControl/>
              <w:jc w:val="center"/>
              <w:textAlignment w:val="center"/>
              <w:rPr>
                <w:rFonts w:ascii="宋体" w:hAnsi="宋体" w:cs="宋体"/>
                <w:color w:val="000000"/>
                <w:sz w:val="24"/>
              </w:rPr>
            </w:pPr>
            <w:r>
              <w:rPr>
                <w:rFonts w:hint="eastAsia" w:ascii="宋体" w:hAnsi="宋体" w:cs="宋体"/>
                <w:sz w:val="24"/>
              </w:rPr>
              <w:t>4,4’-二氨基-3,3’二氯二苯基甲烷 (MOCA) （g/kg）</w:t>
            </w:r>
          </w:p>
        </w:tc>
        <w:tc>
          <w:tcPr>
            <w:tcW w:w="1184" w:type="pct"/>
            <w:tcBorders>
              <w:tl2br w:val="nil"/>
              <w:tr2bl w:val="nil"/>
            </w:tcBorders>
            <w:vAlign w:val="center"/>
          </w:tcPr>
          <w:p w14:paraId="36C19932">
            <w:pPr>
              <w:widowControl/>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5641AA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jc w:val="center"/>
        </w:trPr>
        <w:tc>
          <w:tcPr>
            <w:tcW w:w="939" w:type="pct"/>
            <w:vMerge w:val="continue"/>
            <w:tcBorders>
              <w:tl2br w:val="nil"/>
              <w:tr2bl w:val="nil"/>
            </w:tcBorders>
            <w:vAlign w:val="center"/>
          </w:tcPr>
          <w:p w14:paraId="76AEF666">
            <w:pPr>
              <w:jc w:val="center"/>
              <w:rPr>
                <w:rFonts w:ascii="宋体" w:hAnsi="宋体" w:cs="宋体"/>
                <w:color w:val="000000"/>
                <w:sz w:val="24"/>
              </w:rPr>
            </w:pPr>
          </w:p>
        </w:tc>
        <w:tc>
          <w:tcPr>
            <w:tcW w:w="771" w:type="pct"/>
            <w:vMerge w:val="continue"/>
            <w:tcBorders>
              <w:tl2br w:val="nil"/>
              <w:tr2bl w:val="nil"/>
            </w:tcBorders>
            <w:vAlign w:val="center"/>
          </w:tcPr>
          <w:p w14:paraId="1DAF2D39">
            <w:pPr>
              <w:jc w:val="center"/>
              <w:rPr>
                <w:rFonts w:ascii="宋体" w:hAnsi="宋体" w:cs="宋体"/>
                <w:color w:val="000000"/>
                <w:sz w:val="24"/>
              </w:rPr>
            </w:pPr>
          </w:p>
        </w:tc>
        <w:tc>
          <w:tcPr>
            <w:tcW w:w="2104" w:type="pct"/>
            <w:tcBorders>
              <w:tl2br w:val="nil"/>
              <w:tr2bl w:val="nil"/>
            </w:tcBorders>
            <w:vAlign w:val="center"/>
          </w:tcPr>
          <w:p w14:paraId="487BA43C">
            <w:pPr>
              <w:widowControl/>
              <w:jc w:val="center"/>
              <w:textAlignment w:val="center"/>
              <w:rPr>
                <w:rFonts w:ascii="宋体" w:hAnsi="宋体" w:cs="宋体"/>
                <w:color w:val="000000"/>
                <w:sz w:val="24"/>
              </w:rPr>
            </w:pPr>
            <w:r>
              <w:rPr>
                <w:rFonts w:hint="eastAsia" w:ascii="宋体" w:hAnsi="宋体" w:cs="宋体"/>
                <w:color w:val="000000"/>
                <w:kern w:val="0"/>
                <w:sz w:val="24"/>
                <w:lang w:bidi="ar"/>
              </w:rPr>
              <w:t>游离甲苯二异氰酸酯（TDI）和游离六亚甲基二异氰酸酯（HDI）总和/（g/kg）</w:t>
            </w:r>
          </w:p>
        </w:tc>
        <w:tc>
          <w:tcPr>
            <w:tcW w:w="1184" w:type="pct"/>
            <w:tcBorders>
              <w:tl2br w:val="nil"/>
              <w:tr2bl w:val="nil"/>
            </w:tcBorders>
            <w:vAlign w:val="center"/>
          </w:tcPr>
          <w:p w14:paraId="0D7BD110">
            <w:pPr>
              <w:widowControl/>
              <w:jc w:val="center"/>
              <w:textAlignment w:val="center"/>
              <w:rPr>
                <w:rFonts w:ascii="宋体" w:hAnsi="宋体" w:cs="宋体"/>
                <w:color w:val="000000"/>
                <w:sz w:val="24"/>
              </w:rPr>
            </w:pPr>
            <w:r>
              <w:rPr>
                <w:rFonts w:hint="eastAsia" w:ascii="宋体" w:hAnsi="宋体" w:cs="宋体"/>
                <w:color w:val="000000"/>
                <w:kern w:val="0"/>
                <w:sz w:val="24"/>
                <w:lang w:bidi="ar"/>
              </w:rPr>
              <w:t>≤0.2</w:t>
            </w:r>
          </w:p>
        </w:tc>
      </w:tr>
      <w:tr w14:paraId="264BB2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939" w:type="pct"/>
            <w:vMerge w:val="continue"/>
            <w:tcBorders>
              <w:tl2br w:val="nil"/>
              <w:tr2bl w:val="nil"/>
            </w:tcBorders>
            <w:vAlign w:val="center"/>
          </w:tcPr>
          <w:p w14:paraId="58EE3249">
            <w:pPr>
              <w:jc w:val="center"/>
              <w:rPr>
                <w:rFonts w:ascii="宋体" w:hAnsi="宋体" w:cs="宋体"/>
                <w:color w:val="000000"/>
                <w:sz w:val="24"/>
              </w:rPr>
            </w:pPr>
          </w:p>
        </w:tc>
        <w:tc>
          <w:tcPr>
            <w:tcW w:w="771" w:type="pct"/>
            <w:vMerge w:val="continue"/>
            <w:tcBorders>
              <w:tl2br w:val="nil"/>
              <w:tr2bl w:val="nil"/>
            </w:tcBorders>
            <w:vAlign w:val="center"/>
          </w:tcPr>
          <w:p w14:paraId="5AC96A4D">
            <w:pPr>
              <w:jc w:val="center"/>
              <w:rPr>
                <w:rFonts w:ascii="宋体" w:hAnsi="宋体" w:cs="宋体"/>
                <w:color w:val="000000"/>
                <w:sz w:val="24"/>
              </w:rPr>
            </w:pPr>
          </w:p>
        </w:tc>
        <w:tc>
          <w:tcPr>
            <w:tcW w:w="2104" w:type="pct"/>
            <w:tcBorders>
              <w:tl2br w:val="nil"/>
              <w:tr2bl w:val="nil"/>
            </w:tcBorders>
            <w:vAlign w:val="center"/>
          </w:tcPr>
          <w:p w14:paraId="62D59C76">
            <w:pPr>
              <w:widowControl/>
              <w:jc w:val="center"/>
              <w:textAlignment w:val="center"/>
              <w:rPr>
                <w:rFonts w:ascii="宋体" w:hAnsi="宋体" w:cs="宋体"/>
                <w:color w:val="000000"/>
                <w:sz w:val="24"/>
              </w:rPr>
            </w:pPr>
            <w:r>
              <w:rPr>
                <w:rFonts w:hint="eastAsia" w:ascii="宋体" w:hAnsi="宋体" w:cs="宋体"/>
                <w:color w:val="000000"/>
                <w:kern w:val="0"/>
                <w:sz w:val="24"/>
                <w:lang w:bidi="ar"/>
              </w:rPr>
              <w:t>游离二苯基甲烷二异氰酸酯（MDI）/（g/kg）</w:t>
            </w:r>
          </w:p>
        </w:tc>
        <w:tc>
          <w:tcPr>
            <w:tcW w:w="1184" w:type="pct"/>
            <w:tcBorders>
              <w:tl2br w:val="nil"/>
              <w:tr2bl w:val="nil"/>
            </w:tcBorders>
            <w:vAlign w:val="center"/>
          </w:tcPr>
          <w:p w14:paraId="36C66F7E">
            <w:pPr>
              <w:widowControl/>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0EEA2F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6EB52B48">
            <w:pPr>
              <w:jc w:val="center"/>
              <w:rPr>
                <w:rFonts w:ascii="宋体" w:hAnsi="宋体" w:cs="宋体"/>
                <w:color w:val="000000"/>
                <w:sz w:val="24"/>
              </w:rPr>
            </w:pPr>
          </w:p>
        </w:tc>
        <w:tc>
          <w:tcPr>
            <w:tcW w:w="771" w:type="pct"/>
            <w:vMerge w:val="continue"/>
            <w:tcBorders>
              <w:tl2br w:val="nil"/>
              <w:tr2bl w:val="nil"/>
            </w:tcBorders>
            <w:vAlign w:val="center"/>
          </w:tcPr>
          <w:p w14:paraId="1F6706B4">
            <w:pPr>
              <w:jc w:val="center"/>
              <w:rPr>
                <w:rFonts w:ascii="宋体" w:hAnsi="宋体" w:cs="宋体"/>
                <w:color w:val="000000"/>
                <w:sz w:val="24"/>
              </w:rPr>
            </w:pPr>
          </w:p>
        </w:tc>
        <w:tc>
          <w:tcPr>
            <w:tcW w:w="2104" w:type="pct"/>
            <w:tcBorders>
              <w:tl2br w:val="nil"/>
              <w:tr2bl w:val="nil"/>
            </w:tcBorders>
            <w:vAlign w:val="center"/>
          </w:tcPr>
          <w:p w14:paraId="48ECE99C">
            <w:pPr>
              <w:widowControl/>
              <w:jc w:val="center"/>
              <w:textAlignment w:val="center"/>
              <w:rPr>
                <w:rFonts w:ascii="宋体" w:hAnsi="宋体" w:cs="宋体"/>
                <w:color w:val="000000"/>
                <w:sz w:val="24"/>
              </w:rPr>
            </w:pPr>
            <w:r>
              <w:rPr>
                <w:rFonts w:hint="eastAsia" w:ascii="宋体" w:hAnsi="宋体" w:cs="宋体"/>
                <w:color w:val="000000"/>
                <w:kern w:val="0"/>
                <w:sz w:val="24"/>
                <w:lang w:bidi="ar"/>
              </w:rPr>
              <w:t>可溶性铅 /(mg/kg)</w:t>
            </w:r>
          </w:p>
        </w:tc>
        <w:tc>
          <w:tcPr>
            <w:tcW w:w="1184" w:type="pct"/>
            <w:tcBorders>
              <w:tl2br w:val="nil"/>
              <w:tr2bl w:val="nil"/>
            </w:tcBorders>
            <w:vAlign w:val="center"/>
          </w:tcPr>
          <w:p w14:paraId="5DE1EF17">
            <w:pPr>
              <w:widowControl/>
              <w:jc w:val="center"/>
              <w:textAlignment w:val="center"/>
              <w:rPr>
                <w:rFonts w:ascii="宋体" w:hAnsi="宋体" w:cs="宋体"/>
                <w:color w:val="000000"/>
                <w:sz w:val="24"/>
              </w:rPr>
            </w:pPr>
            <w:r>
              <w:rPr>
                <w:rFonts w:hint="eastAsia" w:ascii="宋体" w:hAnsi="宋体" w:cs="宋体"/>
                <w:color w:val="000000"/>
                <w:kern w:val="0"/>
                <w:sz w:val="24"/>
                <w:lang w:bidi="ar"/>
              </w:rPr>
              <w:t>≤50</w:t>
            </w:r>
          </w:p>
        </w:tc>
      </w:tr>
      <w:tr w14:paraId="0065E5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405FB87B">
            <w:pPr>
              <w:jc w:val="center"/>
              <w:rPr>
                <w:rFonts w:ascii="宋体" w:hAnsi="宋体" w:cs="宋体"/>
                <w:color w:val="000000"/>
                <w:sz w:val="24"/>
              </w:rPr>
            </w:pPr>
          </w:p>
        </w:tc>
        <w:tc>
          <w:tcPr>
            <w:tcW w:w="771" w:type="pct"/>
            <w:vMerge w:val="continue"/>
            <w:tcBorders>
              <w:tl2br w:val="nil"/>
              <w:tr2bl w:val="nil"/>
            </w:tcBorders>
            <w:vAlign w:val="center"/>
          </w:tcPr>
          <w:p w14:paraId="34377B0C">
            <w:pPr>
              <w:jc w:val="center"/>
              <w:rPr>
                <w:rFonts w:ascii="宋体" w:hAnsi="宋体" w:cs="宋体"/>
                <w:color w:val="000000"/>
                <w:sz w:val="24"/>
              </w:rPr>
            </w:pPr>
          </w:p>
        </w:tc>
        <w:tc>
          <w:tcPr>
            <w:tcW w:w="2104" w:type="pct"/>
            <w:tcBorders>
              <w:tl2br w:val="nil"/>
              <w:tr2bl w:val="nil"/>
            </w:tcBorders>
            <w:vAlign w:val="center"/>
          </w:tcPr>
          <w:p w14:paraId="694DCA23">
            <w:pPr>
              <w:widowControl/>
              <w:jc w:val="center"/>
              <w:textAlignment w:val="center"/>
              <w:rPr>
                <w:rFonts w:ascii="宋体" w:hAnsi="宋体" w:cs="宋体"/>
                <w:color w:val="000000"/>
                <w:sz w:val="24"/>
              </w:rPr>
            </w:pPr>
            <w:r>
              <w:rPr>
                <w:rFonts w:hint="eastAsia" w:ascii="宋体" w:hAnsi="宋体" w:cs="宋体"/>
                <w:color w:val="000000"/>
                <w:kern w:val="0"/>
                <w:sz w:val="24"/>
                <w:lang w:bidi="ar"/>
              </w:rPr>
              <w:t>可溶性镉 /(mg/kg)</w:t>
            </w:r>
          </w:p>
        </w:tc>
        <w:tc>
          <w:tcPr>
            <w:tcW w:w="1184" w:type="pct"/>
            <w:tcBorders>
              <w:tl2br w:val="nil"/>
              <w:tr2bl w:val="nil"/>
            </w:tcBorders>
            <w:vAlign w:val="center"/>
          </w:tcPr>
          <w:p w14:paraId="2A91C328">
            <w:pPr>
              <w:widowControl/>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2DC045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60AA5BEE">
            <w:pPr>
              <w:jc w:val="center"/>
              <w:rPr>
                <w:rFonts w:ascii="宋体" w:hAnsi="宋体" w:cs="宋体"/>
                <w:color w:val="000000"/>
                <w:sz w:val="24"/>
              </w:rPr>
            </w:pPr>
          </w:p>
        </w:tc>
        <w:tc>
          <w:tcPr>
            <w:tcW w:w="771" w:type="pct"/>
            <w:vMerge w:val="continue"/>
            <w:tcBorders>
              <w:tl2br w:val="nil"/>
              <w:tr2bl w:val="nil"/>
            </w:tcBorders>
            <w:vAlign w:val="center"/>
          </w:tcPr>
          <w:p w14:paraId="23106BFA">
            <w:pPr>
              <w:jc w:val="center"/>
              <w:rPr>
                <w:rFonts w:ascii="宋体" w:hAnsi="宋体" w:cs="宋体"/>
                <w:color w:val="000000"/>
                <w:sz w:val="24"/>
              </w:rPr>
            </w:pPr>
          </w:p>
        </w:tc>
        <w:tc>
          <w:tcPr>
            <w:tcW w:w="2104" w:type="pct"/>
            <w:tcBorders>
              <w:tl2br w:val="nil"/>
              <w:tr2bl w:val="nil"/>
            </w:tcBorders>
            <w:vAlign w:val="center"/>
          </w:tcPr>
          <w:p w14:paraId="034DB7AD">
            <w:pPr>
              <w:widowControl/>
              <w:jc w:val="center"/>
              <w:textAlignment w:val="center"/>
              <w:rPr>
                <w:rFonts w:ascii="宋体" w:hAnsi="宋体" w:cs="宋体"/>
                <w:color w:val="000000"/>
                <w:sz w:val="24"/>
              </w:rPr>
            </w:pPr>
            <w:r>
              <w:rPr>
                <w:rFonts w:hint="eastAsia" w:ascii="宋体" w:hAnsi="宋体" w:cs="宋体"/>
                <w:color w:val="000000"/>
                <w:kern w:val="0"/>
                <w:sz w:val="24"/>
                <w:lang w:bidi="ar"/>
              </w:rPr>
              <w:t>可溶性铬 /(mg/kg)</w:t>
            </w:r>
          </w:p>
        </w:tc>
        <w:tc>
          <w:tcPr>
            <w:tcW w:w="1184" w:type="pct"/>
            <w:tcBorders>
              <w:tl2br w:val="nil"/>
              <w:tr2bl w:val="nil"/>
            </w:tcBorders>
            <w:vAlign w:val="center"/>
          </w:tcPr>
          <w:p w14:paraId="3764A56D">
            <w:pPr>
              <w:widowControl/>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280C4E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1377EDC4">
            <w:pPr>
              <w:jc w:val="center"/>
              <w:rPr>
                <w:rFonts w:ascii="宋体" w:hAnsi="宋体" w:cs="宋体"/>
                <w:color w:val="000000"/>
                <w:sz w:val="24"/>
              </w:rPr>
            </w:pPr>
          </w:p>
        </w:tc>
        <w:tc>
          <w:tcPr>
            <w:tcW w:w="771" w:type="pct"/>
            <w:vMerge w:val="continue"/>
            <w:tcBorders>
              <w:tl2br w:val="nil"/>
              <w:tr2bl w:val="nil"/>
            </w:tcBorders>
            <w:vAlign w:val="center"/>
          </w:tcPr>
          <w:p w14:paraId="25EB1E07">
            <w:pPr>
              <w:jc w:val="center"/>
              <w:rPr>
                <w:rFonts w:ascii="宋体" w:hAnsi="宋体" w:cs="宋体"/>
                <w:color w:val="000000"/>
                <w:sz w:val="24"/>
              </w:rPr>
            </w:pPr>
          </w:p>
        </w:tc>
        <w:tc>
          <w:tcPr>
            <w:tcW w:w="2104" w:type="pct"/>
            <w:tcBorders>
              <w:tl2br w:val="nil"/>
              <w:tr2bl w:val="nil"/>
            </w:tcBorders>
            <w:vAlign w:val="center"/>
          </w:tcPr>
          <w:p w14:paraId="0ECC7624">
            <w:pPr>
              <w:widowControl/>
              <w:jc w:val="center"/>
              <w:textAlignment w:val="center"/>
              <w:rPr>
                <w:rFonts w:ascii="宋体" w:hAnsi="宋体" w:cs="宋体"/>
                <w:color w:val="000000"/>
                <w:sz w:val="24"/>
              </w:rPr>
            </w:pPr>
            <w:r>
              <w:rPr>
                <w:rFonts w:hint="eastAsia" w:ascii="宋体" w:hAnsi="宋体" w:cs="宋体"/>
                <w:color w:val="000000"/>
                <w:kern w:val="0"/>
                <w:sz w:val="24"/>
                <w:lang w:bidi="ar"/>
              </w:rPr>
              <w:t>可溶性汞 /(mg/kg)</w:t>
            </w:r>
          </w:p>
        </w:tc>
        <w:tc>
          <w:tcPr>
            <w:tcW w:w="1184" w:type="pct"/>
            <w:tcBorders>
              <w:tl2br w:val="nil"/>
              <w:tr2bl w:val="nil"/>
            </w:tcBorders>
            <w:vAlign w:val="center"/>
          </w:tcPr>
          <w:p w14:paraId="79882BAE">
            <w:pPr>
              <w:widowControl/>
              <w:jc w:val="center"/>
              <w:textAlignment w:val="center"/>
              <w:rPr>
                <w:rFonts w:ascii="宋体" w:hAnsi="宋体" w:cs="宋体"/>
                <w:color w:val="000000"/>
                <w:sz w:val="24"/>
              </w:rPr>
            </w:pPr>
            <w:r>
              <w:rPr>
                <w:rFonts w:hint="eastAsia" w:ascii="宋体" w:hAnsi="宋体" w:cs="宋体"/>
                <w:color w:val="000000"/>
                <w:kern w:val="0"/>
                <w:sz w:val="24"/>
                <w:lang w:bidi="ar"/>
              </w:rPr>
              <w:t>≤2</w:t>
            </w:r>
          </w:p>
        </w:tc>
      </w:tr>
      <w:tr w14:paraId="4A269B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jc w:val="center"/>
        </w:trPr>
        <w:tc>
          <w:tcPr>
            <w:tcW w:w="939" w:type="pct"/>
            <w:vMerge w:val="continue"/>
            <w:tcBorders>
              <w:tl2br w:val="nil"/>
              <w:tr2bl w:val="nil"/>
            </w:tcBorders>
            <w:vAlign w:val="center"/>
          </w:tcPr>
          <w:p w14:paraId="0B9A7768">
            <w:pPr>
              <w:jc w:val="center"/>
              <w:rPr>
                <w:rFonts w:ascii="宋体" w:hAnsi="宋体" w:cs="宋体"/>
                <w:color w:val="000000"/>
                <w:sz w:val="24"/>
              </w:rPr>
            </w:pPr>
          </w:p>
        </w:tc>
        <w:tc>
          <w:tcPr>
            <w:tcW w:w="771" w:type="pct"/>
            <w:vMerge w:val="restart"/>
            <w:tcBorders>
              <w:tl2br w:val="nil"/>
              <w:tr2bl w:val="nil"/>
            </w:tcBorders>
            <w:vAlign w:val="center"/>
          </w:tcPr>
          <w:p w14:paraId="0F029ADF">
            <w:pPr>
              <w:widowControl/>
              <w:jc w:val="center"/>
              <w:textAlignment w:val="center"/>
              <w:rPr>
                <w:rFonts w:ascii="宋体" w:hAnsi="宋体" w:cs="宋体"/>
                <w:color w:val="000000"/>
                <w:sz w:val="24"/>
              </w:rPr>
            </w:pPr>
            <w:r>
              <w:rPr>
                <w:rFonts w:hint="eastAsia" w:ascii="宋体" w:hAnsi="宋体" w:cs="宋体"/>
                <w:color w:val="000000"/>
                <w:kern w:val="0"/>
                <w:sz w:val="24"/>
                <w:lang w:bidi="ar"/>
              </w:rPr>
              <w:t>有害物质释放量</w:t>
            </w:r>
          </w:p>
        </w:tc>
        <w:tc>
          <w:tcPr>
            <w:tcW w:w="2104" w:type="pct"/>
            <w:tcBorders>
              <w:tl2br w:val="nil"/>
              <w:tr2bl w:val="nil"/>
            </w:tcBorders>
            <w:vAlign w:val="center"/>
          </w:tcPr>
          <w:p w14:paraId="3BC0D3C4">
            <w:pPr>
              <w:widowControl/>
              <w:jc w:val="center"/>
              <w:textAlignment w:val="center"/>
              <w:rPr>
                <w:rFonts w:ascii="宋体" w:hAnsi="宋体" w:cs="宋体"/>
                <w:color w:val="000000"/>
                <w:sz w:val="24"/>
              </w:rPr>
            </w:pPr>
            <w:r>
              <w:rPr>
                <w:rFonts w:hint="eastAsia" w:ascii="宋体" w:hAnsi="宋体" w:cs="宋体"/>
                <w:color w:val="000000"/>
                <w:kern w:val="0"/>
                <w:sz w:val="24"/>
                <w:lang w:bidi="ar"/>
              </w:rPr>
              <w:t>总挥发性有机化合物（TVOC）/[mg/（㎡.h）]</w:t>
            </w:r>
          </w:p>
        </w:tc>
        <w:tc>
          <w:tcPr>
            <w:tcW w:w="1184" w:type="pct"/>
            <w:tcBorders>
              <w:tl2br w:val="nil"/>
              <w:tr2bl w:val="nil"/>
            </w:tcBorders>
            <w:vAlign w:val="center"/>
          </w:tcPr>
          <w:p w14:paraId="77A8AE17">
            <w:pPr>
              <w:widowControl/>
              <w:jc w:val="center"/>
              <w:textAlignment w:val="center"/>
              <w:rPr>
                <w:rFonts w:ascii="宋体" w:hAnsi="宋体" w:cs="宋体"/>
                <w:color w:val="000000"/>
                <w:sz w:val="24"/>
              </w:rPr>
            </w:pPr>
            <w:r>
              <w:rPr>
                <w:rFonts w:hint="eastAsia" w:ascii="宋体" w:hAnsi="宋体" w:cs="宋体"/>
                <w:color w:val="000000"/>
                <w:kern w:val="0"/>
                <w:sz w:val="24"/>
                <w:lang w:bidi="ar"/>
              </w:rPr>
              <w:t>≤5.0</w:t>
            </w:r>
          </w:p>
        </w:tc>
      </w:tr>
      <w:tr w14:paraId="22ADA0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60A349E0">
            <w:pPr>
              <w:jc w:val="center"/>
              <w:rPr>
                <w:rFonts w:ascii="宋体" w:hAnsi="宋体" w:cs="宋体"/>
                <w:color w:val="000000"/>
                <w:sz w:val="24"/>
              </w:rPr>
            </w:pPr>
          </w:p>
        </w:tc>
        <w:tc>
          <w:tcPr>
            <w:tcW w:w="771" w:type="pct"/>
            <w:vMerge w:val="continue"/>
            <w:tcBorders>
              <w:tl2br w:val="nil"/>
              <w:tr2bl w:val="nil"/>
            </w:tcBorders>
            <w:vAlign w:val="center"/>
          </w:tcPr>
          <w:p w14:paraId="3E411879">
            <w:pPr>
              <w:jc w:val="center"/>
              <w:rPr>
                <w:rFonts w:ascii="宋体" w:hAnsi="宋体" w:cs="宋体"/>
                <w:color w:val="000000"/>
                <w:sz w:val="24"/>
              </w:rPr>
            </w:pPr>
          </w:p>
        </w:tc>
        <w:tc>
          <w:tcPr>
            <w:tcW w:w="2104" w:type="pct"/>
            <w:tcBorders>
              <w:tl2br w:val="nil"/>
              <w:tr2bl w:val="nil"/>
            </w:tcBorders>
            <w:vAlign w:val="center"/>
          </w:tcPr>
          <w:p w14:paraId="0809ABDB">
            <w:pPr>
              <w:widowControl/>
              <w:jc w:val="center"/>
              <w:textAlignment w:val="center"/>
              <w:rPr>
                <w:rFonts w:ascii="宋体" w:hAnsi="宋体" w:cs="宋体"/>
                <w:color w:val="000000"/>
                <w:sz w:val="24"/>
              </w:rPr>
            </w:pPr>
            <w:r>
              <w:rPr>
                <w:rFonts w:hint="eastAsia" w:ascii="宋体" w:hAnsi="宋体" w:cs="宋体"/>
                <w:color w:val="000000"/>
                <w:kern w:val="0"/>
                <w:sz w:val="24"/>
                <w:lang w:bidi="ar"/>
              </w:rPr>
              <w:t>甲醛/[mg/（㎡.h）]</w:t>
            </w:r>
          </w:p>
        </w:tc>
        <w:tc>
          <w:tcPr>
            <w:tcW w:w="1184" w:type="pct"/>
            <w:tcBorders>
              <w:tl2br w:val="nil"/>
              <w:tr2bl w:val="nil"/>
            </w:tcBorders>
            <w:vAlign w:val="center"/>
          </w:tcPr>
          <w:p w14:paraId="04A3D988">
            <w:pPr>
              <w:widowControl/>
              <w:jc w:val="center"/>
              <w:textAlignment w:val="center"/>
              <w:rPr>
                <w:rFonts w:ascii="宋体" w:hAnsi="宋体" w:cs="宋体"/>
                <w:color w:val="000000"/>
                <w:sz w:val="24"/>
              </w:rPr>
            </w:pPr>
            <w:r>
              <w:rPr>
                <w:rFonts w:hint="eastAsia" w:ascii="宋体" w:hAnsi="宋体" w:cs="宋体"/>
                <w:color w:val="000000"/>
                <w:kern w:val="0"/>
                <w:sz w:val="24"/>
                <w:lang w:bidi="ar"/>
              </w:rPr>
              <w:t>≤0.4</w:t>
            </w:r>
          </w:p>
        </w:tc>
      </w:tr>
      <w:tr w14:paraId="611E8C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442E2ACC">
            <w:pPr>
              <w:jc w:val="center"/>
              <w:rPr>
                <w:rFonts w:ascii="宋体" w:hAnsi="宋体" w:cs="宋体"/>
                <w:color w:val="000000"/>
                <w:sz w:val="24"/>
              </w:rPr>
            </w:pPr>
          </w:p>
        </w:tc>
        <w:tc>
          <w:tcPr>
            <w:tcW w:w="771" w:type="pct"/>
            <w:vMerge w:val="continue"/>
            <w:tcBorders>
              <w:tl2br w:val="nil"/>
              <w:tr2bl w:val="nil"/>
            </w:tcBorders>
            <w:vAlign w:val="center"/>
          </w:tcPr>
          <w:p w14:paraId="08682473">
            <w:pPr>
              <w:jc w:val="center"/>
              <w:rPr>
                <w:rFonts w:ascii="宋体" w:hAnsi="宋体" w:cs="宋体"/>
                <w:color w:val="000000"/>
                <w:sz w:val="24"/>
              </w:rPr>
            </w:pPr>
          </w:p>
        </w:tc>
        <w:tc>
          <w:tcPr>
            <w:tcW w:w="2104" w:type="pct"/>
            <w:tcBorders>
              <w:tl2br w:val="nil"/>
              <w:tr2bl w:val="nil"/>
            </w:tcBorders>
            <w:vAlign w:val="center"/>
          </w:tcPr>
          <w:p w14:paraId="59F6A933">
            <w:pPr>
              <w:widowControl/>
              <w:jc w:val="center"/>
              <w:textAlignment w:val="center"/>
              <w:rPr>
                <w:rFonts w:ascii="宋体" w:hAnsi="宋体" w:cs="宋体"/>
                <w:color w:val="000000"/>
                <w:sz w:val="24"/>
              </w:rPr>
            </w:pPr>
            <w:r>
              <w:rPr>
                <w:rFonts w:hint="eastAsia" w:ascii="宋体" w:hAnsi="宋体" w:cs="宋体"/>
                <w:color w:val="000000"/>
                <w:kern w:val="0"/>
                <w:sz w:val="24"/>
                <w:lang w:bidi="ar"/>
              </w:rPr>
              <w:t>苯/[mg/（㎡.h）]</w:t>
            </w:r>
          </w:p>
        </w:tc>
        <w:tc>
          <w:tcPr>
            <w:tcW w:w="1184" w:type="pct"/>
            <w:tcBorders>
              <w:tl2br w:val="nil"/>
              <w:tr2bl w:val="nil"/>
            </w:tcBorders>
            <w:vAlign w:val="center"/>
          </w:tcPr>
          <w:p w14:paraId="2C7FFDCA">
            <w:pPr>
              <w:widowControl/>
              <w:jc w:val="center"/>
              <w:textAlignment w:val="center"/>
              <w:rPr>
                <w:rFonts w:ascii="宋体" w:hAnsi="宋体" w:cs="宋体"/>
                <w:color w:val="000000"/>
                <w:sz w:val="24"/>
              </w:rPr>
            </w:pPr>
            <w:r>
              <w:rPr>
                <w:rFonts w:hint="eastAsia" w:ascii="宋体" w:hAnsi="宋体" w:cs="宋体"/>
                <w:color w:val="000000"/>
                <w:kern w:val="0"/>
                <w:sz w:val="24"/>
                <w:lang w:bidi="ar"/>
              </w:rPr>
              <w:t>≤0.1</w:t>
            </w:r>
          </w:p>
        </w:tc>
      </w:tr>
      <w:tr w14:paraId="08B714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939" w:type="pct"/>
            <w:vMerge w:val="continue"/>
            <w:tcBorders>
              <w:tl2br w:val="nil"/>
              <w:tr2bl w:val="nil"/>
            </w:tcBorders>
            <w:vAlign w:val="center"/>
          </w:tcPr>
          <w:p w14:paraId="5974452E">
            <w:pPr>
              <w:jc w:val="center"/>
              <w:rPr>
                <w:rFonts w:ascii="宋体" w:hAnsi="宋体" w:cs="宋体"/>
                <w:color w:val="000000"/>
                <w:sz w:val="24"/>
              </w:rPr>
            </w:pPr>
          </w:p>
        </w:tc>
        <w:tc>
          <w:tcPr>
            <w:tcW w:w="771" w:type="pct"/>
            <w:vMerge w:val="continue"/>
            <w:tcBorders>
              <w:tl2br w:val="nil"/>
              <w:tr2bl w:val="nil"/>
            </w:tcBorders>
            <w:vAlign w:val="center"/>
          </w:tcPr>
          <w:p w14:paraId="27A33529">
            <w:pPr>
              <w:jc w:val="center"/>
              <w:rPr>
                <w:rFonts w:ascii="宋体" w:hAnsi="宋体" w:cs="宋体"/>
                <w:color w:val="000000"/>
                <w:sz w:val="24"/>
              </w:rPr>
            </w:pPr>
          </w:p>
        </w:tc>
        <w:tc>
          <w:tcPr>
            <w:tcW w:w="2104" w:type="pct"/>
            <w:tcBorders>
              <w:tl2br w:val="nil"/>
              <w:tr2bl w:val="nil"/>
            </w:tcBorders>
            <w:vAlign w:val="center"/>
          </w:tcPr>
          <w:p w14:paraId="1447FFEA">
            <w:pPr>
              <w:widowControl/>
              <w:jc w:val="center"/>
              <w:textAlignment w:val="center"/>
              <w:rPr>
                <w:rFonts w:ascii="宋体" w:hAnsi="宋体" w:cs="宋体"/>
                <w:color w:val="000000"/>
                <w:sz w:val="24"/>
              </w:rPr>
            </w:pPr>
            <w:r>
              <w:rPr>
                <w:rFonts w:hint="eastAsia" w:ascii="宋体" w:hAnsi="宋体" w:cs="宋体"/>
                <w:color w:val="000000"/>
                <w:kern w:val="0"/>
                <w:sz w:val="24"/>
                <w:lang w:bidi="ar"/>
              </w:rPr>
              <w:t>甲苯、二甲苯和乙苯总和/[mg/（㎡.h）]</w:t>
            </w:r>
          </w:p>
        </w:tc>
        <w:tc>
          <w:tcPr>
            <w:tcW w:w="1184" w:type="pct"/>
            <w:tcBorders>
              <w:tl2br w:val="nil"/>
              <w:tr2bl w:val="nil"/>
            </w:tcBorders>
            <w:vAlign w:val="center"/>
          </w:tcPr>
          <w:p w14:paraId="322E18B6">
            <w:pPr>
              <w:widowControl/>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78B029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76BCFB4D">
            <w:pPr>
              <w:jc w:val="center"/>
              <w:rPr>
                <w:rFonts w:ascii="宋体" w:hAnsi="宋体" w:cs="宋体"/>
                <w:color w:val="000000"/>
                <w:sz w:val="24"/>
              </w:rPr>
            </w:pPr>
          </w:p>
        </w:tc>
        <w:tc>
          <w:tcPr>
            <w:tcW w:w="771" w:type="pct"/>
            <w:vMerge w:val="continue"/>
            <w:tcBorders>
              <w:tl2br w:val="nil"/>
              <w:tr2bl w:val="nil"/>
            </w:tcBorders>
            <w:vAlign w:val="center"/>
          </w:tcPr>
          <w:p w14:paraId="2ECFB5CD">
            <w:pPr>
              <w:jc w:val="center"/>
              <w:rPr>
                <w:rFonts w:ascii="宋体" w:hAnsi="宋体" w:cs="宋体"/>
                <w:color w:val="000000"/>
                <w:sz w:val="24"/>
              </w:rPr>
            </w:pPr>
          </w:p>
        </w:tc>
        <w:tc>
          <w:tcPr>
            <w:tcW w:w="2104" w:type="pct"/>
            <w:tcBorders>
              <w:tl2br w:val="nil"/>
              <w:tr2bl w:val="nil"/>
            </w:tcBorders>
            <w:vAlign w:val="center"/>
          </w:tcPr>
          <w:p w14:paraId="105311EB">
            <w:pPr>
              <w:widowControl/>
              <w:jc w:val="center"/>
              <w:textAlignment w:val="center"/>
              <w:rPr>
                <w:rFonts w:ascii="宋体" w:hAnsi="宋体" w:cs="宋体"/>
                <w:color w:val="000000"/>
                <w:sz w:val="24"/>
              </w:rPr>
            </w:pPr>
            <w:r>
              <w:rPr>
                <w:rFonts w:hint="eastAsia" w:ascii="宋体" w:hAnsi="宋体" w:cs="宋体"/>
                <w:color w:val="000000"/>
                <w:kern w:val="0"/>
                <w:sz w:val="24"/>
                <w:lang w:bidi="ar"/>
              </w:rPr>
              <w:t>二硫化碳/[mg/（㎡.h）]</w:t>
            </w:r>
          </w:p>
        </w:tc>
        <w:tc>
          <w:tcPr>
            <w:tcW w:w="1184" w:type="pct"/>
            <w:tcBorders>
              <w:tl2br w:val="nil"/>
              <w:tr2bl w:val="nil"/>
            </w:tcBorders>
            <w:vAlign w:val="center"/>
          </w:tcPr>
          <w:p w14:paraId="43896948">
            <w:pPr>
              <w:widowControl/>
              <w:jc w:val="center"/>
              <w:textAlignment w:val="center"/>
              <w:rPr>
                <w:rFonts w:ascii="宋体" w:hAnsi="宋体" w:cs="宋体"/>
                <w:color w:val="000000"/>
                <w:sz w:val="24"/>
              </w:rPr>
            </w:pPr>
            <w:r>
              <w:rPr>
                <w:rFonts w:hint="eastAsia" w:ascii="宋体" w:hAnsi="宋体" w:cs="宋体"/>
                <w:color w:val="000000"/>
                <w:kern w:val="0"/>
                <w:sz w:val="24"/>
                <w:lang w:bidi="ar"/>
              </w:rPr>
              <w:t>≤7.0</w:t>
            </w:r>
          </w:p>
        </w:tc>
      </w:tr>
      <w:tr w14:paraId="2F8F9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74A5FAB2">
            <w:pPr>
              <w:jc w:val="center"/>
              <w:rPr>
                <w:rFonts w:ascii="宋体" w:hAnsi="宋体" w:cs="宋体"/>
                <w:color w:val="000000"/>
                <w:sz w:val="24"/>
              </w:rPr>
            </w:pPr>
          </w:p>
        </w:tc>
        <w:tc>
          <w:tcPr>
            <w:tcW w:w="771" w:type="pct"/>
            <w:tcBorders>
              <w:tl2br w:val="nil"/>
              <w:tr2bl w:val="nil"/>
            </w:tcBorders>
            <w:vAlign w:val="center"/>
          </w:tcPr>
          <w:p w14:paraId="347A7BB1">
            <w:pPr>
              <w:widowControl/>
              <w:jc w:val="center"/>
              <w:textAlignment w:val="center"/>
              <w:rPr>
                <w:rFonts w:ascii="宋体" w:hAnsi="宋体" w:cs="宋体"/>
                <w:color w:val="000000"/>
                <w:sz w:val="24"/>
              </w:rPr>
            </w:pPr>
            <w:r>
              <w:rPr>
                <w:rFonts w:hint="eastAsia" w:ascii="宋体" w:hAnsi="宋体" w:cs="宋体"/>
                <w:color w:val="000000"/>
                <w:kern w:val="0"/>
                <w:sz w:val="24"/>
                <w:lang w:bidi="ar"/>
              </w:rPr>
              <w:t>气味</w:t>
            </w:r>
          </w:p>
        </w:tc>
        <w:tc>
          <w:tcPr>
            <w:tcW w:w="2104" w:type="pct"/>
            <w:tcBorders>
              <w:tl2br w:val="nil"/>
              <w:tr2bl w:val="nil"/>
            </w:tcBorders>
            <w:noWrap/>
            <w:vAlign w:val="center"/>
          </w:tcPr>
          <w:p w14:paraId="6B0EFA01">
            <w:pPr>
              <w:widowControl/>
              <w:jc w:val="center"/>
              <w:textAlignment w:val="center"/>
              <w:rPr>
                <w:rFonts w:ascii="宋体" w:hAnsi="宋体" w:cs="宋体"/>
                <w:color w:val="000000"/>
                <w:sz w:val="24"/>
              </w:rPr>
            </w:pPr>
            <w:r>
              <w:rPr>
                <w:rFonts w:hint="eastAsia" w:ascii="宋体" w:hAnsi="宋体" w:cs="宋体"/>
                <w:color w:val="000000"/>
                <w:kern w:val="0"/>
                <w:sz w:val="24"/>
                <w:lang w:bidi="ar"/>
              </w:rPr>
              <w:t>气味等级</w:t>
            </w:r>
            <w:r>
              <w:rPr>
                <w:rStyle w:val="965"/>
                <w:rFonts w:ascii="宋体" w:hAnsi="宋体" w:eastAsia="宋体" w:cs="宋体"/>
                <w:sz w:val="24"/>
                <w:szCs w:val="24"/>
                <w:lang w:bidi="ar"/>
              </w:rPr>
              <w:t>b</w:t>
            </w:r>
            <w:r>
              <w:rPr>
                <w:rFonts w:hint="eastAsia" w:ascii="宋体" w:hAnsi="宋体" w:cs="宋体"/>
                <w:color w:val="000000"/>
                <w:kern w:val="0"/>
                <w:sz w:val="24"/>
                <w:lang w:bidi="ar"/>
              </w:rPr>
              <w:t>/级</w:t>
            </w:r>
          </w:p>
        </w:tc>
        <w:tc>
          <w:tcPr>
            <w:tcW w:w="1184" w:type="pct"/>
            <w:tcBorders>
              <w:tl2br w:val="nil"/>
              <w:tr2bl w:val="nil"/>
            </w:tcBorders>
            <w:vAlign w:val="center"/>
          </w:tcPr>
          <w:p w14:paraId="63F8E14A">
            <w:pPr>
              <w:widowControl/>
              <w:jc w:val="center"/>
              <w:textAlignment w:val="center"/>
              <w:rPr>
                <w:rFonts w:ascii="宋体" w:hAnsi="宋体" w:cs="宋体"/>
                <w:color w:val="000000"/>
                <w:sz w:val="24"/>
              </w:rPr>
            </w:pPr>
            <w:r>
              <w:rPr>
                <w:rFonts w:hint="eastAsia" w:ascii="宋体" w:hAnsi="宋体" w:cs="宋体"/>
                <w:color w:val="000000"/>
                <w:kern w:val="0"/>
                <w:sz w:val="24"/>
                <w:lang w:bidi="ar"/>
              </w:rPr>
              <w:t>≤3</w:t>
            </w:r>
          </w:p>
        </w:tc>
      </w:tr>
    </w:tbl>
    <w:p w14:paraId="4C4C814F">
      <w:pPr>
        <w:adjustRightInd/>
        <w:spacing w:line="360" w:lineRule="auto"/>
        <w:ind w:firstLine="480" w:firstLineChars="200"/>
        <w:rPr>
          <w:rFonts w:ascii="宋体" w:hAnsi="宋体" w:cs="宋体"/>
          <w:sz w:val="24"/>
        </w:rPr>
      </w:pPr>
      <w:r>
        <w:rPr>
          <w:rFonts w:hint="eastAsia" w:ascii="宋体" w:hAnsi="宋体" w:cs="宋体"/>
          <w:sz w:val="24"/>
        </w:rPr>
        <w:t>3.为了保证跑道面层的整体稳定质量，符合塑胶颗粒材料高聚物含量＞20、跑道自结纹面层材料高聚物含量＞35%、跑道面层成品高聚物含量＞35%。</w:t>
      </w:r>
    </w:p>
    <w:p w14:paraId="26FC0F35">
      <w:pPr>
        <w:adjustRightInd/>
        <w:spacing w:line="360" w:lineRule="auto"/>
        <w:ind w:firstLine="480" w:firstLineChars="200"/>
        <w:rPr>
          <w:rFonts w:ascii="宋体" w:hAnsi="宋体" w:cs="宋体"/>
          <w:sz w:val="24"/>
        </w:rPr>
      </w:pPr>
      <w:r>
        <w:rPr>
          <w:rFonts w:hint="eastAsia" w:ascii="宋体" w:hAnsi="宋体" w:cs="宋体"/>
          <w:sz w:val="24"/>
        </w:rPr>
        <w:t xml:space="preserve">4.跑道自结纹面层材料耐紫外线老化黄变性能，老化不小于3500h后，耐黄变性能＜2级且外观不起泡、不剥落、无裂纹、无粉化现象。 </w:t>
      </w:r>
    </w:p>
    <w:p w14:paraId="39BE8650">
      <w:pPr>
        <w:adjustRightInd/>
        <w:spacing w:line="360" w:lineRule="auto"/>
        <w:ind w:firstLine="480" w:firstLineChars="200"/>
        <w:rPr>
          <w:rFonts w:ascii="宋体" w:hAnsi="宋体" w:cs="宋体"/>
          <w:sz w:val="24"/>
        </w:rPr>
      </w:pPr>
      <w:r>
        <w:rPr>
          <w:rFonts w:hint="eastAsia" w:ascii="宋体" w:hAnsi="宋体" w:cs="宋体"/>
          <w:sz w:val="24"/>
        </w:rPr>
        <w:t>5.TPU透气型自结纹塑胶面层技术要求：</w:t>
      </w:r>
    </w:p>
    <w:p w14:paraId="7B2B03CB">
      <w:pPr>
        <w:tabs>
          <w:tab w:val="left" w:pos="0"/>
        </w:tabs>
        <w:adjustRightInd/>
        <w:spacing w:line="360" w:lineRule="auto"/>
        <w:ind w:firstLine="480" w:firstLineChars="200"/>
        <w:rPr>
          <w:rFonts w:ascii="宋体" w:hAnsi="宋体" w:cs="宋体"/>
          <w:sz w:val="24"/>
        </w:rPr>
      </w:pPr>
      <w:r>
        <w:rPr>
          <w:rFonts w:hint="eastAsia" w:ascii="宋体" w:hAnsi="宋体" w:cs="宋体"/>
          <w:sz w:val="24"/>
        </w:rPr>
        <w:t>（1）工艺要求：</w:t>
      </w:r>
    </w:p>
    <w:p w14:paraId="4607DDC9">
      <w:pPr>
        <w:tabs>
          <w:tab w:val="left" w:pos="0"/>
        </w:tabs>
        <w:adjustRightInd/>
        <w:spacing w:line="360" w:lineRule="auto"/>
        <w:ind w:firstLine="480" w:firstLineChars="200"/>
        <w:rPr>
          <w:rFonts w:ascii="宋体" w:hAnsi="宋体" w:cs="宋体"/>
          <w:sz w:val="24"/>
        </w:rPr>
      </w:pPr>
      <w:r>
        <w:rPr>
          <w:rFonts w:hint="eastAsia" w:ascii="宋体" w:hAnsi="宋体" w:cs="宋体"/>
          <w:sz w:val="24"/>
        </w:rPr>
        <w:t>1.单组份胶粘剂底涂滚涂；2.弹性层摊铺：铁红色TPU颗粒和铁红色TPU骨料按照1:3比例配合，混合后的颗粒和胶粘剂按照1:6的比例配料，搅拌均匀后摊铺，厚度控制10-11mm厚；3.自结纹面层喷涂:自结纹材料按照甲组:乙组=1:2的比例配料，搅拌均匀后采用喷涂机喷涂，结纹分3次喷涂，厚度控制3-4mm厚；4.放样划线；</w:t>
      </w:r>
    </w:p>
    <w:p w14:paraId="3D6419FC">
      <w:pPr>
        <w:adjustRightInd/>
        <w:spacing w:line="360" w:lineRule="auto"/>
        <w:ind w:firstLine="480" w:firstLineChars="200"/>
        <w:rPr>
          <w:rFonts w:ascii="宋体" w:hAnsi="宋体" w:cs="宋体"/>
          <w:sz w:val="24"/>
        </w:rPr>
      </w:pPr>
      <w:r>
        <w:rPr>
          <w:rFonts w:hint="eastAsia" w:ascii="宋体" w:hAnsi="宋体" w:cs="宋体"/>
          <w:sz w:val="24"/>
        </w:rPr>
        <w:t>（2）所用的主要原材料：胶水(不含石蜡)、环保胶粒等必须为正规厂家生产的符合国家标准和环保要求的合格产品，确保使用十年及以上；</w:t>
      </w:r>
    </w:p>
    <w:p w14:paraId="0382BA4B">
      <w:pPr>
        <w:tabs>
          <w:tab w:val="left" w:pos="0"/>
        </w:tabs>
        <w:adjustRightInd/>
        <w:spacing w:line="360" w:lineRule="auto"/>
        <w:ind w:firstLine="480" w:firstLineChars="200"/>
        <w:rPr>
          <w:rFonts w:ascii="宋体" w:hAnsi="宋体" w:cs="宋体"/>
          <w:sz w:val="24"/>
        </w:rPr>
      </w:pPr>
      <w:r>
        <w:rPr>
          <w:rFonts w:hint="eastAsia" w:ascii="宋体" w:hAnsi="宋体" w:cs="宋体"/>
          <w:sz w:val="24"/>
        </w:rPr>
        <w:t>（3）本工程严禁使用黑色橡胶粒，跑道等塑胶面层所用颗粒均为环保胶粒；环保胶粒含胶量要达20%及以上。对进场材料采购人将组织现场取样封样检测，检测项目包括环保胶粒的含胶量指标内容。</w:t>
      </w:r>
    </w:p>
    <w:p w14:paraId="5C27D73A">
      <w:pPr>
        <w:pStyle w:val="550"/>
        <w:spacing w:line="360" w:lineRule="auto"/>
        <w:ind w:firstLine="0" w:firstLineChars="0"/>
        <w:outlineLvl w:val="2"/>
        <w:rPr>
          <w:rFonts w:eastAsia="宋体" w:cs="宋体"/>
          <w:sz w:val="24"/>
        </w:rPr>
      </w:pPr>
      <w:bookmarkStart w:id="62" w:name="_Toc11604"/>
      <w:r>
        <w:rPr>
          <w:rFonts w:hint="eastAsia" w:eastAsia="宋体" w:cs="宋体"/>
          <w:b/>
          <w:bCs/>
          <w:sz w:val="24"/>
        </w:rPr>
        <w:t>人工草</w:t>
      </w:r>
      <w:bookmarkEnd w:id="62"/>
    </w:p>
    <w:p w14:paraId="1C946026">
      <w:pPr>
        <w:pStyle w:val="23"/>
        <w:rPr>
          <w:rFonts w:hAnsi="宋体" w:cs="宋体"/>
          <w:szCs w:val="24"/>
          <w:lang w:val="en-US"/>
        </w:rPr>
      </w:pPr>
      <w:r>
        <w:rPr>
          <w:rFonts w:hint="eastAsia" w:hAnsi="宋体" w:cs="宋体"/>
          <w:szCs w:val="24"/>
          <w:lang w:val="en-US"/>
        </w:rPr>
        <w:t>基本参数</w:t>
      </w:r>
    </w:p>
    <w:tbl>
      <w:tblPr>
        <w:tblStyle w:val="62"/>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0"/>
        <w:gridCol w:w="4346"/>
        <w:gridCol w:w="1775"/>
        <w:gridCol w:w="1768"/>
      </w:tblGrid>
      <w:tr w14:paraId="652992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5" w:hRule="atLeast"/>
        </w:trPr>
        <w:tc>
          <w:tcPr>
            <w:tcW w:w="3220" w:type="pct"/>
            <w:gridSpan w:val="2"/>
            <w:tcBorders>
              <w:top w:val="single" w:color="000000" w:sz="4" w:space="0"/>
              <w:left w:val="single" w:color="000000" w:sz="4" w:space="0"/>
              <w:bottom w:val="single" w:color="000000" w:sz="4" w:space="0"/>
              <w:right w:val="single" w:color="000000" w:sz="4" w:space="0"/>
            </w:tcBorders>
            <w:vAlign w:val="center"/>
          </w:tcPr>
          <w:p w14:paraId="407B5CFA">
            <w:pPr>
              <w:pStyle w:val="57"/>
              <w:spacing w:line="96" w:lineRule="atLeast"/>
              <w:jc w:val="center"/>
              <w:rPr>
                <w:rFonts w:cs="宋体"/>
                <w:kern w:val="2"/>
              </w:rPr>
            </w:pPr>
            <w:r>
              <w:rPr>
                <w:rFonts w:hint="eastAsia" w:cs="宋体"/>
                <w:kern w:val="2"/>
              </w:rPr>
              <w:t>检验检测项目</w:t>
            </w:r>
          </w:p>
        </w:tc>
        <w:tc>
          <w:tcPr>
            <w:tcW w:w="891" w:type="pct"/>
            <w:tcBorders>
              <w:top w:val="single" w:color="000000" w:sz="4" w:space="0"/>
              <w:left w:val="single" w:color="000000" w:sz="4" w:space="0"/>
              <w:bottom w:val="single" w:color="000000" w:sz="4" w:space="0"/>
              <w:right w:val="single" w:color="000000" w:sz="4" w:space="0"/>
            </w:tcBorders>
            <w:vAlign w:val="center"/>
          </w:tcPr>
          <w:p w14:paraId="7F59968A">
            <w:pPr>
              <w:pStyle w:val="57"/>
              <w:spacing w:line="96" w:lineRule="atLeast"/>
              <w:jc w:val="center"/>
              <w:rPr>
                <w:rFonts w:cs="宋体"/>
                <w:kern w:val="2"/>
              </w:rPr>
            </w:pPr>
            <w:r>
              <w:rPr>
                <w:rFonts w:hint="eastAsia" w:cs="宋体"/>
                <w:kern w:val="2"/>
              </w:rPr>
              <w:t>单位</w:t>
            </w:r>
          </w:p>
        </w:tc>
        <w:tc>
          <w:tcPr>
            <w:tcW w:w="887" w:type="pct"/>
            <w:tcBorders>
              <w:top w:val="single" w:color="000000" w:sz="4" w:space="0"/>
              <w:left w:val="single" w:color="000000" w:sz="4" w:space="0"/>
              <w:bottom w:val="single" w:color="000000" w:sz="4" w:space="0"/>
              <w:right w:val="single" w:color="000000" w:sz="4" w:space="0"/>
            </w:tcBorders>
            <w:vAlign w:val="center"/>
          </w:tcPr>
          <w:p w14:paraId="21F05010">
            <w:pPr>
              <w:pStyle w:val="57"/>
              <w:spacing w:line="96" w:lineRule="atLeast"/>
              <w:jc w:val="center"/>
              <w:rPr>
                <w:rFonts w:cs="宋体"/>
                <w:kern w:val="2"/>
              </w:rPr>
            </w:pPr>
            <w:r>
              <w:rPr>
                <w:rFonts w:hint="eastAsia" w:cs="宋体"/>
                <w:kern w:val="2"/>
              </w:rPr>
              <w:t>技术要求</w:t>
            </w:r>
          </w:p>
        </w:tc>
      </w:tr>
      <w:tr w14:paraId="27C382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039" w:type="pct"/>
            <w:vMerge w:val="restart"/>
            <w:tcBorders>
              <w:top w:val="single" w:color="000000" w:sz="4" w:space="0"/>
              <w:left w:val="single" w:color="000000" w:sz="4" w:space="0"/>
              <w:bottom w:val="single" w:color="000000" w:sz="4" w:space="0"/>
              <w:right w:val="single" w:color="000000" w:sz="4" w:space="0"/>
            </w:tcBorders>
            <w:vAlign w:val="center"/>
          </w:tcPr>
          <w:p w14:paraId="322C4CBB">
            <w:pPr>
              <w:pStyle w:val="57"/>
              <w:spacing w:line="96" w:lineRule="atLeast"/>
              <w:rPr>
                <w:rFonts w:cs="宋体"/>
                <w:kern w:val="2"/>
              </w:rPr>
            </w:pPr>
            <w:r>
              <w:rPr>
                <w:rFonts w:hint="eastAsia" w:cs="宋体"/>
                <w:kern w:val="2"/>
              </w:rPr>
              <w:t>有害物质含量</w:t>
            </w:r>
          </w:p>
        </w:tc>
        <w:tc>
          <w:tcPr>
            <w:tcW w:w="2180" w:type="pct"/>
            <w:tcBorders>
              <w:top w:val="single" w:color="000000" w:sz="4" w:space="0"/>
              <w:left w:val="single" w:color="000000" w:sz="4" w:space="0"/>
              <w:bottom w:val="single" w:color="000000" w:sz="4" w:space="0"/>
              <w:right w:val="single" w:color="000000" w:sz="4" w:space="0"/>
            </w:tcBorders>
          </w:tcPr>
          <w:p w14:paraId="29766459">
            <w:pPr>
              <w:pStyle w:val="57"/>
              <w:spacing w:line="96" w:lineRule="atLeast"/>
              <w:rPr>
                <w:rFonts w:cs="宋体"/>
                <w:kern w:val="2"/>
              </w:rPr>
            </w:pPr>
            <w:r>
              <w:rPr>
                <w:rFonts w:hint="eastAsia" w:cs="宋体"/>
                <w:kern w:val="2"/>
              </w:rPr>
              <w:t>3种邻苯二甲酸酯类化合物（DBP、BBP、DEHP）总和</w:t>
            </w:r>
          </w:p>
        </w:tc>
        <w:tc>
          <w:tcPr>
            <w:tcW w:w="891" w:type="pct"/>
            <w:vMerge w:val="restart"/>
            <w:tcBorders>
              <w:top w:val="single" w:color="000000" w:sz="4" w:space="0"/>
              <w:left w:val="single" w:color="000000" w:sz="4" w:space="0"/>
              <w:bottom w:val="single" w:color="000000" w:sz="4" w:space="0"/>
              <w:right w:val="single" w:color="000000" w:sz="4" w:space="0"/>
            </w:tcBorders>
            <w:vAlign w:val="center"/>
          </w:tcPr>
          <w:p w14:paraId="5F94008F">
            <w:pPr>
              <w:pStyle w:val="57"/>
              <w:spacing w:line="96" w:lineRule="atLeast"/>
              <w:rPr>
                <w:rFonts w:cs="宋体"/>
                <w:kern w:val="2"/>
              </w:rPr>
            </w:pPr>
            <w:r>
              <w:rPr>
                <w:rFonts w:hint="eastAsia" w:cs="宋体"/>
                <w:kern w:val="2"/>
              </w:rPr>
              <w:t>g/kg</w:t>
            </w:r>
          </w:p>
        </w:tc>
        <w:tc>
          <w:tcPr>
            <w:tcW w:w="887" w:type="pct"/>
            <w:tcBorders>
              <w:top w:val="single" w:color="000000" w:sz="4" w:space="0"/>
              <w:left w:val="single" w:color="000000" w:sz="4" w:space="0"/>
              <w:bottom w:val="single" w:color="000000" w:sz="4" w:space="0"/>
              <w:right w:val="single" w:color="000000" w:sz="4" w:space="0"/>
            </w:tcBorders>
            <w:vAlign w:val="center"/>
          </w:tcPr>
          <w:p w14:paraId="4938D18A">
            <w:pPr>
              <w:pStyle w:val="57"/>
              <w:spacing w:line="96" w:lineRule="atLeast"/>
              <w:rPr>
                <w:rFonts w:cs="宋体"/>
                <w:kern w:val="2"/>
              </w:rPr>
            </w:pPr>
            <w:r>
              <w:rPr>
                <w:rFonts w:hint="eastAsia" w:cs="宋体"/>
                <w:kern w:val="2"/>
              </w:rPr>
              <w:t>≤1.0</w:t>
            </w:r>
          </w:p>
        </w:tc>
      </w:tr>
      <w:tr w14:paraId="195590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continue"/>
            <w:tcBorders>
              <w:top w:val="single" w:color="000000" w:sz="4" w:space="0"/>
              <w:left w:val="single" w:color="000000" w:sz="4" w:space="0"/>
              <w:bottom w:val="single" w:color="000000" w:sz="4" w:space="0"/>
              <w:right w:val="single" w:color="000000" w:sz="4" w:space="0"/>
            </w:tcBorders>
            <w:vAlign w:val="center"/>
          </w:tcPr>
          <w:p w14:paraId="2452E370">
            <w:pPr>
              <w:widowControl/>
              <w:jc w:val="left"/>
              <w:rPr>
                <w:rFonts w:ascii="宋体" w:hAnsi="宋体" w:cs="宋体"/>
                <w:sz w:val="24"/>
              </w:rPr>
            </w:pPr>
          </w:p>
        </w:tc>
        <w:tc>
          <w:tcPr>
            <w:tcW w:w="2180" w:type="pct"/>
            <w:tcBorders>
              <w:top w:val="single" w:color="000000" w:sz="4" w:space="0"/>
              <w:left w:val="single" w:color="000000" w:sz="4" w:space="0"/>
              <w:bottom w:val="single" w:color="000000" w:sz="4" w:space="0"/>
              <w:right w:val="single" w:color="000000" w:sz="4" w:space="0"/>
            </w:tcBorders>
          </w:tcPr>
          <w:p w14:paraId="5E8E0A56">
            <w:pPr>
              <w:pStyle w:val="57"/>
              <w:spacing w:line="96" w:lineRule="atLeast"/>
              <w:rPr>
                <w:rFonts w:cs="宋体"/>
                <w:kern w:val="2"/>
              </w:rPr>
            </w:pPr>
            <w:r>
              <w:rPr>
                <w:rFonts w:hint="eastAsia" w:cs="宋体"/>
                <w:kern w:val="2"/>
              </w:rPr>
              <w:t>3种邻苯二甲酸酯类化合物（DNOP、DINP、DIDP）总和</w:t>
            </w:r>
          </w:p>
        </w:tc>
        <w:tc>
          <w:tcPr>
            <w:tcW w:w="891" w:type="pct"/>
            <w:vMerge w:val="continue"/>
            <w:tcBorders>
              <w:top w:val="single" w:color="000000" w:sz="4" w:space="0"/>
              <w:left w:val="single" w:color="000000" w:sz="4" w:space="0"/>
              <w:bottom w:val="single" w:color="000000" w:sz="4" w:space="0"/>
              <w:right w:val="single" w:color="000000" w:sz="4" w:space="0"/>
            </w:tcBorders>
            <w:vAlign w:val="center"/>
          </w:tcPr>
          <w:p w14:paraId="0C3C6E70">
            <w:pPr>
              <w:widowControl/>
              <w:jc w:val="left"/>
              <w:rPr>
                <w:rFonts w:ascii="宋体" w:hAnsi="宋体" w:cs="宋体"/>
                <w:sz w:val="24"/>
              </w:rPr>
            </w:pPr>
          </w:p>
        </w:tc>
        <w:tc>
          <w:tcPr>
            <w:tcW w:w="887" w:type="pct"/>
            <w:tcBorders>
              <w:top w:val="single" w:color="000000" w:sz="4" w:space="0"/>
              <w:left w:val="single" w:color="000000" w:sz="4" w:space="0"/>
              <w:bottom w:val="single" w:color="000000" w:sz="4" w:space="0"/>
              <w:right w:val="single" w:color="000000" w:sz="4" w:space="0"/>
            </w:tcBorders>
            <w:vAlign w:val="center"/>
          </w:tcPr>
          <w:p w14:paraId="300971CE">
            <w:pPr>
              <w:pStyle w:val="57"/>
              <w:spacing w:line="96" w:lineRule="atLeast"/>
              <w:rPr>
                <w:rFonts w:cs="宋体"/>
                <w:kern w:val="2"/>
              </w:rPr>
            </w:pPr>
            <w:r>
              <w:rPr>
                <w:rFonts w:hint="eastAsia" w:cs="宋体"/>
                <w:kern w:val="2"/>
              </w:rPr>
              <w:t>≤1.0</w:t>
            </w:r>
          </w:p>
        </w:tc>
      </w:tr>
      <w:tr w14:paraId="3254D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continue"/>
            <w:tcBorders>
              <w:top w:val="single" w:color="000000" w:sz="4" w:space="0"/>
              <w:left w:val="single" w:color="000000" w:sz="4" w:space="0"/>
              <w:bottom w:val="single" w:color="000000" w:sz="4" w:space="0"/>
              <w:right w:val="single" w:color="000000" w:sz="4" w:space="0"/>
            </w:tcBorders>
            <w:vAlign w:val="center"/>
          </w:tcPr>
          <w:p w14:paraId="0901F492">
            <w:pPr>
              <w:widowControl/>
              <w:jc w:val="left"/>
              <w:rPr>
                <w:rFonts w:ascii="宋体" w:hAnsi="宋体" w:cs="宋体"/>
                <w:sz w:val="24"/>
              </w:rPr>
            </w:pPr>
          </w:p>
        </w:tc>
        <w:tc>
          <w:tcPr>
            <w:tcW w:w="2180" w:type="pct"/>
            <w:tcBorders>
              <w:top w:val="single" w:color="000000" w:sz="4" w:space="0"/>
              <w:left w:val="single" w:color="000000" w:sz="4" w:space="0"/>
              <w:bottom w:val="single" w:color="000000" w:sz="4" w:space="0"/>
              <w:right w:val="single" w:color="000000" w:sz="4" w:space="0"/>
            </w:tcBorders>
          </w:tcPr>
          <w:p w14:paraId="7BFEB0E3">
            <w:pPr>
              <w:pStyle w:val="57"/>
              <w:spacing w:line="96" w:lineRule="atLeast"/>
              <w:rPr>
                <w:rFonts w:cs="宋体"/>
                <w:kern w:val="2"/>
              </w:rPr>
            </w:pPr>
            <w:r>
              <w:rPr>
                <w:rFonts w:hint="eastAsia" w:cs="宋体"/>
                <w:kern w:val="2"/>
              </w:rPr>
              <w:t>18种多环芳烃总和</w:t>
            </w:r>
          </w:p>
        </w:tc>
        <w:tc>
          <w:tcPr>
            <w:tcW w:w="891" w:type="pct"/>
            <w:vMerge w:val="restart"/>
            <w:tcBorders>
              <w:top w:val="single" w:color="000000" w:sz="4" w:space="0"/>
              <w:left w:val="single" w:color="000000" w:sz="4" w:space="0"/>
              <w:bottom w:val="single" w:color="000000" w:sz="4" w:space="0"/>
              <w:right w:val="single" w:color="000000" w:sz="4" w:space="0"/>
            </w:tcBorders>
            <w:vAlign w:val="center"/>
          </w:tcPr>
          <w:p w14:paraId="5983B501">
            <w:pPr>
              <w:pStyle w:val="57"/>
              <w:spacing w:line="96" w:lineRule="atLeast"/>
              <w:rPr>
                <w:rFonts w:cs="宋体"/>
                <w:kern w:val="2"/>
              </w:rPr>
            </w:pPr>
            <w:r>
              <w:rPr>
                <w:rFonts w:hint="eastAsia" w:cs="宋体"/>
                <w:kern w:val="2"/>
              </w:rPr>
              <w:t>mg/kg</w:t>
            </w:r>
          </w:p>
        </w:tc>
        <w:tc>
          <w:tcPr>
            <w:tcW w:w="887" w:type="pct"/>
            <w:tcBorders>
              <w:top w:val="single" w:color="000000" w:sz="4" w:space="0"/>
              <w:left w:val="single" w:color="000000" w:sz="4" w:space="0"/>
              <w:bottom w:val="single" w:color="000000" w:sz="4" w:space="0"/>
              <w:right w:val="single" w:color="000000" w:sz="4" w:space="0"/>
            </w:tcBorders>
            <w:vAlign w:val="center"/>
          </w:tcPr>
          <w:p w14:paraId="004DBE7F">
            <w:pPr>
              <w:pStyle w:val="57"/>
              <w:spacing w:line="96" w:lineRule="atLeast"/>
              <w:rPr>
                <w:rFonts w:cs="宋体"/>
                <w:kern w:val="2"/>
              </w:rPr>
            </w:pPr>
            <w:r>
              <w:rPr>
                <w:rFonts w:hint="eastAsia" w:cs="宋体"/>
                <w:kern w:val="2"/>
              </w:rPr>
              <w:t>≤50</w:t>
            </w:r>
          </w:p>
        </w:tc>
      </w:tr>
      <w:tr w14:paraId="73114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continue"/>
            <w:tcBorders>
              <w:top w:val="single" w:color="000000" w:sz="4" w:space="0"/>
              <w:left w:val="single" w:color="000000" w:sz="4" w:space="0"/>
              <w:bottom w:val="single" w:color="000000" w:sz="4" w:space="0"/>
              <w:right w:val="single" w:color="000000" w:sz="4" w:space="0"/>
            </w:tcBorders>
            <w:vAlign w:val="center"/>
          </w:tcPr>
          <w:p w14:paraId="457D9562">
            <w:pPr>
              <w:widowControl/>
              <w:jc w:val="left"/>
              <w:rPr>
                <w:rFonts w:ascii="宋体" w:hAnsi="宋体" w:cs="宋体"/>
                <w:sz w:val="24"/>
              </w:rPr>
            </w:pPr>
          </w:p>
        </w:tc>
        <w:tc>
          <w:tcPr>
            <w:tcW w:w="2180" w:type="pct"/>
            <w:tcBorders>
              <w:top w:val="single" w:color="000000" w:sz="4" w:space="0"/>
              <w:left w:val="single" w:color="000000" w:sz="4" w:space="0"/>
              <w:bottom w:val="single" w:color="000000" w:sz="4" w:space="0"/>
              <w:right w:val="single" w:color="000000" w:sz="4" w:space="0"/>
            </w:tcBorders>
          </w:tcPr>
          <w:p w14:paraId="39344DD6">
            <w:pPr>
              <w:pStyle w:val="57"/>
              <w:spacing w:line="96" w:lineRule="atLeast"/>
              <w:rPr>
                <w:rFonts w:cs="宋体"/>
                <w:kern w:val="2"/>
              </w:rPr>
            </w:pPr>
            <w:r>
              <w:rPr>
                <w:rFonts w:hint="eastAsia" w:cs="宋体"/>
                <w:kern w:val="2"/>
              </w:rPr>
              <w:t>苯并[a]芘</w:t>
            </w:r>
          </w:p>
        </w:tc>
        <w:tc>
          <w:tcPr>
            <w:tcW w:w="891" w:type="pct"/>
            <w:vMerge w:val="continue"/>
            <w:tcBorders>
              <w:top w:val="single" w:color="000000" w:sz="4" w:space="0"/>
              <w:left w:val="single" w:color="000000" w:sz="4" w:space="0"/>
              <w:bottom w:val="single" w:color="000000" w:sz="4" w:space="0"/>
              <w:right w:val="single" w:color="000000" w:sz="4" w:space="0"/>
            </w:tcBorders>
            <w:vAlign w:val="center"/>
          </w:tcPr>
          <w:p w14:paraId="68935218">
            <w:pPr>
              <w:widowControl/>
              <w:jc w:val="left"/>
              <w:rPr>
                <w:rFonts w:ascii="宋体" w:hAnsi="宋体" w:cs="宋体"/>
                <w:sz w:val="24"/>
              </w:rPr>
            </w:pPr>
          </w:p>
        </w:tc>
        <w:tc>
          <w:tcPr>
            <w:tcW w:w="887" w:type="pct"/>
            <w:tcBorders>
              <w:top w:val="single" w:color="000000" w:sz="4" w:space="0"/>
              <w:left w:val="single" w:color="000000" w:sz="4" w:space="0"/>
              <w:bottom w:val="single" w:color="000000" w:sz="4" w:space="0"/>
              <w:right w:val="single" w:color="000000" w:sz="4" w:space="0"/>
            </w:tcBorders>
            <w:vAlign w:val="center"/>
          </w:tcPr>
          <w:p w14:paraId="511AEE7B">
            <w:pPr>
              <w:pStyle w:val="57"/>
              <w:spacing w:line="96" w:lineRule="atLeast"/>
              <w:rPr>
                <w:rFonts w:cs="宋体"/>
                <w:kern w:val="2"/>
              </w:rPr>
            </w:pPr>
            <w:r>
              <w:rPr>
                <w:rFonts w:hint="eastAsia" w:cs="宋体"/>
                <w:kern w:val="2"/>
              </w:rPr>
              <w:t>≤1.0</w:t>
            </w:r>
          </w:p>
        </w:tc>
      </w:tr>
      <w:tr w14:paraId="1EB63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continue"/>
            <w:tcBorders>
              <w:top w:val="single" w:color="000000" w:sz="4" w:space="0"/>
              <w:left w:val="single" w:color="000000" w:sz="4" w:space="0"/>
              <w:bottom w:val="single" w:color="000000" w:sz="4" w:space="0"/>
              <w:right w:val="single" w:color="000000" w:sz="4" w:space="0"/>
            </w:tcBorders>
            <w:vAlign w:val="center"/>
          </w:tcPr>
          <w:p w14:paraId="5C2D6C50">
            <w:pPr>
              <w:widowControl/>
              <w:jc w:val="left"/>
              <w:rPr>
                <w:rFonts w:ascii="宋体" w:hAnsi="宋体" w:cs="宋体"/>
                <w:sz w:val="24"/>
              </w:rPr>
            </w:pPr>
          </w:p>
        </w:tc>
        <w:tc>
          <w:tcPr>
            <w:tcW w:w="2180" w:type="pct"/>
            <w:tcBorders>
              <w:top w:val="single" w:color="000000" w:sz="4" w:space="0"/>
              <w:left w:val="single" w:color="000000" w:sz="4" w:space="0"/>
              <w:bottom w:val="single" w:color="000000" w:sz="4" w:space="0"/>
              <w:right w:val="single" w:color="000000" w:sz="4" w:space="0"/>
            </w:tcBorders>
          </w:tcPr>
          <w:p w14:paraId="501EADD3">
            <w:pPr>
              <w:pStyle w:val="57"/>
              <w:spacing w:line="96" w:lineRule="atLeast"/>
              <w:rPr>
                <w:rFonts w:cs="宋体"/>
                <w:kern w:val="2"/>
              </w:rPr>
            </w:pPr>
            <w:r>
              <w:rPr>
                <w:rFonts w:hint="eastAsia" w:cs="宋体"/>
                <w:kern w:val="2"/>
              </w:rPr>
              <w:t>可溶性铅</w:t>
            </w:r>
          </w:p>
        </w:tc>
        <w:tc>
          <w:tcPr>
            <w:tcW w:w="891" w:type="pct"/>
            <w:vMerge w:val="continue"/>
            <w:tcBorders>
              <w:top w:val="single" w:color="000000" w:sz="4" w:space="0"/>
              <w:left w:val="single" w:color="000000" w:sz="4" w:space="0"/>
              <w:bottom w:val="single" w:color="000000" w:sz="4" w:space="0"/>
              <w:right w:val="single" w:color="000000" w:sz="4" w:space="0"/>
            </w:tcBorders>
            <w:vAlign w:val="center"/>
          </w:tcPr>
          <w:p w14:paraId="6040B744">
            <w:pPr>
              <w:widowControl/>
              <w:jc w:val="left"/>
              <w:rPr>
                <w:rFonts w:ascii="宋体" w:hAnsi="宋体" w:cs="宋体"/>
                <w:sz w:val="24"/>
              </w:rPr>
            </w:pPr>
          </w:p>
        </w:tc>
        <w:tc>
          <w:tcPr>
            <w:tcW w:w="887" w:type="pct"/>
            <w:tcBorders>
              <w:top w:val="single" w:color="000000" w:sz="4" w:space="0"/>
              <w:left w:val="single" w:color="000000" w:sz="4" w:space="0"/>
              <w:bottom w:val="single" w:color="000000" w:sz="4" w:space="0"/>
              <w:right w:val="single" w:color="000000" w:sz="4" w:space="0"/>
            </w:tcBorders>
            <w:vAlign w:val="center"/>
          </w:tcPr>
          <w:p w14:paraId="784D0DDC">
            <w:pPr>
              <w:pStyle w:val="57"/>
              <w:spacing w:line="96" w:lineRule="atLeast"/>
              <w:rPr>
                <w:rFonts w:cs="宋体"/>
                <w:kern w:val="2"/>
              </w:rPr>
            </w:pPr>
            <w:r>
              <w:rPr>
                <w:rFonts w:hint="eastAsia" w:cs="宋体"/>
                <w:kern w:val="2"/>
              </w:rPr>
              <w:t>≤50</w:t>
            </w:r>
          </w:p>
        </w:tc>
      </w:tr>
      <w:tr w14:paraId="22B51D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continue"/>
            <w:tcBorders>
              <w:top w:val="single" w:color="000000" w:sz="4" w:space="0"/>
              <w:left w:val="single" w:color="000000" w:sz="4" w:space="0"/>
              <w:bottom w:val="single" w:color="000000" w:sz="4" w:space="0"/>
              <w:right w:val="single" w:color="000000" w:sz="4" w:space="0"/>
            </w:tcBorders>
            <w:vAlign w:val="center"/>
          </w:tcPr>
          <w:p w14:paraId="54BD7214">
            <w:pPr>
              <w:widowControl/>
              <w:jc w:val="left"/>
              <w:rPr>
                <w:rFonts w:ascii="宋体" w:hAnsi="宋体" w:cs="宋体"/>
                <w:sz w:val="24"/>
              </w:rPr>
            </w:pPr>
          </w:p>
        </w:tc>
        <w:tc>
          <w:tcPr>
            <w:tcW w:w="2180" w:type="pct"/>
            <w:tcBorders>
              <w:top w:val="single" w:color="000000" w:sz="4" w:space="0"/>
              <w:left w:val="single" w:color="000000" w:sz="4" w:space="0"/>
              <w:bottom w:val="single" w:color="000000" w:sz="4" w:space="0"/>
              <w:right w:val="single" w:color="000000" w:sz="4" w:space="0"/>
            </w:tcBorders>
          </w:tcPr>
          <w:p w14:paraId="3062D280">
            <w:pPr>
              <w:pStyle w:val="57"/>
              <w:spacing w:line="96" w:lineRule="atLeast"/>
              <w:rPr>
                <w:rFonts w:cs="宋体"/>
                <w:kern w:val="2"/>
              </w:rPr>
            </w:pPr>
            <w:r>
              <w:rPr>
                <w:rFonts w:hint="eastAsia" w:cs="宋体"/>
                <w:kern w:val="2"/>
              </w:rPr>
              <w:t>可溶性铬</w:t>
            </w:r>
          </w:p>
        </w:tc>
        <w:tc>
          <w:tcPr>
            <w:tcW w:w="891" w:type="pct"/>
            <w:vMerge w:val="continue"/>
            <w:tcBorders>
              <w:top w:val="single" w:color="000000" w:sz="4" w:space="0"/>
              <w:left w:val="single" w:color="000000" w:sz="4" w:space="0"/>
              <w:bottom w:val="single" w:color="000000" w:sz="4" w:space="0"/>
              <w:right w:val="single" w:color="000000" w:sz="4" w:space="0"/>
            </w:tcBorders>
            <w:vAlign w:val="center"/>
          </w:tcPr>
          <w:p w14:paraId="48E2EECC">
            <w:pPr>
              <w:widowControl/>
              <w:jc w:val="left"/>
              <w:rPr>
                <w:rFonts w:ascii="宋体" w:hAnsi="宋体" w:cs="宋体"/>
                <w:sz w:val="24"/>
              </w:rPr>
            </w:pPr>
          </w:p>
        </w:tc>
        <w:tc>
          <w:tcPr>
            <w:tcW w:w="887" w:type="pct"/>
            <w:tcBorders>
              <w:top w:val="single" w:color="000000" w:sz="4" w:space="0"/>
              <w:left w:val="single" w:color="000000" w:sz="4" w:space="0"/>
              <w:bottom w:val="single" w:color="000000" w:sz="4" w:space="0"/>
              <w:right w:val="single" w:color="000000" w:sz="4" w:space="0"/>
            </w:tcBorders>
            <w:vAlign w:val="center"/>
          </w:tcPr>
          <w:p w14:paraId="466E954B">
            <w:pPr>
              <w:pStyle w:val="57"/>
              <w:spacing w:line="96" w:lineRule="atLeast"/>
              <w:rPr>
                <w:rFonts w:cs="宋体"/>
                <w:kern w:val="2"/>
              </w:rPr>
            </w:pPr>
            <w:r>
              <w:rPr>
                <w:rFonts w:hint="eastAsia" w:cs="宋体"/>
                <w:kern w:val="2"/>
              </w:rPr>
              <w:t>≤10</w:t>
            </w:r>
          </w:p>
        </w:tc>
      </w:tr>
      <w:tr w14:paraId="79532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continue"/>
            <w:tcBorders>
              <w:top w:val="single" w:color="000000" w:sz="4" w:space="0"/>
              <w:left w:val="single" w:color="000000" w:sz="4" w:space="0"/>
              <w:bottom w:val="single" w:color="000000" w:sz="4" w:space="0"/>
              <w:right w:val="single" w:color="000000" w:sz="4" w:space="0"/>
            </w:tcBorders>
            <w:vAlign w:val="center"/>
          </w:tcPr>
          <w:p w14:paraId="5DF671C1">
            <w:pPr>
              <w:widowControl/>
              <w:jc w:val="left"/>
              <w:rPr>
                <w:rFonts w:ascii="宋体" w:hAnsi="宋体" w:cs="宋体"/>
                <w:sz w:val="24"/>
              </w:rPr>
            </w:pPr>
          </w:p>
        </w:tc>
        <w:tc>
          <w:tcPr>
            <w:tcW w:w="2180" w:type="pct"/>
            <w:tcBorders>
              <w:top w:val="single" w:color="000000" w:sz="4" w:space="0"/>
              <w:left w:val="single" w:color="000000" w:sz="4" w:space="0"/>
              <w:bottom w:val="single" w:color="000000" w:sz="4" w:space="0"/>
              <w:right w:val="single" w:color="000000" w:sz="4" w:space="0"/>
            </w:tcBorders>
          </w:tcPr>
          <w:p w14:paraId="4CD9B52F">
            <w:pPr>
              <w:pStyle w:val="57"/>
              <w:spacing w:line="96" w:lineRule="atLeast"/>
              <w:rPr>
                <w:rFonts w:cs="宋体"/>
                <w:kern w:val="2"/>
              </w:rPr>
            </w:pPr>
            <w:r>
              <w:rPr>
                <w:rFonts w:hint="eastAsia" w:cs="宋体"/>
                <w:kern w:val="2"/>
              </w:rPr>
              <w:t>可溶性镉</w:t>
            </w:r>
          </w:p>
        </w:tc>
        <w:tc>
          <w:tcPr>
            <w:tcW w:w="891" w:type="pct"/>
            <w:vMerge w:val="continue"/>
            <w:tcBorders>
              <w:top w:val="single" w:color="000000" w:sz="4" w:space="0"/>
              <w:left w:val="single" w:color="000000" w:sz="4" w:space="0"/>
              <w:bottom w:val="single" w:color="000000" w:sz="4" w:space="0"/>
              <w:right w:val="single" w:color="000000" w:sz="4" w:space="0"/>
            </w:tcBorders>
            <w:vAlign w:val="center"/>
          </w:tcPr>
          <w:p w14:paraId="4F2FDE44">
            <w:pPr>
              <w:widowControl/>
              <w:jc w:val="left"/>
              <w:rPr>
                <w:rFonts w:ascii="宋体" w:hAnsi="宋体" w:cs="宋体"/>
                <w:sz w:val="24"/>
              </w:rPr>
            </w:pPr>
          </w:p>
        </w:tc>
        <w:tc>
          <w:tcPr>
            <w:tcW w:w="887" w:type="pct"/>
            <w:tcBorders>
              <w:top w:val="single" w:color="000000" w:sz="4" w:space="0"/>
              <w:left w:val="single" w:color="000000" w:sz="4" w:space="0"/>
              <w:bottom w:val="single" w:color="000000" w:sz="4" w:space="0"/>
              <w:right w:val="single" w:color="000000" w:sz="4" w:space="0"/>
            </w:tcBorders>
            <w:vAlign w:val="center"/>
          </w:tcPr>
          <w:p w14:paraId="7B9D314D">
            <w:pPr>
              <w:pStyle w:val="57"/>
              <w:spacing w:line="96" w:lineRule="atLeast"/>
              <w:rPr>
                <w:rFonts w:cs="宋体"/>
                <w:kern w:val="2"/>
              </w:rPr>
            </w:pPr>
            <w:r>
              <w:rPr>
                <w:rFonts w:hint="eastAsia" w:cs="宋体"/>
                <w:kern w:val="2"/>
              </w:rPr>
              <w:t>≤10</w:t>
            </w:r>
          </w:p>
        </w:tc>
      </w:tr>
      <w:tr w14:paraId="039BE5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continue"/>
            <w:tcBorders>
              <w:top w:val="single" w:color="000000" w:sz="4" w:space="0"/>
              <w:left w:val="single" w:color="000000" w:sz="4" w:space="0"/>
              <w:bottom w:val="single" w:color="000000" w:sz="4" w:space="0"/>
              <w:right w:val="single" w:color="000000" w:sz="4" w:space="0"/>
            </w:tcBorders>
            <w:vAlign w:val="center"/>
          </w:tcPr>
          <w:p w14:paraId="60AF775A">
            <w:pPr>
              <w:widowControl/>
              <w:jc w:val="left"/>
              <w:rPr>
                <w:rFonts w:ascii="宋体" w:hAnsi="宋体" w:cs="宋体"/>
                <w:sz w:val="24"/>
              </w:rPr>
            </w:pPr>
          </w:p>
        </w:tc>
        <w:tc>
          <w:tcPr>
            <w:tcW w:w="2180" w:type="pct"/>
            <w:tcBorders>
              <w:top w:val="single" w:color="000000" w:sz="4" w:space="0"/>
              <w:left w:val="single" w:color="000000" w:sz="4" w:space="0"/>
              <w:bottom w:val="single" w:color="000000" w:sz="4" w:space="0"/>
              <w:right w:val="single" w:color="000000" w:sz="4" w:space="0"/>
            </w:tcBorders>
          </w:tcPr>
          <w:p w14:paraId="234CAD05">
            <w:pPr>
              <w:pStyle w:val="57"/>
              <w:spacing w:line="96" w:lineRule="atLeast"/>
              <w:rPr>
                <w:rFonts w:cs="宋体"/>
                <w:kern w:val="2"/>
              </w:rPr>
            </w:pPr>
            <w:r>
              <w:rPr>
                <w:rFonts w:hint="eastAsia" w:cs="宋体"/>
                <w:kern w:val="2"/>
              </w:rPr>
              <w:t>可溶性汞</w:t>
            </w:r>
          </w:p>
        </w:tc>
        <w:tc>
          <w:tcPr>
            <w:tcW w:w="891" w:type="pct"/>
            <w:vMerge w:val="continue"/>
            <w:tcBorders>
              <w:top w:val="single" w:color="000000" w:sz="4" w:space="0"/>
              <w:left w:val="single" w:color="000000" w:sz="4" w:space="0"/>
              <w:bottom w:val="single" w:color="000000" w:sz="4" w:space="0"/>
              <w:right w:val="single" w:color="000000" w:sz="4" w:space="0"/>
            </w:tcBorders>
            <w:vAlign w:val="center"/>
          </w:tcPr>
          <w:p w14:paraId="44B9D5C9">
            <w:pPr>
              <w:widowControl/>
              <w:jc w:val="left"/>
              <w:rPr>
                <w:rFonts w:ascii="宋体" w:hAnsi="宋体" w:cs="宋体"/>
                <w:sz w:val="24"/>
              </w:rPr>
            </w:pPr>
          </w:p>
        </w:tc>
        <w:tc>
          <w:tcPr>
            <w:tcW w:w="887" w:type="pct"/>
            <w:tcBorders>
              <w:top w:val="single" w:color="000000" w:sz="4" w:space="0"/>
              <w:left w:val="single" w:color="000000" w:sz="4" w:space="0"/>
              <w:bottom w:val="single" w:color="000000" w:sz="4" w:space="0"/>
              <w:right w:val="single" w:color="000000" w:sz="4" w:space="0"/>
            </w:tcBorders>
            <w:vAlign w:val="center"/>
          </w:tcPr>
          <w:p w14:paraId="303058CF">
            <w:pPr>
              <w:pStyle w:val="57"/>
              <w:spacing w:line="96" w:lineRule="atLeast"/>
              <w:rPr>
                <w:rFonts w:cs="宋体"/>
                <w:kern w:val="2"/>
              </w:rPr>
            </w:pPr>
            <w:r>
              <w:rPr>
                <w:rFonts w:hint="eastAsia" w:cs="宋体"/>
                <w:kern w:val="2"/>
              </w:rPr>
              <w:t>≤2</w:t>
            </w:r>
          </w:p>
        </w:tc>
      </w:tr>
      <w:tr w14:paraId="2C7E5B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restart"/>
            <w:tcBorders>
              <w:top w:val="single" w:color="000000" w:sz="4" w:space="0"/>
              <w:left w:val="single" w:color="000000" w:sz="4" w:space="0"/>
              <w:bottom w:val="single" w:color="000000" w:sz="4" w:space="0"/>
              <w:right w:val="single" w:color="000000" w:sz="4" w:space="0"/>
            </w:tcBorders>
            <w:vAlign w:val="center"/>
          </w:tcPr>
          <w:p w14:paraId="171835D6">
            <w:pPr>
              <w:pStyle w:val="57"/>
              <w:spacing w:line="96" w:lineRule="atLeast"/>
              <w:rPr>
                <w:rFonts w:cs="宋体"/>
                <w:kern w:val="2"/>
              </w:rPr>
            </w:pPr>
            <w:r>
              <w:rPr>
                <w:rFonts w:hint="eastAsia" w:cs="宋体"/>
                <w:kern w:val="2"/>
              </w:rPr>
              <w:t>有害物质释放量</w:t>
            </w:r>
          </w:p>
        </w:tc>
        <w:tc>
          <w:tcPr>
            <w:tcW w:w="2180" w:type="pct"/>
            <w:tcBorders>
              <w:top w:val="single" w:color="000000" w:sz="4" w:space="0"/>
              <w:left w:val="single" w:color="000000" w:sz="4" w:space="0"/>
              <w:bottom w:val="single" w:color="000000" w:sz="4" w:space="0"/>
              <w:right w:val="single" w:color="000000" w:sz="4" w:space="0"/>
            </w:tcBorders>
          </w:tcPr>
          <w:p w14:paraId="4B326433">
            <w:pPr>
              <w:pStyle w:val="57"/>
              <w:spacing w:line="96" w:lineRule="atLeast"/>
              <w:rPr>
                <w:rFonts w:cs="宋体"/>
                <w:kern w:val="2"/>
              </w:rPr>
            </w:pPr>
            <w:r>
              <w:rPr>
                <w:rFonts w:hint="eastAsia" w:cs="宋体"/>
                <w:kern w:val="2"/>
              </w:rPr>
              <w:t>总挥发性有机化合物（TVOC）</w:t>
            </w:r>
          </w:p>
        </w:tc>
        <w:tc>
          <w:tcPr>
            <w:tcW w:w="891" w:type="pct"/>
            <w:vMerge w:val="restart"/>
            <w:tcBorders>
              <w:top w:val="single" w:color="000000" w:sz="4" w:space="0"/>
              <w:left w:val="single" w:color="000000" w:sz="4" w:space="0"/>
              <w:bottom w:val="single" w:color="000000" w:sz="4" w:space="0"/>
              <w:right w:val="single" w:color="000000" w:sz="4" w:space="0"/>
            </w:tcBorders>
            <w:vAlign w:val="center"/>
          </w:tcPr>
          <w:p w14:paraId="7DFA8E6D">
            <w:pPr>
              <w:pStyle w:val="57"/>
              <w:spacing w:line="96" w:lineRule="atLeast"/>
              <w:rPr>
                <w:rFonts w:cs="宋体"/>
                <w:kern w:val="2"/>
              </w:rPr>
            </w:pPr>
            <w:r>
              <w:rPr>
                <w:rFonts w:hint="eastAsia" w:cs="宋体"/>
                <w:kern w:val="2"/>
              </w:rPr>
              <w:t>mg/（㎡▪h）</w:t>
            </w:r>
          </w:p>
        </w:tc>
        <w:tc>
          <w:tcPr>
            <w:tcW w:w="887" w:type="pct"/>
            <w:tcBorders>
              <w:top w:val="single" w:color="000000" w:sz="4" w:space="0"/>
              <w:left w:val="single" w:color="000000" w:sz="4" w:space="0"/>
              <w:bottom w:val="single" w:color="000000" w:sz="4" w:space="0"/>
              <w:right w:val="single" w:color="000000" w:sz="4" w:space="0"/>
            </w:tcBorders>
            <w:vAlign w:val="center"/>
          </w:tcPr>
          <w:p w14:paraId="1972D355">
            <w:pPr>
              <w:pStyle w:val="57"/>
              <w:spacing w:line="96" w:lineRule="atLeast"/>
              <w:rPr>
                <w:rFonts w:cs="宋体"/>
                <w:kern w:val="2"/>
              </w:rPr>
            </w:pPr>
            <w:r>
              <w:rPr>
                <w:rFonts w:hint="eastAsia" w:cs="宋体"/>
                <w:kern w:val="2"/>
              </w:rPr>
              <w:t>≤5.0</w:t>
            </w:r>
          </w:p>
        </w:tc>
      </w:tr>
      <w:tr w14:paraId="17DBAD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continue"/>
            <w:tcBorders>
              <w:top w:val="single" w:color="000000" w:sz="4" w:space="0"/>
              <w:left w:val="single" w:color="000000" w:sz="4" w:space="0"/>
              <w:bottom w:val="single" w:color="000000" w:sz="4" w:space="0"/>
              <w:right w:val="single" w:color="000000" w:sz="4" w:space="0"/>
            </w:tcBorders>
            <w:vAlign w:val="center"/>
          </w:tcPr>
          <w:p w14:paraId="28ACC9BE">
            <w:pPr>
              <w:widowControl/>
              <w:jc w:val="left"/>
              <w:rPr>
                <w:rFonts w:ascii="宋体" w:hAnsi="宋体" w:cs="宋体"/>
                <w:sz w:val="24"/>
              </w:rPr>
            </w:pPr>
          </w:p>
        </w:tc>
        <w:tc>
          <w:tcPr>
            <w:tcW w:w="2180" w:type="pct"/>
            <w:tcBorders>
              <w:top w:val="single" w:color="000000" w:sz="4" w:space="0"/>
              <w:left w:val="single" w:color="000000" w:sz="4" w:space="0"/>
              <w:bottom w:val="single" w:color="000000" w:sz="4" w:space="0"/>
              <w:right w:val="single" w:color="000000" w:sz="4" w:space="0"/>
            </w:tcBorders>
          </w:tcPr>
          <w:p w14:paraId="166F19F8">
            <w:pPr>
              <w:pStyle w:val="57"/>
              <w:spacing w:line="96" w:lineRule="atLeast"/>
              <w:rPr>
                <w:rFonts w:cs="宋体"/>
                <w:kern w:val="2"/>
              </w:rPr>
            </w:pPr>
            <w:r>
              <w:rPr>
                <w:rFonts w:hint="eastAsia" w:cs="宋体"/>
                <w:kern w:val="2"/>
              </w:rPr>
              <w:t>甲醛</w:t>
            </w:r>
          </w:p>
        </w:tc>
        <w:tc>
          <w:tcPr>
            <w:tcW w:w="891" w:type="pct"/>
            <w:vMerge w:val="continue"/>
            <w:tcBorders>
              <w:top w:val="single" w:color="000000" w:sz="4" w:space="0"/>
              <w:left w:val="single" w:color="000000" w:sz="4" w:space="0"/>
              <w:bottom w:val="single" w:color="000000" w:sz="4" w:space="0"/>
              <w:right w:val="single" w:color="000000" w:sz="4" w:space="0"/>
            </w:tcBorders>
            <w:vAlign w:val="center"/>
          </w:tcPr>
          <w:p w14:paraId="7C68CAE1">
            <w:pPr>
              <w:widowControl/>
              <w:jc w:val="left"/>
              <w:rPr>
                <w:rFonts w:ascii="宋体" w:hAnsi="宋体" w:cs="宋体"/>
                <w:sz w:val="24"/>
              </w:rPr>
            </w:pPr>
          </w:p>
        </w:tc>
        <w:tc>
          <w:tcPr>
            <w:tcW w:w="887" w:type="pct"/>
            <w:tcBorders>
              <w:top w:val="single" w:color="000000" w:sz="4" w:space="0"/>
              <w:left w:val="single" w:color="000000" w:sz="4" w:space="0"/>
              <w:bottom w:val="single" w:color="000000" w:sz="4" w:space="0"/>
              <w:right w:val="single" w:color="000000" w:sz="4" w:space="0"/>
            </w:tcBorders>
            <w:vAlign w:val="center"/>
          </w:tcPr>
          <w:p w14:paraId="12DC1FF2">
            <w:pPr>
              <w:pStyle w:val="57"/>
              <w:spacing w:line="96" w:lineRule="atLeast"/>
              <w:rPr>
                <w:rFonts w:cs="宋体"/>
                <w:kern w:val="2"/>
              </w:rPr>
            </w:pPr>
            <w:r>
              <w:rPr>
                <w:rFonts w:hint="eastAsia" w:cs="宋体"/>
                <w:kern w:val="2"/>
              </w:rPr>
              <w:t>≤0.4</w:t>
            </w:r>
          </w:p>
        </w:tc>
      </w:tr>
      <w:tr w14:paraId="381AF6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continue"/>
            <w:tcBorders>
              <w:top w:val="single" w:color="000000" w:sz="4" w:space="0"/>
              <w:left w:val="single" w:color="000000" w:sz="4" w:space="0"/>
              <w:bottom w:val="single" w:color="000000" w:sz="4" w:space="0"/>
              <w:right w:val="single" w:color="000000" w:sz="4" w:space="0"/>
            </w:tcBorders>
            <w:vAlign w:val="center"/>
          </w:tcPr>
          <w:p w14:paraId="013C1CD3">
            <w:pPr>
              <w:widowControl/>
              <w:jc w:val="left"/>
              <w:rPr>
                <w:rFonts w:ascii="宋体" w:hAnsi="宋体" w:cs="宋体"/>
                <w:sz w:val="24"/>
              </w:rPr>
            </w:pPr>
          </w:p>
        </w:tc>
        <w:tc>
          <w:tcPr>
            <w:tcW w:w="2180" w:type="pct"/>
            <w:tcBorders>
              <w:top w:val="single" w:color="000000" w:sz="4" w:space="0"/>
              <w:left w:val="single" w:color="000000" w:sz="4" w:space="0"/>
              <w:bottom w:val="single" w:color="000000" w:sz="4" w:space="0"/>
              <w:right w:val="single" w:color="000000" w:sz="4" w:space="0"/>
            </w:tcBorders>
          </w:tcPr>
          <w:p w14:paraId="620CA61E">
            <w:pPr>
              <w:pStyle w:val="57"/>
              <w:spacing w:line="96" w:lineRule="atLeast"/>
              <w:rPr>
                <w:rFonts w:cs="宋体"/>
                <w:kern w:val="2"/>
              </w:rPr>
            </w:pPr>
            <w:r>
              <w:rPr>
                <w:rFonts w:hint="eastAsia" w:cs="宋体"/>
                <w:kern w:val="2"/>
              </w:rPr>
              <w:t>苯</w:t>
            </w:r>
          </w:p>
        </w:tc>
        <w:tc>
          <w:tcPr>
            <w:tcW w:w="891" w:type="pct"/>
            <w:vMerge w:val="continue"/>
            <w:tcBorders>
              <w:top w:val="single" w:color="000000" w:sz="4" w:space="0"/>
              <w:left w:val="single" w:color="000000" w:sz="4" w:space="0"/>
              <w:bottom w:val="single" w:color="000000" w:sz="4" w:space="0"/>
              <w:right w:val="single" w:color="000000" w:sz="4" w:space="0"/>
            </w:tcBorders>
            <w:vAlign w:val="center"/>
          </w:tcPr>
          <w:p w14:paraId="3BBC7E37">
            <w:pPr>
              <w:widowControl/>
              <w:jc w:val="left"/>
              <w:rPr>
                <w:rFonts w:ascii="宋体" w:hAnsi="宋体" w:cs="宋体"/>
                <w:sz w:val="24"/>
              </w:rPr>
            </w:pPr>
          </w:p>
        </w:tc>
        <w:tc>
          <w:tcPr>
            <w:tcW w:w="887" w:type="pct"/>
            <w:tcBorders>
              <w:top w:val="single" w:color="000000" w:sz="4" w:space="0"/>
              <w:left w:val="single" w:color="000000" w:sz="4" w:space="0"/>
              <w:bottom w:val="single" w:color="000000" w:sz="4" w:space="0"/>
              <w:right w:val="single" w:color="000000" w:sz="4" w:space="0"/>
            </w:tcBorders>
            <w:vAlign w:val="center"/>
          </w:tcPr>
          <w:p w14:paraId="1AA3AAF8">
            <w:pPr>
              <w:pStyle w:val="57"/>
              <w:spacing w:line="96" w:lineRule="atLeast"/>
              <w:rPr>
                <w:rFonts w:cs="宋体"/>
                <w:kern w:val="2"/>
              </w:rPr>
            </w:pPr>
            <w:r>
              <w:rPr>
                <w:rFonts w:hint="eastAsia" w:cs="宋体"/>
                <w:kern w:val="2"/>
              </w:rPr>
              <w:t>≤0.1</w:t>
            </w:r>
          </w:p>
        </w:tc>
      </w:tr>
      <w:tr w14:paraId="17D340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continue"/>
            <w:tcBorders>
              <w:top w:val="single" w:color="000000" w:sz="4" w:space="0"/>
              <w:left w:val="single" w:color="000000" w:sz="4" w:space="0"/>
              <w:bottom w:val="single" w:color="000000" w:sz="4" w:space="0"/>
              <w:right w:val="single" w:color="000000" w:sz="4" w:space="0"/>
            </w:tcBorders>
            <w:vAlign w:val="center"/>
          </w:tcPr>
          <w:p w14:paraId="12D25693">
            <w:pPr>
              <w:widowControl/>
              <w:jc w:val="left"/>
              <w:rPr>
                <w:rFonts w:ascii="宋体" w:hAnsi="宋体" w:cs="宋体"/>
                <w:sz w:val="24"/>
              </w:rPr>
            </w:pPr>
          </w:p>
        </w:tc>
        <w:tc>
          <w:tcPr>
            <w:tcW w:w="2180" w:type="pct"/>
            <w:tcBorders>
              <w:top w:val="single" w:color="000000" w:sz="4" w:space="0"/>
              <w:left w:val="single" w:color="000000" w:sz="4" w:space="0"/>
              <w:bottom w:val="single" w:color="000000" w:sz="4" w:space="0"/>
              <w:right w:val="single" w:color="000000" w:sz="4" w:space="0"/>
            </w:tcBorders>
          </w:tcPr>
          <w:p w14:paraId="4FF1EF4D">
            <w:pPr>
              <w:pStyle w:val="57"/>
              <w:spacing w:line="96" w:lineRule="atLeast"/>
              <w:rPr>
                <w:rFonts w:cs="宋体"/>
                <w:kern w:val="2"/>
              </w:rPr>
            </w:pPr>
            <w:r>
              <w:rPr>
                <w:rFonts w:hint="eastAsia" w:cs="宋体"/>
                <w:kern w:val="2"/>
              </w:rPr>
              <w:t>甲苯、二甲苯和乙苯总和</w:t>
            </w:r>
          </w:p>
        </w:tc>
        <w:tc>
          <w:tcPr>
            <w:tcW w:w="891" w:type="pct"/>
            <w:vMerge w:val="continue"/>
            <w:tcBorders>
              <w:top w:val="single" w:color="000000" w:sz="4" w:space="0"/>
              <w:left w:val="single" w:color="000000" w:sz="4" w:space="0"/>
              <w:bottom w:val="single" w:color="000000" w:sz="4" w:space="0"/>
              <w:right w:val="single" w:color="000000" w:sz="4" w:space="0"/>
            </w:tcBorders>
            <w:vAlign w:val="center"/>
          </w:tcPr>
          <w:p w14:paraId="40E5014B">
            <w:pPr>
              <w:widowControl/>
              <w:jc w:val="left"/>
              <w:rPr>
                <w:rFonts w:ascii="宋体" w:hAnsi="宋体" w:cs="宋体"/>
                <w:sz w:val="24"/>
              </w:rPr>
            </w:pPr>
          </w:p>
        </w:tc>
        <w:tc>
          <w:tcPr>
            <w:tcW w:w="887" w:type="pct"/>
            <w:tcBorders>
              <w:top w:val="single" w:color="000000" w:sz="4" w:space="0"/>
              <w:left w:val="single" w:color="000000" w:sz="4" w:space="0"/>
              <w:bottom w:val="single" w:color="000000" w:sz="4" w:space="0"/>
              <w:right w:val="single" w:color="000000" w:sz="4" w:space="0"/>
            </w:tcBorders>
            <w:vAlign w:val="center"/>
          </w:tcPr>
          <w:p w14:paraId="43463A1B">
            <w:pPr>
              <w:pStyle w:val="57"/>
              <w:spacing w:line="96" w:lineRule="atLeast"/>
              <w:rPr>
                <w:rFonts w:cs="宋体"/>
                <w:kern w:val="2"/>
              </w:rPr>
            </w:pPr>
            <w:r>
              <w:rPr>
                <w:rFonts w:hint="eastAsia" w:cs="宋体"/>
                <w:kern w:val="2"/>
              </w:rPr>
              <w:t>≤1.0</w:t>
            </w:r>
          </w:p>
        </w:tc>
      </w:tr>
    </w:tbl>
    <w:p w14:paraId="78C050B6">
      <w:pPr>
        <w:pStyle w:val="23"/>
        <w:rPr>
          <w:rFonts w:hAnsi="宋体" w:cs="宋体"/>
          <w:b/>
          <w:bCs/>
          <w:szCs w:val="24"/>
          <w:lang w:val="en-US"/>
        </w:rPr>
      </w:pPr>
    </w:p>
    <w:p w14:paraId="0728C671">
      <w:pPr>
        <w:pStyle w:val="23"/>
        <w:rPr>
          <w:rFonts w:hAnsi="宋体" w:cs="宋体"/>
          <w:b/>
          <w:bCs/>
          <w:szCs w:val="24"/>
          <w:lang w:val="en-US"/>
        </w:rPr>
      </w:pPr>
      <w:r>
        <w:rPr>
          <w:rFonts w:hint="eastAsia" w:hAnsi="宋体" w:cs="宋体"/>
          <w:b/>
          <w:bCs/>
          <w:szCs w:val="24"/>
          <w:lang w:val="en-US"/>
        </w:rPr>
        <w:t>本项目要求参数：</w:t>
      </w:r>
    </w:p>
    <w:tbl>
      <w:tblPr>
        <w:tblStyle w:val="62"/>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1286"/>
        <w:gridCol w:w="1377"/>
        <w:gridCol w:w="6601"/>
      </w:tblGrid>
      <w:tr w14:paraId="748FC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 w:type="pct"/>
            <w:vAlign w:val="center"/>
          </w:tcPr>
          <w:p w14:paraId="56BD5B00">
            <w:pPr>
              <w:jc w:val="center"/>
              <w:rPr>
                <w:rFonts w:ascii="宋体" w:hAnsi="宋体" w:cs="宋体"/>
                <w:b/>
                <w:color w:val="000000"/>
                <w:sz w:val="24"/>
              </w:rPr>
            </w:pPr>
            <w:r>
              <w:rPr>
                <w:rFonts w:hint="eastAsia" w:ascii="宋体" w:hAnsi="宋体" w:cs="宋体"/>
                <w:b/>
                <w:color w:val="000000"/>
                <w:sz w:val="24"/>
              </w:rPr>
              <w:t>序号</w:t>
            </w:r>
          </w:p>
        </w:tc>
        <w:tc>
          <w:tcPr>
            <w:tcW w:w="646" w:type="pct"/>
            <w:vAlign w:val="center"/>
          </w:tcPr>
          <w:p w14:paraId="3DD2EC28">
            <w:pPr>
              <w:jc w:val="center"/>
              <w:rPr>
                <w:rFonts w:ascii="宋体" w:hAnsi="宋体" w:cs="宋体"/>
                <w:b/>
                <w:color w:val="000000"/>
                <w:sz w:val="24"/>
              </w:rPr>
            </w:pPr>
            <w:r>
              <w:rPr>
                <w:rFonts w:hint="eastAsia" w:ascii="宋体" w:hAnsi="宋体" w:cs="宋体"/>
                <w:b/>
                <w:color w:val="000000"/>
                <w:sz w:val="24"/>
              </w:rPr>
              <w:t>名称</w:t>
            </w:r>
          </w:p>
        </w:tc>
        <w:tc>
          <w:tcPr>
            <w:tcW w:w="4009" w:type="pct"/>
            <w:gridSpan w:val="2"/>
            <w:vAlign w:val="center"/>
          </w:tcPr>
          <w:p w14:paraId="321B3B69">
            <w:pPr>
              <w:jc w:val="center"/>
              <w:rPr>
                <w:rFonts w:ascii="宋体" w:hAnsi="宋体" w:cs="宋体"/>
                <w:b/>
                <w:color w:val="000000"/>
                <w:sz w:val="24"/>
              </w:rPr>
            </w:pPr>
            <w:r>
              <w:rPr>
                <w:rFonts w:hint="eastAsia" w:ascii="宋体" w:hAnsi="宋体" w:cs="宋体"/>
                <w:b/>
                <w:bCs/>
                <w:color w:val="000000"/>
                <w:sz w:val="24"/>
              </w:rPr>
              <w:t>技术参数及要求</w:t>
            </w:r>
          </w:p>
        </w:tc>
      </w:tr>
      <w:tr w14:paraId="56A2D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44" w:type="pct"/>
            <w:vMerge w:val="restart"/>
            <w:vAlign w:val="center"/>
          </w:tcPr>
          <w:p w14:paraId="05643948">
            <w:pPr>
              <w:jc w:val="center"/>
              <w:rPr>
                <w:rFonts w:ascii="宋体" w:hAnsi="宋体" w:cs="宋体"/>
                <w:b/>
                <w:color w:val="000000"/>
                <w:sz w:val="24"/>
              </w:rPr>
            </w:pPr>
            <w:r>
              <w:rPr>
                <w:rFonts w:hint="eastAsia" w:ascii="宋体" w:hAnsi="宋体" w:cs="宋体"/>
                <w:b/>
                <w:color w:val="000000"/>
                <w:sz w:val="24"/>
              </w:rPr>
              <w:t>1</w:t>
            </w:r>
          </w:p>
        </w:tc>
        <w:tc>
          <w:tcPr>
            <w:tcW w:w="646" w:type="pct"/>
            <w:vMerge w:val="restart"/>
            <w:vAlign w:val="center"/>
          </w:tcPr>
          <w:p w14:paraId="15DE5FAA">
            <w:pPr>
              <w:jc w:val="center"/>
              <w:rPr>
                <w:rFonts w:ascii="宋体" w:hAnsi="宋体" w:cs="宋体"/>
                <w:b/>
                <w:color w:val="000000"/>
                <w:sz w:val="24"/>
              </w:rPr>
            </w:pPr>
            <w:r>
              <w:rPr>
                <w:rFonts w:hint="eastAsia" w:ascii="宋体" w:hAnsi="宋体" w:cs="宋体"/>
                <w:b/>
                <w:color w:val="000000"/>
                <w:sz w:val="24"/>
              </w:rPr>
              <w:t>人造草坪</w:t>
            </w:r>
          </w:p>
        </w:tc>
        <w:tc>
          <w:tcPr>
            <w:tcW w:w="692" w:type="pct"/>
            <w:vAlign w:val="center"/>
          </w:tcPr>
          <w:p w14:paraId="2CCAE4E0">
            <w:pPr>
              <w:jc w:val="center"/>
              <w:rPr>
                <w:rFonts w:ascii="宋体" w:hAnsi="宋体" w:cs="宋体"/>
                <w:b/>
                <w:color w:val="000000"/>
                <w:sz w:val="24"/>
              </w:rPr>
            </w:pPr>
            <w:r>
              <w:rPr>
                <w:rFonts w:hint="eastAsia" w:ascii="宋体" w:hAnsi="宋体" w:cs="宋体"/>
                <w:b/>
                <w:color w:val="000000"/>
                <w:sz w:val="24"/>
              </w:rPr>
              <w:t>技术参数</w:t>
            </w:r>
          </w:p>
        </w:tc>
        <w:tc>
          <w:tcPr>
            <w:tcW w:w="3316" w:type="pct"/>
            <w:vAlign w:val="center"/>
          </w:tcPr>
          <w:p w14:paraId="00A19089">
            <w:pPr>
              <w:rPr>
                <w:rFonts w:ascii="宋体" w:hAnsi="宋体" w:cs="宋体"/>
                <w:sz w:val="24"/>
              </w:rPr>
            </w:pPr>
            <w:r>
              <w:rPr>
                <w:rFonts w:hint="eastAsia" w:ascii="宋体" w:hAnsi="宋体" w:cs="宋体"/>
                <w:sz w:val="24"/>
              </w:rPr>
              <w:t>1、生产方式：簇绒编织直线走针型</w:t>
            </w:r>
          </w:p>
          <w:p w14:paraId="7E613332">
            <w:pPr>
              <w:rPr>
                <w:rFonts w:ascii="宋体" w:hAnsi="宋体" w:cs="宋体"/>
                <w:sz w:val="24"/>
              </w:rPr>
            </w:pPr>
            <w:r>
              <w:rPr>
                <w:rFonts w:hint="eastAsia" w:ascii="宋体" w:hAnsi="宋体" w:cs="宋体"/>
                <w:sz w:val="24"/>
              </w:rPr>
              <w:t>2、草高：50mm（±1mm）</w:t>
            </w:r>
          </w:p>
          <w:p w14:paraId="654E2257">
            <w:pPr>
              <w:rPr>
                <w:rFonts w:ascii="宋体" w:hAnsi="宋体" w:cs="宋体"/>
                <w:sz w:val="24"/>
              </w:rPr>
            </w:pPr>
            <w:r>
              <w:rPr>
                <w:rFonts w:hint="eastAsia" w:ascii="宋体" w:hAnsi="宋体" w:cs="宋体"/>
                <w:sz w:val="24"/>
              </w:rPr>
              <w:t>3、规格：5/8</w:t>
            </w:r>
          </w:p>
          <w:p w14:paraId="2806FBDC">
            <w:pPr>
              <w:rPr>
                <w:rFonts w:ascii="宋体" w:hAnsi="宋体" w:cs="宋体"/>
                <w:sz w:val="24"/>
              </w:rPr>
            </w:pPr>
            <w:r>
              <w:rPr>
                <w:rFonts w:hint="eastAsia" w:ascii="宋体" w:hAnsi="宋体" w:cs="宋体"/>
                <w:sz w:val="24"/>
              </w:rPr>
              <w:t>4、每平方米针数：≥10500针/针</w:t>
            </w:r>
          </w:p>
          <w:p w14:paraId="22FDC139">
            <w:pPr>
              <w:rPr>
                <w:rFonts w:ascii="宋体" w:hAnsi="宋体" w:cs="宋体"/>
                <w:sz w:val="24"/>
              </w:rPr>
            </w:pPr>
            <w:r>
              <w:rPr>
                <w:rFonts w:hint="eastAsia" w:ascii="宋体" w:hAnsi="宋体" w:cs="宋体"/>
                <w:sz w:val="24"/>
              </w:rPr>
              <w:t>5、草丝形态：高耐磨双菱型草丝</w:t>
            </w:r>
          </w:p>
          <w:p w14:paraId="56C16848">
            <w:pPr>
              <w:rPr>
                <w:rFonts w:ascii="宋体" w:hAnsi="宋体" w:cs="宋体"/>
                <w:sz w:val="24"/>
              </w:rPr>
            </w:pPr>
            <w:r>
              <w:rPr>
                <w:rFonts w:hint="eastAsia" w:ascii="宋体" w:hAnsi="宋体" w:cs="宋体"/>
                <w:sz w:val="24"/>
              </w:rPr>
              <w:t>6、草丝纤维度：≥13000Dtex</w:t>
            </w:r>
          </w:p>
          <w:p w14:paraId="49986162">
            <w:pPr>
              <w:rPr>
                <w:rFonts w:ascii="宋体" w:hAnsi="宋体" w:cs="宋体"/>
                <w:sz w:val="24"/>
              </w:rPr>
            </w:pPr>
            <w:r>
              <w:rPr>
                <w:rFonts w:hint="eastAsia" w:ascii="宋体" w:hAnsi="宋体" w:cs="宋体"/>
                <w:sz w:val="24"/>
              </w:rPr>
              <w:t>7、底布：复合底布</w:t>
            </w:r>
          </w:p>
          <w:p w14:paraId="3C57D292">
            <w:pPr>
              <w:rPr>
                <w:rFonts w:ascii="宋体" w:hAnsi="宋体" w:cs="宋体"/>
                <w:sz w:val="24"/>
              </w:rPr>
            </w:pPr>
            <w:r>
              <w:rPr>
                <w:rFonts w:hint="eastAsia" w:ascii="宋体" w:hAnsi="宋体" w:cs="宋体"/>
                <w:sz w:val="24"/>
              </w:rPr>
              <w:t>8、背胶：环保丁苯乳胶</w:t>
            </w:r>
          </w:p>
          <w:p w14:paraId="63C78153">
            <w:pPr>
              <w:rPr>
                <w:rFonts w:ascii="宋体" w:hAnsi="宋体" w:cs="宋体"/>
                <w:sz w:val="24"/>
              </w:rPr>
            </w:pPr>
            <w:r>
              <w:rPr>
                <w:rFonts w:hint="eastAsia" w:ascii="宋体" w:hAnsi="宋体" w:cs="宋体"/>
                <w:sz w:val="24"/>
              </w:rPr>
              <w:t>9、填充颗粒TPE材质，含胶量大于等于20%，填充量5-6公斤每平米，填充40目石英砂大于30公斤每平米，10mm厚度xpe材质缓冲垫层。</w:t>
            </w:r>
          </w:p>
        </w:tc>
      </w:tr>
      <w:tr w14:paraId="22680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 w:type="pct"/>
            <w:vMerge w:val="continue"/>
            <w:vAlign w:val="center"/>
          </w:tcPr>
          <w:p w14:paraId="4A9971A6">
            <w:pPr>
              <w:jc w:val="center"/>
              <w:rPr>
                <w:rFonts w:ascii="宋体" w:hAnsi="宋体" w:cs="宋体"/>
                <w:b/>
                <w:color w:val="000000"/>
                <w:sz w:val="24"/>
              </w:rPr>
            </w:pPr>
          </w:p>
        </w:tc>
        <w:tc>
          <w:tcPr>
            <w:tcW w:w="646" w:type="pct"/>
            <w:vMerge w:val="continue"/>
            <w:vAlign w:val="center"/>
          </w:tcPr>
          <w:p w14:paraId="7C4D6305">
            <w:pPr>
              <w:jc w:val="center"/>
              <w:rPr>
                <w:rFonts w:ascii="宋体" w:hAnsi="宋体" w:cs="宋体"/>
                <w:b/>
                <w:color w:val="000000"/>
                <w:sz w:val="24"/>
              </w:rPr>
            </w:pPr>
          </w:p>
        </w:tc>
        <w:tc>
          <w:tcPr>
            <w:tcW w:w="692" w:type="pct"/>
            <w:vAlign w:val="center"/>
          </w:tcPr>
          <w:p w14:paraId="3FE5AAA4">
            <w:pPr>
              <w:jc w:val="center"/>
              <w:rPr>
                <w:rFonts w:ascii="宋体" w:hAnsi="宋体" w:cs="宋体"/>
                <w:b/>
                <w:color w:val="000000"/>
                <w:sz w:val="24"/>
              </w:rPr>
            </w:pPr>
            <w:r>
              <w:rPr>
                <w:rFonts w:hint="eastAsia" w:ascii="宋体" w:hAnsi="宋体" w:cs="宋体"/>
                <w:b/>
                <w:color w:val="000000"/>
                <w:sz w:val="24"/>
              </w:rPr>
              <w:t>技术要求</w:t>
            </w:r>
          </w:p>
        </w:tc>
        <w:tc>
          <w:tcPr>
            <w:tcW w:w="3316" w:type="pct"/>
            <w:vAlign w:val="center"/>
          </w:tcPr>
          <w:p w14:paraId="29BA22F5">
            <w:pPr>
              <w:rPr>
                <w:rFonts w:ascii="宋体" w:hAnsi="宋体" w:cs="宋体"/>
                <w:sz w:val="24"/>
              </w:rPr>
            </w:pPr>
            <w:r>
              <w:rPr>
                <w:rFonts w:hint="eastAsia" w:ascii="宋体" w:hAnsi="宋体" w:cs="宋体"/>
                <w:sz w:val="24"/>
              </w:rPr>
              <w:t>1、人造草坪须符合GB36246-2018《中小学合成材料面层运动场地》标准</w:t>
            </w:r>
          </w:p>
          <w:p w14:paraId="7AAAC742">
            <w:pPr>
              <w:rPr>
                <w:rFonts w:ascii="宋体" w:hAnsi="宋体" w:cs="宋体"/>
                <w:sz w:val="24"/>
              </w:rPr>
            </w:pPr>
            <w:r>
              <w:rPr>
                <w:rFonts w:hint="eastAsia" w:ascii="宋体" w:hAnsi="宋体" w:cs="宋体"/>
                <w:sz w:val="24"/>
              </w:rPr>
              <w:t>2、耐磨要求：草丝拉断力变化率≤35%，草丝拉断力≥20N</w:t>
            </w:r>
          </w:p>
          <w:p w14:paraId="10A8BF7D">
            <w:pPr>
              <w:rPr>
                <w:rFonts w:ascii="宋体" w:hAnsi="宋体" w:cs="宋体"/>
                <w:sz w:val="24"/>
              </w:rPr>
            </w:pPr>
            <w:r>
              <w:rPr>
                <w:rFonts w:hint="eastAsia" w:ascii="宋体" w:hAnsi="宋体" w:cs="宋体"/>
                <w:sz w:val="24"/>
              </w:rPr>
              <w:t>3、拔出力要求：人造草坪须符合GB/T20394-2019标准，在泡水、高温、低温及UV不小于500h老化后，拔出力≥130N的检测报告</w:t>
            </w:r>
          </w:p>
          <w:p w14:paraId="16687A0A">
            <w:pPr>
              <w:rPr>
                <w:rFonts w:ascii="宋体" w:hAnsi="宋体" w:cs="宋体"/>
                <w:sz w:val="24"/>
              </w:rPr>
            </w:pPr>
            <w:r>
              <w:rPr>
                <w:rFonts w:hint="eastAsia" w:ascii="宋体" w:hAnsi="宋体" w:cs="宋体"/>
                <w:sz w:val="24"/>
              </w:rPr>
              <w:t>4、抗老化要求：在不少于8个月的UVA和不少于4个月的UVB测试后色牢度≥3，草丝抗撕裂力变化率≤5%</w:t>
            </w:r>
          </w:p>
        </w:tc>
      </w:tr>
      <w:tr w14:paraId="60803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8" w:hRule="atLeast"/>
        </w:trPr>
        <w:tc>
          <w:tcPr>
            <w:tcW w:w="344" w:type="pct"/>
            <w:vMerge w:val="restart"/>
            <w:vAlign w:val="center"/>
          </w:tcPr>
          <w:p w14:paraId="2D9B61AD">
            <w:pPr>
              <w:jc w:val="center"/>
              <w:rPr>
                <w:rFonts w:ascii="宋体" w:hAnsi="宋体" w:cs="宋体"/>
                <w:b/>
                <w:color w:val="000000"/>
                <w:sz w:val="24"/>
              </w:rPr>
            </w:pPr>
            <w:r>
              <w:rPr>
                <w:rFonts w:hint="eastAsia" w:ascii="宋体" w:hAnsi="宋体" w:cs="宋体"/>
                <w:b/>
                <w:color w:val="000000"/>
                <w:sz w:val="24"/>
              </w:rPr>
              <w:t>2</w:t>
            </w:r>
          </w:p>
        </w:tc>
        <w:tc>
          <w:tcPr>
            <w:tcW w:w="646" w:type="pct"/>
            <w:vMerge w:val="restart"/>
            <w:vAlign w:val="center"/>
          </w:tcPr>
          <w:p w14:paraId="203BB9D6">
            <w:pPr>
              <w:jc w:val="center"/>
              <w:rPr>
                <w:rFonts w:ascii="宋体" w:hAnsi="宋体" w:cs="宋体"/>
                <w:b/>
                <w:color w:val="000000"/>
                <w:sz w:val="24"/>
              </w:rPr>
            </w:pPr>
            <w:r>
              <w:rPr>
                <w:rFonts w:hint="eastAsia" w:ascii="宋体" w:hAnsi="宋体" w:cs="宋体"/>
                <w:b/>
                <w:color w:val="000000"/>
                <w:sz w:val="24"/>
              </w:rPr>
              <w:t>填充颗粒</w:t>
            </w:r>
          </w:p>
        </w:tc>
        <w:tc>
          <w:tcPr>
            <w:tcW w:w="692" w:type="pct"/>
            <w:vAlign w:val="center"/>
          </w:tcPr>
          <w:p w14:paraId="6B7F033A">
            <w:pPr>
              <w:jc w:val="center"/>
              <w:rPr>
                <w:rFonts w:ascii="宋体" w:hAnsi="宋体" w:cs="宋体"/>
                <w:b/>
                <w:color w:val="000000"/>
                <w:sz w:val="24"/>
              </w:rPr>
            </w:pPr>
            <w:r>
              <w:rPr>
                <w:rFonts w:hint="eastAsia" w:ascii="宋体" w:hAnsi="宋体" w:cs="宋体"/>
                <w:b/>
                <w:color w:val="000000"/>
                <w:sz w:val="24"/>
              </w:rPr>
              <w:t>技术参数</w:t>
            </w:r>
          </w:p>
        </w:tc>
        <w:tc>
          <w:tcPr>
            <w:tcW w:w="3316" w:type="pct"/>
            <w:vAlign w:val="center"/>
          </w:tcPr>
          <w:p w14:paraId="11225D9F">
            <w:pPr>
              <w:rPr>
                <w:rFonts w:ascii="宋体" w:hAnsi="宋体" w:cs="宋体"/>
                <w:sz w:val="24"/>
              </w:rPr>
            </w:pPr>
            <w:r>
              <w:rPr>
                <w:rFonts w:hint="eastAsia" w:ascii="宋体" w:hAnsi="宋体" w:cs="宋体"/>
                <w:sz w:val="24"/>
              </w:rPr>
              <w:t>1、材质：热塑性弹性体（TPE）</w:t>
            </w:r>
          </w:p>
          <w:p w14:paraId="5D234A4C">
            <w:pPr>
              <w:rPr>
                <w:rFonts w:ascii="宋体" w:hAnsi="宋体" w:cs="宋体"/>
                <w:sz w:val="24"/>
              </w:rPr>
            </w:pPr>
            <w:r>
              <w:rPr>
                <w:rFonts w:hint="eastAsia" w:ascii="宋体" w:hAnsi="宋体" w:cs="宋体"/>
                <w:sz w:val="24"/>
              </w:rPr>
              <w:t>2、形状：圆柱体四孔镂空状；</w:t>
            </w:r>
          </w:p>
          <w:p w14:paraId="3462D4C0">
            <w:pPr>
              <w:rPr>
                <w:rFonts w:ascii="宋体" w:hAnsi="宋体" w:cs="宋体"/>
                <w:sz w:val="24"/>
              </w:rPr>
            </w:pPr>
            <w:r>
              <w:rPr>
                <w:rFonts w:hint="eastAsia" w:ascii="宋体" w:hAnsi="宋体" w:cs="宋体"/>
                <w:sz w:val="24"/>
              </w:rPr>
              <w:t>3、高聚物含量：≥20%；</w:t>
            </w:r>
          </w:p>
          <w:p w14:paraId="5ECFFADF">
            <w:pPr>
              <w:rPr>
                <w:rFonts w:ascii="宋体" w:hAnsi="宋体" w:cs="宋体"/>
                <w:sz w:val="24"/>
              </w:rPr>
            </w:pPr>
            <w:r>
              <w:rPr>
                <w:rFonts w:hint="eastAsia" w:ascii="宋体" w:hAnsi="宋体" w:cs="宋体"/>
                <w:sz w:val="24"/>
              </w:rPr>
              <w:t>4、填充数量：不少于6kg/㎡</w:t>
            </w:r>
          </w:p>
          <w:p w14:paraId="6D3B7214">
            <w:pPr>
              <w:rPr>
                <w:rFonts w:ascii="宋体" w:hAnsi="宋体" w:cs="宋体"/>
                <w:sz w:val="24"/>
              </w:rPr>
            </w:pPr>
            <w:r>
              <w:rPr>
                <w:rFonts w:hint="eastAsia" w:ascii="宋体" w:hAnsi="宋体" w:cs="宋体"/>
                <w:sz w:val="24"/>
              </w:rPr>
              <w:t>5、颜色：绿色</w:t>
            </w:r>
          </w:p>
        </w:tc>
      </w:tr>
      <w:tr w14:paraId="6B539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344" w:type="pct"/>
            <w:vMerge w:val="continue"/>
            <w:vAlign w:val="center"/>
          </w:tcPr>
          <w:p w14:paraId="3FB356A3">
            <w:pPr>
              <w:jc w:val="center"/>
              <w:rPr>
                <w:rFonts w:ascii="宋体" w:hAnsi="宋体" w:cs="宋体"/>
                <w:b/>
                <w:color w:val="000000"/>
                <w:sz w:val="24"/>
              </w:rPr>
            </w:pPr>
          </w:p>
        </w:tc>
        <w:tc>
          <w:tcPr>
            <w:tcW w:w="646" w:type="pct"/>
            <w:vMerge w:val="continue"/>
            <w:vAlign w:val="center"/>
          </w:tcPr>
          <w:p w14:paraId="1C6A2872">
            <w:pPr>
              <w:jc w:val="center"/>
              <w:rPr>
                <w:rFonts w:ascii="宋体" w:hAnsi="宋体" w:cs="宋体"/>
                <w:b/>
                <w:color w:val="000000"/>
                <w:sz w:val="24"/>
              </w:rPr>
            </w:pPr>
          </w:p>
        </w:tc>
        <w:tc>
          <w:tcPr>
            <w:tcW w:w="692" w:type="pct"/>
            <w:vAlign w:val="center"/>
          </w:tcPr>
          <w:p w14:paraId="73616CD7">
            <w:pPr>
              <w:jc w:val="center"/>
              <w:rPr>
                <w:rFonts w:ascii="宋体" w:hAnsi="宋体" w:cs="宋体"/>
                <w:b/>
                <w:color w:val="000000"/>
                <w:sz w:val="24"/>
              </w:rPr>
            </w:pPr>
            <w:r>
              <w:rPr>
                <w:rFonts w:hint="eastAsia" w:ascii="宋体" w:hAnsi="宋体" w:cs="宋体"/>
                <w:b/>
                <w:color w:val="000000"/>
                <w:sz w:val="24"/>
              </w:rPr>
              <w:t>技术要求</w:t>
            </w:r>
          </w:p>
        </w:tc>
        <w:tc>
          <w:tcPr>
            <w:tcW w:w="3316" w:type="pct"/>
            <w:vAlign w:val="center"/>
          </w:tcPr>
          <w:p w14:paraId="241DF4DA">
            <w:pPr>
              <w:rPr>
                <w:rFonts w:ascii="宋体" w:hAnsi="宋体" w:cs="宋体"/>
                <w:sz w:val="24"/>
              </w:rPr>
            </w:pPr>
            <w:r>
              <w:rPr>
                <w:rFonts w:hint="eastAsia" w:ascii="宋体" w:hAnsi="宋体" w:cs="宋体"/>
                <w:sz w:val="24"/>
              </w:rPr>
              <w:t>颗粒产品必须符合依据GB36246-2018标准对有害物质限量的要求。气味等级≤3。</w:t>
            </w:r>
          </w:p>
        </w:tc>
      </w:tr>
      <w:tr w14:paraId="0D102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trPr>
        <w:tc>
          <w:tcPr>
            <w:tcW w:w="344" w:type="pct"/>
            <w:vAlign w:val="center"/>
          </w:tcPr>
          <w:p w14:paraId="130C522C">
            <w:pPr>
              <w:jc w:val="center"/>
              <w:rPr>
                <w:rFonts w:ascii="宋体" w:hAnsi="宋体" w:cs="宋体"/>
                <w:b/>
                <w:color w:val="000000"/>
                <w:sz w:val="24"/>
              </w:rPr>
            </w:pPr>
            <w:r>
              <w:rPr>
                <w:rFonts w:hint="eastAsia" w:ascii="宋体" w:hAnsi="宋体" w:cs="宋体"/>
                <w:b/>
                <w:color w:val="000000"/>
                <w:sz w:val="24"/>
              </w:rPr>
              <w:t>3</w:t>
            </w:r>
          </w:p>
        </w:tc>
        <w:tc>
          <w:tcPr>
            <w:tcW w:w="646" w:type="pct"/>
            <w:vAlign w:val="center"/>
          </w:tcPr>
          <w:p w14:paraId="5A1A1287">
            <w:pPr>
              <w:jc w:val="center"/>
              <w:rPr>
                <w:rFonts w:ascii="宋体" w:hAnsi="宋体" w:cs="宋体"/>
                <w:b/>
                <w:color w:val="000000"/>
                <w:sz w:val="24"/>
              </w:rPr>
            </w:pPr>
            <w:r>
              <w:rPr>
                <w:rFonts w:hint="eastAsia" w:ascii="宋体" w:hAnsi="宋体" w:cs="宋体"/>
                <w:b/>
                <w:color w:val="000000"/>
                <w:sz w:val="24"/>
              </w:rPr>
              <w:t>石英砂</w:t>
            </w:r>
          </w:p>
        </w:tc>
        <w:tc>
          <w:tcPr>
            <w:tcW w:w="692" w:type="pct"/>
            <w:vAlign w:val="center"/>
          </w:tcPr>
          <w:p w14:paraId="49ECD4C7">
            <w:pPr>
              <w:jc w:val="center"/>
              <w:rPr>
                <w:rFonts w:ascii="宋体" w:hAnsi="宋体" w:cs="宋体"/>
                <w:b/>
                <w:color w:val="000000"/>
                <w:sz w:val="24"/>
              </w:rPr>
            </w:pPr>
            <w:r>
              <w:rPr>
                <w:rFonts w:hint="eastAsia" w:ascii="宋体" w:hAnsi="宋体" w:cs="宋体"/>
                <w:b/>
                <w:color w:val="000000"/>
                <w:sz w:val="24"/>
              </w:rPr>
              <w:t>技术参数</w:t>
            </w:r>
          </w:p>
        </w:tc>
        <w:tc>
          <w:tcPr>
            <w:tcW w:w="3316" w:type="pct"/>
            <w:vAlign w:val="center"/>
          </w:tcPr>
          <w:p w14:paraId="5A661877">
            <w:pPr>
              <w:rPr>
                <w:rFonts w:ascii="宋体" w:hAnsi="宋体" w:cs="宋体"/>
                <w:sz w:val="24"/>
              </w:rPr>
            </w:pPr>
            <w:r>
              <w:rPr>
                <w:rFonts w:hint="eastAsia" w:ascii="宋体" w:hAnsi="宋体" w:cs="宋体"/>
                <w:sz w:val="24"/>
              </w:rPr>
              <w:t>1、外观：无棱角，不掉粉；</w:t>
            </w:r>
          </w:p>
          <w:p w14:paraId="7B64509A">
            <w:pPr>
              <w:rPr>
                <w:rFonts w:ascii="宋体" w:hAnsi="宋体" w:cs="宋体"/>
                <w:sz w:val="24"/>
              </w:rPr>
            </w:pPr>
            <w:r>
              <w:rPr>
                <w:rFonts w:hint="eastAsia" w:ascii="宋体" w:hAnsi="宋体" w:cs="宋体"/>
                <w:sz w:val="24"/>
              </w:rPr>
              <w:t>2、宽度：20-40目；</w:t>
            </w:r>
          </w:p>
          <w:p w14:paraId="72475B6B">
            <w:pPr>
              <w:rPr>
                <w:rFonts w:ascii="宋体" w:hAnsi="宋体" w:cs="宋体"/>
                <w:sz w:val="24"/>
              </w:rPr>
            </w:pPr>
            <w:r>
              <w:rPr>
                <w:rFonts w:hint="eastAsia" w:ascii="宋体" w:hAnsi="宋体" w:cs="宋体"/>
                <w:sz w:val="24"/>
              </w:rPr>
              <w:t>3、填充：30-34公斤/平米；</w:t>
            </w:r>
          </w:p>
          <w:p w14:paraId="15B21AEB">
            <w:pPr>
              <w:rPr>
                <w:rFonts w:ascii="宋体" w:hAnsi="宋体" w:cs="宋体"/>
                <w:sz w:val="24"/>
              </w:rPr>
            </w:pPr>
            <w:r>
              <w:rPr>
                <w:rFonts w:hint="eastAsia" w:ascii="宋体" w:hAnsi="宋体" w:cs="宋体"/>
                <w:sz w:val="24"/>
              </w:rPr>
              <w:t>4、二氧化硅（SiO2）含量不应小于90%。</w:t>
            </w:r>
          </w:p>
        </w:tc>
      </w:tr>
      <w:tr w14:paraId="245E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344" w:type="pct"/>
            <w:vAlign w:val="center"/>
          </w:tcPr>
          <w:p w14:paraId="013F6B92">
            <w:pPr>
              <w:jc w:val="center"/>
              <w:rPr>
                <w:rFonts w:ascii="宋体" w:hAnsi="宋体" w:cs="宋体"/>
                <w:b/>
                <w:color w:val="000000"/>
                <w:sz w:val="24"/>
              </w:rPr>
            </w:pPr>
            <w:r>
              <w:rPr>
                <w:rFonts w:hint="eastAsia" w:ascii="宋体" w:hAnsi="宋体" w:cs="宋体"/>
                <w:b/>
                <w:color w:val="000000"/>
                <w:sz w:val="24"/>
              </w:rPr>
              <w:t>4</w:t>
            </w:r>
          </w:p>
        </w:tc>
        <w:tc>
          <w:tcPr>
            <w:tcW w:w="646" w:type="pct"/>
            <w:vAlign w:val="center"/>
          </w:tcPr>
          <w:p w14:paraId="21744F9D">
            <w:pPr>
              <w:jc w:val="center"/>
              <w:rPr>
                <w:rFonts w:ascii="宋体" w:hAnsi="宋体" w:cs="宋体"/>
                <w:b/>
                <w:color w:val="000000"/>
                <w:sz w:val="24"/>
              </w:rPr>
            </w:pPr>
            <w:r>
              <w:rPr>
                <w:rFonts w:hint="eastAsia" w:ascii="宋体" w:hAnsi="宋体" w:cs="宋体"/>
                <w:b/>
                <w:color w:val="000000"/>
                <w:sz w:val="24"/>
              </w:rPr>
              <w:t>人造草坪专用胶</w:t>
            </w:r>
          </w:p>
        </w:tc>
        <w:tc>
          <w:tcPr>
            <w:tcW w:w="692" w:type="pct"/>
            <w:vAlign w:val="center"/>
          </w:tcPr>
          <w:p w14:paraId="0976F21E">
            <w:pPr>
              <w:jc w:val="center"/>
              <w:rPr>
                <w:rFonts w:ascii="宋体" w:hAnsi="宋体" w:cs="宋体"/>
                <w:b/>
                <w:color w:val="000000"/>
                <w:sz w:val="24"/>
              </w:rPr>
            </w:pPr>
            <w:r>
              <w:rPr>
                <w:rFonts w:hint="eastAsia" w:ascii="宋体" w:hAnsi="宋体" w:cs="宋体"/>
                <w:b/>
                <w:color w:val="000000"/>
                <w:sz w:val="24"/>
              </w:rPr>
              <w:t>技术参数</w:t>
            </w:r>
          </w:p>
        </w:tc>
        <w:tc>
          <w:tcPr>
            <w:tcW w:w="3316" w:type="pct"/>
            <w:vAlign w:val="center"/>
          </w:tcPr>
          <w:p w14:paraId="6FA0532A">
            <w:pPr>
              <w:rPr>
                <w:rFonts w:ascii="宋体" w:hAnsi="宋体" w:cs="宋体"/>
                <w:sz w:val="24"/>
              </w:rPr>
            </w:pPr>
            <w:r>
              <w:rPr>
                <w:rFonts w:hint="eastAsia" w:ascii="宋体" w:hAnsi="宋体" w:cs="宋体"/>
                <w:sz w:val="24"/>
              </w:rPr>
              <w:t>双组分胶水</w:t>
            </w:r>
          </w:p>
        </w:tc>
      </w:tr>
      <w:tr w14:paraId="008A0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344" w:type="pct"/>
            <w:vAlign w:val="center"/>
          </w:tcPr>
          <w:p w14:paraId="4AACBFDF">
            <w:pPr>
              <w:jc w:val="center"/>
              <w:rPr>
                <w:rFonts w:ascii="宋体" w:hAnsi="宋体" w:cs="宋体"/>
                <w:b/>
                <w:color w:val="000000"/>
                <w:sz w:val="24"/>
              </w:rPr>
            </w:pPr>
            <w:r>
              <w:rPr>
                <w:rFonts w:hint="eastAsia" w:ascii="宋体" w:hAnsi="宋体" w:cs="宋体"/>
                <w:b/>
                <w:color w:val="000000"/>
                <w:sz w:val="24"/>
              </w:rPr>
              <w:t>5</w:t>
            </w:r>
          </w:p>
        </w:tc>
        <w:tc>
          <w:tcPr>
            <w:tcW w:w="646" w:type="pct"/>
            <w:vAlign w:val="center"/>
          </w:tcPr>
          <w:p w14:paraId="287B4E05">
            <w:pPr>
              <w:jc w:val="center"/>
              <w:rPr>
                <w:rFonts w:ascii="宋体" w:hAnsi="宋体" w:cs="宋体"/>
                <w:b/>
                <w:color w:val="000000"/>
                <w:sz w:val="24"/>
              </w:rPr>
            </w:pPr>
            <w:r>
              <w:rPr>
                <w:rFonts w:hint="eastAsia" w:ascii="宋体" w:hAnsi="宋体" w:cs="宋体"/>
                <w:b/>
                <w:color w:val="000000"/>
                <w:sz w:val="24"/>
              </w:rPr>
              <w:t>施工</w:t>
            </w:r>
          </w:p>
        </w:tc>
        <w:tc>
          <w:tcPr>
            <w:tcW w:w="692" w:type="pct"/>
            <w:vAlign w:val="center"/>
          </w:tcPr>
          <w:p w14:paraId="501E2B8B">
            <w:pPr>
              <w:jc w:val="center"/>
              <w:rPr>
                <w:rFonts w:ascii="宋体" w:hAnsi="宋体" w:cs="宋体"/>
                <w:b/>
                <w:color w:val="000000"/>
                <w:sz w:val="24"/>
              </w:rPr>
            </w:pPr>
          </w:p>
        </w:tc>
        <w:tc>
          <w:tcPr>
            <w:tcW w:w="3316" w:type="pct"/>
            <w:vAlign w:val="center"/>
          </w:tcPr>
          <w:p w14:paraId="118F7039">
            <w:pPr>
              <w:rPr>
                <w:rFonts w:ascii="宋体" w:hAnsi="宋体" w:cs="宋体"/>
                <w:sz w:val="24"/>
              </w:rPr>
            </w:pPr>
            <w:r>
              <w:rPr>
                <w:rFonts w:hint="eastAsia" w:ascii="宋体" w:hAnsi="宋体" w:cs="宋体"/>
                <w:sz w:val="24"/>
              </w:rPr>
              <w:t>熟练人造草坪铺装工人，按照GB/T43566-2023《中小学人造草面层足球场地》标准施工</w:t>
            </w:r>
          </w:p>
        </w:tc>
      </w:tr>
    </w:tbl>
    <w:p w14:paraId="74FBD6C5">
      <w:pPr>
        <w:adjustRightInd/>
        <w:spacing w:line="360" w:lineRule="auto"/>
        <w:jc w:val="left"/>
        <w:rPr>
          <w:rFonts w:ascii="宋体" w:hAnsi="宋体" w:cs="宋体"/>
          <w:b/>
          <w:bCs/>
          <w:color w:val="000000" w:themeColor="text1"/>
          <w:sz w:val="28"/>
          <w:szCs w:val="28"/>
          <w14:textFill>
            <w14:solidFill>
              <w14:schemeClr w14:val="tx1"/>
            </w14:solidFill>
          </w14:textFill>
        </w:rPr>
      </w:pPr>
    </w:p>
    <w:p w14:paraId="55C10CB4">
      <w:pPr>
        <w:adjustRightInd/>
        <w:spacing w:line="360" w:lineRule="auto"/>
        <w:jc w:val="left"/>
        <w:outlineLvl w:val="1"/>
        <w:rPr>
          <w:rFonts w:ascii="宋体" w:hAnsi="宋体" w:cs="宋体"/>
          <w:b/>
          <w:bCs/>
          <w:color w:val="000000" w:themeColor="text1"/>
          <w:sz w:val="28"/>
          <w:szCs w:val="28"/>
          <w14:textFill>
            <w14:solidFill>
              <w14:schemeClr w14:val="tx1"/>
            </w14:solidFill>
          </w14:textFill>
        </w:rPr>
      </w:pPr>
      <w:bookmarkStart w:id="63" w:name="_Toc14878"/>
      <w:r>
        <w:rPr>
          <w:rFonts w:hint="eastAsia" w:ascii="宋体" w:hAnsi="宋体" w:cs="宋体"/>
          <w:b/>
          <w:bCs/>
          <w:color w:val="000000" w:themeColor="text1"/>
          <w:sz w:val="28"/>
          <w:szCs w:val="28"/>
          <w14:textFill>
            <w14:solidFill>
              <w14:schemeClr w14:val="tx1"/>
            </w14:solidFill>
          </w14:textFill>
        </w:rPr>
        <w:t>五、施工要求</w:t>
      </w:r>
      <w:bookmarkEnd w:id="63"/>
    </w:p>
    <w:p w14:paraId="010BB9FD">
      <w:pPr>
        <w:adjustRightInd/>
        <w:spacing w:line="360" w:lineRule="auto"/>
        <w:ind w:firstLine="480" w:firstLineChars="200"/>
        <w:jc w:val="left"/>
        <w:rPr>
          <w:rFonts w:ascii="宋体" w:hAnsi="Calibri"/>
          <w:sz w:val="24"/>
          <w:szCs w:val="20"/>
        </w:rPr>
      </w:pPr>
      <w:r>
        <w:rPr>
          <w:rFonts w:ascii="宋体" w:hAnsi="Calibri"/>
          <w:sz w:val="24"/>
          <w:szCs w:val="20"/>
        </w:rPr>
        <w:t>1.本工程发包范围内的工程项目，不得转包，未经采购人同意一律不得分包。一经发现立即取消承包资格，作违约处理，并承担由此引起的一切经济损失。</w:t>
      </w:r>
    </w:p>
    <w:p w14:paraId="18A38A76">
      <w:pPr>
        <w:adjustRightInd/>
        <w:spacing w:line="360" w:lineRule="auto"/>
        <w:ind w:firstLine="480" w:firstLineChars="200"/>
        <w:jc w:val="left"/>
        <w:rPr>
          <w:rFonts w:ascii="宋体" w:hAnsi="Calibri"/>
          <w:sz w:val="24"/>
          <w:szCs w:val="20"/>
        </w:rPr>
      </w:pPr>
      <w:r>
        <w:rPr>
          <w:rFonts w:ascii="宋体" w:hAnsi="Calibri"/>
          <w:sz w:val="24"/>
          <w:szCs w:val="20"/>
        </w:rPr>
        <w:t>2.供应商应严格按磋商文件和已确认的施工技术方案组织施工，并无条件地接受采购人或其委托的监理单位（如有）对施工质量、进度、安全、投资的监督和管理。</w:t>
      </w:r>
    </w:p>
    <w:p w14:paraId="1E9C46F1">
      <w:pPr>
        <w:adjustRightInd/>
        <w:spacing w:line="360" w:lineRule="auto"/>
        <w:ind w:firstLine="480" w:firstLineChars="200"/>
        <w:jc w:val="left"/>
        <w:rPr>
          <w:rFonts w:ascii="宋体" w:hAnsi="Calibri"/>
          <w:sz w:val="24"/>
          <w:szCs w:val="20"/>
        </w:rPr>
      </w:pPr>
      <w:r>
        <w:rPr>
          <w:rFonts w:ascii="宋体" w:hAnsi="Calibri"/>
          <w:sz w:val="24"/>
          <w:szCs w:val="20"/>
        </w:rPr>
        <w:t>3.供应商在响应文件中承诺的管理人员未经采购人同意，供应商不得调换和撤离，并按工程进度及时到位。采购人有权要求施工单位撤换工作不负责任、管理不力、贻误工期和造成严重的安全事故和工程质量事故、违法乱纪的专业技术、管理人员直至项目经理，直至采购人满意为止。如项目经理及相应资质的专业技术人员未按要求到位，视作违约，采购人有权单方面终止合同。</w:t>
      </w:r>
    </w:p>
    <w:p w14:paraId="4DE68138">
      <w:pPr>
        <w:adjustRightInd/>
        <w:spacing w:line="360" w:lineRule="auto"/>
        <w:ind w:firstLine="480" w:firstLineChars="200"/>
        <w:jc w:val="left"/>
      </w:pPr>
      <w:r>
        <w:rPr>
          <w:rFonts w:ascii="宋体" w:hAnsi="Calibri"/>
          <w:sz w:val="24"/>
          <w:szCs w:val="20"/>
        </w:rPr>
        <w:t>4.在施工期间，成交供应商必须注意院内人员安全，加强安全措施，并对施工人员进行安全教育。施工人员必须持证上岗。因采购人工作的特殊性，要求中标供应商在施工中做到封闭性施工。</w:t>
      </w:r>
    </w:p>
    <w:p w14:paraId="1A75ADBA">
      <w:pPr>
        <w:adjustRightInd/>
        <w:spacing w:line="360" w:lineRule="auto"/>
        <w:jc w:val="left"/>
        <w:outlineLvl w:val="1"/>
        <w:rPr>
          <w:rFonts w:ascii="宋体" w:hAnsi="宋体" w:cs="宋体"/>
          <w:b/>
          <w:bCs/>
          <w:color w:val="000000" w:themeColor="text1"/>
          <w:sz w:val="28"/>
          <w:szCs w:val="28"/>
          <w14:textFill>
            <w14:solidFill>
              <w14:schemeClr w14:val="tx1"/>
            </w14:solidFill>
          </w14:textFill>
        </w:rPr>
      </w:pPr>
      <w:bookmarkStart w:id="64" w:name="_Toc25341"/>
      <w:r>
        <w:rPr>
          <w:rFonts w:hint="eastAsia" w:ascii="宋体" w:hAnsi="宋体" w:cs="宋体"/>
          <w:b/>
          <w:bCs/>
          <w:color w:val="000000" w:themeColor="text1"/>
          <w:sz w:val="28"/>
          <w:szCs w:val="28"/>
          <w14:textFill>
            <w14:solidFill>
              <w14:schemeClr w14:val="tx1"/>
            </w14:solidFill>
          </w14:textFill>
        </w:rPr>
        <w:t>六、安全文明施工要求</w:t>
      </w:r>
      <w:bookmarkEnd w:id="64"/>
    </w:p>
    <w:p w14:paraId="0BFBF6A7">
      <w:pPr>
        <w:adjustRightInd/>
        <w:spacing w:line="360" w:lineRule="auto"/>
        <w:ind w:firstLine="480" w:firstLineChars="200"/>
        <w:jc w:val="left"/>
        <w:rPr>
          <w:rFonts w:ascii="宋体" w:hAnsi="Calibri"/>
          <w:sz w:val="24"/>
          <w:szCs w:val="20"/>
        </w:rPr>
      </w:pPr>
      <w:r>
        <w:rPr>
          <w:rFonts w:hint="eastAsia" w:ascii="宋体" w:hAnsi="Calibri"/>
          <w:sz w:val="24"/>
          <w:szCs w:val="20"/>
        </w:rPr>
        <w:t>1.安全文明施工应符合《建筑工程安全防护、文明施工措施费用及使用管理规定》（建办【2005】89号）的规定，并符合地方政府对安全文明施工合格（或标准化实施）的要求及本招标文件的要求。</w:t>
      </w:r>
    </w:p>
    <w:p w14:paraId="77D16350">
      <w:pPr>
        <w:adjustRightInd/>
        <w:spacing w:line="360" w:lineRule="auto"/>
        <w:ind w:firstLine="480" w:firstLineChars="200"/>
        <w:jc w:val="left"/>
        <w:rPr>
          <w:rFonts w:ascii="宋体" w:hAnsi="宋体" w:cs="宋体"/>
          <w:b/>
          <w:bCs/>
          <w:color w:val="000000" w:themeColor="text1"/>
          <w:sz w:val="28"/>
          <w:szCs w:val="28"/>
          <w14:textFill>
            <w14:solidFill>
              <w14:schemeClr w14:val="tx1"/>
            </w14:solidFill>
          </w14:textFill>
        </w:rPr>
      </w:pPr>
      <w:r>
        <w:rPr>
          <w:rFonts w:hint="eastAsia" w:ascii="宋体" w:hAnsi="Calibri"/>
          <w:sz w:val="24"/>
          <w:szCs w:val="20"/>
        </w:rPr>
        <w:t>2.施工现场应建立安全管理制度，设置专职安全管理人员，专职安全管理人员应具有相应的资格。特殊工种人员应持证上岗，具备相应的特种作业资格证。</w:t>
      </w:r>
    </w:p>
    <w:p w14:paraId="4CC450AE">
      <w:pPr>
        <w:adjustRightInd/>
        <w:spacing w:line="360" w:lineRule="auto"/>
        <w:jc w:val="left"/>
        <w:outlineLvl w:val="1"/>
        <w:rPr>
          <w:rFonts w:ascii="宋体" w:hAnsi="宋体" w:cs="宋体"/>
          <w:b/>
          <w:bCs/>
          <w:color w:val="000000" w:themeColor="text1"/>
          <w:sz w:val="28"/>
          <w:szCs w:val="28"/>
          <w14:textFill>
            <w14:solidFill>
              <w14:schemeClr w14:val="tx1"/>
            </w14:solidFill>
          </w14:textFill>
        </w:rPr>
      </w:pPr>
      <w:bookmarkStart w:id="65" w:name="_Toc599"/>
      <w:r>
        <w:rPr>
          <w:rFonts w:hint="eastAsia" w:ascii="宋体" w:hAnsi="宋体" w:cs="宋体"/>
          <w:b/>
          <w:bCs/>
          <w:color w:val="000000" w:themeColor="text1"/>
          <w:sz w:val="28"/>
          <w:szCs w:val="28"/>
          <w14:textFill>
            <w14:solidFill>
              <w14:schemeClr w14:val="tx1"/>
            </w14:solidFill>
          </w14:textFill>
        </w:rPr>
        <w:t>七、样品要求</w:t>
      </w:r>
      <w:bookmarkEnd w:id="65"/>
    </w:p>
    <w:p w14:paraId="3DFBCD39">
      <w:pPr>
        <w:snapToGrid w:val="0"/>
        <w:spacing w:line="360" w:lineRule="auto"/>
        <w:ind w:firstLine="482" w:firstLineChars="200"/>
        <w:jc w:val="left"/>
        <w:rPr>
          <w:rFonts w:ascii="宋体" w:hAnsi="宋体"/>
          <w:b/>
          <w:bCs/>
          <w:color w:val="000000"/>
          <w:sz w:val="24"/>
        </w:rPr>
      </w:pPr>
      <w:r>
        <w:rPr>
          <w:rFonts w:ascii="宋体" w:hAnsi="宋体"/>
          <w:b/>
          <w:bCs/>
          <w:color w:val="000000"/>
          <w:sz w:val="24"/>
        </w:rPr>
        <w:t>1.本次采购要求提供样品。</w:t>
      </w:r>
    </w:p>
    <w:p w14:paraId="056E3C56">
      <w:pPr>
        <w:snapToGrid w:val="0"/>
        <w:spacing w:line="360" w:lineRule="auto"/>
        <w:ind w:firstLine="480" w:firstLineChars="200"/>
        <w:jc w:val="left"/>
        <w:rPr>
          <w:rFonts w:ascii="宋体" w:hAnsi="宋体"/>
          <w:color w:val="000000"/>
          <w:sz w:val="24"/>
        </w:rPr>
      </w:pPr>
      <w:r>
        <w:rPr>
          <w:rFonts w:ascii="宋体" w:hAnsi="宋体"/>
          <w:color w:val="000000"/>
          <w:sz w:val="24"/>
        </w:rPr>
        <w:t>2.验收时如果</w:t>
      </w:r>
      <w:r>
        <w:rPr>
          <w:rFonts w:hint="eastAsia" w:ascii="宋体" w:hAnsi="宋体"/>
          <w:color w:val="000000"/>
          <w:sz w:val="24"/>
        </w:rPr>
        <w:t>中标人</w:t>
      </w:r>
      <w:r>
        <w:rPr>
          <w:rFonts w:ascii="宋体" w:hAnsi="宋体"/>
          <w:color w:val="000000"/>
          <w:sz w:val="24"/>
        </w:rPr>
        <w:t>提供的产品质量低于样品质量，采购人将不予接受，其造成的一切损失和后果由</w:t>
      </w:r>
      <w:r>
        <w:rPr>
          <w:rFonts w:hint="eastAsia" w:ascii="宋体" w:hAnsi="宋体"/>
          <w:color w:val="000000"/>
          <w:sz w:val="24"/>
        </w:rPr>
        <w:t>中标人</w:t>
      </w:r>
      <w:r>
        <w:rPr>
          <w:rFonts w:ascii="宋体" w:hAnsi="宋体"/>
          <w:color w:val="000000"/>
          <w:sz w:val="24"/>
        </w:rPr>
        <w:t>承担。</w:t>
      </w:r>
    </w:p>
    <w:p w14:paraId="6410FCDE">
      <w:pPr>
        <w:snapToGrid w:val="0"/>
        <w:spacing w:line="360" w:lineRule="auto"/>
        <w:ind w:firstLine="482" w:firstLineChars="200"/>
        <w:jc w:val="left"/>
        <w:rPr>
          <w:rFonts w:ascii="宋体" w:hAnsi="宋体"/>
          <w:color w:val="000000"/>
          <w:sz w:val="24"/>
        </w:rPr>
      </w:pPr>
      <w:r>
        <w:rPr>
          <w:rFonts w:ascii="宋体" w:hAnsi="宋体"/>
          <w:b/>
          <w:bCs/>
          <w:color w:val="000000"/>
          <w:sz w:val="24"/>
        </w:rPr>
        <w:t>3.样品</w:t>
      </w:r>
      <w:r>
        <w:rPr>
          <w:rFonts w:hint="eastAsia" w:ascii="宋体" w:hAnsi="宋体"/>
          <w:b/>
          <w:bCs/>
          <w:color w:val="000000"/>
          <w:sz w:val="24"/>
        </w:rPr>
        <w:t>须注明供应商单位名称及样品品类</w:t>
      </w:r>
      <w:r>
        <w:rPr>
          <w:rFonts w:ascii="宋体" w:hAnsi="宋体"/>
          <w:color w:val="000000"/>
          <w:sz w:val="24"/>
        </w:rPr>
        <w:t>。</w:t>
      </w:r>
    </w:p>
    <w:p w14:paraId="355F579B">
      <w:pPr>
        <w:snapToGrid w:val="0"/>
        <w:spacing w:line="360" w:lineRule="auto"/>
        <w:ind w:firstLine="482" w:firstLineChars="200"/>
        <w:jc w:val="left"/>
        <w:rPr>
          <w:rFonts w:ascii="宋体" w:hAnsi="宋体"/>
          <w:b/>
          <w:bCs/>
          <w:color w:val="000000"/>
          <w:sz w:val="24"/>
        </w:rPr>
      </w:pPr>
      <w:r>
        <w:rPr>
          <w:rFonts w:ascii="宋体" w:hAnsi="宋体"/>
          <w:b/>
          <w:bCs/>
          <w:color w:val="000000"/>
          <w:sz w:val="24"/>
        </w:rPr>
        <w:t>4.要求</w:t>
      </w:r>
    </w:p>
    <w:tbl>
      <w:tblPr>
        <w:tblStyle w:val="62"/>
        <w:tblW w:w="44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3254"/>
        <w:gridCol w:w="2529"/>
        <w:gridCol w:w="2352"/>
      </w:tblGrid>
      <w:tr w14:paraId="46026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413" w:type="pct"/>
            <w:tcBorders>
              <w:top w:val="single" w:color="auto" w:sz="4" w:space="0"/>
              <w:left w:val="single" w:color="auto" w:sz="4" w:space="0"/>
              <w:bottom w:val="single" w:color="auto" w:sz="4" w:space="0"/>
              <w:right w:val="single" w:color="auto" w:sz="4" w:space="0"/>
            </w:tcBorders>
            <w:vAlign w:val="center"/>
          </w:tcPr>
          <w:p w14:paraId="489C1EC8">
            <w:pPr>
              <w:jc w:val="center"/>
              <w:rPr>
                <w:rFonts w:ascii="宋体" w:hAnsi="宋体"/>
                <w:b/>
                <w:bCs/>
                <w:color w:val="000000"/>
                <w:sz w:val="24"/>
              </w:rPr>
            </w:pPr>
            <w:r>
              <w:rPr>
                <w:rFonts w:ascii="宋体" w:hAnsi="宋体"/>
                <w:b/>
                <w:bCs/>
                <w:color w:val="000000"/>
                <w:sz w:val="24"/>
              </w:rPr>
              <w:t>序号</w:t>
            </w:r>
          </w:p>
        </w:tc>
        <w:tc>
          <w:tcPr>
            <w:tcW w:w="1835" w:type="pct"/>
            <w:tcBorders>
              <w:top w:val="single" w:color="auto" w:sz="4" w:space="0"/>
              <w:left w:val="single" w:color="auto" w:sz="4" w:space="0"/>
              <w:bottom w:val="single" w:color="auto" w:sz="4" w:space="0"/>
              <w:right w:val="single" w:color="auto" w:sz="4" w:space="0"/>
            </w:tcBorders>
            <w:vAlign w:val="center"/>
          </w:tcPr>
          <w:p w14:paraId="535F5592">
            <w:pPr>
              <w:jc w:val="center"/>
              <w:rPr>
                <w:rFonts w:ascii="宋体" w:hAnsi="宋体"/>
                <w:b/>
                <w:bCs/>
                <w:color w:val="000000"/>
                <w:sz w:val="24"/>
              </w:rPr>
            </w:pPr>
            <w:r>
              <w:rPr>
                <w:rFonts w:ascii="宋体" w:hAnsi="宋体"/>
                <w:b/>
                <w:bCs/>
                <w:color w:val="000000"/>
                <w:sz w:val="24"/>
              </w:rPr>
              <w:t>样品名称</w:t>
            </w:r>
          </w:p>
        </w:tc>
        <w:tc>
          <w:tcPr>
            <w:tcW w:w="1426" w:type="pct"/>
            <w:tcBorders>
              <w:top w:val="single" w:color="auto" w:sz="4" w:space="0"/>
              <w:left w:val="single" w:color="auto" w:sz="4" w:space="0"/>
              <w:bottom w:val="single" w:color="auto" w:sz="4" w:space="0"/>
              <w:right w:val="single" w:color="auto" w:sz="4" w:space="0"/>
            </w:tcBorders>
            <w:vAlign w:val="center"/>
          </w:tcPr>
          <w:p w14:paraId="005768BD">
            <w:pPr>
              <w:jc w:val="center"/>
              <w:rPr>
                <w:rFonts w:ascii="宋体" w:hAnsi="宋体"/>
                <w:b/>
                <w:bCs/>
                <w:color w:val="000000"/>
                <w:sz w:val="24"/>
              </w:rPr>
            </w:pPr>
            <w:r>
              <w:rPr>
                <w:rFonts w:ascii="宋体" w:hAnsi="宋体"/>
                <w:b/>
                <w:bCs/>
                <w:color w:val="000000"/>
                <w:sz w:val="24"/>
              </w:rPr>
              <w:t>规格</w:t>
            </w:r>
          </w:p>
        </w:tc>
        <w:tc>
          <w:tcPr>
            <w:tcW w:w="1326" w:type="pct"/>
            <w:tcBorders>
              <w:top w:val="single" w:color="auto" w:sz="4" w:space="0"/>
              <w:left w:val="single" w:color="auto" w:sz="4" w:space="0"/>
              <w:bottom w:val="single" w:color="auto" w:sz="4" w:space="0"/>
              <w:right w:val="single" w:color="auto" w:sz="4" w:space="0"/>
            </w:tcBorders>
            <w:vAlign w:val="center"/>
          </w:tcPr>
          <w:p w14:paraId="7665637A">
            <w:pPr>
              <w:jc w:val="center"/>
              <w:rPr>
                <w:rFonts w:ascii="宋体" w:hAnsi="宋体"/>
                <w:b/>
                <w:bCs/>
                <w:color w:val="000000"/>
                <w:sz w:val="24"/>
              </w:rPr>
            </w:pPr>
            <w:r>
              <w:rPr>
                <w:rFonts w:ascii="宋体" w:hAnsi="宋体"/>
                <w:b/>
                <w:bCs/>
                <w:color w:val="000000"/>
                <w:sz w:val="24"/>
              </w:rPr>
              <w:t>数量</w:t>
            </w:r>
          </w:p>
        </w:tc>
      </w:tr>
      <w:tr w14:paraId="09B38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13" w:type="pct"/>
            <w:tcBorders>
              <w:top w:val="single" w:color="auto" w:sz="4" w:space="0"/>
              <w:left w:val="single" w:color="auto" w:sz="4" w:space="0"/>
              <w:bottom w:val="single" w:color="auto" w:sz="4" w:space="0"/>
              <w:right w:val="single" w:color="auto" w:sz="4" w:space="0"/>
            </w:tcBorders>
            <w:vAlign w:val="center"/>
          </w:tcPr>
          <w:p w14:paraId="4D2F25A9">
            <w:pPr>
              <w:jc w:val="center"/>
              <w:rPr>
                <w:rFonts w:ascii="宋体" w:hAnsi="宋体"/>
                <w:color w:val="000000"/>
                <w:sz w:val="24"/>
              </w:rPr>
            </w:pPr>
            <w:r>
              <w:rPr>
                <w:rFonts w:ascii="宋体" w:hAnsi="宋体"/>
                <w:color w:val="000000"/>
                <w:sz w:val="24"/>
              </w:rPr>
              <w:t>1</w:t>
            </w:r>
          </w:p>
        </w:tc>
        <w:tc>
          <w:tcPr>
            <w:tcW w:w="1835" w:type="pct"/>
            <w:tcBorders>
              <w:top w:val="single" w:color="auto" w:sz="4" w:space="0"/>
              <w:left w:val="single" w:color="auto" w:sz="4" w:space="0"/>
              <w:bottom w:val="single" w:color="auto" w:sz="4" w:space="0"/>
              <w:right w:val="single" w:color="auto" w:sz="4" w:space="0"/>
            </w:tcBorders>
            <w:vAlign w:val="center"/>
          </w:tcPr>
          <w:p w14:paraId="2535CA37">
            <w:pPr>
              <w:jc w:val="center"/>
              <w:rPr>
                <w:rFonts w:ascii="宋体" w:hAnsi="宋体"/>
                <w:color w:val="000000"/>
                <w:sz w:val="24"/>
              </w:rPr>
            </w:pPr>
            <w:r>
              <w:rPr>
                <w:rFonts w:hint="eastAsia" w:ascii="宋体" w:hAnsi="宋体"/>
                <w:color w:val="000000"/>
                <w:sz w:val="24"/>
              </w:rPr>
              <w:t>塑胶跑道</w:t>
            </w:r>
          </w:p>
        </w:tc>
        <w:tc>
          <w:tcPr>
            <w:tcW w:w="1426" w:type="pct"/>
            <w:tcBorders>
              <w:top w:val="single" w:color="auto" w:sz="4" w:space="0"/>
              <w:left w:val="single" w:color="auto" w:sz="4" w:space="0"/>
              <w:bottom w:val="single" w:color="auto" w:sz="4" w:space="0"/>
              <w:right w:val="single" w:color="auto" w:sz="4" w:space="0"/>
            </w:tcBorders>
            <w:vAlign w:val="center"/>
          </w:tcPr>
          <w:p w14:paraId="60650789">
            <w:pPr>
              <w:jc w:val="center"/>
              <w:rPr>
                <w:rFonts w:ascii="宋体" w:hAnsi="宋体"/>
                <w:color w:val="000000"/>
                <w:sz w:val="24"/>
              </w:rPr>
            </w:pPr>
            <w:r>
              <w:rPr>
                <w:rFonts w:hint="eastAsia" w:ascii="宋体" w:hAnsi="宋体"/>
                <w:color w:val="000000"/>
                <w:sz w:val="24"/>
              </w:rPr>
              <w:t>350mm*450mm*14mm</w:t>
            </w:r>
          </w:p>
        </w:tc>
        <w:tc>
          <w:tcPr>
            <w:tcW w:w="1326" w:type="pct"/>
            <w:tcBorders>
              <w:top w:val="single" w:color="auto" w:sz="4" w:space="0"/>
              <w:left w:val="single" w:color="auto" w:sz="4" w:space="0"/>
              <w:bottom w:val="single" w:color="auto" w:sz="4" w:space="0"/>
              <w:right w:val="single" w:color="auto" w:sz="4" w:space="0"/>
            </w:tcBorders>
            <w:vAlign w:val="center"/>
          </w:tcPr>
          <w:p w14:paraId="2E7C4677">
            <w:pPr>
              <w:jc w:val="center"/>
              <w:rPr>
                <w:rFonts w:ascii="宋体" w:hAnsi="宋体"/>
                <w:color w:val="000000"/>
                <w:sz w:val="24"/>
              </w:rPr>
            </w:pPr>
            <w:r>
              <w:rPr>
                <w:rFonts w:hint="eastAsia" w:ascii="宋体" w:hAnsi="宋体"/>
                <w:color w:val="000000"/>
                <w:sz w:val="24"/>
              </w:rPr>
              <w:t>二块</w:t>
            </w:r>
          </w:p>
        </w:tc>
      </w:tr>
      <w:tr w14:paraId="119E5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3" w:type="pct"/>
            <w:tcBorders>
              <w:top w:val="single" w:color="auto" w:sz="4" w:space="0"/>
              <w:left w:val="single" w:color="auto" w:sz="4" w:space="0"/>
              <w:bottom w:val="single" w:color="auto" w:sz="4" w:space="0"/>
              <w:right w:val="single" w:color="auto" w:sz="4" w:space="0"/>
            </w:tcBorders>
            <w:vAlign w:val="center"/>
          </w:tcPr>
          <w:p w14:paraId="5399430E">
            <w:pPr>
              <w:jc w:val="center"/>
              <w:rPr>
                <w:rFonts w:ascii="宋体" w:hAnsi="宋体"/>
                <w:color w:val="000000"/>
                <w:sz w:val="24"/>
              </w:rPr>
            </w:pPr>
            <w:r>
              <w:rPr>
                <w:rFonts w:ascii="宋体" w:hAnsi="宋体"/>
                <w:color w:val="000000"/>
                <w:sz w:val="24"/>
              </w:rPr>
              <w:t>2</w:t>
            </w:r>
          </w:p>
        </w:tc>
        <w:tc>
          <w:tcPr>
            <w:tcW w:w="1835" w:type="pct"/>
            <w:tcBorders>
              <w:top w:val="single" w:color="auto" w:sz="4" w:space="0"/>
              <w:left w:val="single" w:color="auto" w:sz="4" w:space="0"/>
              <w:bottom w:val="single" w:color="auto" w:sz="4" w:space="0"/>
              <w:right w:val="single" w:color="auto" w:sz="4" w:space="0"/>
            </w:tcBorders>
            <w:vAlign w:val="center"/>
          </w:tcPr>
          <w:p w14:paraId="261B7212">
            <w:pPr>
              <w:jc w:val="center"/>
              <w:rPr>
                <w:rFonts w:ascii="宋体" w:hAnsi="宋体"/>
                <w:color w:val="000000"/>
                <w:sz w:val="24"/>
              </w:rPr>
            </w:pPr>
            <w:r>
              <w:rPr>
                <w:rFonts w:hint="eastAsia" w:ascii="宋体" w:hAnsi="宋体"/>
                <w:color w:val="000000"/>
                <w:sz w:val="24"/>
              </w:rPr>
              <w:t>人造草坪</w:t>
            </w:r>
          </w:p>
        </w:tc>
        <w:tc>
          <w:tcPr>
            <w:tcW w:w="1426" w:type="pct"/>
            <w:tcBorders>
              <w:top w:val="single" w:color="auto" w:sz="4" w:space="0"/>
              <w:left w:val="single" w:color="auto" w:sz="4" w:space="0"/>
              <w:bottom w:val="single" w:color="auto" w:sz="4" w:space="0"/>
              <w:right w:val="single" w:color="auto" w:sz="4" w:space="0"/>
            </w:tcBorders>
            <w:vAlign w:val="center"/>
          </w:tcPr>
          <w:p w14:paraId="78345684">
            <w:pPr>
              <w:pStyle w:val="42"/>
              <w:jc w:val="center"/>
              <w:rPr>
                <w:rFonts w:ascii="宋体" w:hAnsi="宋体"/>
                <w:color w:val="000000"/>
                <w:sz w:val="24"/>
              </w:rPr>
            </w:pPr>
            <w:r>
              <w:rPr>
                <w:rFonts w:hint="eastAsia" w:ascii="宋体" w:hAnsi="宋体"/>
                <w:color w:val="000000"/>
                <w:sz w:val="24"/>
              </w:rPr>
              <w:t>700mm*800mm*50mm</w:t>
            </w:r>
          </w:p>
        </w:tc>
        <w:tc>
          <w:tcPr>
            <w:tcW w:w="1326" w:type="pct"/>
            <w:tcBorders>
              <w:top w:val="single" w:color="auto" w:sz="4" w:space="0"/>
              <w:left w:val="single" w:color="auto" w:sz="4" w:space="0"/>
              <w:bottom w:val="single" w:color="auto" w:sz="4" w:space="0"/>
              <w:right w:val="single" w:color="auto" w:sz="4" w:space="0"/>
            </w:tcBorders>
            <w:vAlign w:val="center"/>
          </w:tcPr>
          <w:p w14:paraId="0504ED32">
            <w:pPr>
              <w:jc w:val="center"/>
              <w:rPr>
                <w:rFonts w:ascii="宋体" w:hAnsi="宋体"/>
                <w:color w:val="000000"/>
                <w:sz w:val="24"/>
              </w:rPr>
            </w:pPr>
            <w:r>
              <w:rPr>
                <w:rFonts w:hint="eastAsia" w:ascii="宋体" w:hAnsi="宋体"/>
                <w:color w:val="000000"/>
                <w:sz w:val="24"/>
              </w:rPr>
              <w:t>二块</w:t>
            </w:r>
          </w:p>
        </w:tc>
      </w:tr>
      <w:tr w14:paraId="6815B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14:paraId="1AF256E9">
            <w:pPr>
              <w:rPr>
                <w:rFonts w:ascii="宋体" w:hAnsi="宋体"/>
                <w:sz w:val="24"/>
              </w:rPr>
            </w:pPr>
            <w:r>
              <w:rPr>
                <w:rFonts w:ascii="宋体" w:hAnsi="宋体"/>
                <w:sz w:val="24"/>
              </w:rPr>
              <w:t>备注：样品评分时评标委员会</w:t>
            </w:r>
            <w:r>
              <w:rPr>
                <w:rFonts w:hint="eastAsia" w:ascii="宋体" w:hAnsi="宋体"/>
                <w:sz w:val="24"/>
              </w:rPr>
              <w:t>可能</w:t>
            </w:r>
            <w:r>
              <w:rPr>
                <w:rFonts w:ascii="宋体" w:hAnsi="宋体"/>
                <w:sz w:val="24"/>
              </w:rPr>
              <w:t>会对样品进行破坏性实验，供应商自行考虑投标风险。</w:t>
            </w:r>
          </w:p>
        </w:tc>
      </w:tr>
    </w:tbl>
    <w:p w14:paraId="189DBFB3">
      <w:pPr>
        <w:ind w:firstLine="480" w:firstLineChars="200"/>
        <w:rPr>
          <w:rFonts w:hint="eastAsia"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hint="eastAsia" w:ascii="宋体" w:hAnsi="宋体" w:cs="宋体"/>
          <w:b/>
          <w:color w:val="000000" w:themeColor="text1"/>
          <w:kern w:val="0"/>
          <w:sz w:val="24"/>
          <w14:textFill>
            <w14:solidFill>
              <w14:schemeClr w14:val="tx1"/>
            </w14:solidFill>
          </w14:textFill>
        </w:rPr>
        <w:t>未提供样品或样品不全按无效标处理。</w:t>
      </w:r>
    </w:p>
    <w:p w14:paraId="12B12DA3">
      <w:pPr>
        <w:ind w:firstLine="482" w:firstLineChars="200"/>
        <w:rPr>
          <w:rFonts w:hint="eastAsia" w:ascii="宋体" w:hAnsi="宋体" w:cs="宋体"/>
          <w:b/>
          <w:color w:val="000000" w:themeColor="text1"/>
          <w:kern w:val="0"/>
          <w:sz w:val="24"/>
          <w14:textFill>
            <w14:solidFill>
              <w14:schemeClr w14:val="tx1"/>
            </w14:solidFill>
          </w14:textFill>
        </w:rPr>
      </w:pPr>
    </w:p>
    <w:p w14:paraId="7EE0A1C1">
      <w:pPr>
        <w:snapToGrid w:val="0"/>
        <w:spacing w:line="360" w:lineRule="auto"/>
        <w:ind w:firstLine="482" w:firstLineChars="200"/>
        <w:jc w:val="left"/>
        <w:rPr>
          <w:rFonts w:ascii="宋体" w:hAnsi="宋体"/>
          <w:b/>
          <w:bCs/>
          <w:color w:val="000000"/>
          <w:sz w:val="24"/>
        </w:rPr>
      </w:pPr>
      <w:r>
        <w:rPr>
          <w:rFonts w:ascii="宋体" w:hAnsi="宋体"/>
          <w:b/>
          <w:bCs/>
          <w:color w:val="000000"/>
          <w:sz w:val="24"/>
        </w:rPr>
        <w:t>5.样品递交</w:t>
      </w:r>
    </w:p>
    <w:p w14:paraId="2AB91C9D">
      <w:pPr>
        <w:snapToGrid w:val="0"/>
        <w:spacing w:line="360" w:lineRule="auto"/>
        <w:ind w:firstLine="480" w:firstLineChars="200"/>
        <w:jc w:val="left"/>
        <w:rPr>
          <w:rFonts w:ascii="宋体" w:hAnsi="宋体"/>
          <w:color w:val="000000"/>
          <w:sz w:val="24"/>
        </w:rPr>
      </w:pPr>
      <w:r>
        <w:rPr>
          <w:rFonts w:ascii="宋体" w:hAnsi="宋体"/>
          <w:color w:val="000000"/>
          <w:sz w:val="24"/>
        </w:rPr>
        <w:t>（1）样品递交时间：开标时间截止前，递交地点：杭州市拱墅区大关路179号远洋国际A座17楼170</w:t>
      </w:r>
      <w:r>
        <w:rPr>
          <w:rFonts w:hint="eastAsia" w:ascii="宋体" w:hAnsi="宋体"/>
          <w:color w:val="000000"/>
          <w:sz w:val="24"/>
        </w:rPr>
        <w:t>5</w:t>
      </w:r>
      <w:r>
        <w:rPr>
          <w:rFonts w:ascii="宋体" w:hAnsi="宋体"/>
          <w:color w:val="000000"/>
          <w:sz w:val="24"/>
        </w:rPr>
        <w:t>室，逾期送达将予以拒收；</w:t>
      </w:r>
    </w:p>
    <w:p w14:paraId="0705E7BF">
      <w:pPr>
        <w:snapToGrid w:val="0"/>
        <w:spacing w:line="360" w:lineRule="auto"/>
        <w:ind w:firstLine="480" w:firstLineChars="200"/>
        <w:jc w:val="left"/>
        <w:rPr>
          <w:rFonts w:ascii="宋体" w:hAnsi="宋体"/>
          <w:color w:val="000000"/>
          <w:sz w:val="24"/>
        </w:rPr>
      </w:pPr>
      <w:r>
        <w:rPr>
          <w:rFonts w:ascii="宋体" w:hAnsi="宋体"/>
          <w:color w:val="000000"/>
          <w:sz w:val="24"/>
        </w:rPr>
        <w:t>（2）采购活动结束后，</w:t>
      </w:r>
      <w:r>
        <w:rPr>
          <w:rFonts w:hint="eastAsia" w:ascii="宋体" w:hAnsi="宋体"/>
          <w:color w:val="000000"/>
          <w:sz w:val="24"/>
        </w:rPr>
        <w:t>成交供应商提供的样品由采购人封存，</w:t>
      </w:r>
      <w:r>
        <w:rPr>
          <w:rFonts w:ascii="宋体" w:hAnsi="宋体"/>
          <w:color w:val="000000"/>
          <w:sz w:val="24"/>
        </w:rPr>
        <w:t>对于未</w:t>
      </w:r>
      <w:r>
        <w:rPr>
          <w:rFonts w:hint="eastAsia" w:ascii="宋体" w:hAnsi="宋体"/>
          <w:color w:val="000000"/>
          <w:sz w:val="24"/>
        </w:rPr>
        <w:t>成交供应商</w:t>
      </w:r>
      <w:r>
        <w:rPr>
          <w:rFonts w:ascii="宋体" w:hAnsi="宋体"/>
          <w:color w:val="000000"/>
          <w:sz w:val="24"/>
        </w:rPr>
        <w:t>提供的样品，采购代理机构及时退还或者经未</w:t>
      </w:r>
      <w:r>
        <w:rPr>
          <w:rFonts w:hint="eastAsia" w:ascii="宋体" w:hAnsi="宋体"/>
          <w:color w:val="000000"/>
          <w:sz w:val="24"/>
        </w:rPr>
        <w:t>成交供应商</w:t>
      </w:r>
      <w:r>
        <w:rPr>
          <w:rFonts w:ascii="宋体" w:hAnsi="宋体"/>
          <w:color w:val="000000"/>
          <w:sz w:val="24"/>
        </w:rPr>
        <w:t>同意后自行处理；</w:t>
      </w:r>
    </w:p>
    <w:p w14:paraId="38B7D491">
      <w:pPr>
        <w:snapToGrid w:val="0"/>
        <w:spacing w:line="360" w:lineRule="auto"/>
        <w:ind w:firstLine="480" w:firstLineChars="200"/>
        <w:jc w:val="left"/>
        <w:rPr>
          <w:rFonts w:ascii="宋体" w:hAnsi="宋体"/>
          <w:color w:val="000000"/>
          <w:sz w:val="24"/>
        </w:rPr>
      </w:pPr>
      <w:r>
        <w:rPr>
          <w:rFonts w:ascii="宋体" w:hAnsi="宋体"/>
          <w:color w:val="000000"/>
          <w:sz w:val="24"/>
        </w:rPr>
        <w:t>（3）样品制作标准和要求：详见样品要求及采购需求；</w:t>
      </w:r>
    </w:p>
    <w:p w14:paraId="029721F7">
      <w:pPr>
        <w:snapToGrid w:val="0"/>
        <w:spacing w:line="360" w:lineRule="auto"/>
        <w:ind w:firstLine="480" w:firstLineChars="200"/>
        <w:jc w:val="left"/>
        <w:rPr>
          <w:rFonts w:ascii="宋体" w:hAnsi="宋体"/>
          <w:color w:val="000000"/>
          <w:sz w:val="24"/>
        </w:rPr>
      </w:pPr>
      <w:r>
        <w:rPr>
          <w:rFonts w:ascii="宋体" w:hAnsi="宋体"/>
          <w:color w:val="000000"/>
          <w:sz w:val="24"/>
        </w:rPr>
        <w:t>（4）供应商</w:t>
      </w:r>
      <w:r>
        <w:rPr>
          <w:rFonts w:hint="eastAsia" w:ascii="宋体" w:hAnsi="宋体"/>
          <w:color w:val="000000"/>
          <w:sz w:val="24"/>
        </w:rPr>
        <w:t>成交</w:t>
      </w:r>
      <w:r>
        <w:rPr>
          <w:rFonts w:ascii="宋体" w:hAnsi="宋体"/>
          <w:color w:val="000000"/>
          <w:sz w:val="24"/>
        </w:rPr>
        <w:t>并与采购人签订合同后，其样品的质量将作为验收标准之一。</w:t>
      </w:r>
    </w:p>
    <w:p w14:paraId="7031469D">
      <w:pPr>
        <w:adjustRightInd/>
        <w:spacing w:line="360" w:lineRule="auto"/>
        <w:jc w:val="left"/>
        <w:outlineLvl w:val="1"/>
        <w:rPr>
          <w:rFonts w:ascii="宋体" w:hAnsi="宋体" w:cs="宋体"/>
          <w:b/>
          <w:bCs/>
          <w:color w:val="000000" w:themeColor="text1"/>
          <w:sz w:val="28"/>
          <w:szCs w:val="28"/>
          <w14:textFill>
            <w14:solidFill>
              <w14:schemeClr w14:val="tx1"/>
            </w14:solidFill>
          </w14:textFill>
        </w:rPr>
      </w:pPr>
      <w:bookmarkStart w:id="66" w:name="_Toc32602"/>
      <w:r>
        <w:rPr>
          <w:rFonts w:hint="eastAsia" w:ascii="宋体" w:hAnsi="宋体" w:cs="宋体"/>
          <w:b/>
          <w:bCs/>
          <w:color w:val="000000" w:themeColor="text1"/>
          <w:sz w:val="28"/>
          <w:szCs w:val="28"/>
          <w14:textFill>
            <w14:solidFill>
              <w14:schemeClr w14:val="tx1"/>
            </w14:solidFill>
          </w14:textFill>
        </w:rPr>
        <w:t>八、商务要求</w:t>
      </w:r>
      <w:bookmarkEnd w:id="66"/>
    </w:p>
    <w:p w14:paraId="13A845C1">
      <w:pPr>
        <w:adjustRightInd/>
        <w:spacing w:line="360" w:lineRule="auto"/>
        <w:ind w:firstLine="480" w:firstLineChars="200"/>
        <w:jc w:val="left"/>
        <w:rPr>
          <w:rFonts w:ascii="宋体" w:hAnsi="Calibri"/>
          <w:sz w:val="24"/>
          <w:szCs w:val="20"/>
        </w:rPr>
      </w:pPr>
      <w:r>
        <w:rPr>
          <w:rFonts w:hint="eastAsia" w:ascii="宋体" w:hAnsi="Calibri"/>
          <w:sz w:val="24"/>
          <w:szCs w:val="20"/>
        </w:rPr>
        <w:t>1.工程地点：浙江中医药大学富春校区内。</w:t>
      </w:r>
    </w:p>
    <w:p w14:paraId="78A8A700">
      <w:pPr>
        <w:adjustRightInd/>
        <w:spacing w:line="360" w:lineRule="auto"/>
        <w:ind w:firstLine="480" w:firstLineChars="200"/>
        <w:jc w:val="left"/>
        <w:rPr>
          <w:rFonts w:ascii="宋体" w:hAnsi="Calibri"/>
          <w:sz w:val="24"/>
          <w:szCs w:val="20"/>
        </w:rPr>
      </w:pPr>
      <w:r>
        <w:rPr>
          <w:rFonts w:hint="eastAsia" w:ascii="宋体" w:hAnsi="Calibri"/>
          <w:sz w:val="24"/>
          <w:szCs w:val="20"/>
        </w:rPr>
        <w:t>2.计划工期：60日历天，自发包人通知开工之日起算。</w:t>
      </w:r>
    </w:p>
    <w:p w14:paraId="5CBF082B">
      <w:pPr>
        <w:adjustRightInd/>
        <w:spacing w:line="360" w:lineRule="auto"/>
        <w:ind w:firstLine="480" w:firstLineChars="200"/>
        <w:jc w:val="left"/>
        <w:rPr>
          <w:rFonts w:ascii="宋体" w:hAnsi="Calibri"/>
          <w:sz w:val="24"/>
          <w:szCs w:val="20"/>
        </w:rPr>
      </w:pPr>
      <w:r>
        <w:rPr>
          <w:rFonts w:hint="eastAsia" w:ascii="宋体" w:hAnsi="Calibri"/>
          <w:sz w:val="24"/>
          <w:szCs w:val="20"/>
        </w:rPr>
        <w:t>3.缺陷责任期：</w:t>
      </w:r>
      <w:bookmarkStart w:id="67" w:name="OLE_LINK7"/>
      <w:r>
        <w:rPr>
          <w:rFonts w:hint="eastAsia" w:ascii="宋体" w:hAnsi="Calibri"/>
          <w:sz w:val="24"/>
          <w:szCs w:val="20"/>
        </w:rPr>
        <w:t>24个月。</w:t>
      </w:r>
      <w:bookmarkEnd w:id="67"/>
    </w:p>
    <w:p w14:paraId="5391D283">
      <w:pPr>
        <w:adjustRightInd/>
        <w:spacing w:line="360" w:lineRule="auto"/>
        <w:ind w:firstLine="480" w:firstLineChars="200"/>
        <w:jc w:val="left"/>
        <w:rPr>
          <w:rFonts w:ascii="宋体" w:hAnsi="Calibri"/>
          <w:sz w:val="24"/>
          <w:szCs w:val="20"/>
        </w:rPr>
      </w:pPr>
      <w:r>
        <w:rPr>
          <w:rFonts w:hint="eastAsia" w:ascii="宋体" w:hAnsi="Calibri"/>
          <w:sz w:val="24"/>
          <w:szCs w:val="20"/>
        </w:rPr>
        <w:t>4.质量保修期：24个月。</w:t>
      </w:r>
    </w:p>
    <w:p w14:paraId="5AFDFF1A">
      <w:pPr>
        <w:adjustRightInd/>
        <w:spacing w:line="360" w:lineRule="auto"/>
        <w:ind w:firstLine="480" w:firstLineChars="200"/>
        <w:jc w:val="left"/>
        <w:rPr>
          <w:rFonts w:ascii="宋体" w:hAnsi="Calibri"/>
          <w:sz w:val="24"/>
          <w:szCs w:val="20"/>
        </w:rPr>
      </w:pPr>
      <w:r>
        <w:rPr>
          <w:rFonts w:hint="eastAsia" w:ascii="宋体" w:hAnsi="Calibri"/>
          <w:sz w:val="24"/>
          <w:szCs w:val="20"/>
        </w:rPr>
        <w:t>5.履约保证金：成交金额的2%作为履约保证金，合同签订后七个工作日内由成交供应商支付给采购人，工程竣工验收合格并交付采购人使用后，由发包人无息退回承包人（遇寒暑假及国定假日顺延）。</w:t>
      </w:r>
    </w:p>
    <w:p w14:paraId="69765C14">
      <w:pPr>
        <w:adjustRightInd/>
        <w:spacing w:line="360" w:lineRule="auto"/>
        <w:ind w:firstLine="480" w:firstLineChars="200"/>
        <w:jc w:val="left"/>
        <w:rPr>
          <w:rFonts w:ascii="宋体" w:hAnsi="Calibri"/>
          <w:sz w:val="24"/>
          <w:szCs w:val="20"/>
        </w:rPr>
      </w:pPr>
      <w:r>
        <w:rPr>
          <w:rFonts w:hint="eastAsia" w:ascii="宋体" w:hAnsi="Calibri"/>
          <w:sz w:val="24"/>
          <w:szCs w:val="20"/>
        </w:rPr>
        <w:t>6.付款方式</w:t>
      </w:r>
    </w:p>
    <w:p w14:paraId="5607DE85">
      <w:pPr>
        <w:adjustRightInd/>
        <w:spacing w:line="360" w:lineRule="auto"/>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Calibri"/>
          <w:sz w:val="24"/>
          <w:szCs w:val="20"/>
        </w:rPr>
        <w:t>成交供应商提交履约保证金和正规发票后，采购人向成交供应商支付本合同暂定总价的40%作为预付款。全部工程竣工验收合格并交付采购人正常使用后7日内，且采购人收到成交供应商开具的正规发票后7日内向成交供应商支付至合同总价的85%。采购人委托第三方对工程造价结算审价完毕后，采购人收到成交供应商开具的正规发票和审定总价1.5%的质量保证金后7日内，采购人向成交供应商支付至审定总价的100%。</w:t>
      </w:r>
    </w:p>
    <w:p w14:paraId="6B4876D7">
      <w:pPr>
        <w:pStyle w:val="60"/>
        <w:ind w:firstLine="0"/>
        <w:outlineLvl w:val="1"/>
        <w:rPr>
          <w:rFonts w:hAnsi="宋体" w:cs="宋体"/>
          <w:b/>
          <w:color w:val="000000" w:themeColor="text1"/>
          <w:sz w:val="28"/>
          <w:szCs w:val="21"/>
          <w:lang w:val="en-US"/>
          <w14:textFill>
            <w14:solidFill>
              <w14:schemeClr w14:val="tx1"/>
            </w14:solidFill>
          </w14:textFill>
        </w:rPr>
      </w:pPr>
      <w:bookmarkStart w:id="68" w:name="_Toc15442"/>
      <w:r>
        <w:rPr>
          <w:rFonts w:hint="eastAsia" w:hAnsi="宋体" w:cs="宋体"/>
          <w:b/>
          <w:color w:val="000000" w:themeColor="text1"/>
          <w:sz w:val="28"/>
          <w:szCs w:val="21"/>
          <w:lang w:val="en-US"/>
          <w14:textFill>
            <w14:solidFill>
              <w14:schemeClr w14:val="tx1"/>
            </w14:solidFill>
          </w14:textFill>
        </w:rPr>
        <w:t>九、民事责任</w:t>
      </w:r>
      <w:bookmarkEnd w:id="68"/>
    </w:p>
    <w:p w14:paraId="384A0E88">
      <w:pPr>
        <w:pStyle w:val="60"/>
        <w:ind w:firstLine="480" w:firstLineChars="200"/>
        <w:rPr>
          <w:lang w:val="en-US"/>
        </w:rPr>
      </w:pPr>
      <w:r>
        <w:rPr>
          <w:rFonts w:hint="eastAsia"/>
          <w:lang w:val="en-US"/>
        </w:rPr>
        <w:t>1.除磋商文件中约定经查实，响应供应商有串标、虚假响应或向采购人、磋商小组成员行贿等非法行为的，成交未签订合同的，采购人将取消其成交资格，响应供应商应承担赔偿采购人工程延误开工的相应损失责任，根据工程实际开工时间计算延误时间，响应供应商按5000元人民币/天赔偿给采购人；成交并签订合同的，响应供应商应承担赔偿采购人工程延误开工的相应损失责任，根据工程实际开工时间计算延误时间，响应供应商按5000元人民币/天赔偿给采购人，采购人还有权单方解除合同。延误天数计算方式:延误天数=实际开工时间-本项目磋商（开标）时间之后的第三个工作日。</w:t>
      </w:r>
    </w:p>
    <w:p w14:paraId="0975EC5E">
      <w:pPr>
        <w:pStyle w:val="60"/>
        <w:ind w:firstLine="480" w:firstLineChars="200"/>
        <w:rPr>
          <w:lang w:val="en-US"/>
        </w:rPr>
      </w:pPr>
      <w:r>
        <w:rPr>
          <w:rFonts w:hint="eastAsia"/>
          <w:lang w:val="en-US"/>
        </w:rPr>
        <w:t>2.合同履行过程中，如供应商出现以次充好、使用不合格的材料和工程设备的，一经发现，采购人有权制止使用，直至停工、返工或解除合同。无论采购人是否发现和制止，由于使用劣质材料施工所引起的一切责任及所发生的费用均由供应商自负；如果供应商采购时擅自更改设备及材料的种类、型号或采购的设备、材料不符合质量要求，将承担违约责任，除重新购置外，还应承担扣除履约保证金的处罚，处罚金额为重新购置费用的10％，履约保证金不足的，须补足处罚金额。</w:t>
      </w:r>
    </w:p>
    <w:p w14:paraId="3BD93ECE">
      <w:pPr>
        <w:pStyle w:val="60"/>
        <w:ind w:firstLine="480" w:firstLineChars="200"/>
        <w:rPr>
          <w:lang w:val="en-US"/>
        </w:rPr>
      </w:pPr>
      <w:r>
        <w:rPr>
          <w:rFonts w:hint="eastAsia"/>
          <w:lang w:val="en-US"/>
        </w:rPr>
        <w:t>3.因供应商原因导致工程质量不符合采购要求的，供应商须自费返工至约定质量标准；经多次（两次及以上）返工工程质量仍达不到约定质量标准的，还应承担扣除履约保证金的处罚，处罚金额为不合格部分工程总额的20%，履约保证金不足的，须补足处罚金额。</w:t>
      </w:r>
    </w:p>
    <w:p w14:paraId="7A360137">
      <w:pPr>
        <w:pStyle w:val="60"/>
        <w:ind w:firstLine="0"/>
        <w:outlineLvl w:val="1"/>
        <w:rPr>
          <w:rFonts w:hAnsi="宋体" w:cs="宋体"/>
          <w:b/>
          <w:color w:val="000000" w:themeColor="text1"/>
          <w:sz w:val="28"/>
          <w:szCs w:val="21"/>
          <w:lang w:val="en-US"/>
          <w14:textFill>
            <w14:solidFill>
              <w14:schemeClr w14:val="tx1"/>
            </w14:solidFill>
          </w14:textFill>
        </w:rPr>
      </w:pPr>
      <w:bookmarkStart w:id="69" w:name="_Toc22997"/>
      <w:r>
        <w:rPr>
          <w:rFonts w:hint="eastAsia" w:hAnsi="宋体" w:cs="宋体"/>
          <w:b/>
          <w:color w:val="000000" w:themeColor="text1"/>
          <w:sz w:val="28"/>
          <w:szCs w:val="21"/>
          <w:lang w:val="en-US"/>
          <w14:textFill>
            <w14:solidFill>
              <w14:schemeClr w14:val="tx1"/>
            </w14:solidFill>
          </w14:textFill>
        </w:rPr>
        <w:t>十、其他</w:t>
      </w:r>
      <w:bookmarkEnd w:id="69"/>
    </w:p>
    <w:p w14:paraId="24EA2B3B">
      <w:pPr>
        <w:pStyle w:val="969"/>
        <w:widowControl/>
        <w:spacing w:line="360" w:lineRule="auto"/>
        <w:ind w:firstLine="480"/>
        <w:jc w:val="left"/>
      </w:pPr>
      <w:r>
        <w:rPr>
          <w:rFonts w:hint="eastAsia" w:ascii="宋体" w:hAnsi="宋体" w:cs="宋体"/>
          <w:bCs/>
          <w:sz w:val="24"/>
        </w:rPr>
        <w:t>本项目竣工后最终验收合格前须提供</w:t>
      </w:r>
      <w:r>
        <w:rPr>
          <w:rFonts w:hint="eastAsia" w:ascii="宋体" w:hAnsi="宋体" w:cs="宋体"/>
          <w:sz w:val="24"/>
        </w:rPr>
        <w:t>具有“CMA”或“CNAS”资质的检测机构出具的合格的检测检验报告</w:t>
      </w:r>
      <w:r>
        <w:rPr>
          <w:rFonts w:hint="eastAsia" w:ascii="宋体" w:hAnsi="宋体" w:cs="宋体"/>
          <w:bCs/>
          <w:sz w:val="24"/>
        </w:rPr>
        <w:t>，检测费用均由承包人承担。请各供应商在报价时考虑进报价中。</w:t>
      </w:r>
    </w:p>
    <w:p w14:paraId="62F8FDC3">
      <w:pPr>
        <w:pStyle w:val="60"/>
        <w:ind w:firstLine="0"/>
        <w:outlineLvl w:val="1"/>
        <w:rPr>
          <w:b/>
          <w:sz w:val="28"/>
          <w:szCs w:val="21"/>
          <w:lang w:val="en-US"/>
        </w:rPr>
      </w:pPr>
      <w:bookmarkStart w:id="70" w:name="_Toc29369"/>
      <w:r>
        <w:rPr>
          <w:rFonts w:hint="eastAsia" w:hAnsi="宋体" w:cs="宋体"/>
          <w:b/>
          <w:color w:val="000000" w:themeColor="text1"/>
          <w:sz w:val="28"/>
          <w:szCs w:val="21"/>
          <w:lang w:val="en-US"/>
          <w14:textFill>
            <w14:solidFill>
              <w14:schemeClr w14:val="tx1"/>
            </w14:solidFill>
          </w14:textFill>
        </w:rPr>
        <w:t>十一、其他详见合同条款</w:t>
      </w:r>
      <w:bookmarkEnd w:id="70"/>
    </w:p>
    <w:p w14:paraId="6F11FF20">
      <w:pP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br w:type="page"/>
      </w:r>
    </w:p>
    <w:p w14:paraId="095A4AD3">
      <w:pPr>
        <w:snapToGrid w:val="0"/>
        <w:spacing w:line="360" w:lineRule="auto"/>
        <w:jc w:val="center"/>
        <w:outlineLvl w:val="0"/>
        <w:rPr>
          <w:rFonts w:ascii="宋体" w:hAnsi="宋体" w:cs="宋体"/>
          <w:b/>
          <w:color w:val="000000" w:themeColor="text1"/>
          <w:sz w:val="36"/>
          <w:szCs w:val="20"/>
          <w14:textFill>
            <w14:solidFill>
              <w14:schemeClr w14:val="tx1"/>
            </w14:solidFill>
          </w14:textFill>
        </w:rPr>
      </w:pPr>
      <w:bookmarkStart w:id="71" w:name="_Toc18359"/>
      <w:r>
        <w:rPr>
          <w:rFonts w:hint="eastAsia" w:ascii="宋体" w:hAnsi="宋体" w:cs="宋体"/>
          <w:b/>
          <w:color w:val="000000" w:themeColor="text1"/>
          <w:sz w:val="36"/>
          <w:szCs w:val="20"/>
          <w14:textFill>
            <w14:solidFill>
              <w14:schemeClr w14:val="tx1"/>
            </w14:solidFill>
          </w14:textFill>
        </w:rPr>
        <w:t>第四部分</w:t>
      </w:r>
      <w:bookmarkStart w:id="72" w:name="_Toc184310340"/>
      <w:bookmarkEnd w:id="72"/>
      <w:bookmarkStart w:id="73" w:name="_Toc184314425"/>
      <w:bookmarkEnd w:id="73"/>
      <w:bookmarkStart w:id="74" w:name="_Toc184313274"/>
      <w:bookmarkEnd w:id="74"/>
      <w:bookmarkStart w:id="75" w:name="_Toc184308048"/>
      <w:bookmarkEnd w:id="75"/>
      <w:bookmarkStart w:id="76" w:name="_Toc184308077"/>
      <w:bookmarkEnd w:id="76"/>
      <w:bookmarkStart w:id="77" w:name="_Toc184308078"/>
      <w:bookmarkEnd w:id="77"/>
      <w:bookmarkStart w:id="78" w:name="_Toc184312126"/>
      <w:bookmarkEnd w:id="78"/>
      <w:bookmarkStart w:id="79" w:name="_Toc184308042"/>
      <w:bookmarkEnd w:id="79"/>
      <w:bookmarkStart w:id="80" w:name="_Toc184314445"/>
      <w:bookmarkEnd w:id="80"/>
      <w:bookmarkStart w:id="81" w:name="_Toc184308088"/>
      <w:bookmarkEnd w:id="81"/>
      <w:bookmarkStart w:id="82" w:name="_Toc184310329"/>
      <w:bookmarkEnd w:id="82"/>
      <w:bookmarkStart w:id="83" w:name="_Toc184308057"/>
      <w:bookmarkEnd w:id="83"/>
      <w:bookmarkStart w:id="84" w:name="_Toc184308107"/>
      <w:bookmarkEnd w:id="84"/>
      <w:bookmarkStart w:id="85" w:name="_Toc184313249"/>
      <w:bookmarkEnd w:id="85"/>
      <w:bookmarkStart w:id="86" w:name="_Toc184312106"/>
      <w:bookmarkEnd w:id="86"/>
      <w:bookmarkStart w:id="87" w:name="_Toc184312090"/>
      <w:bookmarkEnd w:id="87"/>
      <w:bookmarkStart w:id="88" w:name="_Toc184310335"/>
      <w:bookmarkEnd w:id="88"/>
      <w:bookmarkStart w:id="89" w:name="_Toc184312116"/>
      <w:bookmarkEnd w:id="89"/>
      <w:bookmarkStart w:id="90" w:name="_Toc184313255"/>
      <w:bookmarkEnd w:id="90"/>
      <w:bookmarkStart w:id="91" w:name="_Toc184312067"/>
      <w:bookmarkEnd w:id="91"/>
      <w:bookmarkStart w:id="92" w:name="_Toc184310272"/>
      <w:bookmarkEnd w:id="92"/>
      <w:bookmarkStart w:id="93" w:name="_Toc184313278"/>
      <w:bookmarkEnd w:id="93"/>
      <w:bookmarkStart w:id="94" w:name="_Toc184314481"/>
      <w:bookmarkEnd w:id="94"/>
      <w:bookmarkStart w:id="95" w:name="_Toc184310324"/>
      <w:bookmarkEnd w:id="95"/>
      <w:bookmarkStart w:id="96" w:name="_Toc184313269"/>
      <w:bookmarkEnd w:id="96"/>
      <w:bookmarkStart w:id="97" w:name="_Toc184308075"/>
      <w:bookmarkEnd w:id="97"/>
      <w:bookmarkStart w:id="98" w:name="_Toc184308060"/>
      <w:bookmarkEnd w:id="98"/>
      <w:bookmarkStart w:id="99" w:name="_Toc184312111"/>
      <w:bookmarkEnd w:id="99"/>
      <w:bookmarkStart w:id="100" w:name="_Toc184314474"/>
      <w:bookmarkEnd w:id="100"/>
      <w:bookmarkStart w:id="101" w:name="_Toc184313282"/>
      <w:bookmarkEnd w:id="101"/>
      <w:bookmarkStart w:id="102" w:name="_Toc184310293"/>
      <w:bookmarkEnd w:id="102"/>
      <w:bookmarkStart w:id="103" w:name="_Toc184310279"/>
      <w:bookmarkEnd w:id="103"/>
      <w:bookmarkStart w:id="104" w:name="_Toc184308056"/>
      <w:bookmarkEnd w:id="104"/>
      <w:bookmarkStart w:id="105" w:name="_Toc184313270"/>
      <w:bookmarkEnd w:id="105"/>
      <w:bookmarkStart w:id="106" w:name="_Toc184313308"/>
      <w:bookmarkEnd w:id="106"/>
      <w:bookmarkStart w:id="107" w:name="_Toc184314424"/>
      <w:bookmarkEnd w:id="107"/>
      <w:bookmarkStart w:id="108" w:name="_Toc184308105"/>
      <w:bookmarkEnd w:id="108"/>
      <w:bookmarkStart w:id="109" w:name="_Toc184308100"/>
      <w:bookmarkEnd w:id="109"/>
      <w:bookmarkStart w:id="110" w:name="_Toc184310330"/>
      <w:bookmarkEnd w:id="110"/>
      <w:bookmarkStart w:id="111" w:name="_Toc184313284"/>
      <w:bookmarkEnd w:id="111"/>
      <w:bookmarkStart w:id="112" w:name="_Toc184313286"/>
      <w:bookmarkEnd w:id="112"/>
      <w:bookmarkStart w:id="113" w:name="_Toc184308074"/>
      <w:bookmarkEnd w:id="113"/>
      <w:bookmarkStart w:id="114" w:name="_Toc184312102"/>
      <w:bookmarkEnd w:id="114"/>
      <w:bookmarkStart w:id="115" w:name="_Toc184308080"/>
      <w:bookmarkEnd w:id="115"/>
      <w:bookmarkStart w:id="116" w:name="_Toc184312099"/>
      <w:bookmarkEnd w:id="116"/>
      <w:bookmarkStart w:id="117" w:name="_Toc184312074"/>
      <w:bookmarkEnd w:id="117"/>
      <w:bookmarkStart w:id="118" w:name="_Toc184313248"/>
      <w:bookmarkEnd w:id="118"/>
      <w:bookmarkStart w:id="119" w:name="_Toc184308089"/>
      <w:bookmarkEnd w:id="119"/>
      <w:bookmarkStart w:id="120" w:name="_Toc184312084"/>
      <w:bookmarkEnd w:id="120"/>
      <w:bookmarkStart w:id="121" w:name="_Toc184313252"/>
      <w:bookmarkEnd w:id="121"/>
      <w:bookmarkStart w:id="122" w:name="_Toc184310326"/>
      <w:bookmarkEnd w:id="122"/>
      <w:bookmarkStart w:id="123" w:name="_Toc184314441"/>
      <w:bookmarkEnd w:id="123"/>
      <w:bookmarkStart w:id="124" w:name="_Toc184313243"/>
      <w:bookmarkEnd w:id="124"/>
      <w:bookmarkStart w:id="125" w:name="_Toc184313273"/>
      <w:bookmarkEnd w:id="125"/>
      <w:bookmarkStart w:id="126" w:name="_Toc184312076"/>
      <w:bookmarkEnd w:id="126"/>
      <w:bookmarkStart w:id="127" w:name="_Toc184314469"/>
      <w:bookmarkEnd w:id="127"/>
      <w:bookmarkStart w:id="128" w:name="_Toc184313307"/>
      <w:bookmarkEnd w:id="128"/>
      <w:bookmarkStart w:id="129" w:name="_Toc184310278"/>
      <w:bookmarkEnd w:id="129"/>
      <w:bookmarkStart w:id="130" w:name="_Toc184312128"/>
      <w:bookmarkEnd w:id="130"/>
      <w:bookmarkStart w:id="131" w:name="_Toc184312137"/>
      <w:bookmarkEnd w:id="131"/>
      <w:bookmarkStart w:id="132" w:name="_Toc184313300"/>
      <w:bookmarkEnd w:id="132"/>
      <w:bookmarkStart w:id="133" w:name="_Toc184310336"/>
      <w:bookmarkEnd w:id="133"/>
      <w:bookmarkStart w:id="134" w:name="_Toc184308054"/>
      <w:bookmarkEnd w:id="134"/>
      <w:bookmarkStart w:id="135" w:name="_Toc184310276"/>
      <w:bookmarkEnd w:id="135"/>
      <w:bookmarkStart w:id="136" w:name="_Toc184314482"/>
      <w:bookmarkEnd w:id="136"/>
      <w:bookmarkStart w:id="137" w:name="_Toc184312129"/>
      <w:bookmarkEnd w:id="137"/>
      <w:bookmarkStart w:id="138" w:name="_Toc184310289"/>
      <w:bookmarkEnd w:id="138"/>
      <w:bookmarkStart w:id="139" w:name="_Toc184314478"/>
      <w:bookmarkEnd w:id="139"/>
      <w:bookmarkStart w:id="140" w:name="_Toc184308091"/>
      <w:bookmarkEnd w:id="140"/>
      <w:bookmarkStart w:id="141" w:name="_Toc184310273"/>
      <w:bookmarkEnd w:id="141"/>
      <w:bookmarkStart w:id="142" w:name="_Toc184314419"/>
      <w:bookmarkEnd w:id="142"/>
      <w:bookmarkStart w:id="143" w:name="_Toc184313287"/>
      <w:bookmarkEnd w:id="143"/>
      <w:bookmarkStart w:id="144" w:name="_Toc184312121"/>
      <w:bookmarkEnd w:id="144"/>
      <w:bookmarkStart w:id="145" w:name="_Toc184313253"/>
      <w:bookmarkEnd w:id="145"/>
      <w:bookmarkStart w:id="146" w:name="_Toc184314416"/>
      <w:bookmarkEnd w:id="146"/>
      <w:bookmarkStart w:id="147" w:name="_Toc184310334"/>
      <w:bookmarkEnd w:id="147"/>
      <w:bookmarkStart w:id="148" w:name="_Toc184312138"/>
      <w:bookmarkEnd w:id="148"/>
      <w:bookmarkStart w:id="149" w:name="_Toc184308061"/>
      <w:bookmarkEnd w:id="149"/>
      <w:bookmarkStart w:id="150" w:name="_Toc184313283"/>
      <w:bookmarkEnd w:id="150"/>
      <w:bookmarkStart w:id="151" w:name="_Toc184314453"/>
      <w:bookmarkEnd w:id="151"/>
      <w:bookmarkStart w:id="152" w:name="_Toc184313301"/>
      <w:bookmarkEnd w:id="152"/>
      <w:bookmarkStart w:id="153" w:name="_Toc184312118"/>
      <w:bookmarkEnd w:id="153"/>
      <w:bookmarkStart w:id="154" w:name="_Toc184314479"/>
      <w:bookmarkEnd w:id="154"/>
      <w:bookmarkStart w:id="155" w:name="_Toc184313291"/>
      <w:bookmarkEnd w:id="155"/>
      <w:bookmarkStart w:id="156" w:name="_Toc184310291"/>
      <w:bookmarkEnd w:id="156"/>
      <w:bookmarkStart w:id="157" w:name="_Toc184310314"/>
      <w:bookmarkEnd w:id="157"/>
      <w:bookmarkStart w:id="158" w:name="_Toc184308103"/>
      <w:bookmarkEnd w:id="158"/>
      <w:bookmarkStart w:id="159" w:name="_Toc184308069"/>
      <w:bookmarkEnd w:id="159"/>
      <w:bookmarkStart w:id="160" w:name="_Toc184310318"/>
      <w:bookmarkEnd w:id="160"/>
      <w:bookmarkStart w:id="161" w:name="_Toc184314446"/>
      <w:bookmarkEnd w:id="161"/>
      <w:bookmarkStart w:id="162" w:name="_Toc184310282"/>
      <w:bookmarkEnd w:id="162"/>
      <w:bookmarkStart w:id="163" w:name="_Toc184308096"/>
      <w:bookmarkEnd w:id="163"/>
      <w:bookmarkStart w:id="164" w:name="_Toc184308071"/>
      <w:bookmarkEnd w:id="164"/>
      <w:bookmarkStart w:id="165" w:name="_Toc184308108"/>
      <w:bookmarkEnd w:id="165"/>
      <w:bookmarkStart w:id="166" w:name="_Toc184314443"/>
      <w:bookmarkEnd w:id="166"/>
      <w:bookmarkStart w:id="167" w:name="_Toc184313296"/>
      <w:bookmarkEnd w:id="167"/>
      <w:bookmarkStart w:id="168" w:name="_Toc184308084"/>
      <w:bookmarkEnd w:id="168"/>
      <w:bookmarkStart w:id="169" w:name="_Toc184313239"/>
      <w:bookmarkEnd w:id="169"/>
      <w:bookmarkStart w:id="170" w:name="_Toc184312080"/>
      <w:bookmarkEnd w:id="170"/>
      <w:bookmarkStart w:id="171" w:name="_Toc184312136"/>
      <w:bookmarkEnd w:id="171"/>
      <w:bookmarkStart w:id="172" w:name="_Toc184310311"/>
      <w:bookmarkEnd w:id="172"/>
      <w:bookmarkStart w:id="173" w:name="_Toc184308037"/>
      <w:bookmarkEnd w:id="173"/>
      <w:bookmarkStart w:id="174" w:name="_Toc184313264"/>
      <w:bookmarkEnd w:id="174"/>
      <w:bookmarkStart w:id="175" w:name="_Toc184310343"/>
      <w:bookmarkEnd w:id="175"/>
      <w:bookmarkStart w:id="176" w:name="_Toc184308050"/>
      <w:bookmarkEnd w:id="176"/>
      <w:bookmarkStart w:id="177" w:name="_Toc184313261"/>
      <w:bookmarkEnd w:id="177"/>
      <w:bookmarkStart w:id="178" w:name="_Toc184308065"/>
      <w:bookmarkEnd w:id="178"/>
      <w:bookmarkStart w:id="179" w:name="_Toc184313267"/>
      <w:bookmarkEnd w:id="179"/>
      <w:bookmarkStart w:id="180" w:name="_Toc184312068"/>
      <w:bookmarkEnd w:id="180"/>
      <w:bookmarkStart w:id="181" w:name="_Toc184313240"/>
      <w:bookmarkEnd w:id="181"/>
      <w:bookmarkStart w:id="182" w:name="_Toc184310338"/>
      <w:bookmarkEnd w:id="182"/>
      <w:bookmarkStart w:id="183" w:name="_Toc184314412"/>
      <w:bookmarkEnd w:id="183"/>
      <w:bookmarkStart w:id="184" w:name="_Toc184310322"/>
      <w:bookmarkEnd w:id="184"/>
      <w:bookmarkStart w:id="185" w:name="_Toc184310331"/>
      <w:bookmarkEnd w:id="185"/>
      <w:bookmarkStart w:id="186" w:name="_Toc184310283"/>
      <w:bookmarkEnd w:id="186"/>
      <w:bookmarkStart w:id="187" w:name="_Toc184310303"/>
      <w:bookmarkEnd w:id="187"/>
      <w:bookmarkStart w:id="188" w:name="_Toc184313251"/>
      <w:bookmarkEnd w:id="188"/>
      <w:bookmarkStart w:id="189" w:name="_Toc184314449"/>
      <w:bookmarkEnd w:id="189"/>
      <w:bookmarkStart w:id="190" w:name="_Toc184313303"/>
      <w:bookmarkEnd w:id="190"/>
      <w:bookmarkStart w:id="191" w:name="_Toc184313262"/>
      <w:bookmarkEnd w:id="191"/>
      <w:bookmarkStart w:id="192" w:name="_Toc184310280"/>
      <w:bookmarkEnd w:id="192"/>
      <w:bookmarkStart w:id="193" w:name="_Toc184308059"/>
      <w:bookmarkEnd w:id="193"/>
      <w:bookmarkStart w:id="194" w:name="_Toc184314434"/>
      <w:bookmarkEnd w:id="194"/>
      <w:bookmarkStart w:id="195" w:name="_Toc184308073"/>
      <w:bookmarkEnd w:id="195"/>
      <w:bookmarkStart w:id="196" w:name="_Toc184310298"/>
      <w:bookmarkEnd w:id="196"/>
      <w:bookmarkStart w:id="197" w:name="_Toc184308067"/>
      <w:bookmarkEnd w:id="197"/>
      <w:bookmarkStart w:id="198" w:name="_Toc184310294"/>
      <w:bookmarkEnd w:id="198"/>
      <w:bookmarkStart w:id="199" w:name="_Toc184308041"/>
      <w:bookmarkEnd w:id="199"/>
      <w:bookmarkStart w:id="200" w:name="_Toc184314422"/>
      <w:bookmarkEnd w:id="200"/>
      <w:bookmarkStart w:id="201" w:name="_Toc184314444"/>
      <w:bookmarkEnd w:id="201"/>
      <w:bookmarkStart w:id="202" w:name="_Toc184312139"/>
      <w:bookmarkEnd w:id="202"/>
      <w:bookmarkStart w:id="203" w:name="_Toc184310344"/>
      <w:bookmarkEnd w:id="203"/>
      <w:bookmarkStart w:id="204" w:name="_Toc184312095"/>
      <w:bookmarkEnd w:id="204"/>
      <w:bookmarkStart w:id="205" w:name="_Toc184312075"/>
      <w:bookmarkEnd w:id="205"/>
      <w:bookmarkStart w:id="206" w:name="_Toc184313295"/>
      <w:bookmarkEnd w:id="206"/>
      <w:bookmarkStart w:id="207" w:name="_Toc184310296"/>
      <w:bookmarkEnd w:id="207"/>
      <w:bookmarkStart w:id="208" w:name="_Toc184310290"/>
      <w:bookmarkEnd w:id="208"/>
      <w:bookmarkStart w:id="209" w:name="_Toc184313272"/>
      <w:bookmarkEnd w:id="209"/>
      <w:bookmarkStart w:id="210" w:name="_Toc184313258"/>
      <w:bookmarkEnd w:id="210"/>
      <w:bookmarkStart w:id="211" w:name="_Toc184313310"/>
      <w:bookmarkEnd w:id="211"/>
      <w:bookmarkStart w:id="212" w:name="_Toc184308040"/>
      <w:bookmarkEnd w:id="212"/>
      <w:bookmarkStart w:id="213" w:name="_Toc184314467"/>
      <w:bookmarkEnd w:id="213"/>
      <w:bookmarkStart w:id="214" w:name="_Toc184310337"/>
      <w:bookmarkEnd w:id="214"/>
      <w:bookmarkStart w:id="215" w:name="_Toc184308039"/>
      <w:bookmarkEnd w:id="215"/>
      <w:bookmarkStart w:id="216" w:name="_Toc184310327"/>
      <w:bookmarkEnd w:id="216"/>
      <w:bookmarkStart w:id="217" w:name="_Toc184312085"/>
      <w:bookmarkEnd w:id="217"/>
      <w:bookmarkStart w:id="218" w:name="_Toc184313299"/>
      <w:bookmarkEnd w:id="218"/>
      <w:bookmarkStart w:id="219" w:name="_Toc184310300"/>
      <w:bookmarkEnd w:id="219"/>
      <w:bookmarkStart w:id="220" w:name="_Toc184308076"/>
      <w:bookmarkEnd w:id="220"/>
      <w:bookmarkStart w:id="221" w:name="_Toc184314452"/>
      <w:bookmarkEnd w:id="221"/>
      <w:bookmarkStart w:id="222" w:name="_Toc184314427"/>
      <w:bookmarkEnd w:id="222"/>
      <w:bookmarkStart w:id="223" w:name="_Toc184312132"/>
      <w:bookmarkEnd w:id="223"/>
      <w:bookmarkStart w:id="224" w:name="_Toc184308099"/>
      <w:bookmarkEnd w:id="224"/>
      <w:bookmarkStart w:id="225" w:name="_Toc184310313"/>
      <w:bookmarkEnd w:id="225"/>
      <w:bookmarkStart w:id="226" w:name="_Toc184312072"/>
      <w:bookmarkEnd w:id="226"/>
      <w:bookmarkStart w:id="227" w:name="_Toc184312083"/>
      <w:bookmarkEnd w:id="227"/>
      <w:bookmarkStart w:id="228" w:name="_Toc184313306"/>
      <w:bookmarkEnd w:id="228"/>
      <w:bookmarkStart w:id="229" w:name="_Toc184312086"/>
      <w:bookmarkEnd w:id="229"/>
      <w:bookmarkStart w:id="230" w:name="_Toc184312130"/>
      <w:bookmarkEnd w:id="230"/>
      <w:bookmarkStart w:id="231" w:name="_Toc184314463"/>
      <w:bookmarkEnd w:id="231"/>
      <w:bookmarkStart w:id="232" w:name="_Toc184312117"/>
      <w:bookmarkEnd w:id="232"/>
      <w:bookmarkStart w:id="233" w:name="_Toc184308066"/>
      <w:bookmarkEnd w:id="233"/>
      <w:bookmarkStart w:id="234" w:name="_Toc184314480"/>
      <w:bookmarkEnd w:id="234"/>
      <w:bookmarkStart w:id="235" w:name="_Toc184314450"/>
      <w:bookmarkEnd w:id="235"/>
      <w:bookmarkStart w:id="236" w:name="_Toc184310281"/>
      <w:bookmarkEnd w:id="236"/>
      <w:bookmarkStart w:id="237" w:name="_Toc184314426"/>
      <w:bookmarkEnd w:id="237"/>
      <w:bookmarkStart w:id="238" w:name="_Toc184313297"/>
      <w:bookmarkEnd w:id="238"/>
      <w:bookmarkStart w:id="239" w:name="_Toc184314464"/>
      <w:bookmarkEnd w:id="239"/>
      <w:bookmarkStart w:id="240" w:name="_Toc184314436"/>
      <w:bookmarkEnd w:id="240"/>
      <w:bookmarkStart w:id="241" w:name="_Toc184314417"/>
      <w:bookmarkEnd w:id="241"/>
      <w:bookmarkStart w:id="242" w:name="_Toc184312108"/>
      <w:bookmarkEnd w:id="242"/>
      <w:bookmarkStart w:id="243" w:name="_Toc184310308"/>
      <w:bookmarkEnd w:id="243"/>
      <w:bookmarkStart w:id="244" w:name="_Toc184314429"/>
      <w:bookmarkEnd w:id="244"/>
      <w:bookmarkStart w:id="245" w:name="_Toc184310275"/>
      <w:bookmarkEnd w:id="245"/>
      <w:bookmarkStart w:id="246" w:name="_Toc184313256"/>
      <w:bookmarkEnd w:id="246"/>
      <w:bookmarkStart w:id="247" w:name="_Toc184312122"/>
      <w:bookmarkEnd w:id="247"/>
      <w:bookmarkStart w:id="248" w:name="_Toc184313247"/>
      <w:bookmarkEnd w:id="248"/>
      <w:bookmarkStart w:id="249" w:name="_Toc184310325"/>
      <w:bookmarkEnd w:id="249"/>
      <w:bookmarkStart w:id="250" w:name="_Toc184308101"/>
      <w:bookmarkEnd w:id="250"/>
      <w:bookmarkStart w:id="251" w:name="_Toc184310277"/>
      <w:bookmarkEnd w:id="251"/>
      <w:bookmarkStart w:id="252" w:name="_Toc184312073"/>
      <w:bookmarkEnd w:id="252"/>
      <w:bookmarkStart w:id="253" w:name="_Toc184308092"/>
      <w:bookmarkEnd w:id="253"/>
      <w:bookmarkStart w:id="254" w:name="_Toc184312071"/>
      <w:bookmarkEnd w:id="254"/>
      <w:bookmarkStart w:id="255" w:name="_Toc184312088"/>
      <w:bookmarkEnd w:id="255"/>
      <w:bookmarkStart w:id="256" w:name="_Toc184308063"/>
      <w:bookmarkEnd w:id="256"/>
      <w:bookmarkStart w:id="257" w:name="_Toc184313265"/>
      <w:bookmarkEnd w:id="257"/>
      <w:bookmarkStart w:id="258" w:name="_Toc184312078"/>
      <w:bookmarkEnd w:id="258"/>
      <w:bookmarkStart w:id="259" w:name="_Toc184314477"/>
      <w:bookmarkEnd w:id="259"/>
      <w:bookmarkStart w:id="260" w:name="_Toc184312069"/>
      <w:bookmarkEnd w:id="260"/>
      <w:bookmarkStart w:id="261" w:name="_Toc184313302"/>
      <w:bookmarkEnd w:id="261"/>
      <w:bookmarkStart w:id="262" w:name="_Toc184314431"/>
      <w:bookmarkEnd w:id="262"/>
      <w:bookmarkStart w:id="263" w:name="_Toc184308106"/>
      <w:bookmarkEnd w:id="263"/>
      <w:bookmarkStart w:id="264" w:name="_Toc184310315"/>
      <w:bookmarkEnd w:id="264"/>
      <w:bookmarkStart w:id="265" w:name="_Toc184308045"/>
      <w:bookmarkEnd w:id="265"/>
      <w:bookmarkStart w:id="266" w:name="_Toc184314440"/>
      <w:bookmarkEnd w:id="266"/>
      <w:bookmarkStart w:id="267" w:name="_Toc184308087"/>
      <w:bookmarkEnd w:id="267"/>
      <w:bookmarkStart w:id="268" w:name="_Toc184308086"/>
      <w:bookmarkEnd w:id="268"/>
      <w:bookmarkStart w:id="269" w:name="_Toc184308093"/>
      <w:bookmarkEnd w:id="269"/>
      <w:bookmarkStart w:id="270" w:name="_Toc184308036"/>
      <w:bookmarkEnd w:id="270"/>
      <w:bookmarkStart w:id="271" w:name="_Toc184313257"/>
      <w:bookmarkEnd w:id="271"/>
      <w:bookmarkStart w:id="272" w:name="_Toc184313246"/>
      <w:bookmarkEnd w:id="272"/>
      <w:bookmarkStart w:id="273" w:name="_Toc184314418"/>
      <w:bookmarkEnd w:id="273"/>
      <w:bookmarkStart w:id="274" w:name="_Toc184312093"/>
      <w:bookmarkEnd w:id="274"/>
      <w:bookmarkStart w:id="275" w:name="_Toc184308102"/>
      <w:bookmarkEnd w:id="275"/>
      <w:bookmarkStart w:id="276" w:name="_Toc184310299"/>
      <w:bookmarkEnd w:id="276"/>
      <w:bookmarkStart w:id="277" w:name="_Toc184310320"/>
      <w:bookmarkEnd w:id="277"/>
      <w:bookmarkStart w:id="278" w:name="_Toc184312133"/>
      <w:bookmarkEnd w:id="278"/>
      <w:bookmarkStart w:id="279" w:name="_Toc184314460"/>
      <w:bookmarkEnd w:id="279"/>
      <w:bookmarkStart w:id="280" w:name="_Toc184313292"/>
      <w:bookmarkEnd w:id="280"/>
      <w:bookmarkStart w:id="281" w:name="_Toc184310342"/>
      <w:bookmarkEnd w:id="281"/>
      <w:bookmarkStart w:id="282" w:name="_Toc184312123"/>
      <w:bookmarkEnd w:id="282"/>
      <w:bookmarkStart w:id="283" w:name="_Toc184312097"/>
      <w:bookmarkEnd w:id="283"/>
      <w:bookmarkStart w:id="284" w:name="_Toc184308098"/>
      <w:bookmarkEnd w:id="284"/>
      <w:bookmarkStart w:id="285" w:name="_Toc184314420"/>
      <w:bookmarkEnd w:id="285"/>
      <w:bookmarkStart w:id="286" w:name="_Toc184310274"/>
      <w:bookmarkEnd w:id="286"/>
      <w:bookmarkStart w:id="287" w:name="_Toc184314456"/>
      <w:bookmarkEnd w:id="287"/>
      <w:bookmarkStart w:id="288" w:name="_Toc184313266"/>
      <w:bookmarkEnd w:id="288"/>
      <w:bookmarkStart w:id="289" w:name="_Toc184312087"/>
      <w:bookmarkEnd w:id="289"/>
      <w:bookmarkStart w:id="290" w:name="_Toc184314433"/>
      <w:bookmarkEnd w:id="290"/>
      <w:bookmarkStart w:id="291" w:name="_Toc184308094"/>
      <w:bookmarkEnd w:id="291"/>
      <w:bookmarkStart w:id="292" w:name="_Toc184314468"/>
      <w:bookmarkEnd w:id="292"/>
      <w:bookmarkStart w:id="293" w:name="_Toc184314461"/>
      <w:bookmarkEnd w:id="293"/>
      <w:bookmarkStart w:id="294" w:name="_Toc184312105"/>
      <w:bookmarkEnd w:id="294"/>
      <w:bookmarkStart w:id="295" w:name="_Toc184312089"/>
      <w:bookmarkEnd w:id="295"/>
      <w:bookmarkStart w:id="296" w:name="_Toc184313238"/>
      <w:bookmarkEnd w:id="296"/>
      <w:bookmarkStart w:id="297" w:name="_Toc184308043"/>
      <w:bookmarkEnd w:id="297"/>
      <w:bookmarkStart w:id="298" w:name="_Toc184314410"/>
      <w:bookmarkEnd w:id="298"/>
      <w:bookmarkStart w:id="299" w:name="_Toc184308052"/>
      <w:bookmarkEnd w:id="299"/>
      <w:bookmarkStart w:id="300" w:name="_Toc184308095"/>
      <w:bookmarkEnd w:id="300"/>
      <w:bookmarkStart w:id="301" w:name="_Toc184313304"/>
      <w:bookmarkEnd w:id="301"/>
      <w:bookmarkStart w:id="302" w:name="_Toc184308081"/>
      <w:bookmarkEnd w:id="302"/>
      <w:bookmarkStart w:id="303" w:name="_Toc184310292"/>
      <w:bookmarkEnd w:id="303"/>
      <w:bookmarkStart w:id="304" w:name="_Toc184313290"/>
      <w:bookmarkEnd w:id="304"/>
      <w:bookmarkStart w:id="305" w:name="_Toc184310288"/>
      <w:bookmarkEnd w:id="305"/>
      <w:bookmarkStart w:id="306" w:name="_Toc184314415"/>
      <w:bookmarkEnd w:id="306"/>
      <w:bookmarkStart w:id="307" w:name="_Toc184310309"/>
      <w:bookmarkEnd w:id="307"/>
      <w:bookmarkStart w:id="308" w:name="_Toc184314476"/>
      <w:bookmarkEnd w:id="308"/>
      <w:bookmarkStart w:id="309" w:name="_Toc184312098"/>
      <w:bookmarkEnd w:id="309"/>
      <w:bookmarkStart w:id="310" w:name="_Toc184312079"/>
      <w:bookmarkEnd w:id="310"/>
      <w:bookmarkStart w:id="311" w:name="_Toc184310284"/>
      <w:bookmarkEnd w:id="311"/>
      <w:bookmarkStart w:id="312" w:name="_Toc184314442"/>
      <w:bookmarkEnd w:id="312"/>
      <w:bookmarkStart w:id="313" w:name="_Toc184314428"/>
      <w:bookmarkEnd w:id="313"/>
      <w:bookmarkStart w:id="314" w:name="_Toc184310321"/>
      <w:bookmarkEnd w:id="314"/>
      <w:bookmarkStart w:id="315" w:name="_Toc184313271"/>
      <w:bookmarkEnd w:id="315"/>
      <w:bookmarkStart w:id="316" w:name="_Toc184313250"/>
      <w:bookmarkEnd w:id="316"/>
      <w:bookmarkStart w:id="317" w:name="_Toc184313259"/>
      <w:bookmarkEnd w:id="317"/>
      <w:bookmarkStart w:id="318" w:name="_Toc184312124"/>
      <w:bookmarkEnd w:id="318"/>
      <w:bookmarkStart w:id="319" w:name="_Toc184308058"/>
      <w:bookmarkEnd w:id="319"/>
      <w:bookmarkStart w:id="320" w:name="_Toc184310310"/>
      <w:bookmarkEnd w:id="320"/>
      <w:bookmarkStart w:id="321" w:name="_Toc184312125"/>
      <w:bookmarkEnd w:id="321"/>
      <w:bookmarkStart w:id="322" w:name="_Toc184314438"/>
      <w:bookmarkEnd w:id="322"/>
      <w:bookmarkStart w:id="323" w:name="_Toc184312113"/>
      <w:bookmarkEnd w:id="323"/>
      <w:bookmarkStart w:id="324" w:name="_Toc184312100"/>
      <w:bookmarkEnd w:id="324"/>
      <w:bookmarkStart w:id="325" w:name="_Toc184312092"/>
      <w:bookmarkEnd w:id="325"/>
      <w:bookmarkStart w:id="326" w:name="_Toc184313294"/>
      <w:bookmarkEnd w:id="326"/>
      <w:bookmarkStart w:id="327" w:name="_Toc184312135"/>
      <w:bookmarkEnd w:id="327"/>
      <w:bookmarkStart w:id="328" w:name="_Toc184314413"/>
      <w:bookmarkEnd w:id="328"/>
      <w:bookmarkStart w:id="329" w:name="_Toc184308082"/>
      <w:bookmarkEnd w:id="329"/>
      <w:bookmarkStart w:id="330" w:name="_Toc184312120"/>
      <w:bookmarkEnd w:id="330"/>
      <w:bookmarkStart w:id="331" w:name="_Toc184310304"/>
      <w:bookmarkEnd w:id="331"/>
      <w:bookmarkStart w:id="332" w:name="_Toc184310339"/>
      <w:bookmarkEnd w:id="332"/>
      <w:bookmarkStart w:id="333" w:name="_Toc184308104"/>
      <w:bookmarkEnd w:id="333"/>
      <w:bookmarkStart w:id="334" w:name="_Toc184313268"/>
      <w:bookmarkEnd w:id="334"/>
      <w:bookmarkStart w:id="335" w:name="_Toc184308038"/>
      <w:bookmarkEnd w:id="335"/>
      <w:bookmarkStart w:id="336" w:name="_Toc184312096"/>
      <w:bookmarkEnd w:id="336"/>
      <w:bookmarkStart w:id="337" w:name="_Toc184313275"/>
      <w:bookmarkEnd w:id="337"/>
      <w:bookmarkStart w:id="338" w:name="_Toc184314459"/>
      <w:bookmarkEnd w:id="338"/>
      <w:bookmarkStart w:id="339" w:name="_Toc184312127"/>
      <w:bookmarkEnd w:id="339"/>
      <w:bookmarkStart w:id="340" w:name="_Toc184312094"/>
      <w:bookmarkEnd w:id="340"/>
      <w:bookmarkStart w:id="341" w:name="_Toc184314439"/>
      <w:bookmarkEnd w:id="341"/>
      <w:bookmarkStart w:id="342" w:name="_Toc184312082"/>
      <w:bookmarkEnd w:id="342"/>
      <w:bookmarkStart w:id="343" w:name="_Toc184310287"/>
      <w:bookmarkEnd w:id="343"/>
      <w:bookmarkStart w:id="344" w:name="_Toc184308090"/>
      <w:bookmarkEnd w:id="344"/>
      <w:bookmarkStart w:id="345" w:name="_Toc184310307"/>
      <w:bookmarkEnd w:id="345"/>
      <w:bookmarkStart w:id="346" w:name="_Toc184308068"/>
      <w:bookmarkEnd w:id="346"/>
      <w:bookmarkStart w:id="347" w:name="_Toc184313242"/>
      <w:bookmarkEnd w:id="347"/>
      <w:bookmarkStart w:id="348" w:name="_Toc184312107"/>
      <w:bookmarkEnd w:id="348"/>
      <w:bookmarkStart w:id="349" w:name="_Toc184312112"/>
      <w:bookmarkEnd w:id="349"/>
      <w:bookmarkStart w:id="350" w:name="_Toc184314447"/>
      <w:bookmarkEnd w:id="350"/>
      <w:bookmarkStart w:id="351" w:name="_Toc184313245"/>
      <w:bookmarkEnd w:id="351"/>
      <w:bookmarkStart w:id="352" w:name="_Toc184310328"/>
      <w:bookmarkEnd w:id="352"/>
      <w:bookmarkStart w:id="353" w:name="_Toc184308072"/>
      <w:bookmarkEnd w:id="353"/>
      <w:bookmarkStart w:id="354" w:name="_Toc184308083"/>
      <w:bookmarkEnd w:id="354"/>
      <w:bookmarkStart w:id="355" w:name="_Toc184314423"/>
      <w:bookmarkEnd w:id="355"/>
      <w:bookmarkStart w:id="356" w:name="_Toc184314414"/>
      <w:bookmarkEnd w:id="356"/>
      <w:bookmarkStart w:id="357" w:name="_Toc184314457"/>
      <w:bookmarkEnd w:id="357"/>
      <w:bookmarkStart w:id="358" w:name="_Toc184313281"/>
      <w:bookmarkEnd w:id="358"/>
      <w:bookmarkStart w:id="359" w:name="_Toc184313293"/>
      <w:bookmarkEnd w:id="359"/>
      <w:bookmarkStart w:id="360" w:name="_Toc184314465"/>
      <w:bookmarkEnd w:id="360"/>
      <w:bookmarkStart w:id="361" w:name="_Toc184312109"/>
      <w:bookmarkEnd w:id="361"/>
      <w:bookmarkStart w:id="362" w:name="_Toc184310312"/>
      <w:bookmarkEnd w:id="362"/>
      <w:bookmarkStart w:id="363" w:name="_Toc184314462"/>
      <w:bookmarkEnd w:id="363"/>
      <w:bookmarkStart w:id="364" w:name="_Toc184310319"/>
      <w:bookmarkEnd w:id="364"/>
      <w:bookmarkStart w:id="365" w:name="_Toc184308097"/>
      <w:bookmarkEnd w:id="365"/>
      <w:bookmarkStart w:id="366" w:name="_Toc184310286"/>
      <w:bookmarkEnd w:id="366"/>
      <w:bookmarkStart w:id="367" w:name="_Toc184313260"/>
      <w:bookmarkEnd w:id="367"/>
      <w:bookmarkStart w:id="368" w:name="_Toc184312081"/>
      <w:bookmarkEnd w:id="368"/>
      <w:bookmarkStart w:id="369" w:name="_Toc184314437"/>
      <w:bookmarkEnd w:id="369"/>
      <w:bookmarkStart w:id="370" w:name="_Toc184310305"/>
      <w:bookmarkEnd w:id="370"/>
      <w:bookmarkStart w:id="371" w:name="_Toc184313276"/>
      <w:bookmarkEnd w:id="371"/>
      <w:bookmarkStart w:id="372" w:name="_Toc184312070"/>
      <w:bookmarkEnd w:id="372"/>
      <w:bookmarkStart w:id="373" w:name="_Toc184310332"/>
      <w:bookmarkEnd w:id="373"/>
      <w:bookmarkStart w:id="374" w:name="_Toc184312114"/>
      <w:bookmarkEnd w:id="374"/>
      <w:bookmarkStart w:id="375" w:name="_Toc184312077"/>
      <w:bookmarkEnd w:id="375"/>
      <w:bookmarkStart w:id="376" w:name="_Toc184310285"/>
      <w:bookmarkEnd w:id="376"/>
      <w:bookmarkStart w:id="377" w:name="_Toc184312134"/>
      <w:bookmarkEnd w:id="377"/>
      <w:bookmarkStart w:id="378" w:name="_Toc184313289"/>
      <w:bookmarkEnd w:id="378"/>
      <w:bookmarkStart w:id="379" w:name="_Toc184310316"/>
      <w:bookmarkEnd w:id="379"/>
      <w:bookmarkStart w:id="380" w:name="_Toc184314471"/>
      <w:bookmarkEnd w:id="380"/>
      <w:bookmarkStart w:id="381" w:name="_Toc184308070"/>
      <w:bookmarkEnd w:id="381"/>
      <w:bookmarkStart w:id="382" w:name="_Toc184312131"/>
      <w:bookmarkEnd w:id="382"/>
      <w:bookmarkStart w:id="383" w:name="_Toc184312115"/>
      <w:bookmarkEnd w:id="383"/>
      <w:bookmarkStart w:id="384" w:name="_Toc184308047"/>
      <w:bookmarkEnd w:id="384"/>
      <w:bookmarkStart w:id="385" w:name="_Toc184314466"/>
      <w:bookmarkEnd w:id="385"/>
      <w:bookmarkStart w:id="386" w:name="_Toc184312110"/>
      <w:bookmarkEnd w:id="386"/>
      <w:bookmarkStart w:id="387" w:name="_Toc184313279"/>
      <w:bookmarkEnd w:id="387"/>
      <w:bookmarkStart w:id="388" w:name="_Toc184308053"/>
      <w:bookmarkEnd w:id="388"/>
      <w:bookmarkStart w:id="389" w:name="_Toc184313241"/>
      <w:bookmarkEnd w:id="389"/>
      <w:bookmarkStart w:id="390" w:name="_Toc184308085"/>
      <w:bookmarkEnd w:id="390"/>
      <w:bookmarkStart w:id="391" w:name="_Toc184314435"/>
      <w:bookmarkEnd w:id="391"/>
      <w:bookmarkStart w:id="392" w:name="_Toc184314454"/>
      <w:bookmarkEnd w:id="392"/>
      <w:bookmarkStart w:id="393" w:name="_Toc184310317"/>
      <w:bookmarkEnd w:id="393"/>
      <w:bookmarkStart w:id="394" w:name="_Toc184313298"/>
      <w:bookmarkEnd w:id="394"/>
      <w:bookmarkStart w:id="395" w:name="_Toc184308055"/>
      <w:bookmarkEnd w:id="395"/>
      <w:bookmarkStart w:id="396" w:name="_Toc184308064"/>
      <w:bookmarkEnd w:id="396"/>
      <w:bookmarkStart w:id="397" w:name="_Toc184312091"/>
      <w:bookmarkEnd w:id="397"/>
      <w:bookmarkStart w:id="398" w:name="_Toc184308044"/>
      <w:bookmarkEnd w:id="398"/>
      <w:bookmarkStart w:id="399" w:name="_Toc184310323"/>
      <w:bookmarkEnd w:id="399"/>
      <w:bookmarkStart w:id="400" w:name="_Toc184314475"/>
      <w:bookmarkEnd w:id="400"/>
      <w:bookmarkStart w:id="401" w:name="_Toc184313305"/>
      <w:bookmarkEnd w:id="401"/>
      <w:bookmarkStart w:id="402" w:name="_Toc184314458"/>
      <w:bookmarkEnd w:id="402"/>
      <w:bookmarkStart w:id="403" w:name="_Toc184314470"/>
      <w:bookmarkEnd w:id="403"/>
      <w:bookmarkStart w:id="404" w:name="_Toc184310306"/>
      <w:bookmarkEnd w:id="404"/>
      <w:bookmarkStart w:id="405" w:name="_Toc184308062"/>
      <w:bookmarkEnd w:id="405"/>
      <w:bookmarkStart w:id="406" w:name="_Toc184310302"/>
      <w:bookmarkEnd w:id="406"/>
      <w:bookmarkStart w:id="407" w:name="_Toc184314448"/>
      <w:bookmarkEnd w:id="407"/>
      <w:bookmarkStart w:id="408" w:name="_Toc184314451"/>
      <w:bookmarkEnd w:id="408"/>
      <w:bookmarkStart w:id="409" w:name="_Toc184310341"/>
      <w:bookmarkEnd w:id="409"/>
      <w:bookmarkStart w:id="410" w:name="_Toc184310301"/>
      <w:bookmarkEnd w:id="410"/>
      <w:bookmarkStart w:id="411" w:name="_Toc184312104"/>
      <w:bookmarkEnd w:id="411"/>
      <w:bookmarkStart w:id="412" w:name="_Toc184314432"/>
      <w:bookmarkEnd w:id="412"/>
      <w:bookmarkStart w:id="413" w:name="_Toc184314421"/>
      <w:bookmarkEnd w:id="413"/>
      <w:bookmarkStart w:id="414" w:name="_Toc184313288"/>
      <w:bookmarkEnd w:id="414"/>
      <w:bookmarkStart w:id="415" w:name="_Toc184314455"/>
      <w:bookmarkEnd w:id="415"/>
      <w:bookmarkStart w:id="416" w:name="_Toc184314430"/>
      <w:bookmarkEnd w:id="416"/>
      <w:bookmarkStart w:id="417" w:name="_Toc184310295"/>
      <w:bookmarkEnd w:id="417"/>
      <w:bookmarkStart w:id="418" w:name="_Toc184312103"/>
      <w:bookmarkEnd w:id="418"/>
      <w:bookmarkStart w:id="419" w:name="_Toc184313263"/>
      <w:bookmarkEnd w:id="419"/>
      <w:bookmarkStart w:id="420" w:name="_Toc184308046"/>
      <w:bookmarkEnd w:id="420"/>
      <w:bookmarkStart w:id="421" w:name="_Toc184313277"/>
      <w:bookmarkEnd w:id="421"/>
      <w:bookmarkStart w:id="422" w:name="_Toc184310333"/>
      <w:bookmarkEnd w:id="422"/>
      <w:bookmarkStart w:id="423" w:name="_Toc184312101"/>
      <w:bookmarkEnd w:id="423"/>
      <w:bookmarkStart w:id="424" w:name="_Toc184314472"/>
      <w:bookmarkEnd w:id="424"/>
      <w:bookmarkStart w:id="425" w:name="_Toc184313280"/>
      <w:bookmarkEnd w:id="425"/>
      <w:bookmarkStart w:id="426" w:name="_Toc184314473"/>
      <w:bookmarkEnd w:id="426"/>
      <w:bookmarkStart w:id="427" w:name="_Toc184314411"/>
      <w:bookmarkEnd w:id="427"/>
      <w:bookmarkStart w:id="428" w:name="_Toc184308079"/>
      <w:bookmarkEnd w:id="428"/>
      <w:bookmarkStart w:id="429" w:name="_Toc184308051"/>
      <w:bookmarkEnd w:id="429"/>
      <w:bookmarkStart w:id="430" w:name="_Toc184312119"/>
      <w:bookmarkEnd w:id="430"/>
      <w:bookmarkStart w:id="431" w:name="_Toc184313309"/>
      <w:bookmarkEnd w:id="431"/>
      <w:bookmarkStart w:id="432" w:name="_Toc184308049"/>
      <w:bookmarkEnd w:id="432"/>
      <w:bookmarkStart w:id="433" w:name="_Toc184313285"/>
      <w:bookmarkEnd w:id="433"/>
      <w:bookmarkStart w:id="434" w:name="_Toc184313254"/>
      <w:bookmarkEnd w:id="434"/>
      <w:bookmarkStart w:id="435" w:name="_Toc184310297"/>
      <w:bookmarkEnd w:id="435"/>
      <w:bookmarkStart w:id="436" w:name="_Toc184313244"/>
      <w:bookmarkEnd w:id="436"/>
      <w:r>
        <w:rPr>
          <w:rFonts w:hint="eastAsia" w:ascii="宋体" w:hAnsi="宋体" w:cs="宋体"/>
          <w:b/>
          <w:color w:val="000000" w:themeColor="text1"/>
          <w:sz w:val="36"/>
          <w:szCs w:val="20"/>
          <w14:textFill>
            <w14:solidFill>
              <w14:schemeClr w14:val="tx1"/>
            </w14:solidFill>
          </w14:textFill>
        </w:rPr>
        <w:t xml:space="preserve"> 评审办法</w:t>
      </w:r>
      <w:bookmarkEnd w:id="71"/>
    </w:p>
    <w:p w14:paraId="0959C1B5">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437" w:name="_Toc19947"/>
      <w:r>
        <w:rPr>
          <w:rFonts w:hint="eastAsia" w:ascii="宋体" w:hAnsi="宋体" w:cs="宋体"/>
          <w:b/>
          <w:color w:val="000000" w:themeColor="text1"/>
          <w:sz w:val="32"/>
          <w:szCs w:val="20"/>
          <w14:textFill>
            <w14:solidFill>
              <w14:schemeClr w14:val="tx1"/>
            </w14:solidFill>
          </w14:textFill>
        </w:rPr>
        <w:t>评审办法前附表</w:t>
      </w:r>
      <w:bookmarkEnd w:id="437"/>
    </w:p>
    <w:tbl>
      <w:tblPr>
        <w:tblStyle w:val="63"/>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5866"/>
        <w:gridCol w:w="807"/>
        <w:gridCol w:w="1074"/>
        <w:gridCol w:w="1488"/>
      </w:tblGrid>
      <w:tr w14:paraId="66FB8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29EB69FF">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序号</w:t>
            </w:r>
          </w:p>
        </w:tc>
        <w:tc>
          <w:tcPr>
            <w:tcW w:w="2950" w:type="pct"/>
            <w:vAlign w:val="center"/>
          </w:tcPr>
          <w:p w14:paraId="3B032AAA">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评审标准</w:t>
            </w:r>
          </w:p>
        </w:tc>
        <w:tc>
          <w:tcPr>
            <w:tcW w:w="406" w:type="pct"/>
            <w:vAlign w:val="center"/>
          </w:tcPr>
          <w:p w14:paraId="3EAE0C31">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权重</w:t>
            </w:r>
          </w:p>
        </w:tc>
        <w:tc>
          <w:tcPr>
            <w:tcW w:w="540" w:type="pct"/>
            <w:vAlign w:val="center"/>
          </w:tcPr>
          <w:p w14:paraId="21396368">
            <w:pPr>
              <w:pStyle w:val="131"/>
              <w:spacing w:before="0" w:line="240" w:lineRule="auto"/>
              <w:ind w:firstLine="0" w:firstLineChars="0"/>
              <w:jc w:val="center"/>
              <w:rPr>
                <w:rFonts w:ascii="宋体" w:hAnsi="宋体" w:cs="宋体"/>
                <w:bCs/>
                <w:szCs w:val="24"/>
              </w:rPr>
            </w:pPr>
            <w:r>
              <w:rPr>
                <w:rFonts w:hint="eastAsia" w:ascii="宋体" w:hAnsi="宋体" w:cs="宋体"/>
                <w:bCs/>
                <w:szCs w:val="24"/>
              </w:rPr>
              <w:t>主观分/客观分属性</w:t>
            </w:r>
          </w:p>
        </w:tc>
        <w:tc>
          <w:tcPr>
            <w:tcW w:w="748" w:type="pct"/>
            <w:vAlign w:val="center"/>
          </w:tcPr>
          <w:p w14:paraId="19545614">
            <w:pPr>
              <w:pStyle w:val="131"/>
              <w:spacing w:before="0" w:line="240" w:lineRule="auto"/>
              <w:ind w:firstLine="0" w:firstLineChars="0"/>
              <w:jc w:val="center"/>
              <w:rPr>
                <w:rFonts w:ascii="宋体" w:hAnsi="宋体" w:cs="仿宋_GB2312"/>
                <w:szCs w:val="24"/>
              </w:rPr>
            </w:pPr>
            <w:r>
              <w:rPr>
                <w:rFonts w:hint="eastAsia" w:ascii="宋体" w:hAnsi="宋体" w:cs="宋体"/>
                <w:bCs/>
                <w:szCs w:val="24"/>
              </w:rPr>
              <w:t>磋商文件中评审标准相应的商务技术资料目录</w:t>
            </w:r>
            <w:r>
              <w:rPr>
                <w:rFonts w:hint="eastAsia" w:ascii="宋体" w:hAnsi="宋体" w:cs="宋体"/>
                <w:szCs w:val="24"/>
                <w:shd w:val="clear" w:color="auto" w:fill="FFFFFF"/>
              </w:rPr>
              <w:t>*</w:t>
            </w:r>
          </w:p>
        </w:tc>
      </w:tr>
      <w:tr w14:paraId="49A25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568ADFDB">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1</w:t>
            </w:r>
          </w:p>
        </w:tc>
        <w:tc>
          <w:tcPr>
            <w:tcW w:w="2950" w:type="pct"/>
            <w:vAlign w:val="center"/>
          </w:tcPr>
          <w:p w14:paraId="4B751458">
            <w:pPr>
              <w:snapToGrid w:val="0"/>
              <w:jc w:val="left"/>
              <w:rPr>
                <w:rFonts w:ascii="宋体" w:hAnsi="宋体" w:cs="宋体"/>
                <w:sz w:val="24"/>
              </w:rPr>
            </w:pPr>
            <w:r>
              <w:rPr>
                <w:rFonts w:hint="eastAsia" w:ascii="宋体" w:hAnsi="宋体" w:cs="宋体"/>
                <w:sz w:val="24"/>
              </w:rPr>
              <w:t>供应商自2022年1月1日以来具有类似工程项目业绩的每个得0.5分，最多得1分。（同时提供施工合同及竣工验收报告扫描件，时间以合同签订日期为准，未提供则不给分。）</w:t>
            </w:r>
          </w:p>
        </w:tc>
        <w:tc>
          <w:tcPr>
            <w:tcW w:w="406" w:type="pct"/>
            <w:vAlign w:val="center"/>
          </w:tcPr>
          <w:p w14:paraId="2729D6E4">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1</w:t>
            </w:r>
          </w:p>
        </w:tc>
        <w:tc>
          <w:tcPr>
            <w:tcW w:w="540" w:type="pct"/>
            <w:vAlign w:val="center"/>
          </w:tcPr>
          <w:p w14:paraId="24EB916C">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客观分</w:t>
            </w:r>
          </w:p>
        </w:tc>
        <w:tc>
          <w:tcPr>
            <w:tcW w:w="748" w:type="pct"/>
            <w:vAlign w:val="center"/>
          </w:tcPr>
          <w:p w14:paraId="60CC2B68">
            <w:pPr>
              <w:pStyle w:val="131"/>
              <w:spacing w:before="0" w:line="240" w:lineRule="auto"/>
              <w:ind w:firstLine="0" w:firstLineChars="0"/>
              <w:jc w:val="center"/>
              <w:rPr>
                <w:rFonts w:ascii="宋体" w:hAnsi="宋体" w:cs="仿宋_GB2312"/>
                <w:szCs w:val="24"/>
              </w:rPr>
            </w:pPr>
          </w:p>
        </w:tc>
      </w:tr>
      <w:tr w14:paraId="6EE8B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4ADD0CB1">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2</w:t>
            </w:r>
          </w:p>
        </w:tc>
        <w:tc>
          <w:tcPr>
            <w:tcW w:w="2950" w:type="pct"/>
            <w:vAlign w:val="center"/>
          </w:tcPr>
          <w:p w14:paraId="3F0227FE">
            <w:pPr>
              <w:jc w:val="left"/>
              <w:outlineLvl w:val="0"/>
              <w:rPr>
                <w:rFonts w:ascii="宋体" w:hAnsi="宋体" w:cs="宋体"/>
                <w:color w:val="000000"/>
                <w:sz w:val="24"/>
              </w:rPr>
            </w:pPr>
            <w:bookmarkStart w:id="438" w:name="_Toc16180"/>
            <w:r>
              <w:rPr>
                <w:rFonts w:hint="eastAsia" w:ascii="宋体" w:hAnsi="宋体" w:cs="宋体"/>
                <w:color w:val="000000"/>
                <w:sz w:val="24"/>
              </w:rPr>
              <w:t>供应商具有有效期内的质量管理体系认证、环境管理体系认证、职业健康安全管理体系认证的，每项得1分，最高得3分。</w:t>
            </w:r>
            <w:bookmarkEnd w:id="438"/>
          </w:p>
          <w:p w14:paraId="157E06F4">
            <w:pPr>
              <w:jc w:val="left"/>
              <w:outlineLvl w:val="0"/>
              <w:rPr>
                <w:rFonts w:ascii="宋体" w:hAnsi="宋体" w:cs="宋体"/>
                <w:color w:val="000000"/>
                <w:sz w:val="24"/>
              </w:rPr>
            </w:pPr>
            <w:bookmarkStart w:id="439" w:name="_Toc25946"/>
            <w:r>
              <w:rPr>
                <w:rFonts w:hint="eastAsia" w:ascii="宋体" w:hAnsi="宋体" w:cs="宋体"/>
                <w:color w:val="000000"/>
                <w:sz w:val="24"/>
              </w:rPr>
              <w:t>提供相关网站（中国国家认证认可监督管理委员会(http://www.cnca.gov.cn)查询网页的截图，未提供截图的不得分。</w:t>
            </w:r>
            <w:bookmarkEnd w:id="439"/>
          </w:p>
        </w:tc>
        <w:tc>
          <w:tcPr>
            <w:tcW w:w="406" w:type="pct"/>
            <w:vAlign w:val="center"/>
          </w:tcPr>
          <w:p w14:paraId="6CF0D3DD">
            <w:pPr>
              <w:jc w:val="center"/>
              <w:rPr>
                <w:rFonts w:ascii="宋体" w:hAnsi="宋体" w:cs="仿宋_GB2312"/>
                <w:color w:val="000000"/>
                <w:sz w:val="24"/>
              </w:rPr>
            </w:pPr>
            <w:r>
              <w:rPr>
                <w:rFonts w:hint="eastAsia" w:ascii="宋体" w:hAnsi="宋体" w:cs="仿宋_GB2312"/>
                <w:color w:val="000000"/>
                <w:sz w:val="24"/>
              </w:rPr>
              <w:t>3</w:t>
            </w:r>
          </w:p>
        </w:tc>
        <w:tc>
          <w:tcPr>
            <w:tcW w:w="540" w:type="pct"/>
            <w:vAlign w:val="center"/>
          </w:tcPr>
          <w:p w14:paraId="0CB040E7">
            <w:pPr>
              <w:jc w:val="center"/>
              <w:rPr>
                <w:rFonts w:ascii="宋体" w:hAnsi="宋体" w:cs="仿宋_GB2312"/>
                <w:color w:val="000000"/>
                <w:sz w:val="24"/>
              </w:rPr>
            </w:pPr>
            <w:r>
              <w:rPr>
                <w:rFonts w:hint="eastAsia" w:ascii="宋体" w:hAnsi="宋体" w:cs="仿宋_GB2312"/>
                <w:color w:val="000000"/>
                <w:sz w:val="24"/>
              </w:rPr>
              <w:t>客观分</w:t>
            </w:r>
          </w:p>
        </w:tc>
        <w:tc>
          <w:tcPr>
            <w:tcW w:w="748" w:type="pct"/>
            <w:vAlign w:val="center"/>
          </w:tcPr>
          <w:p w14:paraId="183B3A4B">
            <w:pPr>
              <w:pStyle w:val="131"/>
              <w:spacing w:before="0" w:line="240" w:lineRule="auto"/>
              <w:ind w:firstLine="0" w:firstLineChars="0"/>
              <w:jc w:val="center"/>
              <w:rPr>
                <w:rFonts w:ascii="宋体" w:hAnsi="宋体" w:cs="仿宋_GB2312"/>
                <w:szCs w:val="24"/>
              </w:rPr>
            </w:pPr>
          </w:p>
        </w:tc>
      </w:tr>
      <w:tr w14:paraId="4E326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5995B4AA">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3</w:t>
            </w:r>
          </w:p>
        </w:tc>
        <w:tc>
          <w:tcPr>
            <w:tcW w:w="2950" w:type="pct"/>
            <w:vAlign w:val="center"/>
          </w:tcPr>
          <w:p w14:paraId="43E39E4C">
            <w:pPr>
              <w:jc w:val="left"/>
              <w:outlineLvl w:val="0"/>
              <w:rPr>
                <w:rFonts w:ascii="宋体" w:hAnsi="宋体" w:cs="宋体"/>
                <w:color w:val="000000"/>
                <w:sz w:val="24"/>
              </w:rPr>
            </w:pPr>
            <w:bookmarkStart w:id="440" w:name="_Toc13273"/>
            <w:r>
              <w:rPr>
                <w:rFonts w:hint="eastAsia" w:ascii="宋体" w:hAnsi="宋体" w:cs="宋体"/>
                <w:color w:val="000000"/>
                <w:sz w:val="24"/>
              </w:rPr>
              <w:t>对本项目施工总体方案的全面性、合理性、可行性进行评价。</w:t>
            </w:r>
            <w:bookmarkEnd w:id="440"/>
          </w:p>
          <w:p w14:paraId="5BF3D665">
            <w:pPr>
              <w:jc w:val="left"/>
              <w:outlineLvl w:val="0"/>
              <w:rPr>
                <w:rFonts w:ascii="宋体" w:hAnsi="宋体" w:cs="宋体"/>
                <w:color w:val="000000"/>
                <w:sz w:val="24"/>
              </w:rPr>
            </w:pPr>
            <w:bookmarkStart w:id="441" w:name="_Toc14515"/>
            <w:r>
              <w:rPr>
                <w:rFonts w:hint="eastAsia" w:ascii="宋体" w:hAnsi="宋体" w:cs="宋体"/>
                <w:color w:val="000000"/>
                <w:sz w:val="24"/>
              </w:rPr>
              <w:t>（评分范围：0、1、2、3、4、5）</w:t>
            </w:r>
            <w:bookmarkEnd w:id="441"/>
          </w:p>
        </w:tc>
        <w:tc>
          <w:tcPr>
            <w:tcW w:w="406" w:type="pct"/>
            <w:vAlign w:val="center"/>
          </w:tcPr>
          <w:p w14:paraId="4201174D">
            <w:pPr>
              <w:jc w:val="center"/>
              <w:rPr>
                <w:rFonts w:ascii="宋体" w:hAnsi="宋体" w:cs="仿宋_GB2312"/>
                <w:color w:val="000000"/>
                <w:sz w:val="24"/>
              </w:rPr>
            </w:pPr>
            <w:r>
              <w:rPr>
                <w:rFonts w:hint="eastAsia" w:ascii="宋体" w:hAnsi="宋体" w:cs="仿宋_GB2312"/>
                <w:color w:val="000000"/>
                <w:sz w:val="24"/>
              </w:rPr>
              <w:t>5</w:t>
            </w:r>
          </w:p>
        </w:tc>
        <w:tc>
          <w:tcPr>
            <w:tcW w:w="540" w:type="pct"/>
            <w:vAlign w:val="center"/>
          </w:tcPr>
          <w:p w14:paraId="728280B0">
            <w:pPr>
              <w:jc w:val="center"/>
              <w:rPr>
                <w:rFonts w:ascii="宋体" w:hAnsi="宋体" w:cs="仿宋_GB2312"/>
                <w:color w:val="000000"/>
                <w:sz w:val="24"/>
              </w:rPr>
            </w:pPr>
            <w:r>
              <w:rPr>
                <w:rFonts w:hint="eastAsia" w:ascii="宋体" w:hAnsi="宋体" w:cs="宋体"/>
                <w:bCs/>
                <w:color w:val="000000"/>
                <w:sz w:val="24"/>
              </w:rPr>
              <w:t>主观分</w:t>
            </w:r>
          </w:p>
        </w:tc>
        <w:tc>
          <w:tcPr>
            <w:tcW w:w="748" w:type="pct"/>
            <w:vAlign w:val="center"/>
          </w:tcPr>
          <w:p w14:paraId="054110CB">
            <w:pPr>
              <w:pStyle w:val="131"/>
              <w:spacing w:before="0" w:line="240" w:lineRule="auto"/>
              <w:ind w:firstLine="0" w:firstLineChars="0"/>
              <w:jc w:val="center"/>
              <w:rPr>
                <w:rFonts w:ascii="宋体" w:hAnsi="宋体" w:cs="仿宋_GB2312"/>
                <w:szCs w:val="24"/>
              </w:rPr>
            </w:pPr>
          </w:p>
        </w:tc>
      </w:tr>
      <w:tr w14:paraId="0C132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791B3FD2">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4</w:t>
            </w:r>
          </w:p>
        </w:tc>
        <w:tc>
          <w:tcPr>
            <w:tcW w:w="2950" w:type="pct"/>
            <w:vAlign w:val="center"/>
          </w:tcPr>
          <w:p w14:paraId="532081D6">
            <w:pPr>
              <w:jc w:val="left"/>
              <w:outlineLvl w:val="0"/>
              <w:rPr>
                <w:rFonts w:ascii="宋体" w:hAnsi="宋体" w:cs="宋体"/>
                <w:color w:val="000000"/>
                <w:sz w:val="24"/>
              </w:rPr>
            </w:pPr>
            <w:bookmarkStart w:id="442" w:name="_Toc32657"/>
            <w:r>
              <w:rPr>
                <w:rFonts w:hint="eastAsia" w:ascii="宋体" w:hAnsi="宋体" w:cs="宋体"/>
                <w:color w:val="000000"/>
                <w:sz w:val="24"/>
              </w:rPr>
              <w:t>对关键节点施工工艺或施工方法（如原场地地面拆除外运、场地修补、草坪铺设，充砂充颗粒、塑胶铲除外运，沥青铲除外运，沥青浇筑施工、塑胶场地施工、场地平整等）、关键节点施工保障措施的针对性、可行性、合理性进行评价。</w:t>
            </w:r>
            <w:bookmarkEnd w:id="442"/>
          </w:p>
          <w:p w14:paraId="48532495">
            <w:pPr>
              <w:jc w:val="left"/>
              <w:outlineLvl w:val="0"/>
              <w:rPr>
                <w:rFonts w:ascii="宋体" w:hAnsi="宋体" w:cs="宋体"/>
                <w:color w:val="000000"/>
                <w:sz w:val="24"/>
              </w:rPr>
            </w:pPr>
            <w:bookmarkStart w:id="443" w:name="_Toc30564"/>
            <w:r>
              <w:rPr>
                <w:rFonts w:hint="eastAsia" w:ascii="宋体" w:hAnsi="宋体" w:cs="宋体"/>
                <w:color w:val="000000"/>
                <w:sz w:val="24"/>
              </w:rPr>
              <w:t>（评分范围：0、1、2、3、4、5）</w:t>
            </w:r>
            <w:bookmarkEnd w:id="443"/>
          </w:p>
        </w:tc>
        <w:tc>
          <w:tcPr>
            <w:tcW w:w="406" w:type="pct"/>
            <w:vAlign w:val="center"/>
          </w:tcPr>
          <w:p w14:paraId="7A0DA25D">
            <w:pPr>
              <w:jc w:val="center"/>
              <w:rPr>
                <w:rFonts w:ascii="宋体" w:hAnsi="宋体" w:cs="仿宋_GB2312"/>
                <w:color w:val="000000"/>
                <w:sz w:val="24"/>
              </w:rPr>
            </w:pPr>
            <w:r>
              <w:rPr>
                <w:rFonts w:hint="eastAsia" w:ascii="宋体" w:hAnsi="宋体" w:cs="仿宋_GB2312"/>
                <w:color w:val="000000"/>
                <w:sz w:val="24"/>
              </w:rPr>
              <w:t>5</w:t>
            </w:r>
          </w:p>
        </w:tc>
        <w:tc>
          <w:tcPr>
            <w:tcW w:w="540" w:type="pct"/>
            <w:vAlign w:val="center"/>
          </w:tcPr>
          <w:p w14:paraId="469B7307">
            <w:pPr>
              <w:jc w:val="center"/>
              <w:rPr>
                <w:rFonts w:ascii="宋体" w:hAnsi="宋体" w:cs="仿宋_GB2312"/>
                <w:color w:val="000000"/>
                <w:sz w:val="24"/>
              </w:rPr>
            </w:pPr>
            <w:r>
              <w:rPr>
                <w:rFonts w:hint="eastAsia" w:ascii="宋体" w:hAnsi="宋体" w:cs="宋体"/>
                <w:bCs/>
                <w:color w:val="000000"/>
                <w:sz w:val="24"/>
              </w:rPr>
              <w:t>主观分</w:t>
            </w:r>
          </w:p>
        </w:tc>
        <w:tc>
          <w:tcPr>
            <w:tcW w:w="748" w:type="pct"/>
            <w:vAlign w:val="center"/>
          </w:tcPr>
          <w:p w14:paraId="35AA2911">
            <w:pPr>
              <w:pStyle w:val="131"/>
              <w:spacing w:before="0" w:line="240" w:lineRule="auto"/>
              <w:ind w:firstLine="0" w:firstLineChars="0"/>
              <w:jc w:val="center"/>
              <w:rPr>
                <w:rFonts w:ascii="宋体" w:hAnsi="宋体" w:cs="仿宋_GB2312"/>
                <w:szCs w:val="24"/>
              </w:rPr>
            </w:pPr>
          </w:p>
        </w:tc>
      </w:tr>
      <w:tr w14:paraId="2FAE8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6AD03182">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5</w:t>
            </w:r>
          </w:p>
        </w:tc>
        <w:tc>
          <w:tcPr>
            <w:tcW w:w="2950" w:type="pct"/>
            <w:vAlign w:val="center"/>
          </w:tcPr>
          <w:p w14:paraId="710106A4">
            <w:pPr>
              <w:jc w:val="left"/>
              <w:outlineLvl w:val="0"/>
              <w:rPr>
                <w:rFonts w:ascii="宋体" w:hAnsi="宋体" w:cs="宋体"/>
                <w:sz w:val="24"/>
              </w:rPr>
            </w:pPr>
            <w:bookmarkStart w:id="444" w:name="_Toc1171"/>
            <w:r>
              <w:rPr>
                <w:rFonts w:hint="eastAsia" w:ascii="宋体" w:hAnsi="宋体" w:cs="宋体"/>
                <w:sz w:val="24"/>
              </w:rPr>
              <w:t>对质量管理重点环节实施方案：原材料进场检测、原材料存储管理、中间环节检验、防水检测、联合检测及竣工验收的科学合理性、可行性、完整性进行评价。</w:t>
            </w:r>
            <w:bookmarkEnd w:id="444"/>
          </w:p>
          <w:p w14:paraId="0F4AA478">
            <w:pPr>
              <w:jc w:val="left"/>
              <w:outlineLvl w:val="0"/>
              <w:rPr>
                <w:rFonts w:ascii="宋体" w:hAnsi="宋体" w:cs="宋体"/>
                <w:sz w:val="24"/>
              </w:rPr>
            </w:pPr>
            <w:bookmarkStart w:id="445" w:name="_Toc12609"/>
            <w:r>
              <w:rPr>
                <w:rFonts w:hint="eastAsia" w:ascii="宋体" w:hAnsi="宋体" w:cs="宋体"/>
                <w:sz w:val="24"/>
              </w:rPr>
              <w:t>（评分范围：0、1、2、3、4、5）</w:t>
            </w:r>
            <w:bookmarkEnd w:id="445"/>
          </w:p>
        </w:tc>
        <w:tc>
          <w:tcPr>
            <w:tcW w:w="406" w:type="pct"/>
            <w:vAlign w:val="center"/>
          </w:tcPr>
          <w:p w14:paraId="5631BD38">
            <w:pPr>
              <w:jc w:val="center"/>
              <w:rPr>
                <w:rFonts w:ascii="宋体" w:hAnsi="宋体" w:cs="仿宋_GB2312"/>
                <w:sz w:val="24"/>
              </w:rPr>
            </w:pPr>
            <w:r>
              <w:rPr>
                <w:rFonts w:hint="eastAsia" w:ascii="宋体" w:hAnsi="宋体" w:cs="仿宋_GB2312"/>
                <w:sz w:val="24"/>
              </w:rPr>
              <w:t>5</w:t>
            </w:r>
          </w:p>
        </w:tc>
        <w:tc>
          <w:tcPr>
            <w:tcW w:w="540" w:type="pct"/>
            <w:vAlign w:val="center"/>
          </w:tcPr>
          <w:p w14:paraId="1FEAC9BA">
            <w:pPr>
              <w:jc w:val="center"/>
              <w:rPr>
                <w:rFonts w:ascii="宋体" w:hAnsi="宋体" w:cs="仿宋_GB2312"/>
                <w:sz w:val="24"/>
              </w:rPr>
            </w:pPr>
            <w:r>
              <w:rPr>
                <w:rFonts w:hint="eastAsia" w:ascii="宋体" w:hAnsi="宋体" w:cs="宋体"/>
                <w:bCs/>
                <w:sz w:val="24"/>
              </w:rPr>
              <w:t>主观分</w:t>
            </w:r>
          </w:p>
        </w:tc>
        <w:tc>
          <w:tcPr>
            <w:tcW w:w="748" w:type="pct"/>
            <w:vAlign w:val="center"/>
          </w:tcPr>
          <w:p w14:paraId="2DCEC1ED">
            <w:pPr>
              <w:pStyle w:val="131"/>
              <w:spacing w:before="0" w:line="240" w:lineRule="auto"/>
              <w:ind w:firstLine="0" w:firstLineChars="0"/>
              <w:jc w:val="center"/>
              <w:rPr>
                <w:rFonts w:ascii="宋体" w:hAnsi="宋体" w:cs="仿宋_GB2312"/>
                <w:szCs w:val="24"/>
              </w:rPr>
            </w:pPr>
          </w:p>
        </w:tc>
      </w:tr>
      <w:tr w14:paraId="76346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0C6A5AB5">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6</w:t>
            </w:r>
          </w:p>
        </w:tc>
        <w:tc>
          <w:tcPr>
            <w:tcW w:w="2950" w:type="pct"/>
            <w:vAlign w:val="center"/>
          </w:tcPr>
          <w:p w14:paraId="1864FBD6">
            <w:pPr>
              <w:jc w:val="left"/>
              <w:outlineLvl w:val="0"/>
              <w:rPr>
                <w:rFonts w:ascii="宋体" w:hAnsi="宋体" w:cs="宋体"/>
                <w:sz w:val="24"/>
              </w:rPr>
            </w:pPr>
            <w:bookmarkStart w:id="446" w:name="_Toc22517"/>
            <w:r>
              <w:rPr>
                <w:rFonts w:hint="eastAsia" w:ascii="宋体" w:hAnsi="宋体" w:cs="宋体"/>
                <w:sz w:val="24"/>
              </w:rPr>
              <w:t>对施工机械和检测设备选用情况，成品保护方案的科学合理性、可行性、是否满足施工需要进行评价。</w:t>
            </w:r>
            <w:bookmarkEnd w:id="446"/>
          </w:p>
          <w:p w14:paraId="3B10BB1C">
            <w:pPr>
              <w:jc w:val="left"/>
              <w:outlineLvl w:val="0"/>
              <w:rPr>
                <w:rFonts w:ascii="宋体" w:hAnsi="宋体" w:cs="宋体"/>
                <w:sz w:val="24"/>
              </w:rPr>
            </w:pPr>
            <w:bookmarkStart w:id="447" w:name="_Toc8530"/>
            <w:r>
              <w:rPr>
                <w:rFonts w:hint="eastAsia" w:ascii="宋体" w:hAnsi="宋体" w:cs="宋体"/>
                <w:sz w:val="24"/>
              </w:rPr>
              <w:t>（评分范围：0、1、2、3、4、5）</w:t>
            </w:r>
            <w:bookmarkEnd w:id="447"/>
          </w:p>
        </w:tc>
        <w:tc>
          <w:tcPr>
            <w:tcW w:w="406" w:type="pct"/>
            <w:vAlign w:val="center"/>
          </w:tcPr>
          <w:p w14:paraId="455852E9">
            <w:pPr>
              <w:jc w:val="center"/>
              <w:rPr>
                <w:rFonts w:ascii="宋体" w:hAnsi="宋体" w:cs="仿宋_GB2312"/>
                <w:sz w:val="24"/>
              </w:rPr>
            </w:pPr>
            <w:r>
              <w:rPr>
                <w:rFonts w:hint="eastAsia" w:ascii="宋体" w:hAnsi="宋体" w:cs="仿宋_GB2312"/>
                <w:sz w:val="24"/>
              </w:rPr>
              <w:t>5</w:t>
            </w:r>
          </w:p>
        </w:tc>
        <w:tc>
          <w:tcPr>
            <w:tcW w:w="540" w:type="pct"/>
            <w:vAlign w:val="center"/>
          </w:tcPr>
          <w:p w14:paraId="69378D75">
            <w:pPr>
              <w:jc w:val="center"/>
              <w:rPr>
                <w:rFonts w:ascii="宋体" w:hAnsi="宋体" w:cs="仿宋_GB2312"/>
                <w:sz w:val="24"/>
              </w:rPr>
            </w:pPr>
            <w:r>
              <w:rPr>
                <w:rFonts w:hint="eastAsia" w:ascii="宋体" w:hAnsi="宋体" w:cs="宋体"/>
                <w:bCs/>
                <w:sz w:val="24"/>
              </w:rPr>
              <w:t>主观分</w:t>
            </w:r>
          </w:p>
        </w:tc>
        <w:tc>
          <w:tcPr>
            <w:tcW w:w="748" w:type="pct"/>
            <w:vAlign w:val="center"/>
          </w:tcPr>
          <w:p w14:paraId="7F821187">
            <w:pPr>
              <w:pStyle w:val="131"/>
              <w:spacing w:before="0" w:line="240" w:lineRule="auto"/>
              <w:ind w:firstLine="0" w:firstLineChars="0"/>
              <w:jc w:val="center"/>
              <w:rPr>
                <w:rFonts w:ascii="宋体" w:hAnsi="宋体" w:cs="仿宋_GB2312"/>
                <w:szCs w:val="24"/>
              </w:rPr>
            </w:pPr>
          </w:p>
        </w:tc>
      </w:tr>
      <w:tr w14:paraId="5EAB3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3AE9FA3B">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7</w:t>
            </w:r>
          </w:p>
        </w:tc>
        <w:tc>
          <w:tcPr>
            <w:tcW w:w="2950" w:type="pct"/>
          </w:tcPr>
          <w:p w14:paraId="44ED0F6B">
            <w:pPr>
              <w:jc w:val="left"/>
              <w:outlineLvl w:val="0"/>
              <w:rPr>
                <w:rFonts w:ascii="宋体" w:hAnsi="宋体" w:cs="宋体"/>
                <w:sz w:val="24"/>
              </w:rPr>
            </w:pPr>
            <w:bookmarkStart w:id="448" w:name="_Toc448"/>
            <w:r>
              <w:rPr>
                <w:rFonts w:hint="eastAsia" w:ascii="宋体" w:hAnsi="宋体" w:cs="宋体"/>
                <w:sz w:val="24"/>
              </w:rPr>
              <w:t>对本项目施工组织管理制度和施工组织措施的完整性、合理性进行评价。</w:t>
            </w:r>
            <w:bookmarkEnd w:id="448"/>
          </w:p>
          <w:p w14:paraId="74A4FC72">
            <w:pPr>
              <w:jc w:val="left"/>
              <w:outlineLvl w:val="0"/>
              <w:rPr>
                <w:rFonts w:ascii="宋体" w:hAnsi="宋体" w:cs="宋体"/>
                <w:sz w:val="24"/>
              </w:rPr>
            </w:pPr>
            <w:bookmarkStart w:id="449" w:name="_Toc3090"/>
            <w:r>
              <w:rPr>
                <w:rFonts w:hint="eastAsia" w:ascii="宋体" w:hAnsi="宋体" w:cs="宋体"/>
                <w:sz w:val="24"/>
              </w:rPr>
              <w:t>（评分范围：0、1、2、3、4）</w:t>
            </w:r>
            <w:bookmarkEnd w:id="449"/>
          </w:p>
        </w:tc>
        <w:tc>
          <w:tcPr>
            <w:tcW w:w="406" w:type="pct"/>
            <w:vAlign w:val="center"/>
          </w:tcPr>
          <w:p w14:paraId="59BFA31A">
            <w:pPr>
              <w:jc w:val="center"/>
              <w:rPr>
                <w:rFonts w:ascii="宋体" w:hAnsi="宋体" w:cs="仿宋_GB2312"/>
                <w:sz w:val="24"/>
              </w:rPr>
            </w:pPr>
            <w:r>
              <w:rPr>
                <w:rFonts w:hint="eastAsia" w:ascii="宋体" w:hAnsi="宋体" w:cs="仿宋_GB2312"/>
                <w:sz w:val="24"/>
              </w:rPr>
              <w:t>4</w:t>
            </w:r>
          </w:p>
        </w:tc>
        <w:tc>
          <w:tcPr>
            <w:tcW w:w="540" w:type="pct"/>
            <w:vAlign w:val="center"/>
          </w:tcPr>
          <w:p w14:paraId="1F2A07DE">
            <w:pPr>
              <w:jc w:val="center"/>
              <w:rPr>
                <w:rFonts w:ascii="宋体" w:hAnsi="宋体" w:cs="仿宋_GB2312"/>
                <w:sz w:val="24"/>
              </w:rPr>
            </w:pPr>
            <w:r>
              <w:rPr>
                <w:rFonts w:hint="eastAsia" w:ascii="宋体" w:hAnsi="宋体" w:cs="宋体"/>
                <w:bCs/>
                <w:sz w:val="24"/>
              </w:rPr>
              <w:t>主观分</w:t>
            </w:r>
          </w:p>
        </w:tc>
        <w:tc>
          <w:tcPr>
            <w:tcW w:w="748" w:type="pct"/>
            <w:vAlign w:val="center"/>
          </w:tcPr>
          <w:p w14:paraId="544AA750">
            <w:pPr>
              <w:pStyle w:val="131"/>
              <w:spacing w:before="0" w:line="240" w:lineRule="auto"/>
              <w:ind w:firstLine="0" w:firstLineChars="0"/>
              <w:jc w:val="center"/>
              <w:rPr>
                <w:rFonts w:ascii="宋体" w:hAnsi="宋体" w:cs="仿宋_GB2312"/>
                <w:szCs w:val="24"/>
              </w:rPr>
            </w:pPr>
          </w:p>
        </w:tc>
      </w:tr>
      <w:tr w14:paraId="7A46D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6D442853">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8</w:t>
            </w:r>
          </w:p>
        </w:tc>
        <w:tc>
          <w:tcPr>
            <w:tcW w:w="2950" w:type="pct"/>
          </w:tcPr>
          <w:p w14:paraId="047D679D">
            <w:pPr>
              <w:jc w:val="left"/>
              <w:outlineLvl w:val="0"/>
              <w:rPr>
                <w:rFonts w:ascii="宋体" w:hAnsi="宋体" w:cs="宋体"/>
                <w:color w:val="000000"/>
                <w:sz w:val="24"/>
              </w:rPr>
            </w:pPr>
            <w:bookmarkStart w:id="450" w:name="_Toc1719"/>
            <w:r>
              <w:rPr>
                <w:rFonts w:hint="eastAsia" w:ascii="宋体" w:hAnsi="宋体" w:cs="宋体"/>
                <w:color w:val="000000"/>
                <w:sz w:val="24"/>
              </w:rPr>
              <w:t>对供应商提供的施工进度网络计划、关键节点和线路的保证措施的科学性、针对性和可行性等进行评价。</w:t>
            </w:r>
            <w:bookmarkEnd w:id="450"/>
          </w:p>
          <w:p w14:paraId="055FCE17">
            <w:pPr>
              <w:jc w:val="left"/>
              <w:outlineLvl w:val="0"/>
              <w:rPr>
                <w:rFonts w:ascii="宋体" w:hAnsi="宋体" w:cs="宋体"/>
                <w:color w:val="000000"/>
                <w:sz w:val="24"/>
              </w:rPr>
            </w:pPr>
            <w:bookmarkStart w:id="451" w:name="_Toc13479"/>
            <w:r>
              <w:rPr>
                <w:rFonts w:hint="eastAsia" w:ascii="宋体" w:hAnsi="宋体" w:cs="宋体"/>
                <w:color w:val="000000"/>
                <w:sz w:val="24"/>
              </w:rPr>
              <w:t>（评分范围：0、1、2、3、4）</w:t>
            </w:r>
            <w:bookmarkEnd w:id="451"/>
          </w:p>
        </w:tc>
        <w:tc>
          <w:tcPr>
            <w:tcW w:w="406" w:type="pct"/>
            <w:vAlign w:val="center"/>
          </w:tcPr>
          <w:p w14:paraId="061288AC">
            <w:pPr>
              <w:jc w:val="center"/>
              <w:rPr>
                <w:rFonts w:ascii="宋体" w:hAnsi="宋体" w:cs="仿宋_GB2312"/>
                <w:color w:val="000000"/>
                <w:sz w:val="24"/>
              </w:rPr>
            </w:pPr>
            <w:r>
              <w:rPr>
                <w:rFonts w:hint="eastAsia" w:ascii="宋体" w:hAnsi="宋体" w:cs="仿宋_GB2312"/>
                <w:color w:val="000000"/>
                <w:sz w:val="24"/>
              </w:rPr>
              <w:t>4</w:t>
            </w:r>
          </w:p>
        </w:tc>
        <w:tc>
          <w:tcPr>
            <w:tcW w:w="540" w:type="pct"/>
            <w:vAlign w:val="center"/>
          </w:tcPr>
          <w:p w14:paraId="17960239">
            <w:pPr>
              <w:jc w:val="center"/>
              <w:rPr>
                <w:rFonts w:ascii="宋体" w:hAnsi="宋体" w:cs="仿宋_GB2312"/>
                <w:color w:val="000000"/>
                <w:sz w:val="24"/>
              </w:rPr>
            </w:pPr>
            <w:r>
              <w:rPr>
                <w:rFonts w:hint="eastAsia" w:ascii="宋体" w:hAnsi="宋体" w:cs="宋体"/>
                <w:bCs/>
                <w:color w:val="000000"/>
                <w:sz w:val="24"/>
              </w:rPr>
              <w:t>主观分</w:t>
            </w:r>
          </w:p>
        </w:tc>
        <w:tc>
          <w:tcPr>
            <w:tcW w:w="748" w:type="pct"/>
            <w:vAlign w:val="center"/>
          </w:tcPr>
          <w:p w14:paraId="3970C76C">
            <w:pPr>
              <w:pStyle w:val="131"/>
              <w:spacing w:before="0" w:line="240" w:lineRule="auto"/>
              <w:ind w:firstLine="0" w:firstLineChars="0"/>
              <w:jc w:val="center"/>
              <w:rPr>
                <w:rFonts w:ascii="宋体" w:hAnsi="宋体" w:cs="仿宋_GB2312"/>
                <w:szCs w:val="24"/>
              </w:rPr>
            </w:pPr>
          </w:p>
        </w:tc>
      </w:tr>
      <w:tr w14:paraId="2C586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7C9DC168">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9</w:t>
            </w:r>
          </w:p>
        </w:tc>
        <w:tc>
          <w:tcPr>
            <w:tcW w:w="2950" w:type="pct"/>
          </w:tcPr>
          <w:p w14:paraId="4F70A751">
            <w:pPr>
              <w:widowControl/>
              <w:jc w:val="left"/>
              <w:rPr>
                <w:rFonts w:ascii="宋体" w:hAnsi="宋体" w:cs="宋体"/>
                <w:color w:val="000000"/>
                <w:kern w:val="0"/>
                <w:sz w:val="24"/>
                <w:lang w:bidi="ar"/>
              </w:rPr>
            </w:pPr>
            <w:r>
              <w:rPr>
                <w:rFonts w:hint="eastAsia" w:ascii="宋体" w:hAnsi="宋体" w:cs="宋体"/>
                <w:color w:val="000000"/>
                <w:kern w:val="0"/>
                <w:sz w:val="24"/>
                <w:lang w:bidi="ar"/>
              </w:rPr>
              <w:t>投标产品的功能、配置、性能（包括所投标产品详细配置、主要技术参数等），与本项目要求的技术需求符合程度</w:t>
            </w:r>
            <w:r>
              <w:rPr>
                <w:rFonts w:hint="eastAsia" w:ascii="宋体" w:hAnsi="宋体" w:cs="宋体"/>
                <w:color w:val="000000"/>
                <w:sz w:val="24"/>
              </w:rPr>
              <w:t>进行评价</w:t>
            </w:r>
            <w:r>
              <w:rPr>
                <w:rFonts w:hint="eastAsia" w:ascii="宋体" w:hAnsi="宋体" w:cs="宋体"/>
                <w:color w:val="000000"/>
                <w:kern w:val="0"/>
                <w:sz w:val="24"/>
                <w:lang w:bidi="ar"/>
              </w:rPr>
              <w:t xml:space="preserve">。 </w:t>
            </w:r>
          </w:p>
          <w:p w14:paraId="2414F98F">
            <w:pPr>
              <w:jc w:val="left"/>
              <w:outlineLvl w:val="0"/>
              <w:rPr>
                <w:rFonts w:ascii="宋体" w:hAnsi="宋体" w:cs="宋体"/>
                <w:color w:val="000000"/>
                <w:sz w:val="24"/>
              </w:rPr>
            </w:pPr>
            <w:bookmarkStart w:id="452" w:name="_Toc20778"/>
            <w:r>
              <w:rPr>
                <w:rFonts w:hint="eastAsia" w:ascii="宋体" w:hAnsi="宋体" w:cs="宋体"/>
                <w:color w:val="000000"/>
                <w:sz w:val="24"/>
              </w:rPr>
              <w:t>（评分范围：0、1、2、3、4、5）</w:t>
            </w:r>
            <w:bookmarkEnd w:id="452"/>
          </w:p>
        </w:tc>
        <w:tc>
          <w:tcPr>
            <w:tcW w:w="406" w:type="pct"/>
            <w:vAlign w:val="center"/>
          </w:tcPr>
          <w:p w14:paraId="1104C1B7">
            <w:pPr>
              <w:jc w:val="center"/>
              <w:rPr>
                <w:rFonts w:ascii="宋体" w:hAnsi="宋体" w:cs="仿宋_GB2312"/>
                <w:color w:val="000000"/>
                <w:sz w:val="24"/>
              </w:rPr>
            </w:pPr>
            <w:r>
              <w:rPr>
                <w:rFonts w:hint="eastAsia" w:ascii="宋体" w:hAnsi="宋体" w:cs="仿宋_GB2312"/>
                <w:color w:val="000000"/>
                <w:sz w:val="24"/>
              </w:rPr>
              <w:t>5</w:t>
            </w:r>
          </w:p>
        </w:tc>
        <w:tc>
          <w:tcPr>
            <w:tcW w:w="540" w:type="pct"/>
            <w:vAlign w:val="center"/>
          </w:tcPr>
          <w:p w14:paraId="265F266C">
            <w:pPr>
              <w:jc w:val="center"/>
              <w:rPr>
                <w:rFonts w:ascii="宋体" w:hAnsi="宋体" w:cs="宋体"/>
                <w:bCs/>
                <w:color w:val="000000"/>
                <w:sz w:val="24"/>
              </w:rPr>
            </w:pPr>
            <w:r>
              <w:rPr>
                <w:rFonts w:hint="eastAsia" w:ascii="宋体" w:hAnsi="宋体" w:cs="宋体"/>
                <w:bCs/>
                <w:color w:val="000000"/>
                <w:sz w:val="24"/>
              </w:rPr>
              <w:t>主观分</w:t>
            </w:r>
          </w:p>
        </w:tc>
        <w:tc>
          <w:tcPr>
            <w:tcW w:w="748" w:type="pct"/>
            <w:vAlign w:val="center"/>
          </w:tcPr>
          <w:p w14:paraId="7AC860E9">
            <w:pPr>
              <w:pStyle w:val="131"/>
              <w:spacing w:before="0" w:line="240" w:lineRule="auto"/>
              <w:ind w:firstLine="0" w:firstLineChars="0"/>
              <w:jc w:val="center"/>
              <w:rPr>
                <w:rFonts w:ascii="宋体" w:hAnsi="宋体" w:cs="仿宋_GB2312"/>
                <w:szCs w:val="24"/>
              </w:rPr>
            </w:pPr>
          </w:p>
        </w:tc>
      </w:tr>
      <w:tr w14:paraId="3633D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31E4805F">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10</w:t>
            </w:r>
          </w:p>
        </w:tc>
        <w:tc>
          <w:tcPr>
            <w:tcW w:w="2950" w:type="pct"/>
          </w:tcPr>
          <w:p w14:paraId="7D6C871D">
            <w:pPr>
              <w:jc w:val="left"/>
              <w:outlineLvl w:val="0"/>
              <w:rPr>
                <w:rFonts w:ascii="宋体" w:hAnsi="宋体" w:cs="宋体"/>
                <w:color w:val="000000"/>
                <w:sz w:val="24"/>
              </w:rPr>
            </w:pPr>
            <w:bookmarkStart w:id="453" w:name="_Toc18652"/>
            <w:r>
              <w:rPr>
                <w:rFonts w:hint="eastAsia" w:ascii="宋体" w:hAnsi="宋体" w:cs="宋体"/>
                <w:color w:val="000000"/>
                <w:sz w:val="24"/>
              </w:rPr>
              <w:t>对供应商在施工过程中采取的降尘、降噪、建筑垃圾处置及保证施工场地周边空气质量等环保创新措施的创新性、针对性、可行性、科学合理性进行评价。</w:t>
            </w:r>
            <w:bookmarkEnd w:id="453"/>
          </w:p>
          <w:p w14:paraId="4E25A78A">
            <w:pPr>
              <w:jc w:val="left"/>
              <w:outlineLvl w:val="0"/>
              <w:rPr>
                <w:rFonts w:ascii="宋体" w:hAnsi="宋体" w:cs="宋体"/>
                <w:color w:val="000000"/>
                <w:sz w:val="24"/>
              </w:rPr>
            </w:pPr>
            <w:bookmarkStart w:id="454" w:name="_Toc31114"/>
            <w:r>
              <w:rPr>
                <w:rFonts w:hint="eastAsia" w:ascii="宋体" w:hAnsi="宋体" w:cs="宋体"/>
                <w:color w:val="000000"/>
                <w:sz w:val="24"/>
              </w:rPr>
              <w:t>（评分范围：0、1、2、3、4）</w:t>
            </w:r>
            <w:bookmarkEnd w:id="454"/>
          </w:p>
        </w:tc>
        <w:tc>
          <w:tcPr>
            <w:tcW w:w="406" w:type="pct"/>
            <w:vAlign w:val="center"/>
          </w:tcPr>
          <w:p w14:paraId="49FE09D9">
            <w:pPr>
              <w:jc w:val="center"/>
              <w:rPr>
                <w:rFonts w:ascii="宋体" w:hAnsi="宋体" w:cs="仿宋_GB2312"/>
                <w:color w:val="000000"/>
                <w:sz w:val="24"/>
              </w:rPr>
            </w:pPr>
            <w:r>
              <w:rPr>
                <w:rFonts w:hint="eastAsia" w:ascii="宋体" w:hAnsi="宋体" w:cs="仿宋_GB2312"/>
                <w:color w:val="000000"/>
                <w:sz w:val="24"/>
              </w:rPr>
              <w:t>4</w:t>
            </w:r>
          </w:p>
        </w:tc>
        <w:tc>
          <w:tcPr>
            <w:tcW w:w="540" w:type="pct"/>
            <w:vAlign w:val="center"/>
          </w:tcPr>
          <w:p w14:paraId="219495BB">
            <w:pPr>
              <w:jc w:val="center"/>
              <w:rPr>
                <w:rFonts w:ascii="宋体" w:hAnsi="宋体" w:cs="仿宋_GB2312"/>
                <w:color w:val="000000"/>
                <w:sz w:val="24"/>
              </w:rPr>
            </w:pPr>
            <w:r>
              <w:rPr>
                <w:rFonts w:hint="eastAsia" w:ascii="宋体" w:hAnsi="宋体" w:cs="宋体"/>
                <w:bCs/>
                <w:color w:val="000000"/>
                <w:sz w:val="24"/>
              </w:rPr>
              <w:t>主观分</w:t>
            </w:r>
          </w:p>
        </w:tc>
        <w:tc>
          <w:tcPr>
            <w:tcW w:w="748" w:type="pct"/>
            <w:vAlign w:val="center"/>
          </w:tcPr>
          <w:p w14:paraId="59266197">
            <w:pPr>
              <w:pStyle w:val="131"/>
              <w:spacing w:before="0" w:line="240" w:lineRule="auto"/>
              <w:ind w:firstLine="0" w:firstLineChars="0"/>
              <w:jc w:val="center"/>
              <w:rPr>
                <w:rFonts w:ascii="宋体" w:hAnsi="宋体" w:cs="仿宋_GB2312"/>
                <w:szCs w:val="24"/>
              </w:rPr>
            </w:pPr>
          </w:p>
        </w:tc>
      </w:tr>
      <w:tr w14:paraId="227A6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5210219D">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11</w:t>
            </w:r>
          </w:p>
        </w:tc>
        <w:tc>
          <w:tcPr>
            <w:tcW w:w="2950" w:type="pct"/>
          </w:tcPr>
          <w:p w14:paraId="33ACB117">
            <w:pPr>
              <w:jc w:val="left"/>
              <w:outlineLvl w:val="0"/>
              <w:rPr>
                <w:rFonts w:ascii="宋体" w:hAnsi="宋体" w:cs="宋体"/>
                <w:color w:val="000000"/>
                <w:sz w:val="24"/>
              </w:rPr>
            </w:pPr>
            <w:bookmarkStart w:id="455" w:name="_Toc25056"/>
            <w:r>
              <w:rPr>
                <w:rFonts w:hint="eastAsia" w:ascii="宋体" w:hAnsi="宋体" w:cs="宋体"/>
                <w:color w:val="000000"/>
                <w:sz w:val="24"/>
              </w:rPr>
              <w:t>对供应商安全文明施工措施的完整性、合理性评价,包括对施工现场的材料堆场、施工通道的安排，对消防安全的保证措施等进行评价，要求措施完善且到位，具有针对性和可行性。</w:t>
            </w:r>
            <w:bookmarkEnd w:id="455"/>
          </w:p>
          <w:p w14:paraId="59B8C849">
            <w:pPr>
              <w:jc w:val="left"/>
              <w:outlineLvl w:val="0"/>
              <w:rPr>
                <w:rFonts w:ascii="宋体" w:hAnsi="宋体" w:cs="宋体"/>
                <w:color w:val="000000"/>
                <w:sz w:val="24"/>
              </w:rPr>
            </w:pPr>
            <w:bookmarkStart w:id="456" w:name="_Toc13482"/>
            <w:r>
              <w:rPr>
                <w:rFonts w:hint="eastAsia" w:ascii="宋体" w:hAnsi="宋体" w:cs="宋体"/>
                <w:color w:val="000000"/>
                <w:sz w:val="24"/>
              </w:rPr>
              <w:t>（评分范围：0、1、2、3、4）</w:t>
            </w:r>
            <w:bookmarkEnd w:id="456"/>
          </w:p>
        </w:tc>
        <w:tc>
          <w:tcPr>
            <w:tcW w:w="406" w:type="pct"/>
            <w:vAlign w:val="center"/>
          </w:tcPr>
          <w:p w14:paraId="3687A41A">
            <w:pPr>
              <w:pStyle w:val="131"/>
              <w:spacing w:before="0" w:line="240" w:lineRule="auto"/>
              <w:ind w:firstLine="0" w:firstLineChars="0"/>
              <w:jc w:val="center"/>
              <w:rPr>
                <w:rFonts w:ascii="宋体" w:hAnsi="宋体" w:cs="仿宋_GB2312"/>
                <w:color w:val="000000"/>
                <w:szCs w:val="24"/>
              </w:rPr>
            </w:pPr>
            <w:r>
              <w:rPr>
                <w:rFonts w:hint="eastAsia" w:ascii="宋体" w:hAnsi="宋体" w:cs="仿宋_GB2312"/>
                <w:color w:val="000000"/>
                <w:szCs w:val="24"/>
              </w:rPr>
              <w:t>4</w:t>
            </w:r>
          </w:p>
        </w:tc>
        <w:tc>
          <w:tcPr>
            <w:tcW w:w="540" w:type="pct"/>
            <w:vAlign w:val="center"/>
          </w:tcPr>
          <w:p w14:paraId="74D109D8">
            <w:pPr>
              <w:jc w:val="center"/>
              <w:rPr>
                <w:rFonts w:ascii="宋体" w:hAnsi="宋体" w:cs="仿宋_GB2312"/>
                <w:color w:val="000000"/>
                <w:sz w:val="24"/>
              </w:rPr>
            </w:pPr>
            <w:r>
              <w:rPr>
                <w:rFonts w:hint="eastAsia" w:ascii="宋体" w:hAnsi="宋体" w:cs="宋体"/>
                <w:bCs/>
                <w:color w:val="000000"/>
                <w:sz w:val="24"/>
              </w:rPr>
              <w:t>主观分</w:t>
            </w:r>
          </w:p>
        </w:tc>
        <w:tc>
          <w:tcPr>
            <w:tcW w:w="748" w:type="pct"/>
            <w:vAlign w:val="center"/>
          </w:tcPr>
          <w:p w14:paraId="7DA53CE3">
            <w:pPr>
              <w:pStyle w:val="131"/>
              <w:spacing w:before="0" w:line="240" w:lineRule="auto"/>
              <w:ind w:firstLine="0" w:firstLineChars="0"/>
              <w:jc w:val="center"/>
              <w:rPr>
                <w:rFonts w:ascii="宋体" w:hAnsi="宋体" w:cs="仿宋_GB2312"/>
                <w:szCs w:val="24"/>
              </w:rPr>
            </w:pPr>
          </w:p>
        </w:tc>
      </w:tr>
      <w:tr w14:paraId="55C3F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631CF26E">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12</w:t>
            </w:r>
          </w:p>
        </w:tc>
        <w:tc>
          <w:tcPr>
            <w:tcW w:w="2950" w:type="pct"/>
          </w:tcPr>
          <w:p w14:paraId="49E6DEA1">
            <w:pPr>
              <w:jc w:val="left"/>
              <w:outlineLvl w:val="0"/>
              <w:rPr>
                <w:rFonts w:ascii="宋体" w:hAnsi="宋体" w:cs="宋体"/>
                <w:color w:val="000000"/>
                <w:sz w:val="24"/>
              </w:rPr>
            </w:pPr>
            <w:bookmarkStart w:id="457" w:name="_Toc26654"/>
            <w:r>
              <w:rPr>
                <w:rFonts w:hint="eastAsia" w:ascii="宋体" w:hAnsi="宋体" w:cs="宋体"/>
                <w:color w:val="000000"/>
                <w:sz w:val="24"/>
              </w:rPr>
              <w:t>对本项目原材料、半成品、外购件外购设备等材料质量保证措施的科学合理性、是否能满足项目要求进行评价。</w:t>
            </w:r>
            <w:bookmarkEnd w:id="457"/>
          </w:p>
          <w:p w14:paraId="68A7E69E">
            <w:pPr>
              <w:jc w:val="left"/>
              <w:outlineLvl w:val="0"/>
              <w:rPr>
                <w:rFonts w:ascii="宋体" w:hAnsi="宋体" w:cs="宋体"/>
                <w:color w:val="000000"/>
                <w:sz w:val="24"/>
              </w:rPr>
            </w:pPr>
            <w:bookmarkStart w:id="458" w:name="_Toc7355"/>
            <w:r>
              <w:rPr>
                <w:rFonts w:hint="eastAsia" w:ascii="宋体" w:hAnsi="宋体" w:cs="宋体"/>
                <w:color w:val="000000"/>
                <w:sz w:val="24"/>
              </w:rPr>
              <w:t>（评分范围：0、1、2、3、4、5）</w:t>
            </w:r>
            <w:bookmarkEnd w:id="458"/>
          </w:p>
        </w:tc>
        <w:tc>
          <w:tcPr>
            <w:tcW w:w="406" w:type="pct"/>
            <w:vAlign w:val="center"/>
          </w:tcPr>
          <w:p w14:paraId="1408277D">
            <w:pPr>
              <w:pStyle w:val="131"/>
              <w:spacing w:before="0" w:line="240" w:lineRule="auto"/>
              <w:ind w:firstLine="0" w:firstLineChars="0"/>
              <w:jc w:val="center"/>
              <w:rPr>
                <w:rFonts w:ascii="宋体" w:hAnsi="宋体" w:cs="仿宋_GB2312"/>
                <w:color w:val="000000"/>
                <w:szCs w:val="24"/>
              </w:rPr>
            </w:pPr>
            <w:r>
              <w:rPr>
                <w:rFonts w:hint="eastAsia" w:ascii="宋体" w:hAnsi="宋体" w:cs="仿宋_GB2312"/>
                <w:color w:val="000000"/>
                <w:szCs w:val="24"/>
              </w:rPr>
              <w:t>5</w:t>
            </w:r>
          </w:p>
        </w:tc>
        <w:tc>
          <w:tcPr>
            <w:tcW w:w="540" w:type="pct"/>
            <w:vAlign w:val="center"/>
          </w:tcPr>
          <w:p w14:paraId="15D5D582">
            <w:pPr>
              <w:jc w:val="center"/>
              <w:rPr>
                <w:rFonts w:ascii="宋体" w:hAnsi="宋体" w:cs="仿宋_GB2312"/>
                <w:color w:val="000000"/>
                <w:sz w:val="24"/>
              </w:rPr>
            </w:pPr>
            <w:r>
              <w:rPr>
                <w:rFonts w:hint="eastAsia" w:ascii="宋体" w:hAnsi="宋体" w:cs="宋体"/>
                <w:bCs/>
                <w:color w:val="000000"/>
                <w:sz w:val="24"/>
              </w:rPr>
              <w:t>主观分</w:t>
            </w:r>
          </w:p>
        </w:tc>
        <w:tc>
          <w:tcPr>
            <w:tcW w:w="748" w:type="pct"/>
            <w:vAlign w:val="center"/>
          </w:tcPr>
          <w:p w14:paraId="79F0E8EF">
            <w:pPr>
              <w:pStyle w:val="131"/>
              <w:spacing w:before="0" w:line="240" w:lineRule="auto"/>
              <w:ind w:firstLine="0" w:firstLineChars="0"/>
              <w:jc w:val="center"/>
              <w:rPr>
                <w:rFonts w:ascii="宋体" w:hAnsi="宋体" w:cs="仿宋_GB2312"/>
                <w:szCs w:val="24"/>
              </w:rPr>
            </w:pPr>
          </w:p>
        </w:tc>
      </w:tr>
      <w:tr w14:paraId="1F5F0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02A85E77">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13</w:t>
            </w:r>
          </w:p>
        </w:tc>
        <w:tc>
          <w:tcPr>
            <w:tcW w:w="2950" w:type="pct"/>
          </w:tcPr>
          <w:p w14:paraId="7D0CB94A">
            <w:pPr>
              <w:jc w:val="left"/>
              <w:outlineLvl w:val="0"/>
              <w:rPr>
                <w:rFonts w:ascii="宋体" w:hAnsi="宋体" w:cs="宋体"/>
                <w:color w:val="000000"/>
                <w:sz w:val="24"/>
              </w:rPr>
            </w:pPr>
            <w:bookmarkStart w:id="459" w:name="_Toc23207"/>
            <w:r>
              <w:rPr>
                <w:rFonts w:hint="eastAsia" w:ascii="宋体" w:hAnsi="宋体" w:cs="宋体"/>
                <w:color w:val="000000"/>
                <w:sz w:val="24"/>
              </w:rPr>
              <w:t>对施工过程中突发事件的处理预案及承诺的紧急响应时间的评价，评价因素包括响应时间、措施、投入人员力量，要求响应及时、措施科学合理、具有针对性和可行性。</w:t>
            </w:r>
            <w:bookmarkEnd w:id="459"/>
          </w:p>
          <w:p w14:paraId="621827B3">
            <w:pPr>
              <w:jc w:val="left"/>
              <w:outlineLvl w:val="0"/>
              <w:rPr>
                <w:rFonts w:ascii="宋体" w:hAnsi="宋体" w:cs="宋体"/>
                <w:color w:val="000000"/>
                <w:sz w:val="24"/>
              </w:rPr>
            </w:pPr>
            <w:bookmarkStart w:id="460" w:name="_Toc29584"/>
            <w:r>
              <w:rPr>
                <w:rFonts w:hint="eastAsia" w:ascii="宋体" w:hAnsi="宋体" w:cs="宋体"/>
                <w:color w:val="000000"/>
                <w:sz w:val="24"/>
              </w:rPr>
              <w:t>（评分范围：0、1、2、3、4、5）</w:t>
            </w:r>
            <w:bookmarkEnd w:id="460"/>
          </w:p>
        </w:tc>
        <w:tc>
          <w:tcPr>
            <w:tcW w:w="406" w:type="pct"/>
            <w:vAlign w:val="center"/>
          </w:tcPr>
          <w:p w14:paraId="2FC08DE4">
            <w:pPr>
              <w:pStyle w:val="131"/>
              <w:spacing w:before="0" w:line="240" w:lineRule="auto"/>
              <w:ind w:firstLine="0" w:firstLineChars="0"/>
              <w:jc w:val="center"/>
              <w:rPr>
                <w:rFonts w:ascii="宋体" w:hAnsi="宋体" w:cs="仿宋_GB2312"/>
                <w:color w:val="000000"/>
                <w:szCs w:val="24"/>
              </w:rPr>
            </w:pPr>
            <w:r>
              <w:rPr>
                <w:rFonts w:hint="eastAsia" w:ascii="宋体" w:hAnsi="宋体" w:cs="仿宋_GB2312"/>
                <w:color w:val="000000"/>
                <w:szCs w:val="24"/>
              </w:rPr>
              <w:t>5</w:t>
            </w:r>
          </w:p>
        </w:tc>
        <w:tc>
          <w:tcPr>
            <w:tcW w:w="540" w:type="pct"/>
            <w:vAlign w:val="center"/>
          </w:tcPr>
          <w:p w14:paraId="29014E69">
            <w:pPr>
              <w:jc w:val="center"/>
              <w:rPr>
                <w:rFonts w:ascii="宋体" w:hAnsi="宋体" w:cs="仿宋_GB2312"/>
                <w:color w:val="000000"/>
                <w:sz w:val="24"/>
              </w:rPr>
            </w:pPr>
            <w:r>
              <w:rPr>
                <w:rFonts w:hint="eastAsia" w:ascii="宋体" w:hAnsi="宋体" w:cs="宋体"/>
                <w:bCs/>
                <w:color w:val="000000"/>
                <w:sz w:val="24"/>
              </w:rPr>
              <w:t>主观分</w:t>
            </w:r>
          </w:p>
        </w:tc>
        <w:tc>
          <w:tcPr>
            <w:tcW w:w="748" w:type="pct"/>
            <w:vAlign w:val="center"/>
          </w:tcPr>
          <w:p w14:paraId="5DE95B84">
            <w:pPr>
              <w:pStyle w:val="131"/>
              <w:spacing w:before="0" w:line="240" w:lineRule="auto"/>
              <w:ind w:firstLine="0" w:firstLineChars="0"/>
              <w:jc w:val="center"/>
              <w:rPr>
                <w:rFonts w:ascii="宋体" w:hAnsi="宋体" w:cs="仿宋_GB2312"/>
                <w:szCs w:val="24"/>
              </w:rPr>
            </w:pPr>
          </w:p>
        </w:tc>
      </w:tr>
      <w:tr w14:paraId="4906C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24F3EA11">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14</w:t>
            </w:r>
          </w:p>
        </w:tc>
        <w:tc>
          <w:tcPr>
            <w:tcW w:w="2950" w:type="pct"/>
          </w:tcPr>
          <w:p w14:paraId="5200DC0F">
            <w:pPr>
              <w:jc w:val="left"/>
              <w:outlineLvl w:val="0"/>
              <w:rPr>
                <w:rFonts w:ascii="宋体" w:hAnsi="宋体" w:cs="宋体"/>
                <w:color w:val="000000"/>
                <w:sz w:val="24"/>
              </w:rPr>
            </w:pPr>
            <w:bookmarkStart w:id="461" w:name="_Toc16124"/>
            <w:r>
              <w:rPr>
                <w:rFonts w:hint="eastAsia" w:ascii="宋体" w:hAnsi="宋体" w:cs="宋体"/>
                <w:color w:val="000000"/>
                <w:sz w:val="24"/>
              </w:rPr>
              <w:t>对售后服务承诺的范围和完善程度的评价，包括保修范围、保修内容、人员配备、故障响应修复时间方式、生产厂家对</w:t>
            </w:r>
            <w:r>
              <w:rPr>
                <w:rFonts w:hint="eastAsia" w:ascii="宋体" w:hAnsi="宋体" w:cs="宋体"/>
                <w:color w:val="000000"/>
                <w:kern w:val="0"/>
                <w:sz w:val="24"/>
                <w:lang w:bidi="ar"/>
              </w:rPr>
              <w:t>产品质保承诺、生产厂家对产品质量保险投保等情况</w:t>
            </w:r>
            <w:r>
              <w:rPr>
                <w:rFonts w:hint="eastAsia" w:ascii="宋体" w:hAnsi="宋体" w:cs="宋体"/>
                <w:color w:val="000000"/>
                <w:sz w:val="24"/>
              </w:rPr>
              <w:t>，要求响应及时、措施科学合理、具有针对性和可行性。</w:t>
            </w:r>
            <w:bookmarkEnd w:id="461"/>
          </w:p>
          <w:p w14:paraId="41E40141">
            <w:pPr>
              <w:jc w:val="left"/>
              <w:outlineLvl w:val="0"/>
              <w:rPr>
                <w:rFonts w:ascii="宋体" w:hAnsi="宋体" w:cs="宋体"/>
                <w:color w:val="000000"/>
                <w:sz w:val="24"/>
              </w:rPr>
            </w:pPr>
            <w:bookmarkStart w:id="462" w:name="_Toc12211"/>
            <w:r>
              <w:rPr>
                <w:rFonts w:hint="eastAsia" w:ascii="宋体" w:hAnsi="宋体" w:cs="宋体"/>
                <w:color w:val="000000"/>
                <w:sz w:val="24"/>
              </w:rPr>
              <w:t>（评分范围：0、1、2、3、4、5）</w:t>
            </w:r>
            <w:bookmarkEnd w:id="462"/>
          </w:p>
        </w:tc>
        <w:tc>
          <w:tcPr>
            <w:tcW w:w="406" w:type="pct"/>
            <w:vAlign w:val="center"/>
          </w:tcPr>
          <w:p w14:paraId="27862576">
            <w:pPr>
              <w:pStyle w:val="131"/>
              <w:spacing w:before="0" w:line="240" w:lineRule="auto"/>
              <w:ind w:firstLine="0" w:firstLineChars="0"/>
              <w:jc w:val="center"/>
              <w:rPr>
                <w:rFonts w:ascii="宋体" w:hAnsi="宋体" w:cs="仿宋_GB2312"/>
                <w:color w:val="000000"/>
                <w:szCs w:val="24"/>
              </w:rPr>
            </w:pPr>
            <w:r>
              <w:rPr>
                <w:rFonts w:hint="eastAsia" w:ascii="宋体" w:hAnsi="宋体" w:cs="仿宋_GB2312"/>
                <w:color w:val="000000"/>
                <w:szCs w:val="24"/>
              </w:rPr>
              <w:t>5</w:t>
            </w:r>
          </w:p>
        </w:tc>
        <w:tc>
          <w:tcPr>
            <w:tcW w:w="540" w:type="pct"/>
            <w:vAlign w:val="center"/>
          </w:tcPr>
          <w:p w14:paraId="487D8602">
            <w:pPr>
              <w:jc w:val="center"/>
              <w:rPr>
                <w:rFonts w:ascii="宋体" w:hAnsi="宋体" w:cs="宋体"/>
                <w:bCs/>
                <w:color w:val="000000"/>
                <w:sz w:val="24"/>
              </w:rPr>
            </w:pPr>
            <w:r>
              <w:rPr>
                <w:rFonts w:hint="eastAsia" w:ascii="宋体" w:hAnsi="宋体" w:cs="宋体"/>
                <w:bCs/>
                <w:color w:val="000000"/>
                <w:sz w:val="24"/>
              </w:rPr>
              <w:t>主观分</w:t>
            </w:r>
          </w:p>
        </w:tc>
        <w:tc>
          <w:tcPr>
            <w:tcW w:w="748" w:type="pct"/>
            <w:vAlign w:val="center"/>
          </w:tcPr>
          <w:p w14:paraId="255D7033">
            <w:pPr>
              <w:pStyle w:val="131"/>
              <w:spacing w:before="0" w:line="240" w:lineRule="auto"/>
              <w:ind w:firstLine="0" w:firstLineChars="0"/>
              <w:jc w:val="center"/>
              <w:rPr>
                <w:rFonts w:ascii="宋体" w:hAnsi="宋体" w:cs="仿宋_GB2312"/>
                <w:szCs w:val="24"/>
              </w:rPr>
            </w:pPr>
          </w:p>
        </w:tc>
      </w:tr>
      <w:tr w14:paraId="24170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59C2CBBF">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15</w:t>
            </w:r>
          </w:p>
        </w:tc>
        <w:tc>
          <w:tcPr>
            <w:tcW w:w="2950" w:type="pct"/>
          </w:tcPr>
          <w:p w14:paraId="5D3C79D9">
            <w:pPr>
              <w:jc w:val="both"/>
              <w:outlineLvl w:val="9"/>
              <w:rPr>
                <w:rFonts w:hint="eastAsia" w:ascii="宋体" w:hAnsi="宋体" w:eastAsia="宋体" w:cs="宋体"/>
                <w:b/>
                <w:bCs/>
                <w:color w:val="000000"/>
                <w:sz w:val="24"/>
                <w:lang w:eastAsia="zh-CN"/>
              </w:rPr>
            </w:pPr>
            <w:bookmarkStart w:id="463" w:name="_Toc25673"/>
            <w:r>
              <w:rPr>
                <w:rFonts w:hint="eastAsia" w:ascii="宋体" w:hAnsi="宋体" w:cs="宋体"/>
                <w:b/>
                <w:bCs/>
                <w:color w:val="000000"/>
                <w:sz w:val="24"/>
              </w:rPr>
              <w:t>样品评分</w:t>
            </w:r>
            <w:bookmarkEnd w:id="463"/>
            <w:r>
              <w:rPr>
                <w:rFonts w:hint="eastAsia" w:ascii="宋体" w:hAnsi="宋体" w:cs="宋体"/>
                <w:b/>
                <w:bCs/>
                <w:color w:val="000000"/>
                <w:sz w:val="24"/>
                <w:lang w:eastAsia="zh-CN"/>
              </w:rPr>
              <w:t>（</w:t>
            </w:r>
            <w:r>
              <w:rPr>
                <w:rFonts w:hint="eastAsia" w:ascii="宋体" w:hAnsi="宋体" w:cs="宋体"/>
                <w:color w:val="000000" w:themeColor="text1"/>
                <w:sz w:val="24"/>
                <w14:textFill>
                  <w14:solidFill>
                    <w14:schemeClr w14:val="tx1"/>
                  </w14:solidFill>
                </w14:textFill>
              </w:rPr>
              <w:t>▲</w:t>
            </w:r>
            <w:r>
              <w:rPr>
                <w:rFonts w:hint="eastAsia" w:ascii="宋体" w:hAnsi="宋体" w:cs="宋体"/>
                <w:b/>
                <w:color w:val="000000" w:themeColor="text1"/>
                <w:kern w:val="0"/>
                <w:sz w:val="24"/>
                <w14:textFill>
                  <w14:solidFill>
                    <w14:schemeClr w14:val="tx1"/>
                  </w14:solidFill>
                </w14:textFill>
              </w:rPr>
              <w:t>未提供样品或样品不全按无效标处理</w:t>
            </w:r>
            <w:r>
              <w:rPr>
                <w:rFonts w:hint="eastAsia" w:ascii="宋体" w:hAnsi="宋体" w:cs="宋体"/>
                <w:b/>
                <w:bCs/>
                <w:color w:val="000000"/>
                <w:sz w:val="24"/>
                <w:lang w:eastAsia="zh-CN"/>
              </w:rPr>
              <w:t>）</w:t>
            </w:r>
          </w:p>
          <w:p w14:paraId="2418D85F">
            <w:pPr>
              <w:jc w:val="left"/>
              <w:outlineLvl w:val="0"/>
              <w:rPr>
                <w:rFonts w:ascii="宋体" w:hAnsi="宋体" w:cs="宋体"/>
                <w:b/>
                <w:bCs/>
                <w:color w:val="000000"/>
                <w:sz w:val="24"/>
              </w:rPr>
            </w:pPr>
            <w:bookmarkStart w:id="464" w:name="_Toc29508"/>
            <w:r>
              <w:rPr>
                <w:rFonts w:hint="eastAsia" w:ascii="宋体" w:hAnsi="宋体" w:cs="宋体"/>
                <w:b/>
                <w:bCs/>
                <w:color w:val="000000"/>
                <w:sz w:val="24"/>
              </w:rPr>
              <w:t>塑胶跑道：</w:t>
            </w:r>
            <w:bookmarkEnd w:id="464"/>
          </w:p>
          <w:p w14:paraId="6549381B">
            <w:pPr>
              <w:jc w:val="left"/>
              <w:outlineLvl w:val="0"/>
              <w:rPr>
                <w:rFonts w:ascii="宋体" w:hAnsi="宋体" w:cs="宋体"/>
                <w:color w:val="000000"/>
                <w:sz w:val="24"/>
              </w:rPr>
            </w:pPr>
            <w:bookmarkStart w:id="465" w:name="_Toc15690"/>
            <w:r>
              <w:rPr>
                <w:rFonts w:hint="eastAsia" w:ascii="宋体" w:hAnsi="宋体" w:cs="宋体"/>
                <w:color w:val="000000"/>
                <w:sz w:val="24"/>
              </w:rPr>
              <w:t>1、无裂痕、起鼓、气泡、台阶式凹凸或分层现象；（评分范围：0、0.5、1、1.5）</w:t>
            </w:r>
            <w:bookmarkEnd w:id="465"/>
          </w:p>
          <w:p w14:paraId="75CFED29">
            <w:pPr>
              <w:jc w:val="left"/>
              <w:outlineLvl w:val="0"/>
              <w:rPr>
                <w:rFonts w:ascii="宋体" w:hAnsi="宋体" w:cs="宋体"/>
                <w:color w:val="000000"/>
                <w:sz w:val="24"/>
              </w:rPr>
            </w:pPr>
            <w:bookmarkStart w:id="466" w:name="_Toc17091"/>
            <w:r>
              <w:rPr>
                <w:rFonts w:hint="eastAsia" w:ascii="宋体" w:hAnsi="宋体" w:cs="宋体"/>
                <w:color w:val="000000"/>
                <w:sz w:val="24"/>
              </w:rPr>
              <w:t>2、颗粒与胶水粘合牢固、均匀；（评分范围：0、0.5、1、1.5）</w:t>
            </w:r>
            <w:bookmarkEnd w:id="466"/>
          </w:p>
          <w:p w14:paraId="0C0A94E2">
            <w:pPr>
              <w:jc w:val="left"/>
              <w:outlineLvl w:val="0"/>
              <w:rPr>
                <w:rFonts w:ascii="宋体" w:hAnsi="宋体" w:cs="宋体"/>
                <w:color w:val="000000"/>
                <w:sz w:val="24"/>
              </w:rPr>
            </w:pPr>
            <w:bookmarkStart w:id="467" w:name="_Toc28266"/>
            <w:r>
              <w:rPr>
                <w:rFonts w:hint="eastAsia" w:ascii="宋体" w:hAnsi="宋体" w:cs="宋体"/>
                <w:color w:val="000000"/>
                <w:sz w:val="24"/>
              </w:rPr>
              <w:t>3、色泽鲜艳均匀，无明显色差；（评分范围：0、0.5、1、1.5）</w:t>
            </w:r>
            <w:bookmarkEnd w:id="467"/>
          </w:p>
          <w:p w14:paraId="6B7A5EB4">
            <w:pPr>
              <w:jc w:val="left"/>
              <w:outlineLvl w:val="0"/>
              <w:rPr>
                <w:rFonts w:ascii="宋体" w:hAnsi="宋体" w:cs="宋体"/>
                <w:b/>
                <w:bCs/>
                <w:color w:val="000000"/>
                <w:sz w:val="24"/>
              </w:rPr>
            </w:pPr>
            <w:bookmarkStart w:id="468" w:name="_Toc17198"/>
            <w:r>
              <w:rPr>
                <w:rFonts w:hint="eastAsia" w:ascii="宋体" w:hAnsi="宋体" w:cs="宋体"/>
                <w:b/>
                <w:bCs/>
                <w:color w:val="000000"/>
                <w:sz w:val="24"/>
              </w:rPr>
              <w:t>人造草坪：</w:t>
            </w:r>
            <w:bookmarkEnd w:id="468"/>
          </w:p>
          <w:p w14:paraId="45729E0A">
            <w:pPr>
              <w:jc w:val="left"/>
              <w:outlineLvl w:val="0"/>
              <w:rPr>
                <w:rFonts w:ascii="宋体" w:hAnsi="宋体" w:cs="宋体"/>
                <w:color w:val="000000"/>
                <w:sz w:val="24"/>
              </w:rPr>
            </w:pPr>
            <w:bookmarkStart w:id="469" w:name="_Toc23015"/>
            <w:r>
              <w:rPr>
                <w:rFonts w:hint="eastAsia" w:ascii="宋体" w:hAnsi="宋体" w:cs="宋体"/>
                <w:color w:val="000000"/>
                <w:sz w:val="24"/>
              </w:rPr>
              <w:t>1、密度均匀、无松散现象；（评分范围：0、0.5、1、1.5）</w:t>
            </w:r>
            <w:bookmarkEnd w:id="469"/>
          </w:p>
          <w:p w14:paraId="6713C9C2">
            <w:pPr>
              <w:jc w:val="left"/>
              <w:outlineLvl w:val="0"/>
              <w:rPr>
                <w:rFonts w:ascii="宋体" w:hAnsi="宋体" w:cs="宋体"/>
                <w:color w:val="000000"/>
                <w:sz w:val="24"/>
              </w:rPr>
            </w:pPr>
            <w:bookmarkStart w:id="470" w:name="_Toc16929"/>
            <w:r>
              <w:rPr>
                <w:rFonts w:hint="eastAsia" w:ascii="宋体" w:hAnsi="宋体" w:cs="宋体"/>
                <w:color w:val="000000"/>
                <w:sz w:val="24"/>
              </w:rPr>
              <w:t>2、背胶与底布粘合牢固、均匀；（评分范围：0、0.5、1、1.5）</w:t>
            </w:r>
            <w:bookmarkEnd w:id="470"/>
          </w:p>
          <w:p w14:paraId="0A261B2E">
            <w:pPr>
              <w:jc w:val="left"/>
              <w:outlineLvl w:val="0"/>
              <w:rPr>
                <w:rFonts w:ascii="宋体" w:hAnsi="宋体" w:cs="宋体"/>
                <w:color w:val="000000" w:themeColor="text1"/>
                <w:kern w:val="0"/>
                <w:sz w:val="24"/>
                <w14:textFill>
                  <w14:solidFill>
                    <w14:schemeClr w14:val="tx1"/>
                  </w14:solidFill>
                </w14:textFill>
              </w:rPr>
            </w:pPr>
            <w:bookmarkStart w:id="471" w:name="_Toc504"/>
            <w:r>
              <w:rPr>
                <w:rFonts w:hint="eastAsia" w:ascii="宋体" w:hAnsi="宋体" w:cs="宋体"/>
                <w:color w:val="000000"/>
                <w:sz w:val="24"/>
              </w:rPr>
              <w:t>3、人造草坪草丝色泽鲜艳均匀，无明显色差；（评分范围：0、0.5、1、1.5）</w:t>
            </w:r>
            <w:bookmarkEnd w:id="471"/>
          </w:p>
        </w:tc>
        <w:tc>
          <w:tcPr>
            <w:tcW w:w="406" w:type="pct"/>
            <w:vAlign w:val="center"/>
          </w:tcPr>
          <w:p w14:paraId="06E216CC">
            <w:pPr>
              <w:pStyle w:val="131"/>
              <w:spacing w:before="0" w:line="240" w:lineRule="auto"/>
              <w:ind w:firstLine="0" w:firstLineChars="0"/>
              <w:jc w:val="center"/>
              <w:rPr>
                <w:rFonts w:ascii="宋体" w:hAnsi="宋体" w:cs="仿宋_GB2312"/>
                <w:color w:val="000000"/>
                <w:szCs w:val="24"/>
              </w:rPr>
            </w:pPr>
            <w:r>
              <w:rPr>
                <w:rFonts w:hint="eastAsia" w:ascii="宋体" w:hAnsi="宋体" w:cs="仿宋_GB2312"/>
                <w:color w:val="000000"/>
                <w:szCs w:val="24"/>
              </w:rPr>
              <w:t>9</w:t>
            </w:r>
          </w:p>
        </w:tc>
        <w:tc>
          <w:tcPr>
            <w:tcW w:w="540" w:type="pct"/>
            <w:vAlign w:val="center"/>
          </w:tcPr>
          <w:p w14:paraId="5750983B">
            <w:pPr>
              <w:jc w:val="center"/>
              <w:rPr>
                <w:rFonts w:ascii="宋体" w:hAnsi="宋体" w:cs="宋体"/>
                <w:bCs/>
                <w:sz w:val="24"/>
              </w:rPr>
            </w:pPr>
            <w:r>
              <w:rPr>
                <w:rFonts w:hint="eastAsia" w:ascii="宋体" w:hAnsi="宋体" w:cs="宋体"/>
                <w:bCs/>
                <w:sz w:val="24"/>
              </w:rPr>
              <w:t>主观分</w:t>
            </w:r>
          </w:p>
        </w:tc>
        <w:tc>
          <w:tcPr>
            <w:tcW w:w="748" w:type="pct"/>
            <w:vAlign w:val="center"/>
          </w:tcPr>
          <w:p w14:paraId="7792797F">
            <w:pPr>
              <w:pStyle w:val="131"/>
              <w:spacing w:before="0" w:line="240" w:lineRule="auto"/>
              <w:ind w:firstLine="0" w:firstLineChars="0"/>
              <w:jc w:val="center"/>
              <w:rPr>
                <w:rFonts w:ascii="宋体" w:hAnsi="宋体" w:cs="仿宋_GB2312"/>
                <w:szCs w:val="24"/>
              </w:rPr>
            </w:pPr>
          </w:p>
        </w:tc>
      </w:tr>
      <w:tr w14:paraId="1CFDE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26FCF550">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16</w:t>
            </w:r>
          </w:p>
        </w:tc>
        <w:tc>
          <w:tcPr>
            <w:tcW w:w="2950" w:type="pct"/>
          </w:tcPr>
          <w:p w14:paraId="1A1C2314">
            <w:pPr>
              <w:jc w:val="left"/>
              <w:outlineLvl w:val="0"/>
              <w:rPr>
                <w:rFonts w:ascii="宋体" w:hAnsi="宋体" w:cs="宋体"/>
                <w:color w:val="000000"/>
                <w:sz w:val="24"/>
              </w:rPr>
            </w:pPr>
            <w:bookmarkStart w:id="472" w:name="_Toc8148"/>
            <w:r>
              <w:rPr>
                <w:rFonts w:hint="eastAsia" w:ascii="宋体" w:hAnsi="宋体" w:cs="宋体"/>
                <w:color w:val="000000"/>
                <w:sz w:val="24"/>
              </w:rPr>
              <w:t>选用材料取得有效的环境标志产品认证证书的每个得0.5分，最多得1分。</w:t>
            </w:r>
            <w:bookmarkEnd w:id="472"/>
          </w:p>
          <w:p w14:paraId="79F15950">
            <w:pPr>
              <w:jc w:val="left"/>
              <w:outlineLvl w:val="0"/>
              <w:rPr>
                <w:rFonts w:ascii="宋体" w:hAnsi="宋体" w:cs="宋体"/>
                <w:color w:val="000000"/>
                <w:sz w:val="24"/>
              </w:rPr>
            </w:pPr>
            <w:bookmarkStart w:id="473" w:name="_Toc6476"/>
            <w:r>
              <w:rPr>
                <w:rFonts w:hint="eastAsia" w:ascii="宋体" w:hAnsi="宋体" w:cs="宋体"/>
                <w:color w:val="000000"/>
                <w:sz w:val="24"/>
              </w:rPr>
              <w:t>证明材料：提供国家确定的认证机构出具的、处于有效期之内的认证证书（扫描件、加盖公章）。</w:t>
            </w:r>
            <w:bookmarkEnd w:id="473"/>
          </w:p>
        </w:tc>
        <w:tc>
          <w:tcPr>
            <w:tcW w:w="406" w:type="pct"/>
            <w:vAlign w:val="center"/>
          </w:tcPr>
          <w:p w14:paraId="33A42F57">
            <w:pPr>
              <w:pStyle w:val="131"/>
              <w:spacing w:before="0" w:line="240" w:lineRule="auto"/>
              <w:ind w:firstLine="0" w:firstLineChars="0"/>
              <w:jc w:val="center"/>
              <w:rPr>
                <w:rFonts w:ascii="宋体" w:hAnsi="宋体" w:cs="仿宋_GB2312"/>
                <w:color w:val="000000"/>
                <w:szCs w:val="24"/>
              </w:rPr>
            </w:pPr>
            <w:r>
              <w:rPr>
                <w:rFonts w:hint="eastAsia" w:ascii="宋体" w:hAnsi="宋体" w:cs="仿宋_GB2312"/>
                <w:color w:val="000000"/>
                <w:szCs w:val="24"/>
              </w:rPr>
              <w:t>1</w:t>
            </w:r>
          </w:p>
        </w:tc>
        <w:tc>
          <w:tcPr>
            <w:tcW w:w="540" w:type="pct"/>
            <w:vAlign w:val="center"/>
          </w:tcPr>
          <w:p w14:paraId="2A0FCBC3">
            <w:pPr>
              <w:jc w:val="center"/>
              <w:rPr>
                <w:rFonts w:ascii="宋体" w:hAnsi="宋体" w:cs="宋体"/>
                <w:bCs/>
                <w:sz w:val="24"/>
              </w:rPr>
            </w:pPr>
            <w:r>
              <w:rPr>
                <w:rFonts w:hint="eastAsia" w:ascii="宋体" w:hAnsi="宋体" w:cs="宋体"/>
                <w:bCs/>
                <w:sz w:val="24"/>
              </w:rPr>
              <w:t>客观分</w:t>
            </w:r>
          </w:p>
        </w:tc>
        <w:tc>
          <w:tcPr>
            <w:tcW w:w="748" w:type="pct"/>
            <w:vAlign w:val="center"/>
          </w:tcPr>
          <w:p w14:paraId="05697A72">
            <w:pPr>
              <w:pStyle w:val="131"/>
              <w:spacing w:before="0" w:line="240" w:lineRule="auto"/>
              <w:ind w:firstLine="0" w:firstLineChars="0"/>
              <w:jc w:val="center"/>
              <w:rPr>
                <w:rFonts w:ascii="宋体" w:hAnsi="宋体" w:cs="仿宋_GB2312"/>
                <w:szCs w:val="24"/>
              </w:rPr>
            </w:pPr>
          </w:p>
        </w:tc>
      </w:tr>
      <w:tr w14:paraId="188FA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4FA272C9">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17</w:t>
            </w:r>
          </w:p>
        </w:tc>
        <w:tc>
          <w:tcPr>
            <w:tcW w:w="2950" w:type="pct"/>
            <w:vAlign w:val="center"/>
          </w:tcPr>
          <w:p w14:paraId="742DB291">
            <w:pPr>
              <w:jc w:val="left"/>
              <w:outlineLvl w:val="0"/>
            </w:pPr>
            <w:bookmarkStart w:id="474" w:name="_Toc12845"/>
            <w:r>
              <w:rPr>
                <w:rFonts w:hint="eastAsia" w:ascii="宋体" w:hAnsi="宋体" w:cs="宋体"/>
                <w:sz w:val="24"/>
              </w:rPr>
              <w:t>有效最后报价的最低价作为评审基准价，其最低报价为满分；按［最后报价得分=（评审基准价/最后报价）*权重］的计算公式计算。</w:t>
            </w:r>
            <w:bookmarkEnd w:id="474"/>
          </w:p>
        </w:tc>
        <w:tc>
          <w:tcPr>
            <w:tcW w:w="406" w:type="pct"/>
            <w:vAlign w:val="center"/>
          </w:tcPr>
          <w:p w14:paraId="25B3CB40">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30</w:t>
            </w:r>
          </w:p>
        </w:tc>
        <w:tc>
          <w:tcPr>
            <w:tcW w:w="540" w:type="pct"/>
            <w:vAlign w:val="center"/>
          </w:tcPr>
          <w:p w14:paraId="1BE86D1F">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w:t>
            </w:r>
          </w:p>
        </w:tc>
        <w:tc>
          <w:tcPr>
            <w:tcW w:w="748" w:type="pct"/>
            <w:vAlign w:val="center"/>
          </w:tcPr>
          <w:p w14:paraId="5D9D876F">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w:t>
            </w:r>
          </w:p>
        </w:tc>
      </w:tr>
    </w:tbl>
    <w:p w14:paraId="52B8B1A5">
      <w:pPr>
        <w:snapToGrid w:val="0"/>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0"/>
          <w:szCs w:val="20"/>
          <w:shd w:val="clear" w:color="auto" w:fill="FFFFFF"/>
          <w14:textFill>
            <w14:solidFill>
              <w14:schemeClr w14:val="tx1"/>
            </w14:solidFill>
          </w14:textFill>
        </w:rPr>
        <w:t> *</w:t>
      </w:r>
      <w:r>
        <w:rPr>
          <w:rFonts w:hint="eastAsia" w:ascii="宋体" w:hAnsi="宋体" w:cs="宋体"/>
          <w:b/>
          <w:color w:val="000000" w:themeColor="text1"/>
          <w:sz w:val="24"/>
          <w14:textFill>
            <w14:solidFill>
              <w14:schemeClr w14:val="tx1"/>
            </w14:solidFill>
          </w14:textFill>
        </w:rPr>
        <w:t>备注：</w:t>
      </w:r>
      <w:r>
        <w:rPr>
          <w:rFonts w:hint="eastAsia" w:ascii="宋体" w:hAnsi="宋体" w:cs="宋体"/>
          <w:color w:val="000000" w:themeColor="text1"/>
          <w:sz w:val="24"/>
          <w14:textFill>
            <w14:solidFill>
              <w14:schemeClr w14:val="tx1"/>
            </w14:solidFill>
          </w14:textFill>
        </w:rPr>
        <w:t>供应商编制响应文件（商务技术文件部分）时，建议按此目录（序号和内容）提供评审标准相应的商务技术资料。 </w:t>
      </w:r>
    </w:p>
    <w:p w14:paraId="6688FAA8">
      <w:pPr>
        <w:jc w:val="left"/>
        <w:rPr>
          <w:rFonts w:ascii="宋体" w:hAnsi="宋体" w:cs="宋体"/>
          <w:b/>
          <w:color w:val="000000" w:themeColor="text1"/>
          <w:sz w:val="32"/>
          <w14:textFill>
            <w14:solidFill>
              <w14:schemeClr w14:val="tx1"/>
            </w14:solidFill>
          </w14:textFill>
        </w:rPr>
      </w:pPr>
      <w:r>
        <w:rPr>
          <w:rFonts w:hint="eastAsia" w:ascii="宋体" w:hAnsi="宋体" w:cs="宋体"/>
          <w:b/>
          <w:color w:val="000000" w:themeColor="text1"/>
          <w:sz w:val="32"/>
          <w14:textFill>
            <w14:solidFill>
              <w14:schemeClr w14:val="tx1"/>
            </w14:solidFill>
          </w14:textFill>
        </w:rPr>
        <w:br w:type="page"/>
      </w:r>
    </w:p>
    <w:p w14:paraId="7D5274F4">
      <w:pPr>
        <w:snapToGrid w:val="0"/>
        <w:spacing w:line="360" w:lineRule="auto"/>
        <w:jc w:val="center"/>
        <w:outlineLvl w:val="1"/>
        <w:rPr>
          <w:rFonts w:ascii="宋体" w:hAnsi="宋体" w:cs="宋体"/>
          <w:b/>
          <w:color w:val="000000" w:themeColor="text1"/>
          <w:sz w:val="28"/>
          <w:szCs w:val="28"/>
          <w14:textFill>
            <w14:solidFill>
              <w14:schemeClr w14:val="tx1"/>
            </w14:solidFill>
          </w14:textFill>
        </w:rPr>
      </w:pPr>
      <w:bookmarkStart w:id="475" w:name="_Toc7261"/>
      <w:r>
        <w:rPr>
          <w:rFonts w:hint="eastAsia" w:ascii="宋体" w:hAnsi="宋体" w:cs="宋体"/>
          <w:b/>
          <w:color w:val="000000" w:themeColor="text1"/>
          <w:sz w:val="32"/>
          <w14:textFill>
            <w14:solidFill>
              <w14:schemeClr w14:val="tx1"/>
            </w14:solidFill>
          </w14:textFill>
        </w:rPr>
        <w:t>一、评审方法</w:t>
      </w:r>
      <w:bookmarkEnd w:id="475"/>
    </w:p>
    <w:p w14:paraId="19692462">
      <w:pPr>
        <w:adjustRightInd/>
        <w:spacing w:line="360" w:lineRule="auto"/>
        <w:ind w:firstLine="472" w:firstLineChars="196"/>
        <w:rPr>
          <w:rFonts w:ascii="宋体" w:hAnsi="宋体" w:cs="宋体"/>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1.本项目采用综合评分法。</w:t>
      </w:r>
      <w:r>
        <w:rPr>
          <w:rFonts w:hint="eastAsia" w:ascii="宋体" w:hAnsi="宋体" w:cs="宋体"/>
          <w:color w:val="000000" w:themeColor="text1"/>
          <w:kern w:val="0"/>
          <w:sz w:val="24"/>
          <w14:textFill>
            <w14:solidFill>
              <w14:schemeClr w14:val="tx1"/>
            </w14:solidFill>
          </w14:textFill>
        </w:rPr>
        <w:t>综合评分法，是指响应文件满足磋商文件全部实质性要求且按评审因素的量化指标评审得分最高的供应商为成交候选供应商的评审方法。</w:t>
      </w:r>
    </w:p>
    <w:p w14:paraId="2316AF9C">
      <w:pPr>
        <w:snapToGrid w:val="0"/>
        <w:spacing w:line="360" w:lineRule="auto"/>
        <w:jc w:val="center"/>
        <w:outlineLvl w:val="1"/>
        <w:rPr>
          <w:rFonts w:ascii="宋体" w:hAnsi="宋体" w:cs="宋体"/>
          <w:b/>
          <w:color w:val="000000" w:themeColor="text1"/>
          <w:sz w:val="32"/>
          <w14:textFill>
            <w14:solidFill>
              <w14:schemeClr w14:val="tx1"/>
            </w14:solidFill>
          </w14:textFill>
        </w:rPr>
      </w:pPr>
      <w:bookmarkStart w:id="476" w:name="_Toc12610"/>
      <w:r>
        <w:rPr>
          <w:rFonts w:hint="eastAsia" w:ascii="宋体" w:hAnsi="宋体" w:cs="宋体"/>
          <w:b/>
          <w:color w:val="000000" w:themeColor="text1"/>
          <w:sz w:val="32"/>
          <w14:textFill>
            <w14:solidFill>
              <w14:schemeClr w14:val="tx1"/>
            </w14:solidFill>
          </w14:textFill>
        </w:rPr>
        <w:t>二、评审标准</w:t>
      </w:r>
      <w:bookmarkEnd w:id="476"/>
    </w:p>
    <w:p w14:paraId="38CFBB41">
      <w:pPr>
        <w:spacing w:line="360" w:lineRule="auto"/>
        <w:ind w:firstLine="472" w:firstLineChars="196"/>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w:t>
      </w:r>
      <w:r>
        <w:rPr>
          <w:rFonts w:hint="eastAsia" w:ascii="宋体" w:hAnsi="宋体" w:cs="宋体"/>
          <w:color w:val="000000" w:themeColor="text1"/>
          <w14:textFill>
            <w14:solidFill>
              <w14:schemeClr w14:val="tx1"/>
            </w14:solidFill>
          </w14:textFill>
        </w:rPr>
        <w:t xml:space="preserve"> </w:t>
      </w:r>
      <w:r>
        <w:rPr>
          <w:rFonts w:hint="eastAsia" w:ascii="宋体" w:hAnsi="宋体" w:cs="宋体"/>
          <w:b/>
          <w:color w:val="000000" w:themeColor="text1"/>
          <w:sz w:val="24"/>
          <w14:textFill>
            <w14:solidFill>
              <w14:schemeClr w14:val="tx1"/>
            </w14:solidFill>
          </w14:textFill>
        </w:rPr>
        <w:t>评审标准：</w:t>
      </w:r>
      <w:r>
        <w:rPr>
          <w:rFonts w:hint="eastAsia" w:ascii="宋体" w:hAnsi="宋体" w:cs="宋体"/>
          <w:color w:val="000000" w:themeColor="text1"/>
          <w:kern w:val="0"/>
          <w:sz w:val="24"/>
          <w14:textFill>
            <w14:solidFill>
              <w14:schemeClr w14:val="tx1"/>
            </w14:solidFill>
          </w14:textFill>
        </w:rPr>
        <w:t>见评审办法前附表。</w:t>
      </w:r>
    </w:p>
    <w:p w14:paraId="5093D6C7">
      <w:pPr>
        <w:snapToGrid w:val="0"/>
        <w:spacing w:line="360" w:lineRule="auto"/>
        <w:jc w:val="center"/>
        <w:outlineLvl w:val="1"/>
        <w:rPr>
          <w:rFonts w:ascii="宋体" w:hAnsi="宋体" w:cs="宋体"/>
          <w:b/>
          <w:color w:val="000000" w:themeColor="text1"/>
          <w:sz w:val="32"/>
          <w14:textFill>
            <w14:solidFill>
              <w14:schemeClr w14:val="tx1"/>
            </w14:solidFill>
          </w14:textFill>
        </w:rPr>
      </w:pPr>
      <w:bookmarkStart w:id="477" w:name="_Toc25188"/>
      <w:r>
        <w:rPr>
          <w:rFonts w:hint="eastAsia" w:ascii="宋体" w:hAnsi="宋体" w:cs="宋体"/>
          <w:b/>
          <w:color w:val="000000" w:themeColor="text1"/>
          <w:sz w:val="32"/>
          <w14:textFill>
            <w14:solidFill>
              <w14:schemeClr w14:val="tx1"/>
            </w14:solidFill>
          </w14:textFill>
        </w:rPr>
        <w:t>三、评审程序</w:t>
      </w:r>
      <w:bookmarkEnd w:id="477"/>
    </w:p>
    <w:p w14:paraId="51173D6D">
      <w:pPr>
        <w:spacing w:line="360" w:lineRule="auto"/>
        <w:ind w:firstLine="472" w:firstLineChars="196"/>
        <w:rPr>
          <w:rFonts w:ascii="宋体" w:hAnsi="宋体" w:cs="宋体"/>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3.1符合性审查。</w:t>
      </w:r>
      <w:r>
        <w:rPr>
          <w:rFonts w:hint="eastAsia" w:ascii="宋体" w:hAnsi="宋体" w:cs="宋体"/>
          <w:color w:val="000000" w:themeColor="text1"/>
          <w:kern w:val="0"/>
          <w:sz w:val="24"/>
          <w14:textFill>
            <w14:solidFill>
              <w14:schemeClr w14:val="tx1"/>
            </w14:solidFill>
          </w14:textFill>
        </w:rPr>
        <w:t>磋商小组应当对符合资格的供应商的响应文件进行符合性审查，以确定其是否满足采购文件的实质性要求。不满足采购文件的实质性要求的，响应文件无效。</w:t>
      </w:r>
    </w:p>
    <w:p w14:paraId="07ADC1F7">
      <w:pPr>
        <w:spacing w:line="360" w:lineRule="auto"/>
        <w:ind w:firstLine="472" w:firstLineChars="196"/>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3.2 磋商。</w:t>
      </w:r>
      <w:r>
        <w:rPr>
          <w:rFonts w:hint="eastAsia" w:ascii="宋体" w:hAnsi="宋体" w:cs="宋体"/>
          <w:color w:val="000000" w:themeColor="text1"/>
          <w:sz w:val="24"/>
          <w14:textFill>
            <w14:solidFill>
              <w14:schemeClr w14:val="tx1"/>
            </w14:solidFill>
          </w14:textFill>
        </w:rPr>
        <w:t>磋商小组将对确定为实质性响应本采购文件的响应文件进行详细评价和比较，主要就资信、服务方案内容、服务承诺等磋商小组认为与本次采购有关的因素与</w:t>
      </w:r>
      <w:r>
        <w:rPr>
          <w:rFonts w:hint="eastAsia" w:ascii="宋体" w:hAnsi="宋体" w:cs="宋体"/>
          <w:color w:val="000000" w:themeColor="text1"/>
          <w:kern w:val="0"/>
          <w:sz w:val="24"/>
          <w14:textFill>
            <w14:solidFill>
              <w14:schemeClr w14:val="tx1"/>
            </w14:solidFill>
          </w14:textFill>
        </w:rPr>
        <w:t>符合性审查合格的</w:t>
      </w:r>
      <w:r>
        <w:rPr>
          <w:rFonts w:hint="eastAsia" w:ascii="宋体" w:hAnsi="宋体" w:cs="宋体"/>
          <w:color w:val="000000" w:themeColor="text1"/>
          <w:sz w:val="24"/>
          <w14:textFill>
            <w14:solidFill>
              <w14:schemeClr w14:val="tx1"/>
            </w14:solidFill>
          </w14:textFill>
        </w:rPr>
        <w:t>供应商逐一进行磋商。</w:t>
      </w:r>
    </w:p>
    <w:p w14:paraId="658AA5C2">
      <w:pPr>
        <w:spacing w:line="360" w:lineRule="auto"/>
        <w:ind w:firstLine="470" w:firstLineChars="196"/>
        <w:rPr>
          <w:rFonts w:ascii="宋体" w:hAnsi="宋体" w:cs="宋体"/>
          <w:b/>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3.2.1 </w:t>
      </w:r>
      <w:r>
        <w:rPr>
          <w:rFonts w:hint="eastAsia" w:ascii="宋体" w:hAnsi="宋体" w:cs="宋体"/>
          <w:color w:val="000000" w:themeColor="text1"/>
          <w:sz w:val="24"/>
          <w14:textFill>
            <w14:solidFill>
              <w14:schemeClr w14:val="tx1"/>
            </w14:solidFill>
          </w14:textFill>
        </w:rPr>
        <w:t>供应商逐家回答磋商小组的提问；</w:t>
      </w:r>
      <w:r>
        <w:rPr>
          <w:rFonts w:hint="eastAsia" w:ascii="宋体" w:hAnsi="宋体" w:cs="宋体"/>
          <w:b/>
          <w:color w:val="000000" w:themeColor="text1"/>
          <w:sz w:val="24"/>
          <w14:textFill>
            <w14:solidFill>
              <w14:schemeClr w14:val="tx1"/>
            </w14:solidFill>
          </w14:textFill>
        </w:rPr>
        <w:t>逐家磋商一次为一个轮次，磋商轮次根据实际情况进行。</w:t>
      </w:r>
    </w:p>
    <w:p w14:paraId="24D7DCD2">
      <w:pPr>
        <w:spacing w:line="36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3.2.2 </w:t>
      </w:r>
      <w:r>
        <w:rPr>
          <w:rFonts w:hint="eastAsia" w:ascii="宋体" w:hAnsi="宋体" w:cs="宋体"/>
          <w:color w:val="000000" w:themeColor="text1"/>
          <w:sz w:val="24"/>
          <w14:textFill>
            <w14:solidFill>
              <w14:schemeClr w14:val="tx1"/>
            </w14:solidFill>
          </w14:textFill>
        </w:rPr>
        <w:t>供应商应按磋商小组通知的时间在线或以邮件回复做出承诺或回复，承诺或回复的内容须由供应商法定代表人或授权代表签署，并作为响应文件的补充部分。</w:t>
      </w:r>
    </w:p>
    <w:p w14:paraId="3C38A371">
      <w:pPr>
        <w:spacing w:line="360" w:lineRule="auto"/>
        <w:ind w:firstLine="470" w:firstLineChars="196"/>
        <w:rPr>
          <w:rFonts w:ascii="宋体" w:hAnsi="宋体" w:cs="宋体"/>
          <w:bCs/>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3.2.3 </w:t>
      </w:r>
      <w:r>
        <w:rPr>
          <w:rFonts w:hint="eastAsia" w:ascii="宋体" w:hAnsi="宋体" w:cs="宋体"/>
          <w:b/>
          <w:bCs/>
          <w:color w:val="000000" w:themeColor="text1"/>
          <w:sz w:val="24"/>
          <w14:textFill>
            <w14:solidFill>
              <w14:schemeClr w14:val="tx1"/>
            </w14:solidFill>
          </w14:textFill>
        </w:rPr>
        <w:t>在磋商过程中，磋商小组可以根据磋商文件和磋商情况实质性变动采购需求中的“※”号技术、服务要求以及合同草案中的“※”号条款，但不得变动磋商文件中的其他内容。</w:t>
      </w:r>
      <w:r>
        <w:rPr>
          <w:rFonts w:hint="eastAsia" w:ascii="宋体" w:hAnsi="宋体" w:cs="宋体"/>
          <w:color w:val="000000" w:themeColor="text1"/>
          <w:sz w:val="24"/>
          <w14:textFill>
            <w14:solidFill>
              <w14:schemeClr w14:val="tx1"/>
            </w14:solidFill>
          </w14:textFill>
        </w:rPr>
        <w:t>实质性变动的内容，须经采购人代表确认。磋商文件有实质性变动的，磋商小组将以书面形式通知所有</w:t>
      </w:r>
      <w:r>
        <w:rPr>
          <w:rFonts w:hint="eastAsia" w:ascii="宋体" w:hAnsi="宋体" w:cs="宋体"/>
          <w:color w:val="000000" w:themeColor="text1"/>
          <w:kern w:val="0"/>
          <w:sz w:val="24"/>
          <w14:textFill>
            <w14:solidFill>
              <w14:schemeClr w14:val="tx1"/>
            </w14:solidFill>
          </w14:textFill>
        </w:rPr>
        <w:t>符合性审查合格的</w:t>
      </w:r>
      <w:r>
        <w:rPr>
          <w:rFonts w:hint="eastAsia" w:ascii="宋体" w:hAnsi="宋体" w:cs="宋体"/>
          <w:color w:val="000000" w:themeColor="text1"/>
          <w:sz w:val="24"/>
          <w14:textFill>
            <w14:solidFill>
              <w14:schemeClr w14:val="tx1"/>
            </w14:solidFill>
          </w14:textFill>
        </w:rPr>
        <w:t xml:space="preserve">供应商。 </w:t>
      </w:r>
    </w:p>
    <w:p w14:paraId="0F9F45DD">
      <w:pPr>
        <w:spacing w:line="360" w:lineRule="auto"/>
        <w:ind w:firstLine="472" w:firstLineChars="196"/>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3.3最后报价</w:t>
      </w:r>
    </w:p>
    <w:p w14:paraId="796DD5E6">
      <w:pPr>
        <w:spacing w:line="360" w:lineRule="auto"/>
        <w:ind w:firstLine="470" w:firstLineChars="196"/>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3.3.1 磋商文件能够详细列明采购标的的技术、服务要求的，磋商结束后，磋商小组应当要求所有符合性审查合格的供应商在规定时间内提交最后报价，提交最后报价的供应商不得少于3家。</w:t>
      </w:r>
    </w:p>
    <w:p w14:paraId="4C0BEE51">
      <w:pPr>
        <w:spacing w:line="360" w:lineRule="auto"/>
        <w:ind w:firstLine="470" w:firstLineChars="196"/>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4B37EE0A">
      <w:pPr>
        <w:spacing w:line="360" w:lineRule="auto"/>
        <w:ind w:firstLine="470" w:firstLineChars="196"/>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3.3.3 已提交响应文件的供应商，在提交最后报价之前，可以根据磋商情况退出磋商</w:t>
      </w:r>
    </w:p>
    <w:p w14:paraId="52A5D44E">
      <w:pPr>
        <w:spacing w:line="360" w:lineRule="auto"/>
        <w:ind w:firstLine="472" w:firstLineChars="196"/>
        <w:rPr>
          <w:rFonts w:ascii="宋体" w:hAnsi="宋体" w:cs="宋体"/>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3.4 综合评分。</w:t>
      </w:r>
      <w:r>
        <w:rPr>
          <w:rFonts w:hint="eastAsia" w:ascii="宋体" w:hAnsi="宋体" w:cs="宋体"/>
          <w:bCs/>
          <w:color w:val="000000" w:themeColor="text1"/>
          <w:kern w:val="0"/>
          <w:sz w:val="24"/>
          <w14:textFill>
            <w14:solidFill>
              <w14:schemeClr w14:val="tx1"/>
            </w14:solidFill>
          </w14:textFill>
        </w:rPr>
        <w:t>经磋商确定最终采购需求和提交最后报价的供应商后，</w:t>
      </w:r>
      <w:r>
        <w:rPr>
          <w:rFonts w:hint="eastAsia" w:ascii="宋体" w:hAnsi="宋体" w:cs="宋体"/>
          <w:color w:val="000000" w:themeColor="text1"/>
          <w:kern w:val="0"/>
          <w:sz w:val="24"/>
          <w14:textFill>
            <w14:solidFill>
              <w14:schemeClr w14:val="tx1"/>
            </w14:solidFill>
          </w14:textFill>
        </w:rPr>
        <w:t>磋商小组应当按照采购文件中规定的评审标准，对符合性审查合格的响应文件进行综合评分。磋商文件中没有规定的评审标准不得作为评审依据。</w:t>
      </w:r>
    </w:p>
    <w:p w14:paraId="2E9E9F74">
      <w:pPr>
        <w:spacing w:line="360" w:lineRule="auto"/>
        <w:ind w:firstLine="472" w:firstLineChars="196"/>
        <w:rPr>
          <w:rFonts w:ascii="宋体" w:hAnsi="宋体" w:cs="宋体"/>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3.5汇总商务技术得分。</w:t>
      </w:r>
      <w:r>
        <w:rPr>
          <w:rFonts w:hint="eastAsia" w:ascii="宋体" w:hAnsi="宋体" w:cs="宋体"/>
          <w:color w:val="000000" w:themeColor="text1"/>
          <w:kern w:val="0"/>
          <w:sz w:val="24"/>
          <w14:textFill>
            <w14:solidFill>
              <w14:schemeClr w14:val="tx1"/>
            </w14:solidFill>
          </w14:textFill>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宋体" w:hAnsi="宋体" w:cs="宋体"/>
          <w:color w:val="000000" w:themeColor="text1"/>
          <w:kern w:val="0"/>
          <w:sz w:val="24"/>
          <w14:textFill>
            <w14:solidFill>
              <w14:schemeClr w14:val="tx1"/>
            </w14:solidFill>
          </w14:textFill>
        </w:rPr>
        <w:t>30%以上的，由</w:t>
      </w:r>
      <w:r>
        <w:rPr>
          <w:rFonts w:hint="eastAsia" w:ascii="宋体" w:hAnsi="宋体" w:cs="宋体"/>
          <w:color w:val="000000" w:themeColor="text1"/>
          <w:kern w:val="0"/>
          <w:sz w:val="24"/>
          <w14:textFill>
            <w14:solidFill>
              <w14:schemeClr w14:val="tx1"/>
            </w14:solidFill>
          </w14:textFill>
        </w:rPr>
        <w:t>磋商小组</w:t>
      </w:r>
      <w:r>
        <w:rPr>
          <w:rFonts w:ascii="宋体" w:hAnsi="宋体" w:cs="宋体"/>
          <w:color w:val="000000" w:themeColor="text1"/>
          <w:kern w:val="0"/>
          <w:sz w:val="24"/>
          <w14:textFill>
            <w14:solidFill>
              <w14:schemeClr w14:val="tx1"/>
            </w14:solidFill>
          </w14:textFill>
        </w:rPr>
        <w:t>启动评分畸高、畸低行为认定程序</w:t>
      </w:r>
      <w:r>
        <w:rPr>
          <w:rFonts w:hint="eastAsia" w:ascii="宋体" w:hAnsi="宋体" w:cs="宋体"/>
          <w:color w:val="000000" w:themeColor="text1"/>
          <w:kern w:val="0"/>
          <w:sz w:val="24"/>
          <w14:textFill>
            <w14:solidFill>
              <w14:schemeClr w14:val="tx1"/>
            </w14:solidFill>
          </w14:textFill>
        </w:rPr>
        <w:t>，磋商小组组长应提醒相关评审人员进行复核或书面说明理由，评审人员拒绝说明的，由现场监督员据实记录；评审人员的评审、修改记录应保留原件，随项目其他资料一并存档。</w:t>
      </w:r>
    </w:p>
    <w:p w14:paraId="19B0ABE2">
      <w:pPr>
        <w:spacing w:line="360" w:lineRule="auto"/>
        <w:ind w:firstLine="472" w:firstLineChars="196"/>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3.6报价评审。</w:t>
      </w:r>
    </w:p>
    <w:p w14:paraId="09976A2B">
      <w:pPr>
        <w:pStyle w:val="131"/>
        <w:spacing w:before="0"/>
        <w:ind w:firstLine="508" w:firstLineChars="212"/>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3.6.1响应文件报价出现前后不一致的，按照下列规定修正：</w:t>
      </w:r>
    </w:p>
    <w:p w14:paraId="18DA063B">
      <w:pPr>
        <w:pStyle w:val="131"/>
        <w:spacing w:before="0"/>
        <w:ind w:firstLine="48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3.6.1.1响应文件中已标价工程量清单内容与响应文件中相应内容不一致的，以已标价工程量清单为准;</w:t>
      </w:r>
    </w:p>
    <w:p w14:paraId="1E20C3D0">
      <w:pPr>
        <w:pStyle w:val="131"/>
        <w:spacing w:before="0"/>
        <w:ind w:firstLine="48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3.6.1.2大写金额和小写金额不一致的，以大写金额为准;</w:t>
      </w:r>
    </w:p>
    <w:p w14:paraId="73C4D211">
      <w:pPr>
        <w:pStyle w:val="131"/>
        <w:spacing w:before="0"/>
        <w:ind w:firstLine="48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3.6.1.3单价金额小数点或者百分比有明显错位的，以已标价工程量清单的总价为准，并修改单价;</w:t>
      </w:r>
    </w:p>
    <w:p w14:paraId="723565BB">
      <w:pPr>
        <w:pStyle w:val="131"/>
        <w:spacing w:before="0"/>
        <w:ind w:firstLine="48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3.6.1.4总价金额与按单价汇总金额不一致的，以单价金额计算结果为准。</w:t>
      </w:r>
    </w:p>
    <w:p w14:paraId="30048037">
      <w:pPr>
        <w:pStyle w:val="131"/>
        <w:spacing w:before="0"/>
        <w:ind w:firstLine="48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3.6.1.5同时出现两种以上不一致的，按照3.6.1规定的顺序修正。修正后的报价经供应商确认后产生约束力。</w:t>
      </w:r>
    </w:p>
    <w:p w14:paraId="7894DEA2">
      <w:pPr>
        <w:snapToGrid w:val="0"/>
        <w:spacing w:line="36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3.6.2响应文件出现不是唯一的、有选择性最后报价的，响应文件无效。</w:t>
      </w:r>
    </w:p>
    <w:p w14:paraId="726A4B0F">
      <w:pPr>
        <w:snapToGrid w:val="0"/>
        <w:spacing w:line="36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3.6.3最后报价超过采购文件中规定的预算金额或者最高限价的，响应文件无效。</w:t>
      </w:r>
    </w:p>
    <w:p w14:paraId="5F8980E0">
      <w:pPr>
        <w:pStyle w:val="131"/>
        <w:spacing w:before="0"/>
        <w:ind w:firstLine="48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527B04B5">
      <w:pPr>
        <w:spacing w:line="360" w:lineRule="auto"/>
        <w:ind w:firstLine="482" w:firstLineChars="200"/>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3.7排序与推荐。</w:t>
      </w:r>
      <w:r>
        <w:rPr>
          <w:rFonts w:hint="eastAsia" w:ascii="宋体" w:hAnsi="宋体" w:cs="宋体"/>
          <w:color w:val="000000" w:themeColor="text1"/>
          <w:kern w:val="0"/>
          <w:sz w:val="24"/>
          <w14:textFill>
            <w14:solidFill>
              <w14:schemeClr w14:val="tx1"/>
            </w14:solidFill>
          </w14:textFill>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r>
        <w:rPr>
          <w:rFonts w:hint="eastAsia" w:ascii="宋体" w:hAnsi="宋体" w:cs="宋体"/>
          <w:color w:val="000000" w:themeColor="text1"/>
          <w:kern w:val="0"/>
          <w:sz w:val="24"/>
          <w:lang w:val="en"/>
          <w14:textFill>
            <w14:solidFill>
              <w14:schemeClr w14:val="tx1"/>
            </w14:solidFill>
          </w14:textFill>
        </w:rPr>
        <w:t>本项目推荐的中标候选人数量：</w:t>
      </w:r>
      <w:r>
        <w:rPr>
          <w:rFonts w:hint="eastAsia" w:ascii="宋体" w:hAnsi="宋体" w:cs="宋体"/>
          <w:color w:val="000000" w:themeColor="text1"/>
          <w:kern w:val="0"/>
          <w:sz w:val="24"/>
          <w:u w:val="single"/>
          <w14:textFill>
            <w14:solidFill>
              <w14:schemeClr w14:val="tx1"/>
            </w14:solidFill>
          </w14:textFill>
        </w:rPr>
        <w:t xml:space="preserve"> 3 </w:t>
      </w:r>
      <w:r>
        <w:rPr>
          <w:rFonts w:hint="eastAsia" w:ascii="宋体" w:hAnsi="宋体" w:cs="宋体"/>
          <w:color w:val="000000" w:themeColor="text1"/>
          <w:kern w:val="0"/>
          <w:sz w:val="24"/>
          <w:lang w:val="en"/>
          <w14:textFill>
            <w14:solidFill>
              <w14:schemeClr w14:val="tx1"/>
            </w14:solidFill>
          </w14:textFill>
        </w:rPr>
        <w:t>。</w:t>
      </w:r>
    </w:p>
    <w:p w14:paraId="464E5B75">
      <w:pPr>
        <w:spacing w:line="360" w:lineRule="auto"/>
        <w:ind w:firstLine="472" w:firstLineChars="196"/>
        <w:rPr>
          <w:rFonts w:ascii="宋体" w:hAnsi="宋体" w:cs="宋体"/>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3.8编写评审报告。</w:t>
      </w:r>
      <w:r>
        <w:rPr>
          <w:rFonts w:hint="eastAsia" w:ascii="宋体" w:hAnsi="宋体" w:cs="宋体"/>
          <w:color w:val="000000" w:themeColor="text1"/>
          <w:kern w:val="0"/>
          <w:sz w:val="24"/>
          <w14:textFill>
            <w14:solidFill>
              <w14:schemeClr w14:val="tx1"/>
            </w14:solidFill>
          </w14:textFill>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53713607">
      <w:pPr>
        <w:snapToGrid w:val="0"/>
        <w:spacing w:line="360" w:lineRule="auto"/>
        <w:jc w:val="center"/>
        <w:outlineLvl w:val="1"/>
        <w:rPr>
          <w:rFonts w:ascii="宋体" w:hAnsi="宋体" w:cs="宋体"/>
          <w:b/>
          <w:color w:val="000000" w:themeColor="text1"/>
          <w:sz w:val="32"/>
          <w14:textFill>
            <w14:solidFill>
              <w14:schemeClr w14:val="tx1"/>
            </w14:solidFill>
          </w14:textFill>
        </w:rPr>
      </w:pPr>
      <w:bookmarkStart w:id="478" w:name="_Toc249"/>
      <w:r>
        <w:rPr>
          <w:rFonts w:hint="eastAsia" w:ascii="宋体" w:hAnsi="宋体" w:cs="宋体"/>
          <w:b/>
          <w:color w:val="000000" w:themeColor="text1"/>
          <w:sz w:val="32"/>
          <w14:textFill>
            <w14:solidFill>
              <w14:schemeClr w14:val="tx1"/>
            </w14:solidFill>
          </w14:textFill>
        </w:rPr>
        <w:t>四、评审中的其他事项</w:t>
      </w:r>
      <w:bookmarkEnd w:id="478"/>
    </w:p>
    <w:p w14:paraId="7C8EBC69">
      <w:pPr>
        <w:pStyle w:val="131"/>
        <w:spacing w:before="0"/>
        <w:ind w:firstLine="472" w:firstLineChars="196"/>
        <w:rPr>
          <w:rFonts w:ascii="宋体" w:hAnsi="宋体" w:cs="宋体"/>
          <w:color w:val="000000" w:themeColor="text1"/>
          <w:kern w:val="0"/>
          <w:szCs w:val="24"/>
          <w14:textFill>
            <w14:solidFill>
              <w14:schemeClr w14:val="tx1"/>
            </w14:solidFill>
          </w14:textFill>
        </w:rPr>
      </w:pPr>
      <w:r>
        <w:rPr>
          <w:rFonts w:hint="eastAsia" w:ascii="宋体" w:hAnsi="宋体" w:cs="宋体"/>
          <w:b/>
          <w:color w:val="000000" w:themeColor="text1"/>
          <w:kern w:val="0"/>
          <w:szCs w:val="24"/>
          <w14:textFill>
            <w14:solidFill>
              <w14:schemeClr w14:val="tx1"/>
            </w14:solidFill>
          </w14:textFill>
        </w:rPr>
        <w:t>4.1供应商澄清、说明或者补正。</w:t>
      </w:r>
      <w:r>
        <w:rPr>
          <w:rFonts w:hint="eastAsia" w:ascii="宋体" w:hAnsi="宋体" w:cs="宋体"/>
          <w:color w:val="000000" w:themeColor="text1"/>
          <w:kern w:val="0"/>
          <w:szCs w:val="24"/>
          <w14:textFill>
            <w14:solidFill>
              <w14:schemeClr w14:val="tx1"/>
            </w14:solidFill>
          </w14:textFill>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5C4CB5AC">
      <w:pPr>
        <w:pStyle w:val="24"/>
        <w:spacing w:line="360" w:lineRule="auto"/>
        <w:ind w:left="954" w:leftChars="226" w:hanging="479" w:firstLineChars="0"/>
        <w:rPr>
          <w:rFonts w:cs="宋体"/>
          <w:color w:val="000000" w:themeColor="text1"/>
          <w:szCs w:val="21"/>
          <w14:textFill>
            <w14:solidFill>
              <w14:schemeClr w14:val="tx1"/>
            </w14:solidFill>
          </w14:textFill>
        </w:rPr>
      </w:pPr>
      <w:r>
        <w:rPr>
          <w:rFonts w:hint="eastAsia" w:cs="宋体"/>
          <w:b/>
          <w:color w:val="000000" w:themeColor="text1"/>
          <w:kern w:val="0"/>
          <w14:textFill>
            <w14:solidFill>
              <w14:schemeClr w14:val="tx1"/>
            </w14:solidFill>
          </w14:textFill>
        </w:rPr>
        <w:t>4.2响应文件无效。</w:t>
      </w:r>
      <w:r>
        <w:rPr>
          <w:rFonts w:hint="eastAsia" w:cs="宋体"/>
          <w:color w:val="000000" w:themeColor="text1"/>
          <w:szCs w:val="21"/>
          <w14:textFill>
            <w14:solidFill>
              <w14:schemeClr w14:val="tx1"/>
            </w14:solidFill>
          </w14:textFill>
        </w:rPr>
        <w:t>有下列情形之一的，响应文件无效：</w:t>
      </w:r>
    </w:p>
    <w:p w14:paraId="0B8B467E">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4.2.1供应商不具备采购文件中规定的资格要求的（供应商未提供有效的资格文件的，视为供应商不具备采购文件中规定的资格要求）；</w:t>
      </w:r>
    </w:p>
    <w:p w14:paraId="3839ECFB">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4.2.2响应文件未按照采购文件要求签署、盖章的；</w:t>
      </w:r>
    </w:p>
    <w:p w14:paraId="25EDD6F7">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4.2.3采购人拟采购的产品属于政府强制采购的节能产品品目清单范围的，供应商未按采购文件要求提供国家确定的认证机构出具的、处于有效期之内的节能产品认证证书的；</w:t>
      </w:r>
    </w:p>
    <w:p w14:paraId="16BECF54">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4.2.4响应文件含有采购人不能接受的附加条件的；</w:t>
      </w:r>
    </w:p>
    <w:p w14:paraId="76E46AD0">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4.2.5响应文件中承诺的响应文件有效期少于采购文件中载明的响应文件有效期的；</w:t>
      </w:r>
    </w:p>
    <w:p w14:paraId="7A1FD85E">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4.2.6响应文件出现不是唯一的、有选择性最后报价的;</w:t>
      </w:r>
    </w:p>
    <w:p w14:paraId="5C930062">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4.2.7最后报价超过采购文件中规定的预算金额或者最高限价的;</w:t>
      </w:r>
    </w:p>
    <w:p w14:paraId="1E1D4C73">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4.2.8供应商对根据修正原则修正后的报价不确认的；</w:t>
      </w:r>
    </w:p>
    <w:p w14:paraId="5EB46474">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4.2.9</w:t>
      </w:r>
      <w:r>
        <w:rPr>
          <w:rFonts w:hint="eastAsia" w:asciiTheme="minorEastAsia" w:hAnsiTheme="minorEastAsia" w:eastAsiaTheme="minorEastAsia"/>
          <w:sz w:val="24"/>
        </w:rPr>
        <w:t>供应商</w:t>
      </w:r>
      <w:r>
        <w:rPr>
          <w:rFonts w:hint="eastAsia" w:ascii="宋体" w:hAnsi="宋体" w:cs="宋体"/>
          <w:sz w:val="24"/>
          <w:lang w:val="zh-CN"/>
        </w:rPr>
        <w:t>不得进行影响产品质量或者诚信履约的恶意报价如</w:t>
      </w:r>
      <w:r>
        <w:rPr>
          <w:rFonts w:hint="eastAsia" w:asciiTheme="minorEastAsia" w:hAnsiTheme="minorEastAsia" w:eastAsiaTheme="minorEastAsia"/>
          <w:sz w:val="24"/>
        </w:rPr>
        <w:t>供应商</w:t>
      </w:r>
      <w:r>
        <w:rPr>
          <w:rFonts w:hint="eastAsia" w:ascii="宋体" w:hAnsi="宋体" w:cs="宋体"/>
          <w:sz w:val="24"/>
        </w:rPr>
        <w:t>响应</w:t>
      </w:r>
      <w:r>
        <w:rPr>
          <w:rFonts w:hint="eastAsia" w:ascii="宋体" w:hAnsi="宋体" w:cs="宋体"/>
          <w:sz w:val="24"/>
          <w:lang w:val="zh-CN"/>
        </w:rPr>
        <w:t>报价低于</w:t>
      </w:r>
      <w:r>
        <w:rPr>
          <w:rFonts w:hint="eastAsia" w:ascii="宋体" w:hAnsi="宋体" w:cs="宋体"/>
          <w:sz w:val="24"/>
        </w:rPr>
        <w:t>最高限价</w:t>
      </w:r>
      <w:r>
        <w:rPr>
          <w:rFonts w:hint="eastAsia" w:ascii="宋体" w:hAnsi="宋体" w:cs="宋体"/>
          <w:sz w:val="24"/>
          <w:lang w:val="zh-CN"/>
        </w:rPr>
        <w:t>50%的，应当在报价文件中详细阐述不影响产品质量或者诚信履约的具体原因以及相应证明材料，以备评</w:t>
      </w:r>
      <w:r>
        <w:rPr>
          <w:rFonts w:hint="eastAsia" w:ascii="宋体" w:hAnsi="宋体" w:cs="宋体"/>
          <w:sz w:val="24"/>
        </w:rPr>
        <w:t>审</w:t>
      </w:r>
      <w:r>
        <w:rPr>
          <w:rFonts w:hint="eastAsia" w:ascii="宋体" w:hAnsi="宋体" w:cs="宋体"/>
          <w:sz w:val="24"/>
          <w:lang w:val="zh-CN"/>
        </w:rPr>
        <w:t>小组核查。如</w:t>
      </w:r>
      <w:r>
        <w:rPr>
          <w:rFonts w:hint="eastAsia" w:asciiTheme="minorEastAsia" w:hAnsiTheme="minorEastAsia" w:eastAsiaTheme="minorEastAsia"/>
          <w:sz w:val="24"/>
        </w:rPr>
        <w:t>供应商</w:t>
      </w:r>
      <w:r>
        <w:rPr>
          <w:rFonts w:hint="eastAsia" w:ascii="宋体" w:hAnsi="宋体" w:cs="宋体"/>
          <w:sz w:val="24"/>
          <w:lang w:val="zh-CN"/>
        </w:rPr>
        <w:t>未按要求提供相关说明及证明材料的，评</w:t>
      </w:r>
      <w:r>
        <w:rPr>
          <w:rFonts w:hint="eastAsia" w:ascii="宋体" w:hAnsi="宋体" w:cs="宋体"/>
          <w:sz w:val="24"/>
        </w:rPr>
        <w:t>审</w:t>
      </w:r>
      <w:r>
        <w:rPr>
          <w:rFonts w:hint="eastAsia" w:ascii="宋体" w:hAnsi="宋体" w:cs="宋体"/>
          <w:sz w:val="24"/>
          <w:lang w:val="zh-CN"/>
        </w:rPr>
        <w:t>小组将对其</w:t>
      </w:r>
      <w:r>
        <w:rPr>
          <w:rFonts w:hint="eastAsia" w:ascii="宋体" w:hAnsi="宋体" w:cs="宋体"/>
          <w:sz w:val="24"/>
        </w:rPr>
        <w:t>响应</w:t>
      </w:r>
      <w:r>
        <w:rPr>
          <w:rFonts w:hint="eastAsia" w:ascii="宋体" w:hAnsi="宋体" w:cs="宋体"/>
          <w:sz w:val="24"/>
          <w:lang w:val="zh-CN"/>
        </w:rPr>
        <w:t>文件作为无效</w:t>
      </w:r>
      <w:r>
        <w:rPr>
          <w:rFonts w:hint="eastAsia" w:ascii="宋体" w:hAnsi="宋体" w:cs="宋体"/>
          <w:sz w:val="24"/>
        </w:rPr>
        <w:t>响应</w:t>
      </w:r>
      <w:r>
        <w:rPr>
          <w:rFonts w:hint="eastAsia" w:ascii="宋体" w:hAnsi="宋体" w:cs="宋体"/>
          <w:sz w:val="24"/>
          <w:lang w:val="zh-CN"/>
        </w:rPr>
        <w:t>处理；</w:t>
      </w:r>
    </w:p>
    <w:p w14:paraId="503ABFC0">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4.2.10供应商提供虚假材料响应的；</w:t>
      </w:r>
    </w:p>
    <w:p w14:paraId="49D3CC8C">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4.2.11供应商有恶意串通、妨碍其他供应商的竞争行为、损害采购人或者其他供应商的合法权益情形的；</w:t>
      </w:r>
    </w:p>
    <w:p w14:paraId="07A903AC">
      <w:pPr>
        <w:pStyle w:val="79"/>
        <w:spacing w:line="360" w:lineRule="auto"/>
        <w:ind w:firstLine="48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4.2.12</w:t>
      </w:r>
      <w:r>
        <w:rPr>
          <w:rFonts w:hint="eastAsia" w:ascii="宋体" w:hAnsi="宋体" w:eastAsia="宋体" w:cs="宋体"/>
          <w:color w:val="000000" w:themeColor="text1"/>
          <w:sz w:val="24"/>
          <w:szCs w:val="24"/>
          <w:lang w:val="en"/>
          <w14:textFill>
            <w14:solidFill>
              <w14:schemeClr w14:val="tx1"/>
            </w14:solidFill>
          </w14:textFill>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03F4CEE9">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4.2.13供应商仅提交备份响应文件，未在电子交易平台传输递交响应文件的，响应文件无效；</w:t>
      </w:r>
    </w:p>
    <w:p w14:paraId="141D0982">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4.2.14响应文件不满足采购文件的其它实质性要求的；</w:t>
      </w:r>
    </w:p>
    <w:p w14:paraId="363E6584">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4.2.15法律、法规、规章（适用本市的）及省级以上规范性文件（适用本市的）规定的其他无效情形。</w:t>
      </w:r>
    </w:p>
    <w:p w14:paraId="1302AF46">
      <w:pPr>
        <w:pStyle w:val="24"/>
        <w:snapToGrid w:val="0"/>
        <w:spacing w:line="360" w:lineRule="auto"/>
        <w:ind w:firstLine="472" w:firstLineChars="196"/>
        <w:rPr>
          <w:rFonts w:cs="宋体"/>
          <w:color w:val="000000" w:themeColor="text1"/>
          <w14:textFill>
            <w14:solidFill>
              <w14:schemeClr w14:val="tx1"/>
            </w14:solidFill>
          </w14:textFill>
        </w:rPr>
      </w:pPr>
      <w:r>
        <w:rPr>
          <w:rFonts w:hint="eastAsia" w:cs="宋体"/>
          <w:b/>
          <w:color w:val="000000" w:themeColor="text1"/>
          <w14:textFill>
            <w14:solidFill>
              <w14:schemeClr w14:val="tx1"/>
            </w14:solidFill>
          </w14:textFill>
        </w:rPr>
        <w:t>5.终止竞争性磋商采购活动。</w:t>
      </w:r>
      <w:r>
        <w:rPr>
          <w:rFonts w:hint="eastAsia" w:cs="宋体"/>
          <w:color w:val="000000" w:themeColor="text1"/>
          <w14:textFill>
            <w14:solidFill>
              <w14:schemeClr w14:val="tx1"/>
            </w14:solidFill>
          </w14:textFill>
        </w:rPr>
        <w:t>出现下列情形之一的，采购人或者采购代理机构应当终止竞争性磋商采购活动，发布项目终止公告并说明原因，重新开展采购活动：</w:t>
      </w:r>
    </w:p>
    <w:p w14:paraId="01719428">
      <w:pPr>
        <w:pStyle w:val="24"/>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5.1因情况变化，不再符合规定的竞争性磋商采购方式适用情形的；</w:t>
      </w:r>
    </w:p>
    <w:p w14:paraId="64A0F609">
      <w:pPr>
        <w:pStyle w:val="24"/>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5.2出现影响采购公正的违法、违规行为的；</w:t>
      </w:r>
    </w:p>
    <w:p w14:paraId="384D411F">
      <w:pPr>
        <w:pStyle w:val="24"/>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5.3除本办法第二十一条第三款规定的情形外，在采购过程中符合要求的供应商或者报价未超过采购预算的供应商不足3家的。</w:t>
      </w:r>
    </w:p>
    <w:p w14:paraId="61464ECE">
      <w:pPr>
        <w:pStyle w:val="24"/>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5.4在采购活动中因重大变故，采购任务取消的，采购人或者采购代理机构应当终止采购活动，通知所有参加采购活动的供应商，并将项目实施情况和采购任务取消原因报送本级财政部门。</w:t>
      </w:r>
    </w:p>
    <w:p w14:paraId="4C1D1F36">
      <w:pPr>
        <w:pStyle w:val="24"/>
        <w:snapToGrid w:val="0"/>
        <w:spacing w:line="360" w:lineRule="auto"/>
        <w:ind w:firstLine="482"/>
        <w:rPr>
          <w:rFonts w:cs="宋体"/>
          <w:color w:val="000000" w:themeColor="text1"/>
          <w14:textFill>
            <w14:solidFill>
              <w14:schemeClr w14:val="tx1"/>
            </w14:solidFill>
          </w14:textFill>
        </w:rPr>
      </w:pPr>
      <w:r>
        <w:rPr>
          <w:rFonts w:hint="eastAsia" w:cs="宋体"/>
          <w:b/>
          <w:color w:val="000000" w:themeColor="text1"/>
          <w:kern w:val="0"/>
          <w14:textFill>
            <w14:solidFill>
              <w14:schemeClr w14:val="tx1"/>
            </w14:solidFill>
          </w14:textFill>
        </w:rPr>
        <w:t>6.重新开展采购。</w:t>
      </w:r>
      <w:r>
        <w:rPr>
          <w:rFonts w:hint="eastAsia" w:cs="宋体"/>
          <w:color w:val="000000" w:themeColor="text1"/>
          <w14:textFill>
            <w14:solidFill>
              <w14:schemeClr w14:val="tx1"/>
            </w14:solidFill>
          </w14:textFill>
        </w:rPr>
        <w:t>有政府采购法第七十一条、第七十二条规定的违法行为之一，影响或者可能影响成交结果的，依照下列规定处理：</w:t>
      </w:r>
    </w:p>
    <w:p w14:paraId="20583536">
      <w:pPr>
        <w:pStyle w:val="24"/>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6.1未确定成交供应商的，终止本次政府采购活动，重新开展政府采购活动。</w:t>
      </w:r>
    </w:p>
    <w:p w14:paraId="3C962D72">
      <w:pPr>
        <w:pStyle w:val="24"/>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6.2已确定成交供应商但尚未签订政府采购合同的，成交结果无效，从合格的成交候选供应商中另行确定成交供应商；没有合格的成交候选供应商的，重新开展政府采购活动。</w:t>
      </w:r>
    </w:p>
    <w:p w14:paraId="3120698F">
      <w:pPr>
        <w:pStyle w:val="24"/>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6.3政府采购合同已签订但尚未履行的，撤销合同，从合格的成交候选供应商中另行确定成交供应商；没有合格的成交候选供应商的，重新开展政府采购活动。</w:t>
      </w:r>
    </w:p>
    <w:p w14:paraId="257556E0">
      <w:pPr>
        <w:pStyle w:val="24"/>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6.4政府采购合同已经履行，给采购人、供应商造成损失的，由责任人承担赔偿责任。</w:t>
      </w:r>
    </w:p>
    <w:p w14:paraId="5C7CFF63">
      <w:pPr>
        <w:pStyle w:val="24"/>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6.5政府采购当事人有其他违反政府采购法或者政府采购法实施条例等法律法规规定的行为，经改正后仍然影响或者可能影响成交结果或者依法被认定为成交无效的，依照6.1-6.4规定处理。</w:t>
      </w:r>
    </w:p>
    <w:p w14:paraId="2B35349B">
      <w:pPr>
        <w:pStyle w:val="24"/>
        <w:snapToGrid w:val="0"/>
        <w:spacing w:line="360" w:lineRule="auto"/>
        <w:ind w:firstLine="0" w:firstLineChars="0"/>
        <w:rPr>
          <w:rFonts w:cs="宋体"/>
          <w:color w:val="000000" w:themeColor="text1"/>
          <w14:textFill>
            <w14:solidFill>
              <w14:schemeClr w14:val="tx1"/>
            </w14:solidFill>
          </w14:textFill>
        </w:rPr>
        <w:sectPr>
          <w:pgSz w:w="11907" w:h="16840"/>
          <w:pgMar w:top="1440" w:right="1080" w:bottom="1440" w:left="1080" w:header="851" w:footer="851" w:gutter="0"/>
          <w:cols w:space="720" w:num="1"/>
        </w:sectPr>
      </w:pPr>
    </w:p>
    <w:bookmarkEnd w:id="56"/>
    <w:p w14:paraId="7C65B4DA">
      <w:pPr>
        <w:spacing w:line="360" w:lineRule="auto"/>
        <w:jc w:val="center"/>
        <w:outlineLvl w:val="0"/>
        <w:rPr>
          <w:rFonts w:ascii="宋体" w:hAnsi="宋体" w:cs="宋体"/>
          <w:b/>
          <w:color w:val="000000" w:themeColor="text1"/>
          <w:sz w:val="36"/>
          <w:szCs w:val="36"/>
          <w14:textFill>
            <w14:solidFill>
              <w14:schemeClr w14:val="tx1"/>
            </w14:solidFill>
          </w14:textFill>
        </w:rPr>
      </w:pPr>
      <w:bookmarkStart w:id="479" w:name="_Toc19193"/>
      <w:bookmarkStart w:id="480" w:name="第五部分"/>
      <w:bookmarkStart w:id="481" w:name="_Toc86217003"/>
      <w:r>
        <w:rPr>
          <w:rFonts w:hint="eastAsia" w:ascii="宋体" w:hAnsi="宋体" w:cs="宋体"/>
          <w:b/>
          <w:color w:val="000000" w:themeColor="text1"/>
          <w:sz w:val="36"/>
          <w:szCs w:val="36"/>
          <w14:textFill>
            <w14:solidFill>
              <w14:schemeClr w14:val="tx1"/>
            </w14:solidFill>
          </w14:textFill>
        </w:rPr>
        <w:t>第五部分 拟签订的合同文本</w:t>
      </w:r>
      <w:bookmarkEnd w:id="479"/>
    </w:p>
    <w:p w14:paraId="226AB070">
      <w:pPr>
        <w:adjustRightInd/>
        <w:spacing w:line="300" w:lineRule="auto"/>
        <w:rPr>
          <w:rFonts w:ascii="宋体" w:hAnsi="宋体"/>
          <w:snapToGrid w:val="0"/>
          <w:color w:val="000000" w:themeColor="text1"/>
          <w:kern w:val="0"/>
          <w:szCs w:val="21"/>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 xml:space="preserve">             </w:t>
      </w:r>
    </w:p>
    <w:p w14:paraId="1931DB82">
      <w:pPr>
        <w:spacing w:line="360" w:lineRule="auto"/>
        <w:ind w:firstLine="480" w:firstLineChars="200"/>
        <w:rPr>
          <w:rFonts w:ascii="宋体" w:hAnsi="宋体" w:cs="宋体"/>
          <w:kern w:val="0"/>
          <w:sz w:val="24"/>
        </w:rPr>
      </w:pPr>
      <w:r>
        <w:rPr>
          <w:rFonts w:hint="eastAsia" w:ascii="宋体" w:hAnsi="宋体" w:cs="宋体"/>
          <w:kern w:val="0"/>
          <w:sz w:val="24"/>
        </w:rPr>
        <w:t>使用住房城乡建设部、国家工商行政管理总局制定的《建设工程施工合同（示范文本）》（GF-2017-0201）。</w:t>
      </w:r>
    </w:p>
    <w:p w14:paraId="05DBBC77">
      <w:pPr>
        <w:spacing w:line="360" w:lineRule="auto"/>
        <w:jc w:val="center"/>
        <w:rPr>
          <w:rFonts w:ascii="宋体" w:hAnsi="宋体" w:cs="宋体"/>
          <w:b/>
          <w:sz w:val="24"/>
        </w:rPr>
      </w:pPr>
      <w:bookmarkStart w:id="482" w:name="_Toc14917"/>
      <w:bookmarkStart w:id="483" w:name="_Toc9906"/>
      <w:bookmarkStart w:id="484" w:name="_Toc19942"/>
      <w:bookmarkStart w:id="485" w:name="_Toc26844"/>
      <w:bookmarkStart w:id="486" w:name="_Toc16202"/>
      <w:bookmarkStart w:id="487" w:name="_Toc29132"/>
      <w:bookmarkStart w:id="488" w:name="_Toc13285"/>
      <w:bookmarkStart w:id="489" w:name="_Toc2472"/>
      <w:bookmarkStart w:id="490" w:name="_Toc23993"/>
      <w:r>
        <w:rPr>
          <w:rFonts w:hint="eastAsia" w:ascii="宋体" w:hAnsi="宋体" w:cs="宋体"/>
          <w:b/>
          <w:sz w:val="24"/>
        </w:rPr>
        <w:t>浙江中医药大学富春校区体育场地修缮工程合同</w:t>
      </w:r>
      <w:bookmarkEnd w:id="482"/>
      <w:bookmarkEnd w:id="483"/>
      <w:bookmarkEnd w:id="484"/>
    </w:p>
    <w:p w14:paraId="366FFDB7">
      <w:pPr>
        <w:spacing w:line="360" w:lineRule="auto"/>
        <w:jc w:val="center"/>
        <w:outlineLvl w:val="1"/>
        <w:rPr>
          <w:rFonts w:ascii="宋体" w:hAnsi="宋体" w:cs="宋体"/>
          <w:b/>
          <w:sz w:val="24"/>
        </w:rPr>
      </w:pPr>
      <w:bookmarkStart w:id="491" w:name="_Toc7494"/>
      <w:bookmarkStart w:id="492" w:name="_Toc2223"/>
      <w:r>
        <w:rPr>
          <w:rFonts w:hint="eastAsia" w:ascii="宋体" w:hAnsi="宋体" w:cs="宋体"/>
          <w:b/>
          <w:sz w:val="24"/>
        </w:rPr>
        <w:t>第一部分 合同协议书</w:t>
      </w:r>
      <w:bookmarkEnd w:id="485"/>
      <w:bookmarkEnd w:id="486"/>
      <w:bookmarkEnd w:id="487"/>
      <w:bookmarkEnd w:id="488"/>
      <w:bookmarkEnd w:id="489"/>
      <w:bookmarkEnd w:id="490"/>
      <w:bookmarkEnd w:id="491"/>
      <w:bookmarkEnd w:id="492"/>
    </w:p>
    <w:p w14:paraId="10A239DA">
      <w:pPr>
        <w:spacing w:line="360" w:lineRule="auto"/>
        <w:rPr>
          <w:rFonts w:ascii="宋体" w:hAnsi="宋体" w:cs="宋体"/>
          <w:b/>
          <w:sz w:val="24"/>
        </w:rPr>
      </w:pPr>
      <w:bookmarkStart w:id="493" w:name="_Hlk70081597"/>
      <w:bookmarkStart w:id="494" w:name="_Hlk62322485"/>
      <w:r>
        <w:rPr>
          <w:rFonts w:hint="eastAsia" w:ascii="宋体" w:hAnsi="宋体" w:cs="宋体"/>
          <w:b/>
          <w:sz w:val="24"/>
        </w:rPr>
        <w:t>项目编号：HSZB-2025-512</w:t>
      </w:r>
    </w:p>
    <w:p w14:paraId="5B8DCB5B">
      <w:pPr>
        <w:spacing w:line="360" w:lineRule="auto"/>
        <w:rPr>
          <w:rFonts w:ascii="宋体" w:hAnsi="宋体" w:cs="宋体"/>
          <w:b/>
          <w:sz w:val="24"/>
        </w:rPr>
      </w:pPr>
      <w:r>
        <w:rPr>
          <w:rFonts w:hint="eastAsia" w:ascii="宋体" w:hAnsi="宋体" w:cs="宋体"/>
          <w:b/>
          <w:sz w:val="24"/>
        </w:rPr>
        <w:t xml:space="preserve">确认书编号：  </w:t>
      </w:r>
    </w:p>
    <w:p w14:paraId="05E1AFAA">
      <w:pPr>
        <w:spacing w:line="360" w:lineRule="auto"/>
        <w:rPr>
          <w:rFonts w:ascii="宋体" w:hAnsi="宋体" w:cs="宋体"/>
          <w:b/>
          <w:sz w:val="24"/>
          <w:u w:val="single"/>
        </w:rPr>
      </w:pPr>
      <w:r>
        <w:rPr>
          <w:rFonts w:hint="eastAsia" w:ascii="宋体" w:hAnsi="宋体" w:cs="宋体"/>
          <w:b/>
          <w:sz w:val="24"/>
        </w:rPr>
        <w:t>发包人（全称）：</w:t>
      </w:r>
      <w:r>
        <w:rPr>
          <w:rFonts w:hint="eastAsia" w:ascii="宋体" w:hAnsi="宋体" w:cs="宋体"/>
          <w:b/>
          <w:sz w:val="24"/>
          <w:u w:val="single"/>
        </w:rPr>
        <w:t>浙江中医药大学</w:t>
      </w:r>
    </w:p>
    <w:p w14:paraId="4680861A">
      <w:pPr>
        <w:spacing w:line="360" w:lineRule="auto"/>
        <w:rPr>
          <w:rFonts w:ascii="宋体" w:hAnsi="宋体" w:cs="宋体"/>
          <w:b/>
          <w:sz w:val="24"/>
          <w:u w:val="single"/>
        </w:rPr>
      </w:pPr>
      <w:r>
        <w:rPr>
          <w:rFonts w:hint="eastAsia" w:ascii="宋体" w:hAnsi="宋体" w:cs="宋体"/>
          <w:b/>
          <w:sz w:val="24"/>
        </w:rPr>
        <w:t>承包人（全称）：</w:t>
      </w:r>
      <w:bookmarkStart w:id="495" w:name="_Hlk106098821"/>
      <w:r>
        <w:rPr>
          <w:rFonts w:hint="eastAsia" w:ascii="宋体" w:hAnsi="宋体" w:cs="宋体"/>
          <w:b/>
          <w:sz w:val="24"/>
          <w:u w:val="single"/>
        </w:rPr>
        <w:t xml:space="preserve">             </w:t>
      </w:r>
      <w:bookmarkEnd w:id="495"/>
      <w:r>
        <w:rPr>
          <w:rFonts w:hint="eastAsia" w:ascii="宋体" w:hAnsi="宋体" w:cs="宋体"/>
          <w:b/>
          <w:sz w:val="24"/>
          <w:u w:val="single"/>
        </w:rPr>
        <w:t xml:space="preserve"> </w:t>
      </w:r>
    </w:p>
    <w:p w14:paraId="5A749DEC">
      <w:pPr>
        <w:shd w:val="clear" w:color="auto" w:fill="FFFFFF"/>
        <w:snapToGrid w:val="0"/>
        <w:spacing w:line="360" w:lineRule="auto"/>
        <w:ind w:firstLine="420"/>
        <w:rPr>
          <w:rFonts w:ascii="宋体" w:hAnsi="宋体" w:cs="宋体"/>
          <w:sz w:val="24"/>
          <w:shd w:val="clear" w:color="auto" w:fill="FFFFFF"/>
        </w:rPr>
      </w:pPr>
    </w:p>
    <w:p w14:paraId="227CE303">
      <w:pPr>
        <w:shd w:val="clear" w:color="auto" w:fill="FFFFFF"/>
        <w:snapToGrid w:val="0"/>
        <w:spacing w:line="360" w:lineRule="auto"/>
        <w:ind w:firstLine="480" w:firstLineChars="200"/>
        <w:rPr>
          <w:rFonts w:ascii="宋体" w:hAnsi="宋体" w:cs="宋体"/>
          <w:b/>
          <w:kern w:val="0"/>
          <w:sz w:val="24"/>
          <w:shd w:val="clear" w:color="auto" w:fill="FFFFFF"/>
        </w:rPr>
      </w:pPr>
      <w:r>
        <w:rPr>
          <w:rFonts w:hint="eastAsia" w:ascii="宋体" w:hAnsi="宋体" w:cs="宋体"/>
          <w:kern w:val="0"/>
          <w:sz w:val="24"/>
          <w:shd w:val="clear" w:color="auto" w:fill="FFFFFF"/>
        </w:rPr>
        <w:t>根据《中华人民共和国民法典》等有关法律规定，遵循平等、自愿、公平和诚实信用的原则，</w:t>
      </w:r>
      <w:r>
        <w:rPr>
          <w:rFonts w:hint="eastAsia" w:ascii="宋体" w:hAnsi="宋体" w:cs="宋体"/>
          <w:kern w:val="0"/>
          <w:sz w:val="24"/>
        </w:rPr>
        <w:t>经招标代理机构浙江豪圣建设项目管理有限公司对</w:t>
      </w:r>
      <w:r>
        <w:rPr>
          <w:rFonts w:hint="eastAsia" w:ascii="宋体" w:hAnsi="宋体" w:cs="宋体"/>
          <w:kern w:val="0"/>
          <w:sz w:val="24"/>
          <w:u w:val="single"/>
        </w:rPr>
        <w:t xml:space="preserve"> </w:t>
      </w:r>
      <w:bookmarkStart w:id="496" w:name="_Hlk106098808"/>
      <w:r>
        <w:rPr>
          <w:rFonts w:hint="eastAsia" w:ascii="宋体" w:hAnsi="宋体" w:cs="宋体"/>
          <w:kern w:val="0"/>
          <w:sz w:val="24"/>
          <w:u w:val="single"/>
        </w:rPr>
        <w:t xml:space="preserve">浙江中医药大学富春校区体育场地修缮工程 </w:t>
      </w:r>
      <w:r>
        <w:rPr>
          <w:rFonts w:hint="eastAsia" w:ascii="宋体" w:hAnsi="宋体" w:cs="宋体"/>
          <w:kern w:val="0"/>
          <w:sz w:val="24"/>
        </w:rPr>
        <w:t>工程</w:t>
      </w:r>
      <w:bookmarkEnd w:id="496"/>
      <w:r>
        <w:rPr>
          <w:rFonts w:hint="eastAsia" w:ascii="宋体" w:hAnsi="宋体" w:cs="宋体"/>
          <w:kern w:val="0"/>
          <w:sz w:val="24"/>
        </w:rPr>
        <w:t>通过</w:t>
      </w:r>
      <w:r>
        <w:rPr>
          <w:rFonts w:hint="eastAsia" w:ascii="宋体" w:hAnsi="宋体" w:cs="宋体"/>
          <w:kern w:val="0"/>
          <w:sz w:val="24"/>
          <w:u w:val="single"/>
        </w:rPr>
        <w:t>竞争性磋商</w:t>
      </w:r>
      <w:r>
        <w:rPr>
          <w:rFonts w:hint="eastAsia" w:ascii="宋体" w:hAnsi="宋体" w:cs="宋体"/>
          <w:kern w:val="0"/>
          <w:sz w:val="24"/>
        </w:rPr>
        <w:t>方式采购，确定</w:t>
      </w:r>
      <w:r>
        <w:rPr>
          <w:rFonts w:hint="eastAsia" w:ascii="宋体" w:hAnsi="宋体" w:cs="宋体"/>
          <w:kern w:val="0"/>
          <w:sz w:val="24"/>
          <w:u w:val="single"/>
        </w:rPr>
        <w:t xml:space="preserve"> </w:t>
      </w:r>
      <w:r>
        <w:rPr>
          <w:rFonts w:hint="eastAsia" w:ascii="宋体" w:hAnsi="宋体" w:cs="宋体"/>
          <w:b/>
          <w:sz w:val="24"/>
          <w:u w:val="single"/>
        </w:rPr>
        <w:t xml:space="preserve">    </w:t>
      </w:r>
      <w:r>
        <w:rPr>
          <w:rFonts w:hint="eastAsia" w:ascii="宋体" w:hAnsi="宋体" w:cs="宋体"/>
          <w:bCs/>
          <w:snapToGrid w:val="0"/>
          <w:kern w:val="0"/>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为本工程成交人，</w:t>
      </w:r>
      <w:r>
        <w:rPr>
          <w:rFonts w:hint="eastAsia" w:ascii="宋体" w:hAnsi="宋体" w:cs="宋体"/>
          <w:kern w:val="0"/>
          <w:sz w:val="24"/>
          <w:shd w:val="clear" w:color="auto" w:fill="FFFFFF"/>
        </w:rPr>
        <w:t>双方协商一致，共同达成如下协议：</w:t>
      </w:r>
    </w:p>
    <w:p w14:paraId="12DECE7D">
      <w:pPr>
        <w:spacing w:line="360" w:lineRule="auto"/>
        <w:rPr>
          <w:rFonts w:ascii="宋体" w:hAnsi="宋体" w:cs="宋体"/>
          <w:b/>
          <w:sz w:val="24"/>
        </w:rPr>
      </w:pPr>
      <w:r>
        <w:rPr>
          <w:rFonts w:hint="eastAsia" w:ascii="宋体" w:hAnsi="宋体" w:cs="宋体"/>
          <w:b/>
          <w:sz w:val="24"/>
        </w:rPr>
        <w:t xml:space="preserve">    一、工程概况</w:t>
      </w:r>
    </w:p>
    <w:p w14:paraId="4E61D2DE">
      <w:pPr>
        <w:shd w:val="clear" w:color="auto" w:fill="FFFFFF"/>
        <w:snapToGrid w:val="0"/>
        <w:spacing w:line="360" w:lineRule="auto"/>
        <w:ind w:firstLine="420"/>
        <w:rPr>
          <w:rFonts w:ascii="宋体" w:hAnsi="宋体" w:cs="宋体"/>
          <w:b/>
          <w:kern w:val="0"/>
          <w:sz w:val="24"/>
          <w:shd w:val="clear" w:color="auto" w:fill="FFFFFF"/>
        </w:rPr>
      </w:pPr>
      <w:r>
        <w:rPr>
          <w:rFonts w:hint="eastAsia" w:ascii="宋体" w:hAnsi="宋体" w:cs="宋体"/>
          <w:sz w:val="24"/>
          <w:shd w:val="clear" w:color="auto" w:fill="FFFFFF"/>
        </w:rPr>
        <w:t>1.工程名称：</w:t>
      </w:r>
      <w:r>
        <w:rPr>
          <w:rFonts w:hint="eastAsia" w:ascii="宋体" w:hAnsi="宋体" w:cs="宋体"/>
          <w:sz w:val="24"/>
          <w:u w:val="single"/>
          <w:shd w:val="clear" w:color="auto" w:fill="FFFFFF"/>
        </w:rPr>
        <w:t xml:space="preserve">浙江中医药大学富春校区体育场地修缮工程 </w:t>
      </w:r>
    </w:p>
    <w:p w14:paraId="5A69D4BD">
      <w:pPr>
        <w:spacing w:line="360" w:lineRule="auto"/>
        <w:ind w:firstLine="470" w:firstLineChars="196"/>
        <w:rPr>
          <w:rFonts w:ascii="宋体" w:hAnsi="宋体" w:cs="宋体"/>
          <w:bCs/>
          <w:sz w:val="24"/>
        </w:rPr>
      </w:pPr>
      <w:r>
        <w:rPr>
          <w:rFonts w:hint="eastAsia" w:ascii="宋体" w:hAnsi="宋体" w:cs="宋体"/>
          <w:bCs/>
          <w:sz w:val="24"/>
        </w:rPr>
        <w:t>2.工程地点：浙江中医药大学项目指定地点</w:t>
      </w:r>
    </w:p>
    <w:p w14:paraId="6348394A">
      <w:pPr>
        <w:spacing w:line="360" w:lineRule="auto"/>
        <w:ind w:firstLine="470" w:firstLineChars="196"/>
        <w:rPr>
          <w:rFonts w:ascii="宋体" w:hAnsi="宋体" w:cs="宋体"/>
          <w:bCs/>
          <w:sz w:val="24"/>
        </w:rPr>
      </w:pPr>
      <w:r>
        <w:rPr>
          <w:rFonts w:hint="eastAsia" w:ascii="宋体" w:hAnsi="宋体" w:cs="宋体"/>
          <w:bCs/>
          <w:sz w:val="24"/>
        </w:rPr>
        <w:t>3.工程立项批准文号：</w:t>
      </w:r>
      <w:r>
        <w:rPr>
          <w:rFonts w:hint="eastAsia" w:ascii="宋体" w:hAnsi="宋体" w:cs="宋体"/>
          <w:sz w:val="24"/>
          <w:u w:val="single"/>
        </w:rPr>
        <w:t>  /   </w:t>
      </w:r>
    </w:p>
    <w:p w14:paraId="48003005">
      <w:pPr>
        <w:spacing w:line="360" w:lineRule="auto"/>
        <w:ind w:firstLine="470" w:firstLineChars="196"/>
        <w:rPr>
          <w:rFonts w:ascii="宋体" w:hAnsi="宋体" w:cs="宋体"/>
          <w:bCs/>
          <w:sz w:val="24"/>
        </w:rPr>
      </w:pPr>
      <w:r>
        <w:rPr>
          <w:rFonts w:hint="eastAsia" w:ascii="宋体" w:hAnsi="宋体" w:cs="宋体"/>
          <w:bCs/>
          <w:sz w:val="24"/>
        </w:rPr>
        <w:t>4.资金来源：</w:t>
      </w:r>
      <w:r>
        <w:rPr>
          <w:rFonts w:hint="eastAsia" w:ascii="宋体" w:hAnsi="宋体" w:cs="宋体"/>
          <w:sz w:val="24"/>
          <w:u w:val="single"/>
        </w:rPr>
        <w:t></w:t>
      </w:r>
      <w:r>
        <w:rPr>
          <w:rFonts w:hint="eastAsia" w:ascii="宋体" w:hAnsi="宋体" w:cs="宋体"/>
          <w:kern w:val="0"/>
          <w:sz w:val="24"/>
          <w:u w:val="single"/>
        </w:rPr>
        <w:t>财政资金</w:t>
      </w:r>
      <w:r>
        <w:rPr>
          <w:rFonts w:hint="eastAsia" w:ascii="宋体" w:hAnsi="宋体" w:cs="宋体"/>
          <w:sz w:val="24"/>
          <w:u w:val="single"/>
        </w:rPr>
        <w:t xml:space="preserve"> </w:t>
      </w:r>
      <w:r>
        <w:rPr>
          <w:rFonts w:hint="eastAsia" w:ascii="宋体" w:hAnsi="宋体" w:cs="宋体"/>
          <w:bCs/>
          <w:sz w:val="24"/>
        </w:rPr>
        <w:t>。</w:t>
      </w:r>
    </w:p>
    <w:p w14:paraId="19E99ABF">
      <w:pPr>
        <w:spacing w:line="360" w:lineRule="auto"/>
        <w:ind w:firstLine="480" w:firstLineChars="200"/>
        <w:rPr>
          <w:rFonts w:ascii="宋体" w:hAnsi="宋体" w:cs="宋体"/>
          <w:kern w:val="0"/>
          <w:sz w:val="24"/>
          <w:u w:val="single"/>
          <w:shd w:val="clear" w:color="auto" w:fill="FFFFFF"/>
        </w:rPr>
      </w:pPr>
      <w:r>
        <w:rPr>
          <w:rFonts w:hint="eastAsia" w:ascii="宋体" w:hAnsi="宋体" w:cs="宋体"/>
          <w:bCs/>
          <w:sz w:val="24"/>
        </w:rPr>
        <w:t>5.工程内容：</w:t>
      </w:r>
      <w:r>
        <w:rPr>
          <w:rFonts w:hint="eastAsia" w:ascii="宋体" w:hAnsi="宋体" w:cs="宋体"/>
          <w:bCs/>
          <w:sz w:val="24"/>
          <w:u w:val="single"/>
        </w:rPr>
        <w:t>包括</w:t>
      </w:r>
      <w:r>
        <w:rPr>
          <w:rFonts w:hint="eastAsia" w:ascii="宋体" w:hAnsi="宋体" w:cs="宋体"/>
          <w:kern w:val="0"/>
          <w:sz w:val="24"/>
          <w:u w:val="single"/>
        </w:rPr>
        <w:t>浙江中医药大学富春校区体育场地修缮工程施工内容</w:t>
      </w:r>
    </w:p>
    <w:p w14:paraId="007D7ACF">
      <w:pPr>
        <w:spacing w:line="360" w:lineRule="auto"/>
        <w:ind w:firstLine="480" w:firstLineChars="200"/>
        <w:rPr>
          <w:rFonts w:ascii="宋体" w:hAnsi="宋体" w:cs="宋体"/>
          <w:sz w:val="24"/>
          <w:u w:val="single"/>
        </w:rPr>
      </w:pPr>
      <w:r>
        <w:rPr>
          <w:rFonts w:hint="eastAsia" w:ascii="宋体" w:hAnsi="宋体" w:cs="宋体"/>
          <w:bCs/>
          <w:sz w:val="24"/>
        </w:rPr>
        <w:t>6.工程承包范围：</w:t>
      </w:r>
      <w:r>
        <w:rPr>
          <w:rFonts w:hint="eastAsia" w:ascii="宋体" w:hAnsi="宋体" w:cs="宋体"/>
          <w:sz w:val="24"/>
          <w:u w:val="single"/>
        </w:rPr>
        <w:t>1）详见磋商文件和工程量清单。其中，未纳入本次招标范围内容及其施工界面划分详见施工图、工程量清单编制说明。</w:t>
      </w:r>
    </w:p>
    <w:p w14:paraId="66E0C2C4">
      <w:pPr>
        <w:spacing w:line="360" w:lineRule="auto"/>
        <w:ind w:firstLine="480" w:firstLineChars="200"/>
        <w:rPr>
          <w:rFonts w:ascii="宋体" w:hAnsi="宋体" w:cs="宋体"/>
          <w:sz w:val="24"/>
          <w:u w:val="single"/>
        </w:rPr>
      </w:pPr>
      <w:r>
        <w:rPr>
          <w:rFonts w:hint="eastAsia" w:ascii="宋体" w:hAnsi="宋体" w:cs="宋体"/>
          <w:sz w:val="24"/>
          <w:u w:val="single"/>
        </w:rPr>
        <w:t>2）可能出现的施工图修改引起的工程量增减以及根据发包人明确指令需在招标范围外增加的工程量及招标范围内减少的工程量。</w:t>
      </w:r>
    </w:p>
    <w:p w14:paraId="4ACE5D24">
      <w:pPr>
        <w:spacing w:line="360" w:lineRule="auto"/>
        <w:rPr>
          <w:rFonts w:ascii="宋体" w:hAnsi="宋体" w:cs="宋体"/>
          <w:b/>
          <w:sz w:val="24"/>
        </w:rPr>
      </w:pPr>
      <w:r>
        <w:rPr>
          <w:rFonts w:hint="eastAsia" w:ascii="宋体" w:hAnsi="宋体" w:cs="宋体"/>
          <w:b/>
          <w:sz w:val="24"/>
        </w:rPr>
        <w:t xml:space="preserve">   二、合同工期</w:t>
      </w:r>
    </w:p>
    <w:p w14:paraId="07CA48AE">
      <w:pPr>
        <w:spacing w:line="360" w:lineRule="auto"/>
        <w:ind w:firstLine="459"/>
        <w:rPr>
          <w:rFonts w:ascii="宋体" w:hAnsi="宋体" w:cs="宋体"/>
          <w:sz w:val="24"/>
        </w:rPr>
      </w:pPr>
      <w:r>
        <w:rPr>
          <w:rFonts w:hint="eastAsia" w:ascii="宋体" w:hAnsi="宋体" w:cs="宋体"/>
          <w:sz w:val="24"/>
        </w:rPr>
        <w:t>计划开工日期：</w:t>
      </w:r>
      <w:r>
        <w:rPr>
          <w:rFonts w:hint="eastAsia" w:ascii="宋体" w:hAnsi="宋体" w:cs="宋体"/>
          <w:sz w:val="24"/>
          <w:u w:val="single"/>
        </w:rPr>
        <w:t xml:space="preserve">202  </w:t>
      </w:r>
      <w:r>
        <w:rPr>
          <w:rFonts w:hint="eastAsia" w:ascii="宋体" w:hAnsi="宋体" w:cs="宋体"/>
          <w:sz w:val="24"/>
        </w:rPr>
        <w:t>年</w:t>
      </w:r>
      <w:r>
        <w:rPr>
          <w:rFonts w:hint="eastAsia" w:ascii="宋体" w:hAnsi="宋体" w:cs="宋体"/>
          <w:sz w:val="24"/>
          <w:u w:val="single"/>
        </w:rPr>
        <w:t>  </w:t>
      </w:r>
      <w:r>
        <w:rPr>
          <w:rFonts w:hint="eastAsia" w:ascii="宋体" w:hAnsi="宋体" w:cs="宋体"/>
          <w:sz w:val="24"/>
        </w:rPr>
        <w:t>月</w:t>
      </w:r>
      <w:r>
        <w:rPr>
          <w:rFonts w:hint="eastAsia" w:ascii="宋体" w:hAnsi="宋体" w:cs="宋体"/>
          <w:sz w:val="24"/>
          <w:u w:val="single"/>
        </w:rPr>
        <w:t>   </w:t>
      </w:r>
      <w:r>
        <w:rPr>
          <w:rFonts w:hint="eastAsia" w:ascii="宋体" w:hAnsi="宋体" w:cs="宋体"/>
          <w:sz w:val="24"/>
        </w:rPr>
        <w:t>日（以开工令为准）。</w:t>
      </w:r>
    </w:p>
    <w:p w14:paraId="41ABF10F">
      <w:pPr>
        <w:spacing w:line="360" w:lineRule="auto"/>
        <w:ind w:firstLine="459"/>
        <w:rPr>
          <w:rFonts w:ascii="宋体" w:hAnsi="宋体" w:cs="宋体"/>
          <w:sz w:val="24"/>
        </w:rPr>
      </w:pPr>
      <w:r>
        <w:rPr>
          <w:rFonts w:hint="eastAsia" w:ascii="宋体" w:hAnsi="宋体" w:cs="宋体"/>
          <w:sz w:val="24"/>
        </w:rPr>
        <w:t>计划竣工日期：</w:t>
      </w:r>
      <w:r>
        <w:rPr>
          <w:rFonts w:hint="eastAsia" w:ascii="宋体" w:hAnsi="宋体" w:cs="宋体"/>
          <w:sz w:val="24"/>
          <w:u w:val="single"/>
        </w:rPr>
        <w:t xml:space="preserve">202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w:t>
      </w:r>
      <w:r>
        <w:rPr>
          <w:rFonts w:hint="eastAsia" w:ascii="宋体" w:hAnsi="宋体" w:cs="宋体"/>
          <w:sz w:val="24"/>
        </w:rPr>
        <w:t>日。</w:t>
      </w:r>
    </w:p>
    <w:p w14:paraId="1EB87125">
      <w:pPr>
        <w:spacing w:line="360" w:lineRule="auto"/>
        <w:ind w:firstLine="459"/>
        <w:rPr>
          <w:rFonts w:ascii="宋体" w:hAnsi="宋体" w:cs="宋体"/>
          <w:sz w:val="24"/>
        </w:rPr>
      </w:pPr>
      <w:r>
        <w:rPr>
          <w:rFonts w:hint="eastAsia" w:ascii="宋体" w:hAnsi="宋体" w:cs="宋体"/>
          <w:sz w:val="24"/>
        </w:rPr>
        <w:t>计划总工期：</w:t>
      </w:r>
      <w:r>
        <w:rPr>
          <w:rFonts w:hint="eastAsia" w:ascii="宋体" w:hAnsi="宋体" w:cs="宋体"/>
          <w:sz w:val="24"/>
          <w:u w:val="single"/>
        </w:rPr>
        <w:t xml:space="preserve">     </w:t>
      </w:r>
      <w:r>
        <w:rPr>
          <w:rFonts w:hint="eastAsia" w:ascii="宋体" w:hAnsi="宋体" w:cs="宋体"/>
          <w:sz w:val="24"/>
        </w:rPr>
        <w:t>天，自发包人通知开工之日起算。工期总日历天数与根据前述计划开竣工日期计算的工期天数不一致的，以工期总日历天数为准。</w:t>
      </w:r>
    </w:p>
    <w:p w14:paraId="3413CA48">
      <w:pPr>
        <w:spacing w:line="360" w:lineRule="auto"/>
        <w:rPr>
          <w:rFonts w:ascii="宋体" w:hAnsi="宋体" w:cs="宋体"/>
          <w:b/>
          <w:sz w:val="24"/>
        </w:rPr>
      </w:pPr>
      <w:r>
        <w:rPr>
          <w:rFonts w:hint="eastAsia" w:ascii="宋体" w:hAnsi="宋体" w:cs="宋体"/>
          <w:b/>
          <w:sz w:val="24"/>
        </w:rPr>
        <w:t xml:space="preserve">    三、质量标准</w:t>
      </w:r>
    </w:p>
    <w:p w14:paraId="63DCDD7C">
      <w:pPr>
        <w:spacing w:line="360" w:lineRule="auto"/>
        <w:ind w:firstLine="459"/>
        <w:rPr>
          <w:rFonts w:ascii="宋体" w:hAnsi="宋体" w:cs="宋体"/>
          <w:sz w:val="24"/>
        </w:rPr>
      </w:pPr>
      <w:r>
        <w:rPr>
          <w:rFonts w:hint="eastAsia" w:ascii="宋体" w:hAnsi="宋体" w:cs="宋体"/>
          <w:sz w:val="24"/>
        </w:rPr>
        <w:t>工程质量符合</w:t>
      </w:r>
      <w:r>
        <w:rPr>
          <w:rFonts w:hint="eastAsia" w:ascii="宋体" w:hAnsi="宋体" w:cs="宋体"/>
          <w:b/>
          <w:sz w:val="24"/>
          <w:u w:val="single"/>
        </w:rPr>
        <w:t>国家验收规范合格</w:t>
      </w:r>
      <w:r>
        <w:rPr>
          <w:rFonts w:hint="eastAsia" w:ascii="宋体" w:hAnsi="宋体" w:cs="宋体"/>
          <w:sz w:val="24"/>
        </w:rPr>
        <w:t>标准，达到国家有关技术标准、规范、规程要求。</w:t>
      </w:r>
    </w:p>
    <w:p w14:paraId="1DCACA34">
      <w:pPr>
        <w:spacing w:line="360" w:lineRule="auto"/>
        <w:rPr>
          <w:rFonts w:ascii="宋体" w:hAnsi="宋体" w:cs="宋体"/>
          <w:b/>
          <w:sz w:val="24"/>
        </w:rPr>
      </w:pPr>
      <w:r>
        <w:rPr>
          <w:rFonts w:hint="eastAsia" w:ascii="宋体" w:hAnsi="宋体" w:cs="宋体"/>
          <w:b/>
          <w:sz w:val="24"/>
        </w:rPr>
        <w:t xml:space="preserve">    四、签约合同价与合同价格形式</w:t>
      </w:r>
      <w:r>
        <w:rPr>
          <w:rFonts w:hint="eastAsia" w:ascii="宋体" w:hAnsi="宋体" w:cs="宋体"/>
          <w:b/>
          <w:sz w:val="24"/>
        </w:rPr>
        <w:tab/>
      </w:r>
    </w:p>
    <w:p w14:paraId="583674C8">
      <w:pPr>
        <w:tabs>
          <w:tab w:val="left" w:pos="2410"/>
        </w:tabs>
        <w:snapToGrid w:val="0"/>
        <w:spacing w:line="360" w:lineRule="auto"/>
        <w:ind w:firstLine="480" w:firstLineChars="200"/>
        <w:rPr>
          <w:rFonts w:ascii="宋体" w:hAnsi="宋体" w:cs="宋体"/>
          <w:sz w:val="24"/>
        </w:rPr>
      </w:pPr>
      <w:r>
        <w:rPr>
          <w:rFonts w:hint="eastAsia" w:ascii="宋体" w:hAnsi="宋体" w:cs="宋体"/>
          <w:sz w:val="24"/>
        </w:rPr>
        <w:t>1.暂定合同总价为：</w:t>
      </w:r>
    </w:p>
    <w:p w14:paraId="458C87FC">
      <w:pPr>
        <w:snapToGrid w:val="0"/>
        <w:spacing w:line="360" w:lineRule="auto"/>
        <w:ind w:firstLine="600" w:firstLineChars="250"/>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 xml:space="preserve">   </w:t>
      </w:r>
      <w:r>
        <w:rPr>
          <w:rFonts w:hint="eastAsia" w:ascii="宋体" w:hAnsi="宋体" w:cs="宋体"/>
          <w:sz w:val="24"/>
        </w:rPr>
        <w:t>元)；</w:t>
      </w:r>
    </w:p>
    <w:p w14:paraId="5E7E8398">
      <w:pPr>
        <w:snapToGrid w:val="0"/>
        <w:spacing w:line="360" w:lineRule="auto"/>
        <w:ind w:firstLine="480" w:firstLineChars="200"/>
        <w:rPr>
          <w:rFonts w:ascii="宋体" w:hAnsi="宋体" w:cs="宋体"/>
          <w:sz w:val="24"/>
        </w:rPr>
      </w:pPr>
      <w:r>
        <w:rPr>
          <w:rFonts w:hint="eastAsia" w:ascii="宋体" w:hAnsi="宋体" w:cs="宋体"/>
          <w:sz w:val="24"/>
        </w:rPr>
        <w:t>2.合同价格形式：</w:t>
      </w:r>
      <w:r>
        <w:rPr>
          <w:rFonts w:hint="eastAsia" w:ascii="宋体" w:hAnsi="宋体" w:cs="宋体"/>
          <w:b/>
          <w:sz w:val="24"/>
          <w:u w:val="single"/>
        </w:rPr>
        <w:t>工程量清单固定综合单价合同</w:t>
      </w:r>
      <w:r>
        <w:rPr>
          <w:rFonts w:hint="eastAsia" w:ascii="宋体" w:hAnsi="宋体" w:cs="宋体"/>
          <w:sz w:val="24"/>
        </w:rPr>
        <w:t>。</w:t>
      </w:r>
    </w:p>
    <w:p w14:paraId="792AA582">
      <w:pPr>
        <w:spacing w:line="360" w:lineRule="auto"/>
        <w:rPr>
          <w:rFonts w:ascii="宋体" w:hAnsi="宋体" w:cs="宋体"/>
          <w:b/>
          <w:sz w:val="24"/>
        </w:rPr>
      </w:pPr>
      <w:r>
        <w:rPr>
          <w:rFonts w:hint="eastAsia" w:ascii="宋体" w:hAnsi="宋体" w:cs="宋体"/>
          <w:b/>
          <w:sz w:val="24"/>
        </w:rPr>
        <w:t xml:space="preserve">    五、项目经理</w:t>
      </w:r>
    </w:p>
    <w:p w14:paraId="4139EC95">
      <w:pPr>
        <w:spacing w:line="360" w:lineRule="auto"/>
        <w:ind w:firstLine="480" w:firstLineChars="200"/>
        <w:rPr>
          <w:rFonts w:ascii="宋体" w:hAnsi="宋体" w:cs="宋体"/>
          <w:sz w:val="24"/>
        </w:rPr>
      </w:pPr>
      <w:r>
        <w:rPr>
          <w:rFonts w:hint="eastAsia" w:ascii="宋体" w:hAnsi="宋体" w:cs="宋体"/>
          <w:sz w:val="24"/>
        </w:rPr>
        <w:t>承包人项目经理：</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 xml:space="preserve">    </w:t>
      </w:r>
      <w:r>
        <w:rPr>
          <w:rFonts w:hint="eastAsia" w:ascii="宋体" w:hAnsi="宋体" w:cs="宋体"/>
          <w:sz w:val="24"/>
        </w:rPr>
        <w:t>。</w:t>
      </w:r>
    </w:p>
    <w:p w14:paraId="4DB0E194">
      <w:pPr>
        <w:spacing w:line="360" w:lineRule="auto"/>
        <w:rPr>
          <w:rFonts w:ascii="宋体" w:hAnsi="宋体" w:cs="宋体"/>
          <w:b/>
          <w:sz w:val="24"/>
        </w:rPr>
      </w:pPr>
      <w:r>
        <w:rPr>
          <w:rFonts w:hint="eastAsia" w:ascii="宋体" w:hAnsi="宋体" w:cs="宋体"/>
          <w:b/>
          <w:sz w:val="24"/>
        </w:rPr>
        <w:t xml:space="preserve">    六、合同文件构成</w:t>
      </w:r>
    </w:p>
    <w:p w14:paraId="30B04E2D">
      <w:pPr>
        <w:spacing w:line="360" w:lineRule="auto"/>
        <w:ind w:firstLine="480" w:firstLineChars="200"/>
        <w:rPr>
          <w:rFonts w:ascii="宋体" w:hAnsi="宋体" w:cs="宋体"/>
          <w:bCs/>
          <w:sz w:val="24"/>
        </w:rPr>
      </w:pPr>
      <w:r>
        <w:rPr>
          <w:rFonts w:hint="eastAsia" w:ascii="宋体" w:hAnsi="宋体" w:cs="宋体"/>
          <w:bCs/>
          <w:sz w:val="24"/>
        </w:rPr>
        <w:t>本协议书与下列文件一起构成合同文件：</w:t>
      </w:r>
    </w:p>
    <w:p w14:paraId="79DF84CC">
      <w:pPr>
        <w:autoSpaceDE w:val="0"/>
        <w:autoSpaceDN w:val="0"/>
        <w:spacing w:line="360" w:lineRule="auto"/>
        <w:ind w:firstLine="480" w:firstLineChars="200"/>
        <w:jc w:val="left"/>
        <w:rPr>
          <w:rFonts w:ascii="宋体" w:hAnsi="宋体" w:cs="宋体"/>
          <w:sz w:val="24"/>
          <w:u w:val="single"/>
        </w:rPr>
      </w:pPr>
      <w:r>
        <w:rPr>
          <w:rFonts w:hint="eastAsia" w:ascii="宋体" w:hAnsi="宋体" w:cs="宋体"/>
          <w:sz w:val="24"/>
          <w:u w:val="single"/>
        </w:rPr>
        <w:t>（1）成交通知书；</w:t>
      </w:r>
    </w:p>
    <w:p w14:paraId="5E491E50">
      <w:pPr>
        <w:autoSpaceDE w:val="0"/>
        <w:autoSpaceDN w:val="0"/>
        <w:spacing w:line="360" w:lineRule="auto"/>
        <w:ind w:firstLine="480" w:firstLineChars="200"/>
        <w:jc w:val="left"/>
        <w:rPr>
          <w:rFonts w:ascii="宋体" w:hAnsi="宋体" w:cs="宋体"/>
          <w:sz w:val="24"/>
          <w:u w:val="single"/>
        </w:rPr>
      </w:pPr>
      <w:r>
        <w:rPr>
          <w:rFonts w:hint="eastAsia" w:ascii="宋体" w:hAnsi="宋体" w:cs="宋体"/>
          <w:sz w:val="24"/>
          <w:u w:val="single"/>
        </w:rPr>
        <w:t xml:space="preserve">（2）投标函及附录； </w:t>
      </w:r>
    </w:p>
    <w:p w14:paraId="598063BD">
      <w:pPr>
        <w:autoSpaceDE w:val="0"/>
        <w:autoSpaceDN w:val="0"/>
        <w:spacing w:line="360" w:lineRule="auto"/>
        <w:ind w:firstLine="480" w:firstLineChars="200"/>
        <w:jc w:val="left"/>
        <w:rPr>
          <w:rFonts w:ascii="宋体" w:hAnsi="宋体" w:cs="宋体"/>
          <w:sz w:val="24"/>
          <w:u w:val="single"/>
        </w:rPr>
      </w:pPr>
      <w:r>
        <w:rPr>
          <w:rFonts w:hint="eastAsia" w:ascii="宋体" w:hAnsi="宋体" w:cs="宋体"/>
          <w:sz w:val="24"/>
          <w:u w:val="single"/>
        </w:rPr>
        <w:t xml:space="preserve">（3）专用合同条款及其附件； </w:t>
      </w:r>
    </w:p>
    <w:p w14:paraId="023D2E11">
      <w:pPr>
        <w:autoSpaceDE w:val="0"/>
        <w:autoSpaceDN w:val="0"/>
        <w:spacing w:line="360" w:lineRule="auto"/>
        <w:ind w:firstLine="480" w:firstLineChars="200"/>
        <w:jc w:val="left"/>
        <w:rPr>
          <w:rFonts w:ascii="宋体" w:hAnsi="宋体" w:cs="宋体"/>
          <w:sz w:val="24"/>
          <w:u w:val="single"/>
        </w:rPr>
      </w:pPr>
      <w:r>
        <w:rPr>
          <w:rFonts w:hint="eastAsia" w:ascii="宋体" w:hAnsi="宋体" w:cs="宋体"/>
          <w:sz w:val="24"/>
          <w:u w:val="single"/>
        </w:rPr>
        <w:t>（4）通用合同条款；</w:t>
      </w:r>
    </w:p>
    <w:p w14:paraId="34F41623">
      <w:pPr>
        <w:autoSpaceDE w:val="0"/>
        <w:autoSpaceDN w:val="0"/>
        <w:spacing w:line="360" w:lineRule="auto"/>
        <w:ind w:firstLine="480" w:firstLineChars="200"/>
        <w:jc w:val="left"/>
        <w:rPr>
          <w:rFonts w:ascii="宋体" w:hAnsi="宋体" w:cs="宋体"/>
          <w:sz w:val="24"/>
          <w:u w:val="single"/>
        </w:rPr>
      </w:pPr>
      <w:r>
        <w:rPr>
          <w:rFonts w:hint="eastAsia" w:ascii="宋体" w:hAnsi="宋体" w:cs="宋体"/>
          <w:sz w:val="24"/>
          <w:u w:val="single"/>
        </w:rPr>
        <w:t>（5）技术标准和要求；</w:t>
      </w:r>
    </w:p>
    <w:p w14:paraId="60CB6FE5">
      <w:pPr>
        <w:autoSpaceDE w:val="0"/>
        <w:autoSpaceDN w:val="0"/>
        <w:spacing w:line="360" w:lineRule="auto"/>
        <w:ind w:firstLine="480" w:firstLineChars="200"/>
        <w:jc w:val="left"/>
        <w:rPr>
          <w:rFonts w:ascii="宋体" w:hAnsi="宋体" w:cs="宋体"/>
          <w:sz w:val="24"/>
          <w:u w:val="single"/>
        </w:rPr>
      </w:pPr>
      <w:r>
        <w:rPr>
          <w:rFonts w:hint="eastAsia" w:ascii="宋体" w:hAnsi="宋体" w:cs="宋体"/>
          <w:sz w:val="24"/>
          <w:u w:val="single"/>
        </w:rPr>
        <w:t>（6）图纸（如有）；</w:t>
      </w:r>
    </w:p>
    <w:p w14:paraId="7D430AF0">
      <w:pPr>
        <w:autoSpaceDE w:val="0"/>
        <w:autoSpaceDN w:val="0"/>
        <w:spacing w:line="360" w:lineRule="auto"/>
        <w:ind w:firstLine="480" w:firstLineChars="200"/>
        <w:jc w:val="left"/>
        <w:rPr>
          <w:rFonts w:ascii="宋体" w:hAnsi="宋体" w:cs="宋体"/>
          <w:sz w:val="24"/>
          <w:u w:val="single"/>
        </w:rPr>
      </w:pPr>
      <w:r>
        <w:rPr>
          <w:rFonts w:hint="eastAsia" w:ascii="宋体" w:hAnsi="宋体" w:cs="宋体"/>
          <w:sz w:val="24"/>
          <w:u w:val="single"/>
        </w:rPr>
        <w:t>（7）已标价工程量清单或预算书；</w:t>
      </w:r>
    </w:p>
    <w:p w14:paraId="1CFA48C5">
      <w:pPr>
        <w:autoSpaceDE w:val="0"/>
        <w:autoSpaceDN w:val="0"/>
        <w:spacing w:line="360" w:lineRule="auto"/>
        <w:ind w:firstLine="480" w:firstLineChars="200"/>
        <w:jc w:val="left"/>
        <w:rPr>
          <w:rFonts w:ascii="宋体" w:hAnsi="宋体" w:cs="宋体"/>
          <w:sz w:val="24"/>
          <w:u w:val="single"/>
        </w:rPr>
      </w:pPr>
      <w:r>
        <w:rPr>
          <w:rFonts w:hint="eastAsia" w:ascii="宋体" w:hAnsi="宋体" w:cs="宋体"/>
          <w:sz w:val="24"/>
          <w:u w:val="single"/>
        </w:rPr>
        <w:t>（8）工程质量保修书；</w:t>
      </w:r>
    </w:p>
    <w:p w14:paraId="4B479637">
      <w:pPr>
        <w:autoSpaceDE w:val="0"/>
        <w:autoSpaceDN w:val="0"/>
        <w:spacing w:line="360" w:lineRule="auto"/>
        <w:ind w:firstLine="480" w:firstLineChars="200"/>
        <w:jc w:val="left"/>
        <w:rPr>
          <w:rFonts w:ascii="宋体" w:hAnsi="宋体" w:cs="宋体"/>
          <w:sz w:val="24"/>
          <w:u w:val="single"/>
        </w:rPr>
      </w:pPr>
      <w:r>
        <w:rPr>
          <w:rFonts w:hint="eastAsia" w:ascii="宋体" w:hAnsi="宋体" w:cs="宋体"/>
          <w:sz w:val="24"/>
          <w:u w:val="single"/>
        </w:rPr>
        <w:t>（9）通用合同条款；</w:t>
      </w:r>
    </w:p>
    <w:p w14:paraId="2E54A839">
      <w:pPr>
        <w:autoSpaceDE w:val="0"/>
        <w:autoSpaceDN w:val="0"/>
        <w:spacing w:line="360" w:lineRule="auto"/>
        <w:ind w:firstLine="480" w:firstLineChars="200"/>
        <w:jc w:val="left"/>
        <w:rPr>
          <w:rFonts w:ascii="宋体" w:hAnsi="宋体" w:cs="宋体"/>
          <w:sz w:val="24"/>
          <w:u w:val="single"/>
        </w:rPr>
      </w:pPr>
      <w:r>
        <w:rPr>
          <w:rFonts w:hint="eastAsia" w:ascii="宋体" w:hAnsi="宋体" w:cs="宋体"/>
          <w:sz w:val="24"/>
          <w:u w:val="single"/>
        </w:rPr>
        <w:t>（10）其他合同文件。</w:t>
      </w:r>
    </w:p>
    <w:p w14:paraId="58B71010">
      <w:pPr>
        <w:autoSpaceDE w:val="0"/>
        <w:autoSpaceDN w:val="0"/>
        <w:spacing w:line="360" w:lineRule="auto"/>
        <w:ind w:firstLine="480" w:firstLineChars="200"/>
        <w:jc w:val="left"/>
        <w:rPr>
          <w:rFonts w:ascii="宋体" w:hAnsi="宋体" w:cs="宋体"/>
          <w:sz w:val="24"/>
        </w:rPr>
      </w:pPr>
      <w:r>
        <w:rPr>
          <w:rFonts w:hint="eastAsia" w:ascii="宋体" w:hAnsi="宋体" w:cs="宋体"/>
          <w:sz w:val="24"/>
        </w:rPr>
        <w:t>在合同订立及履行过程中形成的与合同有关的文件均构成合同文件组成部分。</w:t>
      </w:r>
    </w:p>
    <w:p w14:paraId="3ADF28AF">
      <w:pPr>
        <w:autoSpaceDE w:val="0"/>
        <w:autoSpaceDN w:val="0"/>
        <w:spacing w:line="360" w:lineRule="auto"/>
        <w:ind w:firstLine="480" w:firstLineChars="200"/>
        <w:jc w:val="left"/>
        <w:rPr>
          <w:rFonts w:ascii="宋体" w:hAnsi="宋体" w:cs="宋体"/>
          <w:sz w:val="24"/>
        </w:rPr>
      </w:pPr>
      <w:r>
        <w:rPr>
          <w:rFonts w:hint="eastAsia" w:ascii="宋体" w:hAnsi="宋体" w:cs="宋体"/>
          <w:sz w:val="24"/>
        </w:rPr>
        <w:t>上述各项合同文件包括合同当事人就该项合同文件所作出的补充和变更，属于同一类内容的文件，应以最新签署的为准。各项文件及其附件须经合同当事人签字和盖章。</w:t>
      </w:r>
    </w:p>
    <w:p w14:paraId="4CF4B718">
      <w:pPr>
        <w:spacing w:line="360" w:lineRule="auto"/>
        <w:ind w:firstLine="482" w:firstLineChars="200"/>
        <w:rPr>
          <w:rFonts w:ascii="宋体" w:hAnsi="宋体" w:cs="宋体"/>
          <w:b/>
          <w:sz w:val="24"/>
        </w:rPr>
      </w:pPr>
      <w:r>
        <w:rPr>
          <w:rFonts w:hint="eastAsia" w:ascii="宋体" w:hAnsi="宋体" w:cs="宋体"/>
          <w:b/>
          <w:sz w:val="24"/>
        </w:rPr>
        <w:t>七、承诺</w:t>
      </w:r>
    </w:p>
    <w:p w14:paraId="1C4E79B7">
      <w:pPr>
        <w:spacing w:line="360" w:lineRule="auto"/>
        <w:ind w:firstLine="480" w:firstLineChars="200"/>
        <w:rPr>
          <w:rFonts w:ascii="宋体" w:hAnsi="宋体" w:cs="宋体"/>
          <w:sz w:val="24"/>
        </w:rPr>
      </w:pPr>
      <w:r>
        <w:rPr>
          <w:rFonts w:hint="eastAsia" w:ascii="宋体" w:hAnsi="宋体" w:cs="宋体"/>
          <w:bCs/>
          <w:sz w:val="24"/>
        </w:rPr>
        <w:t>1.发包人承诺按照法律规定履行项目审批手续、筹集工程建设资金并按照合同约定的期限和方式支付合同价款。</w:t>
      </w:r>
    </w:p>
    <w:p w14:paraId="58FD28BF">
      <w:pPr>
        <w:spacing w:line="360" w:lineRule="auto"/>
        <w:ind w:firstLine="480" w:firstLineChars="200"/>
        <w:rPr>
          <w:rFonts w:ascii="宋体" w:hAnsi="宋体" w:cs="宋体"/>
          <w:sz w:val="24"/>
        </w:rPr>
      </w:pPr>
      <w:r>
        <w:rPr>
          <w:rFonts w:hint="eastAsia" w:ascii="宋体" w:hAnsi="宋体" w:cs="宋体"/>
          <w:bCs/>
          <w:sz w:val="24"/>
        </w:rPr>
        <w:t>2.承包人承诺按照法律规定及合同约定组织完成工程施工，确保工程质量和安全，不进行转包及违法分包，并在缺陷责任期及保修期内承担相应的工程维修责任。</w:t>
      </w:r>
    </w:p>
    <w:p w14:paraId="0705698B">
      <w:pPr>
        <w:spacing w:line="360" w:lineRule="auto"/>
        <w:ind w:firstLine="480" w:firstLineChars="200"/>
        <w:rPr>
          <w:rFonts w:ascii="宋体" w:hAnsi="宋体" w:cs="宋体"/>
          <w:sz w:val="24"/>
        </w:rPr>
      </w:pPr>
      <w:r>
        <w:rPr>
          <w:rFonts w:hint="eastAsia" w:ascii="宋体" w:hAnsi="宋体" w:cs="宋体"/>
          <w:bCs/>
          <w:sz w:val="24"/>
        </w:rPr>
        <w:t>3.发包人和承包人通过招投标形式签订合同的，双方理解并承诺不再就同一工程另行签订与合同实质性内容相背离的协议。</w:t>
      </w:r>
    </w:p>
    <w:p w14:paraId="087A63ED">
      <w:pPr>
        <w:spacing w:line="360" w:lineRule="auto"/>
        <w:ind w:firstLine="437"/>
        <w:rPr>
          <w:rFonts w:ascii="宋体" w:hAnsi="宋体" w:cs="宋体"/>
          <w:sz w:val="24"/>
        </w:rPr>
      </w:pPr>
      <w:r>
        <w:rPr>
          <w:rFonts w:hint="eastAsia" w:ascii="宋体" w:hAnsi="宋体" w:cs="宋体"/>
          <w:b/>
          <w:sz w:val="24"/>
        </w:rPr>
        <w:t>八、词语含义</w:t>
      </w:r>
    </w:p>
    <w:p w14:paraId="235382D2">
      <w:pPr>
        <w:spacing w:line="360" w:lineRule="auto"/>
        <w:ind w:firstLine="437"/>
        <w:rPr>
          <w:rFonts w:ascii="宋体" w:hAnsi="宋体" w:cs="宋体"/>
          <w:bCs/>
          <w:sz w:val="24"/>
        </w:rPr>
      </w:pPr>
      <w:r>
        <w:rPr>
          <w:rFonts w:hint="eastAsia" w:ascii="宋体" w:hAnsi="宋体" w:cs="宋体"/>
          <w:bCs/>
          <w:sz w:val="24"/>
        </w:rPr>
        <w:t>本协议书中词语含义与第二部分通用合同条款中赋予的含义相同。</w:t>
      </w:r>
    </w:p>
    <w:p w14:paraId="77CA4CEE">
      <w:pPr>
        <w:spacing w:line="360" w:lineRule="auto"/>
        <w:ind w:firstLine="437"/>
        <w:rPr>
          <w:rFonts w:ascii="宋体" w:hAnsi="宋体" w:cs="宋体"/>
          <w:b/>
          <w:sz w:val="24"/>
        </w:rPr>
      </w:pPr>
      <w:r>
        <w:rPr>
          <w:rFonts w:hint="eastAsia" w:ascii="宋体" w:hAnsi="宋体" w:cs="宋体"/>
          <w:b/>
          <w:sz w:val="24"/>
        </w:rPr>
        <w:t>九、签订时间</w:t>
      </w:r>
    </w:p>
    <w:p w14:paraId="597CCF54">
      <w:pPr>
        <w:spacing w:line="360" w:lineRule="auto"/>
        <w:ind w:firstLine="437"/>
        <w:rPr>
          <w:rFonts w:ascii="宋体" w:hAnsi="宋体" w:cs="宋体"/>
          <w:b/>
          <w:sz w:val="24"/>
        </w:rPr>
      </w:pPr>
      <w:r>
        <w:rPr>
          <w:rFonts w:hint="eastAsia" w:ascii="宋体" w:hAnsi="宋体" w:cs="宋体"/>
          <w:bCs/>
          <w:sz w:val="24"/>
        </w:rPr>
        <w:t>本合同于</w:t>
      </w:r>
      <w:r>
        <w:rPr>
          <w:rFonts w:hint="eastAsia" w:ascii="宋体" w:hAnsi="宋体" w:cs="宋体"/>
          <w:sz w:val="24"/>
          <w:u w:val="single"/>
        </w:rPr>
        <w:t xml:space="preserve"> </w:t>
      </w:r>
      <w:r>
        <w:rPr>
          <w:rFonts w:hint="eastAsia" w:ascii="宋体" w:hAnsi="宋体" w:cs="宋体"/>
          <w:bCs/>
          <w:sz w:val="24"/>
          <w:u w:val="single"/>
        </w:rPr>
        <w:t xml:space="preserve"> 202   </w:t>
      </w:r>
      <w:r>
        <w:rPr>
          <w:rFonts w:hint="eastAsia" w:ascii="宋体" w:hAnsi="宋体" w:cs="宋体"/>
          <w:bCs/>
          <w:sz w:val="24"/>
        </w:rPr>
        <w:t>年</w:t>
      </w:r>
      <w:r>
        <w:rPr>
          <w:rFonts w:hint="eastAsia" w:ascii="宋体" w:hAnsi="宋体" w:cs="宋体"/>
          <w:bCs/>
          <w:sz w:val="24"/>
          <w:u w:val="single"/>
        </w:rPr>
        <w:t xml:space="preserve">    </w:t>
      </w:r>
      <w:r>
        <w:rPr>
          <w:rFonts w:hint="eastAsia" w:ascii="宋体" w:hAnsi="宋体" w:cs="宋体"/>
          <w:bCs/>
          <w:sz w:val="24"/>
        </w:rPr>
        <w:t>月</w:t>
      </w:r>
      <w:r>
        <w:rPr>
          <w:rFonts w:hint="eastAsia" w:ascii="宋体" w:hAnsi="宋体" w:cs="宋体"/>
          <w:bCs/>
          <w:sz w:val="24"/>
          <w:u w:val="single"/>
        </w:rPr>
        <w:t xml:space="preserve">    </w:t>
      </w:r>
      <w:r>
        <w:rPr>
          <w:rFonts w:hint="eastAsia" w:ascii="宋体" w:hAnsi="宋体" w:cs="宋体"/>
          <w:bCs/>
          <w:sz w:val="24"/>
        </w:rPr>
        <w:t>日签订。</w:t>
      </w:r>
    </w:p>
    <w:p w14:paraId="356CE4B8">
      <w:pPr>
        <w:spacing w:line="360" w:lineRule="auto"/>
        <w:ind w:firstLine="437"/>
        <w:rPr>
          <w:rFonts w:ascii="宋体" w:hAnsi="宋体" w:cs="宋体"/>
          <w:b/>
          <w:sz w:val="24"/>
        </w:rPr>
      </w:pPr>
      <w:r>
        <w:rPr>
          <w:rFonts w:hint="eastAsia" w:ascii="宋体" w:hAnsi="宋体" w:cs="宋体"/>
          <w:b/>
          <w:sz w:val="24"/>
        </w:rPr>
        <w:t>十、签订地点</w:t>
      </w:r>
    </w:p>
    <w:p w14:paraId="2983DED6">
      <w:pPr>
        <w:spacing w:line="360" w:lineRule="auto"/>
        <w:ind w:firstLine="437"/>
        <w:rPr>
          <w:rFonts w:ascii="宋体" w:hAnsi="宋体" w:cs="宋体"/>
          <w:b/>
          <w:sz w:val="24"/>
        </w:rPr>
      </w:pPr>
      <w:r>
        <w:rPr>
          <w:rFonts w:hint="eastAsia" w:ascii="宋体" w:hAnsi="宋体" w:cs="宋体"/>
          <w:bCs/>
          <w:sz w:val="24"/>
        </w:rPr>
        <w:t>本合同在</w:t>
      </w:r>
      <w:r>
        <w:rPr>
          <w:rFonts w:hint="eastAsia" w:ascii="宋体" w:hAnsi="宋体" w:cs="宋体"/>
          <w:sz w:val="24"/>
          <w:u w:val="single"/>
        </w:rPr>
        <w:t xml:space="preserve">杭州市 </w:t>
      </w:r>
      <w:r>
        <w:rPr>
          <w:rFonts w:hint="eastAsia" w:ascii="宋体" w:hAnsi="宋体" w:cs="宋体"/>
          <w:bCs/>
          <w:sz w:val="24"/>
        </w:rPr>
        <w:t>签订。</w:t>
      </w:r>
    </w:p>
    <w:p w14:paraId="24A16643">
      <w:pPr>
        <w:spacing w:line="360" w:lineRule="auto"/>
        <w:ind w:firstLine="437"/>
        <w:rPr>
          <w:rFonts w:ascii="宋体" w:hAnsi="宋体" w:cs="宋体"/>
          <w:b/>
          <w:sz w:val="24"/>
        </w:rPr>
      </w:pPr>
      <w:r>
        <w:rPr>
          <w:rFonts w:hint="eastAsia" w:ascii="宋体" w:hAnsi="宋体" w:cs="宋体"/>
          <w:b/>
          <w:sz w:val="24"/>
        </w:rPr>
        <w:t>十一、补充协议</w:t>
      </w:r>
    </w:p>
    <w:p w14:paraId="688E7131">
      <w:pPr>
        <w:spacing w:line="360" w:lineRule="auto"/>
        <w:ind w:firstLine="437"/>
        <w:rPr>
          <w:rFonts w:ascii="宋体" w:hAnsi="宋体" w:cs="宋体"/>
          <w:b/>
          <w:sz w:val="24"/>
        </w:rPr>
      </w:pPr>
      <w:r>
        <w:rPr>
          <w:rFonts w:hint="eastAsia" w:ascii="宋体" w:hAnsi="宋体" w:cs="宋体"/>
          <w:bCs/>
          <w:sz w:val="24"/>
        </w:rPr>
        <w:t>合同未尽事宜，合同当事人另行签订补充协议，补充协议是合同的组成部分。</w:t>
      </w:r>
    </w:p>
    <w:p w14:paraId="0E11651B">
      <w:pPr>
        <w:spacing w:line="360" w:lineRule="auto"/>
        <w:ind w:firstLine="437"/>
        <w:rPr>
          <w:rFonts w:ascii="宋体" w:hAnsi="宋体" w:cs="宋体"/>
          <w:b/>
          <w:sz w:val="24"/>
        </w:rPr>
      </w:pPr>
      <w:r>
        <w:rPr>
          <w:rFonts w:hint="eastAsia" w:ascii="宋体" w:hAnsi="宋体" w:cs="宋体"/>
          <w:b/>
          <w:sz w:val="24"/>
        </w:rPr>
        <w:t>十二、合同生效</w:t>
      </w:r>
    </w:p>
    <w:p w14:paraId="6346A30B">
      <w:pPr>
        <w:spacing w:line="360" w:lineRule="auto"/>
        <w:ind w:firstLine="437"/>
        <w:rPr>
          <w:rFonts w:ascii="宋体" w:hAnsi="宋体" w:cs="宋体"/>
          <w:b/>
          <w:sz w:val="24"/>
        </w:rPr>
      </w:pPr>
      <w:r>
        <w:rPr>
          <w:rFonts w:hint="eastAsia" w:ascii="宋体" w:hAnsi="宋体" w:cs="宋体"/>
          <w:bCs/>
          <w:sz w:val="24"/>
        </w:rPr>
        <w:t>本合同自</w:t>
      </w:r>
      <w:r>
        <w:rPr>
          <w:rFonts w:hint="eastAsia" w:ascii="宋体" w:hAnsi="宋体" w:cs="宋体"/>
          <w:sz w:val="24"/>
          <w:u w:val="single"/>
        </w:rPr>
        <w:t xml:space="preserve">  </w:t>
      </w:r>
      <w:r>
        <w:rPr>
          <w:rFonts w:hint="eastAsia" w:ascii="宋体" w:hAnsi="宋体" w:cs="宋体"/>
          <w:b/>
          <w:sz w:val="24"/>
          <w:u w:val="single"/>
        </w:rPr>
        <w:t>双方签字、盖章且承包人提交履约保证金后</w:t>
      </w:r>
      <w:r>
        <w:rPr>
          <w:rFonts w:hint="eastAsia" w:ascii="宋体" w:hAnsi="宋体" w:cs="宋体"/>
          <w:bCs/>
          <w:sz w:val="24"/>
        </w:rPr>
        <w:t>生效。</w:t>
      </w:r>
    </w:p>
    <w:p w14:paraId="6DCE43C0">
      <w:pPr>
        <w:spacing w:line="360" w:lineRule="auto"/>
        <w:ind w:firstLine="437"/>
        <w:rPr>
          <w:rFonts w:ascii="宋体" w:hAnsi="宋体" w:cs="宋体"/>
          <w:b/>
          <w:sz w:val="24"/>
        </w:rPr>
      </w:pPr>
      <w:r>
        <w:rPr>
          <w:rFonts w:hint="eastAsia" w:ascii="宋体" w:hAnsi="宋体" w:cs="宋体"/>
          <w:b/>
          <w:sz w:val="24"/>
        </w:rPr>
        <w:t>十三、合同份数</w:t>
      </w:r>
    </w:p>
    <w:p w14:paraId="5BD50CA7">
      <w:pPr>
        <w:spacing w:line="360" w:lineRule="auto"/>
        <w:ind w:firstLine="437"/>
        <w:rPr>
          <w:rFonts w:ascii="宋体" w:hAnsi="宋体" w:cs="宋体"/>
          <w:b/>
          <w:sz w:val="24"/>
        </w:rPr>
      </w:pPr>
      <w:r>
        <w:rPr>
          <w:rFonts w:hint="eastAsia" w:ascii="宋体" w:hAnsi="宋体" w:cs="宋体"/>
          <w:bCs/>
          <w:sz w:val="24"/>
        </w:rPr>
        <w:t>本合同一式</w:t>
      </w:r>
      <w:r>
        <w:rPr>
          <w:rFonts w:hint="eastAsia" w:ascii="宋体" w:hAnsi="宋体" w:cs="宋体"/>
          <w:sz w:val="24"/>
          <w:u w:val="single"/>
        </w:rPr>
        <w:t>捌</w:t>
      </w:r>
      <w:r>
        <w:rPr>
          <w:rFonts w:hint="eastAsia" w:ascii="宋体" w:hAnsi="宋体" w:cs="宋体"/>
          <w:bCs/>
          <w:sz w:val="24"/>
        </w:rPr>
        <w:t>份，均具有同等法律效力，发包人执</w:t>
      </w:r>
      <w:r>
        <w:rPr>
          <w:rFonts w:hint="eastAsia" w:ascii="宋体" w:hAnsi="宋体" w:cs="宋体"/>
          <w:sz w:val="24"/>
          <w:u w:val="single"/>
        </w:rPr>
        <w:t>肆</w:t>
      </w:r>
      <w:r>
        <w:rPr>
          <w:rFonts w:hint="eastAsia" w:ascii="宋体" w:hAnsi="宋体" w:cs="宋体"/>
          <w:bCs/>
          <w:sz w:val="24"/>
        </w:rPr>
        <w:t>份，承包人执</w:t>
      </w:r>
      <w:r>
        <w:rPr>
          <w:rFonts w:hint="eastAsia" w:ascii="宋体" w:hAnsi="宋体" w:cs="宋体"/>
          <w:sz w:val="24"/>
          <w:u w:val="single"/>
        </w:rPr>
        <w:t>肆</w:t>
      </w:r>
      <w:r>
        <w:rPr>
          <w:rFonts w:hint="eastAsia" w:ascii="宋体" w:hAnsi="宋体" w:cs="宋体"/>
          <w:bCs/>
          <w:sz w:val="24"/>
        </w:rPr>
        <w:t>份。</w:t>
      </w:r>
    </w:p>
    <w:p w14:paraId="5998794D">
      <w:pPr>
        <w:snapToGrid w:val="0"/>
        <w:spacing w:line="360" w:lineRule="auto"/>
        <w:ind w:right="-624" w:rightChars="-297"/>
        <w:rPr>
          <w:rFonts w:ascii="宋体" w:hAnsi="宋体" w:cs="宋体"/>
          <w:sz w:val="24"/>
        </w:rPr>
      </w:pPr>
    </w:p>
    <w:p w14:paraId="542B681E">
      <w:pPr>
        <w:snapToGrid w:val="0"/>
        <w:spacing w:line="360" w:lineRule="auto"/>
        <w:ind w:right="-624" w:rightChars="-297"/>
        <w:rPr>
          <w:rFonts w:ascii="宋体" w:hAnsi="宋体" w:cs="宋体"/>
          <w:kern w:val="0"/>
          <w:sz w:val="24"/>
        </w:rPr>
      </w:pPr>
      <w:bookmarkStart w:id="497" w:name="_Toc351203494"/>
      <w:r>
        <w:rPr>
          <w:rFonts w:hint="eastAsia" w:ascii="宋体" w:hAnsi="宋体" w:cs="宋体"/>
          <w:sz w:val="24"/>
        </w:rPr>
        <w:t>发包人：</w:t>
      </w:r>
      <w:r>
        <w:rPr>
          <w:rFonts w:hint="eastAsia" w:ascii="宋体" w:hAnsi="宋体" w:cs="宋体"/>
          <w:kern w:val="0"/>
          <w:sz w:val="24"/>
          <w:u w:val="single"/>
        </w:rPr>
        <w:t xml:space="preserve">   浙江中医药大学           </w:t>
      </w:r>
      <w:r>
        <w:rPr>
          <w:rFonts w:hint="eastAsia" w:ascii="宋体" w:hAnsi="宋体" w:cs="宋体"/>
          <w:kern w:val="0"/>
          <w:sz w:val="24"/>
        </w:rPr>
        <w:t>（盖章）      承包人：</w:t>
      </w:r>
      <w:bookmarkStart w:id="498" w:name="_Hlk106096075"/>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kern w:val="0"/>
          <w:sz w:val="24"/>
          <w:u w:val="single"/>
        </w:rPr>
        <w:t xml:space="preserve">              </w:t>
      </w:r>
      <w:bookmarkEnd w:id="498"/>
      <w:r>
        <w:rPr>
          <w:rFonts w:hint="eastAsia" w:ascii="宋体" w:hAnsi="宋体" w:cs="宋体"/>
          <w:kern w:val="0"/>
          <w:sz w:val="24"/>
          <w:u w:val="single"/>
        </w:rPr>
        <w:t xml:space="preserve">  </w:t>
      </w:r>
      <w:r>
        <w:rPr>
          <w:rFonts w:hint="eastAsia" w:ascii="宋体" w:hAnsi="宋体" w:cs="宋体"/>
          <w:kern w:val="0"/>
          <w:sz w:val="24"/>
        </w:rPr>
        <w:t>（盖章）</w:t>
      </w:r>
    </w:p>
    <w:p w14:paraId="14BEC394">
      <w:pPr>
        <w:spacing w:line="360" w:lineRule="auto"/>
        <w:rPr>
          <w:rFonts w:ascii="宋体" w:hAnsi="宋体" w:cs="宋体"/>
          <w:sz w:val="24"/>
        </w:rPr>
      </w:pPr>
      <w:r>
        <w:rPr>
          <w:rFonts w:hint="eastAsia" w:ascii="宋体" w:hAnsi="宋体" w:cs="宋体"/>
          <w:sz w:val="24"/>
        </w:rPr>
        <w:t>法定代表人或其委托代理人：（签字）              法定代表人或其委托代理人：（签字）</w:t>
      </w:r>
    </w:p>
    <w:p w14:paraId="1C4278FA">
      <w:pPr>
        <w:tabs>
          <w:tab w:val="left" w:pos="4410"/>
        </w:tabs>
        <w:spacing w:line="360" w:lineRule="auto"/>
        <w:ind w:right="-624" w:rightChars="-297"/>
        <w:rPr>
          <w:rFonts w:ascii="宋体" w:hAnsi="宋体" w:cs="宋体"/>
          <w:sz w:val="24"/>
        </w:rPr>
      </w:pPr>
      <w:r>
        <w:rPr>
          <w:rFonts w:hint="eastAsia" w:ascii="宋体" w:hAnsi="宋体" w:cs="宋体"/>
          <w:sz w:val="24"/>
        </w:rPr>
        <w:t>组织机构代码：</w:t>
      </w:r>
      <w:r>
        <w:rPr>
          <w:rFonts w:hint="eastAsia" w:ascii="宋体" w:hAnsi="宋体" w:cs="宋体"/>
          <w:sz w:val="24"/>
          <w:u w:val="single"/>
        </w:rPr>
        <w:t>12330000470004110Q</w:t>
      </w:r>
      <w:r>
        <w:rPr>
          <w:rFonts w:hint="eastAsia" w:ascii="宋体" w:hAnsi="宋体" w:cs="宋体"/>
          <w:sz w:val="24"/>
        </w:rPr>
        <w:t xml:space="preserve">               组织机构代码：</w:t>
      </w:r>
      <w:r>
        <w:rPr>
          <w:rFonts w:hint="eastAsia" w:ascii="宋体" w:hAnsi="宋体" w:cs="宋体"/>
          <w:kern w:val="0"/>
          <w:sz w:val="24"/>
          <w:u w:val="single"/>
        </w:rPr>
        <w:t xml:space="preserve">                </w:t>
      </w:r>
    </w:p>
    <w:p w14:paraId="381273A8">
      <w:pPr>
        <w:spacing w:line="360" w:lineRule="auto"/>
        <w:ind w:right="-624" w:rightChars="-297"/>
        <w:rPr>
          <w:rFonts w:ascii="宋体" w:hAnsi="宋体" w:cs="宋体"/>
          <w:sz w:val="24"/>
          <w:u w:val="single"/>
        </w:rPr>
      </w:pPr>
      <w:bookmarkStart w:id="499" w:name="_Hlk74481236"/>
      <w:r>
        <w:rPr>
          <w:rFonts w:hint="eastAsia" w:ascii="宋体" w:hAnsi="宋体" w:cs="宋体"/>
          <w:sz w:val="24"/>
        </w:rPr>
        <w:t>地  址：</w:t>
      </w:r>
      <w:r>
        <w:rPr>
          <w:rFonts w:hint="eastAsia" w:ascii="宋体" w:hAnsi="宋体" w:cs="宋体"/>
          <w:sz w:val="24"/>
          <w:u w:val="single"/>
        </w:rPr>
        <w:t xml:space="preserve"> 杭州市滨江区滨文路548号</w:t>
      </w:r>
      <w:r>
        <w:rPr>
          <w:rFonts w:hint="eastAsia" w:ascii="宋体" w:hAnsi="宋体" w:cs="宋体"/>
          <w:sz w:val="24"/>
        </w:rPr>
        <w:t xml:space="preserve">              地  址：</w:t>
      </w:r>
      <w:r>
        <w:rPr>
          <w:rFonts w:hint="eastAsia" w:ascii="宋体" w:hAnsi="宋体" w:cs="宋体"/>
          <w:kern w:val="0"/>
          <w:sz w:val="24"/>
          <w:u w:val="single"/>
        </w:rPr>
        <w:t xml:space="preserve">                </w:t>
      </w:r>
      <w:r>
        <w:rPr>
          <w:rFonts w:hint="eastAsia" w:ascii="宋体" w:hAnsi="宋体" w:cs="宋体"/>
          <w:sz w:val="24"/>
          <w:u w:val="single"/>
        </w:rPr>
        <w:t xml:space="preserve">   </w:t>
      </w:r>
    </w:p>
    <w:bookmarkEnd w:id="499"/>
    <w:p w14:paraId="04C83C8A">
      <w:pPr>
        <w:spacing w:line="360" w:lineRule="auto"/>
        <w:ind w:right="-624" w:rightChars="-297"/>
        <w:rPr>
          <w:rFonts w:ascii="宋体" w:hAnsi="宋体" w:cs="宋体"/>
          <w:sz w:val="24"/>
        </w:rPr>
      </w:pPr>
      <w:r>
        <w:rPr>
          <w:rFonts w:hint="eastAsia" w:ascii="宋体" w:hAnsi="宋体" w:cs="宋体"/>
          <w:sz w:val="24"/>
        </w:rPr>
        <w:t>邮政编码：</w:t>
      </w:r>
      <w:r>
        <w:rPr>
          <w:rFonts w:hint="eastAsia" w:ascii="宋体" w:hAnsi="宋体" w:cs="宋体"/>
          <w:sz w:val="24"/>
          <w:u w:val="single"/>
        </w:rPr>
        <w:t xml:space="preserve"> 310053    </w:t>
      </w:r>
      <w:r>
        <w:rPr>
          <w:rFonts w:hint="eastAsia" w:ascii="宋体" w:hAnsi="宋体" w:cs="宋体"/>
          <w:sz w:val="24"/>
        </w:rPr>
        <w:t xml:space="preserve">                      邮政编码：</w:t>
      </w:r>
      <w:r>
        <w:rPr>
          <w:rFonts w:hint="eastAsia" w:ascii="宋体" w:hAnsi="宋体" w:cs="宋体"/>
          <w:kern w:val="0"/>
          <w:sz w:val="24"/>
          <w:u w:val="single"/>
        </w:rPr>
        <w:t xml:space="preserve">                </w:t>
      </w:r>
      <w:r>
        <w:rPr>
          <w:rFonts w:hint="eastAsia" w:ascii="宋体" w:hAnsi="宋体" w:cs="宋体"/>
          <w:sz w:val="24"/>
          <w:u w:val="single"/>
        </w:rPr>
        <w:t xml:space="preserve">  </w:t>
      </w:r>
    </w:p>
    <w:p w14:paraId="7FEAC95E">
      <w:pPr>
        <w:spacing w:line="360" w:lineRule="auto"/>
        <w:ind w:right="-624" w:rightChars="-297"/>
        <w:rPr>
          <w:rFonts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 xml:space="preserve">                          法定代表人：</w:t>
      </w:r>
      <w:r>
        <w:rPr>
          <w:rFonts w:hint="eastAsia" w:ascii="宋体" w:hAnsi="宋体" w:cs="宋体"/>
          <w:sz w:val="24"/>
          <w:u w:val="single"/>
        </w:rPr>
        <w:t xml:space="preserve">         </w:t>
      </w:r>
    </w:p>
    <w:p w14:paraId="2C291C69">
      <w:pPr>
        <w:spacing w:line="360" w:lineRule="auto"/>
        <w:ind w:right="-624" w:rightChars="-297"/>
        <w:rPr>
          <w:rFonts w:ascii="宋体" w:hAnsi="宋体" w:cs="宋体"/>
          <w:sz w:val="24"/>
        </w:rPr>
      </w:pPr>
      <w:r>
        <w:rPr>
          <w:rFonts w:hint="eastAsia" w:ascii="宋体" w:hAnsi="宋体" w:cs="宋体"/>
          <w:sz w:val="24"/>
        </w:rPr>
        <w:t>委托代理人：</w:t>
      </w:r>
      <w:r>
        <w:rPr>
          <w:rFonts w:hint="eastAsia" w:ascii="宋体" w:hAnsi="宋体" w:cs="宋体"/>
          <w:sz w:val="24"/>
          <w:u w:val="single"/>
        </w:rPr>
        <w:t xml:space="preserve">  /       </w:t>
      </w:r>
      <w:r>
        <w:rPr>
          <w:rFonts w:hint="eastAsia" w:ascii="宋体" w:hAnsi="宋体" w:cs="宋体"/>
          <w:sz w:val="24"/>
        </w:rPr>
        <w:t xml:space="preserve">                     委托代理人：</w:t>
      </w:r>
      <w:r>
        <w:rPr>
          <w:rFonts w:hint="eastAsia" w:ascii="宋体" w:hAnsi="宋体" w:cs="宋体"/>
          <w:sz w:val="24"/>
          <w:u w:val="single"/>
        </w:rPr>
        <w:t xml:space="preserve">   /       </w:t>
      </w:r>
    </w:p>
    <w:p w14:paraId="3141C0FB">
      <w:pPr>
        <w:spacing w:line="360" w:lineRule="auto"/>
        <w:ind w:right="-624" w:rightChars="-297"/>
        <w:rPr>
          <w:rFonts w:ascii="宋体" w:hAnsi="宋体" w:cs="宋体"/>
          <w:sz w:val="24"/>
        </w:rPr>
      </w:pPr>
      <w:r>
        <w:rPr>
          <w:rFonts w:hint="eastAsia" w:ascii="宋体" w:hAnsi="宋体" w:cs="宋体"/>
          <w:sz w:val="24"/>
        </w:rPr>
        <w:t>电  话：</w:t>
      </w:r>
      <w:r>
        <w:rPr>
          <w:rFonts w:hint="eastAsia" w:ascii="宋体" w:hAnsi="宋体" w:cs="宋体"/>
          <w:sz w:val="24"/>
          <w:u w:val="single"/>
        </w:rPr>
        <w:t></w:t>
      </w:r>
      <w:bookmarkStart w:id="500" w:name="_Hlk74481252"/>
      <w:r>
        <w:rPr>
          <w:rFonts w:hint="eastAsia" w:ascii="宋体" w:hAnsi="宋体" w:cs="宋体"/>
          <w:kern w:val="0"/>
          <w:sz w:val="24"/>
          <w:u w:val="single"/>
        </w:rPr>
        <w:t xml:space="preserve">            </w:t>
      </w:r>
      <w:bookmarkEnd w:id="500"/>
      <w:r>
        <w:rPr>
          <w:rFonts w:hint="eastAsia" w:ascii="宋体" w:hAnsi="宋体" w:cs="宋体"/>
          <w:sz w:val="24"/>
          <w:u w:val="single"/>
        </w:rPr>
        <w:t xml:space="preserve">  </w:t>
      </w:r>
      <w:r>
        <w:rPr>
          <w:rFonts w:hint="eastAsia" w:ascii="宋体" w:hAnsi="宋体" w:cs="宋体"/>
          <w:sz w:val="24"/>
        </w:rPr>
        <w:t xml:space="preserve">                       电  话：</w:t>
      </w:r>
      <w:r>
        <w:rPr>
          <w:rFonts w:hint="eastAsia" w:ascii="宋体" w:hAnsi="宋体" w:cs="宋体"/>
          <w:sz w:val="24"/>
          <w:u w:val="single"/>
        </w:rPr>
        <w:t></w:t>
      </w:r>
      <w:r>
        <w:rPr>
          <w:rFonts w:hint="eastAsia" w:ascii="宋体" w:hAnsi="宋体" w:cs="宋体"/>
          <w:kern w:val="0"/>
          <w:sz w:val="24"/>
          <w:u w:val="single"/>
        </w:rPr>
        <w:t xml:space="preserve">                </w:t>
      </w:r>
      <w:r>
        <w:rPr>
          <w:rFonts w:hint="eastAsia" w:ascii="宋体" w:hAnsi="宋体" w:cs="宋体"/>
          <w:sz w:val="24"/>
          <w:u w:val="single"/>
        </w:rPr>
        <w:t xml:space="preserve">  </w:t>
      </w:r>
    </w:p>
    <w:p w14:paraId="66AEA5CB">
      <w:pPr>
        <w:spacing w:line="360" w:lineRule="auto"/>
        <w:ind w:right="-624" w:rightChars="-297"/>
        <w:rPr>
          <w:rFonts w:ascii="宋体" w:hAnsi="宋体" w:cs="宋体"/>
          <w:sz w:val="24"/>
        </w:rPr>
      </w:pPr>
      <w:r>
        <w:rPr>
          <w:rFonts w:hint="eastAsia" w:ascii="宋体" w:hAnsi="宋体" w:cs="宋体"/>
          <w:sz w:val="24"/>
        </w:rPr>
        <w:t>传  真：</w:t>
      </w:r>
      <w:r>
        <w:rPr>
          <w:rFonts w:hint="eastAsia" w:ascii="宋体" w:hAnsi="宋体" w:cs="宋体"/>
          <w:sz w:val="24"/>
          <w:u w:val="single"/>
        </w:rPr>
        <w:t xml:space="preserve">/   </w:t>
      </w:r>
      <w:r>
        <w:rPr>
          <w:rFonts w:hint="eastAsia" w:ascii="宋体" w:hAnsi="宋体" w:cs="宋体"/>
          <w:sz w:val="24"/>
        </w:rPr>
        <w:t xml:space="preserve">                     传  真：</w:t>
      </w:r>
      <w:r>
        <w:rPr>
          <w:rFonts w:hint="eastAsia" w:ascii="宋体" w:hAnsi="宋体" w:cs="宋体"/>
          <w:sz w:val="24"/>
          <w:u w:val="single"/>
        </w:rPr>
        <w:t></w:t>
      </w:r>
      <w:r>
        <w:rPr>
          <w:rFonts w:hint="eastAsia" w:ascii="宋体" w:hAnsi="宋体" w:cs="宋体"/>
          <w:kern w:val="0"/>
          <w:sz w:val="24"/>
          <w:u w:val="single"/>
        </w:rPr>
        <w:t xml:space="preserve">                </w:t>
      </w:r>
      <w:r>
        <w:rPr>
          <w:rFonts w:hint="eastAsia" w:ascii="宋体" w:hAnsi="宋体" w:cs="宋体"/>
          <w:sz w:val="24"/>
          <w:u w:val="single"/>
        </w:rPr>
        <w:t xml:space="preserve"> </w:t>
      </w:r>
    </w:p>
    <w:p w14:paraId="7DFF08A6">
      <w:pPr>
        <w:spacing w:line="360" w:lineRule="auto"/>
        <w:ind w:right="-624" w:rightChars="-297"/>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w:t>
      </w:r>
      <w:r>
        <w:rPr>
          <w:rFonts w:hint="eastAsia" w:ascii="宋体" w:hAnsi="宋体" w:cs="宋体"/>
          <w:sz w:val="24"/>
        </w:rPr>
        <w:t xml:space="preserve">                    电子信箱：</w:t>
      </w:r>
      <w:r>
        <w:rPr>
          <w:rFonts w:hint="eastAsia" w:ascii="宋体" w:hAnsi="宋体" w:cs="宋体"/>
          <w:kern w:val="0"/>
          <w:sz w:val="24"/>
          <w:u w:val="single"/>
        </w:rPr>
        <w:t xml:space="preserve">                </w:t>
      </w:r>
    </w:p>
    <w:p w14:paraId="68E82631">
      <w:pPr>
        <w:spacing w:line="360" w:lineRule="auto"/>
        <w:ind w:right="-624" w:rightChars="-297"/>
        <w:rPr>
          <w:rFonts w:ascii="宋体" w:hAnsi="宋体" w:cs="宋体"/>
          <w:sz w:val="24"/>
        </w:rPr>
      </w:pPr>
      <w:bookmarkStart w:id="501" w:name="_Hlk74481263"/>
      <w:r>
        <w:rPr>
          <w:rFonts w:hint="eastAsia" w:ascii="宋体" w:hAnsi="宋体" w:cs="宋体"/>
          <w:sz w:val="24"/>
        </w:rPr>
        <w:t>开户银行：</w:t>
      </w:r>
      <w:r>
        <w:rPr>
          <w:rFonts w:hint="eastAsia" w:ascii="宋体" w:hAnsi="宋体" w:cs="宋体"/>
          <w:sz w:val="24"/>
          <w:u w:val="single"/>
        </w:rPr>
        <w:t>工商银行景江苑支行</w:t>
      </w:r>
      <w:r>
        <w:rPr>
          <w:rFonts w:hint="eastAsia" w:ascii="宋体" w:hAnsi="宋体" w:cs="宋体"/>
          <w:sz w:val="24"/>
        </w:rPr>
        <w:t xml:space="preserve">                   开户银行：</w:t>
      </w:r>
      <w:r>
        <w:rPr>
          <w:rFonts w:hint="eastAsia" w:ascii="宋体" w:hAnsi="宋体" w:cs="宋体"/>
          <w:sz w:val="24"/>
          <w:u w:val="single"/>
        </w:rPr>
        <w:t></w:t>
      </w:r>
      <w:r>
        <w:rPr>
          <w:rFonts w:hint="eastAsia" w:ascii="宋体" w:hAnsi="宋体" w:cs="宋体"/>
          <w:kern w:val="0"/>
          <w:sz w:val="24"/>
          <w:u w:val="single"/>
        </w:rPr>
        <w:t xml:space="preserve">                </w:t>
      </w:r>
      <w:r>
        <w:rPr>
          <w:rFonts w:hint="eastAsia" w:ascii="宋体" w:hAnsi="宋体" w:cs="宋体"/>
          <w:sz w:val="24"/>
          <w:u w:val="single"/>
        </w:rPr>
        <w:t xml:space="preserve">  </w:t>
      </w:r>
    </w:p>
    <w:p w14:paraId="3FFA4783">
      <w:pPr>
        <w:spacing w:line="360" w:lineRule="auto"/>
        <w:ind w:right="-624" w:rightChars="-297"/>
        <w:rPr>
          <w:rFonts w:ascii="宋体" w:hAnsi="宋体" w:cs="宋体"/>
          <w:sz w:val="24"/>
          <w:u w:val="single"/>
        </w:rPr>
      </w:pPr>
      <w:r>
        <w:rPr>
          <w:rFonts w:hint="eastAsia" w:ascii="宋体" w:hAnsi="宋体" w:cs="宋体"/>
          <w:sz w:val="24"/>
        </w:rPr>
        <w:t>账  号：</w:t>
      </w:r>
      <w:r>
        <w:rPr>
          <w:rFonts w:hint="eastAsia" w:ascii="宋体" w:hAnsi="宋体" w:cs="宋体"/>
          <w:sz w:val="24"/>
          <w:u w:val="single"/>
        </w:rPr>
        <w:t xml:space="preserve">1202023419100001174  </w:t>
      </w:r>
      <w:r>
        <w:rPr>
          <w:rFonts w:hint="eastAsia" w:ascii="宋体" w:hAnsi="宋体" w:cs="宋体"/>
          <w:sz w:val="24"/>
        </w:rPr>
        <w:t xml:space="preserve">                  账  号：</w:t>
      </w:r>
      <w:r>
        <w:rPr>
          <w:rFonts w:hint="eastAsia" w:ascii="宋体" w:hAnsi="宋体" w:cs="宋体"/>
          <w:sz w:val="24"/>
          <w:u w:val="single"/>
        </w:rPr>
        <w:t></w:t>
      </w:r>
      <w:r>
        <w:rPr>
          <w:rFonts w:hint="eastAsia" w:ascii="宋体" w:hAnsi="宋体" w:cs="宋体"/>
          <w:kern w:val="0"/>
          <w:sz w:val="24"/>
          <w:u w:val="single"/>
        </w:rPr>
        <w:t xml:space="preserve">                </w:t>
      </w:r>
      <w:r>
        <w:rPr>
          <w:rFonts w:hint="eastAsia" w:ascii="宋体" w:hAnsi="宋体" w:cs="宋体"/>
          <w:sz w:val="24"/>
          <w:u w:val="single"/>
        </w:rPr>
        <w:t xml:space="preserve">   </w:t>
      </w:r>
    </w:p>
    <w:p w14:paraId="15EB7F1E">
      <w:pPr>
        <w:autoSpaceDE w:val="0"/>
        <w:autoSpaceDN w:val="0"/>
        <w:jc w:val="left"/>
        <w:rPr>
          <w:rFonts w:ascii="宋体" w:hAnsi="宋体" w:cs="宋体"/>
          <w:kern w:val="0"/>
          <w:sz w:val="24"/>
        </w:rPr>
      </w:pPr>
    </w:p>
    <w:p w14:paraId="073AAF81">
      <w:pPr>
        <w:spacing w:line="360" w:lineRule="auto"/>
        <w:rPr>
          <w:rFonts w:ascii="宋体" w:hAnsi="宋体" w:cs="宋体"/>
          <w:sz w:val="24"/>
        </w:rPr>
      </w:pPr>
      <w:r>
        <w:rPr>
          <w:rFonts w:hint="eastAsia" w:ascii="宋体" w:hAnsi="宋体" w:cs="宋体"/>
          <w:sz w:val="24"/>
        </w:rPr>
        <w:t>鉴证单位：</w:t>
      </w:r>
      <w:r>
        <w:rPr>
          <w:rFonts w:hint="eastAsia" w:ascii="宋体" w:hAnsi="宋体" w:cs="宋体"/>
          <w:sz w:val="24"/>
          <w:u w:val="single"/>
        </w:rPr>
        <w:t>浙江豪圣建设项目管理有限公司（盖章）</w:t>
      </w:r>
    </w:p>
    <w:p w14:paraId="4975380A">
      <w:pPr>
        <w:spacing w:line="360" w:lineRule="auto"/>
        <w:rPr>
          <w:rFonts w:ascii="宋体" w:hAnsi="宋体" w:cs="宋体"/>
          <w:sz w:val="24"/>
        </w:rPr>
      </w:pPr>
      <w:r>
        <w:rPr>
          <w:rFonts w:hint="eastAsia" w:ascii="宋体" w:hAnsi="宋体" w:cs="宋体"/>
          <w:sz w:val="24"/>
        </w:rPr>
        <w:t xml:space="preserve">委托代理人：                            日   期： </w:t>
      </w:r>
    </w:p>
    <w:p w14:paraId="520B4D48">
      <w:pPr>
        <w:spacing w:line="360" w:lineRule="auto"/>
        <w:rPr>
          <w:rFonts w:ascii="宋体" w:hAnsi="宋体" w:cs="宋体"/>
          <w:sz w:val="24"/>
        </w:rPr>
      </w:pPr>
    </w:p>
    <w:bookmarkEnd w:id="501"/>
    <w:p w14:paraId="7657E362">
      <w:pPr>
        <w:spacing w:line="360" w:lineRule="auto"/>
        <w:jc w:val="center"/>
        <w:outlineLvl w:val="1"/>
        <w:rPr>
          <w:rFonts w:ascii="宋体" w:hAnsi="宋体" w:cs="宋体"/>
          <w:b/>
          <w:sz w:val="24"/>
        </w:rPr>
      </w:pPr>
      <w:r>
        <w:rPr>
          <w:rFonts w:hint="eastAsia" w:ascii="宋体" w:hAnsi="宋体" w:cs="宋体"/>
          <w:b/>
          <w:sz w:val="24"/>
        </w:rPr>
        <w:br w:type="page"/>
      </w:r>
      <w:bookmarkStart w:id="502" w:name="_Toc22728"/>
      <w:bookmarkStart w:id="503" w:name="_Toc22109"/>
      <w:bookmarkStart w:id="504" w:name="_Toc25343"/>
      <w:bookmarkStart w:id="505" w:name="_Toc21340"/>
      <w:bookmarkStart w:id="506" w:name="_Toc31148"/>
      <w:bookmarkStart w:id="507" w:name="_Toc23858"/>
      <w:bookmarkStart w:id="508" w:name="_Toc30683"/>
      <w:bookmarkStart w:id="509" w:name="_Toc31859"/>
      <w:bookmarkStart w:id="510" w:name="_Toc31843"/>
      <w:bookmarkStart w:id="511" w:name="_Toc7177"/>
      <w:bookmarkStart w:id="512" w:name="_Toc65855222"/>
      <w:bookmarkStart w:id="513" w:name="_Toc9670"/>
      <w:bookmarkStart w:id="514" w:name="_Toc5535"/>
      <w:bookmarkStart w:id="515" w:name="_Hlk62485489"/>
      <w:r>
        <w:rPr>
          <w:rFonts w:hint="eastAsia" w:ascii="宋体" w:hAnsi="宋体" w:cs="宋体"/>
          <w:b/>
          <w:sz w:val="24"/>
        </w:rPr>
        <w:t>第二部分 通用合同条款</w:t>
      </w:r>
      <w:bookmarkEnd w:id="497"/>
      <w:r>
        <w:rPr>
          <w:rFonts w:hint="eastAsia" w:ascii="宋体" w:hAnsi="宋体" w:cs="宋体"/>
          <w:b/>
          <w:sz w:val="24"/>
        </w:rPr>
        <w:t>（略)</w:t>
      </w:r>
      <w:bookmarkEnd w:id="502"/>
      <w:bookmarkEnd w:id="503"/>
      <w:bookmarkEnd w:id="504"/>
      <w:bookmarkEnd w:id="505"/>
      <w:bookmarkEnd w:id="506"/>
      <w:bookmarkEnd w:id="507"/>
      <w:bookmarkEnd w:id="508"/>
      <w:bookmarkEnd w:id="509"/>
      <w:bookmarkEnd w:id="510"/>
      <w:bookmarkEnd w:id="511"/>
      <w:bookmarkEnd w:id="512"/>
      <w:bookmarkEnd w:id="513"/>
      <w:bookmarkEnd w:id="514"/>
    </w:p>
    <w:p w14:paraId="60A9B4EE">
      <w:pPr>
        <w:spacing w:line="360" w:lineRule="auto"/>
        <w:ind w:firstLine="480" w:firstLineChars="200"/>
        <w:jc w:val="center"/>
        <w:rPr>
          <w:rFonts w:ascii="宋体" w:hAnsi="宋体" w:cs="宋体"/>
          <w:sz w:val="24"/>
        </w:rPr>
      </w:pPr>
      <w:r>
        <w:rPr>
          <w:rFonts w:hint="eastAsia" w:ascii="宋体" w:hAnsi="宋体" w:cs="宋体"/>
          <w:sz w:val="24"/>
        </w:rPr>
        <w:t>同《建设工程施工合同》(示范文本)GF-2017-0201</w:t>
      </w:r>
    </w:p>
    <w:p w14:paraId="3626D96B">
      <w:pPr>
        <w:spacing w:line="360" w:lineRule="auto"/>
        <w:jc w:val="center"/>
        <w:outlineLvl w:val="1"/>
        <w:rPr>
          <w:rFonts w:ascii="宋体" w:hAnsi="宋体" w:cs="宋体"/>
          <w:b/>
          <w:sz w:val="24"/>
        </w:rPr>
      </w:pPr>
      <w:bookmarkStart w:id="516" w:name="_Toc351203632"/>
      <w:bookmarkStart w:id="517" w:name="_Toc2535"/>
      <w:bookmarkStart w:id="518" w:name="_Toc8688"/>
      <w:bookmarkStart w:id="519" w:name="_Toc22755"/>
      <w:bookmarkStart w:id="520" w:name="_Toc12431"/>
      <w:bookmarkStart w:id="521" w:name="_Toc6686"/>
      <w:bookmarkStart w:id="522" w:name="_Toc5929"/>
      <w:bookmarkStart w:id="523" w:name="_Toc28378"/>
      <w:bookmarkStart w:id="524" w:name="_Toc65855223"/>
      <w:bookmarkStart w:id="525" w:name="_Toc10024"/>
      <w:bookmarkStart w:id="526" w:name="_Toc4361"/>
      <w:bookmarkStart w:id="527" w:name="_Toc31887"/>
      <w:bookmarkStart w:id="528" w:name="_Toc26970"/>
      <w:bookmarkStart w:id="529" w:name="_Toc22444"/>
      <w:r>
        <w:rPr>
          <w:rFonts w:hint="eastAsia" w:ascii="宋体" w:hAnsi="宋体" w:cs="宋体"/>
          <w:b/>
          <w:sz w:val="24"/>
        </w:rPr>
        <w:t>第三部分 专用合同条款</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bookmarkEnd w:id="493"/>
    <w:bookmarkEnd w:id="515"/>
    <w:p w14:paraId="502C08A7">
      <w:pPr>
        <w:topLinePunct/>
        <w:spacing w:line="360" w:lineRule="auto"/>
        <w:ind w:firstLine="420"/>
        <w:rPr>
          <w:rFonts w:ascii="宋体" w:hAnsi="宋体" w:cs="宋体"/>
          <w:b/>
          <w:sz w:val="24"/>
        </w:rPr>
      </w:pPr>
      <w:r>
        <w:rPr>
          <w:rFonts w:hint="eastAsia" w:ascii="宋体" w:hAnsi="宋体" w:cs="宋体"/>
          <w:b/>
          <w:sz w:val="24"/>
        </w:rPr>
        <w:t>1. 一般约定</w:t>
      </w:r>
    </w:p>
    <w:p w14:paraId="6891BAE8">
      <w:pPr>
        <w:spacing w:line="360" w:lineRule="auto"/>
        <w:ind w:firstLine="480" w:firstLineChars="200"/>
        <w:rPr>
          <w:rFonts w:ascii="宋体" w:hAnsi="宋体" w:cs="宋体"/>
          <w:sz w:val="24"/>
        </w:rPr>
      </w:pPr>
      <w:r>
        <w:rPr>
          <w:rFonts w:hint="eastAsia" w:ascii="宋体" w:hAnsi="宋体" w:cs="宋体"/>
          <w:sz w:val="24"/>
        </w:rPr>
        <w:t>1.1 词语定义</w:t>
      </w:r>
    </w:p>
    <w:p w14:paraId="2F0EA1A2">
      <w:pPr>
        <w:spacing w:line="360" w:lineRule="auto"/>
        <w:ind w:firstLine="480" w:firstLineChars="200"/>
        <w:rPr>
          <w:rFonts w:ascii="宋体" w:hAnsi="宋体" w:cs="宋体"/>
          <w:sz w:val="24"/>
        </w:rPr>
      </w:pPr>
      <w:r>
        <w:rPr>
          <w:rFonts w:hint="eastAsia" w:ascii="宋体" w:hAnsi="宋体" w:cs="宋体"/>
          <w:sz w:val="24"/>
        </w:rPr>
        <w:t>1.1.1合同</w:t>
      </w:r>
    </w:p>
    <w:p w14:paraId="5D7E17AC">
      <w:pPr>
        <w:spacing w:line="360" w:lineRule="auto"/>
        <w:ind w:left="-315" w:leftChars="-150" w:firstLine="840" w:firstLineChars="350"/>
        <w:rPr>
          <w:rFonts w:ascii="宋体" w:hAnsi="宋体" w:cs="宋体"/>
          <w:sz w:val="24"/>
        </w:rPr>
      </w:pPr>
      <w:r>
        <w:rPr>
          <w:rFonts w:hint="eastAsia" w:ascii="宋体" w:hAnsi="宋体" w:cs="宋体"/>
          <w:sz w:val="24"/>
        </w:rPr>
        <w:t>1.1.1.10其他合同文件包括：</w:t>
      </w:r>
    </w:p>
    <w:p w14:paraId="1F6B6680">
      <w:pPr>
        <w:spacing w:line="360" w:lineRule="auto"/>
        <w:ind w:left="-315" w:leftChars="-150" w:firstLine="840" w:firstLineChars="350"/>
        <w:rPr>
          <w:rFonts w:ascii="宋体" w:hAnsi="宋体" w:cs="宋体"/>
          <w:sz w:val="24"/>
          <w:u w:val="single"/>
        </w:rPr>
      </w:pPr>
      <w:r>
        <w:rPr>
          <w:rFonts w:hint="eastAsia" w:ascii="宋体" w:hAnsi="宋体" w:cs="宋体"/>
          <w:sz w:val="24"/>
          <w:u w:val="single"/>
        </w:rPr>
        <w:t>施工组织设计：施工组织设计是用来指导施工项目全过程各项活动的技术、经济和组织的综合性文件。</w:t>
      </w:r>
    </w:p>
    <w:p w14:paraId="614ED396">
      <w:pPr>
        <w:spacing w:line="360" w:lineRule="auto"/>
        <w:ind w:firstLine="480" w:firstLineChars="200"/>
        <w:rPr>
          <w:rFonts w:ascii="宋体" w:hAnsi="宋体" w:cs="宋体"/>
          <w:sz w:val="24"/>
        </w:rPr>
      </w:pPr>
      <w:r>
        <w:rPr>
          <w:rFonts w:hint="eastAsia" w:ascii="宋体" w:hAnsi="宋体" w:cs="宋体"/>
          <w:sz w:val="24"/>
        </w:rPr>
        <w:t>1.1.2 合同当事人及其他相关方</w:t>
      </w:r>
    </w:p>
    <w:p w14:paraId="5C04502D">
      <w:pPr>
        <w:spacing w:line="360" w:lineRule="auto"/>
        <w:ind w:firstLine="480" w:firstLineChars="200"/>
        <w:rPr>
          <w:rFonts w:ascii="宋体" w:hAnsi="宋体" w:cs="宋体"/>
          <w:sz w:val="24"/>
        </w:rPr>
      </w:pPr>
      <w:r>
        <w:rPr>
          <w:rFonts w:hint="eastAsia" w:ascii="宋体" w:hAnsi="宋体" w:cs="宋体"/>
          <w:sz w:val="24"/>
        </w:rPr>
        <w:t>1.1.2.4监理人：</w:t>
      </w:r>
    </w:p>
    <w:p w14:paraId="001A8D9E">
      <w:pPr>
        <w:spacing w:line="360" w:lineRule="auto"/>
        <w:ind w:firstLine="480" w:firstLineChars="200"/>
        <w:rPr>
          <w:rFonts w:ascii="宋体" w:hAnsi="宋体" w:cs="宋体"/>
          <w:sz w:val="24"/>
        </w:rPr>
      </w:pPr>
      <w:r>
        <w:rPr>
          <w:rFonts w:hint="eastAsia" w:ascii="宋体" w:hAnsi="宋体" w:cs="宋体"/>
          <w:sz w:val="24"/>
        </w:rPr>
        <w:t>名    称：</w:t>
      </w:r>
      <w:r>
        <w:rPr>
          <w:rFonts w:hint="eastAsia" w:ascii="宋体" w:hAnsi="宋体" w:cs="宋体"/>
          <w:sz w:val="24"/>
          <w:u w:val="single"/>
        </w:rPr>
        <w:t xml:space="preserve">  / ；</w:t>
      </w:r>
    </w:p>
    <w:p w14:paraId="06F4C2E7">
      <w:pPr>
        <w:spacing w:line="360" w:lineRule="auto"/>
        <w:ind w:firstLine="480" w:firstLineChars="200"/>
        <w:rPr>
          <w:rFonts w:ascii="宋体" w:hAnsi="宋体" w:cs="宋体"/>
          <w:sz w:val="24"/>
        </w:rPr>
      </w:pPr>
      <w:r>
        <w:rPr>
          <w:rFonts w:hint="eastAsia" w:ascii="宋体" w:hAnsi="宋体" w:cs="宋体"/>
          <w:sz w:val="24"/>
        </w:rPr>
        <w:t>资质类别和等级：</w:t>
      </w:r>
      <w:r>
        <w:rPr>
          <w:rFonts w:hint="eastAsia" w:ascii="宋体" w:hAnsi="宋体" w:cs="宋体"/>
          <w:sz w:val="24"/>
          <w:u w:val="single"/>
        </w:rPr>
        <w:t xml:space="preserve"> /   ；</w:t>
      </w:r>
    </w:p>
    <w:p w14:paraId="0599F62E">
      <w:pPr>
        <w:spacing w:line="360" w:lineRule="auto"/>
        <w:ind w:firstLine="480" w:firstLineChars="200"/>
        <w:rPr>
          <w:rFonts w:ascii="宋体" w:hAnsi="宋体" w:cs="宋体"/>
          <w:sz w:val="24"/>
        </w:rPr>
      </w:pPr>
      <w:r>
        <w:rPr>
          <w:rFonts w:hint="eastAsia" w:ascii="宋体" w:hAnsi="宋体" w:cs="宋体"/>
          <w:sz w:val="24"/>
        </w:rPr>
        <w:t>联系电话：</w:t>
      </w:r>
      <w:r>
        <w:rPr>
          <w:rFonts w:hint="eastAsia" w:ascii="宋体" w:hAnsi="宋体" w:cs="宋体"/>
          <w:sz w:val="24"/>
          <w:u w:val="single"/>
        </w:rPr>
        <w:t xml:space="preserve">  /  ；</w:t>
      </w:r>
    </w:p>
    <w:p w14:paraId="1808ED6A">
      <w:pPr>
        <w:spacing w:line="360" w:lineRule="auto"/>
        <w:ind w:firstLine="480" w:firstLineChars="200"/>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  ；</w:t>
      </w:r>
    </w:p>
    <w:p w14:paraId="1096BE68">
      <w:pPr>
        <w:spacing w:line="360" w:lineRule="auto"/>
        <w:ind w:firstLine="480" w:firstLineChars="200"/>
        <w:rPr>
          <w:rFonts w:ascii="宋体" w:hAnsi="宋体" w:cs="宋体"/>
          <w:sz w:val="24"/>
        </w:rPr>
      </w:pPr>
      <w:r>
        <w:rPr>
          <w:rFonts w:hint="eastAsia" w:ascii="宋体" w:hAnsi="宋体" w:cs="宋体"/>
          <w:sz w:val="24"/>
        </w:rPr>
        <w:t>通信地址：</w:t>
      </w:r>
      <w:r>
        <w:rPr>
          <w:rFonts w:hint="eastAsia" w:ascii="宋体" w:hAnsi="宋体" w:cs="宋体"/>
          <w:sz w:val="24"/>
          <w:u w:val="single"/>
        </w:rPr>
        <w:t xml:space="preserve">  /  ；</w:t>
      </w:r>
    </w:p>
    <w:p w14:paraId="232DC7F8">
      <w:pPr>
        <w:spacing w:line="360" w:lineRule="auto"/>
        <w:ind w:firstLine="480" w:firstLineChars="200"/>
        <w:rPr>
          <w:rFonts w:ascii="宋体" w:hAnsi="宋体" w:cs="宋体"/>
          <w:sz w:val="24"/>
        </w:rPr>
      </w:pPr>
      <w:r>
        <w:rPr>
          <w:rFonts w:hint="eastAsia" w:ascii="宋体" w:hAnsi="宋体" w:cs="宋体"/>
          <w:sz w:val="24"/>
        </w:rPr>
        <w:t>1.1.2.5 设计人：</w:t>
      </w:r>
    </w:p>
    <w:p w14:paraId="779437EB">
      <w:pPr>
        <w:spacing w:line="360" w:lineRule="auto"/>
        <w:ind w:firstLine="480" w:firstLineChars="200"/>
        <w:rPr>
          <w:rFonts w:ascii="宋体" w:hAnsi="宋体" w:cs="宋体"/>
          <w:sz w:val="24"/>
        </w:rPr>
      </w:pPr>
      <w:r>
        <w:rPr>
          <w:rFonts w:hint="eastAsia" w:ascii="宋体" w:hAnsi="宋体" w:cs="宋体"/>
          <w:sz w:val="24"/>
        </w:rPr>
        <w:t>名    称：</w:t>
      </w:r>
      <w:r>
        <w:rPr>
          <w:rFonts w:hint="eastAsia" w:ascii="宋体" w:hAnsi="宋体" w:cs="宋体"/>
          <w:sz w:val="24"/>
          <w:u w:val="single"/>
        </w:rPr>
        <w:t>/；</w:t>
      </w:r>
    </w:p>
    <w:p w14:paraId="22EB56F3">
      <w:pPr>
        <w:spacing w:line="360" w:lineRule="auto"/>
        <w:ind w:firstLine="480" w:firstLineChars="200"/>
        <w:rPr>
          <w:rFonts w:ascii="宋体" w:hAnsi="宋体" w:cs="宋体"/>
          <w:sz w:val="24"/>
        </w:rPr>
      </w:pPr>
      <w:r>
        <w:rPr>
          <w:rFonts w:hint="eastAsia" w:ascii="宋体" w:hAnsi="宋体" w:cs="宋体"/>
          <w:sz w:val="24"/>
        </w:rPr>
        <w:t>资质类别和等级：</w:t>
      </w:r>
      <w:r>
        <w:rPr>
          <w:rFonts w:hint="eastAsia" w:ascii="宋体" w:hAnsi="宋体" w:cs="宋体"/>
          <w:sz w:val="24"/>
          <w:u w:val="single"/>
        </w:rPr>
        <w:t>/；</w:t>
      </w:r>
    </w:p>
    <w:p w14:paraId="4677089E">
      <w:pPr>
        <w:spacing w:line="360" w:lineRule="auto"/>
        <w:ind w:firstLine="480" w:firstLineChars="200"/>
        <w:rPr>
          <w:rFonts w:ascii="宋体" w:hAnsi="宋体" w:cs="宋体"/>
          <w:sz w:val="24"/>
        </w:rPr>
      </w:pPr>
      <w:r>
        <w:rPr>
          <w:rFonts w:hint="eastAsia" w:ascii="宋体" w:hAnsi="宋体" w:cs="宋体"/>
          <w:sz w:val="24"/>
        </w:rPr>
        <w:t>联系电话：</w:t>
      </w:r>
      <w:r>
        <w:rPr>
          <w:rFonts w:hint="eastAsia" w:ascii="宋体" w:hAnsi="宋体" w:cs="宋体"/>
          <w:sz w:val="24"/>
          <w:u w:val="single"/>
        </w:rPr>
        <w:t>/；</w:t>
      </w:r>
    </w:p>
    <w:p w14:paraId="17F73C26">
      <w:pPr>
        <w:spacing w:line="360" w:lineRule="auto"/>
        <w:ind w:firstLine="480" w:firstLineChars="200"/>
        <w:rPr>
          <w:rFonts w:ascii="宋体" w:hAnsi="宋体" w:cs="宋体"/>
          <w:sz w:val="24"/>
        </w:rPr>
      </w:pPr>
      <w:r>
        <w:rPr>
          <w:rFonts w:hint="eastAsia" w:ascii="宋体" w:hAnsi="宋体" w:cs="宋体"/>
          <w:sz w:val="24"/>
        </w:rPr>
        <w:t>电子信箱：</w:t>
      </w:r>
      <w:r>
        <w:rPr>
          <w:rFonts w:hint="eastAsia" w:ascii="宋体" w:hAnsi="宋体" w:cs="宋体"/>
          <w:sz w:val="24"/>
          <w:u w:val="single"/>
        </w:rPr>
        <w:t>/；</w:t>
      </w:r>
    </w:p>
    <w:p w14:paraId="3D4F198F">
      <w:pPr>
        <w:spacing w:line="360" w:lineRule="auto"/>
        <w:ind w:firstLine="480" w:firstLineChars="200"/>
        <w:rPr>
          <w:rFonts w:ascii="宋体" w:hAnsi="宋体" w:cs="宋体"/>
          <w:sz w:val="24"/>
        </w:rPr>
      </w:pPr>
      <w:r>
        <w:rPr>
          <w:rFonts w:hint="eastAsia" w:ascii="宋体" w:hAnsi="宋体" w:cs="宋体"/>
          <w:sz w:val="24"/>
        </w:rPr>
        <w:t>通信地址：</w:t>
      </w:r>
      <w:r>
        <w:rPr>
          <w:rFonts w:hint="eastAsia" w:ascii="宋体" w:hAnsi="宋体" w:cs="宋体"/>
          <w:sz w:val="24"/>
          <w:u w:val="single"/>
        </w:rPr>
        <w:t>/；</w:t>
      </w:r>
    </w:p>
    <w:p w14:paraId="1371AA7A">
      <w:pPr>
        <w:spacing w:line="360" w:lineRule="auto"/>
        <w:ind w:firstLine="480" w:firstLineChars="200"/>
        <w:rPr>
          <w:rFonts w:ascii="宋体" w:hAnsi="宋体" w:cs="宋体"/>
          <w:sz w:val="24"/>
        </w:rPr>
      </w:pPr>
      <w:r>
        <w:rPr>
          <w:rFonts w:hint="eastAsia" w:ascii="宋体" w:hAnsi="宋体" w:cs="宋体"/>
          <w:sz w:val="24"/>
        </w:rPr>
        <w:t>1.1.3 工程和设备</w:t>
      </w:r>
    </w:p>
    <w:p w14:paraId="5B1BD5D7">
      <w:pPr>
        <w:spacing w:line="360" w:lineRule="auto"/>
        <w:ind w:firstLine="480" w:firstLineChars="200"/>
        <w:rPr>
          <w:rFonts w:ascii="宋体" w:hAnsi="宋体" w:cs="宋体"/>
          <w:sz w:val="24"/>
        </w:rPr>
      </w:pPr>
      <w:r>
        <w:rPr>
          <w:rFonts w:hint="eastAsia" w:ascii="宋体" w:hAnsi="宋体" w:cs="宋体"/>
          <w:sz w:val="24"/>
        </w:rPr>
        <w:t>1.1.3.7 作为施工现场组成部分的其他场所包括：</w:t>
      </w:r>
      <w:r>
        <w:rPr>
          <w:rFonts w:hint="eastAsia" w:ascii="宋体" w:hAnsi="宋体" w:cs="宋体"/>
          <w:sz w:val="24"/>
          <w:u w:val="single"/>
        </w:rPr>
        <w:t>/。</w:t>
      </w:r>
    </w:p>
    <w:p w14:paraId="1C4C13A7">
      <w:pPr>
        <w:spacing w:line="360" w:lineRule="auto"/>
        <w:ind w:firstLine="480" w:firstLineChars="200"/>
        <w:rPr>
          <w:rFonts w:ascii="宋体" w:hAnsi="宋体" w:cs="宋体"/>
          <w:kern w:val="0"/>
          <w:sz w:val="24"/>
        </w:rPr>
      </w:pPr>
      <w:r>
        <w:rPr>
          <w:rFonts w:hint="eastAsia" w:ascii="宋体" w:hAnsi="宋体" w:cs="宋体"/>
          <w:sz w:val="24"/>
        </w:rPr>
        <w:t>1.1.3.9 永久占地包括：</w:t>
      </w:r>
      <w:r>
        <w:rPr>
          <w:rFonts w:hint="eastAsia" w:ascii="宋体" w:hAnsi="宋体" w:cs="宋体"/>
          <w:sz w:val="24"/>
          <w:u w:val="single"/>
        </w:rPr>
        <w:t>/。</w:t>
      </w:r>
    </w:p>
    <w:p w14:paraId="6AD5EAA1">
      <w:pPr>
        <w:spacing w:line="360" w:lineRule="auto"/>
        <w:ind w:firstLine="480" w:firstLineChars="200"/>
        <w:rPr>
          <w:rFonts w:ascii="宋体" w:hAnsi="宋体" w:cs="宋体"/>
          <w:sz w:val="24"/>
          <w:u w:val="single"/>
        </w:rPr>
      </w:pPr>
      <w:r>
        <w:rPr>
          <w:rFonts w:hint="eastAsia" w:ascii="宋体" w:hAnsi="宋体" w:cs="宋体"/>
          <w:sz w:val="24"/>
        </w:rPr>
        <w:t>1.1.3.10 临时占地包括：</w:t>
      </w:r>
      <w:r>
        <w:rPr>
          <w:rFonts w:hint="eastAsia" w:ascii="宋体" w:hAnsi="宋体" w:cs="宋体"/>
          <w:sz w:val="24"/>
          <w:u w:val="single"/>
        </w:rPr>
        <w:t xml:space="preserve"> /。</w:t>
      </w:r>
    </w:p>
    <w:p w14:paraId="056AE832">
      <w:pPr>
        <w:spacing w:line="360" w:lineRule="auto"/>
        <w:ind w:firstLine="480" w:firstLineChars="200"/>
        <w:rPr>
          <w:rFonts w:ascii="宋体" w:hAnsi="宋体" w:cs="宋体"/>
          <w:sz w:val="24"/>
        </w:rPr>
      </w:pPr>
      <w:r>
        <w:rPr>
          <w:rFonts w:hint="eastAsia" w:ascii="宋体" w:hAnsi="宋体" w:cs="宋体"/>
          <w:sz w:val="24"/>
        </w:rPr>
        <w:t xml:space="preserve">1.3法律 </w:t>
      </w:r>
    </w:p>
    <w:p w14:paraId="276FA90F">
      <w:pPr>
        <w:autoSpaceDE w:val="0"/>
        <w:autoSpaceDN w:val="0"/>
        <w:spacing w:line="360" w:lineRule="auto"/>
        <w:ind w:firstLine="480" w:firstLineChars="200"/>
        <w:rPr>
          <w:rFonts w:ascii="宋体" w:hAnsi="宋体" w:cs="宋体"/>
          <w:sz w:val="24"/>
        </w:rPr>
      </w:pPr>
      <w:r>
        <w:rPr>
          <w:rFonts w:hint="eastAsia" w:ascii="宋体" w:hAnsi="宋体" w:cs="宋体"/>
          <w:sz w:val="24"/>
        </w:rPr>
        <w:t>适用于合同的其他规范性文件：</w:t>
      </w:r>
    </w:p>
    <w:p w14:paraId="462E6921">
      <w:pPr>
        <w:autoSpaceDE w:val="0"/>
        <w:autoSpaceDN w:val="0"/>
        <w:snapToGrid w:val="0"/>
        <w:spacing w:line="360" w:lineRule="auto"/>
        <w:ind w:firstLine="480" w:firstLineChars="200"/>
        <w:rPr>
          <w:rFonts w:ascii="宋体" w:hAnsi="宋体" w:cs="宋体"/>
          <w:sz w:val="24"/>
        </w:rPr>
      </w:pPr>
      <w:r>
        <w:rPr>
          <w:rFonts w:hint="eastAsia" w:ascii="宋体" w:hAnsi="宋体" w:cs="宋体"/>
          <w:sz w:val="24"/>
          <w:u w:val="single"/>
        </w:rPr>
        <w:t>（1）《杭州市建设工程工程量清单计价实施细则》</w:t>
      </w:r>
    </w:p>
    <w:p w14:paraId="56ED6B4C">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sz w:val="24"/>
          <w:u w:val="single"/>
        </w:rPr>
        <w:t>（2）《关于进一步加强建筑施工领域企业安全生产工作的实施意见》的通知（杭建工发〔2011〕130号）</w:t>
      </w:r>
    </w:p>
    <w:p w14:paraId="34B15C22">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sz w:val="24"/>
          <w:u w:val="single"/>
        </w:rPr>
        <w:t>（3）《关于进一步加强建设工程安全质量物联网管理应用平台建设的通知》（</w:t>
      </w:r>
      <w:r>
        <w:rPr>
          <w:rFonts w:hint="eastAsia" w:ascii="宋体" w:hAnsi="宋体" w:cs="宋体"/>
          <w:kern w:val="0"/>
          <w:sz w:val="24"/>
          <w:u w:val="single"/>
        </w:rPr>
        <w:t>杭建工发【2012】426号）</w:t>
      </w:r>
    </w:p>
    <w:p w14:paraId="7B5AD22A">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（4）《杭州市人民政府办公厅关于印发杭州市建设工程推广应用预拌砂浆管理办法的通知》（杭政办函（2011）32号）</w:t>
      </w:r>
    </w:p>
    <w:p w14:paraId="55D7BA29">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sz w:val="24"/>
          <w:u w:val="single"/>
        </w:rPr>
        <w:t>（5）</w:t>
      </w:r>
      <w:r>
        <w:rPr>
          <w:rFonts w:hint="eastAsia" w:ascii="宋体" w:hAnsi="宋体" w:cs="宋体"/>
          <w:kern w:val="0"/>
          <w:sz w:val="24"/>
          <w:u w:val="single"/>
        </w:rPr>
        <w:t>《关于落实建筑工棚安装空调事宜的通知》（</w:t>
      </w:r>
      <w:r>
        <w:rPr>
          <w:rFonts w:hint="eastAsia" w:ascii="宋体" w:hAnsi="宋体" w:cs="宋体"/>
          <w:sz w:val="24"/>
          <w:u w:val="single"/>
        </w:rPr>
        <w:t>杭建工发【2011】237号）</w:t>
      </w:r>
    </w:p>
    <w:p w14:paraId="5D5B0E22">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sz w:val="24"/>
          <w:u w:val="single"/>
        </w:rPr>
        <w:t>（6</w:t>
      </w:r>
      <w:r>
        <w:rPr>
          <w:rFonts w:hint="eastAsia" w:ascii="宋体" w:hAnsi="宋体" w:cs="宋体"/>
          <w:kern w:val="0"/>
          <w:sz w:val="24"/>
          <w:u w:val="single"/>
        </w:rPr>
        <w:t>）《关于进一步加强杭州市建设工程市场要素价格动态管理的指导意见》（杭建市【2018】579号）</w:t>
      </w:r>
    </w:p>
    <w:p w14:paraId="71D256F6">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（7）《关于贯彻执行浙江省建设工程计价依据（2018版）的通知》（杭建市【2018】164号）</w:t>
      </w:r>
    </w:p>
    <w:p w14:paraId="38A45F30">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（8）其他：省、市、区行政主管部门颁发的其他规范性文件。</w:t>
      </w:r>
    </w:p>
    <w:p w14:paraId="430304EB">
      <w:pPr>
        <w:spacing w:line="360" w:lineRule="auto"/>
        <w:ind w:firstLine="480" w:firstLineChars="200"/>
        <w:rPr>
          <w:rFonts w:ascii="宋体" w:hAnsi="宋体" w:cs="宋体"/>
          <w:sz w:val="24"/>
        </w:rPr>
      </w:pPr>
      <w:r>
        <w:rPr>
          <w:rFonts w:hint="eastAsia" w:ascii="宋体" w:hAnsi="宋体" w:cs="宋体"/>
          <w:sz w:val="24"/>
        </w:rPr>
        <w:t>1.4 标准和规范</w:t>
      </w:r>
    </w:p>
    <w:p w14:paraId="7624F49D">
      <w:pPr>
        <w:spacing w:line="360" w:lineRule="auto"/>
        <w:ind w:firstLine="480" w:firstLineChars="200"/>
        <w:rPr>
          <w:rFonts w:ascii="宋体" w:hAnsi="宋体" w:cs="宋体"/>
          <w:sz w:val="24"/>
        </w:rPr>
      </w:pPr>
      <w:r>
        <w:rPr>
          <w:rFonts w:hint="eastAsia" w:ascii="宋体" w:hAnsi="宋体" w:cs="宋体"/>
          <w:sz w:val="24"/>
        </w:rPr>
        <w:t>1.4.1适用于工程的标准规范包括：</w:t>
      </w:r>
      <w:r>
        <w:rPr>
          <w:rFonts w:hint="eastAsia" w:ascii="宋体" w:hAnsi="宋体" w:cs="宋体"/>
          <w:sz w:val="24"/>
          <w:u w:val="single"/>
        </w:rPr>
        <w:t>按通用条款约定；</w:t>
      </w:r>
    </w:p>
    <w:p w14:paraId="32F70DD9">
      <w:pPr>
        <w:spacing w:line="360" w:lineRule="auto"/>
        <w:ind w:firstLine="480" w:firstLineChars="200"/>
        <w:rPr>
          <w:rFonts w:ascii="宋体" w:hAnsi="宋体" w:cs="宋体"/>
          <w:sz w:val="24"/>
          <w:u w:val="single"/>
        </w:rPr>
      </w:pPr>
      <w:r>
        <w:rPr>
          <w:rFonts w:hint="eastAsia" w:ascii="宋体" w:hAnsi="宋体" w:cs="宋体"/>
          <w:sz w:val="24"/>
        </w:rPr>
        <w:t xml:space="preserve">1.4.2 发包人提供国外标准、规范的名称： </w:t>
      </w:r>
      <w:r>
        <w:rPr>
          <w:rFonts w:hint="eastAsia" w:ascii="宋体" w:hAnsi="宋体" w:cs="宋体"/>
          <w:sz w:val="24"/>
          <w:u w:val="single"/>
        </w:rPr>
        <w:t xml:space="preserve"> /；</w:t>
      </w:r>
    </w:p>
    <w:p w14:paraId="6B8A40C3">
      <w:pPr>
        <w:spacing w:line="360" w:lineRule="auto"/>
        <w:ind w:firstLine="480" w:firstLineChars="200"/>
        <w:rPr>
          <w:rFonts w:ascii="宋体" w:hAnsi="宋体" w:cs="宋体"/>
          <w:kern w:val="0"/>
          <w:sz w:val="24"/>
        </w:rPr>
      </w:pPr>
      <w:r>
        <w:rPr>
          <w:rFonts w:hint="eastAsia" w:ascii="宋体" w:hAnsi="宋体" w:cs="宋体"/>
          <w:sz w:val="24"/>
        </w:rPr>
        <w:t>发包人提供国外标准、规范的份数：</w:t>
      </w:r>
      <w:r>
        <w:rPr>
          <w:rFonts w:hint="eastAsia" w:ascii="宋体" w:hAnsi="宋体" w:cs="宋体"/>
          <w:sz w:val="24"/>
          <w:u w:val="single"/>
        </w:rPr>
        <w:t>/；</w:t>
      </w:r>
    </w:p>
    <w:p w14:paraId="3577F3D4">
      <w:pPr>
        <w:spacing w:line="360" w:lineRule="auto"/>
        <w:ind w:firstLine="480" w:firstLineChars="200"/>
        <w:rPr>
          <w:rFonts w:ascii="宋体" w:hAnsi="宋体" w:cs="宋体"/>
          <w:sz w:val="24"/>
        </w:rPr>
      </w:pPr>
      <w:r>
        <w:rPr>
          <w:rFonts w:hint="eastAsia" w:ascii="宋体" w:hAnsi="宋体" w:cs="宋体"/>
          <w:sz w:val="24"/>
        </w:rPr>
        <w:t>发包人提供国外标准、规范的名称：</w:t>
      </w:r>
      <w:r>
        <w:rPr>
          <w:rFonts w:hint="eastAsia" w:ascii="宋体" w:hAnsi="宋体" w:cs="宋体"/>
          <w:sz w:val="24"/>
          <w:u w:val="single"/>
        </w:rPr>
        <w:t xml:space="preserve"> /。</w:t>
      </w:r>
    </w:p>
    <w:p w14:paraId="13267032">
      <w:pPr>
        <w:spacing w:line="360" w:lineRule="auto"/>
        <w:ind w:firstLine="480" w:firstLineChars="200"/>
        <w:rPr>
          <w:rFonts w:ascii="宋体" w:hAnsi="宋体" w:cs="宋体"/>
          <w:sz w:val="24"/>
        </w:rPr>
      </w:pPr>
      <w:r>
        <w:rPr>
          <w:rFonts w:hint="eastAsia" w:ascii="宋体" w:hAnsi="宋体" w:cs="宋体"/>
          <w:sz w:val="24"/>
        </w:rPr>
        <w:t>1.4.3发包人对工程的技术标准和功能要求的特殊要求：</w:t>
      </w:r>
      <w:r>
        <w:rPr>
          <w:rFonts w:hint="eastAsia" w:ascii="宋体" w:hAnsi="宋体" w:cs="宋体"/>
          <w:sz w:val="24"/>
          <w:u w:val="single"/>
        </w:rPr>
        <w:t>详见设计文件和招标技术要求。</w:t>
      </w:r>
    </w:p>
    <w:p w14:paraId="0CC36175">
      <w:pPr>
        <w:spacing w:line="360" w:lineRule="auto"/>
        <w:ind w:firstLine="480" w:firstLineChars="200"/>
        <w:rPr>
          <w:rFonts w:ascii="宋体" w:hAnsi="宋体" w:cs="宋体"/>
          <w:sz w:val="24"/>
        </w:rPr>
      </w:pPr>
      <w:r>
        <w:rPr>
          <w:rFonts w:hint="eastAsia" w:ascii="宋体" w:hAnsi="宋体" w:cs="宋体"/>
          <w:sz w:val="24"/>
        </w:rPr>
        <w:t>1.5 合同文件的优先顺序</w:t>
      </w:r>
    </w:p>
    <w:p w14:paraId="4D3ABCF4">
      <w:pPr>
        <w:spacing w:line="360" w:lineRule="auto"/>
        <w:ind w:firstLine="480" w:firstLineChars="200"/>
        <w:rPr>
          <w:rFonts w:ascii="宋体" w:hAnsi="宋体" w:cs="宋体"/>
          <w:sz w:val="24"/>
          <w:u w:val="single"/>
        </w:rPr>
      </w:pPr>
      <w:r>
        <w:rPr>
          <w:rFonts w:hint="eastAsia" w:ascii="宋体" w:hAnsi="宋体" w:cs="宋体"/>
          <w:sz w:val="24"/>
        </w:rPr>
        <w:t>合同文件组成及优先顺序为：</w:t>
      </w:r>
      <w:r>
        <w:rPr>
          <w:rFonts w:hint="eastAsia" w:ascii="宋体" w:hAnsi="宋体" w:cs="宋体"/>
          <w:sz w:val="24"/>
          <w:u w:val="single"/>
        </w:rPr>
        <w:t>（1）合同协议书；（2）专用合同条款及附件；（3）成交通知书；（4）投标函及附录；（5）询标纪要；（6）磋商文件及其补充文件（含工程量清单及招标控制价）；（7）除投标函及附录外的其他响应文件；（8）技术标准及要求；（9）图纸（如有）；（10）合同通用条款；（11）已标价的工程量清单；（12）其他合同文件。</w:t>
      </w:r>
    </w:p>
    <w:p w14:paraId="069673B9">
      <w:pPr>
        <w:spacing w:line="360" w:lineRule="auto"/>
        <w:ind w:firstLine="480" w:firstLineChars="200"/>
        <w:rPr>
          <w:rFonts w:ascii="宋体" w:hAnsi="宋体" w:cs="宋体"/>
          <w:sz w:val="24"/>
        </w:rPr>
      </w:pPr>
      <w:r>
        <w:rPr>
          <w:rFonts w:hint="eastAsia" w:ascii="宋体" w:hAnsi="宋体" w:cs="宋体"/>
          <w:sz w:val="24"/>
        </w:rPr>
        <w:t>1.6 图纸和承包人文件</w:t>
      </w:r>
    </w:p>
    <w:p w14:paraId="692D82F0">
      <w:pPr>
        <w:spacing w:line="360" w:lineRule="auto"/>
        <w:ind w:firstLine="480" w:firstLineChars="200"/>
        <w:rPr>
          <w:rFonts w:ascii="宋体" w:hAnsi="宋体" w:cs="宋体"/>
          <w:sz w:val="24"/>
        </w:rPr>
      </w:pPr>
      <w:r>
        <w:rPr>
          <w:rFonts w:hint="eastAsia" w:ascii="宋体" w:hAnsi="宋体" w:cs="宋体"/>
          <w:sz w:val="24"/>
        </w:rPr>
        <w:t>1.6.1 图纸的提供</w:t>
      </w:r>
    </w:p>
    <w:p w14:paraId="538DA94C">
      <w:pPr>
        <w:spacing w:line="360" w:lineRule="auto"/>
        <w:ind w:firstLine="480" w:firstLineChars="200"/>
        <w:rPr>
          <w:rFonts w:ascii="宋体" w:hAnsi="宋体" w:cs="宋体"/>
          <w:sz w:val="24"/>
        </w:rPr>
      </w:pPr>
      <w:r>
        <w:rPr>
          <w:rFonts w:hint="eastAsia" w:ascii="宋体" w:hAnsi="宋体" w:cs="宋体"/>
          <w:sz w:val="24"/>
        </w:rPr>
        <w:t>发包人向承包人提供图纸的期限：</w:t>
      </w:r>
      <w:r>
        <w:rPr>
          <w:rFonts w:hint="eastAsia" w:ascii="宋体" w:hAnsi="宋体" w:cs="宋体"/>
          <w:sz w:val="24"/>
          <w:u w:val="single"/>
        </w:rPr>
        <w:t>本合同签订后7天内；</w:t>
      </w:r>
    </w:p>
    <w:p w14:paraId="6E82CFB7">
      <w:pPr>
        <w:spacing w:line="360" w:lineRule="auto"/>
        <w:ind w:firstLine="480" w:firstLineChars="200"/>
        <w:rPr>
          <w:rFonts w:ascii="宋体" w:hAnsi="宋体" w:cs="宋体"/>
          <w:sz w:val="24"/>
        </w:rPr>
      </w:pPr>
      <w:r>
        <w:rPr>
          <w:rFonts w:hint="eastAsia" w:ascii="宋体" w:hAnsi="宋体" w:cs="宋体"/>
          <w:sz w:val="24"/>
        </w:rPr>
        <w:t>发包人向承包人提供图纸的数量：</w:t>
      </w:r>
      <w:r>
        <w:rPr>
          <w:rFonts w:hint="eastAsia" w:ascii="宋体" w:hAnsi="宋体" w:cs="宋体"/>
          <w:sz w:val="24"/>
          <w:u w:val="single"/>
        </w:rPr>
        <w:t>陆套（包括制作竣工图的原始施工图），如承包人额外需要提供施工图纸的，则额外增加的施工图纸的制作费由承包人承担；</w:t>
      </w:r>
    </w:p>
    <w:p w14:paraId="2EC73591">
      <w:pPr>
        <w:spacing w:line="360" w:lineRule="auto"/>
        <w:ind w:firstLine="480" w:firstLineChars="200"/>
        <w:rPr>
          <w:rFonts w:ascii="宋体" w:hAnsi="宋体" w:cs="宋体"/>
          <w:sz w:val="24"/>
        </w:rPr>
      </w:pPr>
      <w:r>
        <w:rPr>
          <w:rFonts w:hint="eastAsia" w:ascii="宋体" w:hAnsi="宋体" w:cs="宋体"/>
          <w:sz w:val="24"/>
        </w:rPr>
        <w:t>发包人向承包人提供图纸的内容：</w:t>
      </w:r>
      <w:r>
        <w:rPr>
          <w:rFonts w:hint="eastAsia" w:ascii="宋体" w:hAnsi="宋体" w:cs="宋体"/>
          <w:sz w:val="24"/>
          <w:u w:val="single"/>
        </w:rPr>
        <w:t>施工图（详见签收表）。</w:t>
      </w:r>
    </w:p>
    <w:p w14:paraId="62245489">
      <w:pPr>
        <w:spacing w:line="360" w:lineRule="auto"/>
        <w:ind w:firstLine="480" w:firstLineChars="200"/>
        <w:rPr>
          <w:rFonts w:ascii="宋体" w:hAnsi="宋体" w:cs="宋体"/>
          <w:sz w:val="24"/>
        </w:rPr>
      </w:pPr>
      <w:r>
        <w:rPr>
          <w:rFonts w:hint="eastAsia" w:ascii="宋体" w:hAnsi="宋体" w:cs="宋体"/>
          <w:sz w:val="24"/>
        </w:rPr>
        <w:t>1.6.4 承包人文件</w:t>
      </w:r>
    </w:p>
    <w:p w14:paraId="1802FD2E">
      <w:pPr>
        <w:tabs>
          <w:tab w:val="left" w:pos="4680"/>
        </w:tabs>
        <w:spacing w:line="360" w:lineRule="auto"/>
        <w:ind w:firstLine="480" w:firstLineChars="200"/>
        <w:rPr>
          <w:rFonts w:ascii="宋体" w:hAnsi="宋体" w:cs="宋体"/>
          <w:sz w:val="24"/>
          <w:u w:val="single"/>
        </w:rPr>
      </w:pPr>
      <w:r>
        <w:rPr>
          <w:rFonts w:hint="eastAsia" w:ascii="宋体" w:hAnsi="宋体" w:cs="宋体"/>
          <w:sz w:val="24"/>
        </w:rPr>
        <w:t>需要由承包人提供的文件，包括：</w:t>
      </w:r>
      <w:r>
        <w:rPr>
          <w:rFonts w:hint="eastAsia" w:ascii="宋体" w:hAnsi="宋体" w:cs="宋体"/>
          <w:sz w:val="24"/>
          <w:u w:val="single"/>
        </w:rPr>
        <w:t>施工组织设计、进度计划、发包人和政府规定要求必须提供的其他文件。</w:t>
      </w:r>
    </w:p>
    <w:p w14:paraId="559850A7">
      <w:pPr>
        <w:spacing w:line="360" w:lineRule="auto"/>
        <w:ind w:firstLine="480" w:firstLineChars="200"/>
        <w:rPr>
          <w:rFonts w:ascii="宋体" w:hAnsi="宋体" w:cs="宋体"/>
          <w:sz w:val="24"/>
        </w:rPr>
      </w:pPr>
      <w:r>
        <w:rPr>
          <w:rFonts w:hint="eastAsia" w:ascii="宋体" w:hAnsi="宋体" w:cs="宋体"/>
          <w:sz w:val="24"/>
        </w:rPr>
        <w:t>承包人提供的文件的期限为：</w:t>
      </w:r>
      <w:r>
        <w:rPr>
          <w:rFonts w:hint="eastAsia" w:ascii="宋体" w:hAnsi="宋体" w:cs="宋体"/>
          <w:sz w:val="24"/>
          <w:u w:val="single"/>
        </w:rPr>
        <w:t>发包人提出要求后3天内。</w:t>
      </w:r>
    </w:p>
    <w:p w14:paraId="2E6DFA8C">
      <w:pPr>
        <w:spacing w:line="360" w:lineRule="auto"/>
        <w:ind w:firstLine="480" w:firstLineChars="200"/>
        <w:rPr>
          <w:rFonts w:ascii="宋体" w:hAnsi="宋体" w:cs="宋体"/>
          <w:sz w:val="24"/>
        </w:rPr>
      </w:pPr>
      <w:r>
        <w:rPr>
          <w:rFonts w:hint="eastAsia" w:ascii="宋体" w:hAnsi="宋体" w:cs="宋体"/>
          <w:sz w:val="24"/>
        </w:rPr>
        <w:t>承包人提供的文件的数量为：</w:t>
      </w:r>
      <w:r>
        <w:rPr>
          <w:rFonts w:hint="eastAsia" w:ascii="宋体" w:hAnsi="宋体" w:cs="宋体"/>
          <w:sz w:val="24"/>
          <w:u w:val="single"/>
        </w:rPr>
        <w:t>双方协商确定；</w:t>
      </w:r>
    </w:p>
    <w:p w14:paraId="7CE2BB5E">
      <w:pPr>
        <w:spacing w:line="360" w:lineRule="auto"/>
        <w:ind w:firstLine="480" w:firstLineChars="200"/>
        <w:rPr>
          <w:rFonts w:ascii="宋体" w:hAnsi="宋体" w:cs="宋体"/>
          <w:sz w:val="24"/>
        </w:rPr>
      </w:pPr>
      <w:r>
        <w:rPr>
          <w:rFonts w:hint="eastAsia" w:ascii="宋体" w:hAnsi="宋体" w:cs="宋体"/>
          <w:sz w:val="24"/>
        </w:rPr>
        <w:t>承包人提供的文件的形式为：</w:t>
      </w:r>
      <w:r>
        <w:rPr>
          <w:rFonts w:hint="eastAsia" w:ascii="宋体" w:hAnsi="宋体" w:cs="宋体"/>
          <w:sz w:val="24"/>
          <w:u w:val="single"/>
        </w:rPr>
        <w:t>按发包人要求；</w:t>
      </w:r>
    </w:p>
    <w:p w14:paraId="7EF36305">
      <w:pPr>
        <w:spacing w:line="360" w:lineRule="auto"/>
        <w:ind w:firstLine="480" w:firstLineChars="200"/>
        <w:rPr>
          <w:rFonts w:ascii="宋体" w:hAnsi="宋体" w:cs="宋体"/>
          <w:sz w:val="24"/>
        </w:rPr>
      </w:pPr>
      <w:r>
        <w:rPr>
          <w:rFonts w:hint="eastAsia" w:ascii="宋体" w:hAnsi="宋体" w:cs="宋体"/>
          <w:sz w:val="24"/>
        </w:rPr>
        <w:t>发包人审批承包人文件的期限：</w:t>
      </w:r>
      <w:r>
        <w:rPr>
          <w:rFonts w:hint="eastAsia" w:ascii="宋体" w:hAnsi="宋体" w:cs="宋体"/>
          <w:sz w:val="24"/>
          <w:u w:val="single"/>
        </w:rPr>
        <w:t xml:space="preserve"> 收到后7天内。</w:t>
      </w:r>
    </w:p>
    <w:p w14:paraId="28F0FF70">
      <w:pPr>
        <w:spacing w:line="360" w:lineRule="auto"/>
        <w:ind w:firstLine="480" w:firstLineChars="200"/>
        <w:rPr>
          <w:rFonts w:ascii="宋体" w:hAnsi="宋体" w:cs="宋体"/>
          <w:sz w:val="24"/>
        </w:rPr>
      </w:pPr>
      <w:r>
        <w:rPr>
          <w:rFonts w:hint="eastAsia" w:ascii="宋体" w:hAnsi="宋体" w:cs="宋体"/>
          <w:sz w:val="24"/>
        </w:rPr>
        <w:t>1.6.5 现场图纸准备</w:t>
      </w:r>
    </w:p>
    <w:p w14:paraId="0F4DA852">
      <w:pPr>
        <w:spacing w:line="360" w:lineRule="auto"/>
        <w:ind w:firstLine="480" w:firstLineChars="200"/>
        <w:rPr>
          <w:rFonts w:ascii="宋体" w:hAnsi="宋体" w:cs="宋体"/>
          <w:sz w:val="24"/>
        </w:rPr>
      </w:pPr>
      <w:r>
        <w:rPr>
          <w:rFonts w:hint="eastAsia" w:ascii="宋体" w:hAnsi="宋体" w:cs="宋体"/>
          <w:sz w:val="24"/>
        </w:rPr>
        <w:t>关于现场图纸准备的约定：</w:t>
      </w:r>
      <w:r>
        <w:rPr>
          <w:rFonts w:hint="eastAsia" w:ascii="宋体" w:hAnsi="宋体" w:cs="宋体"/>
          <w:sz w:val="24"/>
          <w:u w:val="single"/>
        </w:rPr>
        <w:t>发包人、监理人及有关人员进行工程检查时使用的图纸由承包人提供。</w:t>
      </w:r>
    </w:p>
    <w:p w14:paraId="2712291C">
      <w:pPr>
        <w:spacing w:line="360" w:lineRule="auto"/>
        <w:ind w:firstLine="480" w:firstLineChars="200"/>
        <w:rPr>
          <w:rFonts w:ascii="宋体" w:hAnsi="宋体" w:cs="宋体"/>
          <w:sz w:val="24"/>
        </w:rPr>
      </w:pPr>
      <w:r>
        <w:rPr>
          <w:rFonts w:hint="eastAsia" w:ascii="宋体" w:hAnsi="宋体" w:cs="宋体"/>
          <w:sz w:val="24"/>
        </w:rPr>
        <w:t>1.7 联络</w:t>
      </w:r>
    </w:p>
    <w:p w14:paraId="10697E7D">
      <w:pPr>
        <w:spacing w:line="360" w:lineRule="auto"/>
        <w:ind w:firstLine="480" w:firstLineChars="200"/>
        <w:rPr>
          <w:rFonts w:ascii="宋体" w:hAnsi="宋体" w:cs="宋体"/>
          <w:sz w:val="24"/>
        </w:rPr>
      </w:pPr>
      <w:r>
        <w:rPr>
          <w:rFonts w:hint="eastAsia" w:ascii="宋体" w:hAnsi="宋体" w:cs="宋体"/>
          <w:sz w:val="24"/>
        </w:rPr>
        <w:t>1.7.1发包人和承包人应当在</w:t>
      </w:r>
      <w:r>
        <w:rPr>
          <w:rFonts w:hint="eastAsia" w:ascii="宋体" w:hAnsi="宋体" w:cs="宋体"/>
          <w:sz w:val="24"/>
          <w:u w:val="single"/>
        </w:rPr>
        <w:t xml:space="preserve"> 3 </w:t>
      </w:r>
      <w:r>
        <w:rPr>
          <w:rFonts w:hint="eastAsia" w:ascii="宋体" w:hAnsi="宋体" w:cs="宋体"/>
          <w:sz w:val="24"/>
        </w:rPr>
        <w:t>天内将与合同有关的通知、批准、证明、证书、指示、指令、要求、请求、同意、意见、确定和决定等书面函件送达对方当事人。</w:t>
      </w:r>
    </w:p>
    <w:p w14:paraId="1F776450">
      <w:pPr>
        <w:spacing w:line="360" w:lineRule="auto"/>
        <w:ind w:firstLine="480" w:firstLineChars="200"/>
        <w:rPr>
          <w:rFonts w:ascii="宋体" w:hAnsi="宋体" w:cs="宋体"/>
          <w:kern w:val="0"/>
          <w:sz w:val="24"/>
        </w:rPr>
      </w:pPr>
      <w:r>
        <w:rPr>
          <w:rFonts w:hint="eastAsia" w:ascii="宋体" w:hAnsi="宋体" w:cs="宋体"/>
          <w:sz w:val="24"/>
        </w:rPr>
        <w:t>1.7.2 发包人接收文件的地点：</w:t>
      </w:r>
      <w:r>
        <w:rPr>
          <w:rFonts w:hint="eastAsia" w:ascii="宋体" w:hAnsi="宋体" w:cs="宋体"/>
          <w:sz w:val="24"/>
          <w:u w:val="single"/>
        </w:rPr>
        <w:t>  发包人办公室  </w:t>
      </w:r>
      <w:r>
        <w:rPr>
          <w:rFonts w:hint="eastAsia" w:ascii="宋体" w:hAnsi="宋体" w:cs="宋体"/>
          <w:sz w:val="24"/>
        </w:rPr>
        <w:t>；</w:t>
      </w:r>
    </w:p>
    <w:p w14:paraId="0FD34C51">
      <w:pPr>
        <w:spacing w:line="360" w:lineRule="auto"/>
        <w:ind w:firstLine="480" w:firstLineChars="200"/>
        <w:rPr>
          <w:rFonts w:ascii="宋体" w:hAnsi="宋体" w:cs="宋体"/>
          <w:kern w:val="0"/>
          <w:sz w:val="24"/>
        </w:rPr>
      </w:pPr>
      <w:r>
        <w:rPr>
          <w:rFonts w:hint="eastAsia" w:ascii="宋体" w:hAnsi="宋体" w:cs="宋体"/>
          <w:sz w:val="24"/>
        </w:rPr>
        <w:t>发包人指定的接收人为：</w:t>
      </w:r>
      <w:r>
        <w:rPr>
          <w:rFonts w:hint="eastAsia" w:ascii="宋体" w:hAnsi="宋体" w:cs="宋体"/>
          <w:sz w:val="24"/>
          <w:u w:val="single"/>
        </w:rPr>
        <w:t>待定         ；</w:t>
      </w:r>
    </w:p>
    <w:p w14:paraId="159CFB2C">
      <w:pPr>
        <w:spacing w:line="360" w:lineRule="auto"/>
        <w:ind w:firstLine="480" w:firstLineChars="200"/>
        <w:rPr>
          <w:rFonts w:ascii="宋体" w:hAnsi="宋体" w:cs="宋体"/>
          <w:kern w:val="0"/>
          <w:sz w:val="24"/>
        </w:rPr>
      </w:pPr>
      <w:r>
        <w:rPr>
          <w:rFonts w:hint="eastAsia" w:ascii="宋体" w:hAnsi="宋体" w:cs="宋体"/>
          <w:sz w:val="24"/>
        </w:rPr>
        <w:t>承包人接收文件的地点：</w:t>
      </w:r>
      <w:r>
        <w:rPr>
          <w:rFonts w:hint="eastAsia" w:ascii="宋体" w:hAnsi="宋体" w:cs="宋体"/>
          <w:sz w:val="24"/>
          <w:u w:val="single"/>
        </w:rPr>
        <w:t>  承包人办公室  ；</w:t>
      </w:r>
    </w:p>
    <w:p w14:paraId="7ECC8964">
      <w:pPr>
        <w:spacing w:line="360" w:lineRule="auto"/>
        <w:ind w:firstLine="480" w:firstLineChars="200"/>
        <w:rPr>
          <w:rFonts w:ascii="宋体" w:hAnsi="宋体" w:cs="宋体"/>
          <w:kern w:val="0"/>
          <w:sz w:val="24"/>
        </w:rPr>
      </w:pPr>
      <w:r>
        <w:rPr>
          <w:rFonts w:hint="eastAsia" w:ascii="宋体" w:hAnsi="宋体" w:cs="宋体"/>
          <w:sz w:val="24"/>
        </w:rPr>
        <w:t>承包人指定的接收人为：</w:t>
      </w:r>
      <w:r>
        <w:rPr>
          <w:rFonts w:hint="eastAsia" w:ascii="宋体" w:hAnsi="宋体" w:cs="宋体"/>
          <w:sz w:val="24"/>
          <w:u w:val="single"/>
        </w:rPr>
        <w:t> 待定      。</w:t>
      </w:r>
    </w:p>
    <w:p w14:paraId="3DA9E60C">
      <w:pPr>
        <w:spacing w:line="360" w:lineRule="auto"/>
        <w:ind w:firstLine="480" w:firstLineChars="200"/>
        <w:rPr>
          <w:rFonts w:ascii="宋体" w:hAnsi="宋体" w:cs="宋体"/>
          <w:kern w:val="0"/>
          <w:sz w:val="24"/>
        </w:rPr>
      </w:pPr>
      <w:r>
        <w:rPr>
          <w:rFonts w:hint="eastAsia" w:ascii="宋体" w:hAnsi="宋体" w:cs="宋体"/>
          <w:sz w:val="24"/>
        </w:rPr>
        <w:t>监理人接收文件的地点：</w:t>
      </w:r>
      <w:r>
        <w:rPr>
          <w:rFonts w:hint="eastAsia" w:ascii="宋体" w:hAnsi="宋体" w:cs="宋体"/>
          <w:sz w:val="24"/>
          <w:u w:val="single"/>
        </w:rPr>
        <w:t>  /  ；</w:t>
      </w:r>
    </w:p>
    <w:p w14:paraId="38E350EB">
      <w:pPr>
        <w:spacing w:line="360" w:lineRule="auto"/>
        <w:ind w:firstLine="480" w:firstLineChars="200"/>
        <w:rPr>
          <w:rFonts w:ascii="宋体" w:hAnsi="宋体" w:cs="宋体"/>
          <w:kern w:val="0"/>
          <w:sz w:val="24"/>
        </w:rPr>
      </w:pPr>
      <w:r>
        <w:rPr>
          <w:rFonts w:hint="eastAsia" w:ascii="宋体" w:hAnsi="宋体" w:cs="宋体"/>
          <w:sz w:val="24"/>
        </w:rPr>
        <w:t>监理人指定的接收人为：</w:t>
      </w:r>
      <w:r>
        <w:rPr>
          <w:rFonts w:hint="eastAsia" w:ascii="宋体" w:hAnsi="宋体" w:cs="宋体"/>
          <w:sz w:val="24"/>
          <w:u w:val="single"/>
        </w:rPr>
        <w:t>/    。</w:t>
      </w:r>
    </w:p>
    <w:p w14:paraId="29B1AEDD">
      <w:pPr>
        <w:spacing w:line="360" w:lineRule="auto"/>
        <w:ind w:firstLine="480" w:firstLineChars="200"/>
        <w:rPr>
          <w:rFonts w:ascii="宋体" w:hAnsi="宋体" w:cs="宋体"/>
          <w:sz w:val="24"/>
        </w:rPr>
      </w:pPr>
      <w:r>
        <w:rPr>
          <w:rFonts w:hint="eastAsia" w:ascii="宋体" w:hAnsi="宋体" w:cs="宋体"/>
          <w:sz w:val="24"/>
        </w:rPr>
        <w:t>1.10 交通运输</w:t>
      </w:r>
    </w:p>
    <w:p w14:paraId="10D4DBEC">
      <w:pPr>
        <w:spacing w:line="360" w:lineRule="auto"/>
        <w:ind w:firstLine="480" w:firstLineChars="200"/>
        <w:rPr>
          <w:rFonts w:ascii="宋体" w:hAnsi="宋体" w:cs="宋体"/>
          <w:sz w:val="24"/>
        </w:rPr>
      </w:pPr>
      <w:r>
        <w:rPr>
          <w:rFonts w:hint="eastAsia" w:ascii="宋体" w:hAnsi="宋体" w:cs="宋体"/>
          <w:sz w:val="24"/>
        </w:rPr>
        <w:t>1.10.1 出入现场的权利</w:t>
      </w:r>
    </w:p>
    <w:p w14:paraId="7BD6720F">
      <w:pPr>
        <w:spacing w:line="360" w:lineRule="auto"/>
        <w:ind w:firstLine="480" w:firstLineChars="200"/>
        <w:rPr>
          <w:rFonts w:ascii="宋体" w:hAnsi="宋体" w:cs="宋体"/>
          <w:sz w:val="24"/>
        </w:rPr>
      </w:pPr>
      <w:r>
        <w:rPr>
          <w:rFonts w:hint="eastAsia" w:ascii="宋体" w:hAnsi="宋体" w:cs="宋体"/>
          <w:sz w:val="24"/>
        </w:rPr>
        <w:t>关于出入现场的权利的约定：</w:t>
      </w:r>
      <w:r>
        <w:rPr>
          <w:rFonts w:hint="eastAsia" w:ascii="宋体" w:hAnsi="宋体" w:cs="宋体"/>
          <w:sz w:val="24"/>
          <w:u w:val="single"/>
        </w:rPr>
        <w:t>按通用条款执行。</w:t>
      </w:r>
    </w:p>
    <w:p w14:paraId="0B79A58B">
      <w:pPr>
        <w:spacing w:line="360" w:lineRule="auto"/>
        <w:ind w:firstLine="480" w:firstLineChars="200"/>
        <w:rPr>
          <w:rFonts w:ascii="宋体" w:hAnsi="宋体" w:cs="宋体"/>
          <w:sz w:val="24"/>
        </w:rPr>
      </w:pPr>
      <w:r>
        <w:rPr>
          <w:rFonts w:hint="eastAsia" w:ascii="宋体" w:hAnsi="宋体" w:cs="宋体"/>
          <w:sz w:val="24"/>
        </w:rPr>
        <w:t>1.10.3 场内交通</w:t>
      </w:r>
    </w:p>
    <w:p w14:paraId="62E1E9B3">
      <w:pPr>
        <w:spacing w:line="360" w:lineRule="auto"/>
        <w:ind w:firstLine="480" w:firstLineChars="200"/>
        <w:rPr>
          <w:rFonts w:ascii="宋体" w:hAnsi="宋体" w:cs="宋体"/>
          <w:kern w:val="0"/>
          <w:sz w:val="24"/>
        </w:rPr>
      </w:pPr>
      <w:r>
        <w:rPr>
          <w:rFonts w:hint="eastAsia" w:ascii="宋体" w:hAnsi="宋体" w:cs="宋体"/>
          <w:sz w:val="24"/>
        </w:rPr>
        <w:t>关于场外交通和场内交通的边界的约定：</w:t>
      </w:r>
      <w:r>
        <w:rPr>
          <w:rFonts w:hint="eastAsia" w:ascii="宋体" w:hAnsi="宋体" w:cs="宋体"/>
          <w:sz w:val="24"/>
          <w:u w:val="single"/>
        </w:rPr>
        <w:t xml:space="preserve">     /      。</w:t>
      </w:r>
    </w:p>
    <w:p w14:paraId="0DF0F5C4">
      <w:pPr>
        <w:spacing w:line="360" w:lineRule="auto"/>
        <w:ind w:firstLine="480" w:firstLineChars="200"/>
        <w:rPr>
          <w:rFonts w:ascii="宋体" w:hAnsi="宋体" w:cs="宋体"/>
          <w:sz w:val="24"/>
          <w:u w:val="single"/>
        </w:rPr>
      </w:pPr>
      <w:r>
        <w:rPr>
          <w:rFonts w:hint="eastAsia" w:ascii="宋体" w:hAnsi="宋体" w:cs="宋体"/>
          <w:sz w:val="24"/>
        </w:rPr>
        <w:t>关于发包人向承包人免费提供满足工程施工需要的场内道路和交通设施的约定：</w:t>
      </w:r>
      <w:r>
        <w:rPr>
          <w:rFonts w:hint="eastAsia" w:ascii="宋体" w:hAnsi="宋体" w:cs="宋体"/>
          <w:sz w:val="24"/>
          <w:u w:val="single"/>
        </w:rPr>
        <w:t>利用现有的场内道路和交通设施。</w:t>
      </w:r>
    </w:p>
    <w:p w14:paraId="1D3B5C93">
      <w:pPr>
        <w:spacing w:line="360" w:lineRule="auto"/>
        <w:ind w:firstLine="480" w:firstLineChars="200"/>
        <w:rPr>
          <w:rFonts w:ascii="宋体" w:hAnsi="宋体" w:cs="宋体"/>
          <w:sz w:val="24"/>
        </w:rPr>
      </w:pPr>
      <w:r>
        <w:rPr>
          <w:rFonts w:hint="eastAsia" w:ascii="宋体" w:hAnsi="宋体" w:cs="宋体"/>
          <w:sz w:val="24"/>
        </w:rPr>
        <w:t>1.10.4超大件和超重件的运输</w:t>
      </w:r>
    </w:p>
    <w:p w14:paraId="61F13E5B">
      <w:pPr>
        <w:spacing w:line="360" w:lineRule="auto"/>
        <w:ind w:firstLine="480" w:firstLineChars="200"/>
        <w:rPr>
          <w:rFonts w:ascii="宋体" w:hAnsi="宋体" w:cs="宋体"/>
          <w:sz w:val="24"/>
        </w:rPr>
      </w:pPr>
      <w:r>
        <w:rPr>
          <w:rFonts w:hint="eastAsia" w:ascii="宋体" w:hAnsi="宋体" w:cs="宋体"/>
          <w:sz w:val="24"/>
        </w:rPr>
        <w:t>运输超大件或超重件所需的道路和桥梁临时加固改造费用和其他有关费用由</w:t>
      </w:r>
      <w:r>
        <w:rPr>
          <w:rFonts w:hint="eastAsia" w:ascii="宋体" w:hAnsi="宋体" w:cs="宋体"/>
          <w:sz w:val="24"/>
          <w:u w:val="single"/>
        </w:rPr>
        <w:t xml:space="preserve">  / </w:t>
      </w:r>
      <w:r>
        <w:rPr>
          <w:rFonts w:hint="eastAsia" w:ascii="宋体" w:hAnsi="宋体" w:cs="宋体"/>
          <w:sz w:val="24"/>
        </w:rPr>
        <w:t>承担。</w:t>
      </w:r>
    </w:p>
    <w:p w14:paraId="32D9C236">
      <w:pPr>
        <w:snapToGrid w:val="0"/>
        <w:spacing w:line="360" w:lineRule="auto"/>
        <w:ind w:firstLine="480" w:firstLineChars="200"/>
        <w:rPr>
          <w:rFonts w:ascii="宋体" w:hAnsi="宋体" w:cs="宋体"/>
          <w:sz w:val="24"/>
        </w:rPr>
      </w:pPr>
      <w:r>
        <w:rPr>
          <w:rFonts w:hint="eastAsia" w:ascii="宋体" w:hAnsi="宋体" w:cs="宋体"/>
          <w:sz w:val="24"/>
        </w:rPr>
        <w:t>本工程的超大件：</w:t>
      </w:r>
      <w:r>
        <w:rPr>
          <w:rFonts w:hint="eastAsia" w:ascii="宋体" w:hAnsi="宋体" w:cs="宋体"/>
          <w:sz w:val="24"/>
          <w:u w:val="single"/>
        </w:rPr>
        <w:t xml:space="preserve">   /    </w:t>
      </w:r>
    </w:p>
    <w:p w14:paraId="3F8F914F">
      <w:pPr>
        <w:snapToGrid w:val="0"/>
        <w:spacing w:line="360" w:lineRule="auto"/>
        <w:ind w:firstLine="480" w:firstLineChars="200"/>
        <w:rPr>
          <w:rFonts w:ascii="宋体" w:hAnsi="宋体" w:cs="宋体"/>
          <w:sz w:val="24"/>
        </w:rPr>
      </w:pPr>
      <w:r>
        <w:rPr>
          <w:rFonts w:hint="eastAsia" w:ascii="宋体" w:hAnsi="宋体" w:cs="宋体"/>
          <w:sz w:val="24"/>
        </w:rPr>
        <w:t>本工程的超重件：</w:t>
      </w:r>
      <w:r>
        <w:rPr>
          <w:rFonts w:hint="eastAsia" w:ascii="宋体" w:hAnsi="宋体" w:cs="宋体"/>
          <w:sz w:val="24"/>
          <w:u w:val="single"/>
        </w:rPr>
        <w:t xml:space="preserve">   /    </w:t>
      </w:r>
    </w:p>
    <w:p w14:paraId="2E24F996">
      <w:pPr>
        <w:spacing w:line="360" w:lineRule="auto"/>
        <w:ind w:firstLine="480" w:firstLineChars="200"/>
        <w:rPr>
          <w:rFonts w:ascii="宋体" w:hAnsi="宋体" w:cs="宋体"/>
          <w:sz w:val="24"/>
        </w:rPr>
      </w:pPr>
      <w:r>
        <w:rPr>
          <w:rFonts w:hint="eastAsia" w:ascii="宋体" w:hAnsi="宋体" w:cs="宋体"/>
          <w:sz w:val="24"/>
        </w:rPr>
        <w:t>1.11 知识产权</w:t>
      </w:r>
    </w:p>
    <w:p w14:paraId="6E636952">
      <w:pPr>
        <w:spacing w:line="360" w:lineRule="auto"/>
        <w:ind w:firstLine="480" w:firstLineChars="200"/>
        <w:rPr>
          <w:rFonts w:ascii="宋体" w:hAnsi="宋体" w:cs="宋体"/>
          <w:sz w:val="24"/>
        </w:rPr>
      </w:pPr>
      <w:r>
        <w:rPr>
          <w:rFonts w:hint="eastAsia" w:ascii="宋体" w:hAnsi="宋体" w:cs="宋体"/>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sz w:val="24"/>
          <w:u w:val="single"/>
        </w:rPr>
        <w:t xml:space="preserve">按通用条款执行。 </w:t>
      </w:r>
    </w:p>
    <w:p w14:paraId="0F054D57">
      <w:pPr>
        <w:spacing w:line="360" w:lineRule="auto"/>
        <w:ind w:firstLine="480" w:firstLineChars="200"/>
        <w:rPr>
          <w:rFonts w:ascii="宋体" w:hAnsi="宋体" w:cs="宋体"/>
          <w:sz w:val="24"/>
        </w:rPr>
      </w:pPr>
      <w:r>
        <w:rPr>
          <w:rFonts w:hint="eastAsia" w:ascii="宋体" w:hAnsi="宋体" w:cs="宋体"/>
          <w:sz w:val="24"/>
        </w:rPr>
        <w:t>关于发包人提供的上述文件的使用限制的要求：</w:t>
      </w:r>
      <w:r>
        <w:rPr>
          <w:rFonts w:hint="eastAsia" w:ascii="宋体" w:hAnsi="宋体" w:cs="宋体"/>
          <w:sz w:val="24"/>
          <w:u w:val="single"/>
        </w:rPr>
        <w:t xml:space="preserve">  按通用条款执行。</w:t>
      </w:r>
    </w:p>
    <w:p w14:paraId="207DB566">
      <w:pPr>
        <w:spacing w:line="360" w:lineRule="auto"/>
        <w:ind w:firstLine="480" w:firstLineChars="200"/>
        <w:rPr>
          <w:rFonts w:ascii="宋体" w:hAnsi="宋体" w:cs="宋体"/>
          <w:sz w:val="24"/>
        </w:rPr>
      </w:pPr>
      <w:r>
        <w:rPr>
          <w:rFonts w:hint="eastAsia" w:ascii="宋体" w:hAnsi="宋体" w:cs="宋体"/>
          <w:sz w:val="24"/>
        </w:rPr>
        <w:t>1.11.2 关于承包人为实施工程所编制文件的著作权的归属：</w:t>
      </w:r>
      <w:r>
        <w:rPr>
          <w:rFonts w:hint="eastAsia" w:ascii="宋体" w:hAnsi="宋体" w:cs="宋体"/>
          <w:sz w:val="24"/>
          <w:u w:val="single"/>
        </w:rPr>
        <w:t xml:space="preserve"> 按通用条款执行。</w:t>
      </w:r>
    </w:p>
    <w:p w14:paraId="10F9FC45">
      <w:pPr>
        <w:spacing w:line="360" w:lineRule="auto"/>
        <w:ind w:firstLine="480" w:firstLineChars="200"/>
        <w:rPr>
          <w:rFonts w:ascii="宋体" w:hAnsi="宋体" w:cs="宋体"/>
          <w:sz w:val="24"/>
          <w:u w:val="single"/>
        </w:rPr>
      </w:pPr>
      <w:r>
        <w:rPr>
          <w:rFonts w:hint="eastAsia" w:ascii="宋体" w:hAnsi="宋体" w:cs="宋体"/>
          <w:sz w:val="24"/>
        </w:rPr>
        <w:t>关于承包人提供的上述文件的使用限制的要求：</w:t>
      </w:r>
      <w:r>
        <w:rPr>
          <w:rFonts w:hint="eastAsia" w:ascii="宋体" w:hAnsi="宋体" w:cs="宋体"/>
          <w:sz w:val="24"/>
          <w:u w:val="single"/>
        </w:rPr>
        <w:t>按通用条款执行。</w:t>
      </w:r>
    </w:p>
    <w:p w14:paraId="237124E1">
      <w:pPr>
        <w:spacing w:line="360" w:lineRule="auto"/>
        <w:ind w:firstLine="480" w:firstLineChars="200"/>
        <w:rPr>
          <w:rFonts w:ascii="宋体" w:hAnsi="宋体" w:cs="宋体"/>
          <w:kern w:val="0"/>
          <w:sz w:val="24"/>
        </w:rPr>
      </w:pPr>
      <w:r>
        <w:rPr>
          <w:rFonts w:hint="eastAsia" w:ascii="宋体" w:hAnsi="宋体" w:cs="宋体"/>
          <w:sz w:val="24"/>
        </w:rPr>
        <w:t>1.11.4 承包人在施工过程中所采用的专利、专有技术、技术秘密的使用费的承担方式：</w:t>
      </w:r>
      <w:r>
        <w:rPr>
          <w:rFonts w:hint="eastAsia" w:ascii="宋体" w:hAnsi="宋体" w:cs="宋体"/>
          <w:sz w:val="24"/>
          <w:u w:val="single"/>
        </w:rPr>
        <w:t xml:space="preserve">  / </w:t>
      </w:r>
      <w:r>
        <w:rPr>
          <w:rFonts w:hint="eastAsia" w:ascii="宋体" w:hAnsi="宋体" w:cs="宋体"/>
          <w:kern w:val="0"/>
          <w:sz w:val="24"/>
          <w:u w:val="single"/>
        </w:rPr>
        <w:t>。</w:t>
      </w:r>
    </w:p>
    <w:p w14:paraId="1297DE08">
      <w:pPr>
        <w:spacing w:line="360" w:lineRule="auto"/>
        <w:ind w:firstLine="480" w:firstLineChars="200"/>
        <w:rPr>
          <w:rFonts w:ascii="宋体" w:hAnsi="宋体" w:cs="宋体"/>
          <w:sz w:val="24"/>
        </w:rPr>
      </w:pPr>
      <w:r>
        <w:rPr>
          <w:rFonts w:hint="eastAsia" w:ascii="宋体" w:hAnsi="宋体" w:cs="宋体"/>
          <w:sz w:val="24"/>
        </w:rPr>
        <w:t>1.13工程量清单错误的修正</w:t>
      </w:r>
    </w:p>
    <w:p w14:paraId="4F057F2F">
      <w:pPr>
        <w:spacing w:line="360" w:lineRule="auto"/>
        <w:ind w:firstLine="480" w:firstLineChars="200"/>
        <w:rPr>
          <w:rFonts w:ascii="宋体" w:hAnsi="宋体" w:cs="宋体"/>
          <w:sz w:val="24"/>
          <w:u w:val="single"/>
        </w:rPr>
      </w:pPr>
      <w:r>
        <w:rPr>
          <w:rFonts w:hint="eastAsia" w:ascii="宋体" w:hAnsi="宋体" w:cs="宋体"/>
          <w:sz w:val="24"/>
        </w:rPr>
        <w:t>出现工程量清单错误时，是否调整合同价格：</w:t>
      </w:r>
      <w:r>
        <w:rPr>
          <w:rFonts w:hint="eastAsia" w:ascii="宋体" w:hAnsi="宋体" w:cs="宋体"/>
          <w:kern w:val="0"/>
          <w:sz w:val="24"/>
          <w:u w:val="single"/>
        </w:rPr>
        <w:t>是</w:t>
      </w:r>
      <w:r>
        <w:rPr>
          <w:rFonts w:hint="eastAsia" w:ascii="宋体" w:hAnsi="宋体" w:cs="宋体"/>
          <w:sz w:val="24"/>
          <w:u w:val="single"/>
        </w:rPr>
        <w:t>。</w:t>
      </w:r>
    </w:p>
    <w:p w14:paraId="4D82D0CF">
      <w:pPr>
        <w:spacing w:line="360" w:lineRule="auto"/>
        <w:ind w:firstLine="480" w:firstLineChars="200"/>
        <w:rPr>
          <w:rFonts w:ascii="宋体" w:hAnsi="宋体" w:cs="宋体"/>
          <w:kern w:val="0"/>
          <w:sz w:val="24"/>
          <w:u w:val="single"/>
        </w:rPr>
      </w:pPr>
      <w:r>
        <w:rPr>
          <w:rFonts w:hint="eastAsia" w:ascii="宋体" w:hAnsi="宋体" w:cs="宋体"/>
          <w:sz w:val="24"/>
        </w:rPr>
        <w:t>允许调整合同价格的工程量偏差范围：</w:t>
      </w:r>
      <w:r>
        <w:rPr>
          <w:rFonts w:hint="eastAsia" w:ascii="宋体" w:hAnsi="宋体" w:cs="宋体"/>
          <w:kern w:val="0"/>
          <w:sz w:val="24"/>
          <w:u w:val="single"/>
        </w:rPr>
        <w:t>经合同双方书面确认后按实调整。</w:t>
      </w:r>
      <w:r>
        <w:rPr>
          <w:rFonts w:hint="eastAsia" w:ascii="宋体" w:hAnsi="宋体" w:cs="宋体"/>
          <w:sz w:val="24"/>
          <w:u w:val="single"/>
        </w:rPr>
        <w:t>在工程量清单内已列入的材料设备单价不予调整，其他</w:t>
      </w:r>
      <w:r>
        <w:rPr>
          <w:rFonts w:hint="eastAsia" w:ascii="宋体" w:hAnsi="宋体" w:cs="宋体"/>
          <w:kern w:val="0"/>
          <w:sz w:val="24"/>
          <w:u w:val="single"/>
        </w:rPr>
        <w:t>调整按专用条款10.4.1执行。</w:t>
      </w:r>
    </w:p>
    <w:p w14:paraId="5900CD84">
      <w:pPr>
        <w:spacing w:line="360" w:lineRule="auto"/>
        <w:ind w:firstLine="480" w:firstLineChars="200"/>
        <w:rPr>
          <w:rFonts w:ascii="宋体" w:hAnsi="宋体" w:cs="宋体"/>
          <w:sz w:val="24"/>
        </w:rPr>
      </w:pPr>
      <w:r>
        <w:rPr>
          <w:rFonts w:hint="eastAsia" w:ascii="宋体" w:hAnsi="宋体" w:cs="宋体"/>
          <w:sz w:val="24"/>
        </w:rPr>
        <w:t>调整合同价格的</w:t>
      </w:r>
      <w:r>
        <w:rPr>
          <w:rFonts w:hint="eastAsia" w:ascii="宋体" w:hAnsi="宋体" w:cs="宋体"/>
          <w:kern w:val="0"/>
          <w:sz w:val="24"/>
        </w:rPr>
        <w:t>修正时间：</w:t>
      </w:r>
      <w:r>
        <w:rPr>
          <w:rFonts w:hint="eastAsia" w:ascii="宋体" w:hAnsi="宋体" w:cs="宋体"/>
          <w:sz w:val="24"/>
          <w:u w:val="single"/>
        </w:rPr>
        <w:t>在工程结算审核时调整。</w:t>
      </w:r>
    </w:p>
    <w:p w14:paraId="6C210AD2">
      <w:pPr>
        <w:topLinePunct/>
        <w:spacing w:line="360" w:lineRule="auto"/>
        <w:ind w:firstLine="420"/>
        <w:rPr>
          <w:rFonts w:ascii="宋体" w:hAnsi="宋体" w:cs="宋体"/>
          <w:b/>
          <w:sz w:val="24"/>
        </w:rPr>
      </w:pPr>
      <w:r>
        <w:rPr>
          <w:rFonts w:hint="eastAsia" w:ascii="宋体" w:hAnsi="宋体" w:cs="宋体"/>
          <w:b/>
          <w:sz w:val="24"/>
        </w:rPr>
        <w:t>2. 发包人</w:t>
      </w:r>
    </w:p>
    <w:p w14:paraId="4313FA44">
      <w:pPr>
        <w:spacing w:line="360" w:lineRule="auto"/>
        <w:ind w:firstLine="480" w:firstLineChars="200"/>
        <w:rPr>
          <w:rFonts w:ascii="宋体" w:hAnsi="宋体" w:cs="宋体"/>
          <w:sz w:val="24"/>
        </w:rPr>
      </w:pPr>
      <w:r>
        <w:rPr>
          <w:rFonts w:hint="eastAsia" w:ascii="宋体" w:hAnsi="宋体" w:cs="宋体"/>
          <w:sz w:val="24"/>
        </w:rPr>
        <w:t>发包人应根据工程所需配备发包人代表，同时配备1名相关人员到岗履职。</w:t>
      </w:r>
    </w:p>
    <w:p w14:paraId="3513C441">
      <w:pPr>
        <w:spacing w:line="360" w:lineRule="auto"/>
        <w:ind w:firstLine="480" w:firstLineChars="200"/>
        <w:rPr>
          <w:rFonts w:ascii="宋体" w:hAnsi="宋体" w:cs="宋体"/>
          <w:sz w:val="24"/>
        </w:rPr>
      </w:pPr>
      <w:r>
        <w:rPr>
          <w:rFonts w:hint="eastAsia" w:ascii="宋体" w:hAnsi="宋体" w:cs="宋体"/>
          <w:sz w:val="24"/>
        </w:rPr>
        <w:t>2.2 发包人代表</w:t>
      </w:r>
    </w:p>
    <w:p w14:paraId="2EBB4A41">
      <w:pPr>
        <w:spacing w:line="360" w:lineRule="auto"/>
        <w:ind w:firstLine="480" w:firstLineChars="200"/>
        <w:rPr>
          <w:rFonts w:ascii="宋体" w:hAnsi="宋体" w:cs="宋体"/>
          <w:sz w:val="24"/>
        </w:rPr>
      </w:pPr>
      <w:r>
        <w:rPr>
          <w:rFonts w:hint="eastAsia" w:ascii="宋体" w:hAnsi="宋体" w:cs="宋体"/>
          <w:sz w:val="24"/>
        </w:rPr>
        <w:t>发包人代表：</w:t>
      </w:r>
    </w:p>
    <w:p w14:paraId="40843DFC">
      <w:pPr>
        <w:spacing w:line="360" w:lineRule="auto"/>
        <w:ind w:firstLine="480" w:firstLineChars="200"/>
        <w:rPr>
          <w:rFonts w:ascii="宋体" w:hAnsi="宋体" w:cs="宋体"/>
          <w:sz w:val="24"/>
        </w:rPr>
      </w:pPr>
      <w:r>
        <w:rPr>
          <w:rFonts w:hint="eastAsia" w:ascii="宋体" w:hAnsi="宋体" w:cs="宋体"/>
          <w:sz w:val="24"/>
        </w:rPr>
        <w:t>姓    名：</w:t>
      </w:r>
      <w:r>
        <w:rPr>
          <w:rFonts w:hint="eastAsia" w:ascii="宋体" w:hAnsi="宋体" w:cs="宋体"/>
          <w:kern w:val="0"/>
          <w:sz w:val="24"/>
          <w:u w:val="single"/>
        </w:rPr>
        <w:t xml:space="preserve">              </w:t>
      </w:r>
      <w:r>
        <w:rPr>
          <w:rFonts w:hint="eastAsia" w:ascii="宋体" w:hAnsi="宋体" w:cs="宋体"/>
          <w:b/>
          <w:bCs/>
          <w:sz w:val="24"/>
          <w:u w:val="single"/>
        </w:rPr>
        <w:t xml:space="preserve"> </w:t>
      </w:r>
      <w:r>
        <w:rPr>
          <w:rFonts w:hint="eastAsia" w:ascii="宋体" w:hAnsi="宋体" w:cs="宋体"/>
          <w:kern w:val="0"/>
          <w:sz w:val="24"/>
          <w:u w:val="single"/>
        </w:rPr>
        <w:t xml:space="preserve">   ；</w:t>
      </w:r>
    </w:p>
    <w:p w14:paraId="3A866EC7">
      <w:pPr>
        <w:spacing w:line="360" w:lineRule="auto"/>
        <w:ind w:firstLine="480" w:firstLineChars="200"/>
        <w:rPr>
          <w:rFonts w:ascii="宋体" w:hAnsi="宋体" w:cs="宋体"/>
          <w:sz w:val="24"/>
        </w:rPr>
      </w:pPr>
      <w:r>
        <w:rPr>
          <w:rFonts w:hint="eastAsia" w:ascii="宋体" w:hAnsi="宋体" w:cs="宋体"/>
          <w:sz w:val="24"/>
        </w:rPr>
        <w:t>身份证号：</w:t>
      </w:r>
      <w:r>
        <w:rPr>
          <w:rFonts w:hint="eastAsia" w:ascii="宋体" w:hAnsi="宋体" w:cs="宋体"/>
          <w:kern w:val="0"/>
          <w:sz w:val="24"/>
          <w:u w:val="single"/>
        </w:rPr>
        <w:t>/      ；</w:t>
      </w:r>
    </w:p>
    <w:p w14:paraId="51AAA4ED">
      <w:pPr>
        <w:spacing w:line="360" w:lineRule="auto"/>
        <w:ind w:firstLine="480" w:firstLineChars="200"/>
        <w:rPr>
          <w:rFonts w:ascii="宋体" w:hAnsi="宋体" w:cs="宋体"/>
          <w:sz w:val="24"/>
        </w:rPr>
      </w:pPr>
      <w:r>
        <w:rPr>
          <w:rFonts w:hint="eastAsia" w:ascii="宋体" w:hAnsi="宋体" w:cs="宋体"/>
          <w:sz w:val="24"/>
        </w:rPr>
        <w:t>职    务：</w:t>
      </w:r>
      <w:r>
        <w:rPr>
          <w:rFonts w:hint="eastAsia" w:ascii="宋体" w:hAnsi="宋体" w:cs="宋体"/>
          <w:kern w:val="0"/>
          <w:sz w:val="24"/>
          <w:u w:val="single"/>
        </w:rPr>
        <w:t>          /                ；</w:t>
      </w:r>
    </w:p>
    <w:p w14:paraId="73169348">
      <w:pPr>
        <w:spacing w:line="360" w:lineRule="auto"/>
        <w:ind w:firstLine="480" w:firstLineChars="200"/>
        <w:rPr>
          <w:rFonts w:ascii="宋体" w:hAnsi="宋体" w:cs="宋体"/>
          <w:sz w:val="24"/>
        </w:rPr>
      </w:pPr>
      <w:r>
        <w:rPr>
          <w:rFonts w:hint="eastAsia" w:ascii="宋体" w:hAnsi="宋体" w:cs="宋体"/>
          <w:sz w:val="24"/>
        </w:rPr>
        <w:t>联系电话：</w:t>
      </w:r>
      <w:r>
        <w:rPr>
          <w:rFonts w:hint="eastAsia" w:ascii="宋体" w:hAnsi="宋体" w:cs="宋体"/>
          <w:kern w:val="0"/>
          <w:sz w:val="24"/>
          <w:u w:val="single"/>
        </w:rPr>
        <w:t>   ；</w:t>
      </w:r>
    </w:p>
    <w:p w14:paraId="23C84A12">
      <w:pPr>
        <w:spacing w:line="360" w:lineRule="auto"/>
        <w:ind w:firstLine="480" w:firstLineChars="200"/>
        <w:rPr>
          <w:rFonts w:ascii="宋体" w:hAnsi="宋体" w:cs="宋体"/>
          <w:sz w:val="24"/>
        </w:rPr>
      </w:pPr>
      <w:r>
        <w:rPr>
          <w:rFonts w:hint="eastAsia" w:ascii="宋体" w:hAnsi="宋体" w:cs="宋体"/>
          <w:sz w:val="24"/>
        </w:rPr>
        <w:t>电子信箱：</w:t>
      </w:r>
      <w:r>
        <w:rPr>
          <w:rFonts w:hint="eastAsia" w:ascii="宋体" w:hAnsi="宋体" w:cs="宋体"/>
          <w:kern w:val="0"/>
          <w:sz w:val="24"/>
          <w:u w:val="single"/>
        </w:rPr>
        <w:t>      /    ；</w:t>
      </w:r>
    </w:p>
    <w:p w14:paraId="4DB98E4D">
      <w:pPr>
        <w:spacing w:line="360" w:lineRule="auto"/>
        <w:ind w:firstLine="480" w:firstLineChars="200"/>
        <w:rPr>
          <w:rFonts w:ascii="宋体" w:hAnsi="宋体" w:cs="宋体"/>
          <w:sz w:val="24"/>
        </w:rPr>
      </w:pPr>
      <w:r>
        <w:rPr>
          <w:rFonts w:hint="eastAsia" w:ascii="宋体" w:hAnsi="宋体" w:cs="宋体"/>
          <w:sz w:val="24"/>
        </w:rPr>
        <w:t>通信地址：</w:t>
      </w:r>
      <w:r>
        <w:rPr>
          <w:rFonts w:hint="eastAsia" w:ascii="宋体" w:hAnsi="宋体" w:cs="宋体"/>
          <w:sz w:val="24"/>
          <w:u w:val="single"/>
        </w:rPr>
        <w:t>浙江省杭州市滨文路548号浙江中医药大学</w:t>
      </w:r>
      <w:r>
        <w:rPr>
          <w:rFonts w:hint="eastAsia" w:ascii="宋体" w:hAnsi="宋体" w:cs="宋体"/>
          <w:kern w:val="0"/>
          <w:sz w:val="24"/>
          <w:u w:val="single"/>
        </w:rPr>
        <w:t>。</w:t>
      </w:r>
    </w:p>
    <w:p w14:paraId="281CD991">
      <w:pPr>
        <w:spacing w:line="360" w:lineRule="auto"/>
        <w:ind w:firstLine="480" w:firstLineChars="200"/>
        <w:rPr>
          <w:rFonts w:ascii="宋体" w:hAnsi="宋体" w:cs="宋体"/>
          <w:b/>
          <w:sz w:val="24"/>
        </w:rPr>
      </w:pPr>
      <w:r>
        <w:rPr>
          <w:rFonts w:hint="eastAsia" w:ascii="宋体" w:hAnsi="宋体" w:cs="宋体"/>
          <w:sz w:val="24"/>
        </w:rPr>
        <w:t>发包人对发包人代表的授权范围如下：</w:t>
      </w:r>
      <w:r>
        <w:rPr>
          <w:rFonts w:hint="eastAsia" w:ascii="宋体" w:hAnsi="宋体" w:cs="宋体"/>
          <w:sz w:val="24"/>
          <w:u w:val="single"/>
        </w:rPr>
        <w:t>对质量、成本、安全、进度进行全面管理，涉及合同价格变更、安全事故、质量事故等重大事项的处理须经发包人领导班子签字同意并加盖发包人公章后方能生效</w:t>
      </w:r>
      <w:r>
        <w:rPr>
          <w:rFonts w:hint="eastAsia" w:ascii="宋体" w:hAnsi="宋体" w:cs="宋体"/>
          <w:sz w:val="24"/>
        </w:rPr>
        <w:t>。</w:t>
      </w:r>
    </w:p>
    <w:p w14:paraId="66761433">
      <w:pPr>
        <w:spacing w:line="360" w:lineRule="auto"/>
        <w:ind w:firstLine="480" w:firstLineChars="200"/>
        <w:rPr>
          <w:rFonts w:ascii="宋体" w:hAnsi="宋体" w:cs="宋体"/>
          <w:sz w:val="24"/>
        </w:rPr>
      </w:pPr>
      <w:r>
        <w:rPr>
          <w:rFonts w:hint="eastAsia" w:ascii="宋体" w:hAnsi="宋体" w:cs="宋体"/>
          <w:sz w:val="24"/>
        </w:rPr>
        <w:t>2.4 施工现场、施工条件和基础资料的提供</w:t>
      </w:r>
    </w:p>
    <w:p w14:paraId="70CFE94A">
      <w:pPr>
        <w:spacing w:line="360" w:lineRule="auto"/>
        <w:ind w:firstLine="480" w:firstLineChars="200"/>
        <w:rPr>
          <w:rFonts w:ascii="宋体" w:hAnsi="宋体" w:cs="宋体"/>
          <w:sz w:val="24"/>
        </w:rPr>
      </w:pPr>
      <w:r>
        <w:rPr>
          <w:rFonts w:hint="eastAsia" w:ascii="宋体" w:hAnsi="宋体" w:cs="宋体"/>
          <w:sz w:val="24"/>
        </w:rPr>
        <w:t>2.4.1 提供施工现场</w:t>
      </w:r>
    </w:p>
    <w:p w14:paraId="620FAC05">
      <w:pPr>
        <w:spacing w:line="360" w:lineRule="auto"/>
        <w:ind w:firstLine="480" w:firstLineChars="200"/>
        <w:rPr>
          <w:rFonts w:ascii="宋体" w:hAnsi="宋体" w:cs="宋体"/>
          <w:sz w:val="24"/>
          <w:u w:val="single"/>
        </w:rPr>
      </w:pPr>
      <w:r>
        <w:rPr>
          <w:rFonts w:hint="eastAsia" w:ascii="宋体" w:hAnsi="宋体" w:cs="宋体"/>
          <w:sz w:val="24"/>
        </w:rPr>
        <w:t>关于发包人移交施工现场的期限要求：</w:t>
      </w:r>
      <w:r>
        <w:rPr>
          <w:rFonts w:hint="eastAsia" w:ascii="宋体" w:hAnsi="宋体" w:cs="宋体"/>
          <w:sz w:val="24"/>
          <w:u w:val="single"/>
        </w:rPr>
        <w:t xml:space="preserve">    /      </w:t>
      </w:r>
      <w:r>
        <w:rPr>
          <w:rFonts w:hint="eastAsia" w:ascii="宋体" w:hAnsi="宋体" w:cs="宋体"/>
          <w:sz w:val="24"/>
        </w:rPr>
        <w:t>。</w:t>
      </w:r>
    </w:p>
    <w:p w14:paraId="6CAD5206">
      <w:pPr>
        <w:spacing w:line="360" w:lineRule="auto"/>
        <w:ind w:firstLine="480" w:firstLineChars="200"/>
        <w:rPr>
          <w:rFonts w:ascii="宋体" w:hAnsi="宋体" w:cs="宋体"/>
          <w:sz w:val="24"/>
        </w:rPr>
      </w:pPr>
      <w:r>
        <w:rPr>
          <w:rFonts w:hint="eastAsia" w:ascii="宋体" w:hAnsi="宋体" w:cs="宋体"/>
          <w:sz w:val="24"/>
        </w:rPr>
        <w:t>2.4.2 提供施工条件</w:t>
      </w:r>
    </w:p>
    <w:p w14:paraId="1EAC47C0">
      <w:pPr>
        <w:spacing w:line="360" w:lineRule="auto"/>
        <w:ind w:firstLine="480" w:firstLineChars="200"/>
        <w:rPr>
          <w:rFonts w:ascii="宋体" w:hAnsi="宋体" w:cs="宋体"/>
          <w:sz w:val="24"/>
        </w:rPr>
      </w:pPr>
      <w:r>
        <w:rPr>
          <w:rFonts w:hint="eastAsia" w:ascii="宋体" w:hAnsi="宋体" w:cs="宋体"/>
          <w:sz w:val="24"/>
        </w:rPr>
        <w:t>关于发包人应负责提供施工所需要的条件，包括：</w:t>
      </w:r>
      <w:bookmarkStart w:id="530" w:name="_Hlk74471726"/>
      <w:r>
        <w:rPr>
          <w:rFonts w:hint="eastAsia" w:ascii="宋体" w:hAnsi="宋体" w:cs="宋体"/>
          <w:sz w:val="24"/>
        </w:rPr>
        <w:t xml:space="preserve"> </w:t>
      </w:r>
      <w:r>
        <w:rPr>
          <w:rFonts w:hint="eastAsia" w:ascii="宋体" w:hAnsi="宋体" w:cs="宋体"/>
          <w:sz w:val="24"/>
          <w:u w:val="single"/>
        </w:rPr>
        <w:t>（1）施工场地具备施工条件的要求及完成的时间：场地已具备施工条件。</w:t>
      </w:r>
    </w:p>
    <w:p w14:paraId="60C4B2FB">
      <w:pPr>
        <w:topLinePunct/>
        <w:spacing w:line="360" w:lineRule="auto"/>
        <w:ind w:firstLine="480" w:firstLineChars="200"/>
        <w:rPr>
          <w:rFonts w:ascii="宋体" w:hAnsi="宋体" w:cs="宋体"/>
          <w:sz w:val="24"/>
          <w:u w:val="single"/>
        </w:rPr>
      </w:pPr>
      <w:r>
        <w:rPr>
          <w:rFonts w:hint="eastAsia" w:ascii="宋体" w:hAnsi="宋体" w:cs="宋体"/>
          <w:sz w:val="24"/>
          <w:u w:val="single"/>
        </w:rPr>
        <w:t>（2）施工临时用水、用电接入点由发包人提供。接入点后的管线、阀门等由承包人负责，并承担相应费用（该费用包含在合同价款内）。施工期间用水、用电装表计量，计量装置及相关费用由承包人自行承担，按实结算。</w:t>
      </w:r>
    </w:p>
    <w:bookmarkEnd w:id="530"/>
    <w:p w14:paraId="7DE890F9">
      <w:pPr>
        <w:spacing w:line="360" w:lineRule="auto"/>
        <w:ind w:firstLine="480" w:firstLineChars="200"/>
        <w:rPr>
          <w:rFonts w:ascii="宋体" w:hAnsi="宋体" w:cs="宋体"/>
          <w:sz w:val="24"/>
        </w:rPr>
      </w:pPr>
      <w:r>
        <w:rPr>
          <w:rFonts w:hint="eastAsia" w:ascii="宋体" w:hAnsi="宋体" w:cs="宋体"/>
          <w:sz w:val="24"/>
        </w:rPr>
        <w:t>2.5 资金来源证明及支付担保</w:t>
      </w:r>
    </w:p>
    <w:p w14:paraId="1644C53C">
      <w:pPr>
        <w:spacing w:line="360" w:lineRule="auto"/>
        <w:ind w:firstLine="480" w:firstLineChars="200"/>
        <w:rPr>
          <w:rFonts w:ascii="宋体" w:hAnsi="宋体" w:cs="宋体"/>
          <w:sz w:val="24"/>
          <w:u w:val="single"/>
        </w:rPr>
      </w:pPr>
      <w:r>
        <w:rPr>
          <w:rFonts w:hint="eastAsia" w:ascii="宋体" w:hAnsi="宋体" w:cs="宋体"/>
          <w:sz w:val="24"/>
        </w:rPr>
        <w:t>发包人提供资金来源证明的期限要求：</w:t>
      </w:r>
      <w:r>
        <w:rPr>
          <w:rFonts w:hint="eastAsia" w:ascii="宋体" w:hAnsi="宋体" w:cs="宋体"/>
          <w:sz w:val="24"/>
          <w:u w:val="single"/>
        </w:rPr>
        <w:t>/。</w:t>
      </w:r>
    </w:p>
    <w:p w14:paraId="6EEA33D6">
      <w:pPr>
        <w:spacing w:line="360" w:lineRule="auto"/>
        <w:ind w:firstLine="480" w:firstLineChars="200"/>
        <w:rPr>
          <w:rFonts w:ascii="宋体" w:hAnsi="宋体" w:cs="宋体"/>
          <w:sz w:val="24"/>
        </w:rPr>
      </w:pPr>
      <w:r>
        <w:rPr>
          <w:rFonts w:hint="eastAsia" w:ascii="宋体" w:hAnsi="宋体" w:cs="宋体"/>
          <w:sz w:val="24"/>
        </w:rPr>
        <w:t>发包人是否提供支付担保：</w:t>
      </w:r>
      <w:r>
        <w:rPr>
          <w:rFonts w:hint="eastAsia" w:ascii="宋体" w:hAnsi="宋体" w:cs="宋体"/>
          <w:sz w:val="24"/>
          <w:u w:val="single"/>
        </w:rPr>
        <w:t>/。</w:t>
      </w:r>
    </w:p>
    <w:p w14:paraId="4F9E1F28">
      <w:pPr>
        <w:spacing w:line="360" w:lineRule="auto"/>
        <w:ind w:firstLine="480" w:firstLineChars="200"/>
        <w:rPr>
          <w:rFonts w:ascii="宋体" w:hAnsi="宋体" w:cs="宋体"/>
          <w:sz w:val="24"/>
          <w:u w:val="single"/>
        </w:rPr>
      </w:pPr>
      <w:r>
        <w:rPr>
          <w:rFonts w:hint="eastAsia" w:ascii="宋体" w:hAnsi="宋体" w:cs="宋体"/>
          <w:sz w:val="24"/>
        </w:rPr>
        <w:t>发包人提供支付担保的形式：</w:t>
      </w:r>
      <w:r>
        <w:rPr>
          <w:rFonts w:hint="eastAsia" w:ascii="宋体" w:hAnsi="宋体" w:cs="宋体"/>
          <w:sz w:val="24"/>
          <w:u w:val="single"/>
        </w:rPr>
        <w:t>/。</w:t>
      </w:r>
    </w:p>
    <w:p w14:paraId="7F29D196">
      <w:pPr>
        <w:topLinePunct/>
        <w:spacing w:line="360" w:lineRule="auto"/>
        <w:ind w:firstLine="420"/>
        <w:rPr>
          <w:rFonts w:ascii="宋体" w:hAnsi="宋体" w:cs="宋体"/>
          <w:b/>
          <w:sz w:val="24"/>
        </w:rPr>
      </w:pPr>
      <w:r>
        <w:rPr>
          <w:rFonts w:hint="eastAsia" w:ascii="宋体" w:hAnsi="宋体" w:cs="宋体"/>
          <w:b/>
          <w:sz w:val="24"/>
        </w:rPr>
        <w:t>3. 承包人</w:t>
      </w:r>
    </w:p>
    <w:p w14:paraId="3E177100">
      <w:pPr>
        <w:spacing w:line="360" w:lineRule="auto"/>
        <w:ind w:firstLine="480" w:firstLineChars="200"/>
        <w:rPr>
          <w:rFonts w:ascii="宋体" w:hAnsi="宋体" w:cs="宋体"/>
          <w:sz w:val="24"/>
        </w:rPr>
      </w:pPr>
      <w:r>
        <w:rPr>
          <w:rFonts w:hint="eastAsia" w:ascii="宋体" w:hAnsi="宋体" w:cs="宋体"/>
          <w:sz w:val="24"/>
        </w:rPr>
        <w:t>3.1 承包人的一般义务</w:t>
      </w:r>
    </w:p>
    <w:p w14:paraId="7EEF2CAE">
      <w:pPr>
        <w:spacing w:line="360" w:lineRule="auto"/>
        <w:ind w:firstLine="480" w:firstLineChars="200"/>
        <w:rPr>
          <w:rFonts w:ascii="宋体" w:hAnsi="宋体" w:cs="宋体"/>
          <w:sz w:val="24"/>
        </w:rPr>
      </w:pPr>
      <w:r>
        <w:rPr>
          <w:rFonts w:hint="eastAsia" w:ascii="宋体" w:hAnsi="宋体" w:cs="宋体"/>
          <w:sz w:val="24"/>
        </w:rPr>
        <w:t>（9）承包人提交的竣工资料的内容：</w:t>
      </w:r>
      <w:r>
        <w:rPr>
          <w:rFonts w:hint="eastAsia" w:ascii="宋体" w:hAnsi="宋体" w:cs="宋体"/>
          <w:kern w:val="0"/>
          <w:sz w:val="24"/>
          <w:u w:val="single"/>
        </w:rPr>
        <w:t>发包人收到承包人提交的竣工验收报告及竣工验收资料后，认为工程尚不具备竣工验收条件或承包人提交人竣工验收资料不完整的，有权不组织竣工验收，直至工程符合工程竣工验收条件或竣工验收资料完整。若工程验收时，竣工验收资料尚不完整，工程竣工验收通过后，承包人仍应按要求提交完整的符合要求的竣工资料</w:t>
      </w:r>
      <w:r>
        <w:rPr>
          <w:rFonts w:hint="eastAsia" w:ascii="宋体" w:hAnsi="宋体" w:cs="宋体"/>
          <w:sz w:val="24"/>
          <w:u w:val="single"/>
        </w:rPr>
        <w:t>。</w:t>
      </w:r>
    </w:p>
    <w:p w14:paraId="3FE40A71">
      <w:pPr>
        <w:spacing w:line="360" w:lineRule="auto"/>
        <w:ind w:firstLine="480" w:firstLineChars="200"/>
        <w:rPr>
          <w:rFonts w:ascii="宋体" w:hAnsi="宋体" w:cs="宋体"/>
          <w:sz w:val="24"/>
        </w:rPr>
      </w:pPr>
      <w:r>
        <w:rPr>
          <w:rFonts w:hint="eastAsia" w:ascii="宋体" w:hAnsi="宋体" w:cs="宋体"/>
          <w:sz w:val="24"/>
        </w:rPr>
        <w:t xml:space="preserve">承包人需要提交的竣工资料套数： </w:t>
      </w:r>
      <w:r>
        <w:rPr>
          <w:rFonts w:hint="eastAsia" w:ascii="宋体" w:hAnsi="宋体" w:cs="宋体"/>
          <w:sz w:val="24"/>
          <w:u w:val="single"/>
        </w:rPr>
        <w:t xml:space="preserve"> </w:t>
      </w:r>
      <w:r>
        <w:rPr>
          <w:rFonts w:hint="eastAsia" w:ascii="宋体" w:hAnsi="宋体" w:cs="宋体"/>
          <w:kern w:val="0"/>
          <w:sz w:val="24"/>
          <w:u w:val="single"/>
        </w:rPr>
        <w:t>一式陆份，同时提供电子文档</w:t>
      </w:r>
      <w:r>
        <w:rPr>
          <w:rFonts w:hint="eastAsia" w:ascii="宋体" w:hAnsi="宋体" w:cs="宋体"/>
          <w:sz w:val="24"/>
          <w:u w:val="single"/>
        </w:rPr>
        <w:t>。</w:t>
      </w:r>
    </w:p>
    <w:p w14:paraId="193A702B">
      <w:pPr>
        <w:spacing w:line="360" w:lineRule="auto"/>
        <w:ind w:firstLine="480" w:firstLineChars="200"/>
        <w:rPr>
          <w:rFonts w:ascii="宋体" w:hAnsi="宋体" w:cs="宋体"/>
          <w:sz w:val="24"/>
        </w:rPr>
      </w:pPr>
      <w:r>
        <w:rPr>
          <w:rFonts w:hint="eastAsia" w:ascii="宋体" w:hAnsi="宋体" w:cs="宋体"/>
          <w:sz w:val="24"/>
        </w:rPr>
        <w:t>承包人提交的竣工资料的费用承担：</w:t>
      </w:r>
      <w:r>
        <w:rPr>
          <w:rFonts w:hint="eastAsia" w:ascii="宋体" w:hAnsi="宋体" w:cs="宋体"/>
          <w:sz w:val="24"/>
          <w:u w:val="single"/>
        </w:rPr>
        <w:t xml:space="preserve">  承包人承担  。</w:t>
      </w:r>
    </w:p>
    <w:p w14:paraId="11FC1942">
      <w:pPr>
        <w:spacing w:line="360" w:lineRule="auto"/>
        <w:ind w:firstLine="480" w:firstLineChars="200"/>
        <w:rPr>
          <w:rFonts w:ascii="宋体" w:hAnsi="宋体" w:cs="宋体"/>
          <w:sz w:val="24"/>
        </w:rPr>
      </w:pPr>
      <w:r>
        <w:rPr>
          <w:rFonts w:hint="eastAsia" w:ascii="宋体" w:hAnsi="宋体" w:cs="宋体"/>
          <w:sz w:val="24"/>
        </w:rPr>
        <w:t>承包人提交的竣工资料移交时间：</w:t>
      </w:r>
      <w:r>
        <w:rPr>
          <w:rFonts w:hint="eastAsia" w:ascii="宋体" w:hAnsi="宋体" w:cs="宋体"/>
          <w:sz w:val="24"/>
          <w:u w:val="single"/>
        </w:rPr>
        <w:t xml:space="preserve">  工程竣工验收合格后，承包人必须在竣工验收合格之日起30天内将审查合格的工程竣工档案移交给发包人。如承包人未能按期提交竣工资料并因此导致发包人无法按期竣工验收并交付使用的，则承包人须对由此产生的损失费用承担赔偿责任包括但不限于投产运营的实际收入费用及预期收入。</w:t>
      </w:r>
    </w:p>
    <w:p w14:paraId="20F1CE98">
      <w:pPr>
        <w:spacing w:line="360" w:lineRule="auto"/>
        <w:ind w:firstLine="480" w:firstLineChars="200"/>
        <w:rPr>
          <w:rFonts w:ascii="宋体" w:hAnsi="宋体" w:cs="宋体"/>
          <w:sz w:val="24"/>
          <w:u w:val="single"/>
        </w:rPr>
      </w:pPr>
      <w:r>
        <w:rPr>
          <w:rFonts w:hint="eastAsia" w:ascii="宋体" w:hAnsi="宋体" w:cs="宋体"/>
          <w:sz w:val="24"/>
        </w:rPr>
        <w:t>承包人提交的竣工资料形式要求：</w:t>
      </w:r>
      <w:r>
        <w:rPr>
          <w:rFonts w:hint="eastAsia" w:ascii="宋体" w:hAnsi="宋体" w:cs="宋体"/>
          <w:sz w:val="24"/>
          <w:u w:val="single"/>
        </w:rPr>
        <w:t xml:space="preserve">  向发包方提供竣工资料及竣工验收报告，并附光盘（含影像资料、图片等）。</w:t>
      </w:r>
    </w:p>
    <w:p w14:paraId="5C840304">
      <w:pPr>
        <w:autoSpaceDE w:val="0"/>
        <w:autoSpaceDN w:val="0"/>
        <w:snapToGrid w:val="0"/>
        <w:spacing w:line="360" w:lineRule="auto"/>
        <w:ind w:left="422"/>
        <w:rPr>
          <w:rFonts w:ascii="宋体" w:hAnsi="宋体" w:cs="宋体"/>
          <w:sz w:val="24"/>
        </w:rPr>
      </w:pPr>
      <w:r>
        <w:rPr>
          <w:rFonts w:hint="eastAsia" w:ascii="宋体" w:hAnsi="宋体" w:cs="宋体"/>
          <w:sz w:val="24"/>
        </w:rPr>
        <w:t xml:space="preserve">（10）承包人应履行的其他义务： </w:t>
      </w:r>
    </w:p>
    <w:p w14:paraId="42627652">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根据工程需要，提供和维修非夜间施工使用的照明、围栏设施，并负责安全保卫。</w:t>
      </w:r>
    </w:p>
    <w:p w14:paraId="61E4038E">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成品保护：承包人应做好施工现场建筑物、构筑物、设备、管线的保护工作，并对所造成的损伤、损害负全部责任，承担全部费用。对采取的保护措施发生的费用列入措施费；发现损坏应及时抢修，确保在影响范围内的设备、管线、建筑物、构筑物的正常使用，并承担有关费用。为此增加的技术措施费包含在投标报价中。</w:t>
      </w:r>
    </w:p>
    <w:p w14:paraId="7E77DE61">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施工场地清洁卫生要求：按浙江省、杭州市标化工地管理的有关要求、规定执行。所发生的各项清理费用、临时性收费、临时性占用场地费、临时性设施费及不可预见的费用，均已包括在合同总价内。</w:t>
      </w:r>
    </w:p>
    <w:p w14:paraId="79CB06B5">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所有施工车辆必须按发包人指定的行车路线进出施工场地，承包人必须随时对施工车辆散落在公共道路上的杂物进行清扫，保持道路整洁，避免扬尘。施工场地做到“工完、料净、场地清”，承担因自身原因违反有关规定造成的损失和罚款。</w:t>
      </w:r>
    </w:p>
    <w:p w14:paraId="1FA2EF3C">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参加发包人召开的与本工程相关的会议，并作好会前有关资料的准备。在保修期内要及时做好回访工作，属保修责任范围的事项应及时按质检标准修好。</w:t>
      </w:r>
    </w:p>
    <w:p w14:paraId="1B975111">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在工程实施过程中，要自始至终将安全和质量管理放在首位；除按发包人要求做好安全质量管理外，应采取应急预警措施以确保本项目工程的安全和质量以及周边建筑物、构筑物及市政设施的安全。</w:t>
      </w:r>
    </w:p>
    <w:p w14:paraId="24867055">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由于承包人施工原因，引起第三方与发包人或承包人的纠纷或第三方向发包人或承包人提出的索赔等，由承包人全权负责解决并承担全部责任，由此引起的一切后果与发包人无关。</w:t>
      </w:r>
    </w:p>
    <w:p w14:paraId="649B4B24">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施工过程中，如遇临界其他工程施工有冲突的，配合发包人的管理，积极与其他工程的承包人协商配合施工，避免因此导致的工期延误。（此条款适用于有临界工程的项目）</w:t>
      </w:r>
    </w:p>
    <w:p w14:paraId="0D92316A">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在工程实施过程中，严格执行省、市颁发的相关规定，切实加强外来务工人员管理，保障农民工的合法权益。若在施工期间，由于承包人的责任发生违法、违规事件，后果由承包人自负。</w:t>
      </w:r>
    </w:p>
    <w:p w14:paraId="51B6182B">
      <w:pPr>
        <w:tabs>
          <w:tab w:val="right" w:pos="9202"/>
        </w:tabs>
        <w:spacing w:line="360" w:lineRule="auto"/>
        <w:ind w:firstLine="420"/>
        <w:rPr>
          <w:rFonts w:ascii="宋体" w:hAnsi="宋体" w:cs="宋体"/>
          <w:sz w:val="24"/>
        </w:rPr>
      </w:pPr>
      <w:r>
        <w:rPr>
          <w:rFonts w:hint="eastAsia" w:ascii="宋体" w:hAnsi="宋体" w:cs="宋体"/>
          <w:sz w:val="24"/>
        </w:rPr>
        <w:t>3.2 项目经理</w:t>
      </w:r>
    </w:p>
    <w:p w14:paraId="1D7E8296">
      <w:pPr>
        <w:spacing w:line="360" w:lineRule="auto"/>
        <w:ind w:firstLine="480" w:firstLineChars="200"/>
        <w:rPr>
          <w:rFonts w:ascii="宋体" w:hAnsi="宋体" w:cs="宋体"/>
          <w:sz w:val="24"/>
        </w:rPr>
      </w:pPr>
      <w:r>
        <w:rPr>
          <w:rFonts w:hint="eastAsia" w:ascii="宋体" w:hAnsi="宋体" w:cs="宋体"/>
          <w:sz w:val="24"/>
        </w:rPr>
        <w:t>3.2.1 项目经理：</w:t>
      </w:r>
    </w:p>
    <w:p w14:paraId="1DA97088">
      <w:pPr>
        <w:spacing w:line="360" w:lineRule="auto"/>
        <w:ind w:firstLine="480" w:firstLineChars="200"/>
        <w:rPr>
          <w:rFonts w:ascii="宋体" w:hAnsi="宋体" w:cs="宋体"/>
          <w:sz w:val="24"/>
        </w:rPr>
      </w:pPr>
      <w:r>
        <w:rPr>
          <w:rFonts w:hint="eastAsia" w:ascii="宋体" w:hAnsi="宋体" w:cs="宋体"/>
          <w:sz w:val="24"/>
        </w:rPr>
        <w:t>姓    名：</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w:t>
      </w:r>
    </w:p>
    <w:p w14:paraId="753DDFF5">
      <w:pPr>
        <w:spacing w:line="360" w:lineRule="auto"/>
        <w:ind w:firstLine="480" w:firstLineChars="200"/>
        <w:rPr>
          <w:rFonts w:ascii="宋体" w:hAnsi="宋体" w:cs="宋体"/>
          <w:sz w:val="24"/>
        </w:rPr>
      </w:pPr>
      <w:r>
        <w:rPr>
          <w:rFonts w:hint="eastAsia" w:ascii="宋体" w:hAnsi="宋体" w:cs="宋体"/>
          <w:sz w:val="24"/>
        </w:rPr>
        <w:t>身份证号：</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w:t>
      </w:r>
    </w:p>
    <w:p w14:paraId="392A87D8">
      <w:pPr>
        <w:spacing w:line="360" w:lineRule="auto"/>
        <w:ind w:firstLine="480" w:firstLineChars="200"/>
        <w:rPr>
          <w:rFonts w:ascii="宋体" w:hAnsi="宋体" w:cs="宋体"/>
          <w:sz w:val="24"/>
        </w:rPr>
      </w:pPr>
      <w:r>
        <w:rPr>
          <w:rFonts w:hint="eastAsia" w:ascii="宋体" w:hAnsi="宋体" w:cs="宋体"/>
          <w:sz w:val="24"/>
        </w:rPr>
        <w:t>建造师执业资格等级：</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 xml:space="preserve">  ；</w:t>
      </w:r>
    </w:p>
    <w:p w14:paraId="0830B628">
      <w:pPr>
        <w:spacing w:line="360" w:lineRule="auto"/>
        <w:ind w:firstLine="480" w:firstLineChars="200"/>
        <w:rPr>
          <w:rFonts w:ascii="宋体" w:hAnsi="宋体" w:cs="宋体"/>
          <w:sz w:val="24"/>
        </w:rPr>
      </w:pPr>
      <w:r>
        <w:rPr>
          <w:rFonts w:hint="eastAsia" w:ascii="宋体" w:hAnsi="宋体" w:cs="宋体"/>
          <w:sz w:val="24"/>
        </w:rPr>
        <w:t>建造师注册证书号：</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  ；</w:t>
      </w:r>
    </w:p>
    <w:p w14:paraId="465B07DE">
      <w:pPr>
        <w:spacing w:line="360" w:lineRule="auto"/>
        <w:ind w:firstLine="480" w:firstLineChars="200"/>
        <w:rPr>
          <w:rFonts w:ascii="宋体" w:hAnsi="宋体" w:cs="宋体"/>
          <w:sz w:val="24"/>
        </w:rPr>
      </w:pPr>
      <w:r>
        <w:rPr>
          <w:rFonts w:hint="eastAsia" w:ascii="宋体" w:hAnsi="宋体" w:cs="宋体"/>
          <w:sz w:val="24"/>
        </w:rPr>
        <w:t>建造师执业印章号：</w:t>
      </w:r>
      <w:r>
        <w:rPr>
          <w:rFonts w:hint="eastAsia" w:ascii="宋体" w:hAnsi="宋体" w:cs="宋体"/>
          <w:sz w:val="24"/>
          <w:u w:val="single"/>
        </w:rPr>
        <w:t> ；</w:t>
      </w:r>
    </w:p>
    <w:p w14:paraId="32432058">
      <w:pPr>
        <w:spacing w:line="360" w:lineRule="auto"/>
        <w:ind w:firstLine="480" w:firstLineChars="200"/>
        <w:rPr>
          <w:rFonts w:ascii="宋体" w:hAnsi="宋体" w:cs="宋体"/>
          <w:sz w:val="24"/>
        </w:rPr>
      </w:pPr>
      <w:r>
        <w:rPr>
          <w:rFonts w:hint="eastAsia" w:ascii="宋体" w:hAnsi="宋体" w:cs="宋体"/>
          <w:sz w:val="24"/>
        </w:rPr>
        <w:t>安全生产考核合格证书号：</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w:t>
      </w:r>
    </w:p>
    <w:p w14:paraId="57ACEF89">
      <w:pPr>
        <w:spacing w:line="360" w:lineRule="auto"/>
        <w:ind w:firstLine="480" w:firstLineChars="200"/>
        <w:rPr>
          <w:rFonts w:ascii="宋体" w:hAnsi="宋体" w:cs="宋体"/>
          <w:sz w:val="24"/>
        </w:rPr>
      </w:pPr>
      <w:r>
        <w:rPr>
          <w:rFonts w:hint="eastAsia" w:ascii="宋体" w:hAnsi="宋体" w:cs="宋体"/>
          <w:sz w:val="24"/>
        </w:rPr>
        <w:t>联系电话：</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w:t>
      </w:r>
    </w:p>
    <w:p w14:paraId="223729AE">
      <w:pPr>
        <w:spacing w:line="360" w:lineRule="auto"/>
        <w:ind w:firstLine="480" w:firstLineChars="200"/>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w:t>
      </w:r>
    </w:p>
    <w:p w14:paraId="4740DB2B">
      <w:pPr>
        <w:spacing w:line="360" w:lineRule="auto"/>
        <w:ind w:firstLine="480" w:firstLineChars="200"/>
        <w:rPr>
          <w:rFonts w:ascii="宋体" w:hAnsi="宋体" w:cs="宋体"/>
          <w:sz w:val="24"/>
          <w:u w:val="single"/>
        </w:rPr>
      </w:pPr>
      <w:r>
        <w:rPr>
          <w:rFonts w:hint="eastAsia" w:ascii="宋体" w:hAnsi="宋体" w:cs="宋体"/>
          <w:sz w:val="24"/>
        </w:rPr>
        <w:t>通信地址：</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w:t>
      </w:r>
    </w:p>
    <w:p w14:paraId="5D1EDAC2">
      <w:pPr>
        <w:spacing w:line="360" w:lineRule="auto"/>
        <w:ind w:firstLine="480" w:firstLineChars="200"/>
        <w:rPr>
          <w:rFonts w:ascii="宋体" w:hAnsi="宋体" w:cs="宋体"/>
          <w:sz w:val="24"/>
          <w:u w:val="single"/>
        </w:rPr>
      </w:pPr>
      <w:r>
        <w:rPr>
          <w:rFonts w:hint="eastAsia" w:ascii="宋体" w:hAnsi="宋体" w:cs="宋体"/>
          <w:sz w:val="24"/>
        </w:rPr>
        <w:t>承包人对项目经理的授权范围如下：</w:t>
      </w:r>
      <w:r>
        <w:rPr>
          <w:rFonts w:hint="eastAsia" w:ascii="宋体" w:hAnsi="宋体" w:cs="宋体"/>
          <w:sz w:val="24"/>
          <w:u w:val="single"/>
        </w:rPr>
        <w:t>项目经理需对本工程质量、</w:t>
      </w:r>
      <w:r>
        <w:fldChar w:fldCharType="begin"/>
      </w:r>
      <w:r>
        <w:instrText xml:space="preserve"> HYPERLINK "http://baike.baidu.com/subview/4547/8036693.htm" \t "_blank" </w:instrText>
      </w:r>
      <w:r>
        <w:fldChar w:fldCharType="separate"/>
      </w:r>
      <w:r>
        <w:rPr>
          <w:rFonts w:hint="eastAsia" w:ascii="宋体" w:hAnsi="宋体" w:cs="宋体"/>
          <w:sz w:val="24"/>
          <w:u w:val="single"/>
        </w:rPr>
        <w:t>安全</w:t>
      </w:r>
      <w:r>
        <w:rPr>
          <w:rFonts w:hint="eastAsia" w:ascii="宋体" w:hAnsi="宋体" w:cs="宋体"/>
          <w:sz w:val="24"/>
          <w:u w:val="single"/>
        </w:rPr>
        <w:fldChar w:fldCharType="end"/>
      </w:r>
      <w:r>
        <w:rPr>
          <w:rFonts w:hint="eastAsia" w:ascii="宋体" w:hAnsi="宋体" w:cs="宋体"/>
          <w:sz w:val="24"/>
          <w:u w:val="single"/>
        </w:rPr>
        <w:t>、</w:t>
      </w:r>
      <w:r>
        <w:fldChar w:fldCharType="begin"/>
      </w:r>
      <w:r>
        <w:instrText xml:space="preserve"> HYPERLINK "http://baike.baidu.com/view/716226.htm" \t "_blank" </w:instrText>
      </w:r>
      <w:r>
        <w:fldChar w:fldCharType="separate"/>
      </w:r>
      <w:r>
        <w:rPr>
          <w:rFonts w:hint="eastAsia" w:ascii="宋体" w:hAnsi="宋体" w:cs="宋体"/>
          <w:sz w:val="24"/>
          <w:u w:val="single"/>
        </w:rPr>
        <w:t>进度</w:t>
      </w:r>
      <w:r>
        <w:rPr>
          <w:rFonts w:hint="eastAsia" w:ascii="宋体" w:hAnsi="宋体" w:cs="宋体"/>
          <w:sz w:val="24"/>
          <w:u w:val="single"/>
        </w:rPr>
        <w:fldChar w:fldCharType="end"/>
      </w:r>
      <w:r>
        <w:rPr>
          <w:rFonts w:hint="eastAsia" w:ascii="宋体" w:hAnsi="宋体" w:cs="宋体"/>
          <w:sz w:val="24"/>
          <w:u w:val="single"/>
        </w:rPr>
        <w:t>、</w:t>
      </w:r>
      <w:r>
        <w:fldChar w:fldCharType="begin"/>
      </w:r>
      <w:r>
        <w:instrText xml:space="preserve"> HYPERLINK "http://baike.baidu.com/view/45395.htm" \t "_blank" </w:instrText>
      </w:r>
      <w:r>
        <w:fldChar w:fldCharType="separate"/>
      </w:r>
      <w:r>
        <w:rPr>
          <w:rFonts w:hint="eastAsia" w:ascii="宋体" w:hAnsi="宋体" w:cs="宋体"/>
          <w:sz w:val="24"/>
          <w:u w:val="single"/>
        </w:rPr>
        <w:t>成本</w:t>
      </w:r>
      <w:r>
        <w:rPr>
          <w:rFonts w:hint="eastAsia" w:ascii="宋体" w:hAnsi="宋体" w:cs="宋体"/>
          <w:sz w:val="24"/>
          <w:u w:val="single"/>
        </w:rPr>
        <w:fldChar w:fldCharType="end"/>
      </w:r>
      <w:r>
        <w:rPr>
          <w:rFonts w:hint="eastAsia" w:ascii="宋体" w:hAnsi="宋体" w:cs="宋体"/>
          <w:sz w:val="24"/>
          <w:u w:val="single"/>
        </w:rPr>
        <w:t>、文明施工等全权负责，在开工日期3天前，承包人应将其委托的项目经理的授权范围明细以书面形式送交发包人。</w:t>
      </w:r>
    </w:p>
    <w:p w14:paraId="6BF436B2">
      <w:pPr>
        <w:spacing w:line="360" w:lineRule="auto"/>
        <w:ind w:firstLine="480" w:firstLineChars="200"/>
        <w:rPr>
          <w:rFonts w:ascii="宋体" w:hAnsi="宋体" w:cs="宋体"/>
          <w:kern w:val="0"/>
          <w:sz w:val="24"/>
        </w:rPr>
      </w:pPr>
      <w:r>
        <w:rPr>
          <w:rFonts w:hint="eastAsia" w:ascii="宋体" w:hAnsi="宋体" w:cs="宋体"/>
          <w:sz w:val="24"/>
        </w:rPr>
        <w:t>关于项目经理每月在施工现场的时间要求：</w:t>
      </w:r>
      <w:r>
        <w:rPr>
          <w:rFonts w:hint="eastAsia" w:ascii="宋体" w:hAnsi="宋体" w:cs="宋体"/>
          <w:sz w:val="24"/>
          <w:u w:val="single"/>
        </w:rPr>
        <w:t>到位率85%，重要施工工序或环节时项目经理、技术负责人等必须到场</w:t>
      </w:r>
      <w:r>
        <w:rPr>
          <w:rFonts w:hint="eastAsia" w:ascii="宋体" w:hAnsi="宋体" w:cs="宋体"/>
          <w:sz w:val="24"/>
        </w:rPr>
        <w:t>。</w:t>
      </w:r>
    </w:p>
    <w:p w14:paraId="03541A61">
      <w:pPr>
        <w:spacing w:line="360" w:lineRule="auto"/>
        <w:ind w:firstLine="480" w:firstLineChars="200"/>
        <w:rPr>
          <w:rFonts w:ascii="宋体" w:hAnsi="宋体" w:cs="宋体"/>
          <w:sz w:val="24"/>
          <w:u w:val="single"/>
        </w:rPr>
      </w:pPr>
      <w:r>
        <w:rPr>
          <w:rFonts w:hint="eastAsia" w:ascii="宋体" w:hAnsi="宋体" w:cs="宋体"/>
          <w:sz w:val="24"/>
        </w:rPr>
        <w:t>承包人未提交劳动合同，以及没有为项目经理缴纳社会保险证明的违约责任：</w:t>
      </w:r>
      <w:r>
        <w:rPr>
          <w:rFonts w:hint="eastAsia" w:ascii="宋体" w:hAnsi="宋体" w:cs="宋体"/>
          <w:sz w:val="24"/>
          <w:u w:val="single"/>
        </w:rPr>
        <w:t>发包人有权要求终止合同并由承包人赔偿由此造成的一切损失。</w:t>
      </w:r>
    </w:p>
    <w:p w14:paraId="663CE85D">
      <w:pPr>
        <w:tabs>
          <w:tab w:val="left" w:pos="720"/>
        </w:tabs>
        <w:spacing w:line="360" w:lineRule="auto"/>
        <w:ind w:firstLine="480" w:firstLineChars="200"/>
        <w:rPr>
          <w:rFonts w:ascii="宋体" w:hAnsi="宋体" w:cs="宋体"/>
          <w:sz w:val="24"/>
          <w:u w:val="single"/>
        </w:rPr>
      </w:pPr>
      <w:r>
        <w:rPr>
          <w:rFonts w:hint="eastAsia" w:ascii="宋体" w:hAnsi="宋体" w:cs="宋体"/>
          <w:sz w:val="24"/>
        </w:rPr>
        <w:t>项目经理未经批准，擅自离开施工现场的违约责任：</w:t>
      </w:r>
      <w:r>
        <w:rPr>
          <w:rFonts w:hint="eastAsia" w:ascii="宋体" w:hAnsi="宋体" w:cs="宋体"/>
          <w:sz w:val="24"/>
          <w:u w:val="single"/>
        </w:rPr>
        <w:t>按违约金人民币1000元/天或1000元/次从结算款中扣除</w:t>
      </w:r>
      <w:r>
        <w:rPr>
          <w:rFonts w:hint="eastAsia" w:ascii="宋体" w:hAnsi="宋体" w:cs="宋体"/>
          <w:sz w:val="24"/>
        </w:rPr>
        <w:t>。</w:t>
      </w:r>
    </w:p>
    <w:p w14:paraId="08FAC8EE">
      <w:pPr>
        <w:spacing w:line="360" w:lineRule="auto"/>
        <w:ind w:firstLine="360" w:firstLineChars="150"/>
        <w:rPr>
          <w:rFonts w:ascii="宋体" w:hAnsi="宋体" w:cs="宋体"/>
          <w:sz w:val="24"/>
          <w:u w:val="single"/>
        </w:rPr>
      </w:pPr>
      <w:r>
        <w:rPr>
          <w:rFonts w:hint="eastAsia" w:ascii="宋体" w:hAnsi="宋体" w:cs="宋体"/>
          <w:sz w:val="24"/>
        </w:rPr>
        <w:t>3.2.3 承包人擅自更换项目经理的违约责任：</w:t>
      </w:r>
    </w:p>
    <w:p w14:paraId="57CF1AA9">
      <w:pPr>
        <w:snapToGrid w:val="0"/>
        <w:spacing w:line="360" w:lineRule="auto"/>
        <w:ind w:firstLine="480" w:firstLineChars="200"/>
        <w:rPr>
          <w:rFonts w:ascii="宋体" w:hAnsi="宋体" w:cs="宋体"/>
          <w:sz w:val="24"/>
          <w:u w:val="single"/>
        </w:rPr>
      </w:pPr>
      <w:r>
        <w:rPr>
          <w:rFonts w:hint="eastAsia" w:ascii="宋体" w:hAnsi="宋体" w:cs="宋体"/>
          <w:sz w:val="24"/>
        </w:rPr>
        <w:t>（1）</w:t>
      </w:r>
      <w:r>
        <w:rPr>
          <w:rFonts w:hint="eastAsia" w:ascii="宋体" w:hAnsi="宋体" w:cs="宋体"/>
          <w:kern w:val="0"/>
          <w:sz w:val="24"/>
        </w:rPr>
        <w:t>承包人确需更换项目经理的，继任项目经理注册执业资格、管理经验的约定：</w:t>
      </w:r>
      <w:r>
        <w:rPr>
          <w:rFonts w:hint="eastAsia" w:ascii="宋体" w:hAnsi="宋体" w:cs="宋体"/>
          <w:kern w:val="0"/>
          <w:sz w:val="24"/>
          <w:u w:val="single"/>
        </w:rPr>
        <w:t xml:space="preserve"> </w:t>
      </w:r>
      <w:r>
        <w:rPr>
          <w:rFonts w:hint="eastAsia" w:ascii="宋体" w:hAnsi="宋体" w:cs="宋体"/>
          <w:sz w:val="24"/>
          <w:u w:val="single"/>
        </w:rPr>
        <w:t>不得低于原项目经理的注册执业资格、管理经验</w:t>
      </w:r>
      <w:r>
        <w:rPr>
          <w:rFonts w:hint="eastAsia" w:ascii="宋体" w:hAnsi="宋体" w:cs="宋体"/>
          <w:kern w:val="0"/>
          <w:sz w:val="24"/>
          <w:u w:val="single"/>
        </w:rPr>
        <w:t xml:space="preserve"> </w:t>
      </w:r>
      <w:r>
        <w:rPr>
          <w:rFonts w:hint="eastAsia" w:ascii="宋体" w:hAnsi="宋体" w:cs="宋体"/>
          <w:kern w:val="0"/>
          <w:sz w:val="24"/>
        </w:rPr>
        <w:t>。</w:t>
      </w:r>
    </w:p>
    <w:p w14:paraId="13B853F6">
      <w:pPr>
        <w:snapToGrid w:val="0"/>
        <w:spacing w:line="360" w:lineRule="auto"/>
        <w:ind w:firstLine="480" w:firstLineChars="200"/>
        <w:rPr>
          <w:rFonts w:ascii="宋体" w:hAnsi="宋体" w:cs="宋体"/>
          <w:sz w:val="24"/>
        </w:rPr>
      </w:pPr>
      <w:r>
        <w:rPr>
          <w:rFonts w:hint="eastAsia" w:ascii="宋体" w:hAnsi="宋体" w:cs="宋体"/>
          <w:kern w:val="0"/>
          <w:sz w:val="24"/>
        </w:rPr>
        <w:t>（2）</w:t>
      </w:r>
      <w:r>
        <w:rPr>
          <w:rFonts w:hint="eastAsia" w:ascii="宋体" w:hAnsi="宋体" w:cs="宋体"/>
          <w:sz w:val="24"/>
        </w:rPr>
        <w:t>承包人擅自更换项目经理的违约责任：</w:t>
      </w:r>
      <w:r>
        <w:rPr>
          <w:rFonts w:hint="eastAsia" w:ascii="宋体" w:hAnsi="宋体" w:cs="宋体"/>
          <w:sz w:val="24"/>
          <w:u w:val="single"/>
        </w:rPr>
        <w:t>在施工期间不准更换，特殊情况要求更换的项目经理的，须经发包人同意。承包人更换项目经理的将被视为承包人违约，并按照0.5万元/人/次付给发包人违约。</w:t>
      </w:r>
    </w:p>
    <w:p w14:paraId="7E3220F1">
      <w:pPr>
        <w:snapToGrid w:val="0"/>
        <w:spacing w:line="360" w:lineRule="auto"/>
        <w:ind w:firstLine="480" w:firstLineChars="200"/>
        <w:rPr>
          <w:rFonts w:ascii="宋体" w:hAnsi="宋体" w:cs="宋体"/>
          <w:sz w:val="24"/>
          <w:u w:val="single"/>
        </w:rPr>
      </w:pPr>
      <w:r>
        <w:rPr>
          <w:rFonts w:hint="eastAsia" w:ascii="宋体" w:hAnsi="宋体" w:cs="宋体"/>
          <w:sz w:val="24"/>
        </w:rPr>
        <w:t>3.2.4 承包人无正当理由拒绝更换项目经理的违约责任：</w:t>
      </w:r>
      <w:r>
        <w:rPr>
          <w:rFonts w:hint="eastAsia" w:ascii="宋体" w:hAnsi="宋体" w:cs="宋体"/>
          <w:sz w:val="24"/>
          <w:u w:val="single"/>
        </w:rPr>
        <w:t>从结算款中扣除0.5万元/人/次的违约金。</w:t>
      </w:r>
    </w:p>
    <w:p w14:paraId="58FF977A">
      <w:pPr>
        <w:snapToGrid w:val="0"/>
        <w:spacing w:line="360" w:lineRule="auto"/>
        <w:ind w:firstLine="480" w:firstLineChars="200"/>
        <w:rPr>
          <w:rFonts w:ascii="宋体" w:hAnsi="宋体" w:cs="宋体"/>
          <w:sz w:val="24"/>
        </w:rPr>
      </w:pPr>
      <w:r>
        <w:rPr>
          <w:rFonts w:hint="eastAsia" w:ascii="宋体" w:hAnsi="宋体" w:cs="宋体"/>
          <w:sz w:val="24"/>
        </w:rPr>
        <w:t>3.3 承包人人员</w:t>
      </w:r>
    </w:p>
    <w:p w14:paraId="43FE8727">
      <w:pPr>
        <w:spacing w:line="360" w:lineRule="auto"/>
        <w:ind w:firstLine="480" w:firstLineChars="200"/>
        <w:rPr>
          <w:rFonts w:ascii="宋体" w:hAnsi="宋体" w:cs="宋体"/>
          <w:sz w:val="24"/>
          <w:u w:val="single"/>
        </w:rPr>
      </w:pPr>
      <w:r>
        <w:rPr>
          <w:rFonts w:hint="eastAsia" w:ascii="宋体" w:hAnsi="宋体" w:cs="宋体"/>
          <w:sz w:val="24"/>
        </w:rPr>
        <w:t>3.3.1 承包人提交项目管理机构及施工现场管理人员安排报告的期限：</w:t>
      </w:r>
      <w:r>
        <w:rPr>
          <w:rFonts w:hint="eastAsia" w:ascii="宋体" w:hAnsi="宋体" w:cs="宋体"/>
          <w:sz w:val="24"/>
          <w:u w:val="single"/>
        </w:rPr>
        <w:t>合同签订后7天内。</w:t>
      </w:r>
    </w:p>
    <w:p w14:paraId="2A8D95BC">
      <w:pPr>
        <w:snapToGrid w:val="0"/>
        <w:spacing w:line="360" w:lineRule="auto"/>
        <w:ind w:firstLine="480" w:firstLineChars="200"/>
        <w:rPr>
          <w:rFonts w:ascii="宋体" w:hAnsi="宋体" w:cs="宋体"/>
          <w:sz w:val="24"/>
        </w:rPr>
      </w:pPr>
      <w:r>
        <w:rPr>
          <w:rFonts w:hint="eastAsia" w:ascii="宋体" w:hAnsi="宋体" w:cs="宋体"/>
          <w:sz w:val="24"/>
        </w:rPr>
        <w:t>3.3.2 承包人需更换主要施工管理人员的，继任人员的数量、注册执业资格、管理经验的约定：</w:t>
      </w:r>
      <w:r>
        <w:rPr>
          <w:rFonts w:hint="eastAsia" w:ascii="宋体" w:hAnsi="宋体" w:cs="宋体"/>
          <w:sz w:val="24"/>
          <w:u w:val="single"/>
        </w:rPr>
        <w:t xml:space="preserve">  </w:t>
      </w:r>
      <w:r>
        <w:rPr>
          <w:rFonts w:hint="eastAsia" w:ascii="宋体" w:hAnsi="宋体" w:cs="宋体"/>
          <w:kern w:val="0"/>
          <w:sz w:val="24"/>
          <w:u w:val="single"/>
        </w:rPr>
        <w:t xml:space="preserve"> </w:t>
      </w:r>
      <w:r>
        <w:rPr>
          <w:rFonts w:hint="eastAsia" w:ascii="宋体" w:hAnsi="宋体" w:cs="宋体"/>
          <w:sz w:val="24"/>
          <w:u w:val="single"/>
        </w:rPr>
        <w:t xml:space="preserve"> 不得低于原主要施工管理人员的数量、注册执业资格、管理经验</w:t>
      </w:r>
      <w:r>
        <w:rPr>
          <w:rFonts w:hint="eastAsia" w:ascii="宋体" w:hAnsi="宋体" w:cs="宋体"/>
          <w:kern w:val="0"/>
          <w:sz w:val="24"/>
          <w:u w:val="single"/>
        </w:rPr>
        <w:t xml:space="preserve"> </w:t>
      </w:r>
      <w:r>
        <w:rPr>
          <w:rFonts w:hint="eastAsia" w:ascii="宋体" w:hAnsi="宋体" w:cs="宋体"/>
          <w:sz w:val="24"/>
        </w:rPr>
        <w:t>。</w:t>
      </w:r>
    </w:p>
    <w:p w14:paraId="76D31F27">
      <w:pPr>
        <w:spacing w:line="360" w:lineRule="auto"/>
        <w:ind w:firstLine="480" w:firstLineChars="200"/>
        <w:rPr>
          <w:rFonts w:ascii="宋体" w:hAnsi="宋体" w:cs="宋体"/>
          <w:sz w:val="24"/>
        </w:rPr>
      </w:pPr>
      <w:r>
        <w:rPr>
          <w:rFonts w:hint="eastAsia" w:ascii="宋体" w:hAnsi="宋体" w:cs="宋体"/>
          <w:sz w:val="24"/>
        </w:rPr>
        <w:t>3.3.3 承包人无正当理由拒绝撤换主要施工管理人员的违约责任：</w:t>
      </w:r>
      <w:r>
        <w:rPr>
          <w:rFonts w:hint="eastAsia" w:ascii="宋体" w:hAnsi="宋体" w:cs="宋体"/>
          <w:sz w:val="24"/>
          <w:u w:val="single"/>
        </w:rPr>
        <w:t>从结算款中扣除2000元/人/次的违约金。</w:t>
      </w:r>
    </w:p>
    <w:p w14:paraId="3E191579">
      <w:pPr>
        <w:spacing w:line="360" w:lineRule="auto"/>
        <w:ind w:firstLine="480" w:firstLineChars="200"/>
        <w:rPr>
          <w:rFonts w:ascii="宋体" w:hAnsi="宋体" w:cs="宋体"/>
          <w:sz w:val="24"/>
        </w:rPr>
      </w:pPr>
      <w:r>
        <w:rPr>
          <w:rFonts w:hint="eastAsia" w:ascii="宋体" w:hAnsi="宋体" w:cs="宋体"/>
          <w:sz w:val="24"/>
        </w:rPr>
        <w:t>3.3.4 承包人主要施工管理人员离开施工现场的批准要求：</w:t>
      </w:r>
      <w:r>
        <w:rPr>
          <w:rFonts w:hint="eastAsia" w:ascii="宋体" w:hAnsi="宋体" w:cs="宋体"/>
          <w:sz w:val="24"/>
          <w:u w:val="single"/>
        </w:rPr>
        <w:t>按500元/人/次向发包人支付违约金。</w:t>
      </w:r>
    </w:p>
    <w:p w14:paraId="18687886">
      <w:pPr>
        <w:spacing w:line="360" w:lineRule="auto"/>
        <w:ind w:firstLine="480" w:firstLineChars="200"/>
        <w:rPr>
          <w:rFonts w:ascii="宋体" w:hAnsi="宋体" w:cs="宋体"/>
          <w:sz w:val="24"/>
        </w:rPr>
      </w:pPr>
      <w:r>
        <w:rPr>
          <w:rFonts w:hint="eastAsia" w:ascii="宋体" w:hAnsi="宋体" w:cs="宋体"/>
          <w:sz w:val="24"/>
        </w:rPr>
        <w:t>3.3.5承包人擅自更换主要施工管理人员的违约责任：</w:t>
      </w:r>
      <w:r>
        <w:rPr>
          <w:rFonts w:hint="eastAsia" w:ascii="宋体" w:hAnsi="宋体" w:cs="宋体"/>
          <w:sz w:val="24"/>
          <w:u w:val="single"/>
        </w:rPr>
        <w:t>在施工期间不准更换，特殊情况要求更换的，须经发包人同意。承包人更换技术负责人、施工员的将被视为承包人违约，并按照1000元/人/次付给发包人违约金。</w:t>
      </w:r>
    </w:p>
    <w:p w14:paraId="1BC293CD">
      <w:pPr>
        <w:spacing w:line="360" w:lineRule="auto"/>
        <w:ind w:firstLine="480" w:firstLineChars="200"/>
        <w:rPr>
          <w:rFonts w:ascii="宋体" w:hAnsi="宋体" w:cs="宋体"/>
          <w:sz w:val="24"/>
        </w:rPr>
      </w:pPr>
      <w:r>
        <w:rPr>
          <w:rFonts w:hint="eastAsia" w:ascii="宋体" w:hAnsi="宋体" w:cs="宋体"/>
          <w:sz w:val="24"/>
        </w:rPr>
        <w:t>承包人主要施工管理人员擅自离开施工现场的违约责任：</w:t>
      </w:r>
      <w:r>
        <w:rPr>
          <w:rFonts w:hint="eastAsia" w:ascii="宋体" w:hAnsi="宋体" w:cs="宋体"/>
          <w:sz w:val="24"/>
          <w:u w:val="single"/>
        </w:rPr>
        <w:t>若技术负责人、施工员出勤率不足投标承诺，支付违约金800元人民币/天/人；安全员、质检员、材料员出勤率不足投标承诺，支付违约金300元人民币/天/人。</w:t>
      </w:r>
    </w:p>
    <w:p w14:paraId="1FDF0C6C">
      <w:pPr>
        <w:spacing w:line="360" w:lineRule="auto"/>
        <w:ind w:firstLine="480" w:firstLineChars="200"/>
        <w:rPr>
          <w:rFonts w:ascii="宋体" w:hAnsi="宋体" w:cs="宋体"/>
          <w:sz w:val="24"/>
        </w:rPr>
      </w:pPr>
      <w:r>
        <w:rPr>
          <w:rFonts w:hint="eastAsia" w:ascii="宋体" w:hAnsi="宋体" w:cs="宋体"/>
          <w:sz w:val="24"/>
        </w:rPr>
        <w:t>3.5 分包</w:t>
      </w:r>
    </w:p>
    <w:p w14:paraId="3892F1B2">
      <w:pPr>
        <w:spacing w:line="360" w:lineRule="auto"/>
        <w:ind w:firstLine="480" w:firstLineChars="200"/>
        <w:rPr>
          <w:rFonts w:ascii="宋体" w:hAnsi="宋体" w:cs="宋体"/>
          <w:sz w:val="24"/>
        </w:rPr>
      </w:pPr>
      <w:r>
        <w:rPr>
          <w:rFonts w:hint="eastAsia" w:ascii="宋体" w:hAnsi="宋体" w:cs="宋体"/>
          <w:sz w:val="24"/>
        </w:rPr>
        <w:t>3.5.1 分包的一般约定</w:t>
      </w:r>
    </w:p>
    <w:p w14:paraId="39EFDB20">
      <w:pPr>
        <w:spacing w:line="360" w:lineRule="auto"/>
        <w:ind w:firstLine="480" w:firstLineChars="200"/>
        <w:rPr>
          <w:rFonts w:ascii="宋体" w:hAnsi="宋体" w:cs="宋体"/>
          <w:sz w:val="24"/>
          <w:u w:val="single"/>
        </w:rPr>
      </w:pPr>
      <w:r>
        <w:rPr>
          <w:rFonts w:hint="eastAsia" w:ascii="宋体" w:hAnsi="宋体" w:cs="宋体"/>
          <w:sz w:val="24"/>
        </w:rPr>
        <w:t>禁止分包的工程包括：</w:t>
      </w:r>
      <w:r>
        <w:rPr>
          <w:rFonts w:hint="eastAsia" w:ascii="宋体" w:hAnsi="宋体" w:cs="宋体"/>
          <w:sz w:val="24"/>
          <w:u w:val="single"/>
        </w:rPr>
        <w:t>本合同所有施工内容</w:t>
      </w:r>
    </w:p>
    <w:p w14:paraId="249D6387">
      <w:pPr>
        <w:spacing w:line="360" w:lineRule="auto"/>
        <w:ind w:firstLine="480" w:firstLineChars="200"/>
        <w:rPr>
          <w:rFonts w:ascii="宋体" w:hAnsi="宋体" w:cs="宋体"/>
          <w:sz w:val="24"/>
          <w:u w:val="single"/>
        </w:rPr>
      </w:pPr>
      <w:r>
        <w:rPr>
          <w:rFonts w:hint="eastAsia" w:ascii="宋体" w:hAnsi="宋体" w:cs="宋体"/>
          <w:sz w:val="24"/>
        </w:rPr>
        <w:t>主体结构、关键性工作的范围：</w:t>
      </w:r>
      <w:r>
        <w:rPr>
          <w:rFonts w:hint="eastAsia" w:ascii="宋体" w:hAnsi="宋体" w:cs="宋体"/>
          <w:sz w:val="24"/>
          <w:u w:val="single"/>
        </w:rPr>
        <w:t xml:space="preserve">/ </w:t>
      </w:r>
    </w:p>
    <w:p w14:paraId="73BDE98C">
      <w:pPr>
        <w:spacing w:line="360" w:lineRule="auto"/>
        <w:rPr>
          <w:rFonts w:ascii="宋体" w:hAnsi="宋体" w:cs="宋体"/>
          <w:sz w:val="24"/>
        </w:rPr>
      </w:pPr>
      <w:r>
        <w:rPr>
          <w:rFonts w:hint="eastAsia" w:ascii="宋体" w:hAnsi="宋体" w:cs="宋体"/>
          <w:sz w:val="24"/>
        </w:rPr>
        <w:t xml:space="preserve">    3.5.2分包的确定</w:t>
      </w:r>
    </w:p>
    <w:p w14:paraId="4FB2343D">
      <w:pPr>
        <w:spacing w:line="360" w:lineRule="auto"/>
        <w:ind w:firstLine="480" w:firstLineChars="200"/>
        <w:rPr>
          <w:rFonts w:ascii="宋体" w:hAnsi="宋体" w:cs="宋体"/>
          <w:sz w:val="24"/>
          <w:u w:val="single"/>
        </w:rPr>
      </w:pPr>
      <w:r>
        <w:rPr>
          <w:rFonts w:hint="eastAsia" w:ascii="宋体" w:hAnsi="宋体" w:cs="宋体"/>
          <w:sz w:val="24"/>
        </w:rPr>
        <w:t>允许分包的专业工程包括：</w:t>
      </w:r>
      <w:r>
        <w:rPr>
          <w:rFonts w:hint="eastAsia" w:ascii="宋体" w:hAnsi="宋体" w:cs="宋体"/>
          <w:sz w:val="24"/>
          <w:u w:val="single"/>
        </w:rPr>
        <w:t>无。</w:t>
      </w:r>
    </w:p>
    <w:p w14:paraId="5E5C9687">
      <w:pPr>
        <w:spacing w:line="360" w:lineRule="auto"/>
        <w:ind w:firstLine="480" w:firstLineChars="200"/>
        <w:rPr>
          <w:rFonts w:ascii="宋体" w:hAnsi="宋体" w:cs="宋体"/>
          <w:sz w:val="24"/>
          <w:u w:val="single"/>
        </w:rPr>
      </w:pPr>
      <w:r>
        <w:rPr>
          <w:rFonts w:hint="eastAsia" w:ascii="宋体" w:hAnsi="宋体" w:cs="宋体"/>
          <w:sz w:val="24"/>
        </w:rPr>
        <w:t>其他关于分包的约定：</w:t>
      </w:r>
      <w:r>
        <w:rPr>
          <w:rFonts w:hint="eastAsia" w:ascii="宋体" w:hAnsi="宋体" w:cs="宋体"/>
          <w:sz w:val="24"/>
          <w:u w:val="single"/>
        </w:rPr>
        <w:t>承包人不得以任何形式进行转包或分包本合同所有施工内容，否则，发包人有权解除本合同、拒付（或要求承包人退还已收）工程款，承包人还应按合同总价款的20%向发包人支付违约金。</w:t>
      </w:r>
    </w:p>
    <w:p w14:paraId="31E1340B">
      <w:pPr>
        <w:spacing w:line="360" w:lineRule="auto"/>
        <w:ind w:firstLine="480" w:firstLineChars="200"/>
        <w:rPr>
          <w:rFonts w:ascii="宋体" w:hAnsi="宋体" w:cs="宋体"/>
          <w:sz w:val="24"/>
        </w:rPr>
      </w:pPr>
      <w:r>
        <w:rPr>
          <w:rFonts w:hint="eastAsia" w:ascii="宋体" w:hAnsi="宋体" w:cs="宋体"/>
          <w:sz w:val="24"/>
        </w:rPr>
        <w:t>3.5.4 分包合同价款</w:t>
      </w:r>
    </w:p>
    <w:p w14:paraId="1A899872">
      <w:pPr>
        <w:spacing w:line="360" w:lineRule="auto"/>
        <w:ind w:firstLine="480" w:firstLineChars="200"/>
        <w:rPr>
          <w:rFonts w:ascii="宋体" w:hAnsi="宋体" w:cs="宋体"/>
          <w:sz w:val="24"/>
          <w:u w:val="single"/>
        </w:rPr>
      </w:pPr>
      <w:r>
        <w:rPr>
          <w:rFonts w:hint="eastAsia" w:ascii="宋体" w:hAnsi="宋体" w:cs="宋体"/>
          <w:sz w:val="24"/>
        </w:rPr>
        <w:t>关于分包合同价款支付的约定：</w:t>
      </w:r>
      <w:r>
        <w:rPr>
          <w:rFonts w:hint="eastAsia" w:ascii="宋体" w:hAnsi="宋体" w:cs="宋体"/>
          <w:sz w:val="24"/>
          <w:u w:val="single"/>
        </w:rPr>
        <w:t xml:space="preserve">  /  </w:t>
      </w:r>
    </w:p>
    <w:p w14:paraId="0ABAC256">
      <w:pPr>
        <w:spacing w:line="360" w:lineRule="auto"/>
        <w:ind w:firstLine="480" w:firstLineChars="200"/>
        <w:rPr>
          <w:rFonts w:ascii="宋体" w:hAnsi="宋体" w:cs="宋体"/>
          <w:sz w:val="24"/>
        </w:rPr>
      </w:pPr>
      <w:r>
        <w:rPr>
          <w:rFonts w:hint="eastAsia" w:ascii="宋体" w:hAnsi="宋体" w:cs="宋体"/>
          <w:sz w:val="24"/>
        </w:rPr>
        <w:t>3.6 工程照管与成品、半成品保护：</w:t>
      </w:r>
      <w:r>
        <w:rPr>
          <w:rFonts w:hint="eastAsia" w:ascii="宋体" w:hAnsi="宋体" w:cs="宋体"/>
          <w:sz w:val="24"/>
          <w:u w:val="single"/>
        </w:rPr>
        <w:t>承包人负责照管工程及工程相关的材料、工程设备的起始时间：已完工程和设备未交付发包人之前，承包人负责与承包内容相关的所有成品和设备的保护工作，保护期间发生损坏，承包人承担修复费用。由发包人造成的损坏，发包人承担费用，修复工作由承包人负责，因此造成关键路径延误的，竣工日期相应延长。但由发包人以外的第三方造成的损害，费用的承担由承包人向发包人负责，承包人与第三方自行解决，工期不得延长。工程未办理竣工验收交付发包人前，承包人有责任为承包范围内的已完工程或其他任何部位进行保护，费用由承包人承担。</w:t>
      </w:r>
    </w:p>
    <w:p w14:paraId="63A6AED8">
      <w:pPr>
        <w:spacing w:line="360" w:lineRule="auto"/>
        <w:ind w:firstLine="480" w:firstLineChars="200"/>
        <w:rPr>
          <w:rFonts w:ascii="宋体" w:hAnsi="宋体" w:cs="宋体"/>
          <w:sz w:val="24"/>
        </w:rPr>
      </w:pPr>
      <w:r>
        <w:rPr>
          <w:rFonts w:hint="eastAsia" w:ascii="宋体" w:hAnsi="宋体" w:cs="宋体"/>
          <w:sz w:val="24"/>
        </w:rPr>
        <w:t>3.7 履约担保</w:t>
      </w:r>
    </w:p>
    <w:p w14:paraId="5F1BB172">
      <w:pPr>
        <w:spacing w:line="360" w:lineRule="auto"/>
        <w:ind w:firstLine="480" w:firstLineChars="200"/>
        <w:rPr>
          <w:rFonts w:ascii="宋体" w:hAnsi="宋体" w:cs="宋体"/>
          <w:sz w:val="24"/>
          <w:u w:val="single"/>
        </w:rPr>
      </w:pPr>
      <w:r>
        <w:rPr>
          <w:rFonts w:hint="eastAsia" w:ascii="宋体" w:hAnsi="宋体" w:cs="宋体"/>
          <w:sz w:val="24"/>
        </w:rPr>
        <w:t>承包人是否提供履约担保：</w:t>
      </w:r>
      <w:r>
        <w:rPr>
          <w:rFonts w:hint="eastAsia" w:ascii="宋体" w:hAnsi="宋体" w:cs="宋体"/>
          <w:sz w:val="24"/>
          <w:u w:val="single"/>
        </w:rPr>
        <w:t xml:space="preserve"> 是 。</w:t>
      </w:r>
    </w:p>
    <w:p w14:paraId="0E14D628">
      <w:pPr>
        <w:spacing w:line="360" w:lineRule="auto"/>
        <w:ind w:firstLine="480" w:firstLineChars="200"/>
        <w:rPr>
          <w:rFonts w:ascii="宋体" w:hAnsi="宋体" w:cs="宋体"/>
          <w:sz w:val="24"/>
          <w:u w:val="single"/>
        </w:rPr>
      </w:pPr>
      <w:r>
        <w:rPr>
          <w:rFonts w:hint="eastAsia" w:ascii="宋体" w:hAnsi="宋体" w:cs="宋体"/>
          <w:sz w:val="24"/>
        </w:rPr>
        <w:t>履约担保的形式：</w:t>
      </w:r>
      <w:r>
        <w:rPr>
          <w:rFonts w:hint="eastAsia" w:ascii="宋体" w:hAnsi="宋体" w:cs="宋体"/>
          <w:sz w:val="24"/>
          <w:u w:val="single"/>
        </w:rPr>
        <w:t xml:space="preserve"> 履约保证金。</w:t>
      </w:r>
    </w:p>
    <w:p w14:paraId="197D5670">
      <w:pPr>
        <w:spacing w:line="360" w:lineRule="auto"/>
        <w:ind w:firstLine="480" w:firstLineChars="200"/>
        <w:rPr>
          <w:rFonts w:ascii="宋体" w:hAnsi="宋体" w:cs="宋体"/>
          <w:sz w:val="24"/>
          <w:u w:val="single"/>
        </w:rPr>
      </w:pPr>
      <w:r>
        <w:rPr>
          <w:rFonts w:hint="eastAsia" w:ascii="宋体" w:hAnsi="宋体" w:cs="宋体"/>
          <w:sz w:val="24"/>
        </w:rPr>
        <w:t>履约担保的金额：</w:t>
      </w:r>
      <w:r>
        <w:rPr>
          <w:rFonts w:hint="eastAsia" w:ascii="宋体" w:hAnsi="宋体" w:cs="宋体"/>
          <w:sz w:val="24"/>
          <w:u w:val="single"/>
        </w:rPr>
        <w:t>本合同总价的2%作为履约保证金，由承包人于本合同签订后7日内以支票、汇票或银行转账向发包人支付。</w:t>
      </w:r>
    </w:p>
    <w:p w14:paraId="2731308D">
      <w:pPr>
        <w:spacing w:line="360" w:lineRule="auto"/>
        <w:ind w:firstLine="480" w:firstLineChars="200"/>
        <w:rPr>
          <w:rFonts w:ascii="宋体" w:hAnsi="宋体" w:cs="宋体"/>
          <w:sz w:val="24"/>
        </w:rPr>
      </w:pPr>
      <w:r>
        <w:rPr>
          <w:rFonts w:hint="eastAsia" w:ascii="宋体" w:hAnsi="宋体" w:cs="宋体"/>
          <w:sz w:val="24"/>
        </w:rPr>
        <w:t>履约担保的期限：工程竣工验收合格并交付发包人使用</w:t>
      </w:r>
      <w:r>
        <w:rPr>
          <w:rFonts w:hint="eastAsia" w:ascii="宋体" w:hAnsi="宋体" w:cs="宋体"/>
          <w:sz w:val="24"/>
          <w:u w:val="single"/>
        </w:rPr>
        <w:t>前保持有效</w:t>
      </w:r>
      <w:r>
        <w:rPr>
          <w:rFonts w:hint="eastAsia" w:ascii="宋体" w:hAnsi="宋体" w:cs="宋体"/>
          <w:sz w:val="24"/>
        </w:rPr>
        <w:t>。</w:t>
      </w:r>
    </w:p>
    <w:p w14:paraId="67DE21CD">
      <w:pPr>
        <w:topLinePunct/>
        <w:spacing w:line="360" w:lineRule="auto"/>
        <w:ind w:firstLine="420"/>
        <w:rPr>
          <w:rFonts w:ascii="宋体" w:hAnsi="宋体" w:cs="宋体"/>
          <w:b/>
          <w:sz w:val="24"/>
        </w:rPr>
      </w:pPr>
      <w:r>
        <w:rPr>
          <w:rFonts w:hint="eastAsia" w:ascii="宋体" w:hAnsi="宋体" w:cs="宋体"/>
          <w:b/>
          <w:sz w:val="24"/>
        </w:rPr>
        <w:t>4. 监理人</w:t>
      </w:r>
    </w:p>
    <w:p w14:paraId="4A452BBC">
      <w:pPr>
        <w:spacing w:line="360" w:lineRule="auto"/>
        <w:ind w:firstLine="480" w:firstLineChars="200"/>
        <w:rPr>
          <w:rFonts w:ascii="宋体" w:hAnsi="宋体" w:cs="宋体"/>
          <w:sz w:val="24"/>
        </w:rPr>
      </w:pPr>
      <w:r>
        <w:rPr>
          <w:rFonts w:hint="eastAsia" w:ascii="宋体" w:hAnsi="宋体" w:cs="宋体"/>
          <w:sz w:val="24"/>
        </w:rPr>
        <w:t>4.1监理人的一般规定</w:t>
      </w:r>
    </w:p>
    <w:p w14:paraId="1F450994">
      <w:pPr>
        <w:tabs>
          <w:tab w:val="left" w:pos="482"/>
          <w:tab w:val="left" w:pos="2183"/>
          <w:tab w:val="left" w:pos="3884"/>
          <w:tab w:val="left" w:pos="5585"/>
        </w:tabs>
        <w:spacing w:line="360" w:lineRule="auto"/>
        <w:ind w:firstLine="480" w:firstLineChars="200"/>
        <w:rPr>
          <w:rFonts w:ascii="宋体" w:hAnsi="宋体" w:cs="宋体"/>
          <w:sz w:val="24"/>
          <w:u w:val="single"/>
        </w:rPr>
      </w:pPr>
      <w:r>
        <w:rPr>
          <w:rFonts w:hint="eastAsia" w:ascii="宋体" w:hAnsi="宋体" w:cs="宋体"/>
          <w:sz w:val="24"/>
        </w:rPr>
        <w:t>关于监理人的监理内容：</w:t>
      </w:r>
      <w:r>
        <w:rPr>
          <w:rFonts w:hint="eastAsia" w:ascii="宋体" w:hAnsi="宋体" w:cs="宋体"/>
          <w:sz w:val="24"/>
          <w:u w:val="single"/>
        </w:rPr>
        <w:t>/</w:t>
      </w:r>
      <w:r>
        <w:rPr>
          <w:rFonts w:hint="eastAsia" w:ascii="宋体" w:hAnsi="宋体" w:cs="宋体"/>
          <w:sz w:val="24"/>
        </w:rPr>
        <w:t>。</w:t>
      </w:r>
    </w:p>
    <w:p w14:paraId="50C126E6">
      <w:pPr>
        <w:spacing w:line="360" w:lineRule="auto"/>
        <w:ind w:firstLine="480" w:firstLineChars="200"/>
        <w:rPr>
          <w:rFonts w:ascii="宋体" w:hAnsi="宋体" w:cs="宋体"/>
          <w:sz w:val="24"/>
          <w:u w:val="single"/>
        </w:rPr>
      </w:pPr>
      <w:r>
        <w:rPr>
          <w:rFonts w:hint="eastAsia" w:ascii="宋体" w:hAnsi="宋体" w:cs="宋体"/>
          <w:sz w:val="24"/>
        </w:rPr>
        <w:t>关于监理人的监理权限：</w:t>
      </w:r>
      <w:r>
        <w:rPr>
          <w:rFonts w:hint="eastAsia" w:ascii="宋体" w:hAnsi="宋体" w:cs="宋体"/>
          <w:sz w:val="24"/>
          <w:u w:val="single"/>
        </w:rPr>
        <w:t>/。</w:t>
      </w:r>
    </w:p>
    <w:p w14:paraId="2D6B9205">
      <w:pPr>
        <w:spacing w:line="360" w:lineRule="auto"/>
        <w:ind w:firstLine="480" w:firstLineChars="200"/>
        <w:rPr>
          <w:rFonts w:ascii="宋体" w:hAnsi="宋体" w:cs="宋体"/>
          <w:sz w:val="24"/>
          <w:u w:val="single"/>
        </w:rPr>
      </w:pPr>
      <w:r>
        <w:rPr>
          <w:rFonts w:hint="eastAsia" w:ascii="宋体" w:hAnsi="宋体" w:cs="宋体"/>
          <w:sz w:val="24"/>
        </w:rPr>
        <w:t>关于监理人在施工现场的办公场所、生活场所的提供和费用承担的约定：</w:t>
      </w:r>
      <w:r>
        <w:rPr>
          <w:rFonts w:hint="eastAsia" w:ascii="宋体" w:hAnsi="宋体" w:cs="宋体"/>
          <w:sz w:val="24"/>
          <w:u w:val="single"/>
        </w:rPr>
        <w:t>/</w:t>
      </w:r>
    </w:p>
    <w:p w14:paraId="166FC0C8">
      <w:pPr>
        <w:spacing w:line="360" w:lineRule="auto"/>
        <w:ind w:firstLine="480" w:firstLineChars="200"/>
        <w:rPr>
          <w:rFonts w:ascii="宋体" w:hAnsi="宋体" w:cs="宋体"/>
          <w:sz w:val="24"/>
        </w:rPr>
      </w:pPr>
      <w:r>
        <w:rPr>
          <w:rFonts w:hint="eastAsia" w:ascii="宋体" w:hAnsi="宋体" w:cs="宋体"/>
          <w:sz w:val="24"/>
        </w:rPr>
        <w:t>4.2 监理人员</w:t>
      </w:r>
    </w:p>
    <w:p w14:paraId="0295EF1B">
      <w:pPr>
        <w:spacing w:line="360" w:lineRule="auto"/>
        <w:ind w:firstLine="480" w:firstLineChars="200"/>
        <w:rPr>
          <w:rFonts w:ascii="宋体" w:hAnsi="宋体" w:cs="宋体"/>
          <w:sz w:val="24"/>
        </w:rPr>
      </w:pPr>
      <w:r>
        <w:rPr>
          <w:rFonts w:hint="eastAsia" w:ascii="宋体" w:hAnsi="宋体" w:cs="宋体"/>
          <w:sz w:val="24"/>
        </w:rPr>
        <w:t>总监理工程师：</w:t>
      </w:r>
    </w:p>
    <w:p w14:paraId="518A0082">
      <w:pPr>
        <w:spacing w:line="360" w:lineRule="auto"/>
        <w:ind w:firstLine="480" w:firstLineChars="200"/>
        <w:rPr>
          <w:rFonts w:ascii="宋体" w:hAnsi="宋体" w:cs="宋体"/>
          <w:sz w:val="24"/>
        </w:rPr>
      </w:pPr>
      <w:r>
        <w:rPr>
          <w:rFonts w:hint="eastAsia" w:ascii="宋体" w:hAnsi="宋体" w:cs="宋体"/>
          <w:sz w:val="24"/>
        </w:rPr>
        <w:t>姓    名：</w:t>
      </w:r>
      <w:r>
        <w:rPr>
          <w:rFonts w:hint="eastAsia" w:ascii="宋体" w:hAnsi="宋体" w:cs="宋体"/>
          <w:sz w:val="24"/>
          <w:u w:val="single"/>
        </w:rPr>
        <w:t xml:space="preserve">  /；</w:t>
      </w:r>
    </w:p>
    <w:p w14:paraId="6EAC89E1">
      <w:pPr>
        <w:spacing w:line="360" w:lineRule="auto"/>
        <w:ind w:firstLine="480" w:firstLineChars="200"/>
        <w:rPr>
          <w:rFonts w:ascii="宋体" w:hAnsi="宋体" w:cs="宋体"/>
          <w:sz w:val="24"/>
        </w:rPr>
      </w:pPr>
      <w:r>
        <w:rPr>
          <w:rFonts w:hint="eastAsia" w:ascii="宋体" w:hAnsi="宋体" w:cs="宋体"/>
          <w:sz w:val="24"/>
        </w:rPr>
        <w:t>职    务：</w:t>
      </w:r>
      <w:r>
        <w:rPr>
          <w:rFonts w:hint="eastAsia" w:ascii="宋体" w:hAnsi="宋体" w:cs="宋体"/>
          <w:sz w:val="24"/>
          <w:u w:val="single"/>
        </w:rPr>
        <w:t xml:space="preserve">  /；</w:t>
      </w:r>
    </w:p>
    <w:p w14:paraId="1F8D9541">
      <w:pPr>
        <w:spacing w:line="360" w:lineRule="auto"/>
        <w:ind w:firstLine="480" w:firstLineChars="200"/>
        <w:rPr>
          <w:rFonts w:ascii="宋体" w:hAnsi="宋体" w:cs="宋体"/>
          <w:sz w:val="24"/>
        </w:rPr>
      </w:pPr>
      <w:r>
        <w:rPr>
          <w:rFonts w:hint="eastAsia" w:ascii="宋体" w:hAnsi="宋体" w:cs="宋体"/>
          <w:sz w:val="24"/>
        </w:rPr>
        <w:t>监理工程师执业资格证书号：</w:t>
      </w:r>
      <w:r>
        <w:rPr>
          <w:rFonts w:hint="eastAsia" w:ascii="宋体" w:hAnsi="宋体" w:cs="宋体"/>
          <w:sz w:val="24"/>
          <w:u w:val="single"/>
        </w:rPr>
        <w:t xml:space="preserve">  /；</w:t>
      </w:r>
    </w:p>
    <w:p w14:paraId="7DAA3F57">
      <w:pPr>
        <w:spacing w:line="360" w:lineRule="auto"/>
        <w:ind w:firstLine="480" w:firstLineChars="200"/>
        <w:rPr>
          <w:rFonts w:ascii="宋体" w:hAnsi="宋体" w:cs="宋体"/>
          <w:sz w:val="24"/>
        </w:rPr>
      </w:pPr>
      <w:r>
        <w:rPr>
          <w:rFonts w:hint="eastAsia" w:ascii="宋体" w:hAnsi="宋体" w:cs="宋体"/>
          <w:sz w:val="24"/>
        </w:rPr>
        <w:t>联系电话：</w:t>
      </w:r>
      <w:r>
        <w:rPr>
          <w:rFonts w:hint="eastAsia" w:ascii="宋体" w:hAnsi="宋体" w:cs="宋体"/>
          <w:sz w:val="24"/>
          <w:u w:val="single"/>
        </w:rPr>
        <w:t xml:space="preserve">  /；</w:t>
      </w:r>
    </w:p>
    <w:p w14:paraId="5011B3F9">
      <w:pPr>
        <w:spacing w:line="360" w:lineRule="auto"/>
        <w:ind w:firstLine="480" w:firstLineChars="200"/>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w:t>
      </w:r>
    </w:p>
    <w:p w14:paraId="2EC3DF84">
      <w:pPr>
        <w:spacing w:line="360" w:lineRule="auto"/>
        <w:ind w:firstLine="480" w:firstLineChars="200"/>
        <w:rPr>
          <w:rFonts w:ascii="宋体" w:hAnsi="宋体" w:cs="宋体"/>
          <w:sz w:val="24"/>
        </w:rPr>
      </w:pPr>
      <w:r>
        <w:rPr>
          <w:rFonts w:hint="eastAsia" w:ascii="宋体" w:hAnsi="宋体" w:cs="宋体"/>
          <w:sz w:val="24"/>
        </w:rPr>
        <w:t>通信地址：</w:t>
      </w:r>
      <w:r>
        <w:rPr>
          <w:rFonts w:hint="eastAsia" w:ascii="宋体" w:hAnsi="宋体" w:cs="宋体"/>
          <w:sz w:val="24"/>
          <w:u w:val="single"/>
        </w:rPr>
        <w:t xml:space="preserve">  /；</w:t>
      </w:r>
    </w:p>
    <w:p w14:paraId="64642DCA">
      <w:pPr>
        <w:spacing w:line="360" w:lineRule="auto"/>
        <w:ind w:firstLine="480" w:firstLineChars="200"/>
        <w:rPr>
          <w:rFonts w:ascii="宋体" w:hAnsi="宋体" w:cs="宋体"/>
          <w:sz w:val="24"/>
        </w:rPr>
      </w:pPr>
      <w:r>
        <w:rPr>
          <w:rFonts w:hint="eastAsia" w:ascii="宋体" w:hAnsi="宋体" w:cs="宋体"/>
          <w:sz w:val="24"/>
        </w:rPr>
        <w:t>关于监理人的其他约定：</w:t>
      </w:r>
      <w:r>
        <w:rPr>
          <w:rFonts w:hint="eastAsia" w:ascii="宋体" w:hAnsi="宋体" w:cs="宋体"/>
          <w:sz w:val="24"/>
          <w:u w:val="single"/>
        </w:rPr>
        <w:t>/。</w:t>
      </w:r>
    </w:p>
    <w:p w14:paraId="4C353D30">
      <w:pPr>
        <w:spacing w:line="360" w:lineRule="auto"/>
        <w:ind w:firstLine="480" w:firstLineChars="200"/>
        <w:rPr>
          <w:rFonts w:ascii="宋体" w:hAnsi="宋体" w:cs="宋体"/>
          <w:sz w:val="24"/>
        </w:rPr>
      </w:pPr>
      <w:r>
        <w:rPr>
          <w:rFonts w:hint="eastAsia" w:ascii="宋体" w:hAnsi="宋体" w:cs="宋体"/>
          <w:sz w:val="24"/>
        </w:rPr>
        <w:t>4.4 商定或确定</w:t>
      </w:r>
    </w:p>
    <w:p w14:paraId="79E2E245">
      <w:pPr>
        <w:spacing w:line="360" w:lineRule="auto"/>
        <w:ind w:firstLine="480" w:firstLineChars="200"/>
        <w:rPr>
          <w:rFonts w:ascii="宋体" w:hAnsi="宋体" w:cs="宋体"/>
          <w:kern w:val="0"/>
          <w:sz w:val="24"/>
        </w:rPr>
      </w:pPr>
      <w:r>
        <w:rPr>
          <w:rFonts w:hint="eastAsia" w:ascii="宋体" w:hAnsi="宋体" w:cs="宋体"/>
          <w:sz w:val="24"/>
        </w:rPr>
        <w:t>在发包人和承包人不能通过协商达成一致意见时，发包人授权监理人对以下事项进行确定：</w:t>
      </w:r>
      <w:r>
        <w:rPr>
          <w:rFonts w:hint="eastAsia" w:ascii="宋体" w:hAnsi="宋体" w:cs="宋体"/>
          <w:sz w:val="24"/>
          <w:u w:val="single"/>
        </w:rPr>
        <w:t xml:space="preserve">  / ；</w:t>
      </w:r>
    </w:p>
    <w:p w14:paraId="227130EB">
      <w:pPr>
        <w:topLinePunct/>
        <w:spacing w:line="360" w:lineRule="auto"/>
        <w:ind w:firstLine="420"/>
        <w:rPr>
          <w:rFonts w:ascii="宋体" w:hAnsi="宋体" w:cs="宋体"/>
          <w:b/>
          <w:sz w:val="24"/>
        </w:rPr>
      </w:pPr>
      <w:r>
        <w:rPr>
          <w:rFonts w:hint="eastAsia" w:ascii="宋体" w:hAnsi="宋体" w:cs="宋体"/>
          <w:b/>
          <w:sz w:val="24"/>
        </w:rPr>
        <w:t>5. 工程质量</w:t>
      </w:r>
    </w:p>
    <w:p w14:paraId="3B566A48">
      <w:pPr>
        <w:spacing w:line="360" w:lineRule="auto"/>
        <w:ind w:firstLine="480" w:firstLineChars="200"/>
        <w:rPr>
          <w:rFonts w:ascii="宋体" w:hAnsi="宋体" w:cs="宋体"/>
          <w:sz w:val="24"/>
        </w:rPr>
      </w:pPr>
      <w:r>
        <w:rPr>
          <w:rFonts w:hint="eastAsia" w:ascii="宋体" w:hAnsi="宋体" w:cs="宋体"/>
          <w:sz w:val="24"/>
        </w:rPr>
        <w:t>5.1 质量要求</w:t>
      </w:r>
    </w:p>
    <w:p w14:paraId="56EB6281">
      <w:pPr>
        <w:spacing w:line="360" w:lineRule="auto"/>
        <w:ind w:firstLine="480" w:firstLineChars="200"/>
        <w:rPr>
          <w:rFonts w:ascii="宋体" w:hAnsi="宋体" w:cs="宋体"/>
          <w:sz w:val="24"/>
          <w:u w:val="single"/>
        </w:rPr>
      </w:pPr>
      <w:r>
        <w:rPr>
          <w:rFonts w:hint="eastAsia" w:ascii="宋体" w:hAnsi="宋体" w:cs="宋体"/>
          <w:sz w:val="24"/>
        </w:rPr>
        <w:t>5.1.1 特殊质量标准和要求：</w:t>
      </w:r>
      <w:r>
        <w:rPr>
          <w:rFonts w:hint="eastAsia" w:ascii="宋体" w:hAnsi="宋体" w:cs="宋体"/>
          <w:sz w:val="24"/>
          <w:u w:val="single"/>
        </w:rPr>
        <w:t>除通用条款约定外，要达到设计及国家、地方和建筑行业现行的有关规范和标准的质量要求。</w:t>
      </w:r>
    </w:p>
    <w:p w14:paraId="0F8905AB">
      <w:pPr>
        <w:widowControl/>
        <w:spacing w:line="360" w:lineRule="auto"/>
        <w:ind w:firstLine="480" w:firstLineChars="200"/>
        <w:jc w:val="left"/>
        <w:rPr>
          <w:rFonts w:ascii="宋体" w:hAnsi="宋体" w:cs="宋体"/>
          <w:kern w:val="0"/>
          <w:sz w:val="24"/>
          <w:u w:val="single"/>
        </w:rPr>
      </w:pPr>
      <w:r>
        <w:rPr>
          <w:rFonts w:hint="eastAsia" w:ascii="宋体" w:hAnsi="宋体" w:cs="宋体"/>
          <w:kern w:val="0"/>
          <w:sz w:val="24"/>
          <w:u w:val="single"/>
        </w:rPr>
        <w:t>（1）承包人在工程施工中涉及的重要部位、关键节点、工艺、材料应用等，承包人应在专业工程施工前10天提供主要材料样品、施工详细实施方案给发包人及监理人（如有）审核，经审核同意后方可实施。</w:t>
      </w:r>
    </w:p>
    <w:p w14:paraId="076352E5">
      <w:pPr>
        <w:widowControl/>
        <w:spacing w:line="360" w:lineRule="auto"/>
        <w:ind w:firstLine="480" w:firstLineChars="200"/>
        <w:jc w:val="left"/>
        <w:rPr>
          <w:rFonts w:ascii="宋体" w:hAnsi="宋体" w:cs="宋体"/>
          <w:kern w:val="0"/>
          <w:sz w:val="24"/>
          <w:u w:val="single"/>
        </w:rPr>
      </w:pPr>
      <w:r>
        <w:rPr>
          <w:rFonts w:hint="eastAsia" w:ascii="宋体" w:hAnsi="宋体" w:cs="宋体"/>
          <w:kern w:val="0"/>
          <w:sz w:val="24"/>
          <w:u w:val="single"/>
        </w:rPr>
        <w:t>（2）在各分部分项工程施工前，发包人和监理人（如有）审核承包人的技术交底情况，检查各项准备工作，包括但不限于操作人员的上岗证、各种材料的质保书、出厂合格证、取样复试、机械器具的准用证等。</w:t>
      </w:r>
    </w:p>
    <w:p w14:paraId="29452E25">
      <w:pPr>
        <w:spacing w:line="360" w:lineRule="auto"/>
        <w:ind w:firstLine="480" w:firstLineChars="200"/>
        <w:rPr>
          <w:rFonts w:ascii="宋体" w:hAnsi="宋体" w:cs="宋体"/>
          <w:sz w:val="24"/>
          <w:u w:val="single"/>
        </w:rPr>
      </w:pPr>
      <w:r>
        <w:rPr>
          <w:rFonts w:hint="eastAsia" w:ascii="宋体" w:hAnsi="宋体" w:cs="宋体"/>
          <w:sz w:val="24"/>
        </w:rPr>
        <w:t>关于工程奖项的约定：</w:t>
      </w:r>
      <w:r>
        <w:rPr>
          <w:rFonts w:hint="eastAsia" w:ascii="宋体" w:hAnsi="宋体" w:cs="宋体"/>
          <w:sz w:val="24"/>
          <w:u w:val="single"/>
        </w:rPr>
        <w:t xml:space="preserve">  / 。</w:t>
      </w:r>
    </w:p>
    <w:p w14:paraId="18564F5B">
      <w:pPr>
        <w:spacing w:line="360" w:lineRule="auto"/>
        <w:ind w:firstLine="480" w:firstLineChars="200"/>
        <w:rPr>
          <w:rFonts w:ascii="宋体" w:hAnsi="宋体" w:cs="宋体"/>
          <w:sz w:val="24"/>
        </w:rPr>
      </w:pPr>
      <w:r>
        <w:rPr>
          <w:rFonts w:hint="eastAsia" w:ascii="宋体" w:hAnsi="宋体" w:cs="宋体"/>
          <w:sz w:val="24"/>
        </w:rPr>
        <w:t>5.3 隐蔽工程检查</w:t>
      </w:r>
    </w:p>
    <w:p w14:paraId="15D892CB">
      <w:pPr>
        <w:spacing w:line="360" w:lineRule="auto"/>
        <w:ind w:firstLine="480" w:firstLineChars="200"/>
        <w:rPr>
          <w:rFonts w:ascii="宋体" w:hAnsi="宋体" w:cs="宋体"/>
          <w:sz w:val="24"/>
          <w:u w:val="single"/>
        </w:rPr>
      </w:pPr>
      <w:r>
        <w:rPr>
          <w:rFonts w:hint="eastAsia" w:ascii="宋体" w:hAnsi="宋体" w:cs="宋体"/>
          <w:sz w:val="24"/>
        </w:rPr>
        <w:t>5.3.2承包人提前通知监理人隐蔽工程检查的期限的约定：</w:t>
      </w:r>
      <w:r>
        <w:rPr>
          <w:rFonts w:hint="eastAsia" w:ascii="宋体" w:hAnsi="宋体" w:cs="宋体"/>
          <w:sz w:val="24"/>
          <w:u w:val="single"/>
        </w:rPr>
        <w:t>承包人应当在共同检查前48小时书面通知监理人（如有）和发包人进行检查，即隐蔽工程通知对象增加发包人。</w:t>
      </w:r>
    </w:p>
    <w:p w14:paraId="71649C16">
      <w:pPr>
        <w:spacing w:line="360" w:lineRule="auto"/>
        <w:ind w:firstLine="480" w:firstLineChars="200"/>
        <w:rPr>
          <w:rFonts w:ascii="宋体" w:hAnsi="宋体" w:cs="宋体"/>
          <w:sz w:val="24"/>
        </w:rPr>
      </w:pPr>
      <w:r>
        <w:rPr>
          <w:rFonts w:hint="eastAsia" w:ascii="宋体" w:hAnsi="宋体" w:cs="宋体"/>
          <w:sz w:val="24"/>
        </w:rPr>
        <w:t>监理人不能按时进行检查时，应提前</w:t>
      </w:r>
      <w:r>
        <w:rPr>
          <w:rFonts w:hint="eastAsia" w:ascii="宋体" w:hAnsi="宋体" w:cs="宋体"/>
          <w:sz w:val="24"/>
          <w:u w:val="single"/>
        </w:rPr>
        <w:t xml:space="preserve"> 24  </w:t>
      </w:r>
      <w:r>
        <w:rPr>
          <w:rFonts w:hint="eastAsia" w:ascii="宋体" w:hAnsi="宋体" w:cs="宋体"/>
          <w:sz w:val="24"/>
        </w:rPr>
        <w:t>小时提交书面延期要求。</w:t>
      </w:r>
    </w:p>
    <w:p w14:paraId="19D068FF">
      <w:pPr>
        <w:spacing w:line="360" w:lineRule="auto"/>
        <w:ind w:firstLine="480" w:firstLineChars="200"/>
        <w:rPr>
          <w:rFonts w:ascii="宋体" w:hAnsi="宋体" w:cs="宋体"/>
          <w:sz w:val="24"/>
        </w:rPr>
      </w:pPr>
      <w:r>
        <w:rPr>
          <w:rFonts w:hint="eastAsia" w:ascii="宋体" w:hAnsi="宋体" w:cs="宋体"/>
          <w:sz w:val="24"/>
        </w:rPr>
        <w:t>关于延期最长不得超过：</w:t>
      </w:r>
      <w:r>
        <w:rPr>
          <w:rFonts w:hint="eastAsia" w:ascii="宋体" w:hAnsi="宋体" w:cs="宋体"/>
          <w:sz w:val="24"/>
          <w:u w:val="single"/>
        </w:rPr>
        <w:t xml:space="preserve">  48   </w:t>
      </w:r>
      <w:r>
        <w:rPr>
          <w:rFonts w:hint="eastAsia" w:ascii="宋体" w:hAnsi="宋体" w:cs="宋体"/>
          <w:sz w:val="24"/>
        </w:rPr>
        <w:t>小时。</w:t>
      </w:r>
    </w:p>
    <w:p w14:paraId="51B8B16C">
      <w:pPr>
        <w:topLinePunct/>
        <w:spacing w:line="360" w:lineRule="auto"/>
        <w:ind w:firstLine="420"/>
        <w:rPr>
          <w:rFonts w:ascii="宋体" w:hAnsi="宋体" w:cs="宋体"/>
          <w:b/>
          <w:sz w:val="24"/>
        </w:rPr>
      </w:pPr>
      <w:r>
        <w:rPr>
          <w:rFonts w:hint="eastAsia" w:ascii="宋体" w:hAnsi="宋体" w:cs="宋体"/>
          <w:b/>
          <w:sz w:val="24"/>
        </w:rPr>
        <w:t>6. 安全文明施工与环境保护</w:t>
      </w:r>
    </w:p>
    <w:p w14:paraId="5542A302">
      <w:pPr>
        <w:spacing w:line="360" w:lineRule="auto"/>
        <w:ind w:firstLine="480" w:firstLineChars="200"/>
        <w:rPr>
          <w:rFonts w:ascii="宋体" w:hAnsi="宋体" w:cs="宋体"/>
          <w:sz w:val="24"/>
        </w:rPr>
      </w:pPr>
      <w:r>
        <w:rPr>
          <w:rFonts w:hint="eastAsia" w:ascii="宋体" w:hAnsi="宋体" w:cs="宋体"/>
          <w:sz w:val="24"/>
        </w:rPr>
        <w:t>6.1安全文明施工</w:t>
      </w:r>
    </w:p>
    <w:p w14:paraId="2C2415AA">
      <w:pPr>
        <w:spacing w:line="360" w:lineRule="auto"/>
        <w:ind w:firstLine="480" w:firstLineChars="200"/>
        <w:rPr>
          <w:rFonts w:ascii="宋体" w:hAnsi="宋体" w:cs="宋体"/>
          <w:sz w:val="24"/>
          <w:u w:val="single"/>
        </w:rPr>
      </w:pPr>
      <w:r>
        <w:rPr>
          <w:rFonts w:hint="eastAsia" w:ascii="宋体" w:hAnsi="宋体" w:cs="宋体"/>
          <w:sz w:val="24"/>
        </w:rPr>
        <w:t>6.1.1 项目安全生产的达标目标及相应事项的约定：</w:t>
      </w:r>
      <w:r>
        <w:rPr>
          <w:rFonts w:hint="eastAsia" w:ascii="宋体" w:hAnsi="宋体" w:cs="宋体"/>
          <w:sz w:val="24"/>
          <w:u w:val="single"/>
        </w:rPr>
        <w:t>施工现场按照《建筑施工安全检查标准》（JGJ59-2011）评定达到“合格”标准。</w:t>
      </w:r>
    </w:p>
    <w:p w14:paraId="4914A66E">
      <w:pPr>
        <w:spacing w:line="360" w:lineRule="auto"/>
        <w:ind w:firstLine="480" w:firstLineChars="200"/>
        <w:rPr>
          <w:rFonts w:ascii="宋体" w:hAnsi="宋体" w:cs="宋体"/>
          <w:sz w:val="24"/>
        </w:rPr>
      </w:pPr>
      <w:r>
        <w:rPr>
          <w:rFonts w:hint="eastAsia" w:ascii="宋体" w:hAnsi="宋体" w:cs="宋体"/>
          <w:sz w:val="24"/>
        </w:rPr>
        <w:t>6.1.4 关于治安保卫的特别约定：</w:t>
      </w:r>
      <w:r>
        <w:rPr>
          <w:rFonts w:hint="eastAsia" w:ascii="宋体" w:hAnsi="宋体" w:cs="宋体"/>
          <w:sz w:val="24"/>
          <w:u w:val="single"/>
        </w:rPr>
        <w:t>按通用条款执行。</w:t>
      </w:r>
    </w:p>
    <w:p w14:paraId="713EE443">
      <w:pPr>
        <w:spacing w:line="360" w:lineRule="auto"/>
        <w:ind w:firstLine="480" w:firstLineChars="200"/>
        <w:rPr>
          <w:rFonts w:ascii="宋体" w:hAnsi="宋体" w:cs="宋体"/>
          <w:sz w:val="24"/>
          <w:u w:val="single"/>
        </w:rPr>
      </w:pPr>
      <w:r>
        <w:rPr>
          <w:rFonts w:hint="eastAsia" w:ascii="宋体" w:hAnsi="宋体" w:cs="宋体"/>
          <w:sz w:val="24"/>
        </w:rPr>
        <w:t>关于编制施工场地治安管理计划的约定：</w:t>
      </w:r>
      <w:r>
        <w:rPr>
          <w:rFonts w:hint="eastAsia" w:ascii="宋体" w:hAnsi="宋体" w:cs="宋体"/>
          <w:sz w:val="24"/>
          <w:u w:val="single"/>
        </w:rPr>
        <w:t>按通用条款执行。</w:t>
      </w:r>
    </w:p>
    <w:p w14:paraId="2188D157">
      <w:pPr>
        <w:spacing w:line="360" w:lineRule="auto"/>
        <w:ind w:firstLine="480" w:firstLineChars="200"/>
        <w:rPr>
          <w:rFonts w:ascii="宋体" w:hAnsi="宋体" w:cs="宋体"/>
          <w:sz w:val="24"/>
        </w:rPr>
      </w:pPr>
      <w:r>
        <w:rPr>
          <w:rFonts w:hint="eastAsia" w:ascii="宋体" w:hAnsi="宋体" w:cs="宋体"/>
          <w:sz w:val="24"/>
        </w:rPr>
        <w:t>6.1.5 文明施工</w:t>
      </w:r>
    </w:p>
    <w:p w14:paraId="4B122B98">
      <w:pPr>
        <w:spacing w:line="360" w:lineRule="auto"/>
        <w:ind w:firstLine="475" w:firstLineChars="198"/>
        <w:rPr>
          <w:rFonts w:ascii="宋体" w:hAnsi="宋体" w:cs="宋体"/>
          <w:sz w:val="24"/>
        </w:rPr>
      </w:pPr>
      <w:r>
        <w:rPr>
          <w:rFonts w:hint="eastAsia" w:ascii="宋体" w:hAnsi="宋体" w:cs="宋体"/>
          <w:sz w:val="24"/>
        </w:rPr>
        <w:t>合同当事人对文明施工的要求：</w:t>
      </w:r>
    </w:p>
    <w:p w14:paraId="50302BD1">
      <w:pPr>
        <w:spacing w:line="360" w:lineRule="auto"/>
        <w:ind w:firstLine="475" w:firstLineChars="198"/>
        <w:rPr>
          <w:rFonts w:ascii="宋体" w:hAnsi="宋体" w:cs="宋体"/>
          <w:sz w:val="24"/>
          <w:u w:val="single"/>
        </w:rPr>
      </w:pPr>
      <w:r>
        <w:rPr>
          <w:rFonts w:hint="eastAsia" w:ascii="宋体" w:hAnsi="宋体" w:cs="宋体"/>
          <w:sz w:val="24"/>
          <w:u w:val="single"/>
        </w:rPr>
        <w:t>（1）遵守地方政府和有关部门对施工场地交通、环卫、安全和施工噪音等管理规定，并办理相关审批手续。</w:t>
      </w:r>
    </w:p>
    <w:p w14:paraId="438922B1">
      <w:pPr>
        <w:spacing w:line="360" w:lineRule="auto"/>
        <w:ind w:firstLine="475" w:firstLineChars="198"/>
        <w:rPr>
          <w:rFonts w:ascii="宋体" w:hAnsi="宋体" w:cs="宋体"/>
          <w:sz w:val="24"/>
          <w:u w:val="single"/>
        </w:rPr>
      </w:pPr>
      <w:r>
        <w:rPr>
          <w:rFonts w:hint="eastAsia" w:ascii="宋体" w:hAnsi="宋体" w:cs="宋体"/>
          <w:sz w:val="24"/>
          <w:u w:val="single"/>
        </w:rPr>
        <w:t>（2）承包人应采取有效措施尽量减小尘土和噪音污染，需要进行夜间作业时应经有关部门批准。</w:t>
      </w:r>
    </w:p>
    <w:p w14:paraId="2849F927">
      <w:pPr>
        <w:spacing w:line="360" w:lineRule="auto"/>
        <w:ind w:firstLine="475" w:firstLineChars="198"/>
        <w:rPr>
          <w:rFonts w:ascii="宋体" w:hAnsi="宋体" w:cs="宋体"/>
          <w:sz w:val="24"/>
          <w:u w:val="single"/>
        </w:rPr>
      </w:pPr>
      <w:r>
        <w:rPr>
          <w:rFonts w:hint="eastAsia" w:ascii="宋体" w:hAnsi="宋体" w:cs="宋体"/>
          <w:sz w:val="24"/>
          <w:u w:val="single"/>
        </w:rPr>
        <w:t xml:space="preserve">（3）其他：承包人应严格按浙江省和杭州市双标化工地的要求组织施工，遵守工程建设安全文明的有关规定，认真落实各项安全保护措施，并随时接受发包人、监理工程师（如有）及有关部门的监督检查；承包人应对进入施工现场的施工人员进行安全文明教育，配备必要的劳动保护用具，保证工程的施工安全和人身安全 。 </w:t>
      </w:r>
    </w:p>
    <w:p w14:paraId="6F32E724">
      <w:pPr>
        <w:spacing w:line="360" w:lineRule="auto"/>
        <w:ind w:firstLine="475" w:firstLineChars="198"/>
        <w:rPr>
          <w:rFonts w:ascii="宋体" w:hAnsi="宋体" w:cs="宋体"/>
          <w:sz w:val="24"/>
          <w:u w:val="single"/>
        </w:rPr>
      </w:pPr>
      <w:r>
        <w:rPr>
          <w:rFonts w:hint="eastAsia" w:ascii="宋体" w:hAnsi="宋体" w:cs="宋体"/>
          <w:sz w:val="24"/>
          <w:u w:val="single"/>
        </w:rPr>
        <w:t>（4）上述手续办理费用约定如下：由承包人支付。</w:t>
      </w:r>
    </w:p>
    <w:p w14:paraId="221F43EC">
      <w:pPr>
        <w:spacing w:line="360" w:lineRule="auto"/>
        <w:ind w:firstLine="480" w:firstLineChars="200"/>
        <w:rPr>
          <w:rFonts w:ascii="宋体" w:hAnsi="宋体" w:cs="宋体"/>
          <w:sz w:val="24"/>
        </w:rPr>
      </w:pPr>
      <w:r>
        <w:rPr>
          <w:rFonts w:hint="eastAsia" w:ascii="宋体" w:hAnsi="宋体" w:cs="宋体"/>
          <w:sz w:val="24"/>
        </w:rPr>
        <w:t>6.1.6 关于安全文明施工费支付比例和支付期限的约定：按一下第</w:t>
      </w:r>
      <w:r>
        <w:rPr>
          <w:rFonts w:hint="eastAsia" w:ascii="宋体" w:hAnsi="宋体" w:cs="宋体"/>
          <w:sz w:val="24"/>
          <w:u w:val="single"/>
        </w:rPr>
        <w:t>（1）</w:t>
      </w:r>
      <w:r>
        <w:rPr>
          <w:rFonts w:hint="eastAsia" w:ascii="宋体" w:hAnsi="宋体" w:cs="宋体"/>
          <w:sz w:val="24"/>
        </w:rPr>
        <w:t>种方式约定：</w:t>
      </w:r>
    </w:p>
    <w:p w14:paraId="568868FE">
      <w:pPr>
        <w:spacing w:line="360" w:lineRule="auto"/>
        <w:ind w:firstLine="480" w:firstLineChars="200"/>
        <w:rPr>
          <w:rFonts w:ascii="宋体" w:hAnsi="宋体" w:cs="宋体"/>
          <w:sz w:val="24"/>
          <w:u w:val="single"/>
        </w:rPr>
      </w:pPr>
      <w:r>
        <w:rPr>
          <w:rFonts w:hint="eastAsia" w:ascii="宋体" w:hAnsi="宋体" w:cs="宋体"/>
          <w:sz w:val="24"/>
          <w:u w:val="single"/>
        </w:rPr>
        <w:t>（1）安全文明施工费按以下第（①）种方式约定：</w:t>
      </w:r>
    </w:p>
    <w:p w14:paraId="7F64BA01">
      <w:pPr>
        <w:spacing w:line="360" w:lineRule="auto"/>
        <w:ind w:firstLine="480" w:firstLineChars="200"/>
        <w:rPr>
          <w:rFonts w:ascii="宋体" w:hAnsi="宋体" w:cs="宋体"/>
          <w:sz w:val="24"/>
          <w:u w:val="single"/>
        </w:rPr>
      </w:pPr>
      <w:r>
        <w:rPr>
          <w:rFonts w:hint="eastAsia" w:ascii="宋体" w:hAnsi="宋体" w:cs="宋体"/>
          <w:sz w:val="24"/>
          <w:u w:val="single"/>
        </w:rPr>
        <w:t>①  与进度款同比例同期支付。</w:t>
      </w:r>
    </w:p>
    <w:p w14:paraId="00B79761">
      <w:pPr>
        <w:spacing w:line="360" w:lineRule="auto"/>
        <w:ind w:firstLine="480" w:firstLineChars="200"/>
        <w:rPr>
          <w:rFonts w:ascii="宋体" w:hAnsi="宋体" w:cs="宋体"/>
          <w:sz w:val="24"/>
          <w:u w:val="single"/>
        </w:rPr>
      </w:pPr>
      <w:r>
        <w:rPr>
          <w:rFonts w:hint="eastAsia" w:ascii="宋体" w:hAnsi="宋体" w:cs="宋体"/>
          <w:sz w:val="24"/>
          <w:u w:val="single"/>
        </w:rPr>
        <w:t>②  其他：  /    。</w:t>
      </w:r>
    </w:p>
    <w:p w14:paraId="510C36B1">
      <w:pPr>
        <w:spacing w:line="360" w:lineRule="auto"/>
        <w:ind w:firstLine="480" w:firstLineChars="200"/>
        <w:rPr>
          <w:rFonts w:ascii="宋体" w:hAnsi="宋体" w:cs="宋体"/>
          <w:sz w:val="24"/>
          <w:u w:val="single"/>
        </w:rPr>
      </w:pPr>
      <w:r>
        <w:rPr>
          <w:rFonts w:hint="eastAsia" w:ascii="宋体" w:hAnsi="宋体" w:cs="宋体"/>
          <w:sz w:val="24"/>
          <w:u w:val="single"/>
        </w:rPr>
        <w:t>6.1.10在施工过程中造成的任何安全生产责任事故由承包人负责；因施工过程中给第三人、发包人造成的损失全部由承包人承担；施工过程中出现承包人的员工、合作方等的人身伤亡和财产损失，由承包人承担，与发包人无关。</w:t>
      </w:r>
    </w:p>
    <w:p w14:paraId="4FF0DA31">
      <w:pPr>
        <w:topLinePunct/>
        <w:spacing w:line="360" w:lineRule="auto"/>
        <w:ind w:firstLine="200"/>
        <w:rPr>
          <w:rFonts w:ascii="宋体" w:hAnsi="宋体" w:cs="宋体"/>
          <w:b/>
          <w:sz w:val="24"/>
        </w:rPr>
      </w:pPr>
      <w:r>
        <w:rPr>
          <w:rFonts w:hint="eastAsia" w:ascii="宋体" w:hAnsi="宋体" w:cs="宋体"/>
          <w:b/>
          <w:sz w:val="24"/>
        </w:rPr>
        <w:t>7. 工期和进度</w:t>
      </w:r>
    </w:p>
    <w:p w14:paraId="31D1737F">
      <w:pPr>
        <w:spacing w:line="360" w:lineRule="auto"/>
        <w:ind w:firstLine="480" w:firstLineChars="200"/>
        <w:rPr>
          <w:rFonts w:ascii="宋体" w:hAnsi="宋体" w:cs="宋体"/>
          <w:sz w:val="24"/>
        </w:rPr>
      </w:pPr>
      <w:r>
        <w:rPr>
          <w:rFonts w:hint="eastAsia" w:ascii="宋体" w:hAnsi="宋体" w:cs="宋体"/>
          <w:sz w:val="24"/>
        </w:rPr>
        <w:t>7.1 施工组织设计</w:t>
      </w:r>
    </w:p>
    <w:p w14:paraId="7161BC5F">
      <w:pPr>
        <w:spacing w:line="360" w:lineRule="auto"/>
        <w:ind w:firstLine="480" w:firstLineChars="200"/>
        <w:rPr>
          <w:rFonts w:ascii="宋体" w:hAnsi="宋体" w:cs="宋体"/>
          <w:sz w:val="24"/>
          <w:u w:val="single"/>
        </w:rPr>
      </w:pPr>
      <w:r>
        <w:rPr>
          <w:rFonts w:hint="eastAsia" w:ascii="宋体" w:hAnsi="宋体" w:cs="宋体"/>
          <w:sz w:val="24"/>
        </w:rPr>
        <w:t>7.1.1 合同当事人约定的施工组织设计应包括的其他内容：</w:t>
      </w:r>
      <w:r>
        <w:rPr>
          <w:rFonts w:hint="eastAsia" w:ascii="宋体" w:hAnsi="宋体" w:cs="宋体"/>
          <w:sz w:val="24"/>
          <w:u w:val="single"/>
        </w:rPr>
        <w:t>按通用条款执行。</w:t>
      </w:r>
    </w:p>
    <w:p w14:paraId="46CFA0E5">
      <w:pPr>
        <w:autoSpaceDE w:val="0"/>
        <w:autoSpaceDN w:val="0"/>
        <w:spacing w:line="360" w:lineRule="auto"/>
        <w:ind w:firstLine="480" w:firstLineChars="200"/>
        <w:rPr>
          <w:rFonts w:ascii="宋体" w:hAnsi="宋体" w:cs="宋体"/>
          <w:sz w:val="24"/>
        </w:rPr>
      </w:pPr>
      <w:r>
        <w:rPr>
          <w:rFonts w:hint="eastAsia" w:ascii="宋体" w:hAnsi="宋体" w:cs="宋体"/>
          <w:sz w:val="24"/>
        </w:rPr>
        <w:t>7.1.2 施工组织设计的提交和修改</w:t>
      </w:r>
    </w:p>
    <w:p w14:paraId="07C510E7">
      <w:pPr>
        <w:autoSpaceDE w:val="0"/>
        <w:autoSpaceDN w:val="0"/>
        <w:spacing w:line="360" w:lineRule="auto"/>
        <w:ind w:firstLine="480" w:firstLineChars="200"/>
        <w:rPr>
          <w:rFonts w:ascii="宋体" w:hAnsi="宋体" w:cs="宋体"/>
          <w:sz w:val="24"/>
        </w:rPr>
      </w:pPr>
      <w:r>
        <w:rPr>
          <w:rFonts w:hint="eastAsia" w:ascii="宋体" w:hAnsi="宋体" w:cs="宋体"/>
          <w:sz w:val="24"/>
        </w:rPr>
        <w:t>承包人提交详细施工组织设计的期限的约定：</w:t>
      </w:r>
      <w:r>
        <w:rPr>
          <w:rFonts w:hint="eastAsia" w:ascii="宋体" w:hAnsi="宋体" w:cs="宋体"/>
          <w:sz w:val="24"/>
          <w:u w:val="single"/>
        </w:rPr>
        <w:t xml:space="preserve"> 本合同签订后（3）天内提供详细施工组织设计（施工方案）和进度计划 </w:t>
      </w:r>
      <w:r>
        <w:rPr>
          <w:rFonts w:hint="eastAsia" w:ascii="宋体" w:hAnsi="宋体" w:cs="宋体"/>
          <w:sz w:val="24"/>
        </w:rPr>
        <w:t>。</w:t>
      </w:r>
    </w:p>
    <w:p w14:paraId="353F7F91">
      <w:pPr>
        <w:spacing w:line="360" w:lineRule="auto"/>
        <w:ind w:firstLine="480" w:firstLineChars="200"/>
        <w:rPr>
          <w:rFonts w:ascii="宋体" w:hAnsi="宋体" w:cs="宋体"/>
          <w:sz w:val="24"/>
        </w:rPr>
      </w:pPr>
      <w:r>
        <w:rPr>
          <w:rFonts w:hint="eastAsia" w:ascii="宋体" w:hAnsi="宋体" w:cs="宋体"/>
          <w:sz w:val="24"/>
        </w:rPr>
        <w:t>发包人和监理人在收到详细的施工组织设计后确认或提出修改意见的期限：</w:t>
      </w:r>
      <w:r>
        <w:rPr>
          <w:rFonts w:hint="eastAsia" w:ascii="宋体" w:hAnsi="宋体" w:cs="宋体"/>
          <w:sz w:val="24"/>
          <w:u w:val="single"/>
        </w:rPr>
        <w:t>收到施工组织设计后 7天内。</w:t>
      </w:r>
    </w:p>
    <w:p w14:paraId="495DBCC9">
      <w:pPr>
        <w:spacing w:line="360" w:lineRule="auto"/>
        <w:ind w:firstLine="480" w:firstLineChars="200"/>
        <w:rPr>
          <w:rFonts w:ascii="宋体" w:hAnsi="宋体" w:cs="宋体"/>
          <w:sz w:val="24"/>
        </w:rPr>
      </w:pPr>
      <w:r>
        <w:rPr>
          <w:rFonts w:hint="eastAsia" w:ascii="宋体" w:hAnsi="宋体" w:cs="宋体"/>
          <w:sz w:val="24"/>
        </w:rPr>
        <w:t>7.2 施工进度计划</w:t>
      </w:r>
    </w:p>
    <w:p w14:paraId="10626ADF">
      <w:pPr>
        <w:spacing w:line="360" w:lineRule="auto"/>
        <w:ind w:firstLine="480" w:firstLineChars="200"/>
        <w:rPr>
          <w:rFonts w:ascii="宋体" w:hAnsi="宋体" w:cs="宋体"/>
          <w:sz w:val="24"/>
        </w:rPr>
      </w:pPr>
      <w:r>
        <w:rPr>
          <w:rFonts w:hint="eastAsia" w:ascii="宋体" w:hAnsi="宋体" w:cs="宋体"/>
          <w:sz w:val="24"/>
        </w:rPr>
        <w:t>7.2.2 施工进度计划的修订</w:t>
      </w:r>
    </w:p>
    <w:p w14:paraId="0C92C2A4">
      <w:pPr>
        <w:spacing w:line="360" w:lineRule="auto"/>
        <w:ind w:firstLine="480" w:firstLineChars="200"/>
        <w:rPr>
          <w:rFonts w:ascii="宋体" w:hAnsi="宋体" w:cs="宋体"/>
          <w:sz w:val="24"/>
        </w:rPr>
      </w:pPr>
      <w:r>
        <w:rPr>
          <w:rFonts w:hint="eastAsia" w:ascii="宋体" w:hAnsi="宋体" w:cs="宋体"/>
          <w:sz w:val="24"/>
        </w:rPr>
        <w:t>发包人和监理人在收到修订的施工进度计划后确认或提出修改意见的期限：</w:t>
      </w:r>
      <w:r>
        <w:rPr>
          <w:rFonts w:hint="eastAsia" w:ascii="宋体" w:hAnsi="宋体" w:cs="宋体"/>
          <w:sz w:val="24"/>
          <w:u w:val="single"/>
        </w:rPr>
        <w:t>收到修订的施工进度计划后7天内。</w:t>
      </w:r>
    </w:p>
    <w:p w14:paraId="4BF292A2">
      <w:pPr>
        <w:spacing w:line="360" w:lineRule="auto"/>
        <w:ind w:firstLine="480" w:firstLineChars="200"/>
        <w:rPr>
          <w:rFonts w:ascii="宋体" w:hAnsi="宋体" w:cs="宋体"/>
          <w:sz w:val="24"/>
        </w:rPr>
      </w:pPr>
      <w:r>
        <w:rPr>
          <w:rFonts w:hint="eastAsia" w:ascii="宋体" w:hAnsi="宋体" w:cs="宋体"/>
          <w:sz w:val="24"/>
        </w:rPr>
        <w:t>7.3 开工</w:t>
      </w:r>
    </w:p>
    <w:p w14:paraId="511E4068">
      <w:pPr>
        <w:spacing w:line="360" w:lineRule="auto"/>
        <w:ind w:firstLine="480" w:firstLineChars="200"/>
        <w:rPr>
          <w:rFonts w:ascii="宋体" w:hAnsi="宋体" w:cs="宋体"/>
          <w:sz w:val="24"/>
        </w:rPr>
      </w:pPr>
      <w:r>
        <w:rPr>
          <w:rFonts w:hint="eastAsia" w:ascii="宋体" w:hAnsi="宋体" w:cs="宋体"/>
          <w:sz w:val="24"/>
        </w:rPr>
        <w:t>7.3.1 开工准备</w:t>
      </w:r>
    </w:p>
    <w:p w14:paraId="55AC2012">
      <w:pPr>
        <w:spacing w:line="360" w:lineRule="auto"/>
        <w:ind w:firstLine="480" w:firstLineChars="200"/>
        <w:rPr>
          <w:rFonts w:ascii="宋体" w:hAnsi="宋体" w:cs="宋体"/>
          <w:sz w:val="24"/>
          <w:u w:val="single"/>
        </w:rPr>
      </w:pPr>
      <w:r>
        <w:rPr>
          <w:rFonts w:hint="eastAsia" w:ascii="宋体" w:hAnsi="宋体" w:cs="宋体"/>
          <w:sz w:val="24"/>
        </w:rPr>
        <w:t>关于承包人提交工程开工报审表的期限：</w:t>
      </w:r>
      <w:r>
        <w:rPr>
          <w:rFonts w:hint="eastAsia" w:ascii="宋体" w:hAnsi="宋体" w:cs="宋体"/>
          <w:sz w:val="24"/>
          <w:u w:val="single"/>
        </w:rPr>
        <w:t>开工前3天。</w:t>
      </w:r>
    </w:p>
    <w:p w14:paraId="72A3CEB0">
      <w:pPr>
        <w:spacing w:line="360" w:lineRule="auto"/>
        <w:ind w:firstLine="480" w:firstLineChars="200"/>
        <w:rPr>
          <w:rFonts w:ascii="宋体" w:hAnsi="宋体" w:cs="宋体"/>
          <w:sz w:val="24"/>
        </w:rPr>
      </w:pPr>
      <w:r>
        <w:rPr>
          <w:rFonts w:hint="eastAsia" w:ascii="宋体" w:hAnsi="宋体" w:cs="宋体"/>
          <w:sz w:val="24"/>
        </w:rPr>
        <w:t>关于发包人应完成的其他开工准备工作及期限：</w:t>
      </w:r>
      <w:r>
        <w:rPr>
          <w:rFonts w:hint="eastAsia" w:ascii="宋体" w:hAnsi="宋体" w:cs="宋体"/>
          <w:sz w:val="24"/>
          <w:u w:val="single"/>
        </w:rPr>
        <w:t>开工前3天。</w:t>
      </w:r>
    </w:p>
    <w:p w14:paraId="40E477DB">
      <w:pPr>
        <w:spacing w:line="360" w:lineRule="auto"/>
        <w:ind w:firstLine="480" w:firstLineChars="200"/>
        <w:rPr>
          <w:rFonts w:ascii="宋体" w:hAnsi="宋体" w:cs="宋体"/>
          <w:sz w:val="24"/>
        </w:rPr>
      </w:pPr>
      <w:r>
        <w:rPr>
          <w:rFonts w:hint="eastAsia" w:ascii="宋体" w:hAnsi="宋体" w:cs="宋体"/>
          <w:sz w:val="24"/>
        </w:rPr>
        <w:t>关于承包人应完成的其他开工准备工作及期限：</w:t>
      </w:r>
      <w:r>
        <w:rPr>
          <w:rFonts w:hint="eastAsia" w:ascii="宋体" w:hAnsi="宋体" w:cs="宋体"/>
          <w:sz w:val="24"/>
          <w:u w:val="single"/>
        </w:rPr>
        <w:t>开工前3天</w:t>
      </w:r>
      <w:r>
        <w:rPr>
          <w:rFonts w:hint="eastAsia" w:ascii="宋体" w:hAnsi="宋体" w:cs="宋体"/>
          <w:sz w:val="24"/>
        </w:rPr>
        <w:t xml:space="preserve">。     </w:t>
      </w:r>
    </w:p>
    <w:p w14:paraId="6F17F7CE">
      <w:pPr>
        <w:spacing w:line="360" w:lineRule="auto"/>
        <w:ind w:firstLine="480" w:firstLineChars="200"/>
        <w:rPr>
          <w:rFonts w:ascii="宋体" w:hAnsi="宋体" w:cs="宋体"/>
          <w:sz w:val="24"/>
        </w:rPr>
      </w:pPr>
      <w:r>
        <w:rPr>
          <w:rFonts w:hint="eastAsia" w:ascii="宋体" w:hAnsi="宋体" w:cs="宋体"/>
          <w:sz w:val="24"/>
        </w:rPr>
        <w:t>7.3.2开工通知</w:t>
      </w:r>
    </w:p>
    <w:p w14:paraId="392D9C63">
      <w:pPr>
        <w:spacing w:line="360" w:lineRule="auto"/>
        <w:ind w:firstLine="480" w:firstLineChars="200"/>
        <w:rPr>
          <w:rFonts w:ascii="宋体" w:hAnsi="宋体" w:cs="宋体"/>
          <w:sz w:val="24"/>
        </w:rPr>
      </w:pPr>
      <w:r>
        <w:rPr>
          <w:rFonts w:hint="eastAsia" w:ascii="宋体" w:hAnsi="宋体" w:cs="宋体"/>
          <w:sz w:val="24"/>
        </w:rPr>
        <w:t>因发包人原因造成未能在计划开工日期之日起</w:t>
      </w:r>
      <w:r>
        <w:rPr>
          <w:rFonts w:hint="eastAsia" w:ascii="宋体" w:hAnsi="宋体" w:cs="宋体"/>
          <w:sz w:val="24"/>
          <w:u w:val="single"/>
        </w:rPr>
        <w:t xml:space="preserve"> 90 </w:t>
      </w:r>
      <w:r>
        <w:rPr>
          <w:rFonts w:hint="eastAsia" w:ascii="宋体" w:hAnsi="宋体" w:cs="宋体"/>
          <w:sz w:val="24"/>
        </w:rPr>
        <w:t>天内发出开工通知的，承包人有权提出价格调整要求，或者解除合同。</w:t>
      </w:r>
    </w:p>
    <w:p w14:paraId="567B2267">
      <w:pPr>
        <w:spacing w:line="360" w:lineRule="auto"/>
        <w:ind w:firstLine="480" w:firstLineChars="200"/>
        <w:rPr>
          <w:rFonts w:ascii="宋体" w:hAnsi="宋体" w:cs="宋体"/>
          <w:sz w:val="24"/>
        </w:rPr>
      </w:pPr>
      <w:r>
        <w:rPr>
          <w:rFonts w:hint="eastAsia" w:ascii="宋体" w:hAnsi="宋体" w:cs="宋体"/>
          <w:sz w:val="24"/>
        </w:rPr>
        <w:t>7.4 测量放线</w:t>
      </w:r>
    </w:p>
    <w:p w14:paraId="58072CF3">
      <w:pPr>
        <w:spacing w:line="360" w:lineRule="auto"/>
        <w:ind w:firstLine="480" w:firstLineChars="200"/>
        <w:rPr>
          <w:rFonts w:ascii="宋体" w:hAnsi="宋体" w:cs="宋体"/>
          <w:sz w:val="24"/>
          <w:u w:val="single"/>
        </w:rPr>
      </w:pPr>
      <w:r>
        <w:rPr>
          <w:rFonts w:hint="eastAsia" w:ascii="宋体" w:hAnsi="宋体" w:cs="宋体"/>
          <w:sz w:val="24"/>
        </w:rPr>
        <w:t>7.4.1发包人向承包人提供测量基准点、基准线和水准点及其书面资料的期限：</w:t>
      </w:r>
      <w:r>
        <w:rPr>
          <w:rFonts w:hint="eastAsia" w:ascii="宋体" w:hAnsi="宋体" w:cs="宋体"/>
          <w:sz w:val="24"/>
          <w:u w:val="single"/>
        </w:rPr>
        <w:t xml:space="preserve"> / </w:t>
      </w:r>
    </w:p>
    <w:p w14:paraId="6FDA6450">
      <w:pPr>
        <w:spacing w:line="360" w:lineRule="auto"/>
        <w:ind w:firstLine="480" w:firstLineChars="200"/>
        <w:rPr>
          <w:rFonts w:ascii="宋体" w:hAnsi="宋体" w:cs="宋体"/>
          <w:sz w:val="24"/>
        </w:rPr>
      </w:pPr>
      <w:r>
        <w:rPr>
          <w:rFonts w:hint="eastAsia" w:ascii="宋体" w:hAnsi="宋体" w:cs="宋体"/>
          <w:sz w:val="24"/>
        </w:rPr>
        <w:t>7.5 工期延误</w:t>
      </w:r>
    </w:p>
    <w:p w14:paraId="0353A20C">
      <w:pPr>
        <w:spacing w:line="360" w:lineRule="auto"/>
        <w:ind w:firstLine="480" w:firstLineChars="200"/>
        <w:rPr>
          <w:rFonts w:ascii="宋体" w:hAnsi="宋体" w:cs="宋体"/>
          <w:sz w:val="24"/>
        </w:rPr>
      </w:pPr>
      <w:r>
        <w:rPr>
          <w:rFonts w:hint="eastAsia" w:ascii="宋体" w:hAnsi="宋体" w:cs="宋体"/>
          <w:sz w:val="24"/>
        </w:rPr>
        <w:t>7.5.1 因发包人原因导致工期延误</w:t>
      </w:r>
    </w:p>
    <w:p w14:paraId="1619DC72">
      <w:pPr>
        <w:spacing w:line="360" w:lineRule="auto"/>
        <w:ind w:firstLine="480"/>
        <w:rPr>
          <w:rFonts w:ascii="宋体" w:hAnsi="宋体" w:cs="宋体"/>
          <w:sz w:val="24"/>
          <w:u w:val="single"/>
        </w:rPr>
      </w:pPr>
      <w:r>
        <w:rPr>
          <w:rFonts w:hint="eastAsia" w:ascii="宋体" w:hAnsi="宋体" w:cs="宋体"/>
          <w:sz w:val="24"/>
        </w:rPr>
        <w:t>（7）因发包人原因导致工期延误的其他情形：</w:t>
      </w:r>
    </w:p>
    <w:p w14:paraId="7B39EAB4">
      <w:pPr>
        <w:tabs>
          <w:tab w:val="left" w:pos="540"/>
        </w:tabs>
        <w:spacing w:line="360" w:lineRule="auto"/>
        <w:ind w:firstLine="540" w:firstLineChars="225"/>
        <w:rPr>
          <w:rFonts w:ascii="宋体" w:hAnsi="宋体" w:cs="宋体"/>
          <w:sz w:val="24"/>
          <w:u w:val="single"/>
        </w:rPr>
      </w:pPr>
      <w:r>
        <w:rPr>
          <w:rFonts w:hint="eastAsia" w:ascii="宋体" w:hAnsi="宋体" w:cs="宋体"/>
          <w:sz w:val="24"/>
          <w:u w:val="single"/>
        </w:rPr>
        <w:t>1）重大设计变更引起的工期延误；</w:t>
      </w:r>
    </w:p>
    <w:p w14:paraId="453C63CB">
      <w:pPr>
        <w:tabs>
          <w:tab w:val="left" w:pos="540"/>
        </w:tabs>
        <w:spacing w:line="360" w:lineRule="auto"/>
        <w:ind w:firstLine="540" w:firstLineChars="225"/>
        <w:rPr>
          <w:rFonts w:ascii="宋体" w:hAnsi="宋体" w:cs="宋体"/>
          <w:sz w:val="24"/>
          <w:u w:val="single"/>
        </w:rPr>
      </w:pPr>
      <w:r>
        <w:rPr>
          <w:rFonts w:hint="eastAsia" w:ascii="宋体" w:hAnsi="宋体" w:cs="宋体"/>
          <w:sz w:val="24"/>
          <w:u w:val="single"/>
        </w:rPr>
        <w:t>2）其他：因发包人原因直接造成的工期延误；</w:t>
      </w:r>
    </w:p>
    <w:p w14:paraId="49BD7E17">
      <w:pPr>
        <w:spacing w:line="360" w:lineRule="auto"/>
        <w:ind w:firstLine="480" w:firstLineChars="200"/>
        <w:rPr>
          <w:rFonts w:ascii="宋体" w:hAnsi="宋体" w:cs="宋体"/>
          <w:sz w:val="24"/>
          <w:u w:val="single"/>
        </w:rPr>
      </w:pPr>
      <w:r>
        <w:rPr>
          <w:rFonts w:hint="eastAsia" w:ascii="宋体" w:hAnsi="宋体" w:cs="宋体"/>
          <w:sz w:val="24"/>
          <w:u w:val="single"/>
        </w:rPr>
        <w:t>非承包人原因引起的，发包人、承包人和监理单位（如有）共同确认需要延长工期的，可按双方协商一致后的书面签证予以顺延。</w:t>
      </w:r>
    </w:p>
    <w:p w14:paraId="7FFB121B">
      <w:pPr>
        <w:spacing w:line="360" w:lineRule="auto"/>
        <w:ind w:firstLine="480" w:firstLineChars="200"/>
        <w:rPr>
          <w:rFonts w:ascii="宋体" w:hAnsi="宋体" w:cs="宋体"/>
          <w:sz w:val="24"/>
        </w:rPr>
      </w:pPr>
      <w:r>
        <w:rPr>
          <w:rFonts w:hint="eastAsia" w:ascii="宋体" w:hAnsi="宋体" w:cs="宋体"/>
          <w:sz w:val="24"/>
        </w:rPr>
        <w:t>7.5.2 因承包人原因导致工期延误</w:t>
      </w:r>
    </w:p>
    <w:p w14:paraId="12FCC9E9">
      <w:pPr>
        <w:spacing w:line="360" w:lineRule="auto"/>
        <w:ind w:firstLine="480" w:firstLineChars="200"/>
        <w:rPr>
          <w:rFonts w:ascii="宋体" w:hAnsi="宋体" w:cs="宋体"/>
          <w:sz w:val="24"/>
          <w:u w:val="single"/>
        </w:rPr>
      </w:pPr>
      <w:r>
        <w:rPr>
          <w:rFonts w:hint="eastAsia" w:ascii="宋体" w:hAnsi="宋体" w:cs="宋体"/>
          <w:sz w:val="24"/>
        </w:rPr>
        <w:t>因承包人原因造成工期延误，逾期竣工违约金的计算方法为：</w:t>
      </w:r>
      <w:r>
        <w:rPr>
          <w:rFonts w:hint="eastAsia" w:ascii="宋体" w:hAnsi="宋体" w:cs="宋体"/>
          <w:sz w:val="24"/>
          <w:u w:val="single"/>
        </w:rPr>
        <w:t>①、因承包人原因工程不能按合同约定工期竣工，每延误一天，承包人应按人民币0.3万元向发包人支付违约金。该违约金发包人有权在承包人的履约担保中扣除，不足部分在工程结算价款或进度款中扣除。②、因承包人原因，承包人在施工过程中不能按施工总进度计划完成各项施工任务，实际施工进度比施工进度计划滞后超过20天（含20天）的，发包人有权解除合同，也有权仍选择由承包人继续履行合同，如发包人选择由承包人继续履行合同的，竣工工期超过20天后每延误一天，承包人应按人民币0.6万元向发包人支付违约金。</w:t>
      </w:r>
    </w:p>
    <w:p w14:paraId="3514447B">
      <w:pPr>
        <w:spacing w:line="360" w:lineRule="auto"/>
        <w:ind w:firstLine="480" w:firstLineChars="200"/>
        <w:rPr>
          <w:rFonts w:ascii="宋体" w:hAnsi="宋体" w:cs="宋体"/>
          <w:sz w:val="24"/>
        </w:rPr>
      </w:pPr>
      <w:r>
        <w:rPr>
          <w:rFonts w:hint="eastAsia" w:ascii="宋体" w:hAnsi="宋体" w:cs="宋体"/>
          <w:sz w:val="24"/>
        </w:rPr>
        <w:t>因承包人原因造成工期延误，逾期竣工违约金的上限：</w:t>
      </w:r>
      <w:r>
        <w:rPr>
          <w:rFonts w:hint="eastAsia" w:ascii="宋体" w:hAnsi="宋体" w:cs="宋体"/>
          <w:sz w:val="24"/>
          <w:u w:val="single"/>
        </w:rPr>
        <w:t xml:space="preserve"> 不设上限，工期延误违约金发包人有权直接从履约担保中扣除，不足部分从工程款中扣除 </w:t>
      </w:r>
      <w:r>
        <w:rPr>
          <w:rFonts w:hint="eastAsia" w:ascii="宋体" w:hAnsi="宋体" w:cs="宋体"/>
          <w:sz w:val="24"/>
        </w:rPr>
        <w:t>。</w:t>
      </w:r>
    </w:p>
    <w:p w14:paraId="68D37718">
      <w:pPr>
        <w:spacing w:line="360" w:lineRule="auto"/>
        <w:ind w:firstLine="480" w:firstLineChars="200"/>
        <w:rPr>
          <w:rFonts w:ascii="宋体" w:hAnsi="宋体" w:cs="宋体"/>
          <w:sz w:val="24"/>
        </w:rPr>
      </w:pPr>
      <w:r>
        <w:rPr>
          <w:rFonts w:hint="eastAsia" w:ascii="宋体" w:hAnsi="宋体" w:cs="宋体"/>
          <w:sz w:val="24"/>
        </w:rPr>
        <w:t>7.6 不利物质条件</w:t>
      </w:r>
    </w:p>
    <w:p w14:paraId="0688F2D2">
      <w:pPr>
        <w:spacing w:line="360" w:lineRule="auto"/>
        <w:ind w:firstLine="475" w:firstLineChars="198"/>
        <w:rPr>
          <w:rFonts w:ascii="宋体" w:hAnsi="宋体" w:cs="宋体"/>
          <w:sz w:val="24"/>
        </w:rPr>
      </w:pPr>
      <w:r>
        <w:rPr>
          <w:rFonts w:hint="eastAsia" w:ascii="宋体" w:hAnsi="宋体" w:cs="宋体"/>
          <w:sz w:val="24"/>
        </w:rPr>
        <w:t>不利物质条件的其他情形和有关约定：</w:t>
      </w:r>
      <w:r>
        <w:rPr>
          <w:rFonts w:hint="eastAsia" w:ascii="宋体" w:hAnsi="宋体" w:cs="宋体"/>
          <w:sz w:val="24"/>
          <w:u w:val="single"/>
        </w:rPr>
        <w:t xml:space="preserve"> / ；</w:t>
      </w:r>
    </w:p>
    <w:p w14:paraId="1928354E">
      <w:pPr>
        <w:spacing w:line="360" w:lineRule="auto"/>
        <w:ind w:firstLine="480" w:firstLineChars="200"/>
        <w:rPr>
          <w:rFonts w:ascii="宋体" w:hAnsi="宋体" w:cs="宋体"/>
          <w:sz w:val="24"/>
        </w:rPr>
      </w:pPr>
      <w:r>
        <w:rPr>
          <w:rFonts w:hint="eastAsia" w:ascii="宋体" w:hAnsi="宋体" w:cs="宋体"/>
          <w:sz w:val="24"/>
        </w:rPr>
        <w:t>7.7异常恶劣的气候条件</w:t>
      </w:r>
    </w:p>
    <w:p w14:paraId="78CDDDF1">
      <w:pPr>
        <w:tabs>
          <w:tab w:val="left" w:pos="482"/>
          <w:tab w:val="left" w:pos="2183"/>
          <w:tab w:val="left" w:pos="3884"/>
          <w:tab w:val="left" w:pos="5585"/>
        </w:tabs>
        <w:spacing w:line="360" w:lineRule="auto"/>
        <w:ind w:firstLine="480" w:firstLineChars="200"/>
        <w:rPr>
          <w:rFonts w:ascii="宋体" w:hAnsi="宋体" w:cs="宋体"/>
          <w:sz w:val="24"/>
        </w:rPr>
      </w:pPr>
      <w:r>
        <w:rPr>
          <w:rFonts w:hint="eastAsia" w:ascii="宋体" w:hAnsi="宋体" w:cs="宋体"/>
          <w:sz w:val="24"/>
        </w:rPr>
        <w:t>发包人和承包人同意以下情形视为异常恶劣的气候条件：</w:t>
      </w:r>
      <w:r>
        <w:rPr>
          <w:rFonts w:hint="eastAsia" w:ascii="宋体" w:hAnsi="宋体" w:cs="宋体"/>
          <w:sz w:val="24"/>
          <w:u w:val="single"/>
        </w:rPr>
        <w:t>日最高气温达到40度及以上的天气；启动台风橙色及以上的预警的天气；启动防汛预案一级响应的天气；启动防冻预案一级响应的天气。</w:t>
      </w:r>
    </w:p>
    <w:p w14:paraId="38EF08FF">
      <w:pPr>
        <w:spacing w:line="360" w:lineRule="auto"/>
        <w:ind w:firstLine="480" w:firstLineChars="200"/>
        <w:rPr>
          <w:rFonts w:ascii="宋体" w:hAnsi="宋体" w:cs="宋体"/>
          <w:sz w:val="24"/>
        </w:rPr>
      </w:pPr>
      <w:r>
        <w:rPr>
          <w:rFonts w:hint="eastAsia" w:ascii="宋体" w:hAnsi="宋体" w:cs="宋体"/>
          <w:sz w:val="24"/>
        </w:rPr>
        <w:t>7.9 提前竣工的奖励</w:t>
      </w:r>
    </w:p>
    <w:p w14:paraId="274D5A5B">
      <w:pPr>
        <w:spacing w:line="360" w:lineRule="auto"/>
        <w:ind w:firstLine="480" w:firstLineChars="200"/>
        <w:rPr>
          <w:rFonts w:ascii="宋体" w:hAnsi="宋体" w:cs="宋体"/>
          <w:sz w:val="24"/>
        </w:rPr>
      </w:pPr>
      <w:r>
        <w:rPr>
          <w:rFonts w:hint="eastAsia" w:ascii="宋体" w:hAnsi="宋体" w:cs="宋体"/>
          <w:sz w:val="24"/>
        </w:rPr>
        <w:t>7.9.2提前竣工的奖励：</w:t>
      </w:r>
      <w:r>
        <w:rPr>
          <w:rFonts w:hint="eastAsia" w:ascii="宋体" w:hAnsi="宋体" w:cs="宋体"/>
          <w:sz w:val="24"/>
          <w:u w:val="single"/>
        </w:rPr>
        <w:t xml:space="preserve">     无        </w:t>
      </w:r>
      <w:r>
        <w:rPr>
          <w:rFonts w:hint="eastAsia" w:ascii="宋体" w:hAnsi="宋体" w:cs="宋体"/>
          <w:sz w:val="24"/>
        </w:rPr>
        <w:t>。</w:t>
      </w:r>
    </w:p>
    <w:p w14:paraId="67A054FB">
      <w:pPr>
        <w:topLinePunct/>
        <w:spacing w:line="360" w:lineRule="auto"/>
        <w:ind w:firstLine="420"/>
        <w:rPr>
          <w:rFonts w:ascii="宋体" w:hAnsi="宋体" w:cs="宋体"/>
          <w:b/>
          <w:sz w:val="24"/>
        </w:rPr>
      </w:pPr>
      <w:r>
        <w:rPr>
          <w:rFonts w:hint="eastAsia" w:ascii="宋体" w:hAnsi="宋体" w:cs="宋体"/>
          <w:b/>
          <w:sz w:val="24"/>
        </w:rPr>
        <w:t>8. 材料与设备</w:t>
      </w:r>
    </w:p>
    <w:p w14:paraId="5143372C">
      <w:pPr>
        <w:spacing w:line="360" w:lineRule="auto"/>
        <w:ind w:firstLine="480" w:firstLineChars="200"/>
        <w:rPr>
          <w:rFonts w:ascii="宋体" w:hAnsi="宋体" w:cs="宋体"/>
          <w:sz w:val="24"/>
        </w:rPr>
      </w:pPr>
      <w:r>
        <w:rPr>
          <w:rFonts w:hint="eastAsia" w:ascii="宋体" w:hAnsi="宋体" w:cs="宋体"/>
          <w:sz w:val="24"/>
        </w:rPr>
        <w:t>8.4材料与工程设备的保管与使用</w:t>
      </w:r>
    </w:p>
    <w:p w14:paraId="48413084">
      <w:pPr>
        <w:spacing w:line="360" w:lineRule="auto"/>
        <w:ind w:firstLine="480" w:firstLineChars="200"/>
        <w:rPr>
          <w:rFonts w:ascii="宋体" w:hAnsi="宋体" w:cs="宋体"/>
          <w:sz w:val="24"/>
        </w:rPr>
      </w:pPr>
      <w:r>
        <w:rPr>
          <w:rFonts w:hint="eastAsia" w:ascii="宋体" w:hAnsi="宋体" w:cs="宋体"/>
          <w:sz w:val="24"/>
        </w:rPr>
        <w:t>8.4.1发包人供应的材料设备的保管费用的承担：</w:t>
      </w:r>
      <w:r>
        <w:rPr>
          <w:rFonts w:hint="eastAsia" w:ascii="宋体" w:hAnsi="宋体" w:cs="宋体"/>
          <w:sz w:val="24"/>
          <w:u w:val="single"/>
        </w:rPr>
        <w:t xml:space="preserve">  /  </w:t>
      </w:r>
    </w:p>
    <w:p w14:paraId="18DDC547">
      <w:pPr>
        <w:spacing w:line="360" w:lineRule="auto"/>
        <w:ind w:firstLine="480" w:firstLineChars="200"/>
        <w:rPr>
          <w:rFonts w:ascii="宋体" w:hAnsi="宋体" w:cs="宋体"/>
          <w:sz w:val="24"/>
        </w:rPr>
      </w:pPr>
      <w:r>
        <w:rPr>
          <w:rFonts w:hint="eastAsia" w:ascii="宋体" w:hAnsi="宋体" w:cs="宋体"/>
          <w:sz w:val="24"/>
        </w:rPr>
        <w:t>8.6 样品</w:t>
      </w:r>
    </w:p>
    <w:p w14:paraId="4D2610F4">
      <w:pPr>
        <w:spacing w:line="360" w:lineRule="auto"/>
        <w:ind w:firstLine="480" w:firstLineChars="200"/>
        <w:rPr>
          <w:rFonts w:ascii="宋体" w:hAnsi="宋体" w:cs="宋体"/>
          <w:sz w:val="24"/>
        </w:rPr>
      </w:pPr>
      <w:r>
        <w:rPr>
          <w:rFonts w:hint="eastAsia" w:ascii="宋体" w:hAnsi="宋体" w:cs="宋体"/>
          <w:sz w:val="24"/>
        </w:rPr>
        <w:t>8.6.1 样品的报送与封存</w:t>
      </w:r>
    </w:p>
    <w:p w14:paraId="1526C77F">
      <w:pPr>
        <w:tabs>
          <w:tab w:val="left" w:pos="482"/>
          <w:tab w:val="left" w:pos="2183"/>
          <w:tab w:val="left" w:pos="3884"/>
          <w:tab w:val="left" w:pos="5585"/>
        </w:tabs>
        <w:autoSpaceDE w:val="0"/>
        <w:autoSpaceDN w:val="0"/>
        <w:spacing w:line="360" w:lineRule="auto"/>
        <w:ind w:firstLine="480" w:firstLineChars="200"/>
        <w:rPr>
          <w:rFonts w:ascii="宋体" w:hAnsi="宋体" w:cs="宋体"/>
          <w:sz w:val="24"/>
          <w:u w:val="single"/>
        </w:rPr>
      </w:pPr>
      <w:r>
        <w:rPr>
          <w:rFonts w:hint="eastAsia" w:ascii="宋体" w:hAnsi="宋体" w:cs="宋体"/>
          <w:sz w:val="24"/>
        </w:rPr>
        <w:t>需要承包人报送样品的材料或工程设备，样品的种类、名称、规格、数量要求：</w:t>
      </w:r>
      <w:r>
        <w:rPr>
          <w:rFonts w:hint="eastAsia" w:ascii="宋体" w:hAnsi="宋体" w:cs="宋体"/>
          <w:sz w:val="24"/>
          <w:u w:val="single"/>
        </w:rPr>
        <w:t>按有关规定和监理人（如有）要求执行。</w:t>
      </w:r>
    </w:p>
    <w:p w14:paraId="5C615ED4">
      <w:pPr>
        <w:spacing w:line="360" w:lineRule="auto"/>
        <w:ind w:firstLine="480" w:firstLineChars="200"/>
        <w:rPr>
          <w:rFonts w:ascii="宋体" w:hAnsi="宋体" w:cs="宋体"/>
          <w:sz w:val="24"/>
        </w:rPr>
      </w:pPr>
      <w:r>
        <w:rPr>
          <w:rFonts w:hint="eastAsia" w:ascii="宋体" w:hAnsi="宋体" w:cs="宋体"/>
          <w:sz w:val="24"/>
        </w:rPr>
        <w:t>8.8 施工设备和临时设施</w:t>
      </w:r>
    </w:p>
    <w:p w14:paraId="1447B7E0">
      <w:pPr>
        <w:spacing w:line="360" w:lineRule="auto"/>
        <w:ind w:firstLine="480" w:firstLineChars="200"/>
        <w:rPr>
          <w:rFonts w:ascii="宋体" w:hAnsi="宋体" w:cs="宋体"/>
          <w:sz w:val="24"/>
        </w:rPr>
      </w:pPr>
      <w:r>
        <w:rPr>
          <w:rFonts w:hint="eastAsia" w:ascii="宋体" w:hAnsi="宋体" w:cs="宋体"/>
          <w:sz w:val="24"/>
        </w:rPr>
        <w:t>8.8.1 承包人提供的施工设备和临时设施</w:t>
      </w:r>
    </w:p>
    <w:p w14:paraId="51D8FEEC">
      <w:pPr>
        <w:autoSpaceDE w:val="0"/>
        <w:autoSpaceDN w:val="0"/>
        <w:spacing w:line="360" w:lineRule="auto"/>
        <w:ind w:firstLine="480" w:firstLineChars="200"/>
        <w:rPr>
          <w:rFonts w:ascii="宋体" w:hAnsi="宋体" w:cs="宋体"/>
          <w:sz w:val="24"/>
        </w:rPr>
      </w:pPr>
      <w:r>
        <w:rPr>
          <w:rFonts w:hint="eastAsia" w:ascii="宋体" w:hAnsi="宋体" w:cs="宋体"/>
          <w:sz w:val="24"/>
        </w:rPr>
        <w:t>关于修建临时设施费用承担的约定：</w:t>
      </w:r>
      <w:r>
        <w:rPr>
          <w:rFonts w:hint="eastAsia" w:ascii="宋体" w:hAnsi="宋体" w:cs="宋体"/>
          <w:sz w:val="24"/>
          <w:u w:val="single"/>
        </w:rPr>
        <w:t xml:space="preserve">   /   </w:t>
      </w:r>
    </w:p>
    <w:p w14:paraId="0BC26F5B">
      <w:pPr>
        <w:topLinePunct/>
        <w:spacing w:line="360" w:lineRule="auto"/>
        <w:ind w:firstLine="420"/>
        <w:rPr>
          <w:rFonts w:ascii="宋体" w:hAnsi="宋体" w:cs="宋体"/>
          <w:b/>
          <w:sz w:val="24"/>
        </w:rPr>
      </w:pPr>
      <w:r>
        <w:rPr>
          <w:rFonts w:hint="eastAsia" w:ascii="宋体" w:hAnsi="宋体" w:cs="宋体"/>
          <w:b/>
          <w:sz w:val="24"/>
        </w:rPr>
        <w:t>9. 试验与检验</w:t>
      </w:r>
    </w:p>
    <w:p w14:paraId="6A1B660C">
      <w:pPr>
        <w:spacing w:line="360" w:lineRule="auto"/>
        <w:ind w:firstLine="480" w:firstLineChars="200"/>
        <w:rPr>
          <w:rFonts w:ascii="宋体" w:hAnsi="宋体" w:cs="宋体"/>
          <w:sz w:val="24"/>
        </w:rPr>
      </w:pPr>
      <w:r>
        <w:rPr>
          <w:rFonts w:hint="eastAsia" w:ascii="宋体" w:hAnsi="宋体" w:cs="宋体"/>
          <w:sz w:val="24"/>
        </w:rPr>
        <w:t>9.1试验设备与试验人员</w:t>
      </w:r>
    </w:p>
    <w:p w14:paraId="237722FF">
      <w:pPr>
        <w:spacing w:line="360" w:lineRule="auto"/>
        <w:ind w:firstLine="480" w:firstLineChars="200"/>
        <w:rPr>
          <w:rFonts w:ascii="宋体" w:hAnsi="宋体" w:cs="宋体"/>
          <w:sz w:val="24"/>
        </w:rPr>
      </w:pPr>
      <w:r>
        <w:rPr>
          <w:rFonts w:hint="eastAsia" w:ascii="宋体" w:hAnsi="宋体" w:cs="宋体"/>
          <w:sz w:val="24"/>
        </w:rPr>
        <w:t>9.1.2 试验设备</w:t>
      </w:r>
    </w:p>
    <w:p w14:paraId="5523B643">
      <w:pPr>
        <w:spacing w:line="360" w:lineRule="auto"/>
        <w:ind w:firstLine="480" w:firstLineChars="200"/>
        <w:rPr>
          <w:rFonts w:ascii="宋体" w:hAnsi="宋体" w:cs="宋体"/>
          <w:sz w:val="24"/>
        </w:rPr>
      </w:pPr>
      <w:r>
        <w:rPr>
          <w:rFonts w:hint="eastAsia" w:ascii="宋体" w:hAnsi="宋体" w:cs="宋体"/>
          <w:sz w:val="24"/>
        </w:rPr>
        <w:t>施工现场需要配置的试验场所：</w:t>
      </w:r>
      <w:r>
        <w:rPr>
          <w:rFonts w:hint="eastAsia" w:ascii="宋体" w:hAnsi="宋体" w:cs="宋体"/>
          <w:sz w:val="24"/>
          <w:u w:val="single"/>
        </w:rPr>
        <w:t xml:space="preserve"> 按有关规定和监理人要求执行</w:t>
      </w:r>
      <w:r>
        <w:rPr>
          <w:rFonts w:hint="eastAsia" w:ascii="宋体" w:hAnsi="宋体" w:cs="宋体"/>
          <w:sz w:val="24"/>
        </w:rPr>
        <w:t xml:space="preserve">。 </w:t>
      </w:r>
    </w:p>
    <w:p w14:paraId="07EF857F">
      <w:pPr>
        <w:spacing w:line="360" w:lineRule="auto"/>
        <w:ind w:firstLine="480" w:firstLineChars="200"/>
        <w:rPr>
          <w:rFonts w:ascii="宋体" w:hAnsi="宋体" w:cs="宋体"/>
          <w:sz w:val="24"/>
        </w:rPr>
      </w:pPr>
      <w:r>
        <w:rPr>
          <w:rFonts w:hint="eastAsia" w:ascii="宋体" w:hAnsi="宋体" w:cs="宋体"/>
          <w:sz w:val="24"/>
        </w:rPr>
        <w:t>施工现场需要配备的试验设备：</w:t>
      </w:r>
      <w:r>
        <w:rPr>
          <w:rFonts w:hint="eastAsia" w:ascii="宋体" w:hAnsi="宋体" w:cs="宋体"/>
          <w:sz w:val="24"/>
          <w:u w:val="single"/>
        </w:rPr>
        <w:t>按有关规定和监理人要求执行</w:t>
      </w:r>
      <w:r>
        <w:rPr>
          <w:rFonts w:hint="eastAsia" w:ascii="宋体" w:hAnsi="宋体" w:cs="宋体"/>
          <w:sz w:val="24"/>
        </w:rPr>
        <w:t>。</w:t>
      </w:r>
    </w:p>
    <w:p w14:paraId="1A3218D3">
      <w:pPr>
        <w:spacing w:line="360" w:lineRule="auto"/>
        <w:ind w:firstLine="480" w:firstLineChars="200"/>
        <w:rPr>
          <w:rFonts w:ascii="宋体" w:hAnsi="宋体" w:cs="宋体"/>
          <w:sz w:val="24"/>
        </w:rPr>
      </w:pPr>
      <w:r>
        <w:rPr>
          <w:rFonts w:hint="eastAsia" w:ascii="宋体" w:hAnsi="宋体" w:cs="宋体"/>
          <w:sz w:val="24"/>
        </w:rPr>
        <w:t>施工现场需要具备的其他试验条件：</w:t>
      </w:r>
      <w:r>
        <w:rPr>
          <w:rFonts w:hint="eastAsia" w:ascii="宋体" w:hAnsi="宋体" w:cs="宋体"/>
          <w:sz w:val="24"/>
          <w:u w:val="single"/>
        </w:rPr>
        <w:t>按有关规定和监理人要求执行</w:t>
      </w:r>
      <w:r>
        <w:rPr>
          <w:rFonts w:hint="eastAsia" w:ascii="宋体" w:hAnsi="宋体" w:cs="宋体"/>
          <w:sz w:val="24"/>
        </w:rPr>
        <w:t>。</w:t>
      </w:r>
    </w:p>
    <w:p w14:paraId="31C08690">
      <w:pPr>
        <w:snapToGrid w:val="0"/>
        <w:spacing w:line="360" w:lineRule="auto"/>
        <w:ind w:firstLine="480" w:firstLineChars="200"/>
        <w:rPr>
          <w:rFonts w:ascii="宋体" w:hAnsi="宋体" w:cs="宋体"/>
          <w:kern w:val="0"/>
          <w:sz w:val="24"/>
        </w:rPr>
      </w:pPr>
      <w:r>
        <w:rPr>
          <w:rFonts w:hint="eastAsia" w:ascii="宋体" w:hAnsi="宋体" w:cs="宋体"/>
          <w:sz w:val="24"/>
        </w:rPr>
        <w:t>9.3</w:t>
      </w:r>
      <w:r>
        <w:rPr>
          <w:rFonts w:hint="eastAsia" w:ascii="宋体" w:hAnsi="宋体" w:cs="宋体"/>
          <w:kern w:val="0"/>
          <w:sz w:val="24"/>
        </w:rPr>
        <w:t>材料、工程设备和工程的试验和检验</w:t>
      </w:r>
    </w:p>
    <w:p w14:paraId="6B730689">
      <w:pPr>
        <w:snapToGrid w:val="0"/>
        <w:spacing w:line="360" w:lineRule="auto"/>
        <w:ind w:firstLine="480" w:firstLineChars="200"/>
        <w:rPr>
          <w:rFonts w:ascii="宋体" w:hAnsi="宋体" w:cs="宋体"/>
          <w:sz w:val="24"/>
          <w:u w:val="single"/>
        </w:rPr>
      </w:pPr>
      <w:r>
        <w:rPr>
          <w:rFonts w:hint="eastAsia" w:ascii="宋体" w:hAnsi="宋体" w:cs="宋体"/>
          <w:kern w:val="0"/>
          <w:sz w:val="24"/>
        </w:rPr>
        <w:t>试验、检测单位资质条件约定：</w:t>
      </w:r>
      <w:r>
        <w:rPr>
          <w:rFonts w:hint="eastAsia" w:ascii="宋体" w:hAnsi="宋体" w:cs="宋体"/>
          <w:sz w:val="24"/>
          <w:u w:val="single"/>
        </w:rPr>
        <w:t>按有关规定和监理人要求执行</w:t>
      </w:r>
      <w:r>
        <w:rPr>
          <w:rFonts w:hint="eastAsia" w:ascii="宋体" w:hAnsi="宋体" w:cs="宋体"/>
          <w:sz w:val="24"/>
        </w:rPr>
        <w:t>。</w:t>
      </w:r>
    </w:p>
    <w:p w14:paraId="6B39778B">
      <w:pPr>
        <w:snapToGrid w:val="0"/>
        <w:spacing w:line="360" w:lineRule="auto"/>
        <w:ind w:firstLine="480" w:firstLineChars="200"/>
        <w:rPr>
          <w:rFonts w:ascii="宋体" w:hAnsi="宋体" w:cs="宋体"/>
          <w:sz w:val="24"/>
        </w:rPr>
      </w:pPr>
      <w:r>
        <w:rPr>
          <w:rFonts w:hint="eastAsia" w:ascii="宋体" w:hAnsi="宋体" w:cs="宋体"/>
          <w:kern w:val="0"/>
          <w:sz w:val="24"/>
        </w:rPr>
        <w:t>试验、检测单位选择约定：</w:t>
      </w:r>
      <w:r>
        <w:rPr>
          <w:rFonts w:hint="eastAsia" w:ascii="宋体" w:hAnsi="宋体" w:cs="宋体"/>
          <w:sz w:val="24"/>
          <w:u w:val="single"/>
        </w:rPr>
        <w:t>按有关规定和监理人要求执行</w:t>
      </w:r>
      <w:r>
        <w:rPr>
          <w:rFonts w:hint="eastAsia" w:ascii="宋体" w:hAnsi="宋体" w:cs="宋体"/>
          <w:sz w:val="24"/>
        </w:rPr>
        <w:t>。</w:t>
      </w:r>
    </w:p>
    <w:p w14:paraId="281C0562">
      <w:pPr>
        <w:spacing w:line="360" w:lineRule="auto"/>
        <w:ind w:firstLine="420"/>
        <w:rPr>
          <w:rFonts w:ascii="宋体" w:hAnsi="宋体" w:cs="宋体"/>
          <w:caps/>
          <w:kern w:val="0"/>
          <w:sz w:val="24"/>
        </w:rPr>
      </w:pPr>
      <w:r>
        <w:rPr>
          <w:rFonts w:hint="eastAsia" w:ascii="宋体" w:hAnsi="宋体" w:cs="宋体"/>
          <w:caps/>
          <w:kern w:val="0"/>
          <w:sz w:val="24"/>
        </w:rPr>
        <w:t>试验、检测费用约定：</w:t>
      </w:r>
      <w:r>
        <w:rPr>
          <w:rFonts w:hint="eastAsia" w:ascii="宋体" w:hAnsi="宋体" w:cs="宋体"/>
          <w:caps/>
          <w:kern w:val="0"/>
          <w:sz w:val="24"/>
          <w:u w:val="single"/>
        </w:rPr>
        <w:t xml:space="preserve"> 所有工程测验、检测费用由承包人承担，并已包含在合同价款中，不再另行计算。</w:t>
      </w:r>
    </w:p>
    <w:p w14:paraId="0A6F43F5">
      <w:pPr>
        <w:spacing w:line="360" w:lineRule="auto"/>
        <w:ind w:firstLine="480" w:firstLineChars="200"/>
        <w:rPr>
          <w:rFonts w:ascii="宋体" w:hAnsi="宋体" w:cs="宋体"/>
          <w:sz w:val="24"/>
        </w:rPr>
      </w:pPr>
      <w:r>
        <w:rPr>
          <w:rFonts w:hint="eastAsia" w:ascii="宋体" w:hAnsi="宋体" w:cs="宋体"/>
          <w:sz w:val="24"/>
        </w:rPr>
        <w:t xml:space="preserve">9.4 现场工艺试验 </w:t>
      </w:r>
    </w:p>
    <w:p w14:paraId="67D6FC4D">
      <w:pPr>
        <w:spacing w:line="360" w:lineRule="auto"/>
        <w:ind w:firstLine="480" w:firstLineChars="200"/>
        <w:rPr>
          <w:rFonts w:ascii="宋体" w:hAnsi="宋体" w:cs="宋体"/>
          <w:sz w:val="24"/>
        </w:rPr>
      </w:pPr>
      <w:r>
        <w:rPr>
          <w:rFonts w:hint="eastAsia" w:ascii="宋体" w:hAnsi="宋体" w:cs="宋体"/>
          <w:sz w:val="24"/>
        </w:rPr>
        <w:t>现场工艺试验的有关约定：</w:t>
      </w:r>
      <w:r>
        <w:rPr>
          <w:rFonts w:hint="eastAsia" w:ascii="宋体" w:hAnsi="宋体" w:cs="宋体"/>
          <w:sz w:val="24"/>
          <w:u w:val="single"/>
        </w:rPr>
        <w:t>按有关规定和监理人要求执行</w:t>
      </w:r>
    </w:p>
    <w:p w14:paraId="4E3C017F">
      <w:pPr>
        <w:topLinePunct/>
        <w:spacing w:line="360" w:lineRule="auto"/>
        <w:ind w:firstLine="420"/>
        <w:rPr>
          <w:rFonts w:ascii="宋体" w:hAnsi="宋体" w:cs="宋体"/>
          <w:b/>
          <w:sz w:val="24"/>
        </w:rPr>
      </w:pPr>
      <w:r>
        <w:rPr>
          <w:rFonts w:hint="eastAsia" w:ascii="宋体" w:hAnsi="宋体" w:cs="宋体"/>
          <w:b/>
          <w:sz w:val="24"/>
        </w:rPr>
        <w:t>10. 变更</w:t>
      </w:r>
    </w:p>
    <w:p w14:paraId="44412E69">
      <w:pPr>
        <w:spacing w:line="360" w:lineRule="auto"/>
        <w:ind w:firstLine="480" w:firstLineChars="200"/>
        <w:rPr>
          <w:rFonts w:ascii="宋体" w:hAnsi="宋体" w:cs="宋体"/>
          <w:sz w:val="24"/>
        </w:rPr>
      </w:pPr>
      <w:r>
        <w:rPr>
          <w:rFonts w:hint="eastAsia" w:ascii="宋体" w:hAnsi="宋体" w:cs="宋体"/>
          <w:sz w:val="24"/>
        </w:rPr>
        <w:t>10.1变更的范围</w:t>
      </w:r>
    </w:p>
    <w:p w14:paraId="099825D4">
      <w:pPr>
        <w:snapToGrid w:val="0"/>
        <w:spacing w:line="360" w:lineRule="auto"/>
        <w:ind w:firstLine="480" w:firstLineChars="200"/>
        <w:rPr>
          <w:rFonts w:ascii="宋体" w:hAnsi="宋体" w:cs="宋体"/>
          <w:sz w:val="24"/>
        </w:rPr>
      </w:pPr>
      <w:r>
        <w:rPr>
          <w:rFonts w:hint="eastAsia" w:ascii="宋体" w:hAnsi="宋体" w:cs="宋体"/>
          <w:sz w:val="24"/>
        </w:rPr>
        <w:t>关于变更的范围的约定：</w:t>
      </w:r>
      <w:r>
        <w:rPr>
          <w:rFonts w:hint="eastAsia" w:ascii="宋体" w:hAnsi="宋体" w:cs="宋体"/>
          <w:sz w:val="24"/>
          <w:u w:val="single"/>
        </w:rPr>
        <w:t xml:space="preserve"> 按通用合同条款约定。</w:t>
      </w:r>
    </w:p>
    <w:p w14:paraId="6CE874D9">
      <w:pPr>
        <w:snapToGrid w:val="0"/>
        <w:spacing w:line="360" w:lineRule="auto"/>
        <w:ind w:firstLine="480" w:firstLineChars="200"/>
        <w:rPr>
          <w:rFonts w:ascii="宋体" w:hAnsi="宋体" w:cs="宋体"/>
          <w:sz w:val="24"/>
        </w:rPr>
      </w:pPr>
      <w:r>
        <w:rPr>
          <w:rFonts w:hint="eastAsia" w:ascii="宋体" w:hAnsi="宋体" w:cs="宋体"/>
          <w:sz w:val="24"/>
        </w:rPr>
        <w:t>10.1.2因承包人擅自变更设计发生的费用和由此导致发包人的直接损失，由承包人承担，延误的工期不予顺延。</w:t>
      </w:r>
    </w:p>
    <w:p w14:paraId="36826CEE">
      <w:pPr>
        <w:snapToGrid w:val="0"/>
        <w:spacing w:line="360" w:lineRule="auto"/>
        <w:ind w:firstLine="480" w:firstLineChars="200"/>
        <w:rPr>
          <w:rFonts w:ascii="宋体" w:hAnsi="宋体" w:cs="宋体"/>
          <w:sz w:val="24"/>
        </w:rPr>
      </w:pPr>
      <w:r>
        <w:rPr>
          <w:rFonts w:hint="eastAsia" w:ascii="宋体" w:hAnsi="宋体" w:cs="宋体"/>
          <w:sz w:val="24"/>
        </w:rPr>
        <w:t>10.1.3承包人提出的合理化建议涉及到的工程变更，须经发包人同意并办理相关变更审查手续。未经同意擅自更改的，承包人承担由此产生的费用，并赔偿发包人的有关损失，延误的工期不予顺延。</w:t>
      </w:r>
    </w:p>
    <w:p w14:paraId="1E079466">
      <w:pPr>
        <w:spacing w:line="360" w:lineRule="auto"/>
        <w:ind w:firstLine="480" w:firstLineChars="200"/>
        <w:rPr>
          <w:rFonts w:ascii="宋体" w:hAnsi="宋体" w:cs="宋体"/>
          <w:sz w:val="24"/>
        </w:rPr>
      </w:pPr>
      <w:r>
        <w:rPr>
          <w:rFonts w:hint="eastAsia" w:ascii="宋体" w:hAnsi="宋体" w:cs="宋体"/>
          <w:sz w:val="24"/>
        </w:rPr>
        <w:t>10.4 变更估价</w:t>
      </w:r>
    </w:p>
    <w:p w14:paraId="1CEAFB33">
      <w:pPr>
        <w:snapToGrid w:val="0"/>
        <w:spacing w:line="360" w:lineRule="auto"/>
        <w:ind w:firstLine="480" w:firstLineChars="200"/>
        <w:rPr>
          <w:rFonts w:ascii="宋体" w:hAnsi="宋体" w:cs="宋体"/>
          <w:sz w:val="24"/>
        </w:rPr>
      </w:pPr>
      <w:r>
        <w:rPr>
          <w:rFonts w:hint="eastAsia" w:ascii="宋体" w:hAnsi="宋体" w:cs="宋体"/>
          <w:sz w:val="24"/>
        </w:rPr>
        <w:t>10.4.1 变更估价原则</w:t>
      </w:r>
    </w:p>
    <w:p w14:paraId="6E2CA50A">
      <w:pPr>
        <w:autoSpaceDE w:val="0"/>
        <w:autoSpaceDN w:val="0"/>
        <w:snapToGrid w:val="0"/>
        <w:spacing w:line="360" w:lineRule="auto"/>
        <w:ind w:firstLine="480" w:firstLineChars="200"/>
        <w:rPr>
          <w:rFonts w:ascii="宋体" w:hAnsi="宋体" w:cs="宋体"/>
          <w:sz w:val="24"/>
        </w:rPr>
      </w:pPr>
      <w:r>
        <w:rPr>
          <w:rFonts w:hint="eastAsia" w:ascii="宋体" w:hAnsi="宋体" w:cs="宋体"/>
          <w:sz w:val="24"/>
        </w:rPr>
        <w:t xml:space="preserve">关于变更估价的约定: </w:t>
      </w:r>
    </w:p>
    <w:p w14:paraId="1653655F">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（1）已标价工程量清单或预算书有相同项目的，按照相同项目单价确定。</w:t>
      </w:r>
    </w:p>
    <w:p w14:paraId="3974A92C">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（2）无标价工程量清单或预算书中无相同项目，但有类似项目的，参照类似项目的单价确定。</w:t>
      </w:r>
    </w:p>
    <w:p w14:paraId="5063AB36">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（3）无标价工程量清单或预算书中无相同项目及类似项目单价的，其单价的确定，按以下约定：</w:t>
      </w:r>
    </w:p>
    <w:p w14:paraId="55D058C6">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①工程量根据联系单，按照《建设工程工程量清单计价规范》（GB50500-2013）计算，结算工程量应首先报监理及发包人初审。</w:t>
      </w:r>
    </w:p>
    <w:p w14:paraId="2FBD1AC0">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②清单项目中项目特征或工程内容发生部分变更的，</w:t>
      </w:r>
      <w:bookmarkStart w:id="531" w:name="_Hlk74986282"/>
      <w:r>
        <w:rPr>
          <w:rFonts w:hint="eastAsia" w:ascii="宋体" w:hAnsi="宋体" w:cs="宋体"/>
          <w:kern w:val="0"/>
          <w:sz w:val="24"/>
          <w:u w:val="single"/>
        </w:rPr>
        <w:t>材料价格有投标价的执行投标价，无投标价的执行施工期间的信息价平均值，对工程所在地信息价正刊没有公布的材料，发包人应在充分市场询价基础上，参照同期同类材料市场价格水平。</w:t>
      </w:r>
      <w:bookmarkEnd w:id="531"/>
    </w:p>
    <w:p w14:paraId="675D493E">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③合同中没有适用或类似工程项目单价的：变更后综合单价=按工程招标时招标控制价组价口径计算的综合单价*优惠率（优惠率为=成交价÷招标控制价)。</w:t>
      </w:r>
    </w:p>
    <w:p w14:paraId="4CFC5BAC">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④本工程清单内</w:t>
      </w:r>
      <w:r>
        <w:rPr>
          <w:rFonts w:hint="eastAsia" w:ascii="宋体" w:hAnsi="宋体" w:cs="宋体"/>
          <w:color w:val="FF0000"/>
          <w:kern w:val="0"/>
          <w:sz w:val="24"/>
          <w:u w:val="single"/>
        </w:rPr>
        <w:t>按项计入</w:t>
      </w:r>
      <w:r>
        <w:rPr>
          <w:rFonts w:hint="eastAsia" w:ascii="宋体" w:hAnsi="宋体" w:cs="宋体"/>
          <w:kern w:val="0"/>
          <w:sz w:val="24"/>
          <w:u w:val="single"/>
        </w:rPr>
        <w:t>的措施费用均为一次性包干使用，成交后不再作调整；</w:t>
      </w:r>
      <w:r>
        <w:rPr>
          <w:rFonts w:hint="eastAsia" w:ascii="宋体" w:hAnsi="宋体" w:cs="宋体"/>
          <w:sz w:val="24"/>
          <w:u w:val="single"/>
        </w:rPr>
        <w:t>磋商响应文件中对措施费用的漏报或者少报，视作对本项目的优惠</w:t>
      </w:r>
      <w:r>
        <w:rPr>
          <w:rFonts w:hint="eastAsia" w:ascii="宋体" w:hAnsi="宋体" w:cs="宋体"/>
          <w:kern w:val="0"/>
          <w:sz w:val="24"/>
          <w:u w:val="single"/>
        </w:rPr>
        <w:t>。</w:t>
      </w:r>
    </w:p>
    <w:p w14:paraId="783FB28A">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⑤工程量清单项目特征描述的分项工程内容均应计入综合单价报价，若承包人提供的分部分项工程量综合单价计算表及综合单价工料机分析表没有详尽分析的，发包人将对实际未实施的分项工程予以扣除，扣除部分的价格参考前述“③合同中没有适用或类似工程项目单价的约定条款”，结合投标报价水平确定。</w:t>
      </w:r>
    </w:p>
    <w:p w14:paraId="7097D40B">
      <w:pPr>
        <w:spacing w:line="360" w:lineRule="auto"/>
        <w:ind w:firstLine="480" w:firstLineChars="200"/>
        <w:rPr>
          <w:rFonts w:ascii="宋体" w:hAnsi="宋体" w:cs="宋体"/>
          <w:sz w:val="24"/>
        </w:rPr>
      </w:pPr>
      <w:r>
        <w:rPr>
          <w:rFonts w:hint="eastAsia" w:ascii="宋体" w:hAnsi="宋体" w:cs="宋体"/>
          <w:sz w:val="24"/>
        </w:rPr>
        <w:t>10.5承包人的合理化建议</w:t>
      </w:r>
    </w:p>
    <w:p w14:paraId="51498674">
      <w:pPr>
        <w:spacing w:line="360" w:lineRule="auto"/>
        <w:ind w:firstLine="480" w:firstLineChars="200"/>
        <w:rPr>
          <w:rFonts w:ascii="宋体" w:hAnsi="宋体" w:cs="宋体"/>
          <w:sz w:val="24"/>
          <w:u w:val="single"/>
        </w:rPr>
      </w:pPr>
      <w:r>
        <w:rPr>
          <w:rFonts w:hint="eastAsia" w:ascii="宋体" w:hAnsi="宋体" w:cs="宋体"/>
          <w:sz w:val="24"/>
        </w:rPr>
        <w:t>监理人审查承包人合理化建议的期限：</w:t>
      </w:r>
      <w:r>
        <w:rPr>
          <w:rFonts w:hint="eastAsia" w:ascii="宋体" w:hAnsi="宋体" w:cs="宋体"/>
          <w:sz w:val="24"/>
          <w:u w:val="single"/>
        </w:rPr>
        <w:t>按通用条款执行。</w:t>
      </w:r>
    </w:p>
    <w:p w14:paraId="32B1E3BE">
      <w:pPr>
        <w:spacing w:line="360" w:lineRule="auto"/>
        <w:ind w:firstLine="480" w:firstLineChars="200"/>
        <w:rPr>
          <w:rFonts w:ascii="宋体" w:hAnsi="宋体" w:cs="宋体"/>
          <w:sz w:val="24"/>
          <w:u w:val="single"/>
        </w:rPr>
      </w:pPr>
      <w:r>
        <w:rPr>
          <w:rFonts w:hint="eastAsia" w:ascii="宋体" w:hAnsi="宋体" w:cs="宋体"/>
          <w:sz w:val="24"/>
        </w:rPr>
        <w:t>发包人审批承包人合理化建议的期限：</w:t>
      </w:r>
      <w:r>
        <w:rPr>
          <w:rFonts w:hint="eastAsia" w:ascii="宋体" w:hAnsi="宋体" w:cs="宋体"/>
          <w:sz w:val="24"/>
          <w:u w:val="single"/>
        </w:rPr>
        <w:t>按通用条款执行。</w:t>
      </w:r>
    </w:p>
    <w:p w14:paraId="7727E03A">
      <w:pPr>
        <w:spacing w:line="360" w:lineRule="auto"/>
        <w:ind w:firstLine="480" w:firstLineChars="200"/>
        <w:rPr>
          <w:rFonts w:ascii="宋体" w:hAnsi="宋体" w:cs="宋体"/>
          <w:sz w:val="24"/>
          <w:u w:val="single"/>
        </w:rPr>
      </w:pPr>
      <w:r>
        <w:rPr>
          <w:rFonts w:hint="eastAsia" w:ascii="宋体" w:hAnsi="宋体" w:cs="宋体"/>
          <w:sz w:val="24"/>
        </w:rPr>
        <w:t>承包人提出的合理化建议降低了合同价格或者提高了工程经济效益的奖励的方法和金额为：</w:t>
      </w:r>
      <w:r>
        <w:rPr>
          <w:rFonts w:hint="eastAsia" w:ascii="宋体" w:hAnsi="宋体" w:cs="宋体"/>
          <w:sz w:val="24"/>
          <w:u w:val="single"/>
        </w:rPr>
        <w:t xml:space="preserve">  / 。</w:t>
      </w:r>
    </w:p>
    <w:p w14:paraId="3921B7BC">
      <w:pPr>
        <w:spacing w:line="360" w:lineRule="auto"/>
        <w:ind w:firstLine="480" w:firstLineChars="200"/>
        <w:rPr>
          <w:rFonts w:ascii="宋体" w:hAnsi="宋体" w:cs="宋体"/>
          <w:sz w:val="24"/>
          <w:u w:val="single"/>
        </w:rPr>
      </w:pPr>
      <w:r>
        <w:rPr>
          <w:rFonts w:hint="eastAsia" w:ascii="宋体" w:hAnsi="宋体" w:cs="宋体"/>
          <w:sz w:val="24"/>
          <w:u w:val="single"/>
        </w:rPr>
        <w:t>出现工程变更时，应当由承包人出具联系单，由发包人、监理人（如有）进行确认，三方对工程量及有关价格进行协商一致后方可变更。为不影响工程进度，承包方应当提前对工程量变更进行预判，监理人（如有）、发包人应当对承包人的联系单及时进行回应。</w:t>
      </w:r>
    </w:p>
    <w:p w14:paraId="18DC657E">
      <w:pPr>
        <w:spacing w:line="360" w:lineRule="auto"/>
        <w:ind w:firstLine="480" w:firstLineChars="200"/>
        <w:rPr>
          <w:rFonts w:ascii="宋体" w:hAnsi="宋体" w:cs="宋体"/>
          <w:sz w:val="24"/>
        </w:rPr>
      </w:pPr>
      <w:r>
        <w:rPr>
          <w:rFonts w:hint="eastAsia" w:ascii="宋体" w:hAnsi="宋体" w:cs="宋体"/>
          <w:sz w:val="24"/>
        </w:rPr>
        <w:t>10.7 暂估价</w:t>
      </w:r>
    </w:p>
    <w:p w14:paraId="0FDD56D0">
      <w:pPr>
        <w:spacing w:line="360" w:lineRule="auto"/>
        <w:ind w:firstLine="480" w:firstLineChars="200"/>
        <w:rPr>
          <w:rFonts w:ascii="宋体" w:hAnsi="宋体" w:cs="宋体"/>
          <w:sz w:val="24"/>
        </w:rPr>
      </w:pPr>
      <w:r>
        <w:rPr>
          <w:rFonts w:hint="eastAsia" w:ascii="宋体" w:hAnsi="宋体" w:cs="宋体"/>
          <w:sz w:val="24"/>
        </w:rPr>
        <w:t>暂估价材料和工程设备：</w:t>
      </w:r>
      <w:r>
        <w:rPr>
          <w:rFonts w:hint="eastAsia" w:ascii="宋体" w:hAnsi="宋体" w:cs="宋体"/>
          <w:sz w:val="24"/>
          <w:u w:val="single"/>
        </w:rPr>
        <w:t>/。</w:t>
      </w:r>
    </w:p>
    <w:p w14:paraId="73AB1D82">
      <w:pPr>
        <w:spacing w:line="360" w:lineRule="auto"/>
        <w:ind w:firstLine="480" w:firstLineChars="200"/>
        <w:rPr>
          <w:rFonts w:ascii="宋体" w:hAnsi="宋体" w:cs="宋体"/>
          <w:sz w:val="24"/>
        </w:rPr>
      </w:pPr>
      <w:r>
        <w:rPr>
          <w:rFonts w:hint="eastAsia" w:ascii="宋体" w:hAnsi="宋体" w:cs="宋体"/>
          <w:sz w:val="24"/>
        </w:rPr>
        <w:t>10.7.1 依法必须招标的暂估价项目</w:t>
      </w:r>
    </w:p>
    <w:p w14:paraId="7E4FDEBE">
      <w:pPr>
        <w:spacing w:line="360" w:lineRule="auto"/>
        <w:ind w:firstLine="480" w:firstLineChars="200"/>
        <w:rPr>
          <w:rFonts w:ascii="宋体" w:hAnsi="宋体" w:cs="宋体"/>
          <w:sz w:val="24"/>
        </w:rPr>
      </w:pPr>
      <w:r>
        <w:rPr>
          <w:rFonts w:hint="eastAsia" w:ascii="宋体" w:hAnsi="宋体" w:cs="宋体"/>
          <w:sz w:val="24"/>
        </w:rPr>
        <w:t>对于依法必须招标的暂估价项目的确认和批准采取第</w:t>
      </w:r>
      <w:r>
        <w:rPr>
          <w:rFonts w:hint="eastAsia" w:ascii="宋体" w:hAnsi="宋体" w:cs="宋体"/>
          <w:sz w:val="24"/>
          <w:u w:val="single"/>
        </w:rPr>
        <w:t xml:space="preserve"> / </w:t>
      </w:r>
      <w:r>
        <w:rPr>
          <w:rFonts w:hint="eastAsia" w:ascii="宋体" w:hAnsi="宋体" w:cs="宋体"/>
          <w:sz w:val="24"/>
        </w:rPr>
        <w:t>种方式确定。</w:t>
      </w:r>
    </w:p>
    <w:p w14:paraId="34A1CA48">
      <w:pPr>
        <w:spacing w:line="360" w:lineRule="auto"/>
        <w:ind w:firstLine="480" w:firstLineChars="200"/>
        <w:rPr>
          <w:rFonts w:ascii="宋体" w:hAnsi="宋体" w:cs="宋体"/>
          <w:sz w:val="24"/>
        </w:rPr>
      </w:pPr>
      <w:r>
        <w:rPr>
          <w:rFonts w:hint="eastAsia" w:ascii="宋体" w:hAnsi="宋体" w:cs="宋体"/>
          <w:sz w:val="24"/>
        </w:rPr>
        <w:t>10.7.2 不属于依法必须招标的暂估价项目</w:t>
      </w:r>
    </w:p>
    <w:p w14:paraId="4F92C6EE">
      <w:pPr>
        <w:spacing w:line="360" w:lineRule="auto"/>
        <w:ind w:firstLine="480" w:firstLineChars="200"/>
        <w:rPr>
          <w:rFonts w:ascii="宋体" w:hAnsi="宋体" w:cs="宋体"/>
          <w:sz w:val="24"/>
        </w:rPr>
      </w:pPr>
      <w:r>
        <w:rPr>
          <w:rFonts w:hint="eastAsia" w:ascii="宋体" w:hAnsi="宋体" w:cs="宋体"/>
          <w:sz w:val="24"/>
        </w:rPr>
        <w:t>对于不属于依法必须招标的暂估价项目的确认和批准采取第</w:t>
      </w:r>
      <w:r>
        <w:rPr>
          <w:rFonts w:hint="eastAsia" w:ascii="宋体" w:hAnsi="宋体" w:cs="宋体"/>
          <w:sz w:val="24"/>
          <w:u w:val="single"/>
        </w:rPr>
        <w:t xml:space="preserve">/ </w:t>
      </w:r>
      <w:r>
        <w:rPr>
          <w:rFonts w:hint="eastAsia" w:ascii="宋体" w:hAnsi="宋体" w:cs="宋体"/>
          <w:sz w:val="24"/>
        </w:rPr>
        <w:t>种方式确定。</w:t>
      </w:r>
    </w:p>
    <w:p w14:paraId="51815D40">
      <w:pPr>
        <w:spacing w:line="360" w:lineRule="auto"/>
        <w:ind w:firstLine="480" w:firstLineChars="200"/>
        <w:rPr>
          <w:rFonts w:ascii="宋体" w:hAnsi="宋体" w:cs="宋体"/>
          <w:sz w:val="24"/>
        </w:rPr>
      </w:pPr>
      <w:r>
        <w:rPr>
          <w:rFonts w:hint="eastAsia" w:ascii="宋体" w:hAnsi="宋体" w:cs="宋体"/>
          <w:sz w:val="24"/>
        </w:rPr>
        <w:t>10.8 暂列金额</w:t>
      </w:r>
    </w:p>
    <w:p w14:paraId="6C7F4CA2">
      <w:pPr>
        <w:autoSpaceDE w:val="0"/>
        <w:autoSpaceDN w:val="0"/>
        <w:spacing w:line="360" w:lineRule="auto"/>
        <w:ind w:firstLine="480" w:firstLineChars="200"/>
        <w:rPr>
          <w:rFonts w:ascii="宋体" w:hAnsi="宋体" w:cs="宋体"/>
          <w:kern w:val="0"/>
          <w:sz w:val="24"/>
        </w:rPr>
      </w:pPr>
      <w:r>
        <w:rPr>
          <w:rFonts w:hint="eastAsia" w:ascii="宋体" w:hAnsi="宋体" w:cs="宋体"/>
          <w:sz w:val="24"/>
        </w:rPr>
        <w:t>合同当事人关于暂列金额使用的约定：</w:t>
      </w:r>
      <w:r>
        <w:rPr>
          <w:rFonts w:hint="eastAsia" w:ascii="宋体" w:hAnsi="宋体" w:cs="宋体"/>
          <w:sz w:val="24"/>
          <w:u w:val="single"/>
        </w:rPr>
        <w:t>/。</w:t>
      </w:r>
    </w:p>
    <w:p w14:paraId="48024088">
      <w:pPr>
        <w:topLinePunct/>
        <w:spacing w:line="360" w:lineRule="auto"/>
        <w:ind w:firstLine="420"/>
        <w:rPr>
          <w:rFonts w:ascii="宋体" w:hAnsi="宋体" w:cs="宋体"/>
          <w:b/>
          <w:sz w:val="24"/>
        </w:rPr>
      </w:pPr>
      <w:r>
        <w:rPr>
          <w:rFonts w:hint="eastAsia" w:ascii="宋体" w:hAnsi="宋体" w:cs="宋体"/>
          <w:b/>
          <w:sz w:val="24"/>
        </w:rPr>
        <w:t>11. 价格调整</w:t>
      </w:r>
    </w:p>
    <w:p w14:paraId="34090F94">
      <w:pPr>
        <w:spacing w:line="360" w:lineRule="auto"/>
        <w:ind w:firstLine="480" w:firstLineChars="200"/>
        <w:rPr>
          <w:rFonts w:ascii="宋体" w:hAnsi="宋体" w:cs="宋体"/>
          <w:sz w:val="24"/>
        </w:rPr>
      </w:pPr>
      <w:r>
        <w:rPr>
          <w:rFonts w:hint="eastAsia" w:ascii="宋体" w:hAnsi="宋体" w:cs="宋体"/>
          <w:sz w:val="24"/>
        </w:rPr>
        <w:t>11.1 市场价格波动引起的调整</w:t>
      </w:r>
    </w:p>
    <w:p w14:paraId="457B43C5">
      <w:pPr>
        <w:spacing w:line="360" w:lineRule="auto"/>
        <w:ind w:firstLine="480" w:firstLineChars="200"/>
        <w:rPr>
          <w:rFonts w:ascii="宋体" w:hAnsi="宋体" w:cs="宋体"/>
          <w:sz w:val="24"/>
        </w:rPr>
      </w:pPr>
      <w:r>
        <w:rPr>
          <w:rFonts w:hint="eastAsia" w:ascii="宋体" w:hAnsi="宋体" w:cs="宋体"/>
          <w:sz w:val="24"/>
        </w:rPr>
        <w:t>市场价格波动是否调整合同价格的约定：</w:t>
      </w:r>
      <w:r>
        <w:rPr>
          <w:rFonts w:hint="eastAsia" w:ascii="宋体" w:hAnsi="宋体" w:cs="宋体"/>
          <w:sz w:val="24"/>
          <w:u w:val="single"/>
        </w:rPr>
        <w:t>否。</w:t>
      </w:r>
    </w:p>
    <w:p w14:paraId="03377EC0">
      <w:pPr>
        <w:topLinePunct/>
        <w:spacing w:line="360" w:lineRule="auto"/>
        <w:ind w:firstLine="420"/>
        <w:rPr>
          <w:rFonts w:ascii="宋体" w:hAnsi="宋体" w:cs="宋体"/>
          <w:b/>
          <w:sz w:val="24"/>
        </w:rPr>
      </w:pPr>
      <w:r>
        <w:rPr>
          <w:rFonts w:hint="eastAsia" w:ascii="宋体" w:hAnsi="宋体" w:cs="宋体"/>
          <w:b/>
          <w:sz w:val="24"/>
        </w:rPr>
        <w:t>12. 合同价格、计量与支付</w:t>
      </w:r>
    </w:p>
    <w:p w14:paraId="1FA7A8A5">
      <w:pPr>
        <w:spacing w:line="360" w:lineRule="auto"/>
        <w:ind w:firstLine="480" w:firstLineChars="200"/>
        <w:rPr>
          <w:rFonts w:ascii="宋体" w:hAnsi="宋体" w:cs="宋体"/>
          <w:sz w:val="24"/>
        </w:rPr>
      </w:pPr>
      <w:r>
        <w:rPr>
          <w:rFonts w:hint="eastAsia" w:ascii="宋体" w:hAnsi="宋体" w:cs="宋体"/>
          <w:sz w:val="24"/>
        </w:rPr>
        <w:t>12.1 合同价格形式</w:t>
      </w:r>
    </w:p>
    <w:p w14:paraId="2EC8B41C">
      <w:pPr>
        <w:spacing w:line="360" w:lineRule="auto"/>
        <w:ind w:firstLine="480" w:firstLineChars="200"/>
        <w:rPr>
          <w:rFonts w:ascii="宋体" w:hAnsi="宋体" w:cs="宋体"/>
          <w:sz w:val="24"/>
        </w:rPr>
      </w:pPr>
      <w:r>
        <w:rPr>
          <w:rFonts w:hint="eastAsia" w:ascii="宋体" w:hAnsi="宋体" w:cs="宋体"/>
          <w:sz w:val="24"/>
        </w:rPr>
        <w:t>1、固定综合单价合同。</w:t>
      </w:r>
    </w:p>
    <w:p w14:paraId="3BDBA08C">
      <w:pPr>
        <w:snapToGrid w:val="0"/>
        <w:spacing w:line="360" w:lineRule="auto"/>
        <w:ind w:firstLine="448" w:firstLineChars="187"/>
        <w:rPr>
          <w:rFonts w:ascii="宋体" w:hAnsi="宋体" w:cs="宋体"/>
          <w:sz w:val="24"/>
        </w:rPr>
      </w:pPr>
      <w:r>
        <w:rPr>
          <w:rFonts w:hint="eastAsia" w:ascii="宋体" w:hAnsi="宋体" w:cs="宋体"/>
          <w:sz w:val="24"/>
        </w:rPr>
        <w:t>综合单价包含的风险范围：</w:t>
      </w:r>
    </w:p>
    <w:p w14:paraId="7A73EC31">
      <w:pPr>
        <w:snapToGrid w:val="0"/>
        <w:spacing w:line="360" w:lineRule="auto"/>
        <w:ind w:firstLine="448" w:firstLineChars="187"/>
        <w:rPr>
          <w:rFonts w:ascii="宋体" w:hAnsi="宋体" w:cs="宋体"/>
          <w:sz w:val="24"/>
          <w:u w:val="single"/>
        </w:rPr>
      </w:pPr>
      <w:bookmarkStart w:id="532" w:name="_Hlk74661457"/>
      <w:r>
        <w:rPr>
          <w:rFonts w:hint="eastAsia" w:ascii="宋体" w:hAnsi="宋体" w:cs="宋体"/>
          <w:sz w:val="24"/>
          <w:u w:val="single"/>
        </w:rPr>
        <w:t>√本合同中包括的风险范围为合同执行期内，国家有关工程建设的政策变化；</w:t>
      </w:r>
    </w:p>
    <w:p w14:paraId="1C7D6CD9">
      <w:pPr>
        <w:snapToGrid w:val="0"/>
        <w:spacing w:line="360" w:lineRule="auto"/>
        <w:ind w:firstLine="448" w:firstLineChars="187"/>
        <w:rPr>
          <w:rFonts w:ascii="宋体" w:hAnsi="宋体" w:cs="宋体"/>
          <w:sz w:val="24"/>
          <w:u w:val="single"/>
        </w:rPr>
      </w:pPr>
      <w:r>
        <w:rPr>
          <w:rFonts w:hint="eastAsia" w:ascii="宋体" w:hAnsi="宋体" w:cs="宋体"/>
          <w:sz w:val="24"/>
          <w:u w:val="single"/>
        </w:rPr>
        <w:t>√合同执行期内，工程造价管理部门公布的价格变化；</w:t>
      </w:r>
    </w:p>
    <w:p w14:paraId="207642D2">
      <w:pPr>
        <w:snapToGrid w:val="0"/>
        <w:spacing w:line="360" w:lineRule="auto"/>
        <w:ind w:firstLine="448" w:firstLineChars="187"/>
        <w:rPr>
          <w:rFonts w:ascii="宋体" w:hAnsi="宋体" w:cs="宋体"/>
          <w:sz w:val="24"/>
          <w:u w:val="single"/>
        </w:rPr>
      </w:pPr>
      <w:r>
        <w:rPr>
          <w:rFonts w:hint="eastAsia" w:ascii="宋体" w:hAnsi="宋体" w:cs="宋体"/>
          <w:sz w:val="24"/>
          <w:u w:val="single"/>
        </w:rPr>
        <w:t>√合同执行期内，材料价格、人工及机械价格的市场变化；</w:t>
      </w:r>
    </w:p>
    <w:p w14:paraId="2142C460">
      <w:pPr>
        <w:snapToGrid w:val="0"/>
        <w:spacing w:line="360" w:lineRule="auto"/>
        <w:ind w:firstLine="448" w:firstLineChars="187"/>
        <w:rPr>
          <w:rFonts w:ascii="宋体" w:hAnsi="宋体" w:cs="宋体"/>
          <w:sz w:val="24"/>
          <w:u w:val="single"/>
        </w:rPr>
      </w:pPr>
      <w:r>
        <w:rPr>
          <w:rFonts w:hint="eastAsia" w:ascii="宋体" w:hAnsi="宋体" w:cs="宋体"/>
          <w:sz w:val="24"/>
          <w:u w:val="single"/>
        </w:rPr>
        <w:t>√现行预算定额未描述到,但又是完成分项工程必须有的工作内容,均应包含在报价内；</w:t>
      </w:r>
    </w:p>
    <w:p w14:paraId="60FB47E7">
      <w:pPr>
        <w:snapToGrid w:val="0"/>
        <w:spacing w:line="360" w:lineRule="auto"/>
        <w:ind w:firstLine="448" w:firstLineChars="187"/>
        <w:rPr>
          <w:rFonts w:ascii="宋体" w:hAnsi="宋体" w:cs="宋体"/>
          <w:sz w:val="24"/>
          <w:u w:val="single"/>
        </w:rPr>
      </w:pPr>
      <w:r>
        <w:rPr>
          <w:rFonts w:hint="eastAsia" w:ascii="宋体" w:hAnsi="宋体" w:cs="宋体"/>
          <w:sz w:val="24"/>
          <w:u w:val="single"/>
        </w:rPr>
        <w:t>√周边环境影响风险；</w:t>
      </w:r>
    </w:p>
    <w:p w14:paraId="736A1E17">
      <w:pPr>
        <w:snapToGrid w:val="0"/>
        <w:spacing w:line="360" w:lineRule="auto"/>
        <w:ind w:firstLine="448" w:firstLineChars="187"/>
        <w:rPr>
          <w:rFonts w:ascii="宋体" w:hAnsi="宋体" w:cs="宋体"/>
          <w:sz w:val="24"/>
          <w:u w:val="single"/>
        </w:rPr>
      </w:pPr>
      <w:r>
        <w:rPr>
          <w:rFonts w:hint="eastAsia" w:ascii="宋体" w:hAnsi="宋体" w:cs="宋体"/>
          <w:sz w:val="24"/>
          <w:u w:val="single"/>
        </w:rPr>
        <w:t>√合同执行期内，施工临时停电、停水造成的停工；</w:t>
      </w:r>
    </w:p>
    <w:p w14:paraId="6F31A62B">
      <w:pPr>
        <w:snapToGrid w:val="0"/>
        <w:spacing w:line="360" w:lineRule="auto"/>
        <w:ind w:firstLine="448" w:firstLineChars="187"/>
        <w:rPr>
          <w:rFonts w:ascii="宋体" w:hAnsi="宋体" w:cs="宋体"/>
          <w:sz w:val="24"/>
          <w:u w:val="single"/>
        </w:rPr>
      </w:pPr>
      <w:r>
        <w:rPr>
          <w:rFonts w:hint="eastAsia" w:ascii="宋体" w:hAnsi="宋体" w:cs="宋体"/>
          <w:sz w:val="24"/>
          <w:u w:val="single"/>
        </w:rPr>
        <w:t>√合同执行期内，因客观原因造成承包人停工、窝工；</w:t>
      </w:r>
    </w:p>
    <w:p w14:paraId="7255B748">
      <w:pPr>
        <w:snapToGrid w:val="0"/>
        <w:spacing w:line="360" w:lineRule="auto"/>
        <w:ind w:firstLine="448" w:firstLineChars="187"/>
        <w:rPr>
          <w:rFonts w:ascii="宋体" w:hAnsi="宋体" w:cs="宋体"/>
          <w:sz w:val="24"/>
          <w:u w:val="single"/>
        </w:rPr>
      </w:pPr>
      <w:r>
        <w:rPr>
          <w:rFonts w:hint="eastAsia" w:ascii="宋体" w:hAnsi="宋体" w:cs="宋体"/>
          <w:sz w:val="24"/>
          <w:u w:val="single"/>
        </w:rPr>
        <w:t>√合同执行期内可能发生的其他费用，包括市政、市容、环保、交通、治安等；有经验的承包商应能预计的其他费用。</w:t>
      </w:r>
    </w:p>
    <w:p w14:paraId="5F69A0B4">
      <w:pPr>
        <w:spacing w:line="360" w:lineRule="auto"/>
        <w:ind w:firstLine="480" w:firstLineChars="200"/>
        <w:rPr>
          <w:rFonts w:ascii="宋体" w:hAnsi="宋体" w:cs="宋体"/>
          <w:sz w:val="24"/>
          <w:u w:val="single"/>
        </w:rPr>
      </w:pPr>
      <w:r>
        <w:rPr>
          <w:rFonts w:hint="eastAsia" w:ascii="宋体" w:hAnsi="宋体" w:cs="宋体"/>
          <w:sz w:val="24"/>
        </w:rPr>
        <w:t>风险费用的计算方法：</w:t>
      </w:r>
      <w:bookmarkEnd w:id="532"/>
      <w:r>
        <w:rPr>
          <w:rFonts w:hint="eastAsia" w:ascii="宋体" w:hAnsi="宋体" w:cs="宋体"/>
          <w:sz w:val="24"/>
          <w:u w:val="single"/>
        </w:rPr>
        <w:t>本合同应由承包人承担的工、料、机在投标编制期或预算书编制期与合同实施期间所发生的市场价格波动造成风险费用已包含在签约合同价款中，费用由承包人自行承担，不得再另行计取。</w:t>
      </w:r>
    </w:p>
    <w:p w14:paraId="5CEE6D6C">
      <w:pPr>
        <w:spacing w:line="360" w:lineRule="auto"/>
        <w:ind w:firstLine="501" w:firstLineChars="209"/>
        <w:rPr>
          <w:rFonts w:ascii="宋体" w:hAnsi="宋体" w:cs="宋体"/>
          <w:sz w:val="24"/>
          <w:u w:val="single"/>
        </w:rPr>
      </w:pPr>
      <w:r>
        <w:rPr>
          <w:rFonts w:hint="eastAsia" w:ascii="宋体" w:hAnsi="宋体" w:cs="宋体"/>
          <w:sz w:val="24"/>
        </w:rPr>
        <w:t>风险范围以外合同价格的调整方法：</w:t>
      </w:r>
      <w:r>
        <w:rPr>
          <w:rFonts w:hint="eastAsia" w:ascii="宋体" w:hAnsi="宋体" w:cs="宋体"/>
          <w:sz w:val="24"/>
          <w:u w:val="single"/>
        </w:rPr>
        <w:t>1）实物工程量数量按实调整。2）重大设计变更引起的技术措施变更，如发包人批准其相应费用调整，竣工结算按照本合同专用条款10.4.1条款约定执行。3）变更估价按本合同10.4.1 的约定计算。</w:t>
      </w:r>
    </w:p>
    <w:p w14:paraId="046A6B4D">
      <w:pPr>
        <w:spacing w:line="360" w:lineRule="auto"/>
        <w:ind w:firstLine="480" w:firstLineChars="200"/>
        <w:rPr>
          <w:rFonts w:ascii="宋体" w:hAnsi="宋体" w:cs="宋体"/>
          <w:sz w:val="24"/>
        </w:rPr>
      </w:pPr>
      <w:r>
        <w:rPr>
          <w:rFonts w:hint="eastAsia" w:ascii="宋体" w:hAnsi="宋体" w:cs="宋体"/>
          <w:sz w:val="24"/>
        </w:rPr>
        <w:t>2、总价合同。</w:t>
      </w:r>
    </w:p>
    <w:p w14:paraId="785B6533">
      <w:pPr>
        <w:spacing w:line="360" w:lineRule="auto"/>
        <w:ind w:firstLine="480" w:firstLineChars="200"/>
        <w:rPr>
          <w:rFonts w:ascii="宋体" w:hAnsi="宋体" w:cs="宋体"/>
          <w:sz w:val="24"/>
          <w:u w:val="single"/>
        </w:rPr>
      </w:pPr>
      <w:r>
        <w:rPr>
          <w:rFonts w:hint="eastAsia" w:ascii="宋体" w:hAnsi="宋体" w:cs="宋体"/>
          <w:sz w:val="24"/>
        </w:rPr>
        <w:t>总价包含的风险范围：</w:t>
      </w:r>
      <w:r>
        <w:rPr>
          <w:rFonts w:hint="eastAsia" w:ascii="宋体" w:hAnsi="宋体" w:cs="宋体"/>
          <w:sz w:val="24"/>
          <w:u w:val="single"/>
        </w:rPr>
        <w:t>/</w:t>
      </w:r>
      <w:r>
        <w:rPr>
          <w:rFonts w:hint="eastAsia" w:ascii="宋体" w:hAnsi="宋体" w:cs="宋体"/>
          <w:sz w:val="24"/>
        </w:rPr>
        <w:t>。</w:t>
      </w:r>
    </w:p>
    <w:p w14:paraId="5817382B">
      <w:pPr>
        <w:spacing w:line="360" w:lineRule="auto"/>
        <w:ind w:firstLine="480" w:firstLineChars="200"/>
        <w:rPr>
          <w:rFonts w:ascii="宋体" w:hAnsi="宋体" w:cs="宋体"/>
          <w:sz w:val="24"/>
          <w:u w:val="single"/>
        </w:rPr>
      </w:pPr>
      <w:r>
        <w:rPr>
          <w:rFonts w:hint="eastAsia" w:ascii="宋体" w:hAnsi="宋体" w:cs="宋体"/>
          <w:sz w:val="24"/>
        </w:rPr>
        <w:t>风险费用的计算方法：</w:t>
      </w:r>
      <w:r>
        <w:rPr>
          <w:rFonts w:hint="eastAsia" w:ascii="宋体" w:hAnsi="宋体" w:cs="宋体"/>
          <w:sz w:val="24"/>
          <w:u w:val="single"/>
        </w:rPr>
        <w:t>/</w:t>
      </w:r>
      <w:r>
        <w:rPr>
          <w:rFonts w:hint="eastAsia" w:ascii="宋体" w:hAnsi="宋体" w:cs="宋体"/>
          <w:sz w:val="24"/>
        </w:rPr>
        <w:t>。</w:t>
      </w:r>
    </w:p>
    <w:p w14:paraId="0AF34154">
      <w:pPr>
        <w:spacing w:line="360" w:lineRule="auto"/>
        <w:ind w:firstLine="480" w:firstLineChars="200"/>
        <w:rPr>
          <w:rFonts w:ascii="宋体" w:hAnsi="宋体" w:cs="宋体"/>
          <w:sz w:val="24"/>
        </w:rPr>
      </w:pPr>
      <w:r>
        <w:rPr>
          <w:rFonts w:hint="eastAsia" w:ascii="宋体" w:hAnsi="宋体" w:cs="宋体"/>
          <w:sz w:val="24"/>
        </w:rPr>
        <w:t>风险范围以外合同价格的调整方法：</w:t>
      </w:r>
      <w:r>
        <w:rPr>
          <w:rFonts w:hint="eastAsia" w:ascii="宋体" w:hAnsi="宋体" w:cs="宋体"/>
          <w:sz w:val="24"/>
          <w:u w:val="single"/>
        </w:rPr>
        <w:t>/</w:t>
      </w:r>
      <w:r>
        <w:rPr>
          <w:rFonts w:hint="eastAsia" w:ascii="宋体" w:hAnsi="宋体" w:cs="宋体"/>
          <w:sz w:val="24"/>
        </w:rPr>
        <w:t>。</w:t>
      </w:r>
    </w:p>
    <w:p w14:paraId="66F845E0">
      <w:pPr>
        <w:spacing w:line="360" w:lineRule="auto"/>
        <w:ind w:firstLine="480" w:firstLineChars="200"/>
        <w:rPr>
          <w:rFonts w:ascii="宋体" w:hAnsi="宋体" w:cs="宋体"/>
          <w:sz w:val="24"/>
          <w:u w:val="single"/>
        </w:rPr>
      </w:pPr>
      <w:r>
        <w:rPr>
          <w:rFonts w:hint="eastAsia" w:ascii="宋体" w:hAnsi="宋体" w:cs="宋体"/>
          <w:sz w:val="24"/>
        </w:rPr>
        <w:t>3、其他价格方式：</w:t>
      </w:r>
      <w:r>
        <w:rPr>
          <w:rFonts w:hint="eastAsia" w:ascii="宋体" w:hAnsi="宋体" w:cs="宋体"/>
          <w:sz w:val="24"/>
          <w:u w:val="single"/>
        </w:rPr>
        <w:t>/</w:t>
      </w:r>
      <w:r>
        <w:rPr>
          <w:rFonts w:hint="eastAsia" w:ascii="宋体" w:hAnsi="宋体" w:cs="宋体"/>
          <w:sz w:val="24"/>
        </w:rPr>
        <w:t>。</w:t>
      </w:r>
    </w:p>
    <w:p w14:paraId="7C877B50">
      <w:pPr>
        <w:spacing w:line="360" w:lineRule="auto"/>
        <w:ind w:firstLine="480" w:firstLineChars="200"/>
        <w:rPr>
          <w:rFonts w:ascii="宋体" w:hAnsi="宋体" w:cs="宋体"/>
          <w:sz w:val="24"/>
        </w:rPr>
      </w:pPr>
      <w:r>
        <w:rPr>
          <w:rFonts w:hint="eastAsia" w:ascii="宋体" w:hAnsi="宋体" w:cs="宋体"/>
          <w:sz w:val="24"/>
        </w:rPr>
        <w:t>12.2 预付款</w:t>
      </w:r>
    </w:p>
    <w:p w14:paraId="7CC1F0B7">
      <w:pPr>
        <w:spacing w:line="360" w:lineRule="auto"/>
        <w:ind w:firstLine="480" w:firstLineChars="200"/>
        <w:rPr>
          <w:rFonts w:ascii="宋体" w:hAnsi="宋体" w:cs="宋体"/>
          <w:sz w:val="24"/>
        </w:rPr>
      </w:pPr>
      <w:r>
        <w:rPr>
          <w:rFonts w:hint="eastAsia" w:ascii="宋体" w:hAnsi="宋体" w:cs="宋体"/>
          <w:sz w:val="24"/>
        </w:rPr>
        <w:t>12.2.1预付款的支付</w:t>
      </w:r>
    </w:p>
    <w:p w14:paraId="7FD20720">
      <w:pPr>
        <w:spacing w:line="360" w:lineRule="auto"/>
        <w:ind w:firstLine="480" w:firstLineChars="200"/>
        <w:rPr>
          <w:rFonts w:ascii="宋体" w:hAnsi="宋体" w:cs="宋体"/>
          <w:sz w:val="24"/>
        </w:rPr>
      </w:pPr>
      <w:r>
        <w:rPr>
          <w:rFonts w:hint="eastAsia" w:ascii="宋体" w:hAnsi="宋体" w:cs="宋体"/>
          <w:sz w:val="24"/>
        </w:rPr>
        <w:t>预付款支付比例或金额：</w:t>
      </w:r>
      <w:r>
        <w:rPr>
          <w:rFonts w:hint="eastAsia" w:ascii="宋体" w:hAnsi="宋体" w:cs="宋体"/>
          <w:sz w:val="24"/>
          <w:u w:val="single"/>
        </w:rPr>
        <w:t>本合同总价40%的工程预付款。</w:t>
      </w:r>
    </w:p>
    <w:p w14:paraId="25392630">
      <w:pPr>
        <w:spacing w:line="360" w:lineRule="auto"/>
        <w:ind w:firstLine="480" w:firstLineChars="200"/>
        <w:rPr>
          <w:rFonts w:ascii="宋体" w:hAnsi="宋体" w:cs="宋体"/>
          <w:sz w:val="24"/>
          <w:u w:val="single"/>
        </w:rPr>
      </w:pPr>
      <w:r>
        <w:rPr>
          <w:rFonts w:hint="eastAsia" w:ascii="宋体" w:hAnsi="宋体" w:cs="宋体"/>
          <w:sz w:val="24"/>
        </w:rPr>
        <w:t>预付款支付期限：</w:t>
      </w:r>
      <w:r>
        <w:rPr>
          <w:rFonts w:hint="eastAsia" w:ascii="宋体" w:hAnsi="宋体" w:cs="宋体"/>
          <w:sz w:val="24"/>
          <w:u w:val="single"/>
        </w:rPr>
        <w:t>在合同生效以及具备实施条件后7个工作日内支付</w:t>
      </w:r>
      <w:r>
        <w:rPr>
          <w:rFonts w:hint="eastAsia" w:ascii="宋体" w:hAnsi="宋体" w:cs="宋体"/>
          <w:sz w:val="24"/>
        </w:rPr>
        <w:t>。</w:t>
      </w:r>
    </w:p>
    <w:p w14:paraId="6B2EA8DA">
      <w:pPr>
        <w:spacing w:line="360" w:lineRule="auto"/>
        <w:ind w:firstLine="480" w:firstLineChars="200"/>
        <w:rPr>
          <w:rFonts w:ascii="宋体" w:hAnsi="宋体" w:cs="宋体"/>
          <w:sz w:val="24"/>
          <w:u w:val="single"/>
        </w:rPr>
      </w:pPr>
      <w:r>
        <w:rPr>
          <w:rFonts w:hint="eastAsia" w:ascii="宋体" w:hAnsi="宋体" w:cs="宋体"/>
          <w:sz w:val="24"/>
        </w:rPr>
        <w:t>预付款扣回的方式：</w:t>
      </w:r>
      <w:r>
        <w:rPr>
          <w:rFonts w:hint="eastAsia" w:ascii="宋体" w:hAnsi="宋体" w:cs="宋体"/>
          <w:sz w:val="24"/>
          <w:u w:val="single"/>
        </w:rPr>
        <w:t>/。</w:t>
      </w:r>
    </w:p>
    <w:p w14:paraId="60C94F13">
      <w:pPr>
        <w:spacing w:line="360" w:lineRule="auto"/>
        <w:ind w:firstLine="480" w:firstLineChars="200"/>
        <w:rPr>
          <w:rFonts w:ascii="宋体" w:hAnsi="宋体" w:cs="宋体"/>
          <w:sz w:val="24"/>
        </w:rPr>
      </w:pPr>
      <w:r>
        <w:rPr>
          <w:rFonts w:hint="eastAsia" w:ascii="宋体" w:hAnsi="宋体" w:cs="宋体"/>
          <w:sz w:val="24"/>
        </w:rPr>
        <w:t>12.2.2 预付款担保</w:t>
      </w:r>
    </w:p>
    <w:p w14:paraId="0C7B7297">
      <w:pPr>
        <w:spacing w:line="360" w:lineRule="auto"/>
        <w:ind w:firstLine="480" w:firstLineChars="200"/>
        <w:rPr>
          <w:rFonts w:ascii="宋体" w:hAnsi="宋体" w:cs="宋体"/>
          <w:sz w:val="24"/>
        </w:rPr>
      </w:pPr>
      <w:r>
        <w:rPr>
          <w:rFonts w:hint="eastAsia" w:ascii="宋体" w:hAnsi="宋体" w:cs="宋体"/>
          <w:sz w:val="24"/>
        </w:rPr>
        <w:t>承包人提交预付款担保的期限：</w:t>
      </w:r>
      <w:r>
        <w:rPr>
          <w:rFonts w:hint="eastAsia" w:ascii="宋体" w:hAnsi="宋体" w:cs="宋体"/>
          <w:sz w:val="24"/>
          <w:u w:val="single"/>
        </w:rPr>
        <w:t>无。</w:t>
      </w:r>
    </w:p>
    <w:p w14:paraId="3883A670">
      <w:pPr>
        <w:spacing w:line="360" w:lineRule="auto"/>
        <w:ind w:firstLine="480" w:firstLineChars="200"/>
        <w:rPr>
          <w:rFonts w:ascii="宋体" w:hAnsi="宋体" w:cs="宋体"/>
          <w:sz w:val="24"/>
        </w:rPr>
      </w:pPr>
      <w:r>
        <w:rPr>
          <w:rFonts w:hint="eastAsia" w:ascii="宋体" w:hAnsi="宋体" w:cs="宋体"/>
          <w:sz w:val="24"/>
        </w:rPr>
        <w:t>预付款担保的形式为：</w:t>
      </w:r>
      <w:r>
        <w:rPr>
          <w:rFonts w:hint="eastAsia" w:ascii="宋体" w:hAnsi="宋体" w:cs="宋体"/>
          <w:sz w:val="24"/>
          <w:u w:val="single"/>
        </w:rPr>
        <w:t>无。</w:t>
      </w:r>
    </w:p>
    <w:p w14:paraId="66103AD2">
      <w:pPr>
        <w:spacing w:line="360" w:lineRule="auto"/>
        <w:ind w:firstLine="480" w:firstLineChars="200"/>
        <w:rPr>
          <w:rFonts w:ascii="宋体" w:hAnsi="宋体" w:cs="宋体"/>
          <w:sz w:val="24"/>
        </w:rPr>
      </w:pPr>
      <w:r>
        <w:rPr>
          <w:rFonts w:hint="eastAsia" w:ascii="宋体" w:hAnsi="宋体" w:cs="宋体"/>
          <w:sz w:val="24"/>
        </w:rPr>
        <w:t>12.3 计量</w:t>
      </w:r>
    </w:p>
    <w:p w14:paraId="3B0ED256">
      <w:pPr>
        <w:spacing w:line="360" w:lineRule="auto"/>
        <w:ind w:firstLine="480" w:firstLineChars="200"/>
        <w:rPr>
          <w:rFonts w:ascii="宋体" w:hAnsi="宋体" w:cs="宋体"/>
          <w:sz w:val="24"/>
        </w:rPr>
      </w:pPr>
      <w:r>
        <w:rPr>
          <w:rFonts w:hint="eastAsia" w:ascii="宋体" w:hAnsi="宋体" w:cs="宋体"/>
          <w:sz w:val="24"/>
        </w:rPr>
        <w:t>12.3.1 计量原则</w:t>
      </w:r>
    </w:p>
    <w:p w14:paraId="30A77A87">
      <w:pPr>
        <w:spacing w:line="360" w:lineRule="auto"/>
        <w:ind w:firstLine="480" w:firstLineChars="200"/>
        <w:rPr>
          <w:rFonts w:ascii="宋体" w:hAnsi="宋体" w:cs="宋体"/>
          <w:sz w:val="24"/>
        </w:rPr>
      </w:pPr>
      <w:r>
        <w:rPr>
          <w:rFonts w:hint="eastAsia" w:ascii="宋体" w:hAnsi="宋体" w:cs="宋体"/>
          <w:sz w:val="24"/>
        </w:rPr>
        <w:t>工程量计算规则：</w:t>
      </w:r>
    </w:p>
    <w:p w14:paraId="778C8B7C">
      <w:pPr>
        <w:spacing w:line="360" w:lineRule="auto"/>
        <w:ind w:firstLine="480" w:firstLineChars="200"/>
        <w:rPr>
          <w:rFonts w:ascii="宋体" w:hAnsi="宋体" w:cs="宋体"/>
          <w:sz w:val="24"/>
          <w:u w:val="single"/>
        </w:rPr>
      </w:pPr>
      <w:r>
        <w:rPr>
          <w:rFonts w:hint="eastAsia" w:ascii="宋体" w:hAnsi="宋体" w:cs="宋体"/>
          <w:sz w:val="24"/>
          <w:u w:val="single"/>
        </w:rPr>
        <w:t>（1）实行工程量清单计价的工程项目，其工程量的计算规则应按国家标准工程量计算规范及省级行业主管部门颁布的补充规定执行。</w:t>
      </w:r>
    </w:p>
    <w:p w14:paraId="2B794AB2">
      <w:pPr>
        <w:spacing w:line="360" w:lineRule="auto"/>
        <w:ind w:firstLine="480" w:firstLineChars="200"/>
        <w:rPr>
          <w:rFonts w:ascii="宋体" w:hAnsi="宋体" w:cs="宋体"/>
          <w:sz w:val="24"/>
          <w:u w:val="single"/>
        </w:rPr>
      </w:pPr>
      <w:r>
        <w:rPr>
          <w:rFonts w:hint="eastAsia" w:ascii="宋体" w:hAnsi="宋体" w:cs="宋体"/>
          <w:sz w:val="24"/>
          <w:u w:val="single"/>
        </w:rPr>
        <w:t>（2）不实行工程量清单计价的工程项目，工程量的计算规则应按省、市行业主管部门颁布的各专业工程定额的工程量计算规则执行。</w:t>
      </w:r>
    </w:p>
    <w:p w14:paraId="04FD5AC5">
      <w:pPr>
        <w:spacing w:line="360" w:lineRule="auto"/>
        <w:ind w:firstLine="480" w:firstLineChars="200"/>
        <w:rPr>
          <w:rFonts w:ascii="宋体" w:hAnsi="宋体" w:cs="宋体"/>
          <w:sz w:val="24"/>
        </w:rPr>
      </w:pPr>
      <w:r>
        <w:rPr>
          <w:rFonts w:hint="eastAsia" w:ascii="宋体" w:hAnsi="宋体" w:cs="宋体"/>
          <w:sz w:val="24"/>
        </w:rPr>
        <w:t>12.3.2 计量周期</w:t>
      </w:r>
    </w:p>
    <w:p w14:paraId="709EA455">
      <w:pPr>
        <w:spacing w:line="360" w:lineRule="auto"/>
        <w:ind w:firstLine="480" w:firstLineChars="200"/>
        <w:rPr>
          <w:rFonts w:ascii="宋体" w:hAnsi="宋体" w:cs="宋体"/>
          <w:sz w:val="24"/>
        </w:rPr>
      </w:pPr>
      <w:r>
        <w:rPr>
          <w:rFonts w:hint="eastAsia" w:ascii="宋体" w:hAnsi="宋体" w:cs="宋体"/>
          <w:sz w:val="24"/>
        </w:rPr>
        <w:t>关于计量周期的约定：</w:t>
      </w:r>
      <w:r>
        <w:rPr>
          <w:rFonts w:hint="eastAsia" w:ascii="宋体" w:hAnsi="宋体" w:cs="宋体"/>
          <w:sz w:val="24"/>
          <w:u w:val="single"/>
        </w:rPr>
        <w:t xml:space="preserve"> </w:t>
      </w:r>
      <w:r>
        <w:rPr>
          <w:rFonts w:hint="eastAsia" w:ascii="宋体" w:hAnsi="宋体" w:cs="宋体"/>
          <w:kern w:val="0"/>
          <w:sz w:val="24"/>
          <w:u w:val="single"/>
        </w:rPr>
        <w:t>按通用条款执行</w:t>
      </w:r>
      <w:r>
        <w:rPr>
          <w:rFonts w:hint="eastAsia" w:ascii="宋体" w:hAnsi="宋体" w:cs="宋体"/>
          <w:sz w:val="24"/>
        </w:rPr>
        <w:t>。</w:t>
      </w:r>
    </w:p>
    <w:p w14:paraId="09537922">
      <w:pPr>
        <w:spacing w:line="360" w:lineRule="auto"/>
        <w:ind w:firstLine="480" w:firstLineChars="200"/>
        <w:rPr>
          <w:rFonts w:ascii="宋体" w:hAnsi="宋体" w:cs="宋体"/>
          <w:sz w:val="24"/>
        </w:rPr>
      </w:pPr>
      <w:r>
        <w:rPr>
          <w:rFonts w:hint="eastAsia" w:ascii="宋体" w:hAnsi="宋体" w:cs="宋体"/>
          <w:sz w:val="24"/>
        </w:rPr>
        <w:t>12.3.3 单价合同的计量</w:t>
      </w:r>
    </w:p>
    <w:p w14:paraId="70DBC358">
      <w:pPr>
        <w:tabs>
          <w:tab w:val="left" w:pos="482"/>
          <w:tab w:val="left" w:pos="2183"/>
          <w:tab w:val="left" w:pos="3884"/>
          <w:tab w:val="left" w:pos="5585"/>
        </w:tabs>
        <w:spacing w:line="360" w:lineRule="auto"/>
        <w:ind w:firstLine="480" w:firstLineChars="200"/>
        <w:rPr>
          <w:rFonts w:ascii="宋体" w:hAnsi="宋体" w:cs="宋体"/>
          <w:sz w:val="24"/>
        </w:rPr>
      </w:pPr>
      <w:r>
        <w:rPr>
          <w:rFonts w:hint="eastAsia" w:ascii="宋体" w:hAnsi="宋体" w:cs="宋体"/>
          <w:sz w:val="24"/>
        </w:rPr>
        <w:t>关于单价合同计量的约定：</w:t>
      </w:r>
      <w:r>
        <w:rPr>
          <w:rFonts w:hint="eastAsia" w:ascii="宋体" w:hAnsi="宋体" w:cs="宋体"/>
          <w:kern w:val="0"/>
          <w:sz w:val="24"/>
          <w:u w:val="single"/>
        </w:rPr>
        <w:t>按通用条款执行</w:t>
      </w:r>
      <w:r>
        <w:rPr>
          <w:rFonts w:hint="eastAsia" w:ascii="宋体" w:hAnsi="宋体" w:cs="宋体"/>
          <w:sz w:val="24"/>
          <w:u w:val="single"/>
        </w:rPr>
        <w:t>。</w:t>
      </w:r>
    </w:p>
    <w:p w14:paraId="5D3D22CF">
      <w:pPr>
        <w:spacing w:line="360" w:lineRule="auto"/>
        <w:ind w:firstLine="480" w:firstLineChars="200"/>
        <w:rPr>
          <w:rFonts w:ascii="宋体" w:hAnsi="宋体" w:cs="宋体"/>
          <w:sz w:val="24"/>
        </w:rPr>
      </w:pPr>
      <w:r>
        <w:rPr>
          <w:rFonts w:hint="eastAsia" w:ascii="宋体" w:hAnsi="宋体" w:cs="宋体"/>
          <w:sz w:val="24"/>
        </w:rPr>
        <w:t>12.3.4 总价合同的计量</w:t>
      </w:r>
    </w:p>
    <w:p w14:paraId="3214DAE4">
      <w:pPr>
        <w:spacing w:line="360" w:lineRule="auto"/>
        <w:ind w:firstLine="480" w:firstLineChars="200"/>
        <w:rPr>
          <w:rFonts w:ascii="宋体" w:hAnsi="宋体" w:cs="宋体"/>
          <w:sz w:val="24"/>
        </w:rPr>
      </w:pPr>
      <w:r>
        <w:rPr>
          <w:rFonts w:hint="eastAsia" w:ascii="宋体" w:hAnsi="宋体" w:cs="宋体"/>
          <w:sz w:val="24"/>
        </w:rPr>
        <w:t>关于总价合同计量的约定：</w:t>
      </w:r>
      <w:r>
        <w:rPr>
          <w:rFonts w:hint="eastAsia" w:ascii="宋体" w:hAnsi="宋体" w:cs="宋体"/>
          <w:sz w:val="24"/>
          <w:u w:val="single"/>
        </w:rPr>
        <w:t>/</w:t>
      </w:r>
      <w:r>
        <w:rPr>
          <w:rFonts w:hint="eastAsia" w:ascii="宋体" w:hAnsi="宋体" w:cs="宋体"/>
          <w:sz w:val="24"/>
        </w:rPr>
        <w:t>。</w:t>
      </w:r>
    </w:p>
    <w:p w14:paraId="6308A813">
      <w:pPr>
        <w:spacing w:line="360" w:lineRule="auto"/>
        <w:ind w:firstLine="480" w:firstLineChars="200"/>
        <w:rPr>
          <w:rFonts w:ascii="宋体" w:hAnsi="宋体" w:cs="宋体"/>
          <w:sz w:val="24"/>
        </w:rPr>
      </w:pPr>
      <w:r>
        <w:rPr>
          <w:rFonts w:hint="eastAsia" w:ascii="宋体" w:hAnsi="宋体" w:cs="宋体"/>
          <w:sz w:val="24"/>
        </w:rPr>
        <w:t>12.3.5总价合同采用支付分解表计量支付的，是否适用第12.3.4 项〔总价合同的计量〕约定进行计量：</w:t>
      </w:r>
      <w:r>
        <w:rPr>
          <w:rFonts w:hint="eastAsia" w:ascii="宋体" w:hAnsi="宋体" w:cs="宋体"/>
          <w:sz w:val="24"/>
          <w:u w:val="single"/>
        </w:rPr>
        <w:t>/</w:t>
      </w:r>
      <w:r>
        <w:rPr>
          <w:rFonts w:hint="eastAsia" w:ascii="宋体" w:hAnsi="宋体" w:cs="宋体"/>
          <w:sz w:val="24"/>
        </w:rPr>
        <w:t>。</w:t>
      </w:r>
    </w:p>
    <w:p w14:paraId="31A1D122">
      <w:pPr>
        <w:spacing w:line="360" w:lineRule="auto"/>
        <w:ind w:firstLine="480" w:firstLineChars="200"/>
        <w:rPr>
          <w:rFonts w:ascii="宋体" w:hAnsi="宋体" w:cs="宋体"/>
          <w:sz w:val="24"/>
        </w:rPr>
      </w:pPr>
      <w:r>
        <w:rPr>
          <w:rFonts w:hint="eastAsia" w:ascii="宋体" w:hAnsi="宋体" w:cs="宋体"/>
          <w:sz w:val="24"/>
        </w:rPr>
        <w:t>12.3.6 其他价格形式合同的计量</w:t>
      </w:r>
    </w:p>
    <w:p w14:paraId="6AC91006">
      <w:pPr>
        <w:spacing w:line="360" w:lineRule="auto"/>
        <w:ind w:firstLine="480" w:firstLineChars="200"/>
        <w:rPr>
          <w:rFonts w:ascii="宋体" w:hAnsi="宋体" w:cs="宋体"/>
          <w:sz w:val="24"/>
        </w:rPr>
      </w:pPr>
      <w:r>
        <w:rPr>
          <w:rFonts w:hint="eastAsia" w:ascii="宋体" w:hAnsi="宋体" w:cs="宋体"/>
          <w:sz w:val="24"/>
        </w:rPr>
        <w:t>其他价格形式的计量方式和程序:</w:t>
      </w:r>
      <w:r>
        <w:rPr>
          <w:rFonts w:hint="eastAsia" w:ascii="宋体" w:hAnsi="宋体" w:cs="宋体"/>
          <w:sz w:val="24"/>
          <w:u w:val="single"/>
        </w:rPr>
        <w:t xml:space="preserve"> /。</w:t>
      </w:r>
    </w:p>
    <w:p w14:paraId="02D04543">
      <w:pPr>
        <w:spacing w:line="360" w:lineRule="auto"/>
        <w:ind w:firstLine="480" w:firstLineChars="200"/>
        <w:rPr>
          <w:rFonts w:ascii="宋体" w:hAnsi="宋体" w:cs="宋体"/>
          <w:sz w:val="24"/>
        </w:rPr>
      </w:pPr>
      <w:r>
        <w:rPr>
          <w:rFonts w:hint="eastAsia" w:ascii="宋体" w:hAnsi="宋体" w:cs="宋体"/>
          <w:sz w:val="24"/>
        </w:rPr>
        <w:t>12.4 工程进度款支付</w:t>
      </w:r>
    </w:p>
    <w:p w14:paraId="59258C0A">
      <w:pPr>
        <w:spacing w:line="360" w:lineRule="auto"/>
        <w:ind w:firstLine="480" w:firstLineChars="200"/>
        <w:rPr>
          <w:rFonts w:ascii="宋体" w:hAnsi="宋体" w:cs="宋体"/>
          <w:sz w:val="24"/>
        </w:rPr>
      </w:pPr>
      <w:r>
        <w:rPr>
          <w:rFonts w:hint="eastAsia" w:ascii="宋体" w:hAnsi="宋体" w:cs="宋体"/>
          <w:sz w:val="24"/>
        </w:rPr>
        <w:t>12.4.1 付款周期</w:t>
      </w:r>
    </w:p>
    <w:p w14:paraId="51D151BF">
      <w:pPr>
        <w:spacing w:line="360" w:lineRule="auto"/>
        <w:ind w:firstLine="480" w:firstLineChars="200"/>
        <w:rPr>
          <w:rFonts w:ascii="宋体" w:hAnsi="宋体" w:cs="宋体"/>
          <w:sz w:val="24"/>
        </w:rPr>
      </w:pPr>
      <w:r>
        <w:rPr>
          <w:rFonts w:hint="eastAsia" w:ascii="宋体" w:hAnsi="宋体" w:cs="宋体"/>
          <w:sz w:val="24"/>
        </w:rPr>
        <w:t>（1）暂定合同总价人民币</w:t>
      </w:r>
      <w:r>
        <w:rPr>
          <w:rFonts w:hint="eastAsia" w:ascii="宋体" w:hAnsi="宋体" w:cs="宋体"/>
          <w:sz w:val="24"/>
          <w:u w:val="single"/>
        </w:rPr>
        <w:t xml:space="preserve">      </w:t>
      </w:r>
      <w:r>
        <w:rPr>
          <w:rFonts w:hint="eastAsia" w:ascii="宋体" w:hAnsi="宋体" w:cs="宋体"/>
          <w:sz w:val="24"/>
        </w:rPr>
        <w:t>元，本合同暂定总价的2%作为履约保证金，本合同签订后七个工作日内由承包人支付给发包人，待工程竣工验收合格并交付发包人使用后，由发包人无息退回承包人（遇寒暑假及国定假日顺延）。</w:t>
      </w:r>
    </w:p>
    <w:p w14:paraId="7D51A74B">
      <w:pPr>
        <w:spacing w:line="360" w:lineRule="auto"/>
        <w:ind w:firstLine="480" w:firstLineChars="200"/>
        <w:rPr>
          <w:rFonts w:ascii="宋体" w:hAnsi="宋体" w:cs="宋体"/>
          <w:sz w:val="24"/>
        </w:rPr>
      </w:pPr>
      <w:r>
        <w:rPr>
          <w:rFonts w:hint="eastAsia" w:ascii="宋体" w:hAnsi="宋体" w:cs="宋体"/>
          <w:sz w:val="24"/>
        </w:rPr>
        <w:t>（2）承包人提交履约保证金和正规发票后，发包人向承包人支付本合同暂定总价的40%作为预付款。</w:t>
      </w:r>
    </w:p>
    <w:p w14:paraId="5A3C454E">
      <w:pPr>
        <w:spacing w:line="360" w:lineRule="auto"/>
        <w:ind w:firstLine="480" w:firstLineChars="200"/>
        <w:rPr>
          <w:rFonts w:ascii="宋体" w:hAnsi="宋体" w:cs="宋体"/>
          <w:sz w:val="24"/>
        </w:rPr>
      </w:pPr>
      <w:r>
        <w:rPr>
          <w:rFonts w:hint="eastAsia" w:ascii="宋体" w:hAnsi="宋体" w:cs="宋体"/>
          <w:sz w:val="24"/>
        </w:rPr>
        <w:t>（3）全部工程竣工验收合格并交付发包人正常使用后7日内，且发包人收到承包人开具的正规发票后7日内向承包人支付本合同已完成工作量的85%。发包人委托第三方对工程造价结算审价完毕后，发包人收到承包人开具的正规发票和审定总价1.5%的质量保证金后7日内，发包人向承包人支付至审定总价的100%（多退少补）；工程造价结算审价时间以发包人委托的第三方实际审价时间为准，不依通用条款规定时间执行。造价审核核增部分的审计费及核减超过5%（含）的审计费由承包人承担。</w:t>
      </w:r>
    </w:p>
    <w:p w14:paraId="46BAA274">
      <w:pPr>
        <w:spacing w:line="360" w:lineRule="auto"/>
        <w:ind w:firstLine="480" w:firstLineChars="200"/>
        <w:rPr>
          <w:rFonts w:ascii="宋体" w:hAnsi="宋体" w:cs="宋体"/>
          <w:sz w:val="24"/>
        </w:rPr>
      </w:pPr>
      <w:r>
        <w:rPr>
          <w:rFonts w:hint="eastAsia" w:ascii="宋体" w:hAnsi="宋体" w:cs="宋体"/>
          <w:sz w:val="24"/>
        </w:rPr>
        <w:t>（4）发包人每次付款前，承包人必须开具并交付相应金额的增值税专用发票，作为发包人付款的前提条件之一。</w:t>
      </w:r>
    </w:p>
    <w:p w14:paraId="105FC286">
      <w:pPr>
        <w:spacing w:line="360" w:lineRule="auto"/>
        <w:ind w:firstLine="480" w:firstLineChars="200"/>
        <w:rPr>
          <w:rFonts w:ascii="宋体" w:hAnsi="宋体" w:cs="宋体"/>
          <w:sz w:val="24"/>
        </w:rPr>
      </w:pPr>
      <w:r>
        <w:rPr>
          <w:rFonts w:hint="eastAsia" w:ascii="宋体" w:hAnsi="宋体" w:cs="宋体"/>
          <w:sz w:val="24"/>
        </w:rPr>
        <w:t>上述各项费用的每笔款项支付前，承包人必须提供收款单位与本合同签订单位一致的正规、等额、合法、有效的发票，否则发包人有权拒绝付款并不承担逾期付款的违约责任；另外在每笔款项支付前，承包人均须提供齐全的付款材料，待发包人审批流程完成后支付该笔工程款。</w:t>
      </w:r>
    </w:p>
    <w:p w14:paraId="5E600002">
      <w:pPr>
        <w:spacing w:line="360" w:lineRule="auto"/>
        <w:ind w:firstLine="480" w:firstLineChars="200"/>
        <w:rPr>
          <w:rFonts w:ascii="宋体" w:hAnsi="宋体" w:cs="宋体"/>
          <w:sz w:val="24"/>
        </w:rPr>
      </w:pPr>
      <w:r>
        <w:rPr>
          <w:rFonts w:hint="eastAsia" w:ascii="宋体" w:hAnsi="宋体" w:cs="宋体"/>
          <w:sz w:val="24"/>
        </w:rPr>
        <w:t>12.4.2 进度付款申请单的编制</w:t>
      </w:r>
    </w:p>
    <w:p w14:paraId="554E9FF2">
      <w:pPr>
        <w:spacing w:line="360" w:lineRule="auto"/>
        <w:ind w:firstLine="480" w:firstLineChars="200"/>
        <w:rPr>
          <w:rFonts w:ascii="宋体" w:hAnsi="宋体" w:cs="宋体"/>
          <w:sz w:val="24"/>
        </w:rPr>
      </w:pPr>
      <w:r>
        <w:rPr>
          <w:rFonts w:hint="eastAsia" w:ascii="宋体" w:hAnsi="宋体" w:cs="宋体"/>
          <w:sz w:val="24"/>
        </w:rPr>
        <w:t>关于进度付款申请单编制的约定：</w:t>
      </w:r>
      <w:r>
        <w:rPr>
          <w:rFonts w:hint="eastAsia" w:ascii="宋体" w:hAnsi="宋体" w:cs="宋体"/>
          <w:sz w:val="24"/>
          <w:u w:val="single"/>
        </w:rPr>
        <w:t>按通用条款执行。</w:t>
      </w:r>
    </w:p>
    <w:p w14:paraId="2B1EC158">
      <w:pPr>
        <w:spacing w:line="360" w:lineRule="auto"/>
        <w:ind w:firstLine="480" w:firstLineChars="200"/>
        <w:rPr>
          <w:rFonts w:ascii="宋体" w:hAnsi="宋体" w:cs="宋体"/>
          <w:sz w:val="24"/>
        </w:rPr>
      </w:pPr>
      <w:r>
        <w:rPr>
          <w:rFonts w:hint="eastAsia" w:ascii="宋体" w:hAnsi="宋体" w:cs="宋体"/>
          <w:sz w:val="24"/>
        </w:rPr>
        <w:t>12.4.3 进度付款申请单的提交</w:t>
      </w:r>
    </w:p>
    <w:p w14:paraId="57F53BFF">
      <w:pPr>
        <w:spacing w:line="360" w:lineRule="auto"/>
        <w:ind w:firstLine="480" w:firstLineChars="200"/>
        <w:rPr>
          <w:rFonts w:ascii="宋体" w:hAnsi="宋体" w:cs="宋体"/>
          <w:sz w:val="24"/>
        </w:rPr>
      </w:pPr>
      <w:r>
        <w:rPr>
          <w:rFonts w:hint="eastAsia" w:ascii="宋体" w:hAnsi="宋体" w:cs="宋体"/>
          <w:sz w:val="24"/>
        </w:rPr>
        <w:t>（1）单价合同进度付款申请单提交的约定：</w:t>
      </w:r>
      <w:r>
        <w:rPr>
          <w:rFonts w:hint="eastAsia" w:ascii="宋体" w:hAnsi="宋体" w:cs="宋体"/>
          <w:sz w:val="24"/>
          <w:u w:val="single"/>
        </w:rPr>
        <w:t>按通用条款执行。</w:t>
      </w:r>
    </w:p>
    <w:p w14:paraId="692B598C">
      <w:pPr>
        <w:spacing w:line="360" w:lineRule="auto"/>
        <w:ind w:firstLine="480" w:firstLineChars="200"/>
        <w:rPr>
          <w:rFonts w:ascii="宋体" w:hAnsi="宋体" w:cs="宋体"/>
          <w:sz w:val="24"/>
        </w:rPr>
      </w:pPr>
      <w:r>
        <w:rPr>
          <w:rFonts w:hint="eastAsia" w:ascii="宋体" w:hAnsi="宋体" w:cs="宋体"/>
          <w:sz w:val="24"/>
        </w:rPr>
        <w:t>（2）总价合同进度付款申请单提交的约定：</w:t>
      </w:r>
      <w:r>
        <w:rPr>
          <w:rFonts w:hint="eastAsia" w:ascii="宋体" w:hAnsi="宋体" w:cs="宋体"/>
          <w:sz w:val="24"/>
          <w:u w:val="single"/>
        </w:rPr>
        <w:t>/</w:t>
      </w:r>
      <w:r>
        <w:rPr>
          <w:rFonts w:hint="eastAsia" w:ascii="宋体" w:hAnsi="宋体" w:cs="宋体"/>
          <w:sz w:val="24"/>
        </w:rPr>
        <w:t>。</w:t>
      </w:r>
    </w:p>
    <w:p w14:paraId="1BFB230E">
      <w:pPr>
        <w:spacing w:line="360" w:lineRule="auto"/>
        <w:ind w:firstLine="480" w:firstLineChars="200"/>
        <w:rPr>
          <w:rFonts w:ascii="宋体" w:hAnsi="宋体" w:cs="宋体"/>
          <w:sz w:val="24"/>
        </w:rPr>
      </w:pPr>
      <w:r>
        <w:rPr>
          <w:rFonts w:hint="eastAsia" w:ascii="宋体" w:hAnsi="宋体" w:cs="宋体"/>
          <w:sz w:val="24"/>
        </w:rPr>
        <w:t>（3）其他价格形式合同进度付款申请单提交的约定：</w:t>
      </w:r>
      <w:r>
        <w:rPr>
          <w:rFonts w:hint="eastAsia" w:ascii="宋体" w:hAnsi="宋体" w:cs="宋体"/>
          <w:sz w:val="24"/>
          <w:u w:val="single"/>
        </w:rPr>
        <w:t>/</w:t>
      </w:r>
      <w:r>
        <w:rPr>
          <w:rFonts w:hint="eastAsia" w:ascii="宋体" w:hAnsi="宋体" w:cs="宋体"/>
          <w:sz w:val="24"/>
        </w:rPr>
        <w:t>。</w:t>
      </w:r>
    </w:p>
    <w:p w14:paraId="5EAC5DDF">
      <w:pPr>
        <w:spacing w:line="360" w:lineRule="auto"/>
        <w:ind w:firstLine="480" w:firstLineChars="200"/>
        <w:rPr>
          <w:rFonts w:ascii="宋体" w:hAnsi="宋体" w:cs="宋体"/>
          <w:sz w:val="24"/>
        </w:rPr>
      </w:pPr>
      <w:r>
        <w:rPr>
          <w:rFonts w:hint="eastAsia" w:ascii="宋体" w:hAnsi="宋体" w:cs="宋体"/>
          <w:sz w:val="24"/>
        </w:rPr>
        <w:t>12.4.4 进度款审核和支付</w:t>
      </w:r>
    </w:p>
    <w:p w14:paraId="5660252C">
      <w:pPr>
        <w:snapToGrid w:val="0"/>
        <w:spacing w:line="360" w:lineRule="auto"/>
        <w:ind w:firstLine="480" w:firstLineChars="200"/>
        <w:rPr>
          <w:rFonts w:ascii="宋体" w:hAnsi="宋体" w:cs="宋体"/>
          <w:sz w:val="24"/>
          <w:u w:val="single"/>
        </w:rPr>
      </w:pPr>
      <w:r>
        <w:rPr>
          <w:rFonts w:hint="eastAsia" w:ascii="宋体" w:hAnsi="宋体" w:cs="宋体"/>
          <w:sz w:val="24"/>
        </w:rPr>
        <w:t>（1）监理人审查并报送发包人的期限：</w:t>
      </w:r>
      <w:r>
        <w:rPr>
          <w:rFonts w:hint="eastAsia" w:ascii="宋体" w:hAnsi="宋体" w:cs="宋体"/>
          <w:sz w:val="24"/>
          <w:u w:val="single"/>
        </w:rPr>
        <w:t>/</w:t>
      </w:r>
      <w:r>
        <w:rPr>
          <w:rFonts w:hint="eastAsia" w:ascii="宋体" w:hAnsi="宋体" w:cs="宋体"/>
          <w:sz w:val="24"/>
        </w:rPr>
        <w:t>。</w:t>
      </w:r>
    </w:p>
    <w:p w14:paraId="32A43CB9">
      <w:pPr>
        <w:snapToGrid w:val="0"/>
        <w:spacing w:line="360" w:lineRule="auto"/>
        <w:ind w:firstLine="480" w:firstLineChars="200"/>
        <w:rPr>
          <w:rFonts w:ascii="宋体" w:hAnsi="宋体" w:cs="宋体"/>
          <w:sz w:val="24"/>
          <w:u w:val="single"/>
        </w:rPr>
      </w:pPr>
      <w:r>
        <w:rPr>
          <w:rFonts w:hint="eastAsia" w:ascii="宋体" w:hAnsi="宋体" w:cs="宋体"/>
          <w:sz w:val="24"/>
        </w:rPr>
        <w:t>发包人完成审批并签发进度款支付证书的期限：</w:t>
      </w:r>
      <w:r>
        <w:rPr>
          <w:rFonts w:hint="eastAsia" w:ascii="宋体" w:hAnsi="宋体" w:cs="宋体"/>
          <w:sz w:val="24"/>
          <w:u w:val="single"/>
        </w:rPr>
        <w:t xml:space="preserve">  按通用条款执行 </w:t>
      </w:r>
      <w:r>
        <w:rPr>
          <w:rFonts w:hint="eastAsia" w:ascii="宋体" w:hAnsi="宋体" w:cs="宋体"/>
          <w:sz w:val="24"/>
        </w:rPr>
        <w:t>。</w:t>
      </w:r>
    </w:p>
    <w:p w14:paraId="2B0118AD">
      <w:pPr>
        <w:spacing w:line="360" w:lineRule="auto"/>
        <w:ind w:firstLine="480" w:firstLineChars="200"/>
        <w:rPr>
          <w:rFonts w:ascii="宋体" w:hAnsi="宋体" w:cs="宋体"/>
          <w:sz w:val="24"/>
        </w:rPr>
      </w:pPr>
      <w:r>
        <w:rPr>
          <w:rFonts w:hint="eastAsia" w:ascii="宋体" w:hAnsi="宋体" w:cs="宋体"/>
          <w:sz w:val="24"/>
        </w:rPr>
        <w:t>（2）发包人支付进度款的期限：</w:t>
      </w:r>
      <w:r>
        <w:rPr>
          <w:rFonts w:hint="eastAsia" w:ascii="宋体" w:hAnsi="宋体" w:cs="宋体"/>
          <w:sz w:val="24"/>
          <w:u w:val="single"/>
        </w:rPr>
        <w:t xml:space="preserve">  不执行通用条款，以发包人书面通知承包人开具收款发票后支付</w:t>
      </w:r>
      <w:r>
        <w:rPr>
          <w:rFonts w:hint="eastAsia" w:ascii="宋体" w:hAnsi="宋体" w:cs="宋体"/>
          <w:sz w:val="24"/>
        </w:rPr>
        <w:t>。</w:t>
      </w:r>
    </w:p>
    <w:p w14:paraId="36A3318E">
      <w:pPr>
        <w:spacing w:line="360" w:lineRule="auto"/>
        <w:ind w:firstLine="480" w:firstLineChars="200"/>
        <w:rPr>
          <w:rFonts w:ascii="宋体" w:hAnsi="宋体" w:cs="宋体"/>
          <w:sz w:val="24"/>
          <w:u w:val="single"/>
        </w:rPr>
      </w:pPr>
      <w:r>
        <w:rPr>
          <w:rFonts w:hint="eastAsia" w:ascii="宋体" w:hAnsi="宋体" w:cs="宋体"/>
          <w:sz w:val="24"/>
        </w:rPr>
        <w:t>发包人逾期支付进度款的违约金的计算方式：</w:t>
      </w:r>
      <w:r>
        <w:rPr>
          <w:rFonts w:hint="eastAsia" w:ascii="宋体" w:hAnsi="宋体" w:cs="宋体"/>
          <w:sz w:val="24"/>
          <w:u w:val="single"/>
        </w:rPr>
        <w:t>/</w:t>
      </w:r>
      <w:r>
        <w:rPr>
          <w:rFonts w:hint="eastAsia" w:ascii="宋体" w:hAnsi="宋体" w:cs="宋体"/>
          <w:sz w:val="24"/>
        </w:rPr>
        <w:t>。</w:t>
      </w:r>
    </w:p>
    <w:p w14:paraId="4B71652C">
      <w:pPr>
        <w:spacing w:line="360" w:lineRule="auto"/>
        <w:ind w:firstLine="480" w:firstLineChars="200"/>
        <w:rPr>
          <w:rFonts w:ascii="宋体" w:hAnsi="宋体" w:cs="宋体"/>
          <w:sz w:val="24"/>
        </w:rPr>
      </w:pPr>
      <w:r>
        <w:rPr>
          <w:rFonts w:hint="eastAsia" w:ascii="宋体" w:hAnsi="宋体" w:cs="宋体"/>
          <w:sz w:val="24"/>
        </w:rPr>
        <w:t>12.4.6 支付分解表的编制</w:t>
      </w:r>
    </w:p>
    <w:p w14:paraId="3F26AE26">
      <w:pPr>
        <w:spacing w:line="360" w:lineRule="auto"/>
        <w:ind w:left="4740" w:leftChars="200" w:hanging="4320" w:hangingChars="1800"/>
        <w:rPr>
          <w:rFonts w:ascii="宋体" w:hAnsi="宋体" w:cs="宋体"/>
          <w:sz w:val="24"/>
        </w:rPr>
      </w:pPr>
      <w:r>
        <w:rPr>
          <w:rFonts w:hint="eastAsia" w:ascii="宋体" w:hAnsi="宋体" w:cs="宋体"/>
          <w:sz w:val="24"/>
        </w:rPr>
        <w:t>2、总价合同支付分解表的编制与审批：</w:t>
      </w:r>
      <w:r>
        <w:rPr>
          <w:rFonts w:hint="eastAsia" w:ascii="宋体" w:hAnsi="宋体" w:cs="宋体"/>
          <w:sz w:val="24"/>
          <w:u w:val="single"/>
        </w:rPr>
        <w:t>/</w:t>
      </w:r>
      <w:r>
        <w:rPr>
          <w:rFonts w:hint="eastAsia" w:ascii="宋体" w:hAnsi="宋体" w:cs="宋体"/>
          <w:sz w:val="24"/>
        </w:rPr>
        <w:t>。</w:t>
      </w:r>
    </w:p>
    <w:p w14:paraId="74191C98">
      <w:pPr>
        <w:spacing w:line="360" w:lineRule="auto"/>
        <w:ind w:firstLine="480" w:firstLineChars="200"/>
        <w:rPr>
          <w:rFonts w:ascii="宋体" w:hAnsi="宋体" w:cs="宋体"/>
          <w:sz w:val="24"/>
        </w:rPr>
      </w:pPr>
      <w:r>
        <w:rPr>
          <w:rFonts w:hint="eastAsia" w:ascii="宋体" w:hAnsi="宋体" w:cs="宋体"/>
          <w:sz w:val="24"/>
        </w:rPr>
        <w:t>3、单价合同的总价项目支付分解表的编制与审批：</w:t>
      </w:r>
      <w:r>
        <w:rPr>
          <w:rFonts w:hint="eastAsia" w:ascii="宋体" w:hAnsi="宋体" w:cs="宋体"/>
          <w:sz w:val="24"/>
          <w:u w:val="single"/>
        </w:rPr>
        <w:t>按通用条款执行</w:t>
      </w:r>
      <w:r>
        <w:rPr>
          <w:rFonts w:hint="eastAsia" w:ascii="宋体" w:hAnsi="宋体" w:cs="宋体"/>
          <w:sz w:val="24"/>
        </w:rPr>
        <w:t>。</w:t>
      </w:r>
    </w:p>
    <w:p w14:paraId="71D6EDE1">
      <w:pPr>
        <w:topLinePunct/>
        <w:spacing w:line="360" w:lineRule="auto"/>
        <w:ind w:firstLine="420"/>
        <w:rPr>
          <w:rFonts w:ascii="宋体" w:hAnsi="宋体" w:cs="宋体"/>
          <w:b/>
          <w:sz w:val="24"/>
        </w:rPr>
      </w:pPr>
      <w:r>
        <w:rPr>
          <w:rFonts w:hint="eastAsia" w:ascii="宋体" w:hAnsi="宋体" w:cs="宋体"/>
          <w:b/>
          <w:sz w:val="24"/>
        </w:rPr>
        <w:t>13. 验收和工程试车</w:t>
      </w:r>
    </w:p>
    <w:p w14:paraId="1670DC0D">
      <w:pPr>
        <w:spacing w:line="360" w:lineRule="auto"/>
        <w:ind w:firstLine="480" w:firstLineChars="200"/>
        <w:rPr>
          <w:rFonts w:ascii="宋体" w:hAnsi="宋体" w:cs="宋体"/>
          <w:sz w:val="24"/>
        </w:rPr>
      </w:pPr>
      <w:r>
        <w:rPr>
          <w:rFonts w:hint="eastAsia" w:ascii="宋体" w:hAnsi="宋体" w:cs="宋体"/>
          <w:sz w:val="24"/>
        </w:rPr>
        <w:t>13.1 分部分项工程验收</w:t>
      </w:r>
    </w:p>
    <w:p w14:paraId="560788D9">
      <w:pPr>
        <w:spacing w:line="360" w:lineRule="auto"/>
        <w:ind w:left="4740" w:leftChars="200" w:hanging="4320" w:hangingChars="1800"/>
        <w:rPr>
          <w:rFonts w:ascii="宋体" w:hAnsi="宋体" w:cs="宋体"/>
          <w:sz w:val="24"/>
        </w:rPr>
      </w:pPr>
      <w:r>
        <w:rPr>
          <w:rFonts w:hint="eastAsia" w:ascii="宋体" w:hAnsi="宋体" w:cs="宋体"/>
          <w:sz w:val="24"/>
        </w:rPr>
        <w:t>13.1.2监理人不能按时进行验收时，应提前</w:t>
      </w:r>
      <w:r>
        <w:rPr>
          <w:rFonts w:hint="eastAsia" w:ascii="宋体" w:hAnsi="宋体" w:cs="宋体"/>
          <w:sz w:val="24"/>
          <w:u w:val="single"/>
        </w:rPr>
        <w:t>24</w:t>
      </w:r>
      <w:r>
        <w:rPr>
          <w:rFonts w:hint="eastAsia" w:ascii="宋体" w:hAnsi="宋体" w:cs="宋体"/>
          <w:sz w:val="24"/>
        </w:rPr>
        <w:t>小时提交书面延期要求。</w:t>
      </w:r>
    </w:p>
    <w:p w14:paraId="64B9AF84">
      <w:pPr>
        <w:spacing w:line="360" w:lineRule="auto"/>
        <w:ind w:left="4740" w:leftChars="200" w:hanging="4320" w:hangingChars="1800"/>
        <w:rPr>
          <w:rFonts w:ascii="宋体" w:hAnsi="宋体" w:cs="宋体"/>
          <w:sz w:val="24"/>
        </w:rPr>
      </w:pPr>
      <w:r>
        <w:rPr>
          <w:rFonts w:hint="eastAsia" w:ascii="宋体" w:hAnsi="宋体" w:cs="宋体"/>
          <w:sz w:val="24"/>
        </w:rPr>
        <w:t>关于延期最长不得超过：</w:t>
      </w:r>
      <w:r>
        <w:rPr>
          <w:rFonts w:hint="eastAsia" w:ascii="宋体" w:hAnsi="宋体" w:cs="宋体"/>
          <w:sz w:val="24"/>
          <w:u w:val="single"/>
        </w:rPr>
        <w:t>48</w:t>
      </w:r>
      <w:r>
        <w:rPr>
          <w:rFonts w:hint="eastAsia" w:ascii="宋体" w:hAnsi="宋体" w:cs="宋体"/>
          <w:sz w:val="24"/>
        </w:rPr>
        <w:t>小时。</w:t>
      </w:r>
    </w:p>
    <w:p w14:paraId="09908C9C">
      <w:pPr>
        <w:spacing w:line="360" w:lineRule="auto"/>
        <w:ind w:firstLine="480" w:firstLineChars="200"/>
        <w:rPr>
          <w:rFonts w:ascii="宋体" w:hAnsi="宋体" w:cs="宋体"/>
          <w:sz w:val="24"/>
        </w:rPr>
      </w:pPr>
      <w:r>
        <w:rPr>
          <w:rFonts w:hint="eastAsia" w:ascii="宋体" w:hAnsi="宋体" w:cs="宋体"/>
          <w:sz w:val="24"/>
        </w:rPr>
        <w:t>13.2 竣工验收</w:t>
      </w:r>
    </w:p>
    <w:p w14:paraId="143437F0">
      <w:pPr>
        <w:spacing w:line="360" w:lineRule="auto"/>
        <w:ind w:left="4740" w:leftChars="200" w:hanging="4320" w:hangingChars="1800"/>
        <w:rPr>
          <w:rFonts w:ascii="宋体" w:hAnsi="宋体" w:cs="宋体"/>
          <w:sz w:val="24"/>
        </w:rPr>
      </w:pPr>
      <w:r>
        <w:rPr>
          <w:rFonts w:hint="eastAsia" w:ascii="宋体" w:hAnsi="宋体" w:cs="宋体"/>
          <w:sz w:val="24"/>
        </w:rPr>
        <w:t>13.2.2竣工验收程序</w:t>
      </w:r>
    </w:p>
    <w:p w14:paraId="2F06E9E5">
      <w:pPr>
        <w:tabs>
          <w:tab w:val="left" w:pos="482"/>
          <w:tab w:val="left" w:pos="2183"/>
          <w:tab w:val="left" w:pos="3884"/>
          <w:tab w:val="left" w:pos="5585"/>
        </w:tabs>
        <w:spacing w:line="360" w:lineRule="auto"/>
        <w:ind w:firstLine="480" w:firstLineChars="200"/>
        <w:rPr>
          <w:rFonts w:ascii="宋体" w:hAnsi="宋体" w:cs="宋体"/>
          <w:sz w:val="24"/>
          <w:u w:val="single"/>
        </w:rPr>
      </w:pPr>
      <w:r>
        <w:rPr>
          <w:rFonts w:hint="eastAsia" w:ascii="宋体" w:hAnsi="宋体" w:cs="宋体"/>
          <w:sz w:val="24"/>
        </w:rPr>
        <w:t>关于竣工验收程序的约定：</w:t>
      </w:r>
      <w:r>
        <w:rPr>
          <w:rFonts w:hint="eastAsia" w:ascii="宋体" w:hAnsi="宋体" w:cs="宋体"/>
          <w:sz w:val="24"/>
          <w:u w:val="single"/>
        </w:rPr>
        <w:t>按通用条款执行。</w:t>
      </w:r>
    </w:p>
    <w:p w14:paraId="6D0FEA1F">
      <w:pPr>
        <w:tabs>
          <w:tab w:val="left" w:pos="482"/>
          <w:tab w:val="left" w:pos="2183"/>
          <w:tab w:val="left" w:pos="3884"/>
          <w:tab w:val="left" w:pos="5585"/>
        </w:tabs>
        <w:spacing w:line="360" w:lineRule="auto"/>
        <w:ind w:firstLine="480" w:firstLineChars="200"/>
        <w:rPr>
          <w:rFonts w:ascii="宋体" w:hAnsi="宋体" w:cs="宋体"/>
          <w:sz w:val="24"/>
        </w:rPr>
      </w:pPr>
      <w:r>
        <w:rPr>
          <w:rFonts w:hint="eastAsia" w:ascii="宋体" w:hAnsi="宋体" w:cs="宋体"/>
          <w:kern w:val="0"/>
          <w:sz w:val="24"/>
        </w:rPr>
        <w:t>发包人不按照本项约定组织竣工验收、颁发工程接收证书的违约金的计算方法：</w:t>
      </w:r>
      <w:r>
        <w:rPr>
          <w:rFonts w:hint="eastAsia" w:ascii="宋体" w:hAnsi="宋体" w:cs="宋体"/>
          <w:sz w:val="24"/>
          <w:u w:val="single"/>
        </w:rPr>
        <w:t>按通用条款执行</w:t>
      </w:r>
      <w:r>
        <w:rPr>
          <w:rFonts w:hint="eastAsia" w:ascii="宋体" w:hAnsi="宋体" w:cs="宋体"/>
          <w:sz w:val="24"/>
        </w:rPr>
        <w:t>。</w:t>
      </w:r>
    </w:p>
    <w:p w14:paraId="1A3E4A8F">
      <w:pPr>
        <w:spacing w:line="360" w:lineRule="auto"/>
        <w:ind w:firstLine="480" w:firstLineChars="200"/>
        <w:rPr>
          <w:rFonts w:ascii="宋体" w:hAnsi="宋体" w:cs="宋体"/>
          <w:sz w:val="24"/>
        </w:rPr>
      </w:pPr>
      <w:r>
        <w:rPr>
          <w:rFonts w:hint="eastAsia" w:ascii="宋体" w:hAnsi="宋体" w:cs="宋体"/>
          <w:sz w:val="24"/>
        </w:rPr>
        <w:t>13.2.5移交、接收全部与部分工程</w:t>
      </w:r>
    </w:p>
    <w:p w14:paraId="4F15A38B">
      <w:pPr>
        <w:spacing w:line="360" w:lineRule="auto"/>
        <w:ind w:firstLine="480" w:firstLineChars="200"/>
        <w:rPr>
          <w:rFonts w:ascii="宋体" w:hAnsi="宋体" w:cs="宋体"/>
          <w:kern w:val="0"/>
          <w:sz w:val="24"/>
        </w:rPr>
      </w:pPr>
      <w:r>
        <w:rPr>
          <w:rFonts w:hint="eastAsia" w:ascii="宋体" w:hAnsi="宋体" w:cs="宋体"/>
          <w:sz w:val="24"/>
        </w:rPr>
        <w:t>承包人向发包人移交工程的期限：</w:t>
      </w:r>
      <w:r>
        <w:rPr>
          <w:rFonts w:hint="eastAsia" w:ascii="宋体" w:hAnsi="宋体" w:cs="宋体"/>
          <w:sz w:val="24"/>
          <w:u w:val="single"/>
        </w:rPr>
        <w:t>按通用条款执行。</w:t>
      </w:r>
    </w:p>
    <w:p w14:paraId="54CACA89">
      <w:pPr>
        <w:snapToGrid w:val="0"/>
        <w:spacing w:line="360" w:lineRule="auto"/>
        <w:ind w:firstLine="480" w:firstLineChars="200"/>
        <w:rPr>
          <w:rFonts w:ascii="宋体" w:hAnsi="宋体" w:cs="宋体"/>
          <w:sz w:val="24"/>
          <w:u w:val="single"/>
        </w:rPr>
      </w:pPr>
      <w:r>
        <w:rPr>
          <w:rFonts w:hint="eastAsia" w:ascii="宋体" w:hAnsi="宋体" w:cs="宋体"/>
          <w:kern w:val="0"/>
          <w:sz w:val="24"/>
        </w:rPr>
        <w:t>发包人未按本合同约定接收全部或部分工程的，违约金的计算方法为：</w:t>
      </w:r>
      <w:r>
        <w:rPr>
          <w:rFonts w:hint="eastAsia" w:ascii="宋体" w:hAnsi="宋体" w:cs="宋体"/>
          <w:sz w:val="24"/>
          <w:u w:val="single"/>
        </w:rPr>
        <w:t xml:space="preserve"> / </w:t>
      </w:r>
      <w:r>
        <w:rPr>
          <w:rFonts w:hint="eastAsia" w:ascii="宋体" w:hAnsi="宋体" w:cs="宋体"/>
          <w:sz w:val="24"/>
        </w:rPr>
        <w:t>。</w:t>
      </w:r>
    </w:p>
    <w:p w14:paraId="2151D361">
      <w:pPr>
        <w:spacing w:line="360" w:lineRule="auto"/>
        <w:ind w:firstLine="480" w:firstLineChars="200"/>
        <w:rPr>
          <w:rFonts w:ascii="宋体" w:hAnsi="宋体" w:cs="宋体"/>
          <w:sz w:val="24"/>
          <w:u w:val="single"/>
        </w:rPr>
      </w:pPr>
      <w:r>
        <w:rPr>
          <w:rFonts w:hint="eastAsia" w:ascii="宋体" w:hAnsi="宋体" w:cs="宋体"/>
          <w:sz w:val="24"/>
        </w:rPr>
        <w:t>承包人未按时移交工程的，违约金的计算方法为：</w:t>
      </w:r>
      <w:r>
        <w:rPr>
          <w:rFonts w:hint="eastAsia" w:ascii="宋体" w:hAnsi="宋体" w:cs="宋体"/>
          <w:sz w:val="24"/>
          <w:u w:val="single"/>
        </w:rPr>
        <w:t>所有</w:t>
      </w:r>
      <w:r>
        <w:rPr>
          <w:rFonts w:hint="eastAsia" w:ascii="宋体" w:hAnsi="宋体" w:cs="宋体"/>
          <w:kern w:val="0"/>
          <w:sz w:val="24"/>
          <w:u w:val="single"/>
        </w:rPr>
        <w:t>工程经发包人、监理（如有）等部门的检验验收合格后3日内，承包人须向发包人移交全部工程，逾期移交的，每逾期一日，按人民币3000元/天向发包人支付违约金，因逾期交付工程给发包人造成经济损失的，赔偿损失。同时，承包人移交所有工程之前，发包人有权拒绝结算、支付工程款</w:t>
      </w:r>
      <w:r>
        <w:rPr>
          <w:rFonts w:hint="eastAsia" w:ascii="宋体" w:hAnsi="宋体" w:cs="宋体"/>
          <w:sz w:val="24"/>
        </w:rPr>
        <w:t>。</w:t>
      </w:r>
    </w:p>
    <w:p w14:paraId="656048CD">
      <w:pPr>
        <w:spacing w:line="360" w:lineRule="auto"/>
        <w:ind w:firstLine="480" w:firstLineChars="200"/>
        <w:rPr>
          <w:rFonts w:ascii="宋体" w:hAnsi="宋体" w:cs="宋体"/>
          <w:sz w:val="24"/>
        </w:rPr>
      </w:pPr>
      <w:r>
        <w:rPr>
          <w:rFonts w:hint="eastAsia" w:ascii="宋体" w:hAnsi="宋体" w:cs="宋体"/>
          <w:sz w:val="24"/>
        </w:rPr>
        <w:t>13.3 工程试车</w:t>
      </w:r>
    </w:p>
    <w:p w14:paraId="3BFF99CE">
      <w:pPr>
        <w:spacing w:line="360" w:lineRule="auto"/>
        <w:ind w:firstLine="480" w:firstLineChars="200"/>
        <w:rPr>
          <w:rFonts w:ascii="宋体" w:hAnsi="宋体" w:cs="宋体"/>
          <w:sz w:val="24"/>
        </w:rPr>
      </w:pPr>
      <w:r>
        <w:rPr>
          <w:rFonts w:hint="eastAsia" w:ascii="宋体" w:hAnsi="宋体" w:cs="宋体"/>
          <w:sz w:val="24"/>
        </w:rPr>
        <w:t>13.3.1 试车程序</w:t>
      </w:r>
    </w:p>
    <w:p w14:paraId="6E873CA3">
      <w:pPr>
        <w:spacing w:line="360" w:lineRule="auto"/>
        <w:ind w:firstLine="600" w:firstLineChars="250"/>
        <w:rPr>
          <w:rFonts w:ascii="宋体" w:hAnsi="宋体" w:cs="宋体"/>
          <w:sz w:val="24"/>
          <w:u w:val="single"/>
        </w:rPr>
      </w:pPr>
      <w:r>
        <w:rPr>
          <w:rFonts w:hint="eastAsia" w:ascii="宋体" w:hAnsi="宋体" w:cs="宋体"/>
          <w:sz w:val="24"/>
        </w:rPr>
        <w:t>工程试车内容：</w:t>
      </w:r>
      <w:bookmarkStart w:id="533" w:name="_Hlk78552738"/>
      <w:r>
        <w:rPr>
          <w:rFonts w:hint="eastAsia" w:ascii="宋体" w:hAnsi="宋体" w:cs="宋体"/>
          <w:sz w:val="24"/>
          <w:u w:val="single"/>
        </w:rPr>
        <w:t>试车内容应于承包人承包范围相一致，试车费用由承包人承担。</w:t>
      </w:r>
      <w:bookmarkEnd w:id="533"/>
    </w:p>
    <w:p w14:paraId="44004F83">
      <w:pPr>
        <w:spacing w:line="360" w:lineRule="auto"/>
        <w:ind w:firstLine="480" w:firstLineChars="200"/>
        <w:rPr>
          <w:rFonts w:ascii="宋体" w:hAnsi="宋体" w:cs="宋体"/>
          <w:sz w:val="24"/>
        </w:rPr>
      </w:pPr>
      <w:r>
        <w:rPr>
          <w:rFonts w:hint="eastAsia" w:ascii="宋体" w:hAnsi="宋体" w:cs="宋体"/>
          <w:sz w:val="24"/>
        </w:rPr>
        <w:t>（1）单机无负荷试车费用由</w:t>
      </w:r>
      <w:r>
        <w:rPr>
          <w:rFonts w:hint="eastAsia" w:ascii="宋体" w:hAnsi="宋体" w:cs="宋体"/>
          <w:sz w:val="24"/>
          <w:u w:val="single"/>
        </w:rPr>
        <w:t xml:space="preserve">承包人 </w:t>
      </w:r>
      <w:r>
        <w:rPr>
          <w:rFonts w:hint="eastAsia" w:ascii="宋体" w:hAnsi="宋体" w:cs="宋体"/>
          <w:sz w:val="24"/>
        </w:rPr>
        <w:t>承担；</w:t>
      </w:r>
    </w:p>
    <w:p w14:paraId="180E4670">
      <w:pPr>
        <w:spacing w:line="360" w:lineRule="auto"/>
        <w:ind w:firstLine="480" w:firstLineChars="200"/>
        <w:rPr>
          <w:rFonts w:ascii="宋体" w:hAnsi="宋体" w:cs="宋体"/>
          <w:sz w:val="24"/>
        </w:rPr>
      </w:pPr>
      <w:r>
        <w:rPr>
          <w:rFonts w:hint="eastAsia" w:ascii="宋体" w:hAnsi="宋体" w:cs="宋体"/>
          <w:sz w:val="24"/>
        </w:rPr>
        <w:t>（2）无负荷联动试车费用由</w:t>
      </w:r>
      <w:r>
        <w:rPr>
          <w:rFonts w:hint="eastAsia" w:ascii="宋体" w:hAnsi="宋体" w:cs="宋体"/>
          <w:sz w:val="24"/>
          <w:u w:val="single"/>
        </w:rPr>
        <w:t xml:space="preserve">承包人 </w:t>
      </w:r>
      <w:r>
        <w:rPr>
          <w:rFonts w:hint="eastAsia" w:ascii="宋体" w:hAnsi="宋体" w:cs="宋体"/>
          <w:sz w:val="24"/>
        </w:rPr>
        <w:t>承担。</w:t>
      </w:r>
    </w:p>
    <w:p w14:paraId="188A4C00">
      <w:pPr>
        <w:spacing w:line="360" w:lineRule="auto"/>
        <w:ind w:firstLine="600" w:firstLineChars="250"/>
        <w:rPr>
          <w:rFonts w:ascii="宋体" w:hAnsi="宋体" w:cs="宋体"/>
          <w:sz w:val="24"/>
        </w:rPr>
      </w:pPr>
      <w:r>
        <w:rPr>
          <w:rFonts w:hint="eastAsia" w:ascii="宋体" w:hAnsi="宋体" w:cs="宋体"/>
          <w:sz w:val="24"/>
        </w:rPr>
        <w:t>13.3.3 投料试车</w:t>
      </w:r>
    </w:p>
    <w:p w14:paraId="7642CC25">
      <w:pPr>
        <w:spacing w:line="360" w:lineRule="auto"/>
        <w:ind w:firstLine="480" w:firstLineChars="200"/>
        <w:rPr>
          <w:rFonts w:ascii="宋体" w:hAnsi="宋体" w:cs="宋体"/>
          <w:kern w:val="0"/>
          <w:sz w:val="24"/>
        </w:rPr>
      </w:pPr>
      <w:r>
        <w:rPr>
          <w:rFonts w:hint="eastAsia" w:ascii="宋体" w:hAnsi="宋体" w:cs="宋体"/>
          <w:sz w:val="24"/>
        </w:rPr>
        <w:t>关于投料试车相关事项的约定：</w:t>
      </w:r>
      <w:r>
        <w:rPr>
          <w:rFonts w:hint="eastAsia" w:ascii="宋体" w:hAnsi="宋体" w:cs="宋体"/>
          <w:sz w:val="24"/>
          <w:u w:val="single"/>
        </w:rPr>
        <w:t>按通用条款执行。</w:t>
      </w:r>
    </w:p>
    <w:p w14:paraId="582992EE">
      <w:pPr>
        <w:spacing w:line="360" w:lineRule="auto"/>
        <w:ind w:firstLine="480" w:firstLineChars="200"/>
        <w:rPr>
          <w:rFonts w:ascii="宋体" w:hAnsi="宋体" w:cs="宋体"/>
          <w:sz w:val="24"/>
        </w:rPr>
      </w:pPr>
      <w:r>
        <w:rPr>
          <w:rFonts w:hint="eastAsia" w:ascii="宋体" w:hAnsi="宋体" w:cs="宋体"/>
          <w:sz w:val="24"/>
        </w:rPr>
        <w:t>13.6 竣工退场</w:t>
      </w:r>
    </w:p>
    <w:p w14:paraId="37DF1DC9">
      <w:pPr>
        <w:spacing w:line="360" w:lineRule="auto"/>
        <w:ind w:firstLine="480" w:firstLineChars="200"/>
        <w:rPr>
          <w:rFonts w:ascii="宋体" w:hAnsi="宋体" w:cs="宋体"/>
          <w:sz w:val="24"/>
        </w:rPr>
      </w:pPr>
      <w:r>
        <w:rPr>
          <w:rFonts w:hint="eastAsia" w:ascii="宋体" w:hAnsi="宋体" w:cs="宋体"/>
          <w:sz w:val="24"/>
        </w:rPr>
        <w:t>13.6.1 竣工退场</w:t>
      </w:r>
    </w:p>
    <w:p w14:paraId="4BBC109E">
      <w:pPr>
        <w:spacing w:line="360" w:lineRule="auto"/>
        <w:ind w:firstLine="480" w:firstLineChars="200"/>
        <w:rPr>
          <w:rFonts w:ascii="宋体" w:hAnsi="宋体" w:cs="宋体"/>
          <w:kern w:val="0"/>
          <w:sz w:val="24"/>
        </w:rPr>
      </w:pPr>
      <w:r>
        <w:rPr>
          <w:rFonts w:hint="eastAsia" w:ascii="宋体" w:hAnsi="宋体" w:cs="宋体"/>
          <w:sz w:val="24"/>
        </w:rPr>
        <w:t>承包人完成竣工退场的期限：</w:t>
      </w:r>
      <w:r>
        <w:rPr>
          <w:rFonts w:hint="eastAsia" w:ascii="宋体" w:hAnsi="宋体" w:cs="宋体"/>
          <w:sz w:val="24"/>
          <w:u w:val="single"/>
        </w:rPr>
        <w:t>颁发工程接收证书后7天</w:t>
      </w:r>
      <w:r>
        <w:rPr>
          <w:rFonts w:hint="eastAsia" w:ascii="宋体" w:hAnsi="宋体" w:cs="宋体"/>
          <w:kern w:val="0"/>
          <w:sz w:val="24"/>
        </w:rPr>
        <w:t>。</w:t>
      </w:r>
    </w:p>
    <w:p w14:paraId="764C9070">
      <w:pPr>
        <w:topLinePunct/>
        <w:spacing w:line="360" w:lineRule="auto"/>
        <w:ind w:firstLine="420"/>
        <w:rPr>
          <w:rFonts w:ascii="宋体" w:hAnsi="宋体" w:cs="宋体"/>
          <w:b/>
          <w:sz w:val="24"/>
        </w:rPr>
      </w:pPr>
      <w:r>
        <w:rPr>
          <w:rFonts w:hint="eastAsia" w:ascii="宋体" w:hAnsi="宋体" w:cs="宋体"/>
          <w:b/>
          <w:sz w:val="24"/>
        </w:rPr>
        <w:t>14. 竣工结算</w:t>
      </w:r>
    </w:p>
    <w:p w14:paraId="267139A9">
      <w:pPr>
        <w:spacing w:line="360" w:lineRule="auto"/>
        <w:ind w:firstLine="480" w:firstLineChars="200"/>
        <w:rPr>
          <w:rFonts w:ascii="宋体" w:hAnsi="宋体" w:cs="宋体"/>
          <w:sz w:val="24"/>
        </w:rPr>
      </w:pPr>
      <w:r>
        <w:rPr>
          <w:rFonts w:hint="eastAsia" w:ascii="宋体" w:hAnsi="宋体" w:cs="宋体"/>
          <w:sz w:val="24"/>
        </w:rPr>
        <w:t>14.1 竣工付款申请</w:t>
      </w:r>
    </w:p>
    <w:p w14:paraId="17D83D29">
      <w:pPr>
        <w:autoSpaceDE w:val="0"/>
        <w:autoSpaceDN w:val="0"/>
        <w:spacing w:line="360" w:lineRule="auto"/>
        <w:ind w:firstLine="480" w:firstLineChars="200"/>
        <w:rPr>
          <w:rFonts w:ascii="宋体" w:hAnsi="宋体" w:cs="宋体"/>
          <w:sz w:val="24"/>
          <w:u w:val="single"/>
        </w:rPr>
      </w:pPr>
      <w:r>
        <w:rPr>
          <w:rFonts w:hint="eastAsia" w:ascii="宋体" w:hAnsi="宋体" w:cs="宋体"/>
          <w:sz w:val="24"/>
        </w:rPr>
        <w:t>承包人提交竣工付款申请单的期限：</w:t>
      </w:r>
      <w:r>
        <w:rPr>
          <w:rFonts w:hint="eastAsia" w:ascii="宋体" w:hAnsi="宋体" w:cs="宋体"/>
          <w:sz w:val="24"/>
          <w:u w:val="single"/>
        </w:rPr>
        <w:t>按通用条款执行。</w:t>
      </w:r>
    </w:p>
    <w:p w14:paraId="5A32203D">
      <w:pPr>
        <w:snapToGrid w:val="0"/>
        <w:spacing w:line="360" w:lineRule="auto"/>
        <w:ind w:firstLine="480" w:firstLineChars="200"/>
        <w:rPr>
          <w:rFonts w:ascii="宋体" w:hAnsi="宋体" w:cs="宋体"/>
          <w:sz w:val="24"/>
          <w:u w:val="single"/>
        </w:rPr>
      </w:pPr>
      <w:r>
        <w:rPr>
          <w:rFonts w:hint="eastAsia" w:ascii="宋体" w:hAnsi="宋体" w:cs="宋体"/>
          <w:sz w:val="24"/>
        </w:rPr>
        <w:t>竣工付款申请单应包括的内容：</w:t>
      </w:r>
      <w:r>
        <w:rPr>
          <w:rFonts w:hint="eastAsia" w:ascii="宋体" w:hAnsi="宋体" w:cs="宋体"/>
          <w:sz w:val="24"/>
          <w:u w:val="single"/>
        </w:rPr>
        <w:t>（1）竣工结算合同价格；（2）发包人已支付承包人的款项；（3）已缴纳质量保证金的或提供其他工程质量担保方式的除外；（4）发包人应支付承包人的合同价款</w:t>
      </w:r>
      <w:r>
        <w:rPr>
          <w:rFonts w:hint="eastAsia" w:ascii="宋体" w:hAnsi="宋体" w:cs="宋体"/>
          <w:sz w:val="24"/>
        </w:rPr>
        <w:t>。</w:t>
      </w:r>
    </w:p>
    <w:p w14:paraId="6CD6EB6C">
      <w:pPr>
        <w:spacing w:line="360" w:lineRule="auto"/>
        <w:ind w:firstLine="480" w:firstLineChars="200"/>
        <w:rPr>
          <w:rFonts w:ascii="宋体" w:hAnsi="宋体" w:cs="宋体"/>
          <w:sz w:val="24"/>
        </w:rPr>
      </w:pPr>
      <w:r>
        <w:rPr>
          <w:rFonts w:hint="eastAsia" w:ascii="宋体" w:hAnsi="宋体" w:cs="宋体"/>
          <w:sz w:val="24"/>
        </w:rPr>
        <w:t>14.2 竣工结算审核</w:t>
      </w:r>
    </w:p>
    <w:p w14:paraId="15815DAA">
      <w:pPr>
        <w:autoSpaceDE w:val="0"/>
        <w:autoSpaceDN w:val="0"/>
        <w:spacing w:line="360" w:lineRule="auto"/>
        <w:ind w:firstLine="480" w:firstLineChars="200"/>
        <w:rPr>
          <w:rFonts w:ascii="宋体" w:hAnsi="宋体" w:cs="宋体"/>
          <w:kern w:val="0"/>
          <w:sz w:val="24"/>
        </w:rPr>
      </w:pPr>
      <w:r>
        <w:rPr>
          <w:rFonts w:hint="eastAsia" w:ascii="宋体" w:hAnsi="宋体" w:cs="宋体"/>
          <w:sz w:val="24"/>
        </w:rPr>
        <w:t>发包人对竣工结算审核（审计）期限：</w:t>
      </w:r>
      <w:r>
        <w:rPr>
          <w:rFonts w:hint="eastAsia" w:ascii="宋体" w:hAnsi="宋体" w:cs="宋体"/>
          <w:sz w:val="24"/>
          <w:u w:val="single"/>
        </w:rPr>
        <w:t>以发包人委托的第三方实际完成的审核（审计）时间为准，不执行通用条款的约定。承包人应积极配合、协助发包人委托的第三方的审核（审计）工作，否则由承包人承担相应责任。</w:t>
      </w:r>
    </w:p>
    <w:p w14:paraId="5E734828">
      <w:pPr>
        <w:snapToGrid w:val="0"/>
        <w:spacing w:line="360" w:lineRule="auto"/>
        <w:ind w:firstLine="480" w:firstLineChars="200"/>
        <w:rPr>
          <w:rFonts w:ascii="宋体" w:hAnsi="宋体" w:cs="宋体"/>
          <w:sz w:val="24"/>
          <w:u w:val="single"/>
        </w:rPr>
      </w:pPr>
      <w:r>
        <w:rPr>
          <w:rFonts w:hint="eastAsia" w:ascii="宋体" w:hAnsi="宋体" w:cs="宋体"/>
          <w:sz w:val="24"/>
        </w:rPr>
        <w:t>发包人完成竣工付款的期限：</w:t>
      </w:r>
      <w:r>
        <w:rPr>
          <w:rFonts w:hint="eastAsia" w:ascii="宋体" w:hAnsi="宋体" w:cs="宋体"/>
          <w:sz w:val="24"/>
          <w:u w:val="single"/>
        </w:rPr>
        <w:t>不执行通用条款，以发包人书面通知承包人开具收款发票后支付。</w:t>
      </w:r>
    </w:p>
    <w:p w14:paraId="437EBB31">
      <w:pPr>
        <w:snapToGrid w:val="0"/>
        <w:spacing w:line="360" w:lineRule="auto"/>
        <w:ind w:firstLine="480" w:firstLineChars="200"/>
        <w:rPr>
          <w:rFonts w:ascii="宋体" w:hAnsi="宋体" w:cs="宋体"/>
          <w:sz w:val="24"/>
        </w:rPr>
      </w:pPr>
      <w:r>
        <w:rPr>
          <w:rFonts w:hint="eastAsia" w:ascii="宋体" w:hAnsi="宋体" w:cs="宋体"/>
          <w:sz w:val="24"/>
          <w:u w:val="single"/>
        </w:rPr>
        <w:t>其中工程价款审计后核减额超过送审造价5%幅度以外的审查费用及核增部分审查费用由</w:t>
      </w:r>
      <w:bookmarkStart w:id="534" w:name="_Hlk62560116"/>
      <w:r>
        <w:rPr>
          <w:rFonts w:hint="eastAsia" w:ascii="宋体" w:hAnsi="宋体" w:cs="宋体"/>
          <w:sz w:val="24"/>
          <w:u w:val="single"/>
        </w:rPr>
        <w:t>承包人承担，承包人直接支付费用给项目结算审核单位，工程尾款支付时承包人必须同时提供结算审核费已付凭据</w:t>
      </w:r>
      <w:bookmarkEnd w:id="534"/>
      <w:r>
        <w:rPr>
          <w:rFonts w:hint="eastAsia" w:ascii="宋体" w:hAnsi="宋体" w:cs="宋体"/>
          <w:sz w:val="24"/>
          <w:u w:val="single"/>
        </w:rPr>
        <w:t>。</w:t>
      </w:r>
    </w:p>
    <w:p w14:paraId="14F6C798">
      <w:pPr>
        <w:spacing w:line="360" w:lineRule="auto"/>
        <w:ind w:firstLine="480" w:firstLineChars="200"/>
        <w:rPr>
          <w:rFonts w:ascii="宋体" w:hAnsi="宋体" w:cs="宋体"/>
          <w:sz w:val="24"/>
        </w:rPr>
      </w:pPr>
      <w:r>
        <w:rPr>
          <w:rFonts w:hint="eastAsia" w:ascii="宋体" w:hAnsi="宋体" w:cs="宋体"/>
          <w:sz w:val="24"/>
        </w:rPr>
        <w:t>关于竣工付款证书异议部分复核的方式和程序：</w:t>
      </w:r>
      <w:r>
        <w:rPr>
          <w:rFonts w:hint="eastAsia" w:ascii="宋体" w:hAnsi="宋体" w:cs="宋体"/>
          <w:sz w:val="24"/>
          <w:u w:val="single"/>
        </w:rPr>
        <w:t>按通用条款执行。</w:t>
      </w:r>
    </w:p>
    <w:p w14:paraId="0547D5A5">
      <w:pPr>
        <w:spacing w:line="360" w:lineRule="auto"/>
        <w:ind w:firstLine="480" w:firstLineChars="200"/>
        <w:rPr>
          <w:rFonts w:ascii="宋体" w:hAnsi="宋体" w:cs="宋体"/>
          <w:sz w:val="24"/>
        </w:rPr>
      </w:pPr>
      <w:r>
        <w:rPr>
          <w:rFonts w:hint="eastAsia" w:ascii="宋体" w:hAnsi="宋体" w:cs="宋体"/>
          <w:sz w:val="24"/>
        </w:rPr>
        <w:t>14.4 最终结清</w:t>
      </w:r>
    </w:p>
    <w:p w14:paraId="0FE184AC">
      <w:pPr>
        <w:spacing w:line="360" w:lineRule="auto"/>
        <w:ind w:firstLine="480" w:firstLineChars="200"/>
        <w:rPr>
          <w:rFonts w:ascii="宋体" w:hAnsi="宋体" w:cs="宋体"/>
          <w:sz w:val="24"/>
        </w:rPr>
      </w:pPr>
      <w:r>
        <w:rPr>
          <w:rFonts w:hint="eastAsia" w:ascii="宋体" w:hAnsi="宋体" w:cs="宋体"/>
          <w:sz w:val="24"/>
        </w:rPr>
        <w:t>14.4.1 最终结清申请单</w:t>
      </w:r>
    </w:p>
    <w:p w14:paraId="0D70EE63">
      <w:pPr>
        <w:spacing w:line="360" w:lineRule="auto"/>
        <w:ind w:firstLine="480" w:firstLineChars="200"/>
        <w:rPr>
          <w:rFonts w:ascii="宋体" w:hAnsi="宋体" w:cs="宋体"/>
          <w:kern w:val="0"/>
          <w:sz w:val="24"/>
        </w:rPr>
      </w:pPr>
      <w:r>
        <w:rPr>
          <w:rFonts w:hint="eastAsia" w:ascii="宋体" w:hAnsi="宋体" w:cs="宋体"/>
          <w:sz w:val="24"/>
        </w:rPr>
        <w:t>承包人提交最终结清申请单的份数：</w:t>
      </w:r>
      <w:r>
        <w:rPr>
          <w:rFonts w:hint="eastAsia" w:ascii="宋体" w:hAnsi="宋体" w:cs="宋体"/>
          <w:sz w:val="24"/>
          <w:u w:val="single"/>
        </w:rPr>
        <w:t xml:space="preserve"> 6份。</w:t>
      </w:r>
    </w:p>
    <w:p w14:paraId="3F5AA129">
      <w:pPr>
        <w:spacing w:line="360" w:lineRule="auto"/>
        <w:ind w:firstLine="480" w:firstLineChars="200"/>
        <w:rPr>
          <w:rFonts w:ascii="宋体" w:hAnsi="宋体" w:cs="宋体"/>
          <w:sz w:val="24"/>
        </w:rPr>
      </w:pPr>
      <w:r>
        <w:rPr>
          <w:rFonts w:hint="eastAsia" w:ascii="宋体" w:hAnsi="宋体" w:cs="宋体"/>
          <w:sz w:val="24"/>
        </w:rPr>
        <w:t>承包人提交最终结算申请单的期限：</w:t>
      </w:r>
      <w:r>
        <w:rPr>
          <w:rFonts w:hint="eastAsia" w:ascii="宋体" w:hAnsi="宋体" w:cs="宋体"/>
          <w:sz w:val="24"/>
          <w:u w:val="single"/>
        </w:rPr>
        <w:t>按通用条款执行</w:t>
      </w:r>
      <w:r>
        <w:rPr>
          <w:rFonts w:hint="eastAsia" w:ascii="宋体" w:hAnsi="宋体" w:cs="宋体"/>
          <w:sz w:val="24"/>
        </w:rPr>
        <w:t xml:space="preserve">。 </w:t>
      </w:r>
    </w:p>
    <w:p w14:paraId="534773B0">
      <w:pPr>
        <w:spacing w:line="360" w:lineRule="auto"/>
        <w:ind w:firstLine="480" w:firstLineChars="200"/>
        <w:rPr>
          <w:rFonts w:ascii="宋体" w:hAnsi="宋体" w:cs="宋体"/>
          <w:sz w:val="24"/>
        </w:rPr>
      </w:pPr>
      <w:r>
        <w:rPr>
          <w:rFonts w:hint="eastAsia" w:ascii="宋体" w:hAnsi="宋体" w:cs="宋体"/>
          <w:sz w:val="24"/>
        </w:rPr>
        <w:t>14.4.2 最终结清证书和支付</w:t>
      </w:r>
    </w:p>
    <w:p w14:paraId="40A8921C">
      <w:pPr>
        <w:spacing w:line="360" w:lineRule="auto"/>
        <w:ind w:firstLine="480" w:firstLineChars="200"/>
        <w:rPr>
          <w:rFonts w:ascii="宋体" w:hAnsi="宋体" w:cs="宋体"/>
          <w:sz w:val="24"/>
          <w:u w:val="single"/>
        </w:rPr>
      </w:pPr>
      <w:r>
        <w:rPr>
          <w:rFonts w:hint="eastAsia" w:ascii="宋体" w:hAnsi="宋体" w:cs="宋体"/>
          <w:sz w:val="24"/>
        </w:rPr>
        <w:t>（1）发包人完成最终结清申请单的审批并颁发最终结清证书的期限：</w:t>
      </w:r>
      <w:r>
        <w:rPr>
          <w:rFonts w:hint="eastAsia" w:ascii="宋体" w:hAnsi="宋体" w:cs="宋体"/>
          <w:sz w:val="24"/>
          <w:u w:val="single"/>
        </w:rPr>
        <w:t>不执行通用条款，以收到承包人完整的最终结算申请资料后，发包人完成内部审计及委托的第三方审计后。</w:t>
      </w:r>
    </w:p>
    <w:p w14:paraId="5F24FCD0">
      <w:pPr>
        <w:spacing w:line="360" w:lineRule="auto"/>
        <w:ind w:firstLine="480" w:firstLineChars="200"/>
        <w:rPr>
          <w:rFonts w:ascii="宋体" w:hAnsi="宋体" w:cs="宋体"/>
          <w:sz w:val="24"/>
          <w:u w:val="single"/>
        </w:rPr>
      </w:pPr>
      <w:r>
        <w:rPr>
          <w:rFonts w:hint="eastAsia" w:ascii="宋体" w:hAnsi="宋体" w:cs="宋体"/>
          <w:sz w:val="24"/>
        </w:rPr>
        <w:t>（2）发包人完成支付的期限：</w:t>
      </w:r>
      <w:r>
        <w:rPr>
          <w:rFonts w:hint="eastAsia" w:ascii="宋体" w:hAnsi="宋体" w:cs="宋体"/>
          <w:sz w:val="24"/>
          <w:u w:val="single"/>
        </w:rPr>
        <w:t xml:space="preserve"> 不执行通用条款，以发包人书面通知承包人开具并交付正规收款发票后25个工作日内支付。</w:t>
      </w:r>
    </w:p>
    <w:p w14:paraId="08987A74">
      <w:pPr>
        <w:topLinePunct/>
        <w:spacing w:line="360" w:lineRule="auto"/>
        <w:ind w:firstLine="420"/>
        <w:rPr>
          <w:rFonts w:ascii="宋体" w:hAnsi="宋体" w:cs="宋体"/>
          <w:b/>
          <w:sz w:val="24"/>
        </w:rPr>
      </w:pPr>
      <w:r>
        <w:rPr>
          <w:rFonts w:hint="eastAsia" w:ascii="宋体" w:hAnsi="宋体" w:cs="宋体"/>
          <w:b/>
          <w:sz w:val="24"/>
        </w:rPr>
        <w:t>15. 缺陷责任期与保修</w:t>
      </w:r>
    </w:p>
    <w:p w14:paraId="4A38DCCE">
      <w:pPr>
        <w:spacing w:line="360" w:lineRule="auto"/>
        <w:ind w:firstLine="480" w:firstLineChars="200"/>
        <w:rPr>
          <w:rFonts w:ascii="宋体" w:hAnsi="宋体" w:cs="宋体"/>
          <w:sz w:val="24"/>
        </w:rPr>
      </w:pPr>
      <w:r>
        <w:rPr>
          <w:rFonts w:hint="eastAsia" w:ascii="宋体" w:hAnsi="宋体" w:cs="宋体"/>
          <w:sz w:val="24"/>
        </w:rPr>
        <w:t>15.2缺陷责任期</w:t>
      </w:r>
    </w:p>
    <w:p w14:paraId="0FAEDE2D">
      <w:pPr>
        <w:spacing w:line="360" w:lineRule="auto"/>
        <w:ind w:firstLine="480" w:firstLineChars="200"/>
        <w:rPr>
          <w:rFonts w:ascii="宋体" w:hAnsi="宋体" w:cs="宋体"/>
          <w:sz w:val="24"/>
        </w:rPr>
      </w:pPr>
      <w:r>
        <w:rPr>
          <w:rFonts w:hint="eastAsia" w:ascii="宋体" w:hAnsi="宋体" w:cs="宋体"/>
          <w:sz w:val="24"/>
        </w:rPr>
        <w:t>缺陷责任期的具体期限：</w:t>
      </w:r>
      <w:r>
        <w:rPr>
          <w:rFonts w:hint="eastAsia" w:ascii="宋体" w:hAnsi="宋体" w:cs="宋体"/>
          <w:sz w:val="24"/>
          <w:u w:val="single"/>
        </w:rPr>
        <w:t>从工程通过发包人、监理（如有）等部门的验收并交付给发包人后的次日起计算，但该期限不低于   个月</w:t>
      </w:r>
      <w:r>
        <w:rPr>
          <w:rFonts w:hint="eastAsia" w:ascii="宋体" w:hAnsi="宋体" w:cs="宋体"/>
          <w:sz w:val="24"/>
        </w:rPr>
        <w:t>。</w:t>
      </w:r>
    </w:p>
    <w:p w14:paraId="1B63FE45">
      <w:pPr>
        <w:snapToGrid w:val="0"/>
        <w:spacing w:line="360" w:lineRule="auto"/>
        <w:ind w:firstLine="480" w:firstLineChars="200"/>
        <w:rPr>
          <w:rFonts w:ascii="宋体" w:hAnsi="宋体" w:cs="宋体"/>
          <w:sz w:val="24"/>
          <w:u w:val="single"/>
        </w:rPr>
      </w:pPr>
      <w:r>
        <w:rPr>
          <w:rFonts w:hint="eastAsia" w:ascii="宋体" w:hAnsi="宋体" w:cs="宋体"/>
          <w:sz w:val="24"/>
        </w:rPr>
        <w:t>缺陷责任期内关于质量保证金的补充约定：</w:t>
      </w:r>
    </w:p>
    <w:p w14:paraId="4B6B21C5">
      <w:pPr>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（1）如在工程保修期内未发生按约定的须从质量保证金中代扣维修费及维修管理费情况的，则质量保证金在</w:t>
      </w:r>
      <w:r>
        <w:rPr>
          <w:rFonts w:hint="eastAsia" w:ascii="宋体" w:hAnsi="宋体" w:cs="宋体"/>
          <w:sz w:val="24"/>
          <w:u w:val="single"/>
        </w:rPr>
        <w:t>缺陷责任期满</w:t>
      </w:r>
      <w:r>
        <w:rPr>
          <w:rFonts w:hint="eastAsia" w:ascii="宋体" w:hAnsi="宋体" w:cs="宋体"/>
          <w:kern w:val="0"/>
          <w:sz w:val="24"/>
          <w:u w:val="single"/>
        </w:rPr>
        <w:t>且无质量问题后，30个工作日内退还质量保证金（无息）给承包人。</w:t>
      </w:r>
    </w:p>
    <w:p w14:paraId="53A0DEC9">
      <w:pPr>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2）工程移交后，如发包人发现存在质量问题的，有权要求承包人及时维修，并赔偿给发包人带来的各种直接、间接经济损失。承包人7天内未维修的，发包人有权委托第三方维修。所有费用及损失由承包人承担，且发包人有权没收质量保证金。</w:t>
      </w:r>
    </w:p>
    <w:p w14:paraId="0048041B">
      <w:pPr>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（3）工程移交后，如发包人发现存在重大质量问题的，有权扣除承包人的全部质量保证金，要求承包人及时维修，并赔偿给发包人带来的各种直接、间接经济损失。</w:t>
      </w:r>
    </w:p>
    <w:p w14:paraId="714CC1CF">
      <w:pPr>
        <w:snapToGrid w:val="0"/>
        <w:spacing w:line="360" w:lineRule="auto"/>
        <w:ind w:firstLine="480" w:firstLineChars="200"/>
        <w:rPr>
          <w:rFonts w:ascii="宋体" w:hAnsi="宋体" w:cs="宋体"/>
          <w:sz w:val="24"/>
        </w:rPr>
      </w:pPr>
      <w:r>
        <w:rPr>
          <w:rFonts w:hint="eastAsia" w:ascii="宋体" w:hAnsi="宋体" w:cs="宋体"/>
          <w:sz w:val="24"/>
          <w:u w:val="single"/>
        </w:rPr>
        <w:t>在国家规定的保修期外，如本工程出现质量问题系由承包人偷工减料或使用不合格原材料、成品、半成品（不包括甲供材料）引起的，发包人有权无限期追索，承包人应承担由此造成的一切损失</w:t>
      </w:r>
      <w:r>
        <w:rPr>
          <w:rFonts w:hint="eastAsia" w:ascii="宋体" w:hAnsi="宋体" w:cs="宋体"/>
          <w:kern w:val="0"/>
          <w:sz w:val="24"/>
        </w:rPr>
        <w:t>。</w:t>
      </w:r>
    </w:p>
    <w:p w14:paraId="575FCDE0">
      <w:pPr>
        <w:spacing w:line="360" w:lineRule="auto"/>
        <w:ind w:firstLine="480" w:firstLineChars="200"/>
        <w:rPr>
          <w:rFonts w:ascii="宋体" w:hAnsi="宋体" w:cs="宋体"/>
          <w:sz w:val="24"/>
        </w:rPr>
      </w:pPr>
      <w:r>
        <w:rPr>
          <w:rFonts w:hint="eastAsia" w:ascii="宋体" w:hAnsi="宋体" w:cs="宋体"/>
          <w:sz w:val="24"/>
        </w:rPr>
        <w:t>15.4保修</w:t>
      </w:r>
    </w:p>
    <w:p w14:paraId="1BAE6797">
      <w:pPr>
        <w:spacing w:line="360" w:lineRule="auto"/>
        <w:ind w:firstLine="480" w:firstLineChars="200"/>
        <w:rPr>
          <w:rFonts w:ascii="宋体" w:hAnsi="宋体" w:cs="宋体"/>
          <w:sz w:val="24"/>
        </w:rPr>
      </w:pPr>
      <w:r>
        <w:rPr>
          <w:rFonts w:hint="eastAsia" w:ascii="宋体" w:hAnsi="宋体" w:cs="宋体"/>
          <w:sz w:val="24"/>
        </w:rPr>
        <w:t>15.4.1 保修责任</w:t>
      </w:r>
    </w:p>
    <w:p w14:paraId="4A5D5BB9">
      <w:pPr>
        <w:spacing w:line="360" w:lineRule="auto"/>
        <w:ind w:firstLine="480" w:firstLineChars="200"/>
        <w:rPr>
          <w:rFonts w:ascii="宋体" w:hAnsi="宋体" w:cs="宋体"/>
          <w:sz w:val="24"/>
        </w:rPr>
      </w:pPr>
      <w:r>
        <w:rPr>
          <w:rFonts w:hint="eastAsia" w:ascii="宋体" w:hAnsi="宋体" w:cs="宋体"/>
          <w:sz w:val="24"/>
        </w:rPr>
        <w:t>工程保修期为：</w:t>
      </w:r>
      <w:r>
        <w:rPr>
          <w:rFonts w:hint="eastAsia" w:ascii="宋体" w:hAnsi="宋体" w:cs="宋体"/>
          <w:sz w:val="24"/>
          <w:u w:val="single"/>
        </w:rPr>
        <w:t>详工程质量保修书约定。</w:t>
      </w:r>
    </w:p>
    <w:p w14:paraId="5FBB6262">
      <w:pPr>
        <w:spacing w:line="360" w:lineRule="auto"/>
        <w:ind w:firstLine="480" w:firstLineChars="200"/>
        <w:rPr>
          <w:rFonts w:ascii="宋体" w:hAnsi="宋体" w:cs="宋体"/>
          <w:sz w:val="24"/>
        </w:rPr>
      </w:pPr>
      <w:r>
        <w:rPr>
          <w:rFonts w:hint="eastAsia" w:ascii="宋体" w:hAnsi="宋体" w:cs="宋体"/>
          <w:sz w:val="24"/>
        </w:rPr>
        <w:t>15.4.3 修复通知</w:t>
      </w:r>
    </w:p>
    <w:p w14:paraId="4FB0ADB8">
      <w:pPr>
        <w:spacing w:line="360" w:lineRule="auto"/>
        <w:ind w:firstLine="480" w:firstLineChars="200"/>
        <w:rPr>
          <w:rFonts w:ascii="宋体" w:hAnsi="宋体" w:cs="宋体"/>
          <w:kern w:val="0"/>
          <w:sz w:val="24"/>
        </w:rPr>
      </w:pPr>
      <w:r>
        <w:rPr>
          <w:rFonts w:hint="eastAsia" w:ascii="宋体" w:hAnsi="宋体" w:cs="宋体"/>
          <w:sz w:val="24"/>
        </w:rPr>
        <w:t>承包人收到保修通知并到达工程现场的合理时间：</w:t>
      </w:r>
      <w:r>
        <w:rPr>
          <w:rFonts w:hint="eastAsia" w:ascii="宋体" w:hAnsi="宋体" w:cs="宋体"/>
          <w:sz w:val="24"/>
          <w:u w:val="single"/>
        </w:rPr>
        <w:t xml:space="preserve"> 48小时，并保证在7个日历天修复完成，具有正常使用功能。发包人的保修通知采用口头通知、书面通知、书面留置通知等方式，承包人应无条件承认。承包人逾期履行的，应按合同总价款的万分之五每天支付违约金</w:t>
      </w:r>
      <w:r>
        <w:rPr>
          <w:rFonts w:hint="eastAsia" w:ascii="宋体" w:hAnsi="宋体" w:cs="宋体"/>
          <w:kern w:val="0"/>
          <w:sz w:val="24"/>
        </w:rPr>
        <w:t>。</w:t>
      </w:r>
    </w:p>
    <w:p w14:paraId="49FFB751">
      <w:pPr>
        <w:topLinePunct/>
        <w:spacing w:line="360" w:lineRule="auto"/>
        <w:ind w:firstLine="420"/>
        <w:rPr>
          <w:rFonts w:ascii="宋体" w:hAnsi="宋体" w:cs="宋体"/>
          <w:b/>
          <w:sz w:val="24"/>
        </w:rPr>
      </w:pPr>
      <w:r>
        <w:rPr>
          <w:rFonts w:hint="eastAsia" w:ascii="宋体" w:hAnsi="宋体" w:cs="宋体"/>
          <w:b/>
          <w:sz w:val="24"/>
        </w:rPr>
        <w:t>16. 违约</w:t>
      </w:r>
    </w:p>
    <w:p w14:paraId="1886AE60">
      <w:pPr>
        <w:spacing w:line="360" w:lineRule="auto"/>
        <w:ind w:firstLine="480" w:firstLineChars="200"/>
        <w:rPr>
          <w:rFonts w:ascii="宋体" w:hAnsi="宋体" w:cs="宋体"/>
          <w:sz w:val="24"/>
        </w:rPr>
      </w:pPr>
      <w:r>
        <w:rPr>
          <w:rFonts w:hint="eastAsia" w:ascii="宋体" w:hAnsi="宋体" w:cs="宋体"/>
          <w:sz w:val="24"/>
        </w:rPr>
        <w:t>16.1 发包人违约</w:t>
      </w:r>
    </w:p>
    <w:p w14:paraId="78CDA976">
      <w:pPr>
        <w:spacing w:line="360" w:lineRule="auto"/>
        <w:ind w:firstLine="480" w:firstLineChars="200"/>
        <w:rPr>
          <w:rFonts w:ascii="宋体" w:hAnsi="宋体" w:cs="宋体"/>
          <w:sz w:val="24"/>
        </w:rPr>
      </w:pPr>
      <w:r>
        <w:rPr>
          <w:rFonts w:hint="eastAsia" w:ascii="宋体" w:hAnsi="宋体" w:cs="宋体"/>
          <w:sz w:val="24"/>
        </w:rPr>
        <w:t>16.1.1发包人违约的情形</w:t>
      </w:r>
    </w:p>
    <w:p w14:paraId="4AB56C65">
      <w:pPr>
        <w:autoSpaceDE w:val="0"/>
        <w:autoSpaceDN w:val="0"/>
        <w:spacing w:line="360" w:lineRule="auto"/>
        <w:ind w:firstLine="480" w:firstLineChars="200"/>
        <w:rPr>
          <w:rFonts w:ascii="宋体" w:hAnsi="宋体" w:cs="宋体"/>
          <w:sz w:val="24"/>
        </w:rPr>
      </w:pPr>
      <w:r>
        <w:rPr>
          <w:rFonts w:hint="eastAsia" w:ascii="宋体" w:hAnsi="宋体" w:cs="宋体"/>
          <w:sz w:val="24"/>
        </w:rPr>
        <w:t>发包人违约的其他情形：</w:t>
      </w:r>
      <w:r>
        <w:rPr>
          <w:rFonts w:hint="eastAsia" w:ascii="宋体" w:hAnsi="宋体" w:cs="宋体"/>
          <w:sz w:val="24"/>
          <w:u w:val="single"/>
        </w:rPr>
        <w:t>按通用条款执行。</w:t>
      </w:r>
    </w:p>
    <w:p w14:paraId="66CFE069">
      <w:pPr>
        <w:spacing w:line="360" w:lineRule="auto"/>
        <w:ind w:left="1140" w:leftChars="200" w:hanging="720" w:hangingChars="300"/>
        <w:rPr>
          <w:rFonts w:ascii="宋体" w:hAnsi="宋体" w:cs="宋体"/>
          <w:kern w:val="0"/>
          <w:sz w:val="24"/>
        </w:rPr>
      </w:pPr>
      <w:r>
        <w:rPr>
          <w:rFonts w:hint="eastAsia" w:ascii="宋体" w:hAnsi="宋体" w:cs="宋体"/>
          <w:sz w:val="24"/>
        </w:rPr>
        <w:t>16.1.2 发包人违约的责任</w:t>
      </w:r>
    </w:p>
    <w:p w14:paraId="2DC907B3">
      <w:pPr>
        <w:spacing w:line="360" w:lineRule="auto"/>
        <w:ind w:left="1140" w:leftChars="200" w:hanging="720" w:hangingChars="300"/>
        <w:rPr>
          <w:rFonts w:ascii="宋体" w:hAnsi="宋体" w:cs="宋体"/>
          <w:sz w:val="24"/>
        </w:rPr>
      </w:pPr>
      <w:r>
        <w:rPr>
          <w:rFonts w:hint="eastAsia" w:ascii="宋体" w:hAnsi="宋体" w:cs="宋体"/>
          <w:sz w:val="24"/>
        </w:rPr>
        <w:t>发包人违约责任的承担方式和计算方法：</w:t>
      </w:r>
    </w:p>
    <w:p w14:paraId="206589B3">
      <w:pPr>
        <w:spacing w:line="360" w:lineRule="auto"/>
        <w:ind w:firstLine="480" w:firstLineChars="200"/>
        <w:rPr>
          <w:rFonts w:ascii="宋体" w:hAnsi="宋体" w:cs="宋体"/>
          <w:sz w:val="24"/>
          <w:u w:val="single"/>
        </w:rPr>
      </w:pPr>
      <w:r>
        <w:rPr>
          <w:rFonts w:hint="eastAsia" w:ascii="宋体" w:hAnsi="宋体" w:cs="宋体"/>
          <w:sz w:val="24"/>
        </w:rPr>
        <w:t xml:space="preserve">（1）因发包人原因未能在计划开工日期前7天内下达开工通知的违约责任： </w:t>
      </w:r>
      <w:r>
        <w:rPr>
          <w:rFonts w:hint="eastAsia" w:ascii="宋体" w:hAnsi="宋体" w:cs="宋体"/>
          <w:sz w:val="24"/>
          <w:u w:val="single"/>
        </w:rPr>
        <w:t>/。</w:t>
      </w:r>
    </w:p>
    <w:p w14:paraId="18CC9508">
      <w:pPr>
        <w:spacing w:line="360" w:lineRule="auto"/>
        <w:ind w:firstLine="480" w:firstLineChars="200"/>
        <w:rPr>
          <w:rFonts w:ascii="宋体" w:hAnsi="宋体" w:cs="宋体"/>
          <w:sz w:val="24"/>
        </w:rPr>
      </w:pPr>
      <w:r>
        <w:rPr>
          <w:rFonts w:hint="eastAsia" w:ascii="宋体" w:hAnsi="宋体" w:cs="宋体"/>
          <w:sz w:val="24"/>
        </w:rPr>
        <w:t>（2）因发包人原因未能按合同约定支付合同价款的的违约责任：</w:t>
      </w:r>
      <w:r>
        <w:rPr>
          <w:rFonts w:hint="eastAsia" w:ascii="宋体" w:hAnsi="宋体" w:cs="宋体"/>
          <w:kern w:val="0"/>
          <w:sz w:val="24"/>
          <w:u w:val="single"/>
        </w:rPr>
        <w:t>发包人超过约定的支付时间不支付工程款（进度款），承包人可向发包人发出要求付款的通知，发包人收到承包人通知后60日内仍不能按要求付款，可与承包人协商签订延期付款协议，经承包人同意后可延期支付，并支付应付金额同期银行贷款利率计算的利息 。协议期间承包人不得以此为理由影响施工进度</w:t>
      </w:r>
      <w:r>
        <w:rPr>
          <w:rFonts w:hint="eastAsia" w:ascii="宋体" w:hAnsi="宋体" w:cs="宋体"/>
          <w:sz w:val="24"/>
        </w:rPr>
        <w:t>。</w:t>
      </w:r>
    </w:p>
    <w:p w14:paraId="61F7E9CD">
      <w:pPr>
        <w:spacing w:line="360" w:lineRule="auto"/>
        <w:ind w:firstLine="480" w:firstLineChars="200"/>
        <w:rPr>
          <w:rFonts w:ascii="宋体" w:hAnsi="宋体" w:cs="宋体"/>
          <w:sz w:val="24"/>
          <w:u w:val="single"/>
        </w:rPr>
      </w:pPr>
      <w:r>
        <w:rPr>
          <w:rFonts w:hint="eastAsia" w:ascii="宋体" w:hAnsi="宋体" w:cs="宋体"/>
          <w:sz w:val="24"/>
        </w:rPr>
        <w:t>（3）发包人违反第10.1款〔变更的范围〕第（2）项约定，自行实施被取消的工作或转由他人实施的违约责任：</w:t>
      </w:r>
      <w:r>
        <w:rPr>
          <w:rFonts w:hint="eastAsia" w:ascii="宋体" w:hAnsi="宋体" w:cs="宋体"/>
          <w:sz w:val="24"/>
          <w:u w:val="single"/>
        </w:rPr>
        <w:t>/。</w:t>
      </w:r>
    </w:p>
    <w:p w14:paraId="4A2D4980">
      <w:pPr>
        <w:spacing w:line="360" w:lineRule="auto"/>
        <w:ind w:firstLine="480" w:firstLineChars="200"/>
        <w:rPr>
          <w:rFonts w:ascii="宋体" w:hAnsi="宋体" w:cs="宋体"/>
          <w:kern w:val="0"/>
          <w:sz w:val="24"/>
        </w:rPr>
      </w:pPr>
      <w:r>
        <w:rPr>
          <w:rFonts w:hint="eastAsia" w:ascii="宋体" w:hAnsi="宋体" w:cs="宋体"/>
          <w:sz w:val="24"/>
        </w:rPr>
        <w:t>（4）发包人提供的材料、工程设备的规格、数量或质量不符合合同约定，或因发包人原因导致交货日期延误或交货地点变更等情况的违约责任：</w:t>
      </w:r>
      <w:r>
        <w:rPr>
          <w:rFonts w:hint="eastAsia" w:ascii="宋体" w:hAnsi="宋体" w:cs="宋体"/>
          <w:sz w:val="24"/>
          <w:u w:val="single"/>
        </w:rPr>
        <w:t>/。</w:t>
      </w:r>
    </w:p>
    <w:p w14:paraId="41418A3E">
      <w:pPr>
        <w:spacing w:line="360" w:lineRule="auto"/>
        <w:ind w:firstLine="480" w:firstLineChars="200"/>
        <w:rPr>
          <w:rFonts w:ascii="宋体" w:hAnsi="宋体" w:cs="宋体"/>
          <w:kern w:val="0"/>
          <w:sz w:val="24"/>
        </w:rPr>
      </w:pPr>
      <w:r>
        <w:rPr>
          <w:rFonts w:hint="eastAsia" w:ascii="宋体" w:hAnsi="宋体" w:cs="宋体"/>
          <w:sz w:val="24"/>
        </w:rPr>
        <w:t>（5）因发包人违反合同约定造成暂停施工的违约责任：</w:t>
      </w:r>
      <w:r>
        <w:rPr>
          <w:rFonts w:hint="eastAsia" w:ascii="宋体" w:hAnsi="宋体" w:cs="宋体"/>
          <w:sz w:val="24"/>
          <w:u w:val="single"/>
        </w:rPr>
        <w:t>/。</w:t>
      </w:r>
    </w:p>
    <w:p w14:paraId="79C50A66">
      <w:pPr>
        <w:spacing w:line="360" w:lineRule="auto"/>
        <w:ind w:firstLine="480" w:firstLineChars="200"/>
        <w:rPr>
          <w:rFonts w:ascii="宋体" w:hAnsi="宋体" w:cs="宋体"/>
          <w:sz w:val="24"/>
          <w:u w:val="single"/>
        </w:rPr>
      </w:pPr>
      <w:r>
        <w:rPr>
          <w:rFonts w:hint="eastAsia" w:ascii="宋体" w:hAnsi="宋体" w:cs="宋体"/>
          <w:sz w:val="24"/>
        </w:rPr>
        <w:t>（6）发包人无正当理由没有在约定期限内发出复工指示，导致承包人无法复工的违约责任：</w:t>
      </w:r>
      <w:r>
        <w:rPr>
          <w:rFonts w:hint="eastAsia" w:ascii="宋体" w:hAnsi="宋体" w:cs="宋体"/>
          <w:sz w:val="24"/>
          <w:u w:val="single"/>
        </w:rPr>
        <w:t>/。</w:t>
      </w:r>
    </w:p>
    <w:p w14:paraId="63F8D014">
      <w:pPr>
        <w:spacing w:line="360" w:lineRule="auto"/>
        <w:ind w:firstLine="480" w:firstLineChars="200"/>
        <w:rPr>
          <w:rFonts w:ascii="宋体" w:hAnsi="宋体" w:cs="宋体"/>
          <w:sz w:val="24"/>
          <w:u w:val="single"/>
        </w:rPr>
      </w:pPr>
      <w:r>
        <w:rPr>
          <w:rFonts w:hint="eastAsia" w:ascii="宋体" w:hAnsi="宋体" w:cs="宋体"/>
          <w:sz w:val="24"/>
        </w:rPr>
        <w:t>（7）其他：</w:t>
      </w:r>
      <w:r>
        <w:rPr>
          <w:rFonts w:hint="eastAsia" w:ascii="宋体" w:hAnsi="宋体" w:cs="宋体"/>
          <w:sz w:val="24"/>
          <w:u w:val="single"/>
        </w:rPr>
        <w:t xml:space="preserve"> / </w:t>
      </w:r>
    </w:p>
    <w:p w14:paraId="0A0B17AC">
      <w:pPr>
        <w:snapToGrid w:val="0"/>
        <w:spacing w:line="360" w:lineRule="auto"/>
        <w:ind w:firstLine="480" w:firstLineChars="200"/>
        <w:rPr>
          <w:rFonts w:ascii="宋体" w:hAnsi="宋体" w:cs="宋体"/>
          <w:sz w:val="24"/>
        </w:rPr>
      </w:pPr>
      <w:r>
        <w:rPr>
          <w:rFonts w:hint="eastAsia" w:ascii="宋体" w:hAnsi="宋体" w:cs="宋体"/>
          <w:sz w:val="24"/>
        </w:rPr>
        <w:t>16.1.3 因发包人违约解除合同</w:t>
      </w:r>
    </w:p>
    <w:p w14:paraId="5605DB70">
      <w:pPr>
        <w:autoSpaceDE w:val="0"/>
        <w:autoSpaceDN w:val="0"/>
        <w:snapToGrid w:val="0"/>
        <w:spacing w:line="360" w:lineRule="auto"/>
        <w:ind w:firstLine="480" w:firstLineChars="200"/>
        <w:rPr>
          <w:rFonts w:ascii="宋体" w:hAnsi="宋体" w:cs="宋体"/>
          <w:kern w:val="0"/>
          <w:sz w:val="24"/>
        </w:rPr>
      </w:pPr>
      <w:r>
        <w:rPr>
          <w:rFonts w:hint="eastAsia" w:ascii="宋体" w:hAnsi="宋体" w:cs="宋体"/>
          <w:kern w:val="0"/>
          <w:sz w:val="24"/>
        </w:rPr>
        <w:t>承包人按16.1.1项〔发包人违约的情形〕约定暂停施工满</w:t>
      </w:r>
      <w:r>
        <w:rPr>
          <w:rFonts w:hint="eastAsia" w:ascii="宋体" w:hAnsi="宋体" w:cs="宋体"/>
          <w:kern w:val="0"/>
          <w:sz w:val="24"/>
          <w:u w:val="single"/>
        </w:rPr>
        <w:t xml:space="preserve"> 30 </w:t>
      </w:r>
      <w:r>
        <w:rPr>
          <w:rFonts w:hint="eastAsia" w:ascii="宋体" w:hAnsi="宋体" w:cs="宋体"/>
          <w:kern w:val="0"/>
          <w:sz w:val="24"/>
        </w:rPr>
        <w:t>天后发包人仍不纠正其违约行为并致使合同目的不能实现的，承包人有权解除合同。</w:t>
      </w:r>
    </w:p>
    <w:p w14:paraId="22F63409">
      <w:pPr>
        <w:spacing w:line="360" w:lineRule="auto"/>
        <w:ind w:firstLine="480" w:firstLineChars="200"/>
        <w:rPr>
          <w:rFonts w:ascii="宋体" w:hAnsi="宋体" w:cs="宋体"/>
          <w:sz w:val="24"/>
        </w:rPr>
      </w:pPr>
      <w:r>
        <w:rPr>
          <w:rFonts w:hint="eastAsia" w:ascii="宋体" w:hAnsi="宋体" w:cs="宋体"/>
          <w:sz w:val="24"/>
        </w:rPr>
        <w:t>16.2 承包人违约</w:t>
      </w:r>
    </w:p>
    <w:p w14:paraId="70B8DB24">
      <w:pPr>
        <w:autoSpaceDE w:val="0"/>
        <w:autoSpaceDN w:val="0"/>
        <w:spacing w:line="360" w:lineRule="auto"/>
        <w:ind w:firstLine="480" w:firstLineChars="200"/>
        <w:rPr>
          <w:rFonts w:ascii="宋体" w:hAnsi="宋体" w:cs="宋体"/>
          <w:sz w:val="24"/>
        </w:rPr>
      </w:pPr>
      <w:r>
        <w:rPr>
          <w:rFonts w:hint="eastAsia" w:ascii="宋体" w:hAnsi="宋体" w:cs="宋体"/>
          <w:sz w:val="24"/>
        </w:rPr>
        <w:t>16.2.1 承包人违约的情形</w:t>
      </w:r>
    </w:p>
    <w:p w14:paraId="65FE3CA8">
      <w:pPr>
        <w:tabs>
          <w:tab w:val="left" w:pos="482"/>
          <w:tab w:val="left" w:pos="2183"/>
          <w:tab w:val="left" w:pos="3884"/>
          <w:tab w:val="left" w:pos="5585"/>
        </w:tabs>
        <w:spacing w:line="360" w:lineRule="auto"/>
        <w:ind w:firstLine="480" w:firstLineChars="200"/>
        <w:rPr>
          <w:rFonts w:ascii="宋体" w:hAnsi="宋体" w:cs="宋体"/>
          <w:kern w:val="0"/>
          <w:sz w:val="24"/>
        </w:rPr>
      </w:pPr>
      <w:r>
        <w:rPr>
          <w:rFonts w:hint="eastAsia" w:ascii="宋体" w:hAnsi="宋体" w:cs="宋体"/>
          <w:sz w:val="24"/>
        </w:rPr>
        <w:t>承包人违约的其他情形</w:t>
      </w:r>
      <w:r>
        <w:rPr>
          <w:rFonts w:hint="eastAsia" w:ascii="宋体" w:hAnsi="宋体" w:cs="宋体"/>
          <w:kern w:val="0"/>
          <w:sz w:val="24"/>
        </w:rPr>
        <w:t>：</w:t>
      </w:r>
    </w:p>
    <w:p w14:paraId="68B94DB9">
      <w:pPr>
        <w:tabs>
          <w:tab w:val="left" w:pos="482"/>
          <w:tab w:val="left" w:pos="2183"/>
          <w:tab w:val="left" w:pos="3884"/>
          <w:tab w:val="left" w:pos="5585"/>
        </w:tabs>
        <w:spacing w:line="360" w:lineRule="auto"/>
        <w:ind w:firstLine="480" w:firstLineChars="200"/>
        <w:rPr>
          <w:rFonts w:ascii="宋体" w:hAnsi="宋体" w:cs="宋体"/>
          <w:sz w:val="24"/>
          <w:u w:val="single"/>
        </w:rPr>
      </w:pPr>
      <w:r>
        <w:rPr>
          <w:rFonts w:hint="eastAsia" w:ascii="宋体" w:hAnsi="宋体" w:cs="宋体"/>
          <w:sz w:val="24"/>
          <w:u w:val="single"/>
        </w:rPr>
        <w:t>（1）承包人应按约定做好安全施工、文明施工管理。若承包人拒不按照有关规定实现安全施工、文明施工管理目标，发包人有权要求其调整充实施工力量，承包人必须接受，如措施不力，发包人有权终止合同。</w:t>
      </w:r>
    </w:p>
    <w:p w14:paraId="5B99D391">
      <w:pPr>
        <w:tabs>
          <w:tab w:val="left" w:pos="482"/>
          <w:tab w:val="left" w:pos="2183"/>
          <w:tab w:val="left" w:pos="3884"/>
          <w:tab w:val="left" w:pos="5585"/>
        </w:tabs>
        <w:spacing w:line="360" w:lineRule="auto"/>
        <w:ind w:firstLine="480" w:firstLineChars="200"/>
        <w:rPr>
          <w:rFonts w:ascii="宋体" w:hAnsi="宋体" w:cs="宋体"/>
          <w:sz w:val="24"/>
          <w:u w:val="single"/>
        </w:rPr>
      </w:pPr>
      <w:r>
        <w:rPr>
          <w:rFonts w:hint="eastAsia" w:ascii="宋体" w:hAnsi="宋体" w:cs="宋体"/>
          <w:sz w:val="24"/>
          <w:u w:val="single"/>
        </w:rPr>
        <w:t>（2）承包人不按合同履行应承担的工作，对工程进展造成影响时，发包人有权自行或委托他人完成合同约定承包人该项工作，所产生的费用从承包人应得的款项中扣取，不足部分由承包人偿付。</w:t>
      </w:r>
    </w:p>
    <w:p w14:paraId="74884CEB">
      <w:pPr>
        <w:tabs>
          <w:tab w:val="left" w:pos="482"/>
          <w:tab w:val="left" w:pos="2183"/>
          <w:tab w:val="left" w:pos="3884"/>
          <w:tab w:val="left" w:pos="5585"/>
        </w:tabs>
        <w:spacing w:line="360" w:lineRule="auto"/>
        <w:ind w:firstLine="480" w:firstLineChars="200"/>
        <w:rPr>
          <w:rFonts w:ascii="宋体" w:hAnsi="宋体" w:cs="宋体"/>
          <w:sz w:val="24"/>
          <w:u w:val="single"/>
        </w:rPr>
      </w:pPr>
      <w:r>
        <w:rPr>
          <w:rFonts w:hint="eastAsia" w:ascii="宋体" w:hAnsi="宋体" w:cs="宋体"/>
          <w:sz w:val="24"/>
          <w:u w:val="single"/>
        </w:rPr>
        <w:t>（3）承包人在竣工后7天内必须做到工完场清、料清、障清，如未在合同约定时间内做到工完场清，发包人有权指定其他单位清理，其费用在工程款中扣除，承包人还应承担由此给发包人带来的损失。</w:t>
      </w:r>
    </w:p>
    <w:p w14:paraId="345529E9">
      <w:pPr>
        <w:tabs>
          <w:tab w:val="left" w:pos="482"/>
          <w:tab w:val="left" w:pos="2183"/>
          <w:tab w:val="left" w:pos="3884"/>
          <w:tab w:val="left" w:pos="5585"/>
        </w:tabs>
        <w:spacing w:line="360" w:lineRule="auto"/>
        <w:ind w:firstLine="480" w:firstLineChars="200"/>
        <w:rPr>
          <w:rFonts w:ascii="宋体" w:hAnsi="宋体" w:cs="宋体"/>
          <w:sz w:val="24"/>
          <w:u w:val="single"/>
        </w:rPr>
      </w:pPr>
      <w:r>
        <w:rPr>
          <w:rFonts w:hint="eastAsia" w:ascii="宋体" w:hAnsi="宋体" w:cs="宋体"/>
          <w:sz w:val="24"/>
          <w:u w:val="single"/>
        </w:rPr>
        <w:t>（4）因承包人违反施工规范进行施工或建筑材料设备、施工工艺不合格等产生的工程质量问题而引起的返工、补救，其全部责任和费用以及赔偿均由承包人自行承担。</w:t>
      </w:r>
    </w:p>
    <w:p w14:paraId="141330FE">
      <w:pPr>
        <w:tabs>
          <w:tab w:val="left" w:pos="482"/>
          <w:tab w:val="left" w:pos="2183"/>
          <w:tab w:val="left" w:pos="3884"/>
          <w:tab w:val="left" w:pos="5585"/>
        </w:tabs>
        <w:spacing w:line="360" w:lineRule="auto"/>
        <w:ind w:firstLine="480" w:firstLineChars="200"/>
        <w:rPr>
          <w:rFonts w:ascii="宋体" w:hAnsi="宋体" w:cs="宋体"/>
          <w:sz w:val="24"/>
          <w:u w:val="single"/>
        </w:rPr>
      </w:pPr>
      <w:r>
        <w:rPr>
          <w:rFonts w:hint="eastAsia" w:ascii="宋体" w:hAnsi="宋体" w:cs="宋体"/>
          <w:sz w:val="24"/>
          <w:u w:val="single"/>
        </w:rPr>
        <w:t>（5）承包人应及时支付民工工资，如因拖欠民工工资引起纠纷，发包人有权从工程款中扣除直接支付给该工程的民工工资。</w:t>
      </w:r>
    </w:p>
    <w:p w14:paraId="48C3A8EC">
      <w:pPr>
        <w:tabs>
          <w:tab w:val="left" w:pos="482"/>
          <w:tab w:val="left" w:pos="2183"/>
          <w:tab w:val="left" w:pos="3884"/>
          <w:tab w:val="left" w:pos="5585"/>
        </w:tabs>
        <w:spacing w:line="360" w:lineRule="auto"/>
        <w:ind w:firstLine="480" w:firstLineChars="200"/>
        <w:rPr>
          <w:rFonts w:ascii="宋体" w:hAnsi="宋体" w:cs="宋体"/>
          <w:sz w:val="24"/>
          <w:u w:val="single"/>
        </w:rPr>
      </w:pPr>
      <w:r>
        <w:rPr>
          <w:rFonts w:hint="eastAsia" w:ascii="宋体" w:hAnsi="宋体" w:cs="宋体"/>
          <w:sz w:val="24"/>
          <w:u w:val="single"/>
        </w:rPr>
        <w:t>（6）在下列情况下，发包人有权暂时停止支付工程款，直至承包人解决问题：1）因承包人原因，引起工程进度落后经发包人及监理人（如有）批准的进度计划达5天以上；2）承包人工程质量未达到国家规范标准、设计要求及合同规定；3）承包人故意拒绝或拖延执行发包人或总监理工程师的指示和指令；4）承包人未按本合同条款履行合同；5）承包人无故停工；6）其他不符合合同要求的。</w:t>
      </w:r>
    </w:p>
    <w:p w14:paraId="1C0BF8E1">
      <w:pPr>
        <w:autoSpaceDE w:val="0"/>
        <w:autoSpaceDN w:val="0"/>
        <w:spacing w:line="360" w:lineRule="auto"/>
        <w:ind w:firstLine="480" w:firstLineChars="200"/>
        <w:rPr>
          <w:rFonts w:ascii="宋体" w:hAnsi="宋体" w:cs="宋体"/>
          <w:sz w:val="24"/>
        </w:rPr>
      </w:pPr>
      <w:r>
        <w:rPr>
          <w:rFonts w:hint="eastAsia" w:ascii="宋体" w:hAnsi="宋体" w:cs="宋体"/>
          <w:sz w:val="24"/>
        </w:rPr>
        <w:t>16.2.2承包人违约的责任</w:t>
      </w:r>
    </w:p>
    <w:p w14:paraId="714AFA17">
      <w:pPr>
        <w:tabs>
          <w:tab w:val="left" w:pos="482"/>
          <w:tab w:val="left" w:pos="2183"/>
          <w:tab w:val="left" w:pos="3884"/>
          <w:tab w:val="left" w:pos="5585"/>
        </w:tabs>
        <w:spacing w:line="360" w:lineRule="auto"/>
        <w:ind w:firstLine="480" w:firstLineChars="200"/>
        <w:rPr>
          <w:rFonts w:ascii="宋体" w:hAnsi="宋体" w:cs="宋体"/>
          <w:sz w:val="24"/>
          <w:u w:val="single"/>
        </w:rPr>
      </w:pPr>
      <w:r>
        <w:rPr>
          <w:rFonts w:hint="eastAsia" w:ascii="宋体" w:hAnsi="宋体" w:cs="宋体"/>
          <w:sz w:val="24"/>
        </w:rPr>
        <w:t>承包人违约责任的承担方式和计算方法</w:t>
      </w:r>
      <w:r>
        <w:rPr>
          <w:rFonts w:hint="eastAsia" w:ascii="宋体" w:hAnsi="宋体" w:cs="宋体"/>
          <w:kern w:val="0"/>
          <w:sz w:val="24"/>
        </w:rPr>
        <w:t>：</w:t>
      </w:r>
    </w:p>
    <w:p w14:paraId="413F5B09">
      <w:pPr>
        <w:snapToGrid w:val="0"/>
        <w:spacing w:line="360" w:lineRule="auto"/>
        <w:ind w:firstLine="480" w:firstLineChars="200"/>
        <w:rPr>
          <w:rFonts w:ascii="宋体" w:hAnsi="宋体" w:cs="宋体"/>
          <w:kern w:val="0"/>
          <w:sz w:val="24"/>
        </w:rPr>
      </w:pPr>
      <w:r>
        <w:rPr>
          <w:rFonts w:hint="eastAsia" w:ascii="宋体" w:hAnsi="宋体" w:cs="宋体"/>
          <w:kern w:val="0"/>
          <w:sz w:val="24"/>
        </w:rPr>
        <w:t>（1）承包人违反合同约定进行转包或违法分包的违约责任：</w:t>
      </w:r>
      <w:r>
        <w:rPr>
          <w:rFonts w:hint="eastAsia" w:ascii="宋体" w:hAnsi="宋体" w:cs="宋体"/>
          <w:sz w:val="24"/>
          <w:u w:val="single"/>
        </w:rPr>
        <w:t>发包人有权解除合同、拒付（或要求承包人退还已收）合同价款、没收履约担保，并要求承包人按合同总价款的20%支付违约金，如给发包人造成的损失超过保证金数额的还应当对超过部份予以赔偿，并依法承担相应的法律责任；</w:t>
      </w:r>
    </w:p>
    <w:p w14:paraId="0706CF54">
      <w:pPr>
        <w:snapToGrid w:val="0"/>
        <w:spacing w:line="360" w:lineRule="auto"/>
        <w:ind w:firstLine="480" w:firstLineChars="200"/>
        <w:rPr>
          <w:rFonts w:ascii="宋体" w:hAnsi="宋体" w:cs="宋体"/>
          <w:kern w:val="0"/>
          <w:sz w:val="24"/>
        </w:rPr>
      </w:pPr>
      <w:r>
        <w:rPr>
          <w:rFonts w:hint="eastAsia" w:ascii="宋体" w:hAnsi="宋体" w:cs="宋体"/>
          <w:kern w:val="0"/>
          <w:sz w:val="24"/>
        </w:rPr>
        <w:t>（2）承包人违反合同约定采购和使用不合格的材料和工程设备的违约责任：</w:t>
      </w:r>
      <w:r>
        <w:rPr>
          <w:rFonts w:hint="eastAsia" w:ascii="宋体" w:hAnsi="宋体" w:cs="宋体"/>
          <w:sz w:val="24"/>
          <w:u w:val="single"/>
        </w:rPr>
        <w:t>发包人有权要求承包人重新采购合格的材料和工程设备，承包人必须及时改正并承担相应损失</w:t>
      </w:r>
      <w:r>
        <w:rPr>
          <w:rFonts w:hint="eastAsia" w:ascii="宋体" w:hAnsi="宋体" w:cs="宋体"/>
          <w:kern w:val="0"/>
          <w:sz w:val="24"/>
        </w:rPr>
        <w:t>；</w:t>
      </w:r>
    </w:p>
    <w:p w14:paraId="2ABE0F49">
      <w:pPr>
        <w:snapToGrid w:val="0"/>
        <w:spacing w:line="360" w:lineRule="auto"/>
        <w:ind w:firstLine="480" w:firstLineChars="200"/>
        <w:rPr>
          <w:rFonts w:ascii="宋体" w:hAnsi="宋体" w:cs="宋体"/>
          <w:sz w:val="24"/>
          <w:u w:val="single"/>
        </w:rPr>
      </w:pPr>
      <w:r>
        <w:rPr>
          <w:rFonts w:hint="eastAsia" w:ascii="宋体" w:hAnsi="宋体" w:cs="宋体"/>
          <w:kern w:val="0"/>
          <w:sz w:val="24"/>
          <w:u w:val="single"/>
        </w:rPr>
        <w:t>承包人必须严格按照合同及工程施工验收规范等精心组织施工，严格把好每道工序的质量关，无条件配合发包人等部门的检验验收，确保工程竣工验收达到合格等级。经验收，如有不合格工程，承包人应无条件返工、整改、采取相应的补救、修复措施，直至工程竣工验收合格，如因此造成工期延误的，还应承担工期延误的违约责任，如无法修复或严重降低工程整体质量，则发包人有权解除合同、拒付或（要求承包人退还已收）工程款、扣除其全额质量履约担保，并要求承包人支付合同总价款20%的违约金，并承担由此造成发包人的全部经济损失</w:t>
      </w:r>
      <w:r>
        <w:rPr>
          <w:rFonts w:hint="eastAsia" w:ascii="宋体" w:hAnsi="宋体" w:cs="宋体"/>
          <w:sz w:val="24"/>
          <w:u w:val="single"/>
        </w:rPr>
        <w:t>。</w:t>
      </w:r>
    </w:p>
    <w:p w14:paraId="6694F7A0">
      <w:pPr>
        <w:snapToGrid w:val="0"/>
        <w:spacing w:line="360" w:lineRule="auto"/>
        <w:ind w:firstLine="480" w:firstLineChars="200"/>
        <w:rPr>
          <w:rFonts w:ascii="宋体" w:hAnsi="宋体" w:cs="宋体"/>
          <w:sz w:val="24"/>
          <w:u w:val="single"/>
        </w:rPr>
      </w:pPr>
      <w:r>
        <w:rPr>
          <w:rFonts w:hint="eastAsia" w:ascii="宋体" w:hAnsi="宋体" w:cs="宋体"/>
          <w:sz w:val="24"/>
          <w:u w:val="single"/>
        </w:rPr>
        <w:t>经发包人、监理单位（如有）等部门检查抽检，发现承包人不按设计要求或者工程质量验收规范标准施工，或有偷工减料现象，每发现一次，发包人有权视情节严重程度要求承包人支付人民币2000元/次-5000元/次的违约金，并要求承包人及时整改，承包人应承担全部整改费用，直到质量合格为止。如果承包人屡教不改，发包人有权没收履约担保并将其清退出场并解除合同，拒付或（要求承包人退还已收）工程款，承包人还应支付合同总价款20%的违约金。</w:t>
      </w:r>
    </w:p>
    <w:p w14:paraId="5FC65612">
      <w:pPr>
        <w:snapToGrid w:val="0"/>
        <w:spacing w:line="360" w:lineRule="auto"/>
        <w:ind w:firstLine="480" w:firstLineChars="200"/>
        <w:rPr>
          <w:rFonts w:ascii="宋体" w:hAnsi="宋体" w:cs="宋体"/>
          <w:kern w:val="0"/>
          <w:sz w:val="24"/>
        </w:rPr>
      </w:pPr>
      <w:r>
        <w:rPr>
          <w:rFonts w:hint="eastAsia" w:ascii="宋体" w:hAnsi="宋体" w:cs="宋体"/>
          <w:kern w:val="0"/>
          <w:sz w:val="24"/>
        </w:rPr>
        <w:t>（3）承包人违反《合同通用条款》第8.9款〔材料与设备专用要求〕的约定，未经批准，私自将已按照合同约定进入施工现场的材料或设备撤离施工现场的违约责任：</w:t>
      </w:r>
      <w:r>
        <w:rPr>
          <w:rFonts w:hint="eastAsia" w:ascii="宋体" w:hAnsi="宋体" w:cs="宋体"/>
          <w:sz w:val="24"/>
          <w:u w:val="single"/>
        </w:rPr>
        <w:t>承包人应及时停止撤离，按每次2000元项发包人支付违约金并承担相应损失</w:t>
      </w:r>
      <w:r>
        <w:rPr>
          <w:rFonts w:hint="eastAsia" w:ascii="宋体" w:hAnsi="宋体" w:cs="宋体"/>
          <w:kern w:val="0"/>
          <w:sz w:val="24"/>
        </w:rPr>
        <w:t>；</w:t>
      </w:r>
    </w:p>
    <w:p w14:paraId="753091EC">
      <w:pPr>
        <w:snapToGrid w:val="0"/>
        <w:spacing w:line="360" w:lineRule="auto"/>
        <w:ind w:firstLine="480" w:firstLineChars="200"/>
        <w:rPr>
          <w:rFonts w:ascii="宋体" w:hAnsi="宋体" w:cs="宋体"/>
          <w:sz w:val="24"/>
          <w:u w:val="single"/>
        </w:rPr>
      </w:pPr>
      <w:r>
        <w:rPr>
          <w:rFonts w:hint="eastAsia" w:ascii="宋体" w:hAnsi="宋体" w:cs="宋体"/>
          <w:kern w:val="0"/>
          <w:sz w:val="24"/>
        </w:rPr>
        <w:t>（4）承包人未能按施工进度</w:t>
      </w:r>
      <w:r>
        <w:rPr>
          <w:rFonts w:hint="eastAsia" w:ascii="宋体" w:hAnsi="宋体" w:cs="宋体"/>
          <w:sz w:val="24"/>
          <w:u w:val="single"/>
        </w:rPr>
        <w:t>计划及时完成合同约定的工作，造成工期延误的违约责任：按合同工期每延误一天，按3000元/天向发包人支付违约金；总工期延误超过20天的（含20天）的，发包人有权解除合同、拒付工程款，也有权仍选择由承包人继续履行合同，如发包人选择由承包人继续履行合同的，竣工工期超过20天后每延误一天，承包人应按人民币6000元/天向发包人支付违约金。</w:t>
      </w:r>
    </w:p>
    <w:p w14:paraId="2775A46E">
      <w:pPr>
        <w:snapToGrid w:val="0"/>
        <w:spacing w:line="360" w:lineRule="auto"/>
        <w:ind w:firstLine="480" w:firstLineChars="200"/>
        <w:rPr>
          <w:rFonts w:ascii="宋体" w:hAnsi="宋体" w:cs="宋体"/>
          <w:kern w:val="0"/>
          <w:sz w:val="24"/>
          <w:u w:val="single"/>
        </w:rPr>
      </w:pPr>
      <w:r>
        <w:rPr>
          <w:rFonts w:hint="eastAsia" w:ascii="宋体" w:hAnsi="宋体" w:cs="宋体"/>
          <w:kern w:val="0"/>
          <w:sz w:val="24"/>
        </w:rPr>
        <w:t>（5）承包人在缺陷责任期及保修期内，未能在合理期限对工程缺陷进行修复，或拒绝按发包人要求进行修复的违约责任：</w:t>
      </w:r>
      <w:r>
        <w:rPr>
          <w:rFonts w:hint="eastAsia" w:ascii="宋体" w:hAnsi="宋体" w:cs="宋体"/>
          <w:kern w:val="0"/>
          <w:sz w:val="24"/>
          <w:u w:val="single"/>
        </w:rPr>
        <w:t>工程移交后，如发包人发现存在质量问题的，有权要求承包人及时维修，并赔偿给发包人带来的各种直接、间接经济损失。承包人不及时维修的，发包人有权代为扣除质量保证金用于维修以及支付发包人的维修管理费用（按维修费用的15%计算），并在事后要求承包人补足缺额。</w:t>
      </w:r>
    </w:p>
    <w:p w14:paraId="42A4527E">
      <w:pPr>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工程移交后，如发包人发现存在重大质量问题的，有权扣除承包人的全部质量保证金，要求承包人及时维修，并赔偿给发包人带来的各种直接、间接经济损失。</w:t>
      </w:r>
    </w:p>
    <w:p w14:paraId="08ABEC65">
      <w:pPr>
        <w:snapToGrid w:val="0"/>
        <w:spacing w:line="360" w:lineRule="auto"/>
        <w:ind w:firstLine="480" w:firstLineChars="200"/>
        <w:rPr>
          <w:rFonts w:ascii="宋体" w:hAnsi="宋体" w:cs="宋体"/>
          <w:sz w:val="24"/>
          <w:u w:val="single"/>
        </w:rPr>
      </w:pPr>
      <w:r>
        <w:rPr>
          <w:rFonts w:hint="eastAsia" w:ascii="宋体" w:hAnsi="宋体" w:cs="宋体"/>
          <w:sz w:val="24"/>
          <w:u w:val="single"/>
        </w:rPr>
        <w:t>在国家规定的保修期外，如本工程出现质量问题系由承包人偷工减料或使用不合格原材料、成品、半成品（不包括甲供材料）引起的，发包人有权无限期追索，承包人应承担由此造成的一切损失。</w:t>
      </w:r>
    </w:p>
    <w:p w14:paraId="3E19CE71">
      <w:pPr>
        <w:snapToGrid w:val="0"/>
        <w:spacing w:line="360" w:lineRule="auto"/>
        <w:ind w:firstLine="480" w:firstLineChars="200"/>
        <w:rPr>
          <w:rFonts w:ascii="宋体" w:hAnsi="宋体" w:cs="宋体"/>
          <w:kern w:val="0"/>
          <w:sz w:val="24"/>
        </w:rPr>
      </w:pPr>
      <w:r>
        <w:rPr>
          <w:rFonts w:hint="eastAsia" w:ascii="宋体" w:hAnsi="宋体" w:cs="宋体"/>
          <w:kern w:val="0"/>
          <w:sz w:val="24"/>
        </w:rPr>
        <w:t>（6）承包人明确表示或者以其行为表明不履行合同主要义务的违约责任：</w:t>
      </w:r>
      <w:r>
        <w:rPr>
          <w:rFonts w:hint="eastAsia" w:ascii="宋体" w:hAnsi="宋体" w:cs="宋体"/>
          <w:kern w:val="0"/>
          <w:sz w:val="24"/>
          <w:u w:val="single"/>
        </w:rPr>
        <w:t>发包人有权解除合同、拒付或（要求承包人退还已收）工程款，承包人还应支付合同总价款20%的违约金，承包人还应承担发包人的一切损失；</w:t>
      </w:r>
    </w:p>
    <w:p w14:paraId="6F5849B2">
      <w:pPr>
        <w:snapToGrid w:val="0"/>
        <w:spacing w:line="360" w:lineRule="auto"/>
        <w:ind w:firstLine="480" w:firstLineChars="200"/>
        <w:rPr>
          <w:rFonts w:ascii="宋体" w:hAnsi="宋体" w:cs="宋体"/>
          <w:kern w:val="0"/>
          <w:sz w:val="24"/>
        </w:rPr>
      </w:pPr>
      <w:r>
        <w:rPr>
          <w:rFonts w:hint="eastAsia" w:ascii="宋体" w:hAnsi="宋体" w:cs="宋体"/>
          <w:kern w:val="0"/>
          <w:sz w:val="24"/>
        </w:rPr>
        <w:t>（7）承包人未能按照合同约定履行其他义务的违约责任：</w:t>
      </w:r>
    </w:p>
    <w:p w14:paraId="05A592BE">
      <w:pPr>
        <w:numPr>
          <w:ilvl w:val="0"/>
          <w:numId w:val="1"/>
        </w:numPr>
        <w:snapToGrid w:val="0"/>
        <w:spacing w:line="360" w:lineRule="auto"/>
        <w:ind w:left="0" w:firstLine="484" w:firstLineChars="202"/>
        <w:rPr>
          <w:rFonts w:ascii="宋体" w:hAnsi="宋体" w:cs="宋体"/>
          <w:kern w:val="0"/>
          <w:sz w:val="24"/>
          <w:u w:val="single"/>
        </w:rPr>
      </w:pPr>
      <w:r>
        <w:rPr>
          <w:rFonts w:hint="eastAsia" w:ascii="宋体" w:hAnsi="宋体" w:cs="宋体"/>
          <w:kern w:val="0"/>
          <w:sz w:val="24"/>
          <w:u w:val="single"/>
        </w:rPr>
        <w:t>由发包人或监理单位（如有）召集的例会和其它重要会议，承包人必须按发包人指定人选准时参加，无故缺席或迟到的，发包人有权视情节严重程度要求承包人支付1000元每次的违约金，因此导致对会议内容不了解的，其后果由承包人自负，违约金由发包人在结算中直接扣除；因此导致对会议内容不了解的，其后果由承包人自负。</w:t>
      </w:r>
    </w:p>
    <w:p w14:paraId="1E0FA874">
      <w:pPr>
        <w:numPr>
          <w:ilvl w:val="0"/>
          <w:numId w:val="1"/>
        </w:numPr>
        <w:snapToGrid w:val="0"/>
        <w:spacing w:line="360" w:lineRule="auto"/>
        <w:ind w:left="0" w:firstLine="484" w:firstLineChars="202"/>
        <w:rPr>
          <w:rFonts w:ascii="宋体" w:hAnsi="宋体" w:cs="宋体"/>
          <w:kern w:val="0"/>
          <w:sz w:val="24"/>
          <w:u w:val="single"/>
        </w:rPr>
      </w:pPr>
      <w:r>
        <w:rPr>
          <w:rFonts w:hint="eastAsia" w:ascii="宋体" w:hAnsi="宋体" w:cs="宋体"/>
          <w:kern w:val="0"/>
          <w:sz w:val="24"/>
          <w:u w:val="single"/>
        </w:rPr>
        <w:t>承包人必须无条件服从发包人及监理单位（如有）对合理的现场管理，若项目班子主要人员由于工作态度等原因，使发包人及监理不满意的，发包人有权要求更换；发包人有权对承包人在施工中出现的恶意违规及不服从管理等行为要求按500-1000元/次的支付违约金，该笔违约金由发包人在结算中直接扣除；</w:t>
      </w:r>
    </w:p>
    <w:p w14:paraId="0F05D806">
      <w:pPr>
        <w:numPr>
          <w:ilvl w:val="0"/>
          <w:numId w:val="1"/>
        </w:numPr>
        <w:snapToGrid w:val="0"/>
        <w:spacing w:line="360" w:lineRule="auto"/>
        <w:ind w:left="0" w:firstLine="484" w:firstLineChars="202"/>
        <w:rPr>
          <w:rFonts w:ascii="宋体" w:hAnsi="宋体" w:cs="宋体"/>
          <w:kern w:val="0"/>
          <w:sz w:val="24"/>
          <w:u w:val="single"/>
        </w:rPr>
      </w:pPr>
      <w:r>
        <w:rPr>
          <w:rFonts w:hint="eastAsia" w:ascii="宋体" w:hAnsi="宋体" w:cs="宋体"/>
          <w:kern w:val="0"/>
          <w:sz w:val="24"/>
          <w:u w:val="single"/>
        </w:rPr>
        <w:t>承包人在施工过程中不论遇到何种困难（除本合同约定明确的原因和不可抗力除外），均不得以任何理由（例如发包人未签证费用、合同争议等）擅自停工或变相停工，否则由此造成的一切后果和经济损失均由承包人承担，同时发包人有权处于3000元/天的处罚，该笔罚款由发包人在结算中直接扣除；</w:t>
      </w:r>
    </w:p>
    <w:p w14:paraId="03063A26">
      <w:pPr>
        <w:numPr>
          <w:ilvl w:val="0"/>
          <w:numId w:val="1"/>
        </w:numPr>
        <w:snapToGrid w:val="0"/>
        <w:spacing w:line="360" w:lineRule="auto"/>
        <w:ind w:left="0" w:firstLine="484" w:firstLineChars="202"/>
        <w:rPr>
          <w:rFonts w:ascii="宋体" w:hAnsi="宋体" w:cs="宋体"/>
          <w:kern w:val="0"/>
          <w:sz w:val="24"/>
          <w:u w:val="single"/>
        </w:rPr>
      </w:pPr>
      <w:r>
        <w:rPr>
          <w:rFonts w:hint="eastAsia" w:ascii="宋体" w:hAnsi="宋体" w:cs="宋体"/>
          <w:kern w:val="0"/>
          <w:sz w:val="24"/>
          <w:u w:val="single"/>
        </w:rPr>
        <w:t>合同及本协议履行期间，承包人保证不拖欠民工工资，</w:t>
      </w:r>
      <w:r>
        <w:rPr>
          <w:rFonts w:hint="eastAsia" w:ascii="宋体" w:hAnsi="宋体" w:cs="宋体"/>
          <w:sz w:val="24"/>
          <w:u w:val="single"/>
        </w:rPr>
        <w:t>所得工程款应优先支付民工工资；</w:t>
      </w:r>
      <w:r>
        <w:rPr>
          <w:rFonts w:hint="eastAsia" w:ascii="宋体" w:hAnsi="宋体" w:cs="宋体"/>
          <w:kern w:val="0"/>
          <w:sz w:val="24"/>
          <w:u w:val="single"/>
        </w:rPr>
        <w:t>因拖欠民工工资造成的一切后果均由承包人承担。若发包人因此为承包人垫款支付的，承包人应按发包人垫付款项金额的30%向发包人偿付违约金，该笔违约金由发包人在结算中直接扣除；</w:t>
      </w:r>
    </w:p>
    <w:p w14:paraId="4EA7FD55">
      <w:pPr>
        <w:numPr>
          <w:ilvl w:val="0"/>
          <w:numId w:val="1"/>
        </w:numPr>
        <w:snapToGrid w:val="0"/>
        <w:spacing w:line="360" w:lineRule="auto"/>
        <w:ind w:left="0" w:firstLine="484" w:firstLineChars="202"/>
        <w:rPr>
          <w:rFonts w:ascii="宋体" w:hAnsi="宋体" w:cs="宋体"/>
          <w:kern w:val="0"/>
          <w:sz w:val="24"/>
          <w:u w:val="single"/>
        </w:rPr>
      </w:pPr>
      <w:r>
        <w:rPr>
          <w:rFonts w:hint="eastAsia" w:ascii="宋体" w:hAnsi="宋体" w:cs="宋体"/>
          <w:kern w:val="0"/>
          <w:sz w:val="24"/>
          <w:u w:val="single"/>
        </w:rPr>
        <w:t xml:space="preserve">在合同履行过程中，若承包人的施工队伍素质、力量、机械配备、现场施工投入和管理未能履行投标书及询标纪要等相关文件中的承诺，造成现场管理混乱，工程质量、进度、现场文明施工和安全生产达不到预定计划，发包人有权要求其调整充实力量，加强管理，承包人必须接受。当上述措施仍无效或未采取时，以承包人违约论处，发包人可终止本合同，将承包人清退出场，没收全部履约担保，并要求承包人支付合同总价款20%的违约金，由此引起的工期延误责任及损失由承包人负责承担； </w:t>
      </w:r>
    </w:p>
    <w:p w14:paraId="1B8A5EAA">
      <w:pPr>
        <w:numPr>
          <w:ilvl w:val="0"/>
          <w:numId w:val="1"/>
        </w:numPr>
        <w:snapToGrid w:val="0"/>
        <w:spacing w:line="360" w:lineRule="auto"/>
        <w:ind w:left="0" w:firstLine="484" w:firstLineChars="202"/>
        <w:rPr>
          <w:rFonts w:ascii="宋体" w:hAnsi="宋体" w:cs="宋体"/>
          <w:kern w:val="0"/>
          <w:sz w:val="24"/>
          <w:u w:val="single"/>
        </w:rPr>
      </w:pPr>
      <w:r>
        <w:rPr>
          <w:rFonts w:hint="eastAsia" w:ascii="宋体" w:hAnsi="宋体" w:cs="宋体"/>
          <w:kern w:val="0"/>
          <w:sz w:val="24"/>
          <w:u w:val="single"/>
        </w:rPr>
        <w:t>施工期间，承包人应严格实行隐蔽工程验收制度，如有未经发包人或监理单位（如有）验收自行隐蔽，发包人和监理单位（如有）有权要求复验，所有费用由承包人承担，发包人有权视情节轻重对承包人处以人民币伍万元/次的违约金，该笔违约金由发包人在结算中直接扣除；</w:t>
      </w:r>
    </w:p>
    <w:p w14:paraId="3D378296">
      <w:pPr>
        <w:numPr>
          <w:ilvl w:val="0"/>
          <w:numId w:val="1"/>
        </w:numPr>
        <w:snapToGrid w:val="0"/>
        <w:spacing w:line="360" w:lineRule="auto"/>
        <w:ind w:left="0" w:firstLine="484" w:firstLineChars="202"/>
        <w:rPr>
          <w:rFonts w:ascii="宋体" w:hAnsi="宋体" w:cs="宋体"/>
          <w:kern w:val="0"/>
          <w:sz w:val="24"/>
          <w:u w:val="single"/>
        </w:rPr>
      </w:pPr>
      <w:r>
        <w:rPr>
          <w:rFonts w:hint="eastAsia" w:ascii="宋体" w:hAnsi="宋体" w:cs="宋体"/>
          <w:kern w:val="0"/>
          <w:sz w:val="24"/>
          <w:u w:val="single"/>
        </w:rPr>
        <w:t>承包人应确保工程安全进行，如工程实施过程中出现一般安全责任事故，承包人须向发包人支付人民币2万元/起的违约金；出现较大及以上安全责任事故，承包人须向发包人支付人民币5万元/起的违约金；所有安全事故的全部责任均由承包人承担；</w:t>
      </w:r>
    </w:p>
    <w:p w14:paraId="0B40AA27">
      <w:pPr>
        <w:numPr>
          <w:ilvl w:val="0"/>
          <w:numId w:val="1"/>
        </w:numPr>
        <w:snapToGrid w:val="0"/>
        <w:spacing w:line="360" w:lineRule="auto"/>
        <w:ind w:left="0" w:firstLine="484" w:firstLineChars="202"/>
        <w:rPr>
          <w:rFonts w:ascii="宋体" w:hAnsi="宋体" w:cs="宋体"/>
          <w:kern w:val="0"/>
          <w:sz w:val="24"/>
          <w:u w:val="single"/>
        </w:rPr>
      </w:pPr>
      <w:r>
        <w:rPr>
          <w:rFonts w:hint="eastAsia" w:ascii="宋体" w:hAnsi="宋体" w:cs="宋体"/>
          <w:kern w:val="0"/>
          <w:sz w:val="24"/>
          <w:u w:val="single"/>
        </w:rPr>
        <w:t>本合同履行过程中，承包人被处以罚款的，以实际行为发生之日为罚款缴纳的时间；</w:t>
      </w:r>
    </w:p>
    <w:p w14:paraId="797D51CB">
      <w:pPr>
        <w:numPr>
          <w:ilvl w:val="0"/>
          <w:numId w:val="1"/>
        </w:numPr>
        <w:snapToGrid w:val="0"/>
        <w:spacing w:line="360" w:lineRule="auto"/>
        <w:ind w:left="0" w:firstLine="484" w:firstLineChars="202"/>
        <w:rPr>
          <w:rFonts w:ascii="宋体" w:hAnsi="宋体" w:cs="宋体"/>
          <w:kern w:val="0"/>
          <w:sz w:val="24"/>
          <w:u w:val="single"/>
        </w:rPr>
      </w:pPr>
      <w:r>
        <w:rPr>
          <w:rFonts w:hint="eastAsia" w:ascii="宋体" w:hAnsi="宋体" w:cs="宋体"/>
          <w:kern w:val="0"/>
          <w:sz w:val="24"/>
          <w:u w:val="single"/>
        </w:rPr>
        <w:t>本合同中的罚款特指惩罚性违约金，本合同约定的违约金、罚款及损失赔偿款，发包人有权从履约担保或工程款中直接扣减。</w:t>
      </w:r>
    </w:p>
    <w:p w14:paraId="2A3D6F8C">
      <w:pPr>
        <w:snapToGrid w:val="0"/>
        <w:spacing w:line="360" w:lineRule="auto"/>
        <w:ind w:firstLine="480" w:firstLineChars="200"/>
        <w:rPr>
          <w:rFonts w:ascii="宋体" w:hAnsi="宋体" w:cs="宋体"/>
          <w:kern w:val="0"/>
          <w:sz w:val="24"/>
          <w:u w:val="single"/>
        </w:rPr>
      </w:pPr>
      <w:r>
        <w:rPr>
          <w:rFonts w:hint="eastAsia" w:ascii="宋体" w:hAnsi="宋体" w:cs="宋体"/>
          <w:kern w:val="0"/>
          <w:sz w:val="24"/>
        </w:rPr>
        <w:t>⑩</w:t>
      </w:r>
      <w:r>
        <w:rPr>
          <w:rFonts w:hint="eastAsia" w:ascii="宋体" w:hAnsi="宋体" w:cs="宋体"/>
          <w:kern w:val="0"/>
          <w:sz w:val="24"/>
          <w:u w:val="single"/>
        </w:rPr>
        <w:t>合同生效后，承包人无正当理由，单方终止合同的，应向发包人承担违约责任，违约金按照合同总价的20%计取，并赔偿发包人因此造成的损失。</w:t>
      </w:r>
    </w:p>
    <w:p w14:paraId="6F55FEDF">
      <w:pPr>
        <w:snapToGrid w:val="0"/>
        <w:spacing w:line="360" w:lineRule="auto"/>
        <w:ind w:firstLine="480" w:firstLineChars="200"/>
        <w:rPr>
          <w:rFonts w:ascii="宋体" w:hAnsi="宋体" w:cs="宋体"/>
          <w:kern w:val="0"/>
          <w:sz w:val="24"/>
          <w:u w:val="single"/>
        </w:rPr>
      </w:pPr>
      <w:r>
        <w:rPr>
          <w:rFonts w:hint="eastAsia" w:ascii="宋体" w:hAnsi="宋体" w:cs="宋体"/>
          <w:kern w:val="0"/>
          <w:sz w:val="24"/>
        </w:rPr>
        <w:fldChar w:fldCharType="begin"/>
      </w:r>
      <w:r>
        <w:rPr>
          <w:rFonts w:hint="eastAsia" w:ascii="宋体" w:hAnsi="宋体" w:cs="宋体"/>
          <w:kern w:val="0"/>
          <w:sz w:val="24"/>
        </w:rPr>
        <w:instrText xml:space="preserve"> eq \o\ac(</w:instrText>
      </w:r>
      <w:r>
        <w:rPr>
          <w:rFonts w:hint="eastAsia" w:ascii="宋体" w:hAnsi="宋体" w:cs="宋体"/>
          <w:kern w:val="0"/>
          <w:position w:val="-4"/>
          <w:sz w:val="36"/>
        </w:rPr>
        <w:instrText xml:space="preserve">○</w:instrText>
      </w:r>
      <w:r>
        <w:rPr>
          <w:rFonts w:hint="eastAsia" w:ascii="宋体" w:hAnsi="宋体" w:cs="宋体"/>
          <w:kern w:val="0"/>
          <w:sz w:val="24"/>
        </w:rPr>
        <w:instrText xml:space="preserve">,11)</w:instrText>
      </w:r>
      <w:r>
        <w:rPr>
          <w:rFonts w:hint="eastAsia" w:ascii="宋体" w:hAnsi="宋体" w:cs="宋体"/>
          <w:kern w:val="0"/>
          <w:sz w:val="24"/>
        </w:rPr>
        <w:fldChar w:fldCharType="end"/>
      </w:r>
      <w:r>
        <w:rPr>
          <w:rFonts w:hint="eastAsia" w:ascii="宋体" w:hAnsi="宋体" w:cs="宋体"/>
          <w:kern w:val="0"/>
          <w:sz w:val="24"/>
          <w:u w:val="single"/>
        </w:rPr>
        <w:t>当承包人出现以下情况之一，发包人有权将承包人清退出场（并解除合同），承包人应按合同总价款的20%向发包人支付违约金：</w:t>
      </w:r>
    </w:p>
    <w:p w14:paraId="7343ADD1">
      <w:pPr>
        <w:spacing w:line="360" w:lineRule="auto"/>
        <w:ind w:firstLine="480" w:firstLineChars="200"/>
        <w:rPr>
          <w:rFonts w:ascii="宋体" w:hAnsi="宋体" w:cs="宋体"/>
          <w:sz w:val="24"/>
        </w:rPr>
      </w:pPr>
      <w:r>
        <w:rPr>
          <w:rFonts w:hint="eastAsia" w:ascii="宋体" w:hAnsi="宋体" w:cs="宋体"/>
          <w:sz w:val="24"/>
        </w:rPr>
        <w:t>（a） 中标后一个月内以任何理由拒签合同；</w:t>
      </w:r>
    </w:p>
    <w:p w14:paraId="3DAE43EA">
      <w:pPr>
        <w:spacing w:line="360" w:lineRule="auto"/>
        <w:ind w:firstLine="480" w:firstLineChars="200"/>
        <w:rPr>
          <w:rFonts w:ascii="宋体" w:hAnsi="宋体" w:cs="宋体"/>
          <w:sz w:val="24"/>
        </w:rPr>
      </w:pPr>
      <w:r>
        <w:rPr>
          <w:rFonts w:hint="eastAsia" w:ascii="宋体" w:hAnsi="宋体" w:cs="宋体"/>
          <w:sz w:val="24"/>
        </w:rPr>
        <w:t>（b） 出现质量问题拒不整改，经发包人或监理单位（如有）书面通知三次（含）以上仍不见效的；</w:t>
      </w:r>
    </w:p>
    <w:p w14:paraId="3F231BE3">
      <w:pPr>
        <w:spacing w:line="360" w:lineRule="auto"/>
        <w:ind w:firstLine="480" w:firstLineChars="200"/>
        <w:rPr>
          <w:rFonts w:ascii="宋体" w:hAnsi="宋体" w:cs="宋体"/>
          <w:sz w:val="24"/>
        </w:rPr>
      </w:pPr>
      <w:r>
        <w:rPr>
          <w:rFonts w:hint="eastAsia" w:ascii="宋体" w:hAnsi="宋体" w:cs="宋体"/>
          <w:sz w:val="24"/>
        </w:rPr>
        <w:t>（c） 出现安全事故，不接受监理人和有关职能部门指令采取相应措施的；</w:t>
      </w:r>
    </w:p>
    <w:p w14:paraId="7AA2A6A6">
      <w:pPr>
        <w:spacing w:line="360" w:lineRule="auto"/>
        <w:ind w:firstLine="480" w:firstLineChars="200"/>
        <w:rPr>
          <w:rFonts w:ascii="宋体" w:hAnsi="宋体" w:cs="宋体"/>
          <w:sz w:val="24"/>
        </w:rPr>
      </w:pPr>
      <w:r>
        <w:rPr>
          <w:rFonts w:hint="eastAsia" w:ascii="宋体" w:hAnsi="宋体" w:cs="宋体"/>
          <w:sz w:val="24"/>
        </w:rPr>
        <w:t>（d） 拒不执行发包人或监理单位（如有）的指令三次（含）以上的。（相关指令违反质量和安全法规的不在此限）。</w:t>
      </w:r>
    </w:p>
    <w:p w14:paraId="4D2D8F78">
      <w:pPr>
        <w:autoSpaceDE w:val="0"/>
        <w:autoSpaceDN w:val="0"/>
        <w:spacing w:line="360" w:lineRule="auto"/>
        <w:ind w:firstLine="480" w:firstLineChars="200"/>
        <w:rPr>
          <w:rFonts w:ascii="宋体" w:hAnsi="宋体" w:cs="宋体"/>
          <w:sz w:val="24"/>
        </w:rPr>
      </w:pPr>
      <w:r>
        <w:rPr>
          <w:rFonts w:hint="eastAsia" w:ascii="宋体" w:hAnsi="宋体" w:cs="宋体"/>
          <w:sz w:val="24"/>
        </w:rPr>
        <w:t>16.2.3 因承包人违约解除合同</w:t>
      </w:r>
    </w:p>
    <w:p w14:paraId="7D0F5F69">
      <w:pPr>
        <w:tabs>
          <w:tab w:val="left" w:pos="482"/>
          <w:tab w:val="left" w:pos="2183"/>
          <w:tab w:val="left" w:pos="3884"/>
          <w:tab w:val="left" w:pos="5585"/>
        </w:tabs>
        <w:spacing w:line="360" w:lineRule="auto"/>
        <w:ind w:firstLine="480" w:firstLineChars="200"/>
        <w:rPr>
          <w:rFonts w:ascii="宋体" w:hAnsi="宋体" w:cs="宋体"/>
          <w:sz w:val="24"/>
        </w:rPr>
      </w:pPr>
      <w:r>
        <w:rPr>
          <w:rFonts w:hint="eastAsia" w:ascii="宋体" w:hAnsi="宋体" w:cs="宋体"/>
          <w:sz w:val="24"/>
        </w:rPr>
        <w:t>关于承包人违约解除合同的特别约定：</w:t>
      </w:r>
      <w:r>
        <w:rPr>
          <w:rFonts w:hint="eastAsia" w:ascii="宋体" w:hAnsi="宋体" w:cs="宋体"/>
          <w:sz w:val="24"/>
          <w:u w:val="single"/>
        </w:rPr>
        <w:t>/。</w:t>
      </w:r>
    </w:p>
    <w:p w14:paraId="5CF5C719">
      <w:pPr>
        <w:spacing w:line="360" w:lineRule="auto"/>
        <w:ind w:firstLine="480" w:firstLineChars="200"/>
        <w:rPr>
          <w:rFonts w:ascii="宋体" w:hAnsi="宋体" w:cs="宋体"/>
          <w:kern w:val="0"/>
          <w:sz w:val="24"/>
        </w:rPr>
      </w:pPr>
      <w:r>
        <w:rPr>
          <w:rFonts w:hint="eastAsia" w:ascii="宋体" w:hAnsi="宋体" w:cs="宋体"/>
          <w:sz w:val="24"/>
        </w:rPr>
        <w:t>发包人继续使用承包人在施工现场的材料、设备、临时工程、承包人文件和由承包人或以其名义编制的其他文件的费用承担方式：</w:t>
      </w:r>
      <w:r>
        <w:rPr>
          <w:rFonts w:hint="eastAsia" w:ascii="宋体" w:hAnsi="宋体" w:cs="宋体"/>
          <w:sz w:val="24"/>
          <w:u w:val="single"/>
        </w:rPr>
        <w:t xml:space="preserve">  费用另行约定，由发包人承担   。</w:t>
      </w:r>
    </w:p>
    <w:p w14:paraId="6130137C">
      <w:pPr>
        <w:topLinePunct/>
        <w:spacing w:line="360" w:lineRule="auto"/>
        <w:ind w:firstLine="420"/>
        <w:rPr>
          <w:rFonts w:ascii="宋体" w:hAnsi="宋体" w:cs="宋体"/>
          <w:b/>
          <w:sz w:val="24"/>
        </w:rPr>
      </w:pPr>
      <w:r>
        <w:rPr>
          <w:rFonts w:hint="eastAsia" w:ascii="宋体" w:hAnsi="宋体" w:cs="宋体"/>
          <w:b/>
          <w:sz w:val="24"/>
        </w:rPr>
        <w:t xml:space="preserve">17. 不可抗力 </w:t>
      </w:r>
    </w:p>
    <w:p w14:paraId="48E2CE02">
      <w:pPr>
        <w:spacing w:line="360" w:lineRule="auto"/>
        <w:ind w:firstLine="480" w:firstLineChars="200"/>
        <w:rPr>
          <w:rFonts w:ascii="宋体" w:hAnsi="宋体" w:cs="宋体"/>
          <w:sz w:val="24"/>
        </w:rPr>
      </w:pPr>
      <w:r>
        <w:rPr>
          <w:rFonts w:hint="eastAsia" w:ascii="宋体" w:hAnsi="宋体" w:cs="宋体"/>
          <w:sz w:val="24"/>
        </w:rPr>
        <w:t>17.1 不可抗力的确认</w:t>
      </w:r>
    </w:p>
    <w:p w14:paraId="6916CAEE">
      <w:pPr>
        <w:spacing w:line="360" w:lineRule="auto"/>
        <w:ind w:firstLine="480" w:firstLineChars="200"/>
        <w:rPr>
          <w:rFonts w:ascii="宋体" w:hAnsi="宋体" w:cs="宋体"/>
          <w:sz w:val="24"/>
          <w:u w:val="single"/>
        </w:rPr>
      </w:pPr>
      <w:r>
        <w:rPr>
          <w:rFonts w:hint="eastAsia" w:ascii="宋体" w:hAnsi="宋体" w:cs="宋体"/>
          <w:sz w:val="24"/>
        </w:rPr>
        <w:t>除通用合同条款约定的不可抗力事件之外，视为不可抗力的其他情形：</w:t>
      </w:r>
      <w:r>
        <w:rPr>
          <w:rFonts w:hint="eastAsia" w:ascii="宋体" w:hAnsi="宋体" w:cs="宋体"/>
          <w:sz w:val="24"/>
          <w:u w:val="single"/>
        </w:rPr>
        <w:t>/。</w:t>
      </w:r>
    </w:p>
    <w:p w14:paraId="3D943E14">
      <w:pPr>
        <w:spacing w:line="360" w:lineRule="auto"/>
        <w:ind w:firstLine="480" w:firstLineChars="200"/>
        <w:rPr>
          <w:rFonts w:ascii="宋体" w:hAnsi="宋体" w:cs="宋体"/>
          <w:sz w:val="24"/>
        </w:rPr>
      </w:pPr>
      <w:r>
        <w:rPr>
          <w:rFonts w:hint="eastAsia" w:ascii="宋体" w:hAnsi="宋体" w:cs="宋体"/>
          <w:sz w:val="24"/>
        </w:rPr>
        <w:t>17.4 因不可抗力解除合同</w:t>
      </w:r>
    </w:p>
    <w:p w14:paraId="2B61E058">
      <w:pPr>
        <w:spacing w:line="360" w:lineRule="auto"/>
        <w:ind w:firstLine="480" w:firstLineChars="200"/>
        <w:rPr>
          <w:rFonts w:ascii="宋体" w:hAnsi="宋体" w:cs="宋体"/>
          <w:sz w:val="24"/>
        </w:rPr>
      </w:pPr>
      <w:r>
        <w:rPr>
          <w:rFonts w:hint="eastAsia" w:ascii="宋体" w:hAnsi="宋体" w:cs="宋体"/>
          <w:sz w:val="24"/>
        </w:rPr>
        <w:t>合同解除后，发包人应在商定或确定发包人应支付款项后</w:t>
      </w:r>
      <w:r>
        <w:rPr>
          <w:rFonts w:hint="eastAsia" w:ascii="宋体" w:hAnsi="宋体" w:cs="宋体"/>
          <w:sz w:val="24"/>
          <w:u w:val="single"/>
        </w:rPr>
        <w:t xml:space="preserve"> 28 </w:t>
      </w:r>
      <w:r>
        <w:rPr>
          <w:rFonts w:hint="eastAsia" w:ascii="宋体" w:hAnsi="宋体" w:cs="宋体"/>
          <w:sz w:val="24"/>
        </w:rPr>
        <w:t>天内完成款项的支付。</w:t>
      </w:r>
    </w:p>
    <w:p w14:paraId="20DEEEB6">
      <w:pPr>
        <w:topLinePunct/>
        <w:spacing w:line="360" w:lineRule="auto"/>
        <w:ind w:firstLine="420"/>
        <w:rPr>
          <w:rFonts w:ascii="宋体" w:hAnsi="宋体" w:cs="宋体"/>
          <w:b/>
          <w:sz w:val="24"/>
        </w:rPr>
      </w:pPr>
      <w:r>
        <w:rPr>
          <w:rFonts w:hint="eastAsia" w:ascii="宋体" w:hAnsi="宋体" w:cs="宋体"/>
          <w:b/>
          <w:sz w:val="24"/>
        </w:rPr>
        <w:t>18. 保险</w:t>
      </w:r>
    </w:p>
    <w:p w14:paraId="07D8588D">
      <w:pPr>
        <w:spacing w:line="360" w:lineRule="auto"/>
        <w:ind w:firstLine="480" w:firstLineChars="200"/>
        <w:rPr>
          <w:rFonts w:ascii="宋体" w:hAnsi="宋体" w:cs="宋体"/>
          <w:sz w:val="24"/>
        </w:rPr>
      </w:pPr>
      <w:r>
        <w:rPr>
          <w:rFonts w:hint="eastAsia" w:ascii="宋体" w:hAnsi="宋体" w:cs="宋体"/>
          <w:sz w:val="24"/>
        </w:rPr>
        <w:t>18.1 工程保险</w:t>
      </w:r>
    </w:p>
    <w:p w14:paraId="2BCBFC30">
      <w:pPr>
        <w:spacing w:line="360" w:lineRule="auto"/>
        <w:ind w:firstLine="480" w:firstLineChars="200"/>
        <w:rPr>
          <w:rFonts w:ascii="宋体" w:hAnsi="宋体" w:cs="宋体"/>
          <w:sz w:val="24"/>
        </w:rPr>
      </w:pPr>
      <w:r>
        <w:rPr>
          <w:rFonts w:hint="eastAsia" w:ascii="宋体" w:hAnsi="宋体" w:cs="宋体"/>
          <w:sz w:val="24"/>
        </w:rPr>
        <w:t>关于工程保险的特别约定：</w:t>
      </w:r>
      <w:r>
        <w:rPr>
          <w:rFonts w:hint="eastAsia" w:ascii="宋体" w:hAnsi="宋体" w:cs="宋体"/>
          <w:sz w:val="24"/>
          <w:u w:val="single"/>
        </w:rPr>
        <w:t>承包人为建设工程和施工场地内的自有人员设备及第三方生命财产办理保险并支付保险费用，费用已包含在总价内。施工期间所发生的一切与本工程有关的承包人的人员、财产等意外伤害、损失，由承包人承担全部责任和费用。</w:t>
      </w:r>
    </w:p>
    <w:p w14:paraId="69C9ECAE">
      <w:pPr>
        <w:spacing w:line="360" w:lineRule="auto"/>
        <w:ind w:firstLine="480" w:firstLineChars="200"/>
        <w:rPr>
          <w:rFonts w:ascii="宋体" w:hAnsi="宋体" w:cs="宋体"/>
          <w:sz w:val="24"/>
        </w:rPr>
      </w:pPr>
      <w:r>
        <w:rPr>
          <w:rFonts w:hint="eastAsia" w:ascii="宋体" w:hAnsi="宋体" w:cs="宋体"/>
          <w:sz w:val="24"/>
        </w:rPr>
        <w:t>18.3 其他保险</w:t>
      </w:r>
    </w:p>
    <w:p w14:paraId="105DB159">
      <w:pPr>
        <w:spacing w:line="360" w:lineRule="auto"/>
        <w:ind w:firstLine="480" w:firstLineChars="200"/>
        <w:rPr>
          <w:rFonts w:ascii="宋体" w:hAnsi="宋体" w:cs="宋体"/>
          <w:sz w:val="24"/>
          <w:u w:val="single"/>
        </w:rPr>
      </w:pPr>
      <w:r>
        <w:rPr>
          <w:rFonts w:hint="eastAsia" w:ascii="宋体" w:hAnsi="宋体" w:cs="宋体"/>
          <w:sz w:val="24"/>
        </w:rPr>
        <w:t>关于其他保险的约定</w:t>
      </w:r>
      <w:r>
        <w:rPr>
          <w:rFonts w:hint="eastAsia" w:ascii="宋体" w:hAnsi="宋体" w:cs="宋体"/>
          <w:sz w:val="24"/>
          <w:u w:val="single"/>
        </w:rPr>
        <w:t>：承包人应办理与本工程相关的保险，费用均包含在合同总价内</w:t>
      </w:r>
      <w:r>
        <w:rPr>
          <w:rFonts w:hint="eastAsia" w:ascii="宋体" w:hAnsi="宋体" w:cs="宋体"/>
          <w:kern w:val="0"/>
          <w:sz w:val="24"/>
          <w:u w:val="single"/>
        </w:rPr>
        <w:t xml:space="preserve"> </w:t>
      </w:r>
      <w:r>
        <w:rPr>
          <w:rFonts w:hint="eastAsia" w:ascii="宋体" w:hAnsi="宋体" w:cs="宋体"/>
          <w:kern w:val="0"/>
          <w:sz w:val="24"/>
        </w:rPr>
        <w:t>。</w:t>
      </w:r>
    </w:p>
    <w:p w14:paraId="2C504560">
      <w:pPr>
        <w:spacing w:line="360" w:lineRule="auto"/>
        <w:ind w:firstLine="480" w:firstLineChars="200"/>
        <w:rPr>
          <w:rFonts w:ascii="宋体" w:hAnsi="宋体" w:cs="宋体"/>
          <w:sz w:val="24"/>
          <w:u w:val="single"/>
        </w:rPr>
      </w:pPr>
      <w:r>
        <w:rPr>
          <w:rFonts w:hint="eastAsia" w:ascii="宋体" w:hAnsi="宋体" w:cs="宋体"/>
          <w:sz w:val="24"/>
        </w:rPr>
        <w:t>承包人是否应为其施工设备等办理财产保险：</w:t>
      </w:r>
      <w:r>
        <w:rPr>
          <w:rFonts w:hint="eastAsia" w:ascii="宋体" w:hAnsi="宋体" w:cs="宋体"/>
          <w:sz w:val="24"/>
          <w:u w:val="single"/>
        </w:rPr>
        <w:t xml:space="preserve">    /      </w:t>
      </w:r>
    </w:p>
    <w:p w14:paraId="17034B79">
      <w:pPr>
        <w:spacing w:line="360" w:lineRule="auto"/>
        <w:ind w:firstLine="480" w:firstLineChars="200"/>
        <w:rPr>
          <w:rFonts w:ascii="宋体" w:hAnsi="宋体" w:cs="宋体"/>
          <w:sz w:val="24"/>
        </w:rPr>
      </w:pPr>
      <w:r>
        <w:rPr>
          <w:rFonts w:hint="eastAsia" w:ascii="宋体" w:hAnsi="宋体" w:cs="宋体"/>
          <w:sz w:val="24"/>
        </w:rPr>
        <w:t>18.7 通知义务</w:t>
      </w:r>
    </w:p>
    <w:p w14:paraId="5C06859E">
      <w:pPr>
        <w:spacing w:line="360" w:lineRule="auto"/>
        <w:ind w:firstLine="600" w:firstLineChars="250"/>
        <w:rPr>
          <w:rFonts w:ascii="宋体" w:hAnsi="宋体" w:cs="宋体"/>
          <w:sz w:val="24"/>
          <w:u w:val="single"/>
        </w:rPr>
      </w:pPr>
      <w:r>
        <w:rPr>
          <w:rFonts w:hint="eastAsia" w:ascii="宋体" w:hAnsi="宋体" w:cs="宋体"/>
          <w:sz w:val="24"/>
        </w:rPr>
        <w:t>关于变更保险合同时的通知义务的约定：</w:t>
      </w:r>
      <w:r>
        <w:rPr>
          <w:rFonts w:hint="eastAsia" w:ascii="宋体" w:hAnsi="宋体" w:cs="宋体"/>
          <w:sz w:val="24"/>
          <w:u w:val="single"/>
        </w:rPr>
        <w:t>按通用条款执行。</w:t>
      </w:r>
    </w:p>
    <w:p w14:paraId="68150D3F">
      <w:pPr>
        <w:spacing w:line="360" w:lineRule="auto"/>
        <w:ind w:firstLine="482" w:firstLineChars="200"/>
        <w:rPr>
          <w:rFonts w:ascii="宋体" w:hAnsi="宋体" w:cs="宋体"/>
          <w:b/>
          <w:sz w:val="24"/>
        </w:rPr>
      </w:pPr>
      <w:r>
        <w:rPr>
          <w:rFonts w:hint="eastAsia" w:ascii="宋体" w:hAnsi="宋体" w:cs="宋体"/>
          <w:b/>
          <w:sz w:val="24"/>
        </w:rPr>
        <w:t>20. 争议解决</w:t>
      </w:r>
    </w:p>
    <w:p w14:paraId="5807502E">
      <w:pPr>
        <w:spacing w:line="360" w:lineRule="auto"/>
        <w:ind w:firstLine="480" w:firstLineChars="200"/>
        <w:rPr>
          <w:rFonts w:ascii="宋体" w:hAnsi="宋体" w:cs="宋体"/>
          <w:sz w:val="24"/>
        </w:rPr>
      </w:pPr>
      <w:r>
        <w:rPr>
          <w:rFonts w:hint="eastAsia" w:ascii="宋体" w:hAnsi="宋体" w:cs="宋体"/>
          <w:sz w:val="24"/>
        </w:rPr>
        <w:t>20.3 争议评审</w:t>
      </w:r>
    </w:p>
    <w:p w14:paraId="2D12D74C">
      <w:pPr>
        <w:spacing w:line="360" w:lineRule="auto"/>
        <w:ind w:firstLine="480" w:firstLineChars="200"/>
        <w:rPr>
          <w:rFonts w:ascii="宋体" w:hAnsi="宋体" w:cs="宋体"/>
          <w:sz w:val="24"/>
        </w:rPr>
      </w:pPr>
      <w:r>
        <w:rPr>
          <w:rFonts w:hint="eastAsia" w:ascii="宋体" w:hAnsi="宋体" w:cs="宋体"/>
          <w:sz w:val="24"/>
        </w:rPr>
        <w:t>合同当事人是否同意将工程争议提交争议评审小组决定：</w:t>
      </w:r>
      <w:r>
        <w:rPr>
          <w:rFonts w:hint="eastAsia" w:ascii="宋体" w:hAnsi="宋体" w:cs="宋体"/>
          <w:sz w:val="24"/>
          <w:u w:val="single"/>
        </w:rPr>
        <w:t xml:space="preserve">  否   </w:t>
      </w:r>
      <w:r>
        <w:rPr>
          <w:rFonts w:hint="eastAsia" w:ascii="宋体" w:hAnsi="宋体" w:cs="宋体"/>
          <w:sz w:val="24"/>
        </w:rPr>
        <w:t xml:space="preserve">。  </w:t>
      </w:r>
    </w:p>
    <w:p w14:paraId="3C848839">
      <w:pPr>
        <w:spacing w:line="360" w:lineRule="auto"/>
        <w:ind w:firstLine="480" w:firstLineChars="200"/>
        <w:rPr>
          <w:rFonts w:ascii="宋体" w:hAnsi="宋体" w:cs="宋体"/>
          <w:sz w:val="24"/>
        </w:rPr>
      </w:pPr>
      <w:r>
        <w:rPr>
          <w:rFonts w:hint="eastAsia" w:ascii="宋体" w:hAnsi="宋体" w:cs="宋体"/>
          <w:sz w:val="24"/>
        </w:rPr>
        <w:t>20.3.1 争议评审小组的确定</w:t>
      </w:r>
    </w:p>
    <w:p w14:paraId="3C8DA7C1">
      <w:pPr>
        <w:spacing w:line="360" w:lineRule="auto"/>
        <w:ind w:firstLine="480" w:firstLineChars="200"/>
        <w:rPr>
          <w:rFonts w:ascii="宋体" w:hAnsi="宋体" w:cs="宋体"/>
          <w:sz w:val="24"/>
          <w:u w:val="single"/>
        </w:rPr>
      </w:pPr>
      <w:r>
        <w:rPr>
          <w:rFonts w:hint="eastAsia" w:ascii="宋体" w:hAnsi="宋体" w:cs="宋体"/>
          <w:sz w:val="24"/>
        </w:rPr>
        <w:t>争议评审小组成员的确定：</w:t>
      </w:r>
      <w:r>
        <w:rPr>
          <w:rFonts w:hint="eastAsia" w:ascii="宋体" w:hAnsi="宋体" w:cs="宋体"/>
          <w:sz w:val="24"/>
          <w:u w:val="single"/>
        </w:rPr>
        <w:t xml:space="preserve">          无            </w:t>
      </w:r>
      <w:r>
        <w:rPr>
          <w:rFonts w:hint="eastAsia" w:ascii="宋体" w:hAnsi="宋体" w:cs="宋体"/>
          <w:sz w:val="24"/>
        </w:rPr>
        <w:t>。</w:t>
      </w:r>
    </w:p>
    <w:p w14:paraId="514F0C0B">
      <w:pPr>
        <w:spacing w:line="360" w:lineRule="auto"/>
        <w:ind w:firstLine="480" w:firstLineChars="200"/>
        <w:rPr>
          <w:rFonts w:ascii="宋体" w:hAnsi="宋体" w:cs="宋体"/>
          <w:sz w:val="24"/>
        </w:rPr>
      </w:pPr>
      <w:r>
        <w:rPr>
          <w:rFonts w:hint="eastAsia" w:ascii="宋体" w:hAnsi="宋体" w:cs="宋体"/>
          <w:sz w:val="24"/>
        </w:rPr>
        <w:t>其他事项的约定：</w:t>
      </w:r>
      <w:r>
        <w:rPr>
          <w:rFonts w:hint="eastAsia" w:ascii="宋体" w:hAnsi="宋体" w:cs="宋体"/>
          <w:sz w:val="24"/>
          <w:u w:val="single"/>
        </w:rPr>
        <w:t xml:space="preserve">             无               </w:t>
      </w:r>
      <w:r>
        <w:rPr>
          <w:rFonts w:hint="eastAsia" w:ascii="宋体" w:hAnsi="宋体" w:cs="宋体"/>
          <w:sz w:val="24"/>
        </w:rPr>
        <w:t>。</w:t>
      </w:r>
    </w:p>
    <w:p w14:paraId="42C71411">
      <w:pPr>
        <w:autoSpaceDE w:val="0"/>
        <w:autoSpaceDN w:val="0"/>
        <w:spacing w:line="360" w:lineRule="auto"/>
        <w:ind w:firstLine="480" w:firstLineChars="200"/>
        <w:rPr>
          <w:rFonts w:ascii="宋体" w:hAnsi="宋体" w:cs="宋体"/>
          <w:sz w:val="24"/>
        </w:rPr>
      </w:pPr>
      <w:r>
        <w:rPr>
          <w:rFonts w:hint="eastAsia" w:ascii="宋体" w:hAnsi="宋体" w:cs="宋体"/>
          <w:sz w:val="24"/>
        </w:rPr>
        <w:t>20.3.2 争议评审小组的决定</w:t>
      </w:r>
    </w:p>
    <w:p w14:paraId="6F89E38E">
      <w:pPr>
        <w:spacing w:line="360" w:lineRule="auto"/>
        <w:ind w:firstLine="480" w:firstLineChars="200"/>
        <w:rPr>
          <w:rFonts w:ascii="宋体" w:hAnsi="宋体" w:cs="宋体"/>
          <w:sz w:val="24"/>
        </w:rPr>
      </w:pPr>
      <w:r>
        <w:rPr>
          <w:rFonts w:hint="eastAsia" w:ascii="宋体" w:hAnsi="宋体" w:cs="宋体"/>
          <w:sz w:val="24"/>
        </w:rPr>
        <w:t>合同当事人关于本项的约定：</w:t>
      </w:r>
      <w:r>
        <w:rPr>
          <w:rFonts w:hint="eastAsia" w:ascii="宋体" w:hAnsi="宋体" w:cs="宋体"/>
          <w:sz w:val="24"/>
          <w:u w:val="single"/>
        </w:rPr>
        <w:t xml:space="preserve">        无          </w:t>
      </w:r>
      <w:r>
        <w:rPr>
          <w:rFonts w:hint="eastAsia" w:ascii="宋体" w:hAnsi="宋体" w:cs="宋体"/>
          <w:sz w:val="24"/>
        </w:rPr>
        <w:t>。</w:t>
      </w:r>
    </w:p>
    <w:p w14:paraId="20ED03CA">
      <w:pPr>
        <w:spacing w:line="360" w:lineRule="auto"/>
        <w:ind w:firstLine="480" w:firstLineChars="200"/>
        <w:rPr>
          <w:rFonts w:ascii="宋体" w:hAnsi="宋体" w:cs="宋体"/>
          <w:sz w:val="24"/>
        </w:rPr>
      </w:pPr>
      <w:r>
        <w:rPr>
          <w:rFonts w:hint="eastAsia" w:ascii="宋体" w:hAnsi="宋体" w:cs="宋体"/>
          <w:sz w:val="24"/>
        </w:rPr>
        <w:t>20.4仲裁或诉讼</w:t>
      </w:r>
    </w:p>
    <w:p w14:paraId="783882C9">
      <w:pPr>
        <w:spacing w:line="360" w:lineRule="auto"/>
        <w:ind w:firstLine="480" w:firstLineChars="200"/>
        <w:rPr>
          <w:rFonts w:ascii="宋体" w:hAnsi="宋体" w:cs="宋体"/>
          <w:sz w:val="24"/>
          <w:u w:val="single"/>
        </w:rPr>
      </w:pPr>
      <w:r>
        <w:rPr>
          <w:rFonts w:hint="eastAsia" w:ascii="宋体" w:hAnsi="宋体" w:cs="宋体"/>
          <w:sz w:val="24"/>
        </w:rPr>
        <w:t xml:space="preserve">因合同及合同有关事项发生的争议，按下列第 </w:t>
      </w:r>
      <w:r>
        <w:rPr>
          <w:rFonts w:hint="eastAsia" w:ascii="宋体" w:hAnsi="宋体" w:cs="宋体"/>
          <w:sz w:val="24"/>
          <w:u w:val="single"/>
        </w:rPr>
        <w:t>（2）</w:t>
      </w:r>
      <w:r>
        <w:rPr>
          <w:rFonts w:hint="eastAsia" w:ascii="宋体" w:hAnsi="宋体" w:cs="宋体"/>
          <w:sz w:val="24"/>
        </w:rPr>
        <w:t xml:space="preserve">  种方式解决：</w:t>
      </w:r>
    </w:p>
    <w:p w14:paraId="42C01E8C">
      <w:pPr>
        <w:spacing w:line="360" w:lineRule="auto"/>
        <w:ind w:firstLine="480" w:firstLineChars="200"/>
        <w:rPr>
          <w:rFonts w:ascii="宋体" w:hAnsi="宋体" w:cs="宋体"/>
          <w:sz w:val="24"/>
        </w:rPr>
      </w:pPr>
      <w:r>
        <w:rPr>
          <w:rFonts w:hint="eastAsia" w:ascii="宋体" w:hAnsi="宋体" w:cs="宋体"/>
          <w:sz w:val="24"/>
        </w:rPr>
        <w:t>（1）向</w:t>
      </w:r>
      <w:r>
        <w:rPr>
          <w:rFonts w:hint="eastAsia" w:ascii="宋体" w:hAnsi="宋体" w:cs="宋体"/>
          <w:sz w:val="24"/>
          <w:u w:val="single"/>
        </w:rPr>
        <w:t xml:space="preserve">           /          </w:t>
      </w:r>
      <w:r>
        <w:rPr>
          <w:rFonts w:hint="eastAsia" w:ascii="宋体" w:hAnsi="宋体" w:cs="宋体"/>
          <w:sz w:val="24"/>
        </w:rPr>
        <w:t>仲裁委员会申请仲裁；</w:t>
      </w:r>
    </w:p>
    <w:p w14:paraId="6C7342B6">
      <w:pPr>
        <w:spacing w:line="360" w:lineRule="auto"/>
        <w:ind w:firstLine="480" w:firstLineChars="200"/>
        <w:rPr>
          <w:rFonts w:ascii="宋体" w:hAnsi="宋体" w:cs="宋体"/>
          <w:sz w:val="24"/>
        </w:rPr>
      </w:pPr>
      <w:r>
        <w:rPr>
          <w:rFonts w:hint="eastAsia" w:ascii="宋体" w:hAnsi="宋体" w:cs="宋体"/>
          <w:sz w:val="24"/>
        </w:rPr>
        <w:t xml:space="preserve">（2）向 </w:t>
      </w:r>
      <w:r>
        <w:rPr>
          <w:rFonts w:hint="eastAsia" w:ascii="宋体" w:hAnsi="宋体" w:cs="宋体"/>
          <w:sz w:val="24"/>
          <w:u w:val="single"/>
        </w:rPr>
        <w:t xml:space="preserve"> 工程所在地 </w:t>
      </w:r>
      <w:r>
        <w:rPr>
          <w:rFonts w:hint="eastAsia" w:ascii="宋体" w:hAnsi="宋体" w:cs="宋体"/>
          <w:sz w:val="24"/>
        </w:rPr>
        <w:t>人民法院起诉。</w:t>
      </w:r>
    </w:p>
    <w:p w14:paraId="163062E0">
      <w:pPr>
        <w:spacing w:line="360" w:lineRule="auto"/>
        <w:ind w:firstLine="472" w:firstLineChars="196"/>
        <w:rPr>
          <w:rFonts w:ascii="宋体" w:hAnsi="宋体" w:cs="宋体"/>
          <w:b/>
          <w:sz w:val="24"/>
        </w:rPr>
      </w:pPr>
      <w:r>
        <w:rPr>
          <w:rFonts w:hint="eastAsia" w:ascii="宋体" w:hAnsi="宋体" w:cs="宋体"/>
          <w:b/>
          <w:sz w:val="24"/>
        </w:rPr>
        <w:t>21其他补充约定</w:t>
      </w:r>
    </w:p>
    <w:p w14:paraId="51ED55BF">
      <w:pPr>
        <w:snapToGrid w:val="0"/>
        <w:spacing w:line="360" w:lineRule="auto"/>
        <w:ind w:firstLine="480" w:firstLineChars="200"/>
        <w:rPr>
          <w:rFonts w:ascii="宋体" w:hAnsi="宋体" w:cs="宋体"/>
          <w:sz w:val="24"/>
          <w:u w:val="single"/>
        </w:rPr>
      </w:pPr>
      <w:r>
        <w:rPr>
          <w:rFonts w:hint="eastAsia" w:ascii="宋体" w:hAnsi="宋体" w:cs="宋体"/>
          <w:sz w:val="24"/>
          <w:u w:val="single"/>
        </w:rPr>
        <w:t>21.1承包人未按合同约定履行义务，造成工程质量低下、进度迟缓、延迟开工15天以上、管理混乱，发包人有权终止合同，没收全部履约担保，承包人应赔偿发包人因此造成的一切经济损失、依法承担相应的法律责任。</w:t>
      </w:r>
    </w:p>
    <w:p w14:paraId="05364CF4">
      <w:pPr>
        <w:snapToGrid w:val="0"/>
        <w:spacing w:line="360" w:lineRule="auto"/>
        <w:ind w:firstLine="480" w:firstLineChars="200"/>
        <w:rPr>
          <w:rFonts w:ascii="宋体" w:hAnsi="宋体" w:cs="宋体"/>
          <w:sz w:val="24"/>
          <w:u w:val="single"/>
        </w:rPr>
      </w:pPr>
      <w:r>
        <w:rPr>
          <w:rFonts w:hint="eastAsia" w:ascii="宋体" w:hAnsi="宋体" w:cs="宋体"/>
          <w:sz w:val="24"/>
          <w:u w:val="single"/>
        </w:rPr>
        <w:t>21.2工程的保管</w:t>
      </w:r>
    </w:p>
    <w:p w14:paraId="20DAA090">
      <w:pPr>
        <w:snapToGrid w:val="0"/>
        <w:spacing w:line="360" w:lineRule="auto"/>
        <w:ind w:firstLine="480" w:firstLineChars="200"/>
        <w:rPr>
          <w:rFonts w:ascii="宋体" w:hAnsi="宋体" w:cs="宋体"/>
          <w:sz w:val="24"/>
          <w:u w:val="single"/>
        </w:rPr>
      </w:pPr>
      <w:r>
        <w:rPr>
          <w:rFonts w:hint="eastAsia" w:ascii="宋体" w:hAnsi="宋体" w:cs="宋体"/>
          <w:sz w:val="24"/>
          <w:u w:val="single"/>
        </w:rPr>
        <w:t>21.2.1开工日后，施工场地由承包人负责保管并负担保管费用。</w:t>
      </w:r>
    </w:p>
    <w:p w14:paraId="2260B29A">
      <w:pPr>
        <w:snapToGrid w:val="0"/>
        <w:spacing w:line="360" w:lineRule="auto"/>
        <w:ind w:firstLine="480" w:firstLineChars="200"/>
        <w:rPr>
          <w:rFonts w:ascii="宋体" w:hAnsi="宋体" w:cs="宋体"/>
          <w:sz w:val="24"/>
          <w:u w:val="single"/>
        </w:rPr>
      </w:pPr>
      <w:r>
        <w:rPr>
          <w:rFonts w:hint="eastAsia" w:ascii="宋体" w:hAnsi="宋体" w:cs="宋体"/>
          <w:sz w:val="24"/>
          <w:u w:val="single"/>
        </w:rPr>
        <w:t>21.2.2施工期间，承包人实施的在建工程，承包人采购的物资、使用的设备，以及发包人采购但已经交付给承包人的物资、设备，由承包人负责保管并负担保管费用。</w:t>
      </w:r>
    </w:p>
    <w:p w14:paraId="718A8520">
      <w:pPr>
        <w:snapToGrid w:val="0"/>
        <w:spacing w:line="360" w:lineRule="auto"/>
        <w:ind w:firstLine="480" w:firstLineChars="200"/>
        <w:rPr>
          <w:rFonts w:ascii="宋体" w:hAnsi="宋体" w:cs="宋体"/>
          <w:sz w:val="24"/>
          <w:u w:val="single"/>
        </w:rPr>
      </w:pPr>
      <w:r>
        <w:rPr>
          <w:rFonts w:hint="eastAsia" w:ascii="宋体" w:hAnsi="宋体" w:cs="宋体"/>
          <w:sz w:val="24"/>
          <w:u w:val="single"/>
        </w:rPr>
        <w:t>21.2.3竣工日后到依据专用条款确定的工程移交日前，竣工工程（包括附属设备、设施），由承包人负责保管并负担保管费用。</w:t>
      </w:r>
    </w:p>
    <w:p w14:paraId="7A509013">
      <w:pPr>
        <w:snapToGrid w:val="0"/>
        <w:spacing w:line="360" w:lineRule="auto"/>
        <w:ind w:firstLine="480" w:firstLineChars="200"/>
        <w:rPr>
          <w:rFonts w:ascii="宋体" w:hAnsi="宋体" w:cs="宋体"/>
          <w:sz w:val="24"/>
          <w:u w:val="single"/>
        </w:rPr>
      </w:pPr>
      <w:r>
        <w:rPr>
          <w:rFonts w:hint="eastAsia" w:ascii="宋体" w:hAnsi="宋体" w:cs="宋体"/>
          <w:sz w:val="24"/>
          <w:u w:val="single"/>
        </w:rPr>
        <w:t>21.2.4依据专用条款确定的工程移交日后，对于承包人已经移交给发包人的竣工工程（包括附属设备、设施），由发包人负责保管并负担保管费用；对于承包人尚未移交给发包人的竣工工程（包括附属设备、设施），由承包人负责保管并负担保管费用。</w:t>
      </w:r>
    </w:p>
    <w:p w14:paraId="093AA7B9">
      <w:pPr>
        <w:snapToGrid w:val="0"/>
        <w:spacing w:line="360" w:lineRule="auto"/>
        <w:ind w:firstLine="480" w:firstLineChars="200"/>
        <w:rPr>
          <w:rFonts w:ascii="宋体" w:hAnsi="宋体" w:cs="宋体"/>
          <w:sz w:val="24"/>
          <w:u w:val="single"/>
        </w:rPr>
      </w:pPr>
      <w:r>
        <w:rPr>
          <w:rFonts w:hint="eastAsia" w:ascii="宋体" w:hAnsi="宋体" w:cs="宋体"/>
          <w:sz w:val="24"/>
          <w:u w:val="single"/>
        </w:rPr>
        <w:t>21.2.5在承包人保管期间，发生工程、物资、设施设备等损坏、减少、灭失的，承包人应及时自费修复、补足、恢复原状。若承包人无法自行修复、补足、恢复原状的，应及时书面告知发包人，并承担由此产生的全部赔偿责任。造成的工期延期的，由承包人自行承担。</w:t>
      </w:r>
    </w:p>
    <w:p w14:paraId="6B69A940">
      <w:pPr>
        <w:snapToGrid w:val="0"/>
        <w:spacing w:line="360" w:lineRule="auto"/>
        <w:ind w:firstLine="480" w:firstLineChars="200"/>
        <w:rPr>
          <w:rFonts w:ascii="宋体" w:hAnsi="宋体" w:cs="宋体"/>
          <w:sz w:val="24"/>
          <w:u w:val="single"/>
        </w:rPr>
      </w:pPr>
      <w:r>
        <w:rPr>
          <w:rFonts w:hint="eastAsia" w:ascii="宋体" w:hAnsi="宋体" w:cs="宋体"/>
          <w:sz w:val="24"/>
          <w:u w:val="single"/>
        </w:rPr>
        <w:t>21.3合格工程的移交</w:t>
      </w:r>
    </w:p>
    <w:p w14:paraId="3C20DC98">
      <w:pPr>
        <w:snapToGrid w:val="0"/>
        <w:spacing w:line="360" w:lineRule="auto"/>
        <w:ind w:firstLine="480" w:firstLineChars="200"/>
        <w:rPr>
          <w:rFonts w:ascii="宋体" w:hAnsi="宋体" w:cs="宋体"/>
          <w:sz w:val="24"/>
          <w:u w:val="single"/>
        </w:rPr>
      </w:pPr>
      <w:r>
        <w:rPr>
          <w:rFonts w:hint="eastAsia" w:ascii="宋体" w:hAnsi="宋体" w:cs="宋体"/>
          <w:sz w:val="24"/>
          <w:u w:val="single"/>
        </w:rPr>
        <w:t>21.3.1通过竣工验收程序、发包人确认竣工工程验收合格后，承包人应在发包人通知的期限内向发包人办理工程移交手续；承包人不得以任何理由拒绝在发包人通知的期限内完整地向发包人移交工程，否则，发包人有权拒绝办理竣工结算及支付剩余的工程价款。</w:t>
      </w:r>
    </w:p>
    <w:p w14:paraId="46CE86CE">
      <w:pPr>
        <w:snapToGrid w:val="0"/>
        <w:spacing w:line="360" w:lineRule="auto"/>
        <w:ind w:firstLine="480" w:firstLineChars="200"/>
        <w:rPr>
          <w:rFonts w:ascii="宋体" w:hAnsi="宋体" w:cs="宋体"/>
          <w:sz w:val="24"/>
          <w:u w:val="single"/>
        </w:rPr>
      </w:pPr>
      <w:r>
        <w:rPr>
          <w:rFonts w:hint="eastAsia" w:ascii="宋体" w:hAnsi="宋体" w:cs="宋体"/>
          <w:sz w:val="24"/>
          <w:u w:val="single"/>
        </w:rPr>
        <w:t>21.3.2承包人应当向发包人实施工程移交的内容包括但不限于：</w:t>
      </w:r>
    </w:p>
    <w:p w14:paraId="22D187E8">
      <w:pPr>
        <w:snapToGrid w:val="0"/>
        <w:spacing w:line="360" w:lineRule="auto"/>
        <w:ind w:firstLine="480" w:firstLineChars="200"/>
        <w:rPr>
          <w:rFonts w:ascii="宋体" w:hAnsi="宋体" w:cs="宋体"/>
          <w:sz w:val="24"/>
          <w:u w:val="single"/>
        </w:rPr>
      </w:pPr>
      <w:r>
        <w:rPr>
          <w:rFonts w:hint="eastAsia" w:ascii="宋体" w:hAnsi="宋体" w:cs="宋体"/>
          <w:sz w:val="24"/>
          <w:u w:val="single"/>
        </w:rPr>
        <w:t>①承包人实施承包的全部工程；</w:t>
      </w:r>
    </w:p>
    <w:p w14:paraId="4E13CE52">
      <w:pPr>
        <w:snapToGrid w:val="0"/>
        <w:spacing w:line="360" w:lineRule="auto"/>
        <w:ind w:firstLine="480" w:firstLineChars="200"/>
        <w:rPr>
          <w:rFonts w:ascii="宋体" w:hAnsi="宋体" w:cs="宋体"/>
          <w:sz w:val="24"/>
          <w:u w:val="single"/>
        </w:rPr>
      </w:pPr>
      <w:r>
        <w:rPr>
          <w:rFonts w:hint="eastAsia" w:ascii="宋体" w:hAnsi="宋体" w:cs="宋体"/>
          <w:sz w:val="24"/>
          <w:u w:val="single"/>
        </w:rPr>
        <w:t>②工程的全部附属设施、设备；</w:t>
      </w:r>
    </w:p>
    <w:p w14:paraId="42D295B0">
      <w:pPr>
        <w:snapToGrid w:val="0"/>
        <w:spacing w:line="360" w:lineRule="auto"/>
        <w:ind w:firstLine="480" w:firstLineChars="200"/>
        <w:rPr>
          <w:rFonts w:ascii="宋体" w:hAnsi="宋体" w:cs="宋体"/>
          <w:sz w:val="24"/>
          <w:u w:val="single"/>
        </w:rPr>
      </w:pPr>
      <w:r>
        <w:rPr>
          <w:rFonts w:hint="eastAsia" w:ascii="宋体" w:hAnsi="宋体" w:cs="宋体"/>
          <w:sz w:val="24"/>
          <w:u w:val="single"/>
        </w:rPr>
        <w:t>③工程竣工资料原件（包括但不限于：工程施工资料，工程质量保证资料，工程检验评定资料，规定的其他应交资料、附属设施以及设备的使用说明书、质量保证书、维修卡等）；</w:t>
      </w:r>
    </w:p>
    <w:p w14:paraId="6686DFD3">
      <w:pPr>
        <w:snapToGrid w:val="0"/>
        <w:spacing w:line="360" w:lineRule="auto"/>
        <w:ind w:firstLine="480" w:firstLineChars="200"/>
        <w:rPr>
          <w:rFonts w:ascii="宋体" w:hAnsi="宋体" w:cs="宋体"/>
          <w:sz w:val="24"/>
          <w:u w:val="single"/>
        </w:rPr>
      </w:pPr>
      <w:r>
        <w:rPr>
          <w:rFonts w:hint="eastAsia" w:ascii="宋体" w:hAnsi="宋体" w:cs="宋体"/>
          <w:sz w:val="24"/>
          <w:u w:val="single"/>
        </w:rPr>
        <w:t>④其他属于承包人移交义务的工程、设施、设备、文件资料。</w:t>
      </w:r>
    </w:p>
    <w:p w14:paraId="5D469520">
      <w:pPr>
        <w:snapToGrid w:val="0"/>
        <w:spacing w:line="360" w:lineRule="auto"/>
        <w:ind w:firstLine="480" w:firstLineChars="200"/>
        <w:rPr>
          <w:rFonts w:ascii="宋体" w:hAnsi="宋体" w:cs="宋体"/>
          <w:sz w:val="24"/>
          <w:u w:val="single"/>
        </w:rPr>
      </w:pPr>
      <w:r>
        <w:rPr>
          <w:rFonts w:hint="eastAsia" w:ascii="宋体" w:hAnsi="宋体" w:cs="宋体"/>
          <w:sz w:val="24"/>
          <w:u w:val="single"/>
        </w:rPr>
        <w:t>21.4应工程项目实施需要的，承包人需按发包人要求无条件实施。工程范围内，由于工程量出现清单漏项、漏量、描述不清等情况，而发包人认为由承包人实施更有利于项目进展的，承包人应无条件接受发包人的指令完成相关工作，完成该类工作的价款按本工程变更条款执行；</w:t>
      </w:r>
    </w:p>
    <w:p w14:paraId="5EC031BA">
      <w:pPr>
        <w:snapToGrid w:val="0"/>
        <w:spacing w:line="360" w:lineRule="auto"/>
        <w:ind w:firstLine="480" w:firstLineChars="200"/>
        <w:rPr>
          <w:rFonts w:ascii="宋体" w:hAnsi="宋体" w:cs="宋体"/>
          <w:sz w:val="24"/>
          <w:u w:val="single"/>
        </w:rPr>
      </w:pPr>
      <w:r>
        <w:rPr>
          <w:rFonts w:hint="eastAsia" w:ascii="宋体" w:hAnsi="宋体" w:cs="宋体"/>
          <w:sz w:val="24"/>
          <w:u w:val="single"/>
        </w:rPr>
        <w:t>21.5发包人保留在签约后调整部分承包范围的权利，直至某些项目的取消，合同价做相应调整，承包人不得因此原因进行索赔。</w:t>
      </w:r>
    </w:p>
    <w:p w14:paraId="5E5AF698">
      <w:pPr>
        <w:snapToGrid w:val="0"/>
        <w:spacing w:line="360" w:lineRule="auto"/>
        <w:ind w:firstLine="480" w:firstLineChars="200"/>
        <w:rPr>
          <w:rFonts w:ascii="宋体" w:hAnsi="宋体" w:cs="宋体"/>
          <w:sz w:val="24"/>
          <w:u w:val="single"/>
        </w:rPr>
      </w:pPr>
      <w:r>
        <w:rPr>
          <w:rFonts w:hint="eastAsia" w:ascii="宋体" w:hAnsi="宋体" w:cs="宋体"/>
          <w:sz w:val="24"/>
          <w:u w:val="single"/>
        </w:rPr>
        <w:t>21.6如发现由于施工单位资金投入原因引起材料供应、周转财力投入、劳动力投入等不能满足施工需要，造成施工进度迟缓，影响工程顺利实施，第一次发包人以书面联系函予以通知警告，如不能改善，第二次发包人可以无条件单方面解除合同，并有权从履约担保中扣除伍万元。由此造成的所有损失由承包人承担。</w:t>
      </w:r>
    </w:p>
    <w:p w14:paraId="6355143D">
      <w:pPr>
        <w:snapToGrid w:val="0"/>
        <w:spacing w:line="360" w:lineRule="auto"/>
        <w:ind w:firstLine="480" w:firstLineChars="200"/>
        <w:rPr>
          <w:rFonts w:ascii="宋体" w:hAnsi="宋体" w:cs="宋体"/>
          <w:sz w:val="24"/>
          <w:u w:val="single"/>
        </w:rPr>
      </w:pPr>
      <w:r>
        <w:rPr>
          <w:rFonts w:hint="eastAsia" w:ascii="宋体" w:hAnsi="宋体" w:cs="宋体"/>
          <w:sz w:val="24"/>
          <w:u w:val="single"/>
        </w:rPr>
        <w:t>21.7材料、设备必须为原厂产品，如发现为贴牌产品则不得进场，承包人应按合同约定向发包人支付违约金。所有的材料、设备必须经甲方、监理单位（如有）确认后方可订货。所有的材料、设备在相同品牌、技术参数的情况下，颜色、型号需经甲方确认后才允许使用。承包人承诺在发包人使用投标所有产品时不会因知识产权或产品所有权等问题引起第三方索赔或其他要求，否则由此给发包人造成的一切损失应由承包人承担。在磋商文件中由甲方推荐品牌的材料，如在合同履行期间由于缺货或其他原因，需更换推荐品牌的任何其他一个，投标价格不作调整。</w:t>
      </w:r>
    </w:p>
    <w:p w14:paraId="110A3DA6">
      <w:pPr>
        <w:spacing w:line="360" w:lineRule="auto"/>
        <w:ind w:firstLine="480" w:firstLineChars="200"/>
        <w:rPr>
          <w:rFonts w:ascii="宋体" w:hAnsi="宋体" w:cs="宋体"/>
          <w:sz w:val="24"/>
          <w:u w:val="single"/>
        </w:rPr>
      </w:pPr>
      <w:r>
        <w:rPr>
          <w:rFonts w:hint="eastAsia" w:ascii="宋体" w:hAnsi="宋体" w:cs="宋体"/>
          <w:sz w:val="24"/>
          <w:u w:val="single"/>
        </w:rPr>
        <w:t>21.8承包人必须严格按照《企业事业单位内部安全保卫条例》和当地公安管理部门对施工管理的要求落实现场治安管理工作。投标报价时要落实场外夜间巡逻的人员、设施设备等费用。施工现场不得出现任何治安事件，如出现一次，发包人有权从履约担保中扣除1万元/次的违约金。</w:t>
      </w:r>
    </w:p>
    <w:p w14:paraId="052358D8">
      <w:pPr>
        <w:snapToGrid w:val="0"/>
        <w:spacing w:line="360" w:lineRule="auto"/>
        <w:ind w:firstLine="482" w:firstLineChars="200"/>
        <w:rPr>
          <w:rFonts w:ascii="宋体" w:hAnsi="宋体" w:cs="宋体"/>
          <w:sz w:val="24"/>
          <w:u w:val="single"/>
        </w:rPr>
      </w:pPr>
      <w:r>
        <w:rPr>
          <w:rFonts w:hint="eastAsia" w:ascii="宋体" w:hAnsi="宋体" w:cs="宋体"/>
          <w:b/>
          <w:bCs/>
          <w:kern w:val="44"/>
          <w:sz w:val="24"/>
          <w:u w:val="single"/>
        </w:rPr>
        <w:t>21.9承包人应无条件配合发包人甲供材料的现场施工，相关措施费计入报价中，不得因此增加合同费用，也不得再向甲供材料的供应商收取配合费。</w:t>
      </w:r>
    </w:p>
    <w:p w14:paraId="5193E6DA">
      <w:pPr>
        <w:snapToGrid w:val="0"/>
        <w:spacing w:line="360" w:lineRule="auto"/>
        <w:ind w:firstLine="480" w:firstLineChars="200"/>
        <w:rPr>
          <w:rFonts w:ascii="宋体" w:hAnsi="宋体" w:cs="宋体"/>
          <w:sz w:val="24"/>
        </w:rPr>
      </w:pPr>
      <w:bookmarkStart w:id="535" w:name="_Hlk74986491"/>
      <w:r>
        <w:rPr>
          <w:rFonts w:hint="eastAsia" w:ascii="宋体" w:hAnsi="宋体" w:cs="宋体"/>
          <w:sz w:val="24"/>
          <w:u w:val="single"/>
        </w:rPr>
        <w:t>21.10发包人签发</w:t>
      </w:r>
      <w:bookmarkEnd w:id="535"/>
      <w:r>
        <w:rPr>
          <w:rFonts w:hint="eastAsia" w:ascii="宋体" w:hAnsi="宋体" w:cs="宋体"/>
          <w:sz w:val="24"/>
          <w:u w:val="single"/>
        </w:rPr>
        <w:t>或回复给承包人的联系单，承包人不认可或部分不认可的，应在收到之日起7日内提出书面异议，承包人未在7日内提出异议的，视为承包人认可该联系单所有内容；施工过程中的各类联系单涉及产生费用的，承包人应在不迟于该联系单所指事项发生之日起15个日历天提出经济签证，否则发包人可因发生时间过长为由拒签。承包人提出的尤其涉及费用的联系单必须依据充分，用详尽的资料予以说明，以便于发包人及监理单位审核，否则发包人可予以退回或拒签。</w:t>
      </w:r>
    </w:p>
    <w:p w14:paraId="69ED0BDC">
      <w:pPr>
        <w:spacing w:line="360" w:lineRule="auto"/>
        <w:rPr>
          <w:rFonts w:ascii="宋体" w:hAnsi="宋体" w:cs="宋体"/>
          <w:b/>
          <w:sz w:val="24"/>
        </w:rPr>
      </w:pPr>
      <w:r>
        <w:rPr>
          <w:rFonts w:hint="eastAsia" w:ascii="宋体" w:hAnsi="宋体" w:cs="宋体"/>
          <w:b/>
          <w:sz w:val="24"/>
        </w:rPr>
        <w:t>附件</w:t>
      </w:r>
    </w:p>
    <w:p w14:paraId="58206E31">
      <w:pPr>
        <w:spacing w:line="360" w:lineRule="auto"/>
        <w:rPr>
          <w:rFonts w:ascii="宋体" w:hAnsi="宋体" w:cs="宋体"/>
          <w:sz w:val="24"/>
        </w:rPr>
      </w:pPr>
      <w:r>
        <w:rPr>
          <w:rFonts w:hint="eastAsia" w:ascii="宋体" w:hAnsi="宋体" w:cs="宋体"/>
          <w:sz w:val="24"/>
        </w:rPr>
        <w:t>附件1：工程质量保修书</w:t>
      </w:r>
    </w:p>
    <w:p w14:paraId="0FAE29AA">
      <w:pPr>
        <w:spacing w:line="360" w:lineRule="auto"/>
        <w:rPr>
          <w:rFonts w:ascii="宋体" w:hAnsi="宋体" w:cs="宋体"/>
          <w:sz w:val="24"/>
        </w:rPr>
      </w:pPr>
      <w:r>
        <w:rPr>
          <w:rFonts w:hint="eastAsia" w:ascii="宋体" w:hAnsi="宋体" w:cs="宋体"/>
          <w:sz w:val="24"/>
        </w:rPr>
        <w:t>附件2：廉政建设合同</w:t>
      </w:r>
    </w:p>
    <w:p w14:paraId="79C7259E">
      <w:pPr>
        <w:spacing w:line="360" w:lineRule="auto"/>
        <w:rPr>
          <w:rFonts w:ascii="宋体" w:hAnsi="宋体" w:cs="宋体"/>
          <w:sz w:val="24"/>
        </w:rPr>
      </w:pPr>
      <w:r>
        <w:rPr>
          <w:rFonts w:hint="eastAsia" w:ascii="宋体" w:hAnsi="宋体" w:cs="宋体"/>
          <w:sz w:val="24"/>
        </w:rPr>
        <w:t>附件3：安全生产合同</w:t>
      </w:r>
    </w:p>
    <w:p w14:paraId="4A47FEBC">
      <w:pPr>
        <w:rPr>
          <w:rFonts w:ascii="宋体" w:hAnsi="宋体" w:cs="宋体"/>
          <w:sz w:val="24"/>
        </w:rPr>
      </w:pPr>
      <w:r>
        <w:rPr>
          <w:rFonts w:hint="eastAsia" w:ascii="宋体" w:hAnsi="宋体" w:cs="宋体"/>
          <w:sz w:val="24"/>
        </w:rPr>
        <w:t>附件4：主要材料（设备）清单</w:t>
      </w:r>
    </w:p>
    <w:p w14:paraId="1F3EB892">
      <w:pPr>
        <w:rPr>
          <w:rFonts w:ascii="宋体" w:hAnsi="宋体" w:cs="宋体"/>
          <w:sz w:val="24"/>
        </w:rPr>
      </w:pPr>
      <w:r>
        <w:rPr>
          <w:rFonts w:hint="eastAsia" w:ascii="宋体" w:hAnsi="宋体" w:cs="宋体"/>
          <w:sz w:val="24"/>
        </w:rPr>
        <w:t>附件5：营业执照和相关资质</w:t>
      </w:r>
    </w:p>
    <w:p w14:paraId="0A92E5C0">
      <w:pPr>
        <w:spacing w:line="360" w:lineRule="auto"/>
        <w:rPr>
          <w:rFonts w:ascii="宋体" w:hAnsi="宋体" w:cs="宋体"/>
          <w:sz w:val="24"/>
        </w:rPr>
      </w:pPr>
      <w:r>
        <w:rPr>
          <w:rFonts w:hint="eastAsia" w:ascii="宋体" w:hAnsi="宋体" w:cs="宋体"/>
          <w:sz w:val="24"/>
        </w:rPr>
        <w:br w:type="page"/>
      </w:r>
      <w:r>
        <w:rPr>
          <w:rFonts w:hint="eastAsia" w:ascii="宋体" w:hAnsi="宋体" w:cs="宋体"/>
          <w:sz w:val="24"/>
        </w:rPr>
        <w:t>附件1：</w:t>
      </w:r>
    </w:p>
    <w:p w14:paraId="51F2AC6A">
      <w:pPr>
        <w:spacing w:line="360" w:lineRule="auto"/>
        <w:jc w:val="center"/>
        <w:rPr>
          <w:rFonts w:ascii="宋体" w:hAnsi="宋体" w:cs="宋体"/>
          <w:sz w:val="24"/>
        </w:rPr>
      </w:pPr>
      <w:r>
        <w:rPr>
          <w:rFonts w:hint="eastAsia" w:ascii="宋体" w:hAnsi="宋体" w:cs="宋体"/>
          <w:sz w:val="24"/>
        </w:rPr>
        <w:t>工程质量保修书</w:t>
      </w:r>
    </w:p>
    <w:p w14:paraId="36AC7088">
      <w:pPr>
        <w:spacing w:line="360" w:lineRule="auto"/>
        <w:ind w:firstLine="480" w:firstLineChars="200"/>
        <w:rPr>
          <w:rFonts w:ascii="宋体" w:hAnsi="宋体" w:cs="宋体"/>
          <w:sz w:val="24"/>
        </w:rPr>
      </w:pPr>
      <w:r>
        <w:rPr>
          <w:rFonts w:hint="eastAsia" w:ascii="宋体" w:hAnsi="宋体" w:cs="宋体"/>
          <w:sz w:val="24"/>
        </w:rPr>
        <w:t>发包人（全称）：</w:t>
      </w:r>
      <w:r>
        <w:rPr>
          <w:rFonts w:hint="eastAsia" w:ascii="宋体" w:hAnsi="宋体" w:cs="宋体"/>
          <w:sz w:val="24"/>
          <w:u w:val="single"/>
        </w:rPr>
        <w:t xml:space="preserve">    浙江中医药大学                    </w:t>
      </w:r>
    </w:p>
    <w:p w14:paraId="7BED9F02">
      <w:pPr>
        <w:spacing w:line="360" w:lineRule="auto"/>
        <w:rPr>
          <w:rFonts w:ascii="宋体" w:hAnsi="宋体" w:cs="宋体"/>
          <w:sz w:val="24"/>
        </w:rPr>
      </w:pPr>
      <w:r>
        <w:rPr>
          <w:rFonts w:hint="eastAsia" w:ascii="宋体" w:hAnsi="宋体" w:cs="宋体"/>
          <w:sz w:val="24"/>
        </w:rPr>
        <w:t>　　承包人（全称）：</w:t>
      </w:r>
      <w:r>
        <w:rPr>
          <w:rFonts w:hint="eastAsia" w:ascii="宋体" w:hAnsi="宋体" w:cs="宋体"/>
          <w:sz w:val="24"/>
          <w:u w:val="single"/>
        </w:rPr>
        <w:t xml:space="preserve">                                     </w:t>
      </w:r>
    </w:p>
    <w:p w14:paraId="54784F62">
      <w:pPr>
        <w:spacing w:line="360" w:lineRule="auto"/>
        <w:rPr>
          <w:rFonts w:ascii="宋体" w:hAnsi="宋体" w:cs="宋体"/>
          <w:sz w:val="24"/>
        </w:rPr>
      </w:pPr>
    </w:p>
    <w:p w14:paraId="3B3C31FC">
      <w:pPr>
        <w:spacing w:line="360" w:lineRule="auto"/>
        <w:rPr>
          <w:rFonts w:ascii="宋体" w:hAnsi="宋体" w:cs="宋体"/>
          <w:sz w:val="24"/>
        </w:rPr>
      </w:pPr>
      <w:r>
        <w:rPr>
          <w:rFonts w:hint="eastAsia" w:ascii="宋体" w:hAnsi="宋体" w:cs="宋体"/>
          <w:sz w:val="24"/>
        </w:rPr>
        <w:t>　　发包人和承包人根据《中华人民共和国建筑法》和《建设工程质量管理条例》，经协商一致就</w:t>
      </w:r>
      <w:r>
        <w:rPr>
          <w:rFonts w:hint="eastAsia" w:ascii="宋体" w:hAnsi="宋体" w:cs="宋体"/>
          <w:bCs/>
          <w:sz w:val="24"/>
          <w:u w:val="single"/>
        </w:rPr>
        <w:t>浙江中医药大学富春校区体育场地修缮工程</w:t>
      </w:r>
      <w:r>
        <w:rPr>
          <w:rFonts w:hint="eastAsia" w:ascii="宋体" w:hAnsi="宋体" w:cs="宋体"/>
          <w:sz w:val="24"/>
        </w:rPr>
        <w:t>（工程全称）</w:t>
      </w:r>
      <w:r>
        <w:rPr>
          <w:rFonts w:hint="eastAsia" w:ascii="宋体" w:hAnsi="宋体" w:cs="宋体"/>
          <w:sz w:val="24"/>
          <w:u w:val="single"/>
        </w:rPr>
        <w:t xml:space="preserve">           </w:t>
      </w:r>
      <w:r>
        <w:rPr>
          <w:rFonts w:hint="eastAsia" w:ascii="宋体" w:hAnsi="宋体" w:cs="宋体"/>
          <w:sz w:val="24"/>
        </w:rPr>
        <w:t>签订工程质量保修书。</w:t>
      </w:r>
    </w:p>
    <w:p w14:paraId="434B6012">
      <w:pPr>
        <w:spacing w:line="360" w:lineRule="auto"/>
        <w:rPr>
          <w:rFonts w:ascii="宋体" w:hAnsi="宋体" w:cs="宋体"/>
          <w:sz w:val="24"/>
        </w:rPr>
      </w:pPr>
      <w:r>
        <w:rPr>
          <w:rFonts w:hint="eastAsia" w:ascii="宋体" w:hAnsi="宋体" w:cs="宋体"/>
          <w:sz w:val="24"/>
        </w:rPr>
        <w:t>　　一、工程质量保修范围和内容</w:t>
      </w:r>
    </w:p>
    <w:p w14:paraId="3C6B4193">
      <w:pPr>
        <w:spacing w:line="360" w:lineRule="auto"/>
        <w:rPr>
          <w:rFonts w:ascii="宋体" w:hAnsi="宋体" w:cs="宋体"/>
          <w:sz w:val="24"/>
        </w:rPr>
      </w:pPr>
      <w:r>
        <w:rPr>
          <w:rFonts w:hint="eastAsia" w:ascii="宋体" w:hAnsi="宋体" w:cs="宋体"/>
          <w:sz w:val="24"/>
        </w:rPr>
        <w:t>　　承包人在质量保修期内，按照有关法律规定和合同约定，承担工程质量保修责任。</w:t>
      </w:r>
    </w:p>
    <w:p w14:paraId="1832B51D">
      <w:pPr>
        <w:spacing w:line="360" w:lineRule="auto"/>
        <w:rPr>
          <w:rFonts w:ascii="宋体" w:hAnsi="宋体" w:cs="宋体"/>
          <w:sz w:val="24"/>
        </w:rPr>
      </w:pPr>
      <w:r>
        <w:rPr>
          <w:rFonts w:hint="eastAsia" w:ascii="宋体" w:hAnsi="宋体" w:cs="宋体"/>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sz w:val="24"/>
          <w:u w:val="single"/>
        </w:rPr>
        <w:t xml:space="preserve">  合同范围内所有工作内容   </w:t>
      </w:r>
      <w:r>
        <w:rPr>
          <w:rFonts w:hint="eastAsia" w:ascii="宋体" w:hAnsi="宋体" w:cs="宋体"/>
          <w:sz w:val="24"/>
        </w:rPr>
        <w:t>。</w:t>
      </w:r>
    </w:p>
    <w:p w14:paraId="675AB2BE">
      <w:pPr>
        <w:spacing w:line="360" w:lineRule="auto"/>
        <w:rPr>
          <w:rFonts w:ascii="宋体" w:hAnsi="宋体" w:cs="宋体"/>
          <w:sz w:val="24"/>
        </w:rPr>
      </w:pPr>
      <w:r>
        <w:rPr>
          <w:rFonts w:hint="eastAsia" w:ascii="宋体" w:hAnsi="宋体" w:cs="宋体"/>
          <w:b/>
          <w:sz w:val="24"/>
        </w:rPr>
        <w:t>　　</w:t>
      </w:r>
      <w:r>
        <w:rPr>
          <w:rFonts w:hint="eastAsia" w:ascii="宋体" w:hAnsi="宋体" w:cs="宋体"/>
          <w:sz w:val="24"/>
        </w:rPr>
        <w:t>二、质量保修期</w:t>
      </w:r>
    </w:p>
    <w:p w14:paraId="2ECD7388">
      <w:pPr>
        <w:spacing w:line="360" w:lineRule="auto"/>
        <w:ind w:firstLine="480" w:firstLineChars="200"/>
        <w:rPr>
          <w:rFonts w:ascii="宋体" w:hAnsi="宋体" w:cs="宋体"/>
          <w:sz w:val="24"/>
        </w:rPr>
      </w:pPr>
      <w:r>
        <w:rPr>
          <w:rFonts w:hint="eastAsia" w:ascii="宋体" w:hAnsi="宋体" w:cs="宋体"/>
          <w:sz w:val="24"/>
        </w:rPr>
        <w:t>根据《建设工程质量管理条例》及有关规定，工程的质量保修期如下：</w:t>
      </w:r>
    </w:p>
    <w:p w14:paraId="458154B4">
      <w:pPr>
        <w:spacing w:line="360" w:lineRule="auto"/>
        <w:ind w:firstLine="480" w:firstLineChars="200"/>
        <w:rPr>
          <w:rFonts w:ascii="宋体" w:hAnsi="宋体" w:cs="宋体"/>
          <w:sz w:val="24"/>
        </w:rPr>
      </w:pPr>
      <w:r>
        <w:rPr>
          <w:rFonts w:hint="eastAsia" w:ascii="宋体" w:hAnsi="宋体" w:cs="宋体"/>
          <w:sz w:val="24"/>
        </w:rPr>
        <w:t>1．地基基础工程和主体结构工程为设计文件规定的工程合理使用年限；</w:t>
      </w:r>
    </w:p>
    <w:p w14:paraId="0839DD67">
      <w:pPr>
        <w:spacing w:line="360" w:lineRule="auto"/>
        <w:ind w:firstLine="480" w:firstLineChars="200"/>
        <w:rPr>
          <w:rFonts w:ascii="宋体" w:hAnsi="宋体" w:cs="宋体"/>
          <w:sz w:val="24"/>
        </w:rPr>
      </w:pPr>
      <w:r>
        <w:rPr>
          <w:rFonts w:hint="eastAsia" w:ascii="宋体" w:hAnsi="宋体" w:cs="宋体"/>
          <w:sz w:val="24"/>
        </w:rPr>
        <w:t>2．屋面防水工程、有防水要求的卫生间、房间和外墙面的防渗漏为</w:t>
      </w:r>
      <w:r>
        <w:rPr>
          <w:rFonts w:hint="eastAsia" w:ascii="宋体" w:hAnsi="宋体" w:cs="宋体"/>
          <w:sz w:val="24"/>
          <w:u w:val="single"/>
        </w:rPr>
        <w:t xml:space="preserve">  /  </w:t>
      </w:r>
      <w:r>
        <w:rPr>
          <w:rFonts w:hint="eastAsia" w:ascii="宋体" w:hAnsi="宋体" w:cs="宋体"/>
          <w:sz w:val="24"/>
        </w:rPr>
        <w:t>年；</w:t>
      </w:r>
    </w:p>
    <w:p w14:paraId="7C355C39">
      <w:pPr>
        <w:spacing w:line="360" w:lineRule="auto"/>
        <w:ind w:firstLine="480" w:firstLineChars="200"/>
        <w:rPr>
          <w:rFonts w:ascii="宋体" w:hAnsi="宋体" w:cs="宋体"/>
          <w:sz w:val="24"/>
        </w:rPr>
      </w:pPr>
      <w:r>
        <w:rPr>
          <w:rFonts w:hint="eastAsia" w:ascii="宋体" w:hAnsi="宋体" w:cs="宋体"/>
          <w:sz w:val="24"/>
        </w:rPr>
        <w:t>3．装修工程为</w:t>
      </w:r>
      <w:r>
        <w:rPr>
          <w:rFonts w:hint="eastAsia" w:ascii="宋体" w:hAnsi="宋体" w:cs="宋体"/>
          <w:sz w:val="24"/>
          <w:u w:val="single"/>
        </w:rPr>
        <w:t xml:space="preserve">   /   </w:t>
      </w:r>
      <w:r>
        <w:rPr>
          <w:rFonts w:hint="eastAsia" w:ascii="宋体" w:hAnsi="宋体" w:cs="宋体"/>
          <w:sz w:val="24"/>
        </w:rPr>
        <w:t>年；</w:t>
      </w:r>
    </w:p>
    <w:p w14:paraId="7EA1ABAA">
      <w:pPr>
        <w:spacing w:line="360" w:lineRule="auto"/>
        <w:ind w:firstLine="480" w:firstLineChars="200"/>
        <w:rPr>
          <w:rFonts w:ascii="宋体" w:hAnsi="宋体" w:cs="宋体"/>
          <w:sz w:val="24"/>
        </w:rPr>
      </w:pPr>
      <w:r>
        <w:rPr>
          <w:rFonts w:hint="eastAsia" w:ascii="宋体" w:hAnsi="宋体" w:cs="宋体"/>
          <w:sz w:val="24"/>
        </w:rPr>
        <w:t>4．电气管线、给排水管道、设备安装工程为</w:t>
      </w:r>
      <w:r>
        <w:rPr>
          <w:rFonts w:hint="eastAsia" w:ascii="宋体" w:hAnsi="宋体" w:cs="宋体"/>
          <w:sz w:val="24"/>
          <w:u w:val="single"/>
        </w:rPr>
        <w:t xml:space="preserve">  /   </w:t>
      </w:r>
      <w:r>
        <w:rPr>
          <w:rFonts w:hint="eastAsia" w:ascii="宋体" w:hAnsi="宋体" w:cs="宋体"/>
          <w:sz w:val="24"/>
        </w:rPr>
        <w:t>年；</w:t>
      </w:r>
    </w:p>
    <w:p w14:paraId="4A8D0E9D">
      <w:pPr>
        <w:spacing w:line="360" w:lineRule="auto"/>
        <w:ind w:firstLine="480" w:firstLineChars="200"/>
        <w:rPr>
          <w:rFonts w:ascii="宋体" w:hAnsi="宋体" w:cs="宋体"/>
          <w:sz w:val="24"/>
        </w:rPr>
      </w:pPr>
      <w:r>
        <w:rPr>
          <w:rFonts w:hint="eastAsia" w:ascii="宋体" w:hAnsi="宋体" w:cs="宋体"/>
          <w:sz w:val="24"/>
        </w:rPr>
        <w:t>5．供热与供冷系统为</w:t>
      </w:r>
      <w:r>
        <w:rPr>
          <w:rFonts w:hint="eastAsia" w:ascii="宋体" w:hAnsi="宋体" w:cs="宋体"/>
          <w:sz w:val="24"/>
          <w:u w:val="single"/>
        </w:rPr>
        <w:t xml:space="preserve"> /  </w:t>
      </w:r>
      <w:r>
        <w:rPr>
          <w:rFonts w:hint="eastAsia" w:ascii="宋体" w:hAnsi="宋体" w:cs="宋体"/>
          <w:sz w:val="24"/>
        </w:rPr>
        <w:t>个采暖期、供冷期；</w:t>
      </w:r>
    </w:p>
    <w:p w14:paraId="64B461C7">
      <w:pPr>
        <w:spacing w:line="360" w:lineRule="auto"/>
        <w:ind w:firstLine="480" w:firstLineChars="200"/>
        <w:rPr>
          <w:rFonts w:ascii="宋体" w:hAnsi="宋体" w:cs="宋体"/>
          <w:sz w:val="24"/>
        </w:rPr>
      </w:pPr>
      <w:r>
        <w:rPr>
          <w:rFonts w:hint="eastAsia" w:ascii="宋体" w:hAnsi="宋体" w:cs="宋体"/>
          <w:sz w:val="24"/>
        </w:rPr>
        <w:t>6．住宅小区内的给排水设施、道路等配套工程为</w:t>
      </w:r>
      <w:r>
        <w:rPr>
          <w:rFonts w:hint="eastAsia" w:ascii="宋体" w:hAnsi="宋体" w:cs="宋体"/>
          <w:sz w:val="24"/>
          <w:u w:val="single"/>
        </w:rPr>
        <w:t xml:space="preserve">   /   </w:t>
      </w:r>
      <w:r>
        <w:rPr>
          <w:rFonts w:hint="eastAsia" w:ascii="宋体" w:hAnsi="宋体" w:cs="宋体"/>
          <w:sz w:val="24"/>
        </w:rPr>
        <w:t>年；</w:t>
      </w:r>
    </w:p>
    <w:p w14:paraId="45B33078">
      <w:pPr>
        <w:spacing w:line="360" w:lineRule="auto"/>
        <w:ind w:firstLine="480" w:firstLineChars="200"/>
        <w:rPr>
          <w:rFonts w:ascii="宋体" w:hAnsi="宋体" w:cs="宋体"/>
          <w:sz w:val="24"/>
          <w:u w:val="single"/>
        </w:rPr>
      </w:pPr>
      <w:r>
        <w:rPr>
          <w:rFonts w:hint="eastAsia" w:ascii="宋体" w:hAnsi="宋体" w:cs="宋体"/>
          <w:sz w:val="24"/>
        </w:rPr>
        <w:t>7．</w:t>
      </w:r>
      <w:r>
        <w:rPr>
          <w:rFonts w:hint="eastAsia" w:ascii="宋体" w:hAnsi="宋体" w:cs="宋体"/>
          <w:sz w:val="24"/>
          <w:u w:val="single"/>
        </w:rPr>
        <w:t>本合同所有工程内容质保期   年，时间从本项目整体竣工验收合格并交付发包人使用之日起算</w:t>
      </w:r>
      <w:r>
        <w:rPr>
          <w:rFonts w:hint="eastAsia" w:ascii="宋体" w:hAnsi="宋体" w:cs="宋体"/>
          <w:sz w:val="24"/>
        </w:rPr>
        <w:t>；</w:t>
      </w:r>
    </w:p>
    <w:p w14:paraId="62BA4CA8">
      <w:pPr>
        <w:spacing w:line="360" w:lineRule="auto"/>
        <w:rPr>
          <w:rFonts w:ascii="宋体" w:hAnsi="宋体" w:cs="宋体"/>
          <w:sz w:val="24"/>
        </w:rPr>
      </w:pPr>
      <w:r>
        <w:rPr>
          <w:rFonts w:hint="eastAsia" w:ascii="宋体" w:hAnsi="宋体" w:cs="宋体"/>
          <w:sz w:val="24"/>
        </w:rPr>
        <w:t>　　质量保修期自工程竣工验收合格之日起计算。</w:t>
      </w:r>
    </w:p>
    <w:p w14:paraId="2429C7F2">
      <w:pPr>
        <w:spacing w:line="360" w:lineRule="auto"/>
        <w:ind w:firstLine="480" w:firstLineChars="200"/>
        <w:rPr>
          <w:rFonts w:ascii="宋体" w:hAnsi="宋体" w:cs="宋体"/>
          <w:sz w:val="24"/>
        </w:rPr>
      </w:pPr>
      <w:r>
        <w:rPr>
          <w:rFonts w:hint="eastAsia" w:ascii="宋体" w:hAnsi="宋体" w:cs="宋体"/>
          <w:sz w:val="24"/>
        </w:rPr>
        <w:t>三、缺陷责任期</w:t>
      </w:r>
    </w:p>
    <w:p w14:paraId="583E1F75">
      <w:pPr>
        <w:spacing w:line="360" w:lineRule="auto"/>
        <w:ind w:firstLine="480" w:firstLineChars="200"/>
        <w:rPr>
          <w:rFonts w:ascii="宋体" w:hAnsi="宋体" w:cs="宋体"/>
          <w:sz w:val="24"/>
        </w:rPr>
      </w:pPr>
      <w:r>
        <w:rPr>
          <w:rFonts w:hint="eastAsia" w:ascii="宋体" w:hAnsi="宋体" w:cs="宋体"/>
          <w:sz w:val="24"/>
        </w:rPr>
        <w:t>工程缺陷责任期为</w:t>
      </w:r>
      <w:r>
        <w:rPr>
          <w:rFonts w:hint="eastAsia" w:ascii="宋体" w:hAnsi="宋体" w:cs="宋体"/>
          <w:sz w:val="24"/>
          <w:u w:val="single"/>
        </w:rPr>
        <w:t xml:space="preserve">    </w:t>
      </w:r>
      <w:r>
        <w:rPr>
          <w:rFonts w:hint="eastAsia" w:ascii="宋体" w:hAnsi="宋体" w:cs="宋体"/>
          <w:sz w:val="24"/>
        </w:rPr>
        <w:t>个月，缺陷责任期自工程通过竣工验收之日起计算。单位工程先于全部工程进行验收，单位工程缺陷责任期自单位工程验收合格之日起算。</w:t>
      </w:r>
    </w:p>
    <w:p w14:paraId="6BE1B674">
      <w:pPr>
        <w:snapToGrid w:val="0"/>
        <w:spacing w:line="360" w:lineRule="auto"/>
        <w:ind w:firstLine="480" w:firstLineChars="200"/>
        <w:rPr>
          <w:rFonts w:ascii="宋体" w:hAnsi="宋体" w:cs="宋体"/>
          <w:sz w:val="24"/>
        </w:rPr>
      </w:pPr>
      <w:r>
        <w:rPr>
          <w:rFonts w:hint="eastAsia" w:ascii="宋体" w:hAnsi="宋体" w:cs="宋体"/>
          <w:sz w:val="24"/>
        </w:rPr>
        <w:t>缺陷责任期终止后，发包人退还的质量保证金。</w:t>
      </w:r>
    </w:p>
    <w:p w14:paraId="1894E6BF">
      <w:pPr>
        <w:spacing w:line="360" w:lineRule="auto"/>
        <w:rPr>
          <w:rFonts w:ascii="宋体" w:hAnsi="宋体" w:cs="宋体"/>
          <w:sz w:val="24"/>
        </w:rPr>
      </w:pPr>
      <w:r>
        <w:rPr>
          <w:rFonts w:hint="eastAsia" w:ascii="宋体" w:hAnsi="宋体" w:cs="宋体"/>
          <w:sz w:val="24"/>
        </w:rPr>
        <w:t xml:space="preserve">    四、质量保修责任</w:t>
      </w:r>
    </w:p>
    <w:p w14:paraId="2D7688CD">
      <w:pPr>
        <w:spacing w:line="360" w:lineRule="auto"/>
        <w:ind w:left="105" w:leftChars="50" w:firstLine="489" w:firstLineChars="204"/>
        <w:rPr>
          <w:rFonts w:ascii="宋体" w:hAnsi="宋体" w:cs="宋体"/>
          <w:sz w:val="24"/>
        </w:rPr>
      </w:pPr>
      <w:r>
        <w:rPr>
          <w:rFonts w:hint="eastAsia" w:ascii="宋体" w:hAnsi="宋体" w:cs="宋体"/>
          <w:sz w:val="24"/>
        </w:rPr>
        <w:t>1．质保期内属于保修范围、内容的项目，承包人应当在接到保修通知之日起24小时内派人维修，紧急情况下2小时内派人维修。承包人不在约定期限内派人保修的，发包人可以委托他人修理。</w:t>
      </w:r>
    </w:p>
    <w:p w14:paraId="6D8A35E4">
      <w:pPr>
        <w:spacing w:line="360" w:lineRule="auto"/>
        <w:ind w:left="105" w:leftChars="50" w:firstLine="489" w:firstLineChars="204"/>
        <w:rPr>
          <w:rFonts w:ascii="宋体" w:hAnsi="宋体" w:cs="宋体"/>
          <w:sz w:val="24"/>
        </w:rPr>
      </w:pPr>
      <w:r>
        <w:rPr>
          <w:rFonts w:hint="eastAsia" w:ascii="宋体" w:hAnsi="宋体" w:cs="宋体"/>
          <w:sz w:val="24"/>
        </w:rPr>
        <w:t>2．发生紧急事故需抢修的，承包人在接到事故通知后，应当立即到达事故现场抢修。</w:t>
      </w:r>
    </w:p>
    <w:p w14:paraId="2F1DF284">
      <w:pPr>
        <w:spacing w:line="360" w:lineRule="auto"/>
        <w:ind w:left="105" w:leftChars="50" w:firstLine="489" w:firstLineChars="204"/>
        <w:rPr>
          <w:rFonts w:ascii="宋体" w:hAnsi="宋体" w:cs="宋体"/>
          <w:sz w:val="24"/>
        </w:rPr>
      </w:pPr>
      <w:r>
        <w:rPr>
          <w:rFonts w:hint="eastAsia" w:ascii="宋体" w:hAnsi="宋体" w:cs="宋体"/>
          <w:sz w:val="24"/>
        </w:rPr>
        <w:t>3．对于涉及结构安全的质量问题，应当按照《建设工程质量管理条例》的规定，立即向当地建设行政主管部门和有关部门报告，采取安全防范措施，并由原设计人或者具有相应资质等级的设计人（如有）提出保修方案，承包人实施保修。</w:t>
      </w:r>
    </w:p>
    <w:p w14:paraId="3079B339">
      <w:pPr>
        <w:spacing w:line="360" w:lineRule="auto"/>
        <w:ind w:left="420" w:leftChars="200" w:firstLine="120" w:firstLineChars="50"/>
        <w:rPr>
          <w:rFonts w:ascii="宋体" w:hAnsi="宋体" w:cs="宋体"/>
          <w:sz w:val="24"/>
        </w:rPr>
      </w:pPr>
      <w:r>
        <w:rPr>
          <w:rFonts w:hint="eastAsia" w:ascii="宋体" w:hAnsi="宋体" w:cs="宋体"/>
          <w:sz w:val="24"/>
        </w:rPr>
        <w:t>4．质量保修完成后，由发包人组织验收。</w:t>
      </w:r>
    </w:p>
    <w:p w14:paraId="20F682D3">
      <w:pPr>
        <w:spacing w:line="360" w:lineRule="auto"/>
        <w:rPr>
          <w:rFonts w:ascii="宋体" w:hAnsi="宋体" w:cs="宋体"/>
          <w:sz w:val="24"/>
        </w:rPr>
      </w:pPr>
      <w:r>
        <w:rPr>
          <w:rFonts w:hint="eastAsia" w:ascii="宋体" w:hAnsi="宋体" w:cs="宋体"/>
          <w:sz w:val="24"/>
        </w:rPr>
        <w:t>　　 五、保修费用</w:t>
      </w:r>
    </w:p>
    <w:p w14:paraId="49D93A57">
      <w:pPr>
        <w:spacing w:line="360" w:lineRule="auto"/>
        <w:rPr>
          <w:rFonts w:ascii="宋体" w:hAnsi="宋体" w:cs="宋体"/>
          <w:sz w:val="24"/>
        </w:rPr>
      </w:pPr>
      <w:r>
        <w:rPr>
          <w:rFonts w:hint="eastAsia" w:ascii="宋体" w:hAnsi="宋体" w:cs="宋体"/>
          <w:sz w:val="24"/>
        </w:rPr>
        <w:t>　　 保修费用由造成质量缺陷的责任方承担。</w:t>
      </w:r>
    </w:p>
    <w:p w14:paraId="7C5FA3C1">
      <w:pPr>
        <w:spacing w:line="360" w:lineRule="auto"/>
        <w:rPr>
          <w:rFonts w:ascii="宋体" w:hAnsi="宋体" w:cs="宋体"/>
          <w:sz w:val="24"/>
          <w:u w:val="single"/>
        </w:rPr>
      </w:pPr>
      <w:r>
        <w:rPr>
          <w:rFonts w:hint="eastAsia" w:ascii="宋体" w:hAnsi="宋体" w:cs="宋体"/>
          <w:b/>
          <w:sz w:val="24"/>
        </w:rPr>
        <w:t xml:space="preserve">   </w:t>
      </w:r>
      <w:r>
        <w:rPr>
          <w:rFonts w:hint="eastAsia" w:ascii="宋体" w:hAnsi="宋体" w:cs="宋体"/>
          <w:sz w:val="24"/>
        </w:rPr>
        <w:t xml:space="preserve">  六、双方约定的其他工程质量保修事项：</w:t>
      </w:r>
    </w:p>
    <w:p w14:paraId="06C0C386">
      <w:pPr>
        <w:spacing w:line="360" w:lineRule="auto"/>
        <w:ind w:firstLine="576" w:firstLineChars="240"/>
        <w:rPr>
          <w:rFonts w:ascii="宋体" w:hAnsi="宋体" w:cs="宋体"/>
          <w:sz w:val="24"/>
        </w:rPr>
      </w:pPr>
      <w:r>
        <w:rPr>
          <w:rFonts w:hint="eastAsia" w:ascii="宋体" w:hAnsi="宋体" w:cs="宋体"/>
          <w:sz w:val="24"/>
        </w:rPr>
        <w:t>工程质量保修书由发包人、承包人在工程竣工验收前共同签署，作为施工合同附件，其有效期限至保修期满。</w:t>
      </w:r>
    </w:p>
    <w:p w14:paraId="78FFB3E1">
      <w:pPr>
        <w:spacing w:line="360" w:lineRule="auto"/>
        <w:ind w:firstLine="420"/>
        <w:rPr>
          <w:rFonts w:ascii="宋体" w:hAnsi="宋体" w:cs="宋体"/>
          <w:sz w:val="24"/>
        </w:rPr>
      </w:pPr>
      <w:r>
        <w:rPr>
          <w:rFonts w:hint="eastAsia" w:ascii="宋体" w:hAnsi="宋体" w:cs="宋体"/>
          <w:sz w:val="24"/>
        </w:rPr>
        <w:t xml:space="preserve"> </w:t>
      </w:r>
    </w:p>
    <w:p w14:paraId="57C91E54">
      <w:pPr>
        <w:spacing w:line="360" w:lineRule="auto"/>
        <w:ind w:firstLine="480" w:firstLineChars="200"/>
        <w:rPr>
          <w:rFonts w:ascii="宋体" w:hAnsi="宋体" w:cs="宋体"/>
          <w:sz w:val="24"/>
          <w:u w:val="single"/>
        </w:rPr>
      </w:pPr>
      <w:r>
        <w:rPr>
          <w:rFonts w:hint="eastAsia" w:ascii="宋体" w:hAnsi="宋体" w:cs="宋体"/>
          <w:sz w:val="24"/>
        </w:rPr>
        <w:t>发包人(公章)：</w:t>
      </w:r>
      <w:r>
        <w:rPr>
          <w:rFonts w:hint="eastAsia" w:ascii="宋体" w:hAnsi="宋体" w:cs="宋体"/>
          <w:sz w:val="24"/>
          <w:u w:val="single"/>
        </w:rPr>
        <w:t xml:space="preserve"> 浙江中医药大学    </w:t>
      </w:r>
      <w:r>
        <w:rPr>
          <w:rFonts w:hint="eastAsia" w:ascii="宋体" w:hAnsi="宋体" w:cs="宋体"/>
          <w:sz w:val="24"/>
        </w:rPr>
        <w:t xml:space="preserve">     承包人(公章)：</w:t>
      </w:r>
      <w:r>
        <w:rPr>
          <w:rFonts w:hint="eastAsia" w:ascii="宋体" w:hAnsi="宋体" w:cs="宋体"/>
          <w:sz w:val="24"/>
          <w:u w:val="single"/>
        </w:rPr>
        <w:t xml:space="preserve">                     </w:t>
      </w:r>
    </w:p>
    <w:p w14:paraId="3F824A45">
      <w:pPr>
        <w:spacing w:line="360" w:lineRule="auto"/>
        <w:ind w:left="6420" w:leftChars="200" w:right="-624" w:rightChars="-297" w:hanging="6000" w:hangingChars="2500"/>
        <w:rPr>
          <w:rFonts w:ascii="宋体" w:hAnsi="宋体" w:cs="宋体"/>
          <w:sz w:val="24"/>
        </w:rPr>
      </w:pPr>
      <w:r>
        <w:rPr>
          <w:rFonts w:hint="eastAsia" w:ascii="宋体" w:hAnsi="宋体" w:cs="宋体"/>
          <w:sz w:val="24"/>
        </w:rPr>
        <w:t>地  址：</w:t>
      </w:r>
      <w:r>
        <w:rPr>
          <w:rFonts w:hint="eastAsia" w:ascii="宋体" w:hAnsi="宋体" w:cs="宋体"/>
          <w:sz w:val="24"/>
          <w:u w:val="single"/>
        </w:rPr>
        <w:t>杭州市滨江区滨文路548号</w:t>
      </w:r>
      <w:r>
        <w:rPr>
          <w:rFonts w:hint="eastAsia" w:ascii="宋体" w:hAnsi="宋体" w:cs="宋体"/>
          <w:sz w:val="24"/>
        </w:rPr>
        <w:t xml:space="preserve">         地  址：</w:t>
      </w:r>
      <w:r>
        <w:rPr>
          <w:rFonts w:hint="eastAsia" w:ascii="宋体" w:hAnsi="宋体" w:cs="宋体"/>
          <w:kern w:val="0"/>
          <w:sz w:val="24"/>
          <w:u w:val="single"/>
        </w:rPr>
        <w:t xml:space="preserve"> </w:t>
      </w:r>
      <w:r>
        <w:rPr>
          <w:rFonts w:hint="eastAsia" w:ascii="宋体" w:hAnsi="宋体" w:cs="宋体"/>
          <w:sz w:val="24"/>
          <w:u w:val="single"/>
        </w:rPr>
        <w:t xml:space="preserve">                     </w:t>
      </w:r>
    </w:p>
    <w:p w14:paraId="45FD3476">
      <w:pPr>
        <w:spacing w:line="360" w:lineRule="auto"/>
        <w:ind w:firstLine="480" w:firstLineChars="200"/>
        <w:rPr>
          <w:rFonts w:ascii="宋体" w:hAnsi="宋体" w:cs="宋体"/>
          <w:sz w:val="24"/>
        </w:rPr>
      </w:pPr>
      <w:r>
        <w:rPr>
          <w:rFonts w:hint="eastAsia" w:ascii="宋体" w:hAnsi="宋体" w:cs="宋体"/>
          <w:sz w:val="24"/>
        </w:rPr>
        <w:t>法定代表人(签字)：</w:t>
      </w:r>
      <w:r>
        <w:rPr>
          <w:rFonts w:hint="eastAsia" w:ascii="宋体" w:hAnsi="宋体" w:cs="宋体"/>
          <w:sz w:val="24"/>
          <w:u w:val="single"/>
        </w:rPr>
        <w:t xml:space="preserve">      </w:t>
      </w:r>
      <w:r>
        <w:rPr>
          <w:rFonts w:hint="eastAsia" w:ascii="宋体" w:hAnsi="宋体" w:cs="宋体"/>
          <w:sz w:val="24"/>
        </w:rPr>
        <w:t xml:space="preserve">             法定代表人(签字)：</w:t>
      </w:r>
      <w:r>
        <w:rPr>
          <w:rFonts w:hint="eastAsia" w:ascii="宋体" w:hAnsi="宋体" w:cs="宋体"/>
          <w:sz w:val="24"/>
          <w:u w:val="single"/>
        </w:rPr>
        <w:t xml:space="preserve">       </w:t>
      </w:r>
    </w:p>
    <w:p w14:paraId="57A4CD33">
      <w:pPr>
        <w:spacing w:line="360" w:lineRule="auto"/>
        <w:ind w:firstLine="480" w:firstLineChars="200"/>
        <w:rPr>
          <w:rFonts w:ascii="宋体" w:hAnsi="宋体" w:cs="宋体"/>
          <w:sz w:val="24"/>
        </w:rPr>
      </w:pPr>
      <w:r>
        <w:rPr>
          <w:rFonts w:hint="eastAsia" w:ascii="宋体" w:hAnsi="宋体" w:cs="宋体"/>
          <w:sz w:val="24"/>
        </w:rPr>
        <w:t>委托代理人(签字)：</w:t>
      </w:r>
      <w:r>
        <w:rPr>
          <w:rFonts w:hint="eastAsia" w:ascii="宋体" w:hAnsi="宋体" w:cs="宋体"/>
          <w:sz w:val="24"/>
          <w:u w:val="single"/>
        </w:rPr>
        <w:t xml:space="preserve">      </w:t>
      </w:r>
      <w:r>
        <w:rPr>
          <w:rFonts w:hint="eastAsia" w:ascii="宋体" w:hAnsi="宋体" w:cs="宋体"/>
          <w:sz w:val="24"/>
        </w:rPr>
        <w:t xml:space="preserve">             委托代理人(签字)：</w:t>
      </w:r>
      <w:r>
        <w:rPr>
          <w:rFonts w:hint="eastAsia" w:ascii="宋体" w:hAnsi="宋体" w:cs="宋体"/>
          <w:sz w:val="24"/>
          <w:u w:val="single"/>
        </w:rPr>
        <w:t xml:space="preserve">       </w:t>
      </w:r>
    </w:p>
    <w:p w14:paraId="61DA13E9">
      <w:pPr>
        <w:spacing w:line="360" w:lineRule="auto"/>
        <w:ind w:firstLine="480" w:firstLineChars="200"/>
        <w:rPr>
          <w:rFonts w:ascii="宋体" w:hAnsi="宋体" w:cs="宋体"/>
          <w:sz w:val="24"/>
        </w:rPr>
      </w:pPr>
      <w:r>
        <w:rPr>
          <w:rFonts w:hint="eastAsia" w:ascii="宋体" w:hAnsi="宋体" w:cs="宋体"/>
          <w:sz w:val="24"/>
        </w:rPr>
        <w:t>电  话：</w:t>
      </w:r>
      <w:r>
        <w:rPr>
          <w:rFonts w:hint="eastAsia" w:ascii="宋体" w:hAnsi="宋体" w:cs="宋体"/>
          <w:sz w:val="24"/>
          <w:u w:val="single"/>
        </w:rPr>
        <w:t xml:space="preserve">                 </w:t>
      </w:r>
      <w:r>
        <w:rPr>
          <w:rFonts w:hint="eastAsia" w:ascii="宋体" w:hAnsi="宋体" w:cs="宋体"/>
          <w:sz w:val="24"/>
        </w:rPr>
        <w:t xml:space="preserve">              电  话：</w:t>
      </w:r>
      <w:r>
        <w:rPr>
          <w:rFonts w:hint="eastAsia" w:ascii="宋体" w:hAnsi="宋体" w:cs="宋体"/>
          <w:sz w:val="24"/>
          <w:u w:val="single"/>
        </w:rPr>
        <w:t xml:space="preserve">                        </w:t>
      </w:r>
    </w:p>
    <w:p w14:paraId="15E068C8">
      <w:pPr>
        <w:spacing w:line="360" w:lineRule="auto"/>
        <w:ind w:firstLine="480" w:firstLineChars="200"/>
        <w:rPr>
          <w:rFonts w:ascii="宋体" w:hAnsi="宋体" w:cs="宋体"/>
          <w:sz w:val="24"/>
        </w:rPr>
      </w:pPr>
      <w:r>
        <w:rPr>
          <w:rFonts w:hint="eastAsia" w:ascii="宋体" w:hAnsi="宋体" w:cs="宋体"/>
          <w:sz w:val="24"/>
        </w:rPr>
        <w:t>传  真：</w:t>
      </w:r>
      <w:r>
        <w:rPr>
          <w:rFonts w:hint="eastAsia" w:ascii="宋体" w:hAnsi="宋体" w:cs="宋体"/>
          <w:sz w:val="24"/>
          <w:u w:val="single"/>
        </w:rPr>
        <w:t xml:space="preserve">/   </w:t>
      </w:r>
      <w:r>
        <w:rPr>
          <w:rFonts w:hint="eastAsia" w:ascii="宋体" w:hAnsi="宋体" w:cs="宋体"/>
          <w:sz w:val="24"/>
        </w:rPr>
        <w:t xml:space="preserve">               传  真：</w:t>
      </w:r>
      <w:r>
        <w:rPr>
          <w:rFonts w:hint="eastAsia" w:ascii="宋体" w:hAnsi="宋体" w:cs="宋体"/>
          <w:sz w:val="24"/>
          <w:u w:val="single"/>
        </w:rPr>
        <w:t xml:space="preserve">                         </w:t>
      </w:r>
    </w:p>
    <w:p w14:paraId="3A3CF00F">
      <w:pPr>
        <w:spacing w:line="360" w:lineRule="auto"/>
        <w:ind w:left="6660" w:leftChars="200" w:right="-624" w:rightChars="-297" w:hanging="6240" w:hangingChars="2600"/>
        <w:rPr>
          <w:rFonts w:ascii="宋体" w:hAnsi="宋体" w:cs="宋体"/>
          <w:sz w:val="24"/>
        </w:rPr>
      </w:pPr>
      <w:r>
        <w:rPr>
          <w:rFonts w:hint="eastAsia" w:ascii="宋体" w:hAnsi="宋体" w:cs="宋体"/>
          <w:sz w:val="24"/>
        </w:rPr>
        <w:t>开户银行：</w:t>
      </w:r>
      <w:r>
        <w:rPr>
          <w:rFonts w:hint="eastAsia" w:ascii="宋体" w:hAnsi="宋体" w:cs="宋体"/>
          <w:sz w:val="24"/>
          <w:u w:val="single"/>
        </w:rPr>
        <w:t>工商银行景江苑支行</w:t>
      </w:r>
      <w:r>
        <w:rPr>
          <w:rFonts w:hint="eastAsia" w:ascii="宋体" w:hAnsi="宋体" w:cs="宋体"/>
          <w:sz w:val="24"/>
        </w:rPr>
        <w:t xml:space="preserve">             开户银行：</w:t>
      </w:r>
      <w:r>
        <w:rPr>
          <w:rFonts w:hint="eastAsia" w:ascii="宋体" w:hAnsi="宋体" w:cs="宋体"/>
          <w:sz w:val="24"/>
          <w:u w:val="single"/>
        </w:rPr>
        <w:t xml:space="preserve">                </w:t>
      </w:r>
      <w:r>
        <w:rPr>
          <w:rFonts w:hint="eastAsia" w:ascii="宋体" w:hAnsi="宋体" w:cs="宋体"/>
          <w:kern w:val="0"/>
          <w:sz w:val="24"/>
          <w:u w:val="single"/>
        </w:rPr>
        <w:t xml:space="preserve">     </w:t>
      </w:r>
      <w:r>
        <w:rPr>
          <w:rFonts w:hint="eastAsia" w:ascii="宋体" w:hAnsi="宋体" w:cs="宋体"/>
          <w:sz w:val="24"/>
          <w:u w:val="single"/>
        </w:rPr>
        <w:t xml:space="preserve">  </w:t>
      </w:r>
    </w:p>
    <w:p w14:paraId="0E6698D4">
      <w:pPr>
        <w:spacing w:line="360" w:lineRule="auto"/>
        <w:ind w:right="-624" w:rightChars="-297" w:firstLine="480" w:firstLineChars="200"/>
        <w:rPr>
          <w:rFonts w:ascii="宋体" w:hAnsi="宋体" w:cs="宋体"/>
          <w:sz w:val="24"/>
          <w:u w:val="single"/>
        </w:rPr>
      </w:pPr>
      <w:r>
        <w:rPr>
          <w:rFonts w:hint="eastAsia" w:ascii="宋体" w:hAnsi="宋体" w:cs="宋体"/>
          <w:sz w:val="24"/>
        </w:rPr>
        <w:t>账  号：</w:t>
      </w:r>
      <w:r>
        <w:rPr>
          <w:rFonts w:hint="eastAsia" w:ascii="宋体" w:hAnsi="宋体" w:cs="宋体"/>
          <w:sz w:val="24"/>
          <w:u w:val="single"/>
        </w:rPr>
        <w:t xml:space="preserve">1202023419100001174  </w:t>
      </w:r>
      <w:r>
        <w:rPr>
          <w:rFonts w:hint="eastAsia" w:ascii="宋体" w:hAnsi="宋体" w:cs="宋体"/>
          <w:sz w:val="24"/>
        </w:rPr>
        <w:t xml:space="preserve">            账  号：</w:t>
      </w:r>
      <w:r>
        <w:rPr>
          <w:rFonts w:hint="eastAsia" w:ascii="宋体" w:hAnsi="宋体" w:cs="宋体"/>
          <w:sz w:val="24"/>
          <w:u w:val="single"/>
        </w:rPr>
        <w:t xml:space="preserve">                </w:t>
      </w:r>
      <w:r>
        <w:rPr>
          <w:rFonts w:hint="eastAsia" w:ascii="宋体" w:hAnsi="宋体" w:cs="宋体"/>
          <w:kern w:val="0"/>
          <w:sz w:val="24"/>
          <w:u w:val="single"/>
        </w:rPr>
        <w:t xml:space="preserve">    </w:t>
      </w:r>
    </w:p>
    <w:p w14:paraId="5651BD0E">
      <w:pPr>
        <w:spacing w:line="360" w:lineRule="auto"/>
        <w:ind w:firstLine="480" w:firstLineChars="200"/>
        <w:rPr>
          <w:rFonts w:ascii="宋体" w:hAnsi="宋体" w:cs="宋体"/>
          <w:sz w:val="24"/>
        </w:rPr>
      </w:pPr>
      <w:r>
        <w:rPr>
          <w:rFonts w:hint="eastAsia" w:ascii="宋体" w:hAnsi="宋体" w:cs="宋体"/>
          <w:sz w:val="24"/>
        </w:rPr>
        <w:t>邮政编码：</w:t>
      </w:r>
      <w:r>
        <w:rPr>
          <w:rFonts w:hint="eastAsia" w:ascii="宋体" w:hAnsi="宋体" w:cs="宋体"/>
          <w:sz w:val="24"/>
          <w:u w:val="single"/>
        </w:rPr>
        <w:t xml:space="preserve"> 310053    </w:t>
      </w:r>
      <w:r>
        <w:rPr>
          <w:rFonts w:hint="eastAsia" w:ascii="宋体" w:hAnsi="宋体" w:cs="宋体"/>
          <w:sz w:val="24"/>
        </w:rPr>
        <w:t xml:space="preserve">                 邮政编码：</w:t>
      </w:r>
      <w:r>
        <w:rPr>
          <w:rFonts w:hint="eastAsia" w:ascii="宋体" w:hAnsi="宋体" w:cs="宋体"/>
          <w:sz w:val="24"/>
          <w:u w:val="single"/>
        </w:rPr>
        <w:t xml:space="preserve">                         </w:t>
      </w:r>
    </w:p>
    <w:p w14:paraId="5D1F038A">
      <w:pPr>
        <w:spacing w:line="360" w:lineRule="auto"/>
        <w:rPr>
          <w:rFonts w:ascii="宋体" w:hAnsi="宋体" w:cs="宋体"/>
          <w:sz w:val="24"/>
        </w:rPr>
      </w:pPr>
      <w:r>
        <w:rPr>
          <w:rFonts w:hint="eastAsia" w:ascii="宋体" w:hAnsi="宋体" w:cs="宋体"/>
          <w:sz w:val="24"/>
        </w:rPr>
        <w:br w:type="page"/>
      </w:r>
      <w:bookmarkEnd w:id="494"/>
      <w:r>
        <w:rPr>
          <w:rFonts w:hint="eastAsia" w:ascii="宋体" w:hAnsi="宋体" w:cs="宋体"/>
          <w:sz w:val="24"/>
        </w:rPr>
        <w:t>附件2：</w:t>
      </w:r>
    </w:p>
    <w:p w14:paraId="4A422471">
      <w:pPr>
        <w:spacing w:line="360" w:lineRule="auto"/>
        <w:jc w:val="center"/>
        <w:rPr>
          <w:rFonts w:ascii="宋体" w:hAnsi="宋体" w:cs="宋体"/>
          <w:sz w:val="24"/>
        </w:rPr>
      </w:pPr>
      <w:r>
        <w:rPr>
          <w:rFonts w:hint="eastAsia" w:ascii="宋体" w:hAnsi="宋体" w:cs="宋体"/>
          <w:sz w:val="24"/>
        </w:rPr>
        <w:t>廉政建设合同</w:t>
      </w:r>
    </w:p>
    <w:p w14:paraId="510F4DCB">
      <w:pPr>
        <w:spacing w:line="360" w:lineRule="auto"/>
        <w:jc w:val="center"/>
        <w:rPr>
          <w:rFonts w:ascii="宋体" w:hAnsi="宋体" w:cs="宋体"/>
          <w:sz w:val="24"/>
        </w:rPr>
      </w:pPr>
    </w:p>
    <w:p w14:paraId="71C8BC13">
      <w:pPr>
        <w:spacing w:line="360" w:lineRule="auto"/>
        <w:ind w:firstLine="480" w:firstLineChars="200"/>
        <w:rPr>
          <w:rFonts w:ascii="宋体" w:hAnsi="宋体" w:cs="宋体"/>
          <w:sz w:val="24"/>
        </w:rPr>
      </w:pPr>
      <w:r>
        <w:rPr>
          <w:rFonts w:hint="eastAsia" w:ascii="宋体" w:hAnsi="宋体" w:cs="宋体"/>
          <w:sz w:val="24"/>
        </w:rPr>
        <w:t>根据有关工程建设、廉政建设的规定，为做好工程建设中的党风廉政建设，保证工程建设高效优质，保证建设资金的安全和有效使用以及投资效益，</w:t>
      </w:r>
      <w:r>
        <w:rPr>
          <w:rFonts w:hint="eastAsia" w:ascii="宋体" w:hAnsi="宋体" w:cs="宋体"/>
          <w:sz w:val="24"/>
          <w:u w:val="single"/>
        </w:rPr>
        <w:t>浙江中医药大学富春校区体育场地修缮工程</w:t>
      </w:r>
      <w:r>
        <w:rPr>
          <w:rFonts w:hint="eastAsia" w:ascii="宋体" w:hAnsi="宋体" w:cs="宋体"/>
          <w:sz w:val="24"/>
        </w:rPr>
        <w:t>的项目法人</w:t>
      </w:r>
      <w:r>
        <w:rPr>
          <w:rFonts w:hint="eastAsia" w:ascii="宋体" w:hAnsi="宋体" w:cs="宋体"/>
          <w:kern w:val="0"/>
          <w:sz w:val="24"/>
          <w:u w:val="single"/>
        </w:rPr>
        <w:t xml:space="preserve">  </w:t>
      </w:r>
      <w:r>
        <w:rPr>
          <w:rFonts w:hint="eastAsia" w:ascii="宋体" w:hAnsi="宋体" w:cs="宋体"/>
          <w:sz w:val="24"/>
          <w:u w:val="single"/>
        </w:rPr>
        <w:t xml:space="preserve">浙江中医药大学  </w:t>
      </w:r>
      <w:r>
        <w:rPr>
          <w:rFonts w:hint="eastAsia" w:ascii="宋体" w:hAnsi="宋体" w:cs="宋体"/>
          <w:kern w:val="0"/>
          <w:sz w:val="24"/>
          <w:u w:val="single"/>
        </w:rPr>
        <w:t xml:space="preserve"> </w:t>
      </w:r>
      <w:r>
        <w:rPr>
          <w:rFonts w:hint="eastAsia" w:ascii="宋体" w:hAnsi="宋体" w:cs="宋体"/>
          <w:sz w:val="24"/>
        </w:rPr>
        <w:t>（以下简称发包人）与施工单位</w:t>
      </w:r>
      <w:r>
        <w:rPr>
          <w:rFonts w:hint="eastAsia" w:ascii="宋体" w:hAnsi="宋体" w:cs="宋体"/>
          <w:sz w:val="24"/>
          <w:u w:val="single"/>
        </w:rPr>
        <w:t xml:space="preserve">            </w:t>
      </w:r>
      <w:r>
        <w:rPr>
          <w:rFonts w:hint="eastAsia" w:ascii="宋体" w:hAnsi="宋体" w:cs="宋体"/>
          <w:sz w:val="24"/>
        </w:rPr>
        <w:t>（以下简称承包人），特订立如下合同。</w:t>
      </w:r>
    </w:p>
    <w:p w14:paraId="6D3FD0A3">
      <w:pPr>
        <w:tabs>
          <w:tab w:val="left" w:pos="360"/>
        </w:tabs>
        <w:spacing w:line="360" w:lineRule="auto"/>
        <w:ind w:firstLine="482" w:firstLineChars="200"/>
        <w:rPr>
          <w:rFonts w:ascii="宋体" w:hAnsi="宋体" w:cs="宋体"/>
          <w:b/>
          <w:sz w:val="24"/>
        </w:rPr>
      </w:pPr>
      <w:r>
        <w:rPr>
          <w:rFonts w:hint="eastAsia" w:ascii="宋体" w:hAnsi="宋体" w:cs="宋体"/>
          <w:b/>
          <w:sz w:val="24"/>
        </w:rPr>
        <w:t>第一条 双方的权利和义务</w:t>
      </w:r>
    </w:p>
    <w:p w14:paraId="69C463AD">
      <w:pPr>
        <w:widowControl/>
        <w:numPr>
          <w:ilvl w:val="0"/>
          <w:numId w:val="2"/>
        </w:numPr>
        <w:tabs>
          <w:tab w:val="left" w:pos="360"/>
        </w:tabs>
        <w:spacing w:line="360" w:lineRule="auto"/>
        <w:ind w:firstLine="480" w:firstLineChars="200"/>
        <w:jc w:val="left"/>
        <w:rPr>
          <w:rFonts w:ascii="宋体" w:hAnsi="宋体" w:cs="宋体"/>
          <w:sz w:val="24"/>
        </w:rPr>
      </w:pPr>
      <w:r>
        <w:rPr>
          <w:rFonts w:hint="eastAsia" w:ascii="宋体" w:hAnsi="宋体" w:cs="宋体"/>
          <w:sz w:val="24"/>
        </w:rPr>
        <w:t xml:space="preserve">严格遵守党和国家有关法律法规的有关规定。 </w:t>
      </w:r>
    </w:p>
    <w:p w14:paraId="03A0303C">
      <w:pPr>
        <w:tabs>
          <w:tab w:val="left" w:pos="360"/>
        </w:tabs>
        <w:spacing w:line="360" w:lineRule="auto"/>
        <w:ind w:firstLine="480" w:firstLineChars="200"/>
        <w:rPr>
          <w:rFonts w:ascii="宋体" w:hAnsi="宋体" w:cs="宋体"/>
          <w:sz w:val="24"/>
        </w:rPr>
      </w:pPr>
      <w:r>
        <w:rPr>
          <w:rFonts w:hint="eastAsia" w:ascii="宋体" w:hAnsi="宋体" w:cs="宋体"/>
          <w:sz w:val="24"/>
        </w:rPr>
        <w:t>（二）严格执行</w:t>
      </w:r>
      <w:r>
        <w:rPr>
          <w:rFonts w:hint="eastAsia" w:ascii="宋体" w:hAnsi="宋体" w:cs="宋体"/>
          <w:sz w:val="24"/>
          <w:u w:val="single"/>
        </w:rPr>
        <w:t>浙江中医药大学富春校区体育场地修缮工程</w:t>
      </w:r>
      <w:r>
        <w:rPr>
          <w:rFonts w:hint="eastAsia" w:ascii="宋体" w:hAnsi="宋体" w:cs="宋体"/>
          <w:sz w:val="24"/>
        </w:rPr>
        <w:t>的合同文件，自觉按合同办事。</w:t>
      </w:r>
    </w:p>
    <w:p w14:paraId="2C502470">
      <w:pPr>
        <w:spacing w:line="360" w:lineRule="auto"/>
        <w:ind w:firstLine="480" w:firstLineChars="200"/>
        <w:rPr>
          <w:rFonts w:ascii="宋体" w:hAnsi="宋体" w:cs="宋体"/>
          <w:sz w:val="24"/>
        </w:rPr>
      </w:pPr>
      <w:r>
        <w:rPr>
          <w:rFonts w:hint="eastAsia" w:ascii="宋体" w:hAnsi="宋体" w:cs="宋体"/>
          <w:sz w:val="24"/>
        </w:rPr>
        <w:t>（三）双方的业务活动坚持公开、公正、诚信、透明的原则（除法律认定的商业机密和合同文件另有规定之外），不得损害国家和集体利益，违反工程建设管理规章制度。</w:t>
      </w:r>
    </w:p>
    <w:p w14:paraId="1626CAED">
      <w:pPr>
        <w:spacing w:line="360" w:lineRule="auto"/>
        <w:ind w:firstLine="480" w:firstLineChars="200"/>
        <w:rPr>
          <w:rFonts w:ascii="宋体" w:hAnsi="宋体" w:cs="宋体"/>
          <w:sz w:val="24"/>
        </w:rPr>
      </w:pPr>
      <w:r>
        <w:rPr>
          <w:rFonts w:hint="eastAsia" w:ascii="宋体" w:hAnsi="宋体" w:cs="宋体"/>
          <w:sz w:val="24"/>
        </w:rPr>
        <w:t>（四）建立健全廉政制度，开展廉政教育，设立廉政告示牌，公布举报电话，监督并认真查处违法违纪行为。</w:t>
      </w:r>
    </w:p>
    <w:p w14:paraId="31F15B42">
      <w:pPr>
        <w:spacing w:line="360" w:lineRule="auto"/>
        <w:ind w:firstLine="480" w:firstLineChars="200"/>
        <w:rPr>
          <w:rFonts w:ascii="宋体" w:hAnsi="宋体" w:cs="宋体"/>
          <w:sz w:val="24"/>
        </w:rPr>
      </w:pPr>
      <w:r>
        <w:rPr>
          <w:rFonts w:hint="eastAsia" w:ascii="宋体" w:hAnsi="宋体" w:cs="宋体"/>
          <w:sz w:val="24"/>
        </w:rPr>
        <w:t>（五）发现对方在业务活动中有违反廉政规定的行为，有及时提醒对方纠正的权利和义务。</w:t>
      </w:r>
    </w:p>
    <w:p w14:paraId="7A4BBB3C">
      <w:pPr>
        <w:spacing w:line="360" w:lineRule="auto"/>
        <w:ind w:firstLine="480" w:firstLineChars="200"/>
        <w:rPr>
          <w:rFonts w:ascii="宋体" w:hAnsi="宋体" w:cs="宋体"/>
          <w:sz w:val="24"/>
        </w:rPr>
      </w:pPr>
      <w:r>
        <w:rPr>
          <w:rFonts w:hint="eastAsia" w:ascii="宋体" w:hAnsi="宋体" w:cs="宋体"/>
          <w:sz w:val="24"/>
        </w:rPr>
        <w:t>（六）发现对方严重违反本合同义务条款的行为，有向其上级有关部门举报、建议给予处分并要求告知处理结果的权利。</w:t>
      </w:r>
    </w:p>
    <w:p w14:paraId="639A2CB4">
      <w:pPr>
        <w:spacing w:line="360" w:lineRule="auto"/>
        <w:ind w:firstLine="482" w:firstLineChars="200"/>
        <w:rPr>
          <w:rFonts w:ascii="宋体" w:hAnsi="宋体" w:cs="宋体"/>
          <w:b/>
          <w:sz w:val="24"/>
        </w:rPr>
      </w:pPr>
      <w:r>
        <w:rPr>
          <w:rFonts w:hint="eastAsia" w:ascii="宋体" w:hAnsi="宋体" w:cs="宋体"/>
          <w:b/>
          <w:sz w:val="24"/>
        </w:rPr>
        <w:t>第二条 发包人的义务</w:t>
      </w:r>
    </w:p>
    <w:p w14:paraId="6935C703">
      <w:pPr>
        <w:spacing w:line="360" w:lineRule="auto"/>
        <w:ind w:firstLine="480" w:firstLineChars="200"/>
        <w:rPr>
          <w:rFonts w:ascii="宋体" w:hAnsi="宋体" w:cs="宋体"/>
          <w:sz w:val="24"/>
        </w:rPr>
      </w:pPr>
      <w:r>
        <w:rPr>
          <w:rFonts w:hint="eastAsia" w:ascii="宋体" w:hAnsi="宋体" w:cs="宋体"/>
          <w:sz w:val="24"/>
        </w:rPr>
        <w:t>（一）发包人及其工作人员不得索要和接受承包人的礼金、有价证券和贵重物品，不得在承包人报销任何由发包人或个人支付的费用等。</w:t>
      </w:r>
    </w:p>
    <w:p w14:paraId="4718007A">
      <w:pPr>
        <w:spacing w:line="360" w:lineRule="auto"/>
        <w:ind w:firstLine="480" w:firstLineChars="200"/>
        <w:rPr>
          <w:rFonts w:ascii="宋体" w:hAnsi="宋体" w:cs="宋体"/>
          <w:sz w:val="24"/>
        </w:rPr>
      </w:pPr>
      <w:r>
        <w:rPr>
          <w:rFonts w:hint="eastAsia" w:ascii="宋体" w:hAnsi="宋体" w:cs="宋体"/>
          <w:sz w:val="24"/>
        </w:rPr>
        <w:t>（二）发包人工作人员不得参加承包人安排的超标准宴请和娱乐活动；不得接受承包人提供的通讯工具、交通工具和高档办公用品等。</w:t>
      </w:r>
    </w:p>
    <w:p w14:paraId="000E720C">
      <w:pPr>
        <w:spacing w:line="360" w:lineRule="auto"/>
        <w:ind w:firstLine="480" w:firstLineChars="200"/>
        <w:rPr>
          <w:rFonts w:ascii="宋体" w:hAnsi="宋体" w:cs="宋体"/>
          <w:sz w:val="24"/>
        </w:rPr>
      </w:pPr>
      <w:r>
        <w:rPr>
          <w:rFonts w:hint="eastAsia" w:ascii="宋体" w:hAnsi="宋体" w:cs="宋体"/>
          <w:sz w:val="24"/>
        </w:rPr>
        <w:t>（三）发包人及其工作人员不得要求或者接受承包人为其住房装修、婚丧嫁娶活动、配偶子女的工作安排以及出国出境、旅游等提供方便等。</w:t>
      </w:r>
    </w:p>
    <w:p w14:paraId="674B6120">
      <w:pPr>
        <w:spacing w:line="360" w:lineRule="auto"/>
        <w:ind w:firstLine="480" w:firstLineChars="200"/>
        <w:rPr>
          <w:rFonts w:ascii="宋体" w:hAnsi="宋体" w:cs="宋体"/>
          <w:sz w:val="24"/>
        </w:rPr>
      </w:pPr>
      <w:r>
        <w:rPr>
          <w:rFonts w:hint="eastAsia" w:ascii="宋体" w:hAnsi="宋体" w:cs="宋体"/>
          <w:sz w:val="24"/>
        </w:rPr>
        <w:t>（四）发包人工作人员的配偶、子女不得从事与发包人工程有关的材料设备供应、工程分包、劳务等经济活动。</w:t>
      </w:r>
    </w:p>
    <w:p w14:paraId="23084A7A">
      <w:pPr>
        <w:spacing w:line="360" w:lineRule="auto"/>
        <w:ind w:firstLine="480" w:firstLineChars="200"/>
        <w:rPr>
          <w:rFonts w:ascii="宋体" w:hAnsi="宋体" w:cs="宋体"/>
          <w:sz w:val="24"/>
        </w:rPr>
      </w:pPr>
      <w:r>
        <w:rPr>
          <w:rFonts w:hint="eastAsia" w:ascii="宋体" w:hAnsi="宋体" w:cs="宋体"/>
          <w:sz w:val="24"/>
        </w:rPr>
        <w:t>（五）发包人及其工作人员不得以任何理由向承包人推荐分包单位，不得要求承包人购买合同规定外的材料和设备。</w:t>
      </w:r>
    </w:p>
    <w:p w14:paraId="727D7FBB">
      <w:pPr>
        <w:tabs>
          <w:tab w:val="left" w:pos="720"/>
          <w:tab w:val="left" w:pos="900"/>
          <w:tab w:val="left" w:pos="2880"/>
        </w:tabs>
        <w:spacing w:line="360" w:lineRule="auto"/>
        <w:ind w:firstLine="482" w:firstLineChars="200"/>
        <w:rPr>
          <w:rFonts w:ascii="宋体" w:hAnsi="宋体" w:cs="宋体"/>
          <w:b/>
          <w:sz w:val="24"/>
        </w:rPr>
      </w:pPr>
      <w:r>
        <w:rPr>
          <w:rFonts w:hint="eastAsia" w:ascii="宋体" w:hAnsi="宋体" w:cs="宋体"/>
          <w:b/>
          <w:sz w:val="24"/>
        </w:rPr>
        <w:t>第三条 承包人义务</w:t>
      </w:r>
    </w:p>
    <w:p w14:paraId="021910BD">
      <w:pPr>
        <w:tabs>
          <w:tab w:val="left" w:pos="720"/>
          <w:tab w:val="left" w:pos="900"/>
          <w:tab w:val="left" w:pos="2880"/>
        </w:tabs>
        <w:spacing w:line="360" w:lineRule="auto"/>
        <w:ind w:firstLine="480" w:firstLineChars="200"/>
        <w:rPr>
          <w:rFonts w:ascii="宋体" w:hAnsi="宋体" w:cs="宋体"/>
          <w:sz w:val="24"/>
        </w:rPr>
      </w:pPr>
      <w:r>
        <w:rPr>
          <w:rFonts w:hint="eastAsia" w:ascii="宋体" w:hAnsi="宋体" w:cs="宋体"/>
          <w:sz w:val="24"/>
        </w:rPr>
        <w:t>（一）承包人不得以任何理由向发包人及其工作人员行贿或馈赠礼金、有价证券、贵重礼品。</w:t>
      </w:r>
    </w:p>
    <w:p w14:paraId="7807D3CC">
      <w:pPr>
        <w:spacing w:line="360" w:lineRule="auto"/>
        <w:ind w:firstLine="480" w:firstLineChars="200"/>
        <w:rPr>
          <w:rFonts w:ascii="宋体" w:hAnsi="宋体" w:cs="宋体"/>
          <w:sz w:val="24"/>
        </w:rPr>
      </w:pPr>
      <w:r>
        <w:rPr>
          <w:rFonts w:hint="eastAsia" w:ascii="宋体" w:hAnsi="宋体" w:cs="宋体"/>
          <w:sz w:val="24"/>
        </w:rPr>
        <w:t>（二）承包人不得以任何名义向发包人及其工作人员报销应由发包人或个人支付的任何费用。</w:t>
      </w:r>
    </w:p>
    <w:p w14:paraId="085E3A9A">
      <w:pPr>
        <w:spacing w:line="360" w:lineRule="auto"/>
        <w:ind w:firstLine="480" w:firstLineChars="200"/>
        <w:rPr>
          <w:rFonts w:ascii="宋体" w:hAnsi="宋体" w:cs="宋体"/>
          <w:sz w:val="24"/>
        </w:rPr>
      </w:pPr>
      <w:r>
        <w:rPr>
          <w:rFonts w:hint="eastAsia" w:ascii="宋体" w:hAnsi="宋体" w:cs="宋体"/>
          <w:sz w:val="24"/>
        </w:rPr>
        <w:t>（三）承包人不得以任何理由安排发包人及其工作人员参加超标准宴请及娱乐活动。承包人不得为发包人或个人购置或提供通讯工具、交通工具和高档办公用品等。</w:t>
      </w:r>
    </w:p>
    <w:p w14:paraId="20F167D6">
      <w:pPr>
        <w:tabs>
          <w:tab w:val="left" w:pos="1800"/>
          <w:tab w:val="left" w:pos="2160"/>
        </w:tabs>
        <w:spacing w:line="360" w:lineRule="auto"/>
        <w:ind w:firstLine="482" w:firstLineChars="200"/>
        <w:rPr>
          <w:rFonts w:ascii="宋体" w:hAnsi="宋体" w:cs="宋体"/>
          <w:b/>
          <w:sz w:val="24"/>
        </w:rPr>
      </w:pPr>
      <w:r>
        <w:rPr>
          <w:rFonts w:hint="eastAsia" w:ascii="宋体" w:hAnsi="宋体" w:cs="宋体"/>
          <w:b/>
          <w:sz w:val="24"/>
        </w:rPr>
        <w:t>第四条 违约责任</w:t>
      </w:r>
    </w:p>
    <w:p w14:paraId="38454141">
      <w:pPr>
        <w:spacing w:line="360" w:lineRule="auto"/>
        <w:ind w:firstLine="480" w:firstLineChars="200"/>
        <w:rPr>
          <w:rFonts w:ascii="宋体" w:hAnsi="宋体" w:cs="宋体"/>
          <w:sz w:val="24"/>
        </w:rPr>
      </w:pPr>
      <w:r>
        <w:rPr>
          <w:rFonts w:hint="eastAsia" w:ascii="宋体" w:hAnsi="宋体" w:cs="宋体"/>
          <w:sz w:val="24"/>
        </w:rPr>
        <w:t>（一）发包人及其工作人员违反本合同第一、二条，按管理权限，根据有关规定，给予党纪、政纪或组织处理；涉嫌犯罪的移交司法机关追究刑事责任；给承包人造成经济损失的，应予以赔偿。</w:t>
      </w:r>
    </w:p>
    <w:p w14:paraId="33D70924">
      <w:pPr>
        <w:spacing w:line="360" w:lineRule="auto"/>
        <w:ind w:firstLine="480" w:firstLineChars="200"/>
        <w:rPr>
          <w:rFonts w:ascii="宋体" w:hAnsi="宋体" w:cs="宋体"/>
          <w:sz w:val="24"/>
        </w:rPr>
      </w:pPr>
      <w:r>
        <w:rPr>
          <w:rFonts w:hint="eastAsia" w:ascii="宋体" w:hAnsi="宋体" w:cs="宋体"/>
          <w:sz w:val="24"/>
        </w:rPr>
        <w:t>（二）承包人及其工作人员违反本合同第一、二条，按管理权限，根据有关规定，给予党纪、政纪或组织处理；给发包人造成经济损失的，应予以赔偿；情节严重的，发包人建议工程建设主管部门给予承包人一至三年内不得进入其主管的工程建设市场的处罚。</w:t>
      </w:r>
    </w:p>
    <w:p w14:paraId="4B62782F">
      <w:pPr>
        <w:spacing w:line="360" w:lineRule="auto"/>
        <w:ind w:firstLine="482" w:firstLineChars="200"/>
        <w:rPr>
          <w:rFonts w:ascii="宋体" w:hAnsi="宋体" w:cs="宋体"/>
          <w:b/>
          <w:sz w:val="24"/>
        </w:rPr>
      </w:pPr>
      <w:r>
        <w:rPr>
          <w:rFonts w:hint="eastAsia" w:ascii="宋体" w:hAnsi="宋体" w:cs="宋体"/>
          <w:b/>
          <w:sz w:val="24"/>
        </w:rPr>
        <w:t>第五条 双方约定：</w:t>
      </w:r>
    </w:p>
    <w:p w14:paraId="0A43B5C3">
      <w:pPr>
        <w:spacing w:line="360" w:lineRule="auto"/>
        <w:ind w:firstLine="480"/>
        <w:rPr>
          <w:rFonts w:ascii="宋体" w:hAnsi="宋体" w:cs="宋体"/>
          <w:sz w:val="24"/>
        </w:rPr>
      </w:pPr>
      <w:r>
        <w:rPr>
          <w:rFonts w:hint="eastAsia" w:ascii="宋体" w:hAnsi="宋体" w:cs="宋体"/>
          <w:sz w:val="24"/>
        </w:rPr>
        <w:t>本合同由双方或双方上级单位的纪检监察机关负责监督。由发包人或发包人上级单位的纪检监察机关约请承包人或承包人上级单位的纪检监察机关对本合同履行情况进行检查，提出本合同规定范围内的裁定意见。</w:t>
      </w:r>
    </w:p>
    <w:p w14:paraId="4E098EA7">
      <w:pPr>
        <w:spacing w:line="360" w:lineRule="auto"/>
        <w:ind w:firstLine="482" w:firstLineChars="200"/>
        <w:rPr>
          <w:rFonts w:ascii="宋体" w:hAnsi="宋体" w:cs="宋体"/>
          <w:sz w:val="24"/>
        </w:rPr>
      </w:pPr>
      <w:r>
        <w:rPr>
          <w:rFonts w:hint="eastAsia" w:ascii="宋体" w:hAnsi="宋体" w:cs="宋体"/>
          <w:b/>
          <w:sz w:val="24"/>
        </w:rPr>
        <w:t>第六条</w:t>
      </w:r>
      <w:r>
        <w:rPr>
          <w:rFonts w:hint="eastAsia" w:ascii="宋体" w:hAnsi="宋体" w:cs="宋体"/>
          <w:sz w:val="24"/>
        </w:rPr>
        <w:t xml:space="preserve"> 本合同有效期为发包人与承包人双方签署之日起至该工程项目竣工验收后止。</w:t>
      </w:r>
    </w:p>
    <w:p w14:paraId="12EA7BC9">
      <w:pPr>
        <w:spacing w:line="360" w:lineRule="auto"/>
        <w:ind w:firstLine="482" w:firstLineChars="200"/>
        <w:rPr>
          <w:rFonts w:ascii="宋体" w:hAnsi="宋体" w:cs="宋体"/>
          <w:sz w:val="24"/>
        </w:rPr>
      </w:pPr>
      <w:r>
        <w:rPr>
          <w:rFonts w:hint="eastAsia" w:ascii="宋体" w:hAnsi="宋体" w:cs="宋体"/>
          <w:b/>
          <w:sz w:val="24"/>
        </w:rPr>
        <w:t xml:space="preserve">第七条 </w:t>
      </w:r>
      <w:r>
        <w:rPr>
          <w:rFonts w:hint="eastAsia" w:ascii="宋体" w:hAnsi="宋体" w:cs="宋体"/>
          <w:sz w:val="24"/>
        </w:rPr>
        <w:t>本合同作为</w:t>
      </w:r>
      <w:r>
        <w:rPr>
          <w:rFonts w:hint="eastAsia" w:ascii="宋体" w:hAnsi="宋体" w:cs="宋体"/>
          <w:sz w:val="24"/>
          <w:u w:val="single"/>
        </w:rPr>
        <w:t>浙江中医药大学富春校区体育场地修缮工程</w:t>
      </w:r>
      <w:r>
        <w:rPr>
          <w:rFonts w:hint="eastAsia" w:ascii="宋体" w:hAnsi="宋体" w:cs="宋体"/>
          <w:sz w:val="24"/>
        </w:rPr>
        <w:t>施工合同的附件，与施工合同具有同等的法律效力，经合同双方签署立即生效。</w:t>
      </w:r>
    </w:p>
    <w:p w14:paraId="5298F7A9">
      <w:pPr>
        <w:spacing w:line="360" w:lineRule="auto"/>
        <w:ind w:firstLine="482" w:firstLineChars="200"/>
        <w:rPr>
          <w:rFonts w:ascii="宋体" w:hAnsi="宋体" w:cs="宋体"/>
          <w:sz w:val="24"/>
        </w:rPr>
      </w:pPr>
      <w:r>
        <w:rPr>
          <w:rFonts w:hint="eastAsia" w:ascii="宋体" w:hAnsi="宋体" w:cs="宋体"/>
          <w:b/>
          <w:sz w:val="24"/>
        </w:rPr>
        <w:t xml:space="preserve">第八条 </w:t>
      </w:r>
      <w:r>
        <w:rPr>
          <w:rFonts w:hint="eastAsia" w:ascii="宋体" w:hAnsi="宋体" w:cs="宋体"/>
          <w:sz w:val="24"/>
        </w:rPr>
        <w:t>本合同发包人与承包人双方各执三份，送交双方监督单位各一份。</w:t>
      </w:r>
    </w:p>
    <w:p w14:paraId="577A34A2">
      <w:pPr>
        <w:spacing w:line="360" w:lineRule="auto"/>
        <w:rPr>
          <w:rFonts w:ascii="宋体" w:hAnsi="宋体" w:cs="宋体"/>
          <w:sz w:val="24"/>
          <w:u w:val="single"/>
        </w:rPr>
      </w:pPr>
      <w:bookmarkStart w:id="536" w:name="_Hlk74481593"/>
      <w:r>
        <w:rPr>
          <w:rFonts w:hint="eastAsia" w:ascii="宋体" w:hAnsi="宋体" w:cs="宋体"/>
          <w:sz w:val="24"/>
        </w:rPr>
        <w:t>发包人：浙江中医药大学</w:t>
      </w:r>
      <w:r>
        <w:rPr>
          <w:rFonts w:hint="eastAsia" w:ascii="宋体" w:hAnsi="宋体" w:cs="宋体"/>
          <w:sz w:val="24"/>
          <w:u w:val="single"/>
        </w:rPr>
        <w:t xml:space="preserve">（公章）    </w:t>
      </w:r>
      <w:r>
        <w:rPr>
          <w:rFonts w:hint="eastAsia" w:ascii="宋体" w:hAnsi="宋体" w:cs="宋体"/>
          <w:sz w:val="24"/>
        </w:rPr>
        <w:t xml:space="preserve">     承包人：</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 xml:space="preserve">  （公章） </w:t>
      </w:r>
    </w:p>
    <w:p w14:paraId="42137791">
      <w:pPr>
        <w:spacing w:line="360" w:lineRule="auto"/>
        <w:rPr>
          <w:rFonts w:ascii="宋体" w:hAnsi="宋体" w:cs="宋体"/>
          <w:sz w:val="24"/>
        </w:rPr>
      </w:pPr>
      <w:r>
        <w:rPr>
          <w:rFonts w:hint="eastAsia" w:ascii="宋体" w:hAnsi="宋体" w:cs="宋体"/>
          <w:sz w:val="24"/>
        </w:rPr>
        <w:t>法定代表人或委托代理人：                法定代表人或委托代理人：</w:t>
      </w:r>
    </w:p>
    <w:p w14:paraId="653DB70B">
      <w:pPr>
        <w:spacing w:line="360" w:lineRule="auto"/>
        <w:rPr>
          <w:rFonts w:ascii="宋体" w:hAnsi="宋体" w:cs="宋体"/>
          <w:sz w:val="24"/>
        </w:rPr>
      </w:pPr>
      <w:bookmarkStart w:id="537" w:name="_Hlk74481629"/>
      <w:r>
        <w:rPr>
          <w:rFonts w:hint="eastAsia" w:ascii="宋体" w:hAnsi="宋体" w:cs="宋体"/>
          <w:sz w:val="24"/>
        </w:rPr>
        <w:t>地    址：杭州市滨江区滨文路548号      地    址：</w:t>
      </w:r>
    </w:p>
    <w:p w14:paraId="46693725">
      <w:pPr>
        <w:spacing w:line="360" w:lineRule="auto"/>
        <w:rPr>
          <w:rFonts w:ascii="宋体" w:hAnsi="宋体" w:cs="宋体"/>
          <w:sz w:val="24"/>
        </w:rPr>
      </w:pPr>
      <w:r>
        <w:rPr>
          <w:rFonts w:hint="eastAsia" w:ascii="宋体" w:hAnsi="宋体" w:cs="宋体"/>
          <w:sz w:val="24"/>
        </w:rPr>
        <w:t>邮政编码：310053                        邮政编码：</w:t>
      </w:r>
    </w:p>
    <w:p w14:paraId="04A9138C">
      <w:pPr>
        <w:spacing w:line="360" w:lineRule="auto"/>
        <w:rPr>
          <w:rFonts w:ascii="宋体" w:hAnsi="宋体" w:cs="宋体"/>
          <w:sz w:val="24"/>
        </w:rPr>
      </w:pPr>
      <w:r>
        <w:rPr>
          <w:rFonts w:hint="eastAsia" w:ascii="宋体" w:hAnsi="宋体" w:cs="宋体"/>
          <w:sz w:val="24"/>
        </w:rPr>
        <w:t>电    话：                              电    话：</w:t>
      </w:r>
      <w:bookmarkEnd w:id="536"/>
      <w:bookmarkEnd w:id="537"/>
      <w:r>
        <w:rPr>
          <w:rFonts w:hint="eastAsia" w:ascii="宋体" w:hAnsi="宋体" w:cs="宋体"/>
          <w:sz w:val="24"/>
        </w:rPr>
        <w:t xml:space="preserve"> </w:t>
      </w:r>
      <w:bookmarkStart w:id="538" w:name="_Toc276907132"/>
      <w:bookmarkStart w:id="539" w:name="_Toc237256590"/>
      <w:bookmarkStart w:id="540" w:name="_Toc237979988"/>
    </w:p>
    <w:p w14:paraId="6ECFF60D">
      <w:pPr>
        <w:spacing w:line="360" w:lineRule="auto"/>
        <w:rPr>
          <w:rFonts w:ascii="宋体" w:hAnsi="宋体" w:cs="宋体"/>
          <w:sz w:val="24"/>
        </w:rPr>
      </w:pPr>
      <w:r>
        <w:rPr>
          <w:rFonts w:hint="eastAsia" w:ascii="宋体" w:hAnsi="宋体" w:cs="宋体"/>
          <w:sz w:val="24"/>
        </w:rPr>
        <w:br w:type="page"/>
      </w:r>
      <w:bookmarkEnd w:id="538"/>
      <w:bookmarkEnd w:id="539"/>
      <w:bookmarkEnd w:id="540"/>
      <w:r>
        <w:rPr>
          <w:rFonts w:hint="eastAsia" w:ascii="宋体" w:hAnsi="宋体" w:cs="宋体"/>
          <w:sz w:val="24"/>
        </w:rPr>
        <w:t>附件3：</w:t>
      </w:r>
    </w:p>
    <w:p w14:paraId="3FDE4161">
      <w:pPr>
        <w:spacing w:line="360" w:lineRule="auto"/>
        <w:jc w:val="center"/>
        <w:rPr>
          <w:rFonts w:ascii="宋体" w:hAnsi="宋体" w:cs="宋体"/>
          <w:sz w:val="24"/>
        </w:rPr>
      </w:pPr>
      <w:r>
        <w:rPr>
          <w:rFonts w:hint="eastAsia" w:ascii="宋体" w:hAnsi="宋体" w:cs="宋体"/>
          <w:sz w:val="24"/>
        </w:rPr>
        <w:t>安全生产合同</w:t>
      </w:r>
    </w:p>
    <w:p w14:paraId="16D5FD59">
      <w:pPr>
        <w:spacing w:line="360" w:lineRule="auto"/>
        <w:jc w:val="center"/>
        <w:rPr>
          <w:rFonts w:ascii="宋体" w:hAnsi="宋体" w:cs="宋体"/>
          <w:sz w:val="24"/>
        </w:rPr>
      </w:pPr>
    </w:p>
    <w:p w14:paraId="742DE8F8">
      <w:pPr>
        <w:spacing w:line="360" w:lineRule="auto"/>
        <w:ind w:firstLine="480" w:firstLineChars="200"/>
        <w:rPr>
          <w:rFonts w:ascii="宋体" w:hAnsi="宋体" w:cs="宋体"/>
          <w:sz w:val="24"/>
        </w:rPr>
      </w:pPr>
      <w:r>
        <w:rPr>
          <w:rFonts w:hint="eastAsia" w:ascii="宋体" w:hAnsi="宋体" w:cs="宋体"/>
          <w:sz w:val="24"/>
        </w:rPr>
        <w:t>为在</w:t>
      </w:r>
      <w:r>
        <w:rPr>
          <w:rFonts w:hint="eastAsia" w:ascii="宋体" w:hAnsi="宋体" w:cs="宋体"/>
          <w:bCs/>
          <w:sz w:val="24"/>
          <w:u w:val="single"/>
        </w:rPr>
        <w:t>浙江中医药大学富春校区体育场地修缮工程</w:t>
      </w:r>
      <w:r>
        <w:rPr>
          <w:rFonts w:hint="eastAsia" w:ascii="宋体" w:hAnsi="宋体" w:cs="宋体"/>
          <w:sz w:val="24"/>
        </w:rPr>
        <w:t>合同的实施过程中创造安全、高效的施工环境，搞好本项目的安全管理工作，本项目发包人</w:t>
      </w:r>
      <w:r>
        <w:rPr>
          <w:rFonts w:hint="eastAsia" w:ascii="宋体" w:hAnsi="宋体" w:cs="宋体"/>
          <w:kern w:val="0"/>
          <w:sz w:val="24"/>
          <w:u w:val="single"/>
        </w:rPr>
        <w:t xml:space="preserve"> </w:t>
      </w:r>
      <w:r>
        <w:rPr>
          <w:rFonts w:hint="eastAsia" w:ascii="宋体" w:hAnsi="宋体" w:cs="宋体"/>
          <w:sz w:val="24"/>
          <w:u w:val="single"/>
        </w:rPr>
        <w:t>浙江中医药大学</w:t>
      </w:r>
      <w:r>
        <w:rPr>
          <w:rFonts w:hint="eastAsia" w:ascii="宋体" w:hAnsi="宋体" w:cs="宋体"/>
          <w:kern w:val="0"/>
          <w:sz w:val="24"/>
          <w:u w:val="single"/>
        </w:rPr>
        <w:t xml:space="preserve"> </w:t>
      </w:r>
      <w:r>
        <w:rPr>
          <w:rFonts w:hint="eastAsia" w:ascii="宋体" w:hAnsi="宋体" w:cs="宋体"/>
          <w:sz w:val="24"/>
        </w:rPr>
        <w:t>与承包人</w:t>
      </w:r>
      <w:r>
        <w:rPr>
          <w:rFonts w:hint="eastAsia" w:ascii="宋体" w:hAnsi="宋体" w:cs="宋体"/>
          <w:sz w:val="24"/>
          <w:u w:val="single"/>
        </w:rPr>
        <w:t xml:space="preserve">              </w:t>
      </w:r>
      <w:r>
        <w:rPr>
          <w:rFonts w:hint="eastAsia" w:ascii="宋体" w:hAnsi="宋体" w:cs="宋体"/>
          <w:sz w:val="24"/>
        </w:rPr>
        <w:t>特此签订安全生产合同：</w:t>
      </w:r>
    </w:p>
    <w:p w14:paraId="2597ADCA">
      <w:pPr>
        <w:numPr>
          <w:ilvl w:val="1"/>
          <w:numId w:val="3"/>
        </w:numPr>
        <w:tabs>
          <w:tab w:val="left" w:pos="540"/>
          <w:tab w:val="left" w:pos="720"/>
          <w:tab w:val="left" w:pos="900"/>
        </w:tabs>
        <w:spacing w:line="360" w:lineRule="auto"/>
        <w:ind w:hanging="1140"/>
        <w:rPr>
          <w:rFonts w:ascii="宋体" w:hAnsi="宋体" w:cs="宋体"/>
          <w:b/>
          <w:sz w:val="24"/>
        </w:rPr>
      </w:pPr>
      <w:r>
        <w:rPr>
          <w:rFonts w:hint="eastAsia" w:ascii="宋体" w:hAnsi="宋体" w:cs="宋体"/>
          <w:b/>
          <w:sz w:val="24"/>
        </w:rPr>
        <w:t>发包人职责</w:t>
      </w:r>
    </w:p>
    <w:p w14:paraId="4FA1CEEC">
      <w:pPr>
        <w:tabs>
          <w:tab w:val="left" w:pos="900"/>
        </w:tabs>
        <w:spacing w:line="360" w:lineRule="auto"/>
        <w:ind w:firstLine="480" w:firstLineChars="200"/>
        <w:rPr>
          <w:rFonts w:ascii="宋体" w:hAnsi="宋体" w:cs="宋体"/>
          <w:sz w:val="24"/>
        </w:rPr>
      </w:pPr>
      <w:r>
        <w:rPr>
          <w:rFonts w:hint="eastAsia" w:ascii="宋体" w:hAnsi="宋体" w:cs="宋体"/>
          <w:sz w:val="24"/>
        </w:rPr>
        <w:t>1．严格遵守国家有关安全生产的法律法规，认真执行工程承包合同中的有关安全要求。</w:t>
      </w:r>
    </w:p>
    <w:p w14:paraId="4405FEE6">
      <w:pPr>
        <w:tabs>
          <w:tab w:val="left" w:pos="720"/>
        </w:tabs>
        <w:spacing w:line="360" w:lineRule="auto"/>
        <w:ind w:firstLine="480" w:firstLineChars="200"/>
        <w:rPr>
          <w:rFonts w:ascii="宋体" w:hAnsi="宋体" w:cs="宋体"/>
          <w:sz w:val="24"/>
        </w:rPr>
      </w:pPr>
      <w:r>
        <w:rPr>
          <w:rFonts w:hint="eastAsia" w:ascii="宋体" w:hAnsi="宋体" w:cs="宋体"/>
          <w:sz w:val="24"/>
        </w:rPr>
        <w:t>2.按照“安全第一、预防为主”和坚持“管生产必须管安全”的原则进行安全生产管理，做到生产与安全工作同时计划、布置、检查、总结和评比。</w:t>
      </w:r>
    </w:p>
    <w:p w14:paraId="68EA9762">
      <w:pPr>
        <w:spacing w:line="360" w:lineRule="auto"/>
        <w:ind w:left="271" w:leftChars="129" w:firstLine="120" w:firstLineChars="50"/>
        <w:rPr>
          <w:rFonts w:ascii="宋体" w:hAnsi="宋体" w:cs="宋体"/>
          <w:sz w:val="24"/>
        </w:rPr>
      </w:pPr>
      <w:r>
        <w:rPr>
          <w:rFonts w:hint="eastAsia" w:ascii="宋体" w:hAnsi="宋体" w:cs="宋体"/>
          <w:sz w:val="24"/>
        </w:rPr>
        <w:t>3.重要的安全设施必须坚持与主体工程“三同时”的原则，即：同时设计、审批，</w:t>
      </w:r>
    </w:p>
    <w:p w14:paraId="3ADD434D">
      <w:pPr>
        <w:spacing w:line="360" w:lineRule="auto"/>
        <w:rPr>
          <w:rFonts w:ascii="宋体" w:hAnsi="宋体" w:cs="宋体"/>
          <w:sz w:val="24"/>
        </w:rPr>
      </w:pPr>
      <w:r>
        <w:rPr>
          <w:rFonts w:hint="eastAsia" w:ascii="宋体" w:hAnsi="宋体" w:cs="宋体"/>
          <w:sz w:val="24"/>
        </w:rPr>
        <w:t>同时施工，同时验收，投入使用。</w:t>
      </w:r>
    </w:p>
    <w:p w14:paraId="129A8BB9">
      <w:pPr>
        <w:tabs>
          <w:tab w:val="left" w:pos="720"/>
        </w:tabs>
        <w:spacing w:line="360" w:lineRule="auto"/>
        <w:ind w:firstLine="480" w:firstLineChars="200"/>
        <w:rPr>
          <w:rFonts w:ascii="宋体" w:hAnsi="宋体" w:cs="宋体"/>
          <w:sz w:val="24"/>
        </w:rPr>
      </w:pPr>
      <w:r>
        <w:rPr>
          <w:rFonts w:hint="eastAsia" w:ascii="宋体" w:hAnsi="宋体" w:cs="宋体"/>
          <w:sz w:val="24"/>
        </w:rPr>
        <w:t>4.组织对承包人施工现场安全生产检查，监督承包人及时处理发现的各种安全隐患。</w:t>
      </w:r>
    </w:p>
    <w:p w14:paraId="108B4770">
      <w:pPr>
        <w:spacing w:line="360" w:lineRule="auto"/>
        <w:rPr>
          <w:rFonts w:ascii="宋体" w:hAnsi="宋体" w:cs="宋体"/>
          <w:b/>
          <w:sz w:val="24"/>
        </w:rPr>
      </w:pPr>
      <w:r>
        <w:rPr>
          <w:rFonts w:hint="eastAsia" w:ascii="宋体" w:hAnsi="宋体" w:cs="宋体"/>
          <w:b/>
          <w:sz w:val="24"/>
        </w:rPr>
        <w:t>二、承包人职责</w:t>
      </w:r>
    </w:p>
    <w:p w14:paraId="0B6B5682">
      <w:pPr>
        <w:spacing w:line="360" w:lineRule="auto"/>
        <w:ind w:firstLine="480" w:firstLineChars="200"/>
        <w:rPr>
          <w:rFonts w:ascii="宋体" w:hAnsi="宋体" w:cs="宋体"/>
          <w:sz w:val="24"/>
        </w:rPr>
      </w:pPr>
      <w:r>
        <w:rPr>
          <w:rFonts w:hint="eastAsia" w:ascii="宋体" w:hAnsi="宋体" w:cs="宋体"/>
          <w:sz w:val="24"/>
        </w:rPr>
        <w:t>1.严格遵守国家有关安全生产的法律法规和有关安全生产的规定，认真执行工程承包合同中的有关安全要求。</w:t>
      </w:r>
    </w:p>
    <w:p w14:paraId="13D59BA1">
      <w:pPr>
        <w:spacing w:line="360" w:lineRule="auto"/>
        <w:ind w:firstLine="480" w:firstLineChars="200"/>
        <w:rPr>
          <w:rFonts w:ascii="宋体" w:hAnsi="宋体" w:cs="宋体"/>
          <w:sz w:val="24"/>
        </w:rPr>
      </w:pPr>
      <w:r>
        <w:rPr>
          <w:rFonts w:hint="eastAsia" w:ascii="宋体" w:hAnsi="宋体" w:cs="宋体"/>
          <w:sz w:val="24"/>
        </w:rPr>
        <w:t>2.坚持“安全第一、预防为主”和坚持“管生产必须管安全”的原则，加强安全生产宣传教育，增强全员安全生产意识，建立健全各项安全生产的管理机构和安全生产管理制度，配备专职及兼职安全检查人员，有组织有领导地开展生产安全生产活动。各级领导、工程技术人员、生产管理人员和具体操作人员，必须熟悉和遵守本条款的各项规定，做到生产与安全工作同时计划、布置、检查、总结和评比。</w:t>
      </w:r>
    </w:p>
    <w:p w14:paraId="7FB57A16">
      <w:pPr>
        <w:spacing w:line="360" w:lineRule="auto"/>
        <w:ind w:firstLine="600" w:firstLineChars="250"/>
        <w:rPr>
          <w:rFonts w:ascii="宋体" w:hAnsi="宋体" w:cs="宋体"/>
          <w:sz w:val="24"/>
        </w:rPr>
      </w:pPr>
      <w:r>
        <w:rPr>
          <w:rFonts w:hint="eastAsia" w:ascii="宋体" w:hAnsi="宋体" w:cs="宋体"/>
          <w:sz w:val="24"/>
        </w:rPr>
        <w:t>3.建立健全安全生产责任制。从派往项目实施的项目经理和生产工人（包括临时雇请的民工）的安全生产管理系统必须做到纵向到底，一环不漏；各职能部门、人员的安全生产责任制做到横向到边，人人有责。项目经理是安全生产的第一责任人。现场设置的安全机构，应指定1名安全员，专职负责所有员工的安全和治安保卫工作及预防事故的发生。安全机构人员，有权按有关规定发布指令，并采取保护性措施防止事故发生。</w:t>
      </w:r>
    </w:p>
    <w:p w14:paraId="5AA4F980">
      <w:pPr>
        <w:spacing w:line="360" w:lineRule="auto"/>
        <w:ind w:firstLine="480" w:firstLineChars="200"/>
        <w:rPr>
          <w:rFonts w:ascii="宋体" w:hAnsi="宋体" w:cs="宋体"/>
          <w:sz w:val="24"/>
        </w:rPr>
      </w:pPr>
      <w:r>
        <w:rPr>
          <w:rFonts w:hint="eastAsia" w:ascii="宋体" w:hAnsi="宋体" w:cs="宋体"/>
          <w:sz w:val="24"/>
        </w:rPr>
        <w:t>4.施工期间，承包人应落实预防措施，防止其员工发生任何违法、违禁、暴力或妨碍治安的行为。</w:t>
      </w:r>
    </w:p>
    <w:p w14:paraId="34674F47">
      <w:pPr>
        <w:spacing w:line="360" w:lineRule="auto"/>
        <w:ind w:firstLine="480" w:firstLineChars="200"/>
        <w:rPr>
          <w:rFonts w:ascii="宋体" w:hAnsi="宋体" w:cs="宋体"/>
          <w:sz w:val="24"/>
        </w:rPr>
      </w:pPr>
      <w:r>
        <w:rPr>
          <w:rFonts w:hint="eastAsia" w:ascii="宋体" w:hAnsi="宋体" w:cs="宋体"/>
          <w:sz w:val="24"/>
        </w:rPr>
        <w:t>5.承包人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644AD6C4">
      <w:pPr>
        <w:spacing w:line="360" w:lineRule="auto"/>
        <w:ind w:firstLine="480" w:firstLineChars="200"/>
        <w:rPr>
          <w:rFonts w:ascii="宋体" w:hAnsi="宋体" w:cs="宋体"/>
          <w:sz w:val="24"/>
        </w:rPr>
      </w:pPr>
      <w:r>
        <w:rPr>
          <w:rFonts w:hint="eastAsia" w:ascii="宋体" w:hAnsi="宋体" w:cs="宋体"/>
          <w:sz w:val="24"/>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675AB2CC">
      <w:pPr>
        <w:spacing w:line="360" w:lineRule="auto"/>
        <w:ind w:firstLine="480" w:firstLineChars="200"/>
        <w:rPr>
          <w:rFonts w:ascii="宋体" w:hAnsi="宋体" w:cs="宋体"/>
          <w:sz w:val="24"/>
        </w:rPr>
      </w:pPr>
      <w:r>
        <w:rPr>
          <w:rFonts w:hint="eastAsia" w:ascii="宋体" w:hAnsi="宋体" w:cs="宋体"/>
          <w:sz w:val="24"/>
        </w:rPr>
        <w:t>7.操作人员上岗，必须按规定穿戴防护用品。各专业施工负责人和安全检查员应随时检查劳动防护用品的穿戴情况，不按规定穿戴防护用品的人员不得上岗。</w:t>
      </w:r>
    </w:p>
    <w:p w14:paraId="7CEB4915">
      <w:pPr>
        <w:spacing w:line="360" w:lineRule="auto"/>
        <w:ind w:firstLine="480" w:firstLineChars="200"/>
        <w:rPr>
          <w:rFonts w:ascii="宋体" w:hAnsi="宋体" w:cs="宋体"/>
          <w:sz w:val="24"/>
        </w:rPr>
      </w:pPr>
      <w:r>
        <w:rPr>
          <w:rFonts w:hint="eastAsia" w:ascii="宋体" w:hAnsi="宋体" w:cs="宋体"/>
          <w:sz w:val="24"/>
        </w:rPr>
        <w:t>8.所有施工机具设备和高空作业的设备均应定期检查，并有安全员的签字记录，保证其经常处于完发状态；不合格的机具、设备和劳动保护用品严禁使用。</w:t>
      </w:r>
    </w:p>
    <w:p w14:paraId="286EE2FE">
      <w:pPr>
        <w:spacing w:line="360" w:lineRule="auto"/>
        <w:ind w:firstLine="480" w:firstLineChars="200"/>
        <w:rPr>
          <w:rFonts w:ascii="宋体" w:hAnsi="宋体" w:cs="宋体"/>
          <w:sz w:val="24"/>
        </w:rPr>
      </w:pPr>
      <w:r>
        <w:rPr>
          <w:rFonts w:hint="eastAsia" w:ascii="宋体" w:hAnsi="宋体" w:cs="宋体"/>
          <w:sz w:val="24"/>
        </w:rPr>
        <w:t>9.施工中采用新技术、新工艺、新设备、新材料时，必须制定相应的安全技术措施，施工现场必须具有相关的安全标志牌。</w:t>
      </w:r>
    </w:p>
    <w:p w14:paraId="3EBCFB51">
      <w:pPr>
        <w:tabs>
          <w:tab w:val="left" w:pos="360"/>
          <w:tab w:val="left" w:pos="540"/>
          <w:tab w:val="left" w:pos="900"/>
          <w:tab w:val="left" w:pos="1080"/>
        </w:tabs>
        <w:spacing w:line="360" w:lineRule="auto"/>
        <w:ind w:firstLine="480" w:firstLineChars="200"/>
        <w:rPr>
          <w:rFonts w:ascii="宋体" w:hAnsi="宋体" w:cs="宋体"/>
          <w:sz w:val="24"/>
        </w:rPr>
      </w:pPr>
      <w:r>
        <w:rPr>
          <w:rFonts w:hint="eastAsia" w:ascii="宋体" w:hAnsi="宋体" w:cs="宋体"/>
          <w:sz w:val="24"/>
        </w:rPr>
        <w:t>10.承包人必须按照本工程项目特点，组织制定本工程实施中的生产安全事故应急救援预案；如果发生安全事故，应按照《国务院关于特大安全事故行政责任追究的规定》以及其他有关规定，及时上报有关部门，并坚持“三不放过”的原则，严肃处理相关责任人。</w:t>
      </w:r>
    </w:p>
    <w:p w14:paraId="1A8E60DF">
      <w:pPr>
        <w:tabs>
          <w:tab w:val="left" w:pos="360"/>
          <w:tab w:val="left" w:pos="540"/>
          <w:tab w:val="left" w:pos="900"/>
          <w:tab w:val="left" w:pos="1080"/>
        </w:tabs>
        <w:spacing w:line="360" w:lineRule="auto"/>
        <w:ind w:firstLine="480" w:firstLineChars="200"/>
        <w:rPr>
          <w:rFonts w:ascii="宋体" w:hAnsi="宋体" w:cs="宋体"/>
          <w:sz w:val="24"/>
        </w:rPr>
      </w:pPr>
    </w:p>
    <w:p w14:paraId="00D18D4E">
      <w:pPr>
        <w:tabs>
          <w:tab w:val="left" w:pos="360"/>
          <w:tab w:val="left" w:pos="540"/>
          <w:tab w:val="left" w:pos="900"/>
          <w:tab w:val="left" w:pos="1080"/>
        </w:tabs>
        <w:spacing w:line="360" w:lineRule="auto"/>
        <w:rPr>
          <w:rFonts w:ascii="宋体" w:hAnsi="宋体" w:cs="宋体"/>
          <w:b/>
          <w:sz w:val="24"/>
        </w:rPr>
      </w:pPr>
      <w:r>
        <w:rPr>
          <w:rFonts w:hint="eastAsia" w:ascii="宋体" w:hAnsi="宋体" w:cs="宋体"/>
          <w:b/>
          <w:sz w:val="24"/>
        </w:rPr>
        <w:t>三、违约责任</w:t>
      </w:r>
    </w:p>
    <w:p w14:paraId="67BA6CB6">
      <w:pPr>
        <w:tabs>
          <w:tab w:val="left" w:pos="360"/>
          <w:tab w:val="left" w:pos="540"/>
          <w:tab w:val="left" w:pos="720"/>
          <w:tab w:val="left" w:pos="900"/>
          <w:tab w:val="left" w:pos="1080"/>
        </w:tabs>
        <w:spacing w:line="360" w:lineRule="auto"/>
        <w:ind w:firstLine="480" w:firstLineChars="200"/>
        <w:rPr>
          <w:rFonts w:ascii="宋体" w:hAnsi="宋体" w:cs="宋体"/>
          <w:sz w:val="24"/>
        </w:rPr>
      </w:pPr>
      <w:r>
        <w:rPr>
          <w:rFonts w:hint="eastAsia" w:ascii="宋体" w:hAnsi="宋体" w:cs="宋体"/>
          <w:sz w:val="24"/>
        </w:rPr>
        <w:t>如因发包人或承包人违约造成安全事故，将依法追究责任。</w:t>
      </w:r>
    </w:p>
    <w:p w14:paraId="602D8B7C">
      <w:pPr>
        <w:tabs>
          <w:tab w:val="left" w:pos="0"/>
          <w:tab w:val="left" w:pos="540"/>
          <w:tab w:val="left" w:pos="720"/>
          <w:tab w:val="left" w:pos="900"/>
          <w:tab w:val="left" w:pos="1080"/>
        </w:tabs>
        <w:spacing w:line="360" w:lineRule="auto"/>
        <w:ind w:firstLine="480" w:firstLineChars="200"/>
        <w:rPr>
          <w:rFonts w:ascii="宋体" w:hAnsi="宋体" w:cs="宋体"/>
          <w:sz w:val="24"/>
        </w:rPr>
      </w:pPr>
      <w:r>
        <w:rPr>
          <w:rFonts w:hint="eastAsia" w:ascii="宋体" w:hAnsi="宋体" w:cs="宋体"/>
          <w:sz w:val="24"/>
        </w:rPr>
        <w:t xml:space="preserve">本合同一式八份，双方各执四份。由双方法定代表人或授权代理人签字并加盖单位印章后生效。 </w:t>
      </w:r>
    </w:p>
    <w:p w14:paraId="2FC1B82F">
      <w:pPr>
        <w:tabs>
          <w:tab w:val="left" w:pos="0"/>
          <w:tab w:val="left" w:pos="540"/>
          <w:tab w:val="left" w:pos="720"/>
          <w:tab w:val="left" w:pos="900"/>
          <w:tab w:val="left" w:pos="1080"/>
        </w:tabs>
        <w:spacing w:line="360" w:lineRule="auto"/>
        <w:ind w:firstLine="480" w:firstLineChars="200"/>
        <w:rPr>
          <w:rFonts w:ascii="宋体" w:hAnsi="宋体" w:cs="宋体"/>
          <w:sz w:val="24"/>
        </w:rPr>
      </w:pPr>
    </w:p>
    <w:p w14:paraId="0C996454">
      <w:pPr>
        <w:spacing w:line="360" w:lineRule="auto"/>
        <w:rPr>
          <w:rFonts w:ascii="宋体" w:hAnsi="宋体" w:cs="宋体"/>
          <w:sz w:val="24"/>
        </w:rPr>
      </w:pPr>
      <w:r>
        <w:rPr>
          <w:rFonts w:hint="eastAsia" w:ascii="宋体" w:hAnsi="宋体" w:cs="宋体"/>
          <w:sz w:val="24"/>
        </w:rPr>
        <w:t>发包人：</w:t>
      </w:r>
      <w:r>
        <w:rPr>
          <w:rFonts w:hint="eastAsia" w:ascii="宋体" w:hAnsi="宋体" w:cs="宋体"/>
          <w:sz w:val="24"/>
          <w:u w:val="single"/>
        </w:rPr>
        <w:t xml:space="preserve">  浙江中医药大学 （盖章）</w:t>
      </w:r>
      <w:r>
        <w:rPr>
          <w:rFonts w:hint="eastAsia" w:ascii="宋体" w:hAnsi="宋体" w:cs="宋体"/>
          <w:sz w:val="24"/>
        </w:rPr>
        <w:t xml:space="preserve">     承包人：</w:t>
      </w:r>
      <w:r>
        <w:rPr>
          <w:rFonts w:hint="eastAsia" w:ascii="宋体" w:hAnsi="宋体" w:cs="宋体"/>
          <w:sz w:val="24"/>
          <w:u w:val="single"/>
        </w:rPr>
        <w:t xml:space="preserve">             （盖章）   </w:t>
      </w:r>
      <w:r>
        <w:rPr>
          <w:rFonts w:hint="eastAsia" w:ascii="宋体" w:hAnsi="宋体" w:cs="宋体"/>
          <w:sz w:val="24"/>
        </w:rPr>
        <w:t xml:space="preserve"> </w:t>
      </w:r>
    </w:p>
    <w:p w14:paraId="2D605CBE">
      <w:pPr>
        <w:spacing w:line="360" w:lineRule="auto"/>
        <w:rPr>
          <w:rFonts w:ascii="宋体" w:hAnsi="宋体" w:cs="宋体"/>
          <w:sz w:val="24"/>
        </w:rPr>
      </w:pPr>
      <w:r>
        <w:rPr>
          <w:rFonts w:hint="eastAsia" w:ascii="宋体" w:hAnsi="宋体" w:cs="宋体"/>
          <w:sz w:val="24"/>
        </w:rPr>
        <w:t>法定代表人或授权代表人：                法定代表人或授权代表人：</w:t>
      </w:r>
    </w:p>
    <w:p w14:paraId="418B85B2">
      <w:pPr>
        <w:spacing w:line="360" w:lineRule="auto"/>
        <w:ind w:left="6240" w:hanging="6240" w:hangingChars="2600"/>
        <w:rPr>
          <w:rFonts w:ascii="宋体" w:hAnsi="宋体" w:cs="宋体"/>
          <w:sz w:val="24"/>
        </w:rPr>
      </w:pPr>
      <w:r>
        <w:rPr>
          <w:rFonts w:hint="eastAsia" w:ascii="宋体" w:hAnsi="宋体" w:cs="宋体"/>
          <w:sz w:val="24"/>
        </w:rPr>
        <w:t>地    址：杭州市滨江区滨文路548号      地    址：</w:t>
      </w:r>
      <w:r>
        <w:rPr>
          <w:rFonts w:hint="eastAsia" w:ascii="宋体" w:hAnsi="宋体" w:cs="宋体"/>
          <w:b/>
          <w:bCs/>
          <w:sz w:val="24"/>
          <w:u w:val="single"/>
        </w:rPr>
        <w:t xml:space="preserve"> </w:t>
      </w:r>
    </w:p>
    <w:p w14:paraId="209D3A0B">
      <w:pPr>
        <w:spacing w:line="360" w:lineRule="auto"/>
        <w:rPr>
          <w:rFonts w:ascii="宋体" w:hAnsi="宋体" w:cs="宋体"/>
          <w:sz w:val="24"/>
        </w:rPr>
      </w:pPr>
      <w:r>
        <w:rPr>
          <w:rFonts w:hint="eastAsia" w:ascii="宋体" w:hAnsi="宋体" w:cs="宋体"/>
          <w:sz w:val="24"/>
        </w:rPr>
        <w:t>电    话：                              电    话：</w:t>
      </w:r>
    </w:p>
    <w:p w14:paraId="75211A7E">
      <w:pPr>
        <w:spacing w:line="360" w:lineRule="auto"/>
        <w:jc w:val="center"/>
        <w:rPr>
          <w:rFonts w:ascii="宋体" w:hAnsi="宋体" w:cs="宋体"/>
          <w:sz w:val="24"/>
        </w:rPr>
      </w:pPr>
      <w:r>
        <w:rPr>
          <w:rFonts w:hint="eastAsia" w:ascii="宋体" w:hAnsi="宋体" w:cs="宋体"/>
          <w:sz w:val="24"/>
        </w:rPr>
        <w:t>年   月   日                            年    月    日</w:t>
      </w:r>
    </w:p>
    <w:p w14:paraId="0DE37D00">
      <w:pPr>
        <w:widowControl/>
        <w:jc w:val="left"/>
        <w:rPr>
          <w:rFonts w:ascii="宋体" w:hAnsi="宋体"/>
          <w:szCs w:val="21"/>
        </w:rPr>
      </w:pPr>
      <w:r>
        <w:rPr>
          <w:rFonts w:ascii="宋体" w:hAnsi="宋体"/>
          <w:szCs w:val="21"/>
        </w:rPr>
        <w:br w:type="page"/>
      </w:r>
    </w:p>
    <w:p w14:paraId="6D9010BF">
      <w:pPr>
        <w:spacing w:line="360" w:lineRule="auto"/>
        <w:rPr>
          <w:rFonts w:ascii="宋体" w:hAnsi="宋体" w:cs="宋体"/>
          <w:sz w:val="24"/>
        </w:rPr>
      </w:pPr>
      <w:r>
        <w:rPr>
          <w:rFonts w:hint="eastAsia" w:ascii="宋体" w:hAnsi="宋体" w:cs="宋体"/>
          <w:sz w:val="24"/>
        </w:rPr>
        <w:t>附件4：</w:t>
      </w:r>
    </w:p>
    <w:p w14:paraId="39E20E4F">
      <w:pPr>
        <w:spacing w:line="360" w:lineRule="auto"/>
        <w:jc w:val="center"/>
        <w:rPr>
          <w:rFonts w:ascii="宋体" w:hAnsi="宋体" w:cs="宋体"/>
          <w:sz w:val="24"/>
        </w:rPr>
      </w:pPr>
      <w:bookmarkStart w:id="541" w:name="_Toc22601"/>
      <w:bookmarkStart w:id="542" w:name="_Toc12000"/>
      <w:bookmarkStart w:id="543" w:name="_Toc5449"/>
      <w:r>
        <w:rPr>
          <w:rFonts w:hint="eastAsia" w:ascii="宋体" w:hAnsi="宋体" w:cs="宋体"/>
          <w:sz w:val="24"/>
        </w:rPr>
        <w:t>主要材料（设备）清单</w:t>
      </w:r>
      <w:bookmarkEnd w:id="541"/>
      <w:bookmarkEnd w:id="542"/>
      <w:bookmarkEnd w:id="543"/>
    </w:p>
    <w:p w14:paraId="346037E9">
      <w:pPr>
        <w:spacing w:line="360" w:lineRule="auto"/>
        <w:jc w:val="left"/>
        <w:rPr>
          <w:rFonts w:ascii="宋体" w:hAnsi="宋体" w:cs="宋体"/>
          <w:sz w:val="24"/>
        </w:rPr>
      </w:pPr>
      <w:r>
        <w:rPr>
          <w:rFonts w:hint="eastAsia" w:ascii="宋体" w:hAnsi="宋体" w:cs="宋体"/>
          <w:sz w:val="24"/>
        </w:rPr>
        <w:t>项目名称：</w:t>
      </w:r>
    </w:p>
    <w:tbl>
      <w:tblPr>
        <w:tblStyle w:val="62"/>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8"/>
        <w:gridCol w:w="2218"/>
        <w:gridCol w:w="1357"/>
        <w:gridCol w:w="1536"/>
        <w:gridCol w:w="2000"/>
        <w:gridCol w:w="973"/>
      </w:tblGrid>
      <w:tr w14:paraId="0AB34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dxa"/>
            <w:vAlign w:val="center"/>
          </w:tcPr>
          <w:p w14:paraId="230F755A">
            <w:pPr>
              <w:jc w:val="center"/>
              <w:rPr>
                <w:rFonts w:ascii="宋体" w:hAnsi="宋体" w:cs="宋体"/>
                <w:b/>
                <w:kern w:val="0"/>
                <w:sz w:val="24"/>
              </w:rPr>
            </w:pPr>
            <w:r>
              <w:rPr>
                <w:rFonts w:hint="eastAsia" w:ascii="宋体" w:hAnsi="宋体" w:cs="宋体"/>
                <w:b/>
                <w:kern w:val="0"/>
                <w:sz w:val="24"/>
              </w:rPr>
              <w:t>序号</w:t>
            </w:r>
          </w:p>
        </w:tc>
        <w:tc>
          <w:tcPr>
            <w:tcW w:w="2218" w:type="dxa"/>
            <w:vAlign w:val="center"/>
          </w:tcPr>
          <w:p w14:paraId="2B862A64">
            <w:pPr>
              <w:jc w:val="center"/>
              <w:rPr>
                <w:rFonts w:ascii="宋体" w:hAnsi="宋体" w:cs="宋体"/>
                <w:b/>
                <w:kern w:val="0"/>
                <w:sz w:val="24"/>
              </w:rPr>
            </w:pPr>
            <w:r>
              <w:rPr>
                <w:rFonts w:hint="eastAsia" w:ascii="宋体" w:hAnsi="宋体" w:cs="宋体"/>
                <w:b/>
                <w:kern w:val="0"/>
                <w:sz w:val="24"/>
              </w:rPr>
              <w:t>材料（设备</w:t>
            </w:r>
            <w:r>
              <w:rPr>
                <w:rFonts w:hint="eastAsia" w:ascii="宋体" w:hAnsi="宋体" w:cs="宋体"/>
                <w:b/>
                <w:bCs/>
                <w:kern w:val="0"/>
                <w:sz w:val="24"/>
              </w:rPr>
              <w:t>）名称</w:t>
            </w:r>
          </w:p>
        </w:tc>
        <w:tc>
          <w:tcPr>
            <w:tcW w:w="1357" w:type="dxa"/>
            <w:vAlign w:val="center"/>
          </w:tcPr>
          <w:p w14:paraId="3827497A">
            <w:pPr>
              <w:jc w:val="center"/>
              <w:rPr>
                <w:rFonts w:ascii="宋体" w:hAnsi="宋体" w:cs="宋体"/>
                <w:b/>
                <w:kern w:val="0"/>
                <w:sz w:val="24"/>
              </w:rPr>
            </w:pPr>
            <w:r>
              <w:rPr>
                <w:rFonts w:hint="eastAsia" w:ascii="宋体" w:hAnsi="宋体" w:cs="宋体"/>
                <w:b/>
                <w:kern w:val="0"/>
                <w:sz w:val="24"/>
              </w:rPr>
              <w:t>品牌</w:t>
            </w:r>
          </w:p>
        </w:tc>
        <w:tc>
          <w:tcPr>
            <w:tcW w:w="1536" w:type="dxa"/>
            <w:vAlign w:val="center"/>
          </w:tcPr>
          <w:p w14:paraId="1C9F5418">
            <w:pPr>
              <w:jc w:val="center"/>
              <w:rPr>
                <w:rFonts w:ascii="宋体" w:hAnsi="宋体" w:cs="宋体"/>
                <w:b/>
                <w:kern w:val="0"/>
                <w:sz w:val="24"/>
              </w:rPr>
            </w:pPr>
            <w:r>
              <w:rPr>
                <w:rFonts w:hint="eastAsia" w:ascii="宋体" w:hAnsi="宋体" w:cs="宋体"/>
                <w:b/>
                <w:kern w:val="0"/>
                <w:sz w:val="24"/>
              </w:rPr>
              <w:t>规格型号</w:t>
            </w:r>
          </w:p>
        </w:tc>
        <w:tc>
          <w:tcPr>
            <w:tcW w:w="2000" w:type="dxa"/>
            <w:vAlign w:val="center"/>
          </w:tcPr>
          <w:p w14:paraId="47FCC17B">
            <w:pPr>
              <w:jc w:val="center"/>
              <w:rPr>
                <w:rFonts w:ascii="宋体" w:hAnsi="宋体" w:cs="宋体"/>
                <w:b/>
                <w:kern w:val="0"/>
                <w:sz w:val="24"/>
              </w:rPr>
            </w:pPr>
            <w:r>
              <w:rPr>
                <w:rFonts w:hint="eastAsia" w:ascii="宋体" w:hAnsi="宋体" w:cs="宋体"/>
                <w:b/>
                <w:kern w:val="0"/>
                <w:sz w:val="24"/>
              </w:rPr>
              <w:t>厂家</w:t>
            </w:r>
          </w:p>
        </w:tc>
        <w:tc>
          <w:tcPr>
            <w:tcW w:w="973" w:type="dxa"/>
            <w:vAlign w:val="center"/>
          </w:tcPr>
          <w:p w14:paraId="583D8F81">
            <w:pPr>
              <w:jc w:val="center"/>
              <w:rPr>
                <w:rFonts w:ascii="宋体" w:hAnsi="宋体" w:cs="宋体"/>
                <w:b/>
                <w:kern w:val="0"/>
                <w:sz w:val="24"/>
              </w:rPr>
            </w:pPr>
            <w:r>
              <w:rPr>
                <w:rFonts w:hint="eastAsia" w:ascii="宋体" w:hAnsi="宋体" w:cs="宋体"/>
                <w:b/>
                <w:kern w:val="0"/>
                <w:sz w:val="24"/>
              </w:rPr>
              <w:t>产地</w:t>
            </w:r>
          </w:p>
        </w:tc>
      </w:tr>
      <w:tr w14:paraId="2D1C5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558" w:type="dxa"/>
            <w:vAlign w:val="center"/>
          </w:tcPr>
          <w:p w14:paraId="59C37A1C">
            <w:pPr>
              <w:jc w:val="center"/>
              <w:rPr>
                <w:rFonts w:ascii="宋体" w:hAnsi="宋体" w:cs="宋体"/>
                <w:kern w:val="0"/>
                <w:sz w:val="24"/>
              </w:rPr>
            </w:pPr>
            <w:r>
              <w:rPr>
                <w:rFonts w:hint="eastAsia" w:ascii="宋体" w:hAnsi="宋体" w:cs="宋体"/>
                <w:kern w:val="0"/>
                <w:sz w:val="24"/>
              </w:rPr>
              <w:t>1</w:t>
            </w:r>
          </w:p>
        </w:tc>
        <w:tc>
          <w:tcPr>
            <w:tcW w:w="2218" w:type="dxa"/>
            <w:vAlign w:val="center"/>
          </w:tcPr>
          <w:p w14:paraId="3264FDA0">
            <w:pPr>
              <w:jc w:val="center"/>
              <w:rPr>
                <w:rFonts w:ascii="宋体" w:hAnsi="宋体" w:cs="宋体"/>
                <w:kern w:val="0"/>
                <w:sz w:val="24"/>
              </w:rPr>
            </w:pPr>
          </w:p>
        </w:tc>
        <w:tc>
          <w:tcPr>
            <w:tcW w:w="1357" w:type="dxa"/>
            <w:vAlign w:val="center"/>
          </w:tcPr>
          <w:p w14:paraId="5E837814">
            <w:pPr>
              <w:jc w:val="center"/>
              <w:rPr>
                <w:rFonts w:ascii="宋体" w:hAnsi="宋体" w:cs="宋体"/>
                <w:kern w:val="0"/>
                <w:sz w:val="24"/>
              </w:rPr>
            </w:pPr>
          </w:p>
        </w:tc>
        <w:tc>
          <w:tcPr>
            <w:tcW w:w="1536" w:type="dxa"/>
            <w:vAlign w:val="center"/>
          </w:tcPr>
          <w:p w14:paraId="398492C4">
            <w:pPr>
              <w:jc w:val="center"/>
              <w:rPr>
                <w:rFonts w:ascii="宋体" w:hAnsi="宋体" w:cs="宋体"/>
                <w:kern w:val="0"/>
                <w:sz w:val="24"/>
              </w:rPr>
            </w:pPr>
          </w:p>
        </w:tc>
        <w:tc>
          <w:tcPr>
            <w:tcW w:w="2000" w:type="dxa"/>
            <w:vAlign w:val="center"/>
          </w:tcPr>
          <w:p w14:paraId="422CA80A">
            <w:pPr>
              <w:jc w:val="center"/>
              <w:rPr>
                <w:rFonts w:ascii="宋体" w:hAnsi="宋体" w:cs="宋体"/>
                <w:kern w:val="0"/>
                <w:sz w:val="24"/>
              </w:rPr>
            </w:pPr>
          </w:p>
        </w:tc>
        <w:tc>
          <w:tcPr>
            <w:tcW w:w="973" w:type="dxa"/>
            <w:vAlign w:val="center"/>
          </w:tcPr>
          <w:p w14:paraId="0307627D">
            <w:pPr>
              <w:jc w:val="center"/>
              <w:rPr>
                <w:rFonts w:ascii="宋体" w:hAnsi="宋体" w:cs="宋体"/>
                <w:kern w:val="0"/>
                <w:sz w:val="24"/>
              </w:rPr>
            </w:pPr>
          </w:p>
        </w:tc>
      </w:tr>
      <w:tr w14:paraId="388F9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558" w:type="dxa"/>
            <w:vAlign w:val="center"/>
          </w:tcPr>
          <w:p w14:paraId="062189A2">
            <w:pPr>
              <w:jc w:val="center"/>
              <w:rPr>
                <w:rFonts w:ascii="宋体" w:hAnsi="宋体" w:cs="宋体"/>
                <w:kern w:val="0"/>
                <w:sz w:val="24"/>
              </w:rPr>
            </w:pPr>
            <w:r>
              <w:rPr>
                <w:rFonts w:hint="eastAsia" w:ascii="宋体" w:hAnsi="宋体" w:cs="宋体"/>
                <w:kern w:val="0"/>
                <w:sz w:val="24"/>
              </w:rPr>
              <w:t>2</w:t>
            </w:r>
          </w:p>
        </w:tc>
        <w:tc>
          <w:tcPr>
            <w:tcW w:w="2218" w:type="dxa"/>
            <w:vAlign w:val="center"/>
          </w:tcPr>
          <w:p w14:paraId="3CC0BFB0">
            <w:pPr>
              <w:jc w:val="center"/>
              <w:rPr>
                <w:rFonts w:ascii="宋体" w:hAnsi="宋体" w:cs="宋体"/>
                <w:kern w:val="0"/>
                <w:sz w:val="24"/>
              </w:rPr>
            </w:pPr>
          </w:p>
        </w:tc>
        <w:tc>
          <w:tcPr>
            <w:tcW w:w="1357" w:type="dxa"/>
            <w:vAlign w:val="center"/>
          </w:tcPr>
          <w:p w14:paraId="00A26CEE">
            <w:pPr>
              <w:jc w:val="center"/>
              <w:rPr>
                <w:rFonts w:ascii="宋体" w:hAnsi="宋体" w:cs="宋体"/>
                <w:kern w:val="0"/>
                <w:sz w:val="24"/>
              </w:rPr>
            </w:pPr>
          </w:p>
        </w:tc>
        <w:tc>
          <w:tcPr>
            <w:tcW w:w="1536" w:type="dxa"/>
            <w:vAlign w:val="center"/>
          </w:tcPr>
          <w:p w14:paraId="10752204">
            <w:pPr>
              <w:jc w:val="center"/>
              <w:rPr>
                <w:rFonts w:ascii="宋体" w:hAnsi="宋体" w:cs="宋体"/>
                <w:kern w:val="0"/>
                <w:sz w:val="24"/>
              </w:rPr>
            </w:pPr>
          </w:p>
        </w:tc>
        <w:tc>
          <w:tcPr>
            <w:tcW w:w="2000" w:type="dxa"/>
            <w:vAlign w:val="center"/>
          </w:tcPr>
          <w:p w14:paraId="73042B06">
            <w:pPr>
              <w:jc w:val="center"/>
              <w:rPr>
                <w:rFonts w:ascii="宋体" w:hAnsi="宋体" w:cs="宋体"/>
                <w:kern w:val="0"/>
                <w:sz w:val="24"/>
              </w:rPr>
            </w:pPr>
          </w:p>
        </w:tc>
        <w:tc>
          <w:tcPr>
            <w:tcW w:w="973" w:type="dxa"/>
            <w:vAlign w:val="center"/>
          </w:tcPr>
          <w:p w14:paraId="6059FAAB">
            <w:pPr>
              <w:jc w:val="center"/>
              <w:rPr>
                <w:rFonts w:ascii="宋体" w:hAnsi="宋体" w:cs="宋体"/>
                <w:kern w:val="0"/>
                <w:sz w:val="24"/>
              </w:rPr>
            </w:pPr>
          </w:p>
        </w:tc>
      </w:tr>
      <w:tr w14:paraId="299EB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558" w:type="dxa"/>
            <w:vAlign w:val="center"/>
          </w:tcPr>
          <w:p w14:paraId="414C96E7">
            <w:pPr>
              <w:jc w:val="center"/>
              <w:rPr>
                <w:rFonts w:ascii="宋体" w:hAnsi="宋体" w:cs="宋体"/>
                <w:kern w:val="0"/>
                <w:sz w:val="24"/>
              </w:rPr>
            </w:pPr>
            <w:r>
              <w:rPr>
                <w:rFonts w:hint="eastAsia" w:ascii="宋体" w:hAnsi="宋体" w:cs="宋体"/>
                <w:kern w:val="0"/>
                <w:sz w:val="24"/>
              </w:rPr>
              <w:t>3</w:t>
            </w:r>
          </w:p>
        </w:tc>
        <w:tc>
          <w:tcPr>
            <w:tcW w:w="2218" w:type="dxa"/>
            <w:vAlign w:val="center"/>
          </w:tcPr>
          <w:p w14:paraId="4F1360E9">
            <w:pPr>
              <w:jc w:val="center"/>
              <w:rPr>
                <w:rFonts w:ascii="宋体" w:hAnsi="宋体" w:cs="宋体"/>
                <w:kern w:val="0"/>
                <w:sz w:val="24"/>
              </w:rPr>
            </w:pPr>
          </w:p>
        </w:tc>
        <w:tc>
          <w:tcPr>
            <w:tcW w:w="1357" w:type="dxa"/>
            <w:vAlign w:val="center"/>
          </w:tcPr>
          <w:p w14:paraId="2D3EAF85">
            <w:pPr>
              <w:jc w:val="center"/>
              <w:rPr>
                <w:rFonts w:ascii="宋体" w:hAnsi="宋体" w:cs="宋体"/>
                <w:kern w:val="0"/>
                <w:sz w:val="24"/>
              </w:rPr>
            </w:pPr>
          </w:p>
        </w:tc>
        <w:tc>
          <w:tcPr>
            <w:tcW w:w="1536" w:type="dxa"/>
            <w:vAlign w:val="center"/>
          </w:tcPr>
          <w:p w14:paraId="6141E72F">
            <w:pPr>
              <w:jc w:val="center"/>
              <w:rPr>
                <w:rFonts w:ascii="宋体" w:hAnsi="宋体" w:cs="宋体"/>
                <w:kern w:val="0"/>
                <w:sz w:val="24"/>
              </w:rPr>
            </w:pPr>
          </w:p>
        </w:tc>
        <w:tc>
          <w:tcPr>
            <w:tcW w:w="2000" w:type="dxa"/>
            <w:vAlign w:val="center"/>
          </w:tcPr>
          <w:p w14:paraId="78E8C029">
            <w:pPr>
              <w:jc w:val="center"/>
              <w:rPr>
                <w:rFonts w:ascii="宋体" w:hAnsi="宋体" w:cs="宋体"/>
                <w:kern w:val="0"/>
                <w:sz w:val="24"/>
              </w:rPr>
            </w:pPr>
          </w:p>
        </w:tc>
        <w:tc>
          <w:tcPr>
            <w:tcW w:w="973" w:type="dxa"/>
            <w:vAlign w:val="center"/>
          </w:tcPr>
          <w:p w14:paraId="07206A92">
            <w:pPr>
              <w:jc w:val="center"/>
              <w:rPr>
                <w:rFonts w:ascii="宋体" w:hAnsi="宋体" w:cs="宋体"/>
                <w:kern w:val="0"/>
                <w:sz w:val="24"/>
              </w:rPr>
            </w:pPr>
          </w:p>
        </w:tc>
      </w:tr>
      <w:tr w14:paraId="5071B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58" w:type="dxa"/>
            <w:vAlign w:val="center"/>
          </w:tcPr>
          <w:p w14:paraId="5F6BDB4D">
            <w:pPr>
              <w:jc w:val="center"/>
              <w:rPr>
                <w:rFonts w:ascii="宋体" w:hAnsi="宋体" w:cs="宋体"/>
                <w:kern w:val="0"/>
                <w:sz w:val="24"/>
              </w:rPr>
            </w:pPr>
            <w:r>
              <w:rPr>
                <w:rFonts w:hint="eastAsia" w:ascii="宋体" w:hAnsi="宋体" w:cs="宋体"/>
                <w:kern w:val="0"/>
                <w:sz w:val="24"/>
              </w:rPr>
              <w:t>4</w:t>
            </w:r>
          </w:p>
        </w:tc>
        <w:tc>
          <w:tcPr>
            <w:tcW w:w="2218" w:type="dxa"/>
            <w:vAlign w:val="center"/>
          </w:tcPr>
          <w:p w14:paraId="756FB271">
            <w:pPr>
              <w:jc w:val="center"/>
              <w:rPr>
                <w:rFonts w:ascii="宋体" w:hAnsi="宋体" w:cs="宋体"/>
                <w:kern w:val="0"/>
                <w:sz w:val="24"/>
              </w:rPr>
            </w:pPr>
          </w:p>
        </w:tc>
        <w:tc>
          <w:tcPr>
            <w:tcW w:w="1357" w:type="dxa"/>
            <w:vAlign w:val="center"/>
          </w:tcPr>
          <w:p w14:paraId="63467C7F">
            <w:pPr>
              <w:jc w:val="center"/>
              <w:rPr>
                <w:rFonts w:ascii="宋体" w:hAnsi="宋体" w:cs="宋体"/>
                <w:kern w:val="0"/>
                <w:sz w:val="24"/>
              </w:rPr>
            </w:pPr>
          </w:p>
        </w:tc>
        <w:tc>
          <w:tcPr>
            <w:tcW w:w="1536" w:type="dxa"/>
            <w:vAlign w:val="center"/>
          </w:tcPr>
          <w:p w14:paraId="51605C96">
            <w:pPr>
              <w:jc w:val="center"/>
              <w:rPr>
                <w:rFonts w:ascii="宋体" w:hAnsi="宋体" w:cs="宋体"/>
                <w:kern w:val="0"/>
                <w:sz w:val="24"/>
              </w:rPr>
            </w:pPr>
          </w:p>
        </w:tc>
        <w:tc>
          <w:tcPr>
            <w:tcW w:w="2000" w:type="dxa"/>
            <w:vAlign w:val="center"/>
          </w:tcPr>
          <w:p w14:paraId="264AD012">
            <w:pPr>
              <w:jc w:val="center"/>
              <w:rPr>
                <w:rFonts w:ascii="宋体" w:hAnsi="宋体" w:cs="宋体"/>
                <w:kern w:val="0"/>
                <w:sz w:val="24"/>
              </w:rPr>
            </w:pPr>
          </w:p>
        </w:tc>
        <w:tc>
          <w:tcPr>
            <w:tcW w:w="973" w:type="dxa"/>
            <w:vAlign w:val="center"/>
          </w:tcPr>
          <w:p w14:paraId="0D1A658B">
            <w:pPr>
              <w:jc w:val="center"/>
              <w:rPr>
                <w:rFonts w:ascii="宋体" w:hAnsi="宋体" w:cs="宋体"/>
                <w:kern w:val="0"/>
                <w:sz w:val="24"/>
              </w:rPr>
            </w:pPr>
          </w:p>
        </w:tc>
      </w:tr>
      <w:tr w14:paraId="53AD2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558" w:type="dxa"/>
            <w:vAlign w:val="center"/>
          </w:tcPr>
          <w:p w14:paraId="5EA5B56A">
            <w:pPr>
              <w:jc w:val="center"/>
              <w:rPr>
                <w:rFonts w:ascii="宋体" w:hAnsi="宋体" w:cs="宋体"/>
                <w:kern w:val="0"/>
                <w:sz w:val="24"/>
              </w:rPr>
            </w:pPr>
            <w:r>
              <w:rPr>
                <w:rFonts w:hint="eastAsia" w:ascii="宋体" w:hAnsi="宋体" w:cs="宋体"/>
                <w:kern w:val="0"/>
                <w:sz w:val="24"/>
              </w:rPr>
              <w:t>5</w:t>
            </w:r>
          </w:p>
        </w:tc>
        <w:tc>
          <w:tcPr>
            <w:tcW w:w="2218" w:type="dxa"/>
            <w:vAlign w:val="center"/>
          </w:tcPr>
          <w:p w14:paraId="36EA4566">
            <w:pPr>
              <w:jc w:val="center"/>
              <w:rPr>
                <w:rFonts w:ascii="宋体" w:hAnsi="宋体" w:cs="宋体"/>
                <w:kern w:val="0"/>
                <w:sz w:val="24"/>
              </w:rPr>
            </w:pPr>
          </w:p>
        </w:tc>
        <w:tc>
          <w:tcPr>
            <w:tcW w:w="1357" w:type="dxa"/>
            <w:vAlign w:val="center"/>
          </w:tcPr>
          <w:p w14:paraId="42401765">
            <w:pPr>
              <w:ind w:firstLine="240"/>
              <w:jc w:val="center"/>
              <w:rPr>
                <w:rFonts w:ascii="宋体" w:hAnsi="宋体" w:cs="宋体"/>
                <w:kern w:val="0"/>
                <w:sz w:val="24"/>
              </w:rPr>
            </w:pPr>
          </w:p>
        </w:tc>
        <w:tc>
          <w:tcPr>
            <w:tcW w:w="1536" w:type="dxa"/>
            <w:vAlign w:val="center"/>
          </w:tcPr>
          <w:p w14:paraId="2A17DD20">
            <w:pPr>
              <w:jc w:val="center"/>
              <w:rPr>
                <w:rFonts w:ascii="宋体" w:hAnsi="宋体" w:cs="宋体"/>
                <w:kern w:val="0"/>
                <w:sz w:val="24"/>
              </w:rPr>
            </w:pPr>
          </w:p>
        </w:tc>
        <w:tc>
          <w:tcPr>
            <w:tcW w:w="2000" w:type="dxa"/>
            <w:vAlign w:val="center"/>
          </w:tcPr>
          <w:p w14:paraId="5926C13A">
            <w:pPr>
              <w:jc w:val="center"/>
              <w:rPr>
                <w:rFonts w:ascii="宋体" w:hAnsi="宋体" w:cs="宋体"/>
                <w:kern w:val="0"/>
                <w:sz w:val="24"/>
              </w:rPr>
            </w:pPr>
          </w:p>
        </w:tc>
        <w:tc>
          <w:tcPr>
            <w:tcW w:w="973" w:type="dxa"/>
            <w:vAlign w:val="center"/>
          </w:tcPr>
          <w:p w14:paraId="07E68588">
            <w:pPr>
              <w:jc w:val="center"/>
              <w:rPr>
                <w:rFonts w:ascii="宋体" w:hAnsi="宋体" w:cs="宋体"/>
                <w:kern w:val="0"/>
                <w:sz w:val="24"/>
              </w:rPr>
            </w:pPr>
          </w:p>
        </w:tc>
      </w:tr>
      <w:tr w14:paraId="6715C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558" w:type="dxa"/>
            <w:vAlign w:val="center"/>
          </w:tcPr>
          <w:p w14:paraId="4DDEB258">
            <w:pPr>
              <w:jc w:val="center"/>
              <w:rPr>
                <w:rFonts w:ascii="宋体" w:hAnsi="宋体" w:cs="宋体"/>
                <w:kern w:val="0"/>
                <w:sz w:val="24"/>
              </w:rPr>
            </w:pPr>
            <w:r>
              <w:rPr>
                <w:rFonts w:hint="eastAsia" w:ascii="宋体" w:hAnsi="宋体" w:cs="宋体"/>
                <w:kern w:val="0"/>
                <w:sz w:val="24"/>
              </w:rPr>
              <w:t>6</w:t>
            </w:r>
          </w:p>
        </w:tc>
        <w:tc>
          <w:tcPr>
            <w:tcW w:w="2218" w:type="dxa"/>
            <w:vAlign w:val="center"/>
          </w:tcPr>
          <w:p w14:paraId="33FBB59A">
            <w:pPr>
              <w:jc w:val="center"/>
              <w:rPr>
                <w:rFonts w:ascii="宋体" w:hAnsi="宋体" w:cs="宋体"/>
                <w:kern w:val="0"/>
                <w:sz w:val="24"/>
              </w:rPr>
            </w:pPr>
          </w:p>
        </w:tc>
        <w:tc>
          <w:tcPr>
            <w:tcW w:w="1357" w:type="dxa"/>
            <w:vAlign w:val="center"/>
          </w:tcPr>
          <w:p w14:paraId="7D2EA953">
            <w:pPr>
              <w:jc w:val="center"/>
              <w:rPr>
                <w:rFonts w:ascii="宋体" w:hAnsi="宋体" w:cs="宋体"/>
                <w:kern w:val="0"/>
                <w:sz w:val="24"/>
              </w:rPr>
            </w:pPr>
          </w:p>
        </w:tc>
        <w:tc>
          <w:tcPr>
            <w:tcW w:w="1536" w:type="dxa"/>
            <w:vAlign w:val="center"/>
          </w:tcPr>
          <w:p w14:paraId="57B0C06E">
            <w:pPr>
              <w:jc w:val="center"/>
              <w:rPr>
                <w:rFonts w:ascii="宋体" w:hAnsi="宋体" w:cs="宋体"/>
                <w:kern w:val="0"/>
                <w:sz w:val="24"/>
              </w:rPr>
            </w:pPr>
          </w:p>
        </w:tc>
        <w:tc>
          <w:tcPr>
            <w:tcW w:w="2000" w:type="dxa"/>
            <w:vAlign w:val="center"/>
          </w:tcPr>
          <w:p w14:paraId="1F3E27D2">
            <w:pPr>
              <w:jc w:val="center"/>
              <w:rPr>
                <w:rFonts w:ascii="宋体" w:hAnsi="宋体" w:cs="宋体"/>
                <w:kern w:val="0"/>
                <w:sz w:val="24"/>
              </w:rPr>
            </w:pPr>
          </w:p>
        </w:tc>
        <w:tc>
          <w:tcPr>
            <w:tcW w:w="973" w:type="dxa"/>
            <w:vAlign w:val="center"/>
          </w:tcPr>
          <w:p w14:paraId="11B94E74">
            <w:pPr>
              <w:jc w:val="center"/>
              <w:rPr>
                <w:rFonts w:ascii="宋体" w:hAnsi="宋体" w:cs="宋体"/>
                <w:kern w:val="0"/>
                <w:sz w:val="24"/>
              </w:rPr>
            </w:pPr>
          </w:p>
        </w:tc>
      </w:tr>
      <w:tr w14:paraId="468DF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558" w:type="dxa"/>
            <w:vAlign w:val="center"/>
          </w:tcPr>
          <w:p w14:paraId="49D163C4">
            <w:pPr>
              <w:jc w:val="center"/>
              <w:rPr>
                <w:rFonts w:ascii="宋体" w:hAnsi="宋体" w:cs="宋体"/>
                <w:kern w:val="0"/>
                <w:sz w:val="24"/>
              </w:rPr>
            </w:pPr>
            <w:r>
              <w:rPr>
                <w:rFonts w:hint="eastAsia" w:ascii="宋体" w:hAnsi="宋体" w:cs="宋体"/>
                <w:kern w:val="0"/>
                <w:sz w:val="24"/>
              </w:rPr>
              <w:t>7</w:t>
            </w:r>
          </w:p>
        </w:tc>
        <w:tc>
          <w:tcPr>
            <w:tcW w:w="2218" w:type="dxa"/>
            <w:vAlign w:val="center"/>
          </w:tcPr>
          <w:p w14:paraId="3BCDD871">
            <w:pPr>
              <w:jc w:val="center"/>
              <w:rPr>
                <w:rFonts w:ascii="宋体" w:hAnsi="宋体" w:cs="宋体"/>
                <w:kern w:val="0"/>
                <w:sz w:val="24"/>
              </w:rPr>
            </w:pPr>
          </w:p>
        </w:tc>
        <w:tc>
          <w:tcPr>
            <w:tcW w:w="1357" w:type="dxa"/>
            <w:vAlign w:val="center"/>
          </w:tcPr>
          <w:p w14:paraId="70393DB7">
            <w:pPr>
              <w:jc w:val="center"/>
              <w:rPr>
                <w:rFonts w:ascii="宋体" w:hAnsi="宋体" w:cs="宋体"/>
                <w:kern w:val="0"/>
                <w:sz w:val="24"/>
              </w:rPr>
            </w:pPr>
          </w:p>
        </w:tc>
        <w:tc>
          <w:tcPr>
            <w:tcW w:w="1536" w:type="dxa"/>
            <w:vAlign w:val="center"/>
          </w:tcPr>
          <w:p w14:paraId="2A0D06C7">
            <w:pPr>
              <w:jc w:val="center"/>
              <w:rPr>
                <w:rFonts w:ascii="宋体" w:hAnsi="宋体" w:cs="宋体"/>
                <w:kern w:val="0"/>
                <w:sz w:val="24"/>
              </w:rPr>
            </w:pPr>
          </w:p>
        </w:tc>
        <w:tc>
          <w:tcPr>
            <w:tcW w:w="2000" w:type="dxa"/>
            <w:vAlign w:val="center"/>
          </w:tcPr>
          <w:p w14:paraId="1399756F">
            <w:pPr>
              <w:jc w:val="center"/>
              <w:rPr>
                <w:rFonts w:ascii="宋体" w:hAnsi="宋体" w:cs="宋体"/>
                <w:kern w:val="0"/>
                <w:sz w:val="24"/>
              </w:rPr>
            </w:pPr>
          </w:p>
        </w:tc>
        <w:tc>
          <w:tcPr>
            <w:tcW w:w="973" w:type="dxa"/>
            <w:vAlign w:val="center"/>
          </w:tcPr>
          <w:p w14:paraId="7ECBF0D9">
            <w:pPr>
              <w:jc w:val="center"/>
              <w:rPr>
                <w:rFonts w:ascii="宋体" w:hAnsi="宋体" w:cs="宋体"/>
                <w:kern w:val="0"/>
                <w:sz w:val="24"/>
              </w:rPr>
            </w:pPr>
          </w:p>
        </w:tc>
      </w:tr>
    </w:tbl>
    <w:p w14:paraId="027843B9">
      <w:pPr>
        <w:widowControl/>
        <w:autoSpaceDE w:val="0"/>
        <w:autoSpaceDN w:val="0"/>
        <w:snapToGrid w:val="0"/>
        <w:spacing w:line="600" w:lineRule="auto"/>
        <w:ind w:firstLine="480" w:firstLineChars="200"/>
        <w:textAlignment w:val="bottom"/>
        <w:rPr>
          <w:rFonts w:ascii="宋体" w:hAnsi="宋体" w:cs="宋体"/>
          <w:kern w:val="0"/>
          <w:sz w:val="24"/>
        </w:rPr>
      </w:pPr>
    </w:p>
    <w:p w14:paraId="5D7A5649">
      <w:pPr>
        <w:rPr>
          <w:rFonts w:ascii="宋体" w:hAnsi="宋体" w:cs="宋体"/>
          <w:sz w:val="24"/>
        </w:rPr>
      </w:pPr>
    </w:p>
    <w:p w14:paraId="4E9D4B7F">
      <w:pPr>
        <w:rPr>
          <w:rFonts w:ascii="宋体" w:hAnsi="宋体" w:cs="宋体"/>
          <w:sz w:val="24"/>
        </w:rPr>
      </w:pPr>
    </w:p>
    <w:p w14:paraId="713BD65A">
      <w:pPr>
        <w:rPr>
          <w:rFonts w:ascii="宋体" w:hAnsi="宋体" w:cs="宋体"/>
          <w:sz w:val="24"/>
        </w:rPr>
      </w:pPr>
    </w:p>
    <w:p w14:paraId="413FF691">
      <w:pPr>
        <w:spacing w:line="360" w:lineRule="auto"/>
        <w:rPr>
          <w:rFonts w:ascii="宋体" w:hAnsi="宋体" w:cs="宋体"/>
          <w:sz w:val="24"/>
        </w:rPr>
      </w:pPr>
      <w:r>
        <w:rPr>
          <w:rFonts w:hint="eastAsia" w:ascii="宋体" w:hAnsi="宋体" w:cs="宋体"/>
          <w:sz w:val="24"/>
        </w:rPr>
        <w:t>附件5：</w:t>
      </w:r>
    </w:p>
    <w:p w14:paraId="109123D8">
      <w:pPr>
        <w:spacing w:line="360" w:lineRule="auto"/>
        <w:ind w:right="-420" w:rightChars="-200"/>
        <w:rPr>
          <w:rFonts w:ascii="宋体" w:hAnsi="宋体" w:cs="宋体"/>
          <w:color w:val="000000" w:themeColor="text1"/>
          <w:sz w:val="24"/>
          <w14:textFill>
            <w14:solidFill>
              <w14:schemeClr w14:val="tx1"/>
            </w14:solidFill>
          </w14:textFill>
        </w:rPr>
      </w:pPr>
      <w:r>
        <w:rPr>
          <w:rFonts w:hint="eastAsia" w:ascii="宋体" w:hAnsi="宋体" w:cs="宋体"/>
          <w:sz w:val="24"/>
        </w:rPr>
        <w:t>营业执照和相关资质</w:t>
      </w:r>
    </w:p>
    <w:p w14:paraId="5A6C2A88">
      <w:pPr>
        <w:spacing w:line="360" w:lineRule="auto"/>
        <w:ind w:left="-420" w:leftChars="-200" w:right="-420" w:rightChars="-200" w:firstLine="480" w:firstLineChars="200"/>
        <w:jc w:val="center"/>
        <w:outlineLvl w:val="0"/>
        <w:rPr>
          <w:rFonts w:ascii="宋体" w:hAnsi="宋体" w:cs="宋体"/>
          <w:color w:val="000000" w:themeColor="text1"/>
          <w:sz w:val="24"/>
          <w14:textFill>
            <w14:solidFill>
              <w14:schemeClr w14:val="tx1"/>
            </w14:solidFill>
          </w14:textFill>
        </w:rPr>
        <w:sectPr>
          <w:headerReference r:id="rId6" w:type="first"/>
          <w:footerReference r:id="rId8" w:type="first"/>
          <w:footerReference r:id="rId7" w:type="default"/>
          <w:pgSz w:w="11906" w:h="16838"/>
          <w:pgMar w:top="1440" w:right="1080" w:bottom="1440" w:left="1080" w:header="851" w:footer="992" w:gutter="0"/>
          <w:cols w:space="720" w:num="1"/>
          <w:titlePg/>
          <w:docGrid w:linePitch="312" w:charSpace="0"/>
        </w:sectPr>
      </w:pPr>
    </w:p>
    <w:p w14:paraId="664333CE">
      <w:pPr>
        <w:snapToGrid w:val="0"/>
        <w:spacing w:line="360" w:lineRule="auto"/>
        <w:jc w:val="center"/>
        <w:outlineLvl w:val="0"/>
        <w:rPr>
          <w:rFonts w:ascii="宋体" w:hAnsi="宋体" w:cs="宋体"/>
          <w:b/>
          <w:color w:val="000000" w:themeColor="text1"/>
          <w:sz w:val="36"/>
          <w:szCs w:val="20"/>
          <w14:textFill>
            <w14:solidFill>
              <w14:schemeClr w14:val="tx1"/>
            </w14:solidFill>
          </w14:textFill>
        </w:rPr>
      </w:pPr>
      <w:bookmarkStart w:id="544" w:name="_Toc6863"/>
      <w:r>
        <w:rPr>
          <w:rFonts w:hint="eastAsia" w:ascii="宋体" w:hAnsi="宋体" w:cs="宋体"/>
          <w:b/>
          <w:color w:val="000000" w:themeColor="text1"/>
          <w:sz w:val="36"/>
          <w:szCs w:val="20"/>
          <w14:textFill>
            <w14:solidFill>
              <w14:schemeClr w14:val="tx1"/>
            </w14:solidFill>
          </w14:textFill>
        </w:rPr>
        <w:t>第六部分</w:t>
      </w:r>
      <w:bookmarkEnd w:id="480"/>
      <w:r>
        <w:rPr>
          <w:rFonts w:hint="eastAsia" w:ascii="宋体" w:hAnsi="宋体" w:cs="宋体"/>
          <w:b/>
          <w:color w:val="000000" w:themeColor="text1"/>
          <w:sz w:val="36"/>
          <w:szCs w:val="20"/>
          <w14:textFill>
            <w14:solidFill>
              <w14:schemeClr w14:val="tx1"/>
            </w14:solidFill>
          </w14:textFill>
        </w:rPr>
        <w:t xml:space="preserve"> </w:t>
      </w:r>
      <w:bookmarkEnd w:id="481"/>
      <w:r>
        <w:rPr>
          <w:rFonts w:hint="eastAsia" w:ascii="宋体" w:hAnsi="宋体" w:cs="宋体"/>
          <w:b/>
          <w:color w:val="000000" w:themeColor="text1"/>
          <w:sz w:val="36"/>
          <w:szCs w:val="20"/>
          <w14:textFill>
            <w14:solidFill>
              <w14:schemeClr w14:val="tx1"/>
            </w14:solidFill>
          </w14:textFill>
        </w:rPr>
        <w:t>应提交的有关格式范例</w:t>
      </w:r>
      <w:bookmarkEnd w:id="544"/>
    </w:p>
    <w:p w14:paraId="1AA26FE4">
      <w:pPr>
        <w:spacing w:line="360" w:lineRule="auto"/>
        <w:jc w:val="center"/>
        <w:rPr>
          <w:rFonts w:ascii="宋体" w:hAnsi="宋体" w:cs="宋体"/>
          <w:b/>
          <w:color w:val="000000" w:themeColor="text1"/>
          <w:kern w:val="0"/>
          <w:sz w:val="36"/>
          <w:szCs w:val="36"/>
          <w14:textFill>
            <w14:solidFill>
              <w14:schemeClr w14:val="tx1"/>
            </w14:solidFill>
          </w14:textFill>
        </w:rPr>
      </w:pPr>
    </w:p>
    <w:p w14:paraId="70262EA0">
      <w:pPr>
        <w:spacing w:line="360" w:lineRule="auto"/>
        <w:jc w:val="center"/>
        <w:outlineLvl w:val="1"/>
        <w:rPr>
          <w:rFonts w:ascii="宋体" w:hAnsi="宋体" w:cs="宋体"/>
          <w:b/>
          <w:color w:val="000000" w:themeColor="text1"/>
          <w:kern w:val="0"/>
          <w:sz w:val="36"/>
          <w:szCs w:val="36"/>
          <w14:textFill>
            <w14:solidFill>
              <w14:schemeClr w14:val="tx1"/>
            </w14:solidFill>
          </w14:textFill>
        </w:rPr>
      </w:pPr>
      <w:bookmarkStart w:id="545" w:name="_Toc8541"/>
      <w:r>
        <w:rPr>
          <w:rFonts w:hint="eastAsia" w:ascii="宋体" w:hAnsi="宋体" w:cs="宋体"/>
          <w:b/>
          <w:color w:val="000000" w:themeColor="text1"/>
          <w:kern w:val="0"/>
          <w:sz w:val="36"/>
          <w:szCs w:val="36"/>
          <w14:textFill>
            <w14:solidFill>
              <w14:schemeClr w14:val="tx1"/>
            </w14:solidFill>
          </w14:textFill>
        </w:rPr>
        <w:t>资格文件部分</w:t>
      </w:r>
      <w:bookmarkEnd w:id="545"/>
    </w:p>
    <w:p w14:paraId="4499D034">
      <w:pPr>
        <w:spacing w:line="360" w:lineRule="auto"/>
        <w:jc w:val="center"/>
        <w:rPr>
          <w:rFonts w:ascii="宋体" w:hAnsi="宋体" w:cs="宋体"/>
          <w:b/>
          <w:color w:val="000000" w:themeColor="text1"/>
          <w:kern w:val="0"/>
          <w:sz w:val="36"/>
          <w:szCs w:val="36"/>
          <w14:textFill>
            <w14:solidFill>
              <w14:schemeClr w14:val="tx1"/>
            </w14:solidFill>
          </w14:textFill>
        </w:rPr>
      </w:pPr>
      <w:r>
        <w:rPr>
          <w:rFonts w:hint="eastAsia" w:ascii="宋体" w:hAnsi="宋体" w:cs="宋体"/>
          <w:b/>
          <w:color w:val="000000" w:themeColor="text1"/>
          <w:kern w:val="0"/>
          <w:sz w:val="36"/>
          <w:szCs w:val="36"/>
          <w14:textFill>
            <w14:solidFill>
              <w14:schemeClr w14:val="tx1"/>
            </w14:solidFill>
          </w14:textFill>
        </w:rPr>
        <w:t>目录</w:t>
      </w:r>
    </w:p>
    <w:p w14:paraId="55777328">
      <w:pPr>
        <w:spacing w:line="360" w:lineRule="auto"/>
        <w:jc w:val="center"/>
        <w:rPr>
          <w:rFonts w:ascii="宋体" w:hAnsi="宋体" w:cs="宋体"/>
          <w:b/>
          <w:color w:val="000000" w:themeColor="text1"/>
          <w:kern w:val="0"/>
          <w:sz w:val="36"/>
          <w:szCs w:val="36"/>
          <w14:textFill>
            <w14:solidFill>
              <w14:schemeClr w14:val="tx1"/>
            </w14:solidFill>
          </w14:textFill>
        </w:rPr>
      </w:pPr>
    </w:p>
    <w:p w14:paraId="19089392">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（1）符合参加政府采购活动应当具备的一般条件的承诺函……………（页码）</w:t>
      </w:r>
    </w:p>
    <w:p w14:paraId="29470840">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snapToGrid w:val="0"/>
          <w:color w:val="000000" w:themeColor="text1"/>
          <w:kern w:val="28"/>
          <w:sz w:val="24"/>
          <w:szCs w:val="20"/>
          <w14:textFill>
            <w14:solidFill>
              <w14:schemeClr w14:val="tx1"/>
            </w14:solidFill>
          </w14:textFill>
        </w:rPr>
        <w:t>（2）联合协议</w:t>
      </w:r>
      <w:r>
        <w:rPr>
          <w:rFonts w:hint="eastAsia" w:ascii="宋体" w:hAnsi="宋体" w:cs="宋体"/>
          <w:color w:val="000000" w:themeColor="text1"/>
          <w:sz w:val="24"/>
          <w14:textFill>
            <w14:solidFill>
              <w14:schemeClr w14:val="tx1"/>
            </w14:solidFill>
          </w14:textFill>
        </w:rPr>
        <w:t>………………………………………………………………（页码）</w:t>
      </w:r>
    </w:p>
    <w:p w14:paraId="0B39E062">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）落实政府采购政策需满足的资格要求………………………………（页码）</w:t>
      </w:r>
    </w:p>
    <w:p w14:paraId="43476136">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）本项目的特定资格要求………………………………………………（页码）</w:t>
      </w:r>
    </w:p>
    <w:p w14:paraId="37588666">
      <w:pPr>
        <w:snapToGrid w:val="0"/>
        <w:spacing w:line="360" w:lineRule="auto"/>
        <w:ind w:firstLine="480" w:firstLineChars="200"/>
        <w:rPr>
          <w:rFonts w:ascii="宋体" w:hAnsi="宋体" w:cs="宋体"/>
          <w:color w:val="000000" w:themeColor="text1"/>
          <w:sz w:val="24"/>
          <w14:textFill>
            <w14:solidFill>
              <w14:schemeClr w14:val="tx1"/>
            </w14:solidFill>
          </w14:textFill>
        </w:rPr>
      </w:pPr>
    </w:p>
    <w:p w14:paraId="16EF249F">
      <w:pPr>
        <w:spacing w:line="360" w:lineRule="auto"/>
        <w:ind w:firstLine="480" w:firstLineChars="200"/>
        <w:rPr>
          <w:rFonts w:ascii="宋体" w:hAnsi="宋体" w:cs="宋体"/>
          <w:color w:val="000000" w:themeColor="text1"/>
          <w:sz w:val="24"/>
          <w14:textFill>
            <w14:solidFill>
              <w14:schemeClr w14:val="tx1"/>
            </w14:solidFill>
          </w14:textFill>
        </w:rPr>
      </w:pPr>
    </w:p>
    <w:p w14:paraId="41C092DC">
      <w:pPr>
        <w:snapToGrid w:val="0"/>
        <w:spacing w:line="360" w:lineRule="auto"/>
        <w:ind w:right="480"/>
        <w:jc w:val="center"/>
        <w:outlineLvl w:val="2"/>
        <w:rPr>
          <w:rFonts w:ascii="宋体" w:hAnsi="宋体" w:cs="宋体"/>
          <w:b/>
          <w:color w:val="000000" w:themeColor="text1"/>
          <w:kern w:val="0"/>
          <w:sz w:val="32"/>
          <w:szCs w:val="32"/>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br w:type="page"/>
      </w:r>
      <w:bookmarkStart w:id="546" w:name="_Toc6722"/>
      <w:r>
        <w:rPr>
          <w:rFonts w:hint="eastAsia" w:ascii="宋体" w:hAnsi="宋体" w:cs="宋体"/>
          <w:b/>
          <w:color w:val="000000" w:themeColor="text1"/>
          <w:kern w:val="0"/>
          <w:sz w:val="32"/>
          <w:szCs w:val="32"/>
          <w14:textFill>
            <w14:solidFill>
              <w14:schemeClr w14:val="tx1"/>
            </w14:solidFill>
          </w14:textFill>
        </w:rPr>
        <w:t>一、符合参加政府采购活动应当具备的一般条件的承诺函</w:t>
      </w:r>
      <w:bookmarkEnd w:id="546"/>
    </w:p>
    <w:p w14:paraId="38F541B0">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浙江中医药大学、浙江豪圣建设项目管理有限公司：</w:t>
      </w:r>
    </w:p>
    <w:p w14:paraId="4F88A751">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我方参与浙江中医药大学富春校区体育场地修缮工程【项目编号：HSZB-2025-512】政府采购活动，郑重承诺：</w:t>
      </w:r>
    </w:p>
    <w:p w14:paraId="6BDBE8A2">
      <w:pPr>
        <w:snapToGrid w:val="0"/>
        <w:spacing w:line="360" w:lineRule="auto"/>
        <w:ind w:firstLine="360" w:firstLineChars="1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（一）具备《中华人民共和国政府采购法》第二十二条第一款规定的条件：</w:t>
      </w:r>
    </w:p>
    <w:p w14:paraId="60447C1D">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1、具有独立承担民事责任的能力；</w:t>
      </w:r>
    </w:p>
    <w:p w14:paraId="37C4E742">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2、具有良好的商业信誉和健全的财务会计制度； </w:t>
      </w:r>
    </w:p>
    <w:p w14:paraId="6AA5684F">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3、具有履行合同所必需的设备和专业技术能力；</w:t>
      </w:r>
    </w:p>
    <w:p w14:paraId="7C0E4528">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4、有依法缴纳税收和社会保障资金的良好记录；</w:t>
      </w:r>
    </w:p>
    <w:p w14:paraId="2B577771">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5、参加政府采购活动前三年内，在经营活动中没有重大违法记录；</w:t>
      </w:r>
    </w:p>
    <w:p w14:paraId="26038D02">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6、具有法律、行政法规规定的其他条件。</w:t>
      </w:r>
    </w:p>
    <w:p w14:paraId="7D7122D8">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（二）未被信用中国（www.creditchina.gov.cn)、中国政府采购网（www.ccgp.gov.cn）列入失信被执行人、重大税收违法案件当事人名单、政府采购严重违法失信行为记录名单。</w:t>
      </w:r>
    </w:p>
    <w:p w14:paraId="73465BFC">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（三）不存在以下情况：</w:t>
      </w:r>
    </w:p>
    <w:p w14:paraId="40807B48">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1、单位负责人为同一人或者存在直接控股、管理关系的不同供应商参加同一合同项下的政府采购活动的；</w:t>
      </w:r>
    </w:p>
    <w:p w14:paraId="61E1042F">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2、为采购项目提供整体设计、规范编制或者项目管理、监理、检测等服务后再参加该采购项目的其他采购活动的。</w:t>
      </w:r>
    </w:p>
    <w:p w14:paraId="0892F84F">
      <w:pPr>
        <w:snapToGrid w:val="0"/>
        <w:spacing w:line="360" w:lineRule="auto"/>
        <w:ind w:firstLine="5520" w:firstLineChars="23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供应商名称(电子签名)：</w:t>
      </w:r>
    </w:p>
    <w:p w14:paraId="6F7FF6A8">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日期</w:t>
      </w:r>
      <w:r>
        <w:rPr>
          <w:rFonts w:hint="eastAsia" w:ascii="宋体" w:hAnsi="宋体" w:cs="宋体"/>
          <w:color w:val="000000" w:themeColor="text1"/>
          <w:kern w:val="0"/>
          <w:sz w:val="24"/>
          <w14:textFill>
            <w14:solidFill>
              <w14:schemeClr w14:val="tx1"/>
            </w14:solidFill>
          </w14:textFill>
        </w:rPr>
        <w:t xml:space="preserve">：  年  </w:t>
      </w:r>
      <w:r>
        <w:rPr>
          <w:rFonts w:hint="eastAsia" w:ascii="宋体" w:hAnsi="宋体" w:cs="宋体"/>
          <w:color w:val="000000" w:themeColor="text1"/>
          <w:kern w:val="0"/>
          <w:sz w:val="24"/>
          <w:lang w:val="zh-CN"/>
          <w14:textFill>
            <w14:solidFill>
              <w14:schemeClr w14:val="tx1"/>
            </w14:solidFill>
          </w14:textFill>
        </w:rPr>
        <w:t>月</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日</w:t>
      </w:r>
    </w:p>
    <w:p w14:paraId="76B9317C">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24B42BE5">
      <w:pPr>
        <w:widowControl/>
        <w:spacing w:line="360" w:lineRule="auto"/>
        <w:ind w:firstLine="643" w:firstLineChars="200"/>
        <w:jc w:val="center"/>
        <w:outlineLvl w:val="2"/>
        <w:rPr>
          <w:rFonts w:ascii="宋体" w:hAnsi="宋体" w:cs="宋体"/>
          <w:b/>
          <w:color w:val="000000" w:themeColor="text1"/>
          <w:kern w:val="0"/>
          <w:sz w:val="32"/>
          <w:szCs w:val="32"/>
          <w14:textFill>
            <w14:solidFill>
              <w14:schemeClr w14:val="tx1"/>
            </w14:solidFill>
          </w14:textFill>
        </w:rPr>
      </w:pPr>
      <w:bookmarkStart w:id="547" w:name="_Toc24919"/>
      <w:r>
        <w:rPr>
          <w:rFonts w:hint="eastAsia" w:ascii="宋体" w:hAnsi="宋体" w:cs="宋体"/>
          <w:b/>
          <w:color w:val="000000" w:themeColor="text1"/>
          <w:kern w:val="0"/>
          <w:sz w:val="32"/>
          <w:szCs w:val="32"/>
          <w14:textFill>
            <w14:solidFill>
              <w14:schemeClr w14:val="tx1"/>
            </w14:solidFill>
          </w14:textFill>
        </w:rPr>
        <w:t>二、联合协议（如果有）</w:t>
      </w:r>
      <w:bookmarkEnd w:id="547"/>
    </w:p>
    <w:p w14:paraId="453300DD">
      <w:pPr>
        <w:widowControl/>
        <w:spacing w:line="360" w:lineRule="auto"/>
        <w:ind w:firstLine="482" w:firstLineChars="200"/>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[以联合体形式参与的，提供联合协议（附件5）；本项目不接受联合体或者供应商不以联合体形式投参与的，则不需要提供]</w:t>
      </w:r>
    </w:p>
    <w:p w14:paraId="07AE8612">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075E2DA7">
      <w:pPr>
        <w:snapToGrid w:val="0"/>
        <w:spacing w:line="360" w:lineRule="auto"/>
        <w:ind w:right="480"/>
        <w:jc w:val="center"/>
        <w:outlineLvl w:val="2"/>
        <w:rPr>
          <w:rFonts w:ascii="宋体" w:hAnsi="宋体" w:cs="宋体"/>
          <w:b/>
          <w:color w:val="000000" w:themeColor="text1"/>
          <w:kern w:val="0"/>
          <w:sz w:val="32"/>
          <w:szCs w:val="32"/>
          <w14:textFill>
            <w14:solidFill>
              <w14:schemeClr w14:val="tx1"/>
            </w14:solidFill>
          </w14:textFill>
        </w:rPr>
      </w:pPr>
      <w:bookmarkStart w:id="548" w:name="_Toc12414"/>
      <w:r>
        <w:rPr>
          <w:rFonts w:hint="eastAsia" w:ascii="宋体" w:hAnsi="宋体" w:cs="宋体"/>
          <w:b/>
          <w:color w:val="000000" w:themeColor="text1"/>
          <w:kern w:val="0"/>
          <w:sz w:val="32"/>
          <w:szCs w:val="32"/>
          <w14:textFill>
            <w14:solidFill>
              <w14:schemeClr w14:val="tx1"/>
            </w14:solidFill>
          </w14:textFill>
        </w:rPr>
        <w:t>三、落实政府采购政策需满足的资格要求</w:t>
      </w:r>
      <w:bookmarkEnd w:id="548"/>
    </w:p>
    <w:p w14:paraId="657E639A">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（根据竞争性磋商公告落实政府采购政策需满足的资格要求选择提供相应的材料；未要求的，无需提供）</w:t>
      </w:r>
    </w:p>
    <w:p w14:paraId="0C84487B">
      <w:pPr>
        <w:snapToGrid w:val="0"/>
        <w:spacing w:before="50" w:after="50" w:line="360" w:lineRule="auto"/>
        <w:ind w:firstLine="472" w:firstLineChars="196"/>
        <w:jc w:val="left"/>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.专门面向中小企业，工程全部由符合政策要求的中小企业（或小微企业）承建的，提供相应的中小企业声明函（附件</w:t>
      </w: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 xml:space="preserve">）。 </w:t>
      </w:r>
    </w:p>
    <w:p w14:paraId="673D8A66">
      <w:pPr>
        <w:widowControl/>
        <w:spacing w:line="360" w:lineRule="auto"/>
        <w:ind w:firstLine="480"/>
        <w:jc w:val="left"/>
        <w:rPr>
          <w:rFonts w:ascii="宋体" w:hAnsi="宋体" w:cs="宋体"/>
          <w:color w:val="000000" w:themeColor="text1"/>
          <w:sz w:val="24"/>
          <w14:textFill>
            <w14:solidFill>
              <w14:schemeClr w14:val="tx1"/>
            </w14:solidFill>
          </w14:textFill>
        </w:rPr>
      </w:pPr>
    </w:p>
    <w:p w14:paraId="443BBD6F">
      <w:pPr>
        <w:widowControl/>
        <w:spacing w:line="360" w:lineRule="auto"/>
        <w:ind w:firstLine="472" w:firstLineChars="196"/>
        <w:jc w:val="left"/>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要求以联合体形式参加的，提供联合协议（附件</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）和中小企业声明函（附件</w:t>
      </w: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），联合协议中中小企业合同金额应当达到竞争性磋商公告载明的比例；如果供应商本身提供所有标的均由中小企业承建的，</w:t>
      </w:r>
      <w:r>
        <w:rPr>
          <w:rFonts w:hint="eastAsia" w:ascii="宋体" w:hAnsi="宋体" w:cs="宋体"/>
          <w:color w:val="000000" w:themeColor="text1"/>
          <w:spacing w:val="8"/>
          <w:kern w:val="0"/>
          <w:sz w:val="24"/>
          <w14:textFill>
            <w14:solidFill>
              <w14:schemeClr w14:val="tx1"/>
            </w14:solidFill>
          </w14:textFill>
        </w:rPr>
        <w:t>并相应达到了前述比例要求，</w:t>
      </w:r>
      <w:r>
        <w:rPr>
          <w:rFonts w:hint="eastAsia" w:ascii="宋体" w:hAnsi="宋体" w:cs="宋体"/>
          <w:color w:val="000000" w:themeColor="text1"/>
          <w:sz w:val="24"/>
          <w14:textFill>
            <w14:solidFill>
              <w14:schemeClr w14:val="tx1"/>
            </w14:solidFill>
          </w14:textFill>
        </w:rPr>
        <w:t>视同符合了资格条件，无需再与其他中小企业组成联合体参加政府采购活动，无需提供联合协议。</w:t>
      </w:r>
    </w:p>
    <w:p w14:paraId="17C1E48C">
      <w:pPr>
        <w:snapToGrid w:val="0"/>
        <w:spacing w:before="50" w:after="50"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    </w:t>
      </w:r>
    </w:p>
    <w:p w14:paraId="0344CF90">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要求合同分包的，提供分包意向协议（附件6）和中小企业声明函（附件</w:t>
      </w: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），分包意向协议中中小企业合同金额应当达到竞争性磋商公告载明的比例；如果供应商本身提供所有标的均由中小企业承建，</w:t>
      </w:r>
      <w:r>
        <w:rPr>
          <w:rFonts w:hint="eastAsia" w:ascii="宋体" w:hAnsi="宋体" w:cs="宋体"/>
          <w:color w:val="000000" w:themeColor="text1"/>
          <w:spacing w:val="8"/>
          <w:kern w:val="0"/>
          <w:sz w:val="24"/>
          <w14:textFill>
            <w14:solidFill>
              <w14:schemeClr w14:val="tx1"/>
            </w14:solidFill>
          </w14:textFill>
        </w:rPr>
        <w:t>并相应达到了前述比例要求，</w:t>
      </w:r>
      <w:r>
        <w:rPr>
          <w:rFonts w:hint="eastAsia" w:ascii="宋体" w:hAnsi="宋体" w:cs="宋体"/>
          <w:color w:val="000000" w:themeColor="text1"/>
          <w:sz w:val="24"/>
          <w14:textFill>
            <w14:solidFill>
              <w14:schemeClr w14:val="tx1"/>
            </w14:solidFill>
          </w14:textFill>
        </w:rPr>
        <w:t>视同符合了资格条件，无需再向中小企业分包，无需提供分包意向协议。</w:t>
      </w:r>
    </w:p>
    <w:p w14:paraId="41C09B62">
      <w:pPr>
        <w:widowControl/>
        <w:spacing w:line="360" w:lineRule="auto"/>
        <w:ind w:left="150"/>
        <w:jc w:val="center"/>
        <w:rPr>
          <w:rFonts w:ascii="宋体" w:hAnsi="宋体" w:cs="宋体"/>
          <w:b/>
          <w:color w:val="000000" w:themeColor="text1"/>
          <w:kern w:val="0"/>
          <w:sz w:val="32"/>
          <w:szCs w:val="32"/>
          <w14:textFill>
            <w14:solidFill>
              <w14:schemeClr w14:val="tx1"/>
            </w14:solidFill>
          </w14:textFill>
        </w:rPr>
      </w:pPr>
    </w:p>
    <w:p w14:paraId="199671B4">
      <w:pPr>
        <w:widowControl/>
        <w:spacing w:line="360" w:lineRule="auto"/>
        <w:ind w:left="150"/>
        <w:jc w:val="center"/>
        <w:outlineLvl w:val="2"/>
        <w:rPr>
          <w:rFonts w:ascii="宋体" w:hAnsi="宋体" w:cs="宋体"/>
          <w:b/>
          <w:color w:val="000000" w:themeColor="text1"/>
          <w:kern w:val="0"/>
          <w:sz w:val="32"/>
          <w:szCs w:val="32"/>
          <w14:textFill>
            <w14:solidFill>
              <w14:schemeClr w14:val="tx1"/>
            </w14:solidFill>
          </w14:textFill>
        </w:rPr>
      </w:pPr>
      <w:bookmarkStart w:id="549" w:name="_Toc26817"/>
      <w:r>
        <w:rPr>
          <w:rFonts w:hint="eastAsia" w:ascii="宋体" w:hAnsi="宋体" w:cs="宋体"/>
          <w:b/>
          <w:color w:val="000000" w:themeColor="text1"/>
          <w:kern w:val="0"/>
          <w:sz w:val="32"/>
          <w:szCs w:val="32"/>
          <w14:textFill>
            <w14:solidFill>
              <w14:schemeClr w14:val="tx1"/>
            </w14:solidFill>
          </w14:textFill>
        </w:rPr>
        <w:t>四、本项目的特定资格要求</w:t>
      </w:r>
      <w:bookmarkEnd w:id="549"/>
    </w:p>
    <w:p w14:paraId="23A9FBB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（根据竞争性磋商公告本项目的特定资格要求提供相应的材料；未要求的，无需提供）</w:t>
      </w:r>
    </w:p>
    <w:p w14:paraId="20EF4F84">
      <w:pPr>
        <w:rPr>
          <w:rFonts w:ascii="宋体" w:hAnsi="宋体" w:cs="宋体"/>
          <w:color w:val="000000" w:themeColor="text1"/>
          <w14:textFill>
            <w14:solidFill>
              <w14:schemeClr w14:val="tx1"/>
            </w14:solidFill>
          </w14:textFill>
        </w:rPr>
      </w:pPr>
    </w:p>
    <w:p w14:paraId="0346DDDF">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1D8186DD">
      <w:pPr>
        <w:tabs>
          <w:tab w:val="left" w:pos="432"/>
        </w:tabs>
        <w:rPr>
          <w:rFonts w:ascii="宋体" w:hAnsi="宋体" w:cs="宋体"/>
          <w:color w:val="000000" w:themeColor="text1"/>
          <w:kern w:val="0"/>
          <w:sz w:val="36"/>
          <w:szCs w:val="36"/>
          <w14:textFill>
            <w14:solidFill>
              <w14:schemeClr w14:val="tx1"/>
            </w14:solidFill>
          </w14:textFill>
        </w:rPr>
      </w:pPr>
    </w:p>
    <w:p w14:paraId="3BFE1FBB">
      <w:pPr>
        <w:spacing w:line="360" w:lineRule="auto"/>
        <w:ind w:right="420" w:firstLine="3614" w:firstLineChars="1000"/>
        <w:outlineLvl w:val="1"/>
        <w:rPr>
          <w:rFonts w:ascii="宋体" w:hAnsi="宋体" w:cs="宋体"/>
          <w:b/>
          <w:color w:val="000000" w:themeColor="text1"/>
          <w:kern w:val="0"/>
          <w:sz w:val="36"/>
          <w:szCs w:val="36"/>
          <w14:textFill>
            <w14:solidFill>
              <w14:schemeClr w14:val="tx1"/>
            </w14:solidFill>
          </w14:textFill>
        </w:rPr>
      </w:pPr>
      <w:bookmarkStart w:id="550" w:name="_Toc22017"/>
      <w:r>
        <w:rPr>
          <w:rFonts w:hint="eastAsia" w:ascii="宋体" w:hAnsi="宋体" w:cs="宋体"/>
          <w:b/>
          <w:color w:val="000000" w:themeColor="text1"/>
          <w:kern w:val="0"/>
          <w:sz w:val="36"/>
          <w:szCs w:val="36"/>
          <w14:textFill>
            <w14:solidFill>
              <w14:schemeClr w14:val="tx1"/>
            </w14:solidFill>
          </w14:textFill>
        </w:rPr>
        <w:t>商务技术文件部分</w:t>
      </w:r>
      <w:bookmarkEnd w:id="550"/>
    </w:p>
    <w:p w14:paraId="25FD234C">
      <w:pPr>
        <w:spacing w:line="360" w:lineRule="auto"/>
        <w:jc w:val="center"/>
        <w:rPr>
          <w:rFonts w:ascii="宋体" w:hAnsi="宋体" w:cs="宋体"/>
          <w:b/>
          <w:color w:val="000000" w:themeColor="text1"/>
          <w:kern w:val="0"/>
          <w:sz w:val="28"/>
          <w:szCs w:val="28"/>
          <w14:textFill>
            <w14:solidFill>
              <w14:schemeClr w14:val="tx1"/>
            </w14:solidFill>
          </w14:textFill>
        </w:rPr>
      </w:pPr>
      <w:r>
        <w:rPr>
          <w:rFonts w:hint="eastAsia" w:ascii="宋体" w:hAnsi="宋体" w:cs="宋体"/>
          <w:b/>
          <w:color w:val="000000" w:themeColor="text1"/>
          <w:kern w:val="0"/>
          <w:sz w:val="28"/>
          <w:szCs w:val="28"/>
          <w14:textFill>
            <w14:solidFill>
              <w14:schemeClr w14:val="tx1"/>
            </w14:solidFill>
          </w14:textFill>
        </w:rPr>
        <w:t>目录</w:t>
      </w:r>
    </w:p>
    <w:p w14:paraId="16040186">
      <w:pPr>
        <w:numPr>
          <w:ilvl w:val="255"/>
          <w:numId w:val="0"/>
        </w:num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响应函……………………………………………………………………………（页码）</w:t>
      </w:r>
    </w:p>
    <w:p w14:paraId="6F1C56B2">
      <w:pPr>
        <w:numPr>
          <w:ilvl w:val="255"/>
          <w:numId w:val="0"/>
        </w:num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2）授权委托书或法定代表人（单位负责人、自然人本人）身份证明</w:t>
      </w:r>
      <w:r>
        <w:rPr>
          <w:rFonts w:hint="eastAsia" w:ascii="宋体" w:hAnsi="宋体" w:cs="宋体"/>
          <w:color w:val="000000" w:themeColor="text1"/>
          <w:sz w:val="24"/>
          <w14:textFill>
            <w14:solidFill>
              <w14:schemeClr w14:val="tx1"/>
            </w14:solidFill>
          </w14:textFill>
        </w:rPr>
        <w:t>……………（页码）</w:t>
      </w:r>
    </w:p>
    <w:p w14:paraId="73813137">
      <w:pPr>
        <w:snapToGrid w:val="0"/>
        <w:spacing w:line="360" w:lineRule="auto"/>
        <w:ind w:left="479" w:leftChars="228"/>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）分包意向协议………………………………………………………………………（页码）</w:t>
      </w:r>
    </w:p>
    <w:p w14:paraId="2D547D4E">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）符合性审查资料……………………………………………………………………（页码）</w:t>
      </w:r>
    </w:p>
    <w:p w14:paraId="693BFD9D">
      <w:pPr>
        <w:snapToGrid w:val="0"/>
        <w:spacing w:line="360" w:lineRule="auto"/>
        <w:ind w:left="479" w:leftChars="228"/>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）评审标准相应的商务技术资料……………………………………………………（页码）（</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）商务技术偏离表……………………………………………………………………（页码）</w:t>
      </w:r>
    </w:p>
    <w:p w14:paraId="4A372B19">
      <w:pPr>
        <w:snapToGrid w:val="0"/>
        <w:spacing w:line="360" w:lineRule="auto"/>
        <w:ind w:left="479" w:leftChars="228"/>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w:t>
      </w: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lang w:val="zh-CN"/>
          <w14:textFill>
            <w14:solidFill>
              <w14:schemeClr w14:val="tx1"/>
            </w14:solidFill>
          </w14:textFill>
        </w:rPr>
        <w:t>）政府采购供应商廉洁自律承诺书</w:t>
      </w:r>
      <w:r>
        <w:rPr>
          <w:rFonts w:hint="eastAsia" w:ascii="宋体" w:hAnsi="宋体" w:cs="宋体"/>
          <w:color w:val="000000" w:themeColor="text1"/>
          <w:sz w:val="24"/>
          <w14:textFill>
            <w14:solidFill>
              <w14:schemeClr w14:val="tx1"/>
            </w14:solidFill>
          </w14:textFill>
        </w:rPr>
        <w:t>…………………………………………………（页码）</w:t>
      </w:r>
    </w:p>
    <w:p w14:paraId="3E2F4794">
      <w:pPr>
        <w:snapToGrid w:val="0"/>
        <w:spacing w:line="360" w:lineRule="auto"/>
        <w:jc w:val="center"/>
        <w:rPr>
          <w:rFonts w:ascii="宋体" w:hAnsi="宋体" w:cs="宋体"/>
          <w:b/>
          <w:color w:val="000000" w:themeColor="text1"/>
          <w:kern w:val="0"/>
          <w:sz w:val="24"/>
          <w:szCs w:val="32"/>
          <w:lang w:val="zh-CN"/>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18C7D673">
      <w:pPr>
        <w:snapToGrid w:val="0"/>
        <w:jc w:val="center"/>
        <w:outlineLvl w:val="2"/>
        <w:rPr>
          <w:rFonts w:ascii="宋体" w:hAnsi="宋体" w:cs="宋体"/>
          <w:b/>
          <w:bCs/>
          <w:color w:val="000000" w:themeColor="text1"/>
          <w:sz w:val="32"/>
          <w:szCs w:val="32"/>
          <w:lang w:val="zh-CN"/>
          <w14:textFill>
            <w14:solidFill>
              <w14:schemeClr w14:val="tx1"/>
            </w14:solidFill>
          </w14:textFill>
        </w:rPr>
      </w:pPr>
      <w:bookmarkStart w:id="551" w:name="_Toc30362"/>
      <w:r>
        <w:rPr>
          <w:rFonts w:hint="eastAsia" w:ascii="宋体" w:hAnsi="宋体" w:cs="宋体"/>
          <w:b/>
          <w:bCs/>
          <w:color w:val="000000" w:themeColor="text1"/>
          <w:sz w:val="32"/>
          <w:szCs w:val="32"/>
          <w:lang w:val="zh-CN"/>
          <w14:textFill>
            <w14:solidFill>
              <w14:schemeClr w14:val="tx1"/>
            </w14:solidFill>
          </w14:textFill>
        </w:rPr>
        <w:t>一、响应函</w:t>
      </w:r>
      <w:bookmarkEnd w:id="551"/>
    </w:p>
    <w:p w14:paraId="3A4FA009">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浙江中医药大学、浙江豪圣建设项目管理有限公司：</w:t>
      </w:r>
    </w:p>
    <w:p w14:paraId="6DD08741">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我方参加你方组织的浙江中医药大学富春校区体育场地修缮工程【项目编号：HSZB-2025-512】采购的有关活动，并对此项目提交响应文件及报价。为此：</w:t>
      </w:r>
    </w:p>
    <w:p w14:paraId="44EA85E9">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1、我方承诺响应文件有效期从提交响应文件的截止之日起</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天（不少于90天）</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本响应文件在响应文件有效期满之前均具有约束力。</w:t>
      </w:r>
    </w:p>
    <w:p w14:paraId="656A385B">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2、我方的响应文件包括以下内容：</w:t>
      </w:r>
    </w:p>
    <w:p w14:paraId="139EF6C6">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2.1资格文件：</w:t>
      </w:r>
    </w:p>
    <w:p w14:paraId="1145FA47">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2.1.1承诺函；</w:t>
      </w:r>
    </w:p>
    <w:p w14:paraId="5C90AC22">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2.1.2</w:t>
      </w:r>
      <w:r>
        <w:rPr>
          <w:rFonts w:hint="eastAsia" w:ascii="宋体" w:hAnsi="宋体" w:cs="宋体"/>
          <w:snapToGrid w:val="0"/>
          <w:color w:val="000000" w:themeColor="text1"/>
          <w:kern w:val="28"/>
          <w:sz w:val="24"/>
          <w:szCs w:val="20"/>
          <w14:textFill>
            <w14:solidFill>
              <w14:schemeClr w14:val="tx1"/>
            </w14:solidFill>
          </w14:textFill>
        </w:rPr>
        <w:t>联合协议（如果有)；</w:t>
      </w:r>
    </w:p>
    <w:p w14:paraId="08B28CC6">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ascii="宋体" w:hAnsi="宋体" w:cs="宋体"/>
          <w:color w:val="000000" w:themeColor="text1"/>
          <w:sz w:val="24"/>
          <w14:textFill>
            <w14:solidFill>
              <w14:schemeClr w14:val="tx1"/>
            </w14:solidFill>
          </w14:textFill>
        </w:rPr>
        <w:t>.1.3</w:t>
      </w:r>
      <w:r>
        <w:rPr>
          <w:rFonts w:hint="eastAsia" w:ascii="宋体" w:hAnsi="宋体" w:cs="宋体"/>
          <w:color w:val="000000" w:themeColor="text1"/>
          <w:sz w:val="24"/>
          <w14:textFill>
            <w14:solidFill>
              <w14:schemeClr w14:val="tx1"/>
            </w14:solidFill>
          </w14:textFill>
        </w:rPr>
        <w:t>落实政府采购政策需满足的资格要求（如果有）；</w:t>
      </w:r>
    </w:p>
    <w:p w14:paraId="056BDF6D">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本项目的特定资格要求（如果有）。</w:t>
      </w:r>
    </w:p>
    <w:p w14:paraId="25BC3F75">
      <w:pPr>
        <w:snapToGrid w:val="0"/>
        <w:spacing w:line="360" w:lineRule="auto"/>
        <w:ind w:left="210" w:leftChars="100"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商务技术</w:t>
      </w:r>
      <w:r>
        <w:rPr>
          <w:rFonts w:hint="eastAsia" w:ascii="宋体" w:hAnsi="宋体" w:cs="宋体"/>
          <w:color w:val="000000" w:themeColor="text1"/>
          <w:sz w:val="24"/>
          <w:lang w:val="zh-CN"/>
          <w14:textFill>
            <w14:solidFill>
              <w14:schemeClr w14:val="tx1"/>
            </w14:solidFill>
          </w14:textFill>
        </w:rPr>
        <w:t>文件：</w:t>
      </w:r>
    </w:p>
    <w:p w14:paraId="3E2126FE">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2.2.1响应函；</w:t>
      </w:r>
      <w:r>
        <w:rPr>
          <w:rFonts w:hint="eastAsia" w:ascii="宋体" w:hAnsi="宋体" w:cs="宋体"/>
          <w:color w:val="000000" w:themeColor="text1"/>
          <w:sz w:val="24"/>
          <w:lang w:val="zh-CN"/>
          <w14:textFill>
            <w14:solidFill>
              <w14:schemeClr w14:val="tx1"/>
            </w14:solidFill>
          </w14:textFill>
        </w:rPr>
        <w:t xml:space="preserve"> </w:t>
      </w:r>
    </w:p>
    <w:p w14:paraId="40FCA737">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2.2.2授权委托书或法定代表人（单位负责人）身份证明；</w:t>
      </w:r>
    </w:p>
    <w:p w14:paraId="4CC47F5E">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分包意向协议（如果有）；</w:t>
      </w:r>
    </w:p>
    <w:p w14:paraId="45D0BA43">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符合性审查资料；</w:t>
      </w:r>
    </w:p>
    <w:p w14:paraId="028046CC">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评审标准相应的商务技术资料；</w:t>
      </w:r>
    </w:p>
    <w:p w14:paraId="01C858A6">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2.2.6商务技术偏离表；</w:t>
      </w:r>
    </w:p>
    <w:p w14:paraId="2C67079A">
      <w:pPr>
        <w:snapToGrid w:val="0"/>
        <w:spacing w:line="360" w:lineRule="auto"/>
        <w:ind w:left="420" w:leftChars="200"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lang w:val="zh-CN"/>
          <w14:textFill>
            <w14:solidFill>
              <w14:schemeClr w14:val="tx1"/>
            </w14:solidFill>
          </w14:textFill>
        </w:rPr>
        <w:t>政府采购供应商廉洁自律承诺书；</w:t>
      </w:r>
    </w:p>
    <w:p w14:paraId="7E241099">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3报价文件</w:t>
      </w:r>
    </w:p>
    <w:p w14:paraId="0C252C6C">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2.3.1报价单；</w:t>
      </w:r>
    </w:p>
    <w:p w14:paraId="2517F20D">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2.3.2已标价工程量清单；</w:t>
      </w:r>
    </w:p>
    <w:p w14:paraId="00827C7C">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2.3.3中小企业声明函（如果有）。</w:t>
      </w:r>
    </w:p>
    <w:p w14:paraId="771897EF">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3、我方承诺除商务技术偏离表列出的偏离外，我方响应采购文件的全部要求。对响应文件中材料的真实性、合法性负责，积极配合采购人、采购代理机构复核响应文件中的资料。</w:t>
      </w:r>
    </w:p>
    <w:p w14:paraId="23E2824F">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4、如我方成交，我方承诺：</w:t>
      </w:r>
    </w:p>
    <w:p w14:paraId="471B395C">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4.1在收到成交通知书后，在成交通知书规定的期限内与你方签订合同； </w:t>
      </w:r>
    </w:p>
    <w:p w14:paraId="13201F09">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4.2在签订合同时不向你方提出附加条件； </w:t>
      </w:r>
    </w:p>
    <w:p w14:paraId="73A20497">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4.3按照采购文件要求提交履约保证金； </w:t>
      </w:r>
    </w:p>
    <w:p w14:paraId="096319F1">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4.4在合同约定的期限内完成合同规定的全部义务。 </w:t>
      </w:r>
    </w:p>
    <w:p w14:paraId="425D64EA">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14:paraId="29320C49">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6、其他补充说明: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p>
    <w:p w14:paraId="252A3135">
      <w:pPr>
        <w:spacing w:line="360" w:lineRule="auto"/>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供应商名称（电子签名）：                          </w:t>
      </w:r>
    </w:p>
    <w:p w14:paraId="2AC4EDAC">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日期：  年   月   日</w:t>
      </w:r>
    </w:p>
    <w:p w14:paraId="32DD57A1">
      <w:pPr>
        <w:snapToGrid w:val="0"/>
        <w:spacing w:line="360" w:lineRule="auto"/>
        <w:ind w:left="420" w:leftChars="200" w:firstLine="4200" w:firstLineChars="1750"/>
        <w:rPr>
          <w:rFonts w:ascii="宋体" w:hAnsi="宋体" w:cs="宋体"/>
          <w:color w:val="000000" w:themeColor="text1"/>
          <w:kern w:val="0"/>
          <w:sz w:val="24"/>
          <w:u w:val="single"/>
          <w14:textFill>
            <w14:solidFill>
              <w14:schemeClr w14:val="tx1"/>
            </w14:solidFill>
          </w14:textFill>
        </w:rPr>
      </w:pPr>
    </w:p>
    <w:p w14:paraId="2B8D720D">
      <w:pPr>
        <w:spacing w:line="360" w:lineRule="auto"/>
        <w:ind w:right="42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注：按本格式和要求提供。</w:t>
      </w:r>
    </w:p>
    <w:p w14:paraId="2FEE3A02">
      <w:pPr>
        <w:snapToGrid w:val="0"/>
        <w:spacing w:line="360" w:lineRule="auto"/>
        <w:jc w:val="center"/>
        <w:rPr>
          <w:rFonts w:ascii="宋体" w:hAnsi="宋体" w:cs="宋体"/>
          <w:b/>
          <w:color w:val="000000" w:themeColor="text1"/>
          <w:kern w:val="0"/>
          <w:sz w:val="32"/>
          <w:szCs w:val="32"/>
          <w14:textFill>
            <w14:solidFill>
              <w14:schemeClr w14:val="tx1"/>
            </w14:solidFill>
          </w14:textFill>
        </w:rPr>
      </w:pPr>
    </w:p>
    <w:p w14:paraId="5F1DF30D">
      <w:pPr>
        <w:snapToGrid w:val="0"/>
        <w:spacing w:line="360" w:lineRule="auto"/>
        <w:rPr>
          <w:rFonts w:ascii="宋体" w:hAnsi="宋体" w:cs="宋体"/>
          <w:color w:val="000000" w:themeColor="text1"/>
          <w:sz w:val="24"/>
          <w14:textFill>
            <w14:solidFill>
              <w14:schemeClr w14:val="tx1"/>
            </w14:solidFill>
          </w14:textFill>
        </w:rPr>
      </w:pPr>
    </w:p>
    <w:p w14:paraId="1A801DF4">
      <w:pPr>
        <w:jc w:val="center"/>
        <w:rPr>
          <w:rFonts w:ascii="宋体" w:hAnsi="宋体" w:cs="宋体"/>
          <w:b/>
          <w:color w:val="000000" w:themeColor="text1"/>
          <w:kern w:val="0"/>
          <w:sz w:val="32"/>
          <w:szCs w:val="32"/>
          <w14:textFill>
            <w14:solidFill>
              <w14:schemeClr w14:val="tx1"/>
            </w14:solidFill>
          </w14:textFill>
        </w:rPr>
      </w:pPr>
    </w:p>
    <w:p w14:paraId="590FAFE2">
      <w:pPr>
        <w:jc w:val="center"/>
        <w:rPr>
          <w:rFonts w:ascii="宋体" w:hAnsi="宋体" w:cs="宋体"/>
          <w:b/>
          <w:color w:val="000000" w:themeColor="text1"/>
          <w:kern w:val="0"/>
          <w:sz w:val="32"/>
          <w:szCs w:val="32"/>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473CC6FC">
      <w:pPr>
        <w:snapToGrid w:val="0"/>
        <w:jc w:val="center"/>
        <w:outlineLvl w:val="2"/>
        <w:rPr>
          <w:rFonts w:ascii="宋体" w:hAnsi="宋体" w:cs="宋体"/>
          <w:b/>
          <w:bCs/>
          <w:color w:val="000000" w:themeColor="text1"/>
          <w:sz w:val="32"/>
          <w:szCs w:val="32"/>
          <w:lang w:val="zh-CN"/>
          <w14:textFill>
            <w14:solidFill>
              <w14:schemeClr w14:val="tx1"/>
            </w14:solidFill>
          </w14:textFill>
        </w:rPr>
      </w:pPr>
      <w:bookmarkStart w:id="552" w:name="_Toc7284"/>
      <w:r>
        <w:rPr>
          <w:rFonts w:hint="eastAsia" w:ascii="宋体" w:hAnsi="宋体" w:cs="宋体"/>
          <w:b/>
          <w:bCs/>
          <w:color w:val="000000" w:themeColor="text1"/>
          <w:sz w:val="32"/>
          <w:szCs w:val="32"/>
          <w:lang w:val="zh-CN"/>
          <w14:textFill>
            <w14:solidFill>
              <w14:schemeClr w14:val="tx1"/>
            </w14:solidFill>
          </w14:textFill>
        </w:rPr>
        <w:t>二、授权委托书或法定代表人（单位负责人、自然人本人）身份证明</w:t>
      </w:r>
      <w:bookmarkEnd w:id="552"/>
    </w:p>
    <w:p w14:paraId="52F5761B">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p w14:paraId="0BB52368">
      <w:pPr>
        <w:snapToGrid w:val="0"/>
        <w:jc w:val="center"/>
        <w:rPr>
          <w:rFonts w:ascii="宋体" w:hAnsi="宋体" w:cs="宋体"/>
          <w:b/>
          <w:bCs/>
          <w:color w:val="000000" w:themeColor="text1"/>
          <w:sz w:val="32"/>
          <w:szCs w:val="32"/>
          <w:lang w:val="zh-CN"/>
          <w14:textFill>
            <w14:solidFill>
              <w14:schemeClr w14:val="tx1"/>
            </w14:solidFill>
          </w14:textFill>
        </w:rPr>
      </w:pPr>
      <w:r>
        <w:rPr>
          <w:rFonts w:hint="eastAsia" w:ascii="宋体" w:hAnsi="宋体" w:cs="宋体"/>
          <w:b/>
          <w:bCs/>
          <w:color w:val="000000" w:themeColor="text1"/>
          <w:sz w:val="32"/>
          <w:szCs w:val="32"/>
          <w:lang w:val="zh-CN"/>
          <w14:textFill>
            <w14:solidFill>
              <w14:schemeClr w14:val="tx1"/>
            </w14:solidFill>
          </w14:textFill>
        </w:rPr>
        <w:t>授权委托书（适用于非联合体</w:t>
      </w:r>
      <w:r>
        <w:rPr>
          <w:rFonts w:hint="eastAsia" w:ascii="宋体" w:hAnsi="宋体" w:cs="宋体"/>
          <w:b/>
          <w:bCs/>
          <w:color w:val="000000" w:themeColor="text1"/>
          <w:sz w:val="32"/>
          <w:szCs w:val="32"/>
          <w14:textFill>
            <w14:solidFill>
              <w14:schemeClr w14:val="tx1"/>
            </w14:solidFill>
          </w14:textFill>
        </w:rPr>
        <w:t>响应</w:t>
      </w:r>
      <w:r>
        <w:rPr>
          <w:rFonts w:hint="eastAsia" w:ascii="宋体" w:hAnsi="宋体" w:cs="宋体"/>
          <w:b/>
          <w:bCs/>
          <w:color w:val="000000" w:themeColor="text1"/>
          <w:sz w:val="32"/>
          <w:szCs w:val="32"/>
          <w:lang w:val="zh-CN"/>
          <w14:textFill>
            <w14:solidFill>
              <w14:schemeClr w14:val="tx1"/>
            </w14:solidFill>
          </w14:textFill>
        </w:rPr>
        <w:t>）</w:t>
      </w:r>
    </w:p>
    <w:p w14:paraId="7D85C600">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浙江中医药大学、浙江豪圣建设项目管理有限公司</w:t>
      </w:r>
      <w:r>
        <w:rPr>
          <w:rFonts w:hint="eastAsia" w:ascii="宋体" w:hAnsi="宋体" w:cs="宋体"/>
          <w:color w:val="000000" w:themeColor="text1"/>
          <w:kern w:val="0"/>
          <w:sz w:val="24"/>
          <w:lang w:val="zh-CN"/>
          <w14:textFill>
            <w14:solidFill>
              <w14:schemeClr w14:val="tx1"/>
            </w14:solidFill>
          </w14:textFill>
        </w:rPr>
        <w:t>：</w:t>
      </w:r>
    </w:p>
    <w:p w14:paraId="02F3AC56">
      <w:pPr>
        <w:snapToGrid w:val="0"/>
        <w:spacing w:line="360" w:lineRule="auto"/>
        <w:ind w:firstLine="576"/>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现</w:t>
      </w:r>
      <w:r>
        <w:rPr>
          <w:rFonts w:hint="eastAsia" w:ascii="宋体" w:hAnsi="宋体" w:cs="宋体"/>
          <w:color w:val="000000" w:themeColor="text1"/>
          <w:kern w:val="0"/>
          <w:sz w:val="24"/>
          <w:lang w:val="zh-CN"/>
          <w14:textFill>
            <w14:solidFill>
              <w14:schemeClr w14:val="tx1"/>
            </w14:solidFill>
          </w14:textFill>
        </w:rPr>
        <w:t>委托</w:t>
      </w:r>
      <w:r>
        <w:rPr>
          <w:rFonts w:hint="eastAsia" w:ascii="宋体" w:hAnsi="宋体" w:cs="宋体"/>
          <w:color w:val="000000" w:themeColor="text1"/>
          <w:kern w:val="0"/>
          <w:sz w:val="24"/>
          <w:u w:val="single"/>
          <w:lang w:val="zh-CN"/>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（姓名）为我方代理人（身份证号码：</w:t>
      </w:r>
      <w:r>
        <w:rPr>
          <w:rFonts w:hint="eastAsia" w:ascii="宋体" w:hAnsi="宋体" w:cs="宋体"/>
          <w:color w:val="000000" w:themeColor="text1"/>
          <w:kern w:val="0"/>
          <w:sz w:val="24"/>
          <w:u w:val="single"/>
          <w:lang w:val="zh-CN"/>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，手机：</w:t>
      </w:r>
      <w:r>
        <w:rPr>
          <w:rFonts w:hint="eastAsia" w:ascii="宋体" w:hAnsi="宋体" w:cs="宋体"/>
          <w:color w:val="000000" w:themeColor="text1"/>
          <w:kern w:val="0"/>
          <w:sz w:val="24"/>
          <w:u w:val="single"/>
          <w:lang w:val="zh-CN"/>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，所在单位：</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），以我方名义处理</w:t>
      </w:r>
      <w:r>
        <w:rPr>
          <w:rFonts w:hint="eastAsia" w:ascii="宋体" w:hAnsi="宋体" w:cs="宋体"/>
          <w:color w:val="000000" w:themeColor="text1"/>
          <w:sz w:val="24"/>
          <w14:textFill>
            <w14:solidFill>
              <w14:schemeClr w14:val="tx1"/>
            </w14:solidFill>
          </w14:textFill>
        </w:rPr>
        <w:t>浙江中医药大学富春校区体育场地修缮工程【项目编号：HSZB-2025-512】</w:t>
      </w:r>
      <w:r>
        <w:rPr>
          <w:rFonts w:hint="eastAsia" w:ascii="宋体" w:hAnsi="宋体" w:cs="宋体"/>
          <w:color w:val="000000" w:themeColor="text1"/>
          <w:kern w:val="0"/>
          <w:sz w:val="24"/>
          <w:lang w:val="zh-CN"/>
          <w14:textFill>
            <w14:solidFill>
              <w14:schemeClr w14:val="tx1"/>
            </w14:solidFill>
          </w14:textFill>
        </w:rPr>
        <w:t>政府采购</w:t>
      </w:r>
      <w:r>
        <w:rPr>
          <w:rFonts w:hint="eastAsia" w:ascii="宋体" w:hAnsi="宋体" w:cs="宋体"/>
          <w:color w:val="000000" w:themeColor="text1"/>
          <w:kern w:val="0"/>
          <w:sz w:val="24"/>
          <w14:textFill>
            <w14:solidFill>
              <w14:schemeClr w14:val="tx1"/>
            </w14:solidFill>
          </w14:textFill>
        </w:rPr>
        <w:t>响应</w:t>
      </w:r>
      <w:r>
        <w:rPr>
          <w:rFonts w:hint="eastAsia" w:ascii="宋体" w:hAnsi="宋体" w:cs="宋体"/>
          <w:color w:val="000000" w:themeColor="text1"/>
          <w:kern w:val="0"/>
          <w:sz w:val="24"/>
          <w:lang w:val="zh-CN"/>
          <w14:textFill>
            <w14:solidFill>
              <w14:schemeClr w14:val="tx1"/>
            </w14:solidFill>
          </w14:textFill>
        </w:rPr>
        <w:t>的一切事项，其法律后果由我方承担。</w:t>
      </w:r>
    </w:p>
    <w:p w14:paraId="7390306D">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委托期限</w:t>
      </w:r>
      <w:r>
        <w:rPr>
          <w:rFonts w:hint="eastAsia" w:ascii="宋体" w:hAnsi="宋体" w:cs="宋体"/>
          <w:color w:val="000000" w:themeColor="text1"/>
          <w:kern w:val="0"/>
          <w:sz w:val="24"/>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自</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年</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月</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日起至</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年</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月</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日止。</w:t>
      </w:r>
    </w:p>
    <w:p w14:paraId="5253923A">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特此告知。</w:t>
      </w:r>
    </w:p>
    <w:p w14:paraId="043AA95B">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供应商名称(电子签名)：</w:t>
      </w:r>
    </w:p>
    <w:p w14:paraId="2D84192E">
      <w:pPr>
        <w:snapToGrid w:val="0"/>
        <w:spacing w:line="360" w:lineRule="auto"/>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签发日期：  年  月   日</w:t>
      </w:r>
    </w:p>
    <w:p w14:paraId="246F67F7">
      <w:pPr>
        <w:snapToGrid w:val="0"/>
        <w:spacing w:line="360" w:lineRule="auto"/>
        <w:rPr>
          <w:rFonts w:ascii="宋体" w:hAnsi="宋体" w:cs="宋体"/>
          <w:color w:val="000000" w:themeColor="text1"/>
          <w:sz w:val="24"/>
          <w14:textFill>
            <w14:solidFill>
              <w14:schemeClr w14:val="tx1"/>
            </w14:solidFill>
          </w14:textFill>
        </w:rPr>
      </w:pPr>
    </w:p>
    <w:p w14:paraId="0DE9B2A9">
      <w:pPr>
        <w:snapToGrid w:val="0"/>
        <w:spacing w:line="360" w:lineRule="auto"/>
        <w:rPr>
          <w:rFonts w:ascii="宋体" w:hAnsi="宋体" w:cs="宋体"/>
          <w:color w:val="000000" w:themeColor="text1"/>
          <w:sz w:val="24"/>
          <w14:textFill>
            <w14:solidFill>
              <w14:schemeClr w14:val="tx1"/>
            </w14:solidFill>
          </w14:textFill>
        </w:rPr>
      </w:pPr>
    </w:p>
    <w:p w14:paraId="666022AE">
      <w:pPr>
        <w:snapToGrid w:val="0"/>
        <w:spacing w:line="360" w:lineRule="auto"/>
        <w:rPr>
          <w:rFonts w:ascii="宋体" w:hAnsi="宋体" w:cs="宋体"/>
          <w:color w:val="000000" w:themeColor="text1"/>
          <w:sz w:val="24"/>
          <w14:textFill>
            <w14:solidFill>
              <w14:schemeClr w14:val="tx1"/>
            </w14:solidFill>
          </w14:textFill>
        </w:rPr>
      </w:pPr>
    </w:p>
    <w:p w14:paraId="568BB463">
      <w:pPr>
        <w:snapToGrid w:val="0"/>
        <w:jc w:val="center"/>
        <w:rPr>
          <w:rFonts w:ascii="宋体" w:hAnsi="宋体" w:cs="宋体"/>
          <w:b/>
          <w:bCs/>
          <w:color w:val="000000" w:themeColor="text1"/>
          <w:sz w:val="32"/>
          <w:szCs w:val="32"/>
          <w:lang w:val="zh-CN"/>
          <w14:textFill>
            <w14:solidFill>
              <w14:schemeClr w14:val="tx1"/>
            </w14:solidFill>
          </w14:textFill>
        </w:rPr>
      </w:pPr>
      <w:r>
        <w:rPr>
          <w:rFonts w:hint="eastAsia" w:ascii="宋体" w:hAnsi="宋体" w:cs="宋体"/>
          <w:b/>
          <w:bCs/>
          <w:color w:val="000000" w:themeColor="text1"/>
          <w:sz w:val="32"/>
          <w:szCs w:val="32"/>
          <w:lang w:val="zh-CN"/>
          <w14:textFill>
            <w14:solidFill>
              <w14:schemeClr w14:val="tx1"/>
            </w14:solidFill>
          </w14:textFill>
        </w:rPr>
        <w:t>授权委托书（适用于联合体</w:t>
      </w:r>
      <w:r>
        <w:rPr>
          <w:rFonts w:hint="eastAsia" w:ascii="宋体" w:hAnsi="宋体" w:cs="宋体"/>
          <w:b/>
          <w:bCs/>
          <w:color w:val="000000" w:themeColor="text1"/>
          <w:sz w:val="32"/>
          <w:szCs w:val="32"/>
          <w14:textFill>
            <w14:solidFill>
              <w14:schemeClr w14:val="tx1"/>
            </w14:solidFill>
          </w14:textFill>
        </w:rPr>
        <w:t>响应</w:t>
      </w:r>
      <w:r>
        <w:rPr>
          <w:rFonts w:hint="eastAsia" w:ascii="宋体" w:hAnsi="宋体" w:cs="宋体"/>
          <w:b/>
          <w:bCs/>
          <w:color w:val="000000" w:themeColor="text1"/>
          <w:sz w:val="32"/>
          <w:szCs w:val="32"/>
          <w:lang w:val="zh-CN"/>
          <w14:textFill>
            <w14:solidFill>
              <w14:schemeClr w14:val="tx1"/>
            </w14:solidFill>
          </w14:textFill>
        </w:rPr>
        <w:t>）</w:t>
      </w:r>
    </w:p>
    <w:p w14:paraId="638C60BB">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浙江中医药大学、浙江豪圣建设项目管理有限公司</w:t>
      </w:r>
      <w:r>
        <w:rPr>
          <w:rFonts w:hint="eastAsia" w:ascii="宋体" w:hAnsi="宋体" w:cs="宋体"/>
          <w:color w:val="000000" w:themeColor="text1"/>
          <w:kern w:val="0"/>
          <w:sz w:val="24"/>
          <w:lang w:val="zh-CN"/>
          <w14:textFill>
            <w14:solidFill>
              <w14:schemeClr w14:val="tx1"/>
            </w14:solidFill>
          </w14:textFill>
        </w:rPr>
        <w:t>：</w:t>
      </w:r>
    </w:p>
    <w:p w14:paraId="6931B213">
      <w:pPr>
        <w:snapToGrid w:val="0"/>
        <w:spacing w:line="360" w:lineRule="auto"/>
        <w:ind w:firstLine="576"/>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现</w:t>
      </w:r>
      <w:r>
        <w:rPr>
          <w:rFonts w:hint="eastAsia" w:ascii="宋体" w:hAnsi="宋体" w:cs="宋体"/>
          <w:color w:val="000000" w:themeColor="text1"/>
          <w:kern w:val="0"/>
          <w:sz w:val="24"/>
          <w:lang w:val="zh-CN"/>
          <w14:textFill>
            <w14:solidFill>
              <w14:schemeClr w14:val="tx1"/>
            </w14:solidFill>
          </w14:textFill>
        </w:rPr>
        <w:t>委托</w:t>
      </w:r>
      <w:r>
        <w:rPr>
          <w:rFonts w:hint="eastAsia" w:ascii="宋体" w:hAnsi="宋体" w:cs="宋体"/>
          <w:color w:val="000000" w:themeColor="text1"/>
          <w:kern w:val="0"/>
          <w:sz w:val="24"/>
          <w:u w:val="single"/>
          <w:lang w:val="zh-CN"/>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（姓名）为我方代理人（身份证号码：</w:t>
      </w:r>
      <w:r>
        <w:rPr>
          <w:rFonts w:hint="eastAsia" w:ascii="宋体" w:hAnsi="宋体" w:cs="宋体"/>
          <w:color w:val="000000" w:themeColor="text1"/>
          <w:kern w:val="0"/>
          <w:sz w:val="24"/>
          <w:u w:val="single"/>
          <w:lang w:val="zh-CN"/>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，手机：</w:t>
      </w:r>
      <w:r>
        <w:rPr>
          <w:rFonts w:hint="eastAsia" w:ascii="宋体" w:hAnsi="宋体" w:cs="宋体"/>
          <w:color w:val="000000" w:themeColor="text1"/>
          <w:kern w:val="0"/>
          <w:sz w:val="24"/>
          <w:u w:val="single"/>
          <w:lang w:val="zh-CN"/>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，所在单位：</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），以我方名义处理</w:t>
      </w:r>
      <w:r>
        <w:rPr>
          <w:rFonts w:hint="eastAsia" w:ascii="宋体" w:hAnsi="宋体" w:cs="宋体"/>
          <w:color w:val="000000" w:themeColor="text1"/>
          <w:sz w:val="24"/>
          <w14:textFill>
            <w14:solidFill>
              <w14:schemeClr w14:val="tx1"/>
            </w14:solidFill>
          </w14:textFill>
        </w:rPr>
        <w:t>浙江中医药大学富春校区体育场地修缮工程【项目编号：HSZB-2025-512】</w:t>
      </w:r>
      <w:r>
        <w:rPr>
          <w:rFonts w:hint="eastAsia" w:ascii="宋体" w:hAnsi="宋体" w:cs="宋体"/>
          <w:color w:val="000000" w:themeColor="text1"/>
          <w:kern w:val="0"/>
          <w:sz w:val="24"/>
          <w:lang w:val="zh-CN"/>
          <w14:textFill>
            <w14:solidFill>
              <w14:schemeClr w14:val="tx1"/>
            </w14:solidFill>
          </w14:textFill>
        </w:rPr>
        <w:t>政府采购</w:t>
      </w:r>
      <w:r>
        <w:rPr>
          <w:rFonts w:hint="eastAsia" w:ascii="宋体" w:hAnsi="宋体" w:cs="宋体"/>
          <w:color w:val="000000" w:themeColor="text1"/>
          <w:kern w:val="0"/>
          <w:sz w:val="24"/>
          <w14:textFill>
            <w14:solidFill>
              <w14:schemeClr w14:val="tx1"/>
            </w14:solidFill>
          </w14:textFill>
        </w:rPr>
        <w:t>响应</w:t>
      </w:r>
      <w:r>
        <w:rPr>
          <w:rFonts w:hint="eastAsia" w:ascii="宋体" w:hAnsi="宋体" w:cs="宋体"/>
          <w:color w:val="000000" w:themeColor="text1"/>
          <w:kern w:val="0"/>
          <w:sz w:val="24"/>
          <w:lang w:val="zh-CN"/>
          <w14:textFill>
            <w14:solidFill>
              <w14:schemeClr w14:val="tx1"/>
            </w14:solidFill>
          </w14:textFill>
        </w:rPr>
        <w:t>的一切事项，其法律后果由我方承担。</w:t>
      </w:r>
    </w:p>
    <w:p w14:paraId="73B69F86">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委托期限</w:t>
      </w:r>
      <w:r>
        <w:rPr>
          <w:rFonts w:hint="eastAsia" w:ascii="宋体" w:hAnsi="宋体" w:cs="宋体"/>
          <w:color w:val="000000" w:themeColor="text1"/>
          <w:kern w:val="0"/>
          <w:sz w:val="24"/>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自</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年</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月</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日起至</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年</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月</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日止。</w:t>
      </w:r>
    </w:p>
    <w:p w14:paraId="29297713">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特此告知。</w:t>
      </w:r>
    </w:p>
    <w:p w14:paraId="4E51357C">
      <w:pPr>
        <w:jc w:val="center"/>
        <w:rPr>
          <w:rFonts w:ascii="宋体" w:hAnsi="宋体" w:cs="宋体"/>
          <w:b/>
          <w:color w:val="000000" w:themeColor="text1"/>
          <w:kern w:val="0"/>
          <w:sz w:val="32"/>
          <w:szCs w:val="32"/>
          <w14:textFill>
            <w14:solidFill>
              <w14:schemeClr w14:val="tx1"/>
            </w14:solidFill>
          </w14:textFill>
        </w:rPr>
      </w:pPr>
    </w:p>
    <w:p w14:paraId="0E404B7E">
      <w:pPr>
        <w:jc w:val="center"/>
        <w:rPr>
          <w:rFonts w:ascii="宋体" w:hAnsi="宋体" w:cs="宋体"/>
          <w:b/>
          <w:color w:val="000000" w:themeColor="text1"/>
          <w:kern w:val="0"/>
          <w:sz w:val="32"/>
          <w:szCs w:val="32"/>
          <w14:textFill>
            <w14:solidFill>
              <w14:schemeClr w14:val="tx1"/>
            </w14:solidFill>
          </w14:textFill>
        </w:rPr>
      </w:pPr>
    </w:p>
    <w:p w14:paraId="2E5A5B8C">
      <w:pPr>
        <w:jc w:val="center"/>
        <w:rPr>
          <w:rFonts w:ascii="宋体" w:hAnsi="宋体" w:cs="宋体"/>
          <w:b/>
          <w:color w:val="000000" w:themeColor="text1"/>
          <w:kern w:val="0"/>
          <w:sz w:val="32"/>
          <w:szCs w:val="32"/>
          <w14:textFill>
            <w14:solidFill>
              <w14:schemeClr w14:val="tx1"/>
            </w14:solidFill>
          </w14:textFill>
        </w:rPr>
      </w:pPr>
    </w:p>
    <w:p w14:paraId="01FDFD5F">
      <w:pPr>
        <w:rPr>
          <w:rFonts w:ascii="宋体" w:hAnsi="宋体" w:cs="宋体"/>
          <w:color w:val="000000" w:themeColor="text1"/>
          <w14:textFill>
            <w14:solidFill>
              <w14:schemeClr w14:val="tx1"/>
            </w14:solidFill>
          </w14:textFill>
        </w:rPr>
      </w:pPr>
    </w:p>
    <w:p w14:paraId="226618A1">
      <w:pPr>
        <w:snapToGrid w:val="0"/>
        <w:spacing w:line="360" w:lineRule="auto"/>
        <w:ind w:firstLine="5040" w:firstLineChars="21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联合体成员名称(电子签名/公章)：</w:t>
      </w:r>
    </w:p>
    <w:p w14:paraId="1FB42C2A">
      <w:pPr>
        <w:snapToGrid w:val="0"/>
        <w:spacing w:line="360" w:lineRule="auto"/>
        <w:ind w:firstLine="5040" w:firstLineChars="21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联合体成员名称(电子签名/公章)：</w:t>
      </w:r>
    </w:p>
    <w:p w14:paraId="43D57EB1">
      <w:pPr>
        <w:snapToGrid w:val="0"/>
        <w:spacing w:line="360" w:lineRule="auto"/>
        <w:ind w:firstLine="5760" w:firstLineChars="2400"/>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w:t>
      </w:r>
    </w:p>
    <w:p w14:paraId="3684F12A">
      <w:pPr>
        <w:snapToGrid w:val="0"/>
        <w:spacing w:line="360" w:lineRule="auto"/>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日期：  年  月   日</w:t>
      </w:r>
    </w:p>
    <w:p w14:paraId="79BC37F4">
      <w:pPr>
        <w:snapToGrid w:val="0"/>
        <w:jc w:val="center"/>
        <w:rPr>
          <w:rFonts w:ascii="宋体" w:hAnsi="宋体" w:cs="宋体"/>
          <w:b/>
          <w:bCs/>
          <w:color w:val="000000" w:themeColor="text1"/>
          <w:sz w:val="32"/>
          <w:szCs w:val="32"/>
          <w:lang w:val="zh-CN"/>
          <w14:textFill>
            <w14:solidFill>
              <w14:schemeClr w14:val="tx1"/>
            </w14:solidFill>
          </w14:textFill>
        </w:rPr>
      </w:pPr>
    </w:p>
    <w:p w14:paraId="7A8A425E">
      <w:pPr>
        <w:snapToGrid w:val="0"/>
        <w:jc w:val="center"/>
        <w:rPr>
          <w:rFonts w:ascii="宋体" w:hAnsi="宋体" w:cs="宋体"/>
          <w:b/>
          <w:bCs/>
          <w:color w:val="000000" w:themeColor="text1"/>
          <w:sz w:val="32"/>
          <w:szCs w:val="32"/>
          <w:lang w:val="zh-CN"/>
          <w14:textFill>
            <w14:solidFill>
              <w14:schemeClr w14:val="tx1"/>
            </w14:solidFill>
          </w14:textFill>
        </w:rPr>
      </w:pPr>
    </w:p>
    <w:p w14:paraId="2008DB69">
      <w:pPr>
        <w:snapToGrid w:val="0"/>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lang w:val="zh-CN"/>
          <w14:textFill>
            <w14:solidFill>
              <w14:schemeClr w14:val="tx1"/>
            </w14:solidFill>
          </w14:textFill>
        </w:rPr>
        <w:t>法定代表人、单位负责人或自然人本人</w:t>
      </w:r>
      <w:r>
        <w:rPr>
          <w:rFonts w:hint="eastAsia" w:ascii="宋体" w:hAnsi="宋体" w:cs="宋体"/>
          <w:b/>
          <w:bCs/>
          <w:color w:val="000000" w:themeColor="text1"/>
          <w:sz w:val="32"/>
          <w:szCs w:val="32"/>
          <w14:textFill>
            <w14:solidFill>
              <w14:schemeClr w14:val="tx1"/>
            </w14:solidFill>
          </w14:textFill>
        </w:rPr>
        <w:t>的身份证明（适用于法定代表人、单位负责人或者自然人本人代表供应商参加响应）</w:t>
      </w:r>
    </w:p>
    <w:p w14:paraId="4D5FBA0A">
      <w:pPr>
        <w:pStyle w:val="149"/>
        <w:spacing w:line="360" w:lineRule="auto"/>
        <w:rPr>
          <w:rFonts w:hAnsi="宋体" w:cs="宋体"/>
          <w:bCs/>
          <w:color w:val="000000" w:themeColor="text1"/>
          <w:sz w:val="24"/>
          <w14:textFill>
            <w14:solidFill>
              <w14:schemeClr w14:val="tx1"/>
            </w14:solidFill>
          </w14:textFill>
        </w:rPr>
      </w:pPr>
      <w:r>
        <w:rPr>
          <w:rFonts w:hint="eastAsia" w:hAnsi="宋体" w:cs="宋体"/>
          <w:bCs/>
          <w:color w:val="000000" w:themeColor="text1"/>
          <w:sz w:val="24"/>
          <w14:textFill>
            <w14:solidFill>
              <w14:schemeClr w14:val="tx1"/>
            </w14:solidFill>
          </w14:textFill>
        </w:rPr>
        <w:t>身份证件扫描件：</w:t>
      </w:r>
    </w:p>
    <w:tbl>
      <w:tblPr>
        <w:tblStyle w:val="62"/>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39D68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0AA76B87">
            <w:pPr>
              <w:pStyle w:val="149"/>
              <w:adjustRightInd w:val="0"/>
              <w:spacing w:line="360" w:lineRule="auto"/>
              <w:rPr>
                <w:rFonts w:hAnsi="宋体" w:cs="宋体"/>
                <w:bCs/>
                <w:color w:val="000000" w:themeColor="text1"/>
                <w:sz w:val="24"/>
                <w14:textFill>
                  <w14:solidFill>
                    <w14:schemeClr w14:val="tx1"/>
                  </w14:solidFill>
                </w14:textFill>
              </w:rPr>
            </w:pPr>
            <w:r>
              <w:rPr>
                <w:rFonts w:hint="eastAsia" w:hAnsi="宋体" w:cs="宋体"/>
                <w:bCs/>
                <w:color w:val="000000" w:themeColor="text1"/>
                <w:sz w:val="24"/>
                <w14:textFill>
                  <w14:solidFill>
                    <w14:schemeClr w14:val="tx1"/>
                  </w14:solidFill>
                </w14:textFill>
              </w:rPr>
              <w:t>正面：                                 反面：</w:t>
            </w:r>
          </w:p>
          <w:p w14:paraId="6E698A76">
            <w:pPr>
              <w:pStyle w:val="149"/>
              <w:adjustRightInd w:val="0"/>
              <w:spacing w:line="360" w:lineRule="auto"/>
              <w:rPr>
                <w:rFonts w:hAnsi="宋体" w:cs="宋体"/>
                <w:bCs/>
                <w:color w:val="000000" w:themeColor="text1"/>
                <w:sz w:val="24"/>
                <w14:textFill>
                  <w14:solidFill>
                    <w14:schemeClr w14:val="tx1"/>
                  </w14:solidFill>
                </w14:textFill>
              </w:rPr>
            </w:pPr>
          </w:p>
        </w:tc>
      </w:tr>
    </w:tbl>
    <w:p w14:paraId="34A4657E">
      <w:pPr>
        <w:snapToGrid w:val="0"/>
        <w:spacing w:line="360" w:lineRule="auto"/>
        <w:ind w:firstLine="576"/>
        <w:jc w:val="center"/>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w:t>
      </w:r>
    </w:p>
    <w:p w14:paraId="361EF340">
      <w:pPr>
        <w:snapToGrid w:val="0"/>
        <w:spacing w:line="360" w:lineRule="auto"/>
        <w:ind w:firstLine="576"/>
        <w:jc w:val="center"/>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供应商名称(电子签名)：                              </w:t>
      </w:r>
    </w:p>
    <w:p w14:paraId="0C57656F">
      <w:pPr>
        <w:spacing w:line="360" w:lineRule="auto"/>
        <w:jc w:val="center"/>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日期：  年  月  日</w:t>
      </w:r>
    </w:p>
    <w:p w14:paraId="32B77B7D">
      <w:pPr>
        <w:jc w:val="center"/>
        <w:rPr>
          <w:rFonts w:ascii="宋体" w:hAnsi="宋体" w:cs="宋体"/>
          <w:b/>
          <w:color w:val="000000" w:themeColor="text1"/>
          <w:kern w:val="0"/>
          <w:sz w:val="32"/>
          <w:szCs w:val="32"/>
          <w14:textFill>
            <w14:solidFill>
              <w14:schemeClr w14:val="tx1"/>
            </w14:solidFill>
          </w14:textFill>
        </w:rPr>
      </w:pPr>
    </w:p>
    <w:p w14:paraId="6661BFB0">
      <w:pPr>
        <w:jc w:val="center"/>
        <w:rPr>
          <w:rFonts w:ascii="宋体" w:hAnsi="宋体" w:cs="宋体"/>
          <w:b/>
          <w:color w:val="000000" w:themeColor="text1"/>
          <w:kern w:val="0"/>
          <w:sz w:val="32"/>
          <w:szCs w:val="32"/>
          <w14:textFill>
            <w14:solidFill>
              <w14:schemeClr w14:val="tx1"/>
            </w14:solidFill>
          </w14:textFill>
        </w:rPr>
      </w:pPr>
    </w:p>
    <w:p w14:paraId="4568DF78">
      <w:pPr>
        <w:jc w:val="center"/>
        <w:rPr>
          <w:rFonts w:ascii="宋体" w:hAnsi="宋体" w:cs="宋体"/>
          <w:b/>
          <w:color w:val="000000" w:themeColor="text1"/>
          <w:kern w:val="0"/>
          <w:sz w:val="32"/>
          <w:szCs w:val="32"/>
          <w14:textFill>
            <w14:solidFill>
              <w14:schemeClr w14:val="tx1"/>
            </w14:solidFill>
          </w14:textFill>
        </w:rPr>
      </w:pPr>
    </w:p>
    <w:p w14:paraId="491EB7A5">
      <w:pPr>
        <w:jc w:val="center"/>
        <w:rPr>
          <w:rFonts w:ascii="宋体" w:hAnsi="宋体" w:cs="宋体"/>
          <w:b/>
          <w:color w:val="000000" w:themeColor="text1"/>
          <w:kern w:val="0"/>
          <w:sz w:val="32"/>
          <w:szCs w:val="32"/>
          <w14:textFill>
            <w14:solidFill>
              <w14:schemeClr w14:val="tx1"/>
            </w14:solidFill>
          </w14:textFill>
        </w:rPr>
      </w:pPr>
    </w:p>
    <w:p w14:paraId="30BC381E">
      <w:pPr>
        <w:jc w:val="center"/>
        <w:rPr>
          <w:rFonts w:ascii="宋体" w:hAnsi="宋体" w:cs="宋体"/>
          <w:b/>
          <w:color w:val="000000" w:themeColor="text1"/>
          <w:kern w:val="0"/>
          <w:sz w:val="32"/>
          <w:szCs w:val="32"/>
          <w14:textFill>
            <w14:solidFill>
              <w14:schemeClr w14:val="tx1"/>
            </w14:solidFill>
          </w14:textFill>
        </w:rPr>
      </w:pPr>
    </w:p>
    <w:p w14:paraId="6ED88105">
      <w:pPr>
        <w:jc w:val="center"/>
        <w:rPr>
          <w:rFonts w:ascii="宋体" w:hAnsi="宋体" w:cs="宋体"/>
          <w:b/>
          <w:color w:val="000000" w:themeColor="text1"/>
          <w:kern w:val="0"/>
          <w:sz w:val="32"/>
          <w:szCs w:val="32"/>
          <w14:textFill>
            <w14:solidFill>
              <w14:schemeClr w14:val="tx1"/>
            </w14:solidFill>
          </w14:textFill>
        </w:rPr>
      </w:pPr>
    </w:p>
    <w:p w14:paraId="51A1B864">
      <w:pPr>
        <w:jc w:val="center"/>
        <w:rPr>
          <w:rFonts w:ascii="宋体" w:hAnsi="宋体" w:cs="宋体"/>
          <w:b/>
          <w:color w:val="000000" w:themeColor="text1"/>
          <w:kern w:val="0"/>
          <w:sz w:val="32"/>
          <w:szCs w:val="32"/>
          <w14:textFill>
            <w14:solidFill>
              <w14:schemeClr w14:val="tx1"/>
            </w14:solidFill>
          </w14:textFill>
        </w:rPr>
      </w:pPr>
    </w:p>
    <w:p w14:paraId="704D6A0B">
      <w:pPr>
        <w:jc w:val="center"/>
        <w:rPr>
          <w:rFonts w:ascii="宋体" w:hAnsi="宋体" w:cs="宋体"/>
          <w:b/>
          <w:color w:val="000000" w:themeColor="text1"/>
          <w:kern w:val="0"/>
          <w:sz w:val="32"/>
          <w:szCs w:val="32"/>
          <w14:textFill>
            <w14:solidFill>
              <w14:schemeClr w14:val="tx1"/>
            </w14:solidFill>
          </w14:textFill>
        </w:rPr>
      </w:pPr>
    </w:p>
    <w:p w14:paraId="6DE795DC">
      <w:pPr>
        <w:jc w:val="center"/>
        <w:rPr>
          <w:rFonts w:ascii="宋体" w:hAnsi="宋体" w:cs="宋体"/>
          <w:b/>
          <w:color w:val="000000" w:themeColor="text1"/>
          <w:kern w:val="0"/>
          <w:sz w:val="32"/>
          <w:szCs w:val="32"/>
          <w14:textFill>
            <w14:solidFill>
              <w14:schemeClr w14:val="tx1"/>
            </w14:solidFill>
          </w14:textFill>
        </w:rPr>
      </w:pPr>
    </w:p>
    <w:p w14:paraId="02863EC5">
      <w:pPr>
        <w:jc w:val="center"/>
        <w:rPr>
          <w:rFonts w:ascii="宋体" w:hAnsi="宋体" w:cs="宋体"/>
          <w:b/>
          <w:color w:val="000000" w:themeColor="text1"/>
          <w:kern w:val="0"/>
          <w:sz w:val="32"/>
          <w:szCs w:val="32"/>
          <w14:textFill>
            <w14:solidFill>
              <w14:schemeClr w14:val="tx1"/>
            </w14:solidFill>
          </w14:textFill>
        </w:rPr>
      </w:pPr>
    </w:p>
    <w:p w14:paraId="5F43B49B">
      <w:pPr>
        <w:snapToGrid w:val="0"/>
        <w:spacing w:line="360" w:lineRule="auto"/>
        <w:ind w:right="480"/>
        <w:rPr>
          <w:rFonts w:ascii="宋体" w:hAnsi="宋体" w:cs="宋体"/>
          <w:b/>
          <w:color w:val="000000" w:themeColor="text1"/>
          <w:kern w:val="0"/>
          <w:sz w:val="32"/>
          <w:szCs w:val="32"/>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2B9D6968">
      <w:pPr>
        <w:snapToGrid w:val="0"/>
        <w:jc w:val="center"/>
        <w:outlineLvl w:val="2"/>
        <w:rPr>
          <w:rFonts w:ascii="宋体" w:hAnsi="宋体" w:cs="宋体"/>
          <w:b/>
          <w:bCs/>
          <w:color w:val="000000" w:themeColor="text1"/>
          <w:sz w:val="32"/>
          <w:szCs w:val="32"/>
          <w14:textFill>
            <w14:solidFill>
              <w14:schemeClr w14:val="tx1"/>
            </w14:solidFill>
          </w14:textFill>
        </w:rPr>
      </w:pPr>
      <w:bookmarkStart w:id="553" w:name="_Toc4580"/>
      <w:r>
        <w:rPr>
          <w:rFonts w:hint="eastAsia" w:ascii="宋体" w:hAnsi="宋体" w:cs="宋体"/>
          <w:b/>
          <w:bCs/>
          <w:color w:val="000000" w:themeColor="text1"/>
          <w:sz w:val="32"/>
          <w:szCs w:val="32"/>
          <w14:textFill>
            <w14:solidFill>
              <w14:schemeClr w14:val="tx1"/>
            </w14:solidFill>
          </w14:textFill>
        </w:rPr>
        <w:t>三、分包意向协议</w:t>
      </w:r>
      <w:bookmarkEnd w:id="553"/>
    </w:p>
    <w:p w14:paraId="65DD2242">
      <w:pPr>
        <w:widowControl/>
        <w:spacing w:line="360" w:lineRule="auto"/>
        <w:ind w:firstLine="120" w:firstLineChars="50"/>
        <w:jc w:val="left"/>
        <w:rPr>
          <w:rFonts w:ascii="宋体" w:hAnsi="宋体" w:cs="宋体"/>
          <w:color w:val="000000" w:themeColor="text1"/>
          <w:sz w:val="24"/>
          <w14:textFill>
            <w14:solidFill>
              <w14:schemeClr w14:val="tx1"/>
            </w14:solidFill>
          </w14:textFill>
        </w:rPr>
      </w:pPr>
      <w:bookmarkStart w:id="554" w:name="_Hlk101169080"/>
      <w:r>
        <w:rPr>
          <w:rFonts w:hint="eastAsia" w:ascii="宋体" w:hAnsi="宋体" w:cs="宋体"/>
          <w:color w:val="000000" w:themeColor="text1"/>
          <w:sz w:val="24"/>
          <w14:textFill>
            <w14:solidFill>
              <w14:schemeClr w14:val="tx1"/>
            </w14:solidFill>
          </w14:textFill>
        </w:rPr>
        <w:t>[</w:t>
      </w:r>
      <w:r>
        <w:rPr>
          <w:rFonts w:hint="eastAsia" w:ascii="宋体" w:hAnsi="宋体" w:cs="宋体"/>
          <w:b/>
          <w:color w:val="000000" w:themeColor="text1"/>
          <w:sz w:val="24"/>
          <w14:textFill>
            <w14:solidFill>
              <w14:schemeClr w14:val="tx1"/>
            </w14:solidFill>
          </w14:textFill>
        </w:rPr>
        <w:t>成交后以分包方式履行合同的，提供分包意向协议(附件6</w:t>
      </w:r>
      <w:r>
        <w:rPr>
          <w:rFonts w:ascii="宋体" w:hAnsi="宋体" w:cs="宋体"/>
          <w:b/>
          <w:color w:val="000000" w:themeColor="text1"/>
          <w:sz w:val="24"/>
          <w14:textFill>
            <w14:solidFill>
              <w14:schemeClr w14:val="tx1"/>
            </w14:solidFill>
          </w14:textFill>
        </w:rPr>
        <w:t>)</w:t>
      </w:r>
      <w:r>
        <w:rPr>
          <w:rFonts w:hint="eastAsia" w:ascii="宋体" w:hAnsi="宋体" w:cs="宋体"/>
          <w:b/>
          <w:color w:val="000000" w:themeColor="text1"/>
          <w:sz w:val="24"/>
          <w14:textFill>
            <w14:solidFill>
              <w14:schemeClr w14:val="tx1"/>
            </w14:solidFill>
          </w14:textFill>
        </w:rPr>
        <w:t>；采购人不同意分包或者供应商成交后不以分包方式履行合同的，则不需要提供。</w:t>
      </w:r>
      <w:r>
        <w:rPr>
          <w:rFonts w:hint="eastAsia" w:ascii="宋体" w:hAnsi="宋体" w:cs="宋体"/>
          <w:color w:val="000000" w:themeColor="text1"/>
          <w:sz w:val="24"/>
          <w14:textFill>
            <w14:solidFill>
              <w14:schemeClr w14:val="tx1"/>
            </w14:solidFill>
          </w14:textFill>
        </w:rPr>
        <w:t>]</w:t>
      </w:r>
    </w:p>
    <w:bookmarkEnd w:id="554"/>
    <w:p w14:paraId="56A1646E">
      <w:pPr>
        <w:snapToGrid w:val="0"/>
        <w:spacing w:line="360" w:lineRule="auto"/>
        <w:rPr>
          <w:rFonts w:ascii="宋体" w:hAnsi="宋体" w:cs="宋体"/>
          <w:color w:val="000000" w:themeColor="text1"/>
          <w:kern w:val="0"/>
          <w:sz w:val="24"/>
          <w14:textFill>
            <w14:solidFill>
              <w14:schemeClr w14:val="tx1"/>
            </w14:solidFill>
          </w14:textFill>
        </w:rPr>
      </w:pPr>
    </w:p>
    <w:p w14:paraId="323C27CA">
      <w:pPr>
        <w:snapToGrid w:val="0"/>
        <w:jc w:val="center"/>
        <w:outlineLvl w:val="2"/>
        <w:rPr>
          <w:rFonts w:ascii="宋体" w:hAnsi="宋体" w:cs="宋体"/>
          <w:b/>
          <w:bCs/>
          <w:color w:val="000000" w:themeColor="text1"/>
          <w:sz w:val="32"/>
          <w:szCs w:val="32"/>
          <w14:textFill>
            <w14:solidFill>
              <w14:schemeClr w14:val="tx1"/>
            </w14:solidFill>
          </w14:textFill>
        </w:rPr>
      </w:pPr>
      <w:bookmarkStart w:id="555" w:name="_Toc17103"/>
      <w:r>
        <w:rPr>
          <w:rFonts w:hint="eastAsia" w:ascii="宋体" w:hAnsi="宋体" w:cs="宋体"/>
          <w:b/>
          <w:bCs/>
          <w:color w:val="000000" w:themeColor="text1"/>
          <w:sz w:val="32"/>
          <w:szCs w:val="32"/>
          <w14:textFill>
            <w14:solidFill>
              <w14:schemeClr w14:val="tx1"/>
            </w14:solidFill>
          </w14:textFill>
        </w:rPr>
        <w:t>四、符合性审查资料</w:t>
      </w:r>
      <w:bookmarkEnd w:id="555"/>
    </w:p>
    <w:p w14:paraId="6C12627D">
      <w:pPr>
        <w:jc w:val="center"/>
        <w:rPr>
          <w:rFonts w:ascii="宋体" w:hAnsi="宋体" w:cs="宋体"/>
          <w:b/>
          <w:color w:val="000000" w:themeColor="text1"/>
          <w:kern w:val="0"/>
          <w:sz w:val="32"/>
          <w:szCs w:val="32"/>
          <w14:textFill>
            <w14:solidFill>
              <w14:schemeClr w14:val="tx1"/>
            </w14:solidFill>
          </w14:textFill>
        </w:rPr>
      </w:pPr>
    </w:p>
    <w:tbl>
      <w:tblPr>
        <w:tblStyle w:val="6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1E1F5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08AA35F5">
            <w:pPr>
              <w:snapToGrid w:val="0"/>
              <w:spacing w:line="240" w:lineRule="atLeast"/>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序号</w:t>
            </w:r>
          </w:p>
        </w:tc>
        <w:tc>
          <w:tcPr>
            <w:tcW w:w="4991" w:type="dxa"/>
            <w:vAlign w:val="center"/>
          </w:tcPr>
          <w:p w14:paraId="328CAD62">
            <w:pPr>
              <w:snapToGrid w:val="0"/>
              <w:spacing w:line="240" w:lineRule="atLeast"/>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实质性要求</w:t>
            </w:r>
          </w:p>
        </w:tc>
        <w:tc>
          <w:tcPr>
            <w:tcW w:w="2551" w:type="dxa"/>
            <w:vAlign w:val="center"/>
          </w:tcPr>
          <w:p w14:paraId="33E2B63D">
            <w:pPr>
              <w:snapToGrid w:val="0"/>
              <w:spacing w:line="240" w:lineRule="atLeast"/>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需要提供的符合性审查资料</w:t>
            </w:r>
          </w:p>
        </w:tc>
        <w:tc>
          <w:tcPr>
            <w:tcW w:w="1418" w:type="dxa"/>
            <w:vAlign w:val="center"/>
          </w:tcPr>
          <w:p w14:paraId="37DDBE6A">
            <w:pPr>
              <w:snapToGrid w:val="0"/>
              <w:spacing w:line="240" w:lineRule="atLeast"/>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响应文件中的</w:t>
            </w:r>
          </w:p>
          <w:p w14:paraId="33E41EFF">
            <w:pPr>
              <w:snapToGrid w:val="0"/>
              <w:spacing w:line="240" w:lineRule="atLeast"/>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页码位置</w:t>
            </w:r>
          </w:p>
        </w:tc>
      </w:tr>
      <w:tr w14:paraId="7B31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084D9745">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4991" w:type="dxa"/>
            <w:vAlign w:val="center"/>
          </w:tcPr>
          <w:p w14:paraId="621D9648">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响应文件按照采购文件要求签署、盖章。</w:t>
            </w:r>
          </w:p>
        </w:tc>
        <w:tc>
          <w:tcPr>
            <w:tcW w:w="2551" w:type="dxa"/>
            <w:vAlign w:val="center"/>
          </w:tcPr>
          <w:p w14:paraId="7088C981">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需要使用电子签名或者签字盖章的响应文件的组成部分</w:t>
            </w:r>
          </w:p>
        </w:tc>
        <w:tc>
          <w:tcPr>
            <w:tcW w:w="1418" w:type="dxa"/>
            <w:vAlign w:val="center"/>
          </w:tcPr>
          <w:p w14:paraId="6E51E763">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见响应文件</w:t>
            </w:r>
          </w:p>
          <w:p w14:paraId="6CA7A92A">
            <w:pPr>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第</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页</w:t>
            </w:r>
          </w:p>
        </w:tc>
      </w:tr>
      <w:tr w14:paraId="3BEF0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4E21D5F">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4991" w:type="dxa"/>
            <w:vAlign w:val="center"/>
          </w:tcPr>
          <w:p w14:paraId="658EB56C">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14:paraId="575F1E4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节能产品认证证书（本项目拟采购的产品不属于政府强制采购的节能产品品目清单范围的，无需提供）</w:t>
            </w:r>
          </w:p>
        </w:tc>
        <w:tc>
          <w:tcPr>
            <w:tcW w:w="1418" w:type="dxa"/>
            <w:vAlign w:val="center"/>
          </w:tcPr>
          <w:p w14:paraId="068E9A4D">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见响应文件</w:t>
            </w:r>
          </w:p>
          <w:p w14:paraId="3886E685">
            <w:pPr>
              <w:pStyle w:val="3"/>
              <w:jc w:val="both"/>
              <w:rPr>
                <w:rFonts w:ascii="宋体" w:hAnsi="宋体" w:eastAsia="宋体" w:cs="宋体"/>
                <w:color w:val="000000" w:themeColor="text1"/>
                <w:lang w:val="en-US"/>
                <w14:textFill>
                  <w14:solidFill>
                    <w14:schemeClr w14:val="tx1"/>
                  </w14:solidFill>
                </w14:textFill>
              </w:rPr>
            </w:pPr>
            <w:bookmarkStart w:id="556" w:name="_Toc27080"/>
            <w:r>
              <w:rPr>
                <w:rFonts w:hint="eastAsia" w:ascii="宋体" w:hAnsi="宋体" w:eastAsia="宋体" w:cs="宋体"/>
                <w:b w:val="0"/>
                <w:bCs w:val="0"/>
                <w:color w:val="000000" w:themeColor="text1"/>
                <w:sz w:val="24"/>
                <w:szCs w:val="24"/>
                <w:lang w:val="en-US"/>
                <w14:textFill>
                  <w14:solidFill>
                    <w14:schemeClr w14:val="tx1"/>
                  </w14:solidFill>
                </w14:textFill>
              </w:rPr>
              <w:t>第</w:t>
            </w:r>
            <w:r>
              <w:rPr>
                <w:rFonts w:hint="eastAsia" w:ascii="宋体" w:hAnsi="宋体" w:eastAsia="宋体" w:cs="宋体"/>
                <w:b w:val="0"/>
                <w:bCs w:val="0"/>
                <w:color w:val="000000" w:themeColor="text1"/>
                <w:sz w:val="24"/>
                <w:szCs w:val="24"/>
                <w:u w:val="single"/>
                <w:lang w:val="en-US"/>
                <w14:textFill>
                  <w14:solidFill>
                    <w14:schemeClr w14:val="tx1"/>
                  </w14:solidFill>
                </w14:textFill>
              </w:rPr>
              <w:t xml:space="preserve">  </w:t>
            </w:r>
            <w:r>
              <w:rPr>
                <w:rFonts w:hint="eastAsia" w:ascii="宋体" w:hAnsi="宋体" w:eastAsia="宋体" w:cs="宋体"/>
                <w:b w:val="0"/>
                <w:bCs w:val="0"/>
                <w:color w:val="000000" w:themeColor="text1"/>
                <w:sz w:val="24"/>
                <w:szCs w:val="24"/>
                <w:lang w:val="en-US"/>
                <w14:textFill>
                  <w14:solidFill>
                    <w14:schemeClr w14:val="tx1"/>
                  </w14:solidFill>
                </w14:textFill>
              </w:rPr>
              <w:t>页</w:t>
            </w:r>
            <w:bookmarkEnd w:id="556"/>
          </w:p>
        </w:tc>
      </w:tr>
      <w:tr w14:paraId="57AD6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46EC8245">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4991" w:type="dxa"/>
            <w:vAlign w:val="center"/>
          </w:tcPr>
          <w:p w14:paraId="4D7AFCB3">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响应文件中承诺的响应文件有效期不少于采购文件中载明的响应文件有效期。</w:t>
            </w:r>
          </w:p>
        </w:tc>
        <w:tc>
          <w:tcPr>
            <w:tcW w:w="2551" w:type="dxa"/>
            <w:vAlign w:val="center"/>
          </w:tcPr>
          <w:p w14:paraId="0AA714C0">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响应函</w:t>
            </w:r>
          </w:p>
        </w:tc>
        <w:tc>
          <w:tcPr>
            <w:tcW w:w="1418" w:type="dxa"/>
            <w:vAlign w:val="center"/>
          </w:tcPr>
          <w:p w14:paraId="3F02B7EB">
            <w:pPr>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见响应文件第</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页</w:t>
            </w:r>
          </w:p>
        </w:tc>
      </w:tr>
      <w:tr w14:paraId="617A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977DEB4">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4991" w:type="dxa"/>
          </w:tcPr>
          <w:p w14:paraId="7612DF6E">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snapToGrid w:val="0"/>
                <w:color w:val="000000" w:themeColor="text1"/>
                <w:sz w:val="24"/>
                <w14:textFill>
                  <w14:solidFill>
                    <w14:schemeClr w14:val="tx1"/>
                  </w14:solidFill>
                </w14:textFill>
              </w:rPr>
              <w:t>其他实质性要求1：</w:t>
            </w:r>
          </w:p>
        </w:tc>
        <w:tc>
          <w:tcPr>
            <w:tcW w:w="2551" w:type="dxa"/>
            <w:vMerge w:val="restart"/>
            <w:vAlign w:val="center"/>
          </w:tcPr>
          <w:p w14:paraId="200E373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采购文件其它实质性要求相应的材料（“▲” 系指实质性要求条款，采购文件无其它实质性要求的，无需提供）</w:t>
            </w:r>
          </w:p>
        </w:tc>
        <w:tc>
          <w:tcPr>
            <w:tcW w:w="1418" w:type="dxa"/>
            <w:vAlign w:val="center"/>
          </w:tcPr>
          <w:p w14:paraId="6B2C8034">
            <w:pPr>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见响应文件第</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页</w:t>
            </w:r>
          </w:p>
        </w:tc>
      </w:tr>
      <w:tr w14:paraId="46F6E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0AF90F8F">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4991" w:type="dxa"/>
          </w:tcPr>
          <w:p w14:paraId="7BA0AF1B">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snapToGrid w:val="0"/>
                <w:color w:val="000000" w:themeColor="text1"/>
                <w:sz w:val="24"/>
                <w14:textFill>
                  <w14:solidFill>
                    <w14:schemeClr w14:val="tx1"/>
                  </w14:solidFill>
                </w14:textFill>
              </w:rPr>
              <w:t>其他实质性要求2：</w:t>
            </w:r>
          </w:p>
        </w:tc>
        <w:tc>
          <w:tcPr>
            <w:tcW w:w="2551" w:type="dxa"/>
            <w:vMerge w:val="continue"/>
            <w:vAlign w:val="center"/>
          </w:tcPr>
          <w:p w14:paraId="2F134E0A">
            <w:pPr>
              <w:rPr>
                <w:rFonts w:ascii="宋体" w:hAnsi="宋体" w:cs="宋体"/>
                <w:color w:val="000000" w:themeColor="text1"/>
                <w:kern w:val="0"/>
                <w:sz w:val="24"/>
                <w14:textFill>
                  <w14:solidFill>
                    <w14:schemeClr w14:val="tx1"/>
                  </w14:solidFill>
                </w14:textFill>
              </w:rPr>
            </w:pPr>
          </w:p>
        </w:tc>
        <w:tc>
          <w:tcPr>
            <w:tcW w:w="1418" w:type="dxa"/>
            <w:vAlign w:val="center"/>
          </w:tcPr>
          <w:p w14:paraId="69A2F59D">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见响应文件第</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页</w:t>
            </w:r>
          </w:p>
        </w:tc>
      </w:tr>
      <w:tr w14:paraId="0796A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91B0094">
            <w:pPr>
              <w:jc w:val="center"/>
              <w:rPr>
                <w:color w:val="000000" w:themeColor="text1"/>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4991" w:type="dxa"/>
          </w:tcPr>
          <w:p w14:paraId="382C7707">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snapToGrid w:val="0"/>
                <w:color w:val="000000" w:themeColor="text1"/>
                <w:sz w:val="24"/>
                <w14:textFill>
                  <w14:solidFill>
                    <w14:schemeClr w14:val="tx1"/>
                  </w14:solidFill>
                </w14:textFill>
              </w:rPr>
              <w:t>其他实质性要求</w:t>
            </w:r>
            <w:r>
              <w:rPr>
                <w:rFonts w:hint="eastAsia" w:ascii="宋体" w:hAnsi="宋体" w:cs="宋体"/>
                <w:color w:val="000000" w:themeColor="text1"/>
                <w:kern w:val="0"/>
                <w:sz w:val="24"/>
                <w14:textFill>
                  <w14:solidFill>
                    <w14:schemeClr w14:val="tx1"/>
                  </w14:solidFill>
                </w14:textFill>
              </w:rPr>
              <w:t>……</w:t>
            </w:r>
            <w:r>
              <w:rPr>
                <w:rFonts w:hint="eastAsia" w:ascii="宋体" w:hAnsi="宋体" w:cs="宋体"/>
                <w:snapToGrid w:val="0"/>
                <w:color w:val="000000" w:themeColor="text1"/>
                <w:sz w:val="24"/>
                <w14:textFill>
                  <w14:solidFill>
                    <w14:schemeClr w14:val="tx1"/>
                  </w14:solidFill>
                </w14:textFill>
              </w:rPr>
              <w:t>：</w:t>
            </w:r>
          </w:p>
        </w:tc>
        <w:tc>
          <w:tcPr>
            <w:tcW w:w="2551" w:type="dxa"/>
            <w:vMerge w:val="continue"/>
            <w:vAlign w:val="center"/>
          </w:tcPr>
          <w:p w14:paraId="30551E4F">
            <w:pPr>
              <w:rPr>
                <w:rFonts w:ascii="宋体" w:hAnsi="宋体" w:cs="宋体"/>
                <w:color w:val="000000" w:themeColor="text1"/>
                <w:kern w:val="0"/>
                <w:sz w:val="24"/>
                <w14:textFill>
                  <w14:solidFill>
                    <w14:schemeClr w14:val="tx1"/>
                  </w14:solidFill>
                </w14:textFill>
              </w:rPr>
            </w:pPr>
          </w:p>
        </w:tc>
        <w:tc>
          <w:tcPr>
            <w:tcW w:w="1418" w:type="dxa"/>
            <w:vAlign w:val="center"/>
          </w:tcPr>
          <w:p w14:paraId="0849007D">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见响应文件第</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页</w:t>
            </w:r>
          </w:p>
        </w:tc>
      </w:tr>
    </w:tbl>
    <w:p w14:paraId="35DAE1ED">
      <w:pPr>
        <w:spacing w:line="360" w:lineRule="auto"/>
        <w:ind w:right="42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注：1、按本格式和要求提供。</w:t>
      </w:r>
    </w:p>
    <w:p w14:paraId="588DBC78">
      <w:pPr>
        <w:spacing w:line="360" w:lineRule="auto"/>
        <w:ind w:right="42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2、采购文件中实质性要求必须明确响应。</w:t>
      </w:r>
    </w:p>
    <w:p w14:paraId="6AA1D6A1">
      <w:pPr>
        <w:pStyle w:val="79"/>
        <w:rPr>
          <w:color w:val="000000" w:themeColor="text1"/>
          <w14:textFill>
            <w14:solidFill>
              <w14:schemeClr w14:val="tx1"/>
            </w14:solidFill>
          </w14:textFill>
        </w:rPr>
      </w:pPr>
    </w:p>
    <w:p w14:paraId="75BA4C82">
      <w:pPr>
        <w:jc w:val="center"/>
        <w:rPr>
          <w:rFonts w:ascii="宋体" w:hAnsi="宋体" w:cs="宋体"/>
          <w:b/>
          <w:color w:val="000000" w:themeColor="text1"/>
          <w:kern w:val="0"/>
          <w:sz w:val="32"/>
          <w:szCs w:val="32"/>
          <w14:textFill>
            <w14:solidFill>
              <w14:schemeClr w14:val="tx1"/>
            </w14:solidFill>
          </w14:textFill>
        </w:rPr>
      </w:pPr>
    </w:p>
    <w:p w14:paraId="261D1074">
      <w:pPr>
        <w:jc w:val="center"/>
        <w:rPr>
          <w:rFonts w:ascii="宋体" w:hAnsi="宋体" w:cs="宋体"/>
          <w:b/>
          <w:color w:val="000000" w:themeColor="text1"/>
          <w:kern w:val="0"/>
          <w:sz w:val="32"/>
          <w:szCs w:val="32"/>
          <w14:textFill>
            <w14:solidFill>
              <w14:schemeClr w14:val="tx1"/>
            </w14:solidFill>
          </w14:textFill>
        </w:rPr>
      </w:pPr>
      <w:r>
        <w:rPr>
          <w:rFonts w:hint="eastAsia" w:ascii="宋体" w:hAnsi="宋体" w:cs="宋体"/>
          <w:b/>
          <w:color w:val="000000" w:themeColor="text1"/>
          <w:kern w:val="0"/>
          <w:sz w:val="32"/>
          <w:szCs w:val="32"/>
          <w14:textFill>
            <w14:solidFill>
              <w14:schemeClr w14:val="tx1"/>
            </w14:solidFill>
          </w14:textFill>
        </w:rPr>
        <w:t xml:space="preserve">            </w:t>
      </w:r>
    </w:p>
    <w:p w14:paraId="74C0ED56">
      <w:pPr>
        <w:jc w:val="center"/>
        <w:rPr>
          <w:rFonts w:ascii="宋体" w:hAnsi="宋体" w:cs="宋体"/>
          <w:b/>
          <w:color w:val="000000" w:themeColor="text1"/>
          <w:kern w:val="0"/>
          <w:sz w:val="32"/>
          <w:szCs w:val="32"/>
          <w14:textFill>
            <w14:solidFill>
              <w14:schemeClr w14:val="tx1"/>
            </w14:solidFill>
          </w14:textFill>
        </w:rPr>
      </w:pPr>
    </w:p>
    <w:p w14:paraId="4B00A54A">
      <w:pPr>
        <w:jc w:val="center"/>
        <w:rPr>
          <w:rFonts w:ascii="宋体" w:hAnsi="宋体" w:cs="宋体"/>
          <w:b/>
          <w:color w:val="000000" w:themeColor="text1"/>
          <w:kern w:val="0"/>
          <w:sz w:val="32"/>
          <w:szCs w:val="32"/>
          <w14:textFill>
            <w14:solidFill>
              <w14:schemeClr w14:val="tx1"/>
            </w14:solidFill>
          </w14:textFill>
        </w:rPr>
      </w:pPr>
    </w:p>
    <w:p w14:paraId="2F07EBEF">
      <w:pPr>
        <w:jc w:val="center"/>
        <w:rPr>
          <w:rFonts w:ascii="宋体" w:hAnsi="宋体" w:cs="宋体"/>
          <w:b/>
          <w:color w:val="000000" w:themeColor="text1"/>
          <w:kern w:val="0"/>
          <w:sz w:val="32"/>
          <w:szCs w:val="32"/>
          <w14:textFill>
            <w14:solidFill>
              <w14:schemeClr w14:val="tx1"/>
            </w14:solidFill>
          </w14:textFill>
        </w:rPr>
      </w:pPr>
    </w:p>
    <w:p w14:paraId="466FC769">
      <w:pPr>
        <w:jc w:val="center"/>
        <w:rPr>
          <w:rFonts w:ascii="宋体" w:hAnsi="宋体" w:cs="宋体"/>
          <w:b/>
          <w:color w:val="000000" w:themeColor="text1"/>
          <w:kern w:val="0"/>
          <w:sz w:val="32"/>
          <w:szCs w:val="32"/>
          <w14:textFill>
            <w14:solidFill>
              <w14:schemeClr w14:val="tx1"/>
            </w14:solidFill>
          </w14:textFill>
        </w:rPr>
      </w:pPr>
    </w:p>
    <w:p w14:paraId="328AF334">
      <w:pPr>
        <w:snapToGrid w:val="0"/>
        <w:jc w:val="center"/>
        <w:outlineLvl w:val="2"/>
        <w:rPr>
          <w:rFonts w:ascii="宋体" w:hAnsi="宋体" w:cs="宋体"/>
          <w:b/>
          <w:bCs/>
          <w:color w:val="000000" w:themeColor="text1"/>
          <w:sz w:val="32"/>
          <w:szCs w:val="32"/>
          <w14:textFill>
            <w14:solidFill>
              <w14:schemeClr w14:val="tx1"/>
            </w14:solidFill>
          </w14:textFill>
        </w:rPr>
      </w:pPr>
      <w:bookmarkStart w:id="557" w:name="_Toc16222"/>
      <w:r>
        <w:rPr>
          <w:rFonts w:hint="eastAsia" w:ascii="宋体" w:hAnsi="宋体" w:cs="宋体"/>
          <w:b/>
          <w:bCs/>
          <w:color w:val="000000" w:themeColor="text1"/>
          <w:sz w:val="32"/>
          <w:szCs w:val="32"/>
          <w14:textFill>
            <w14:solidFill>
              <w14:schemeClr w14:val="tx1"/>
            </w14:solidFill>
          </w14:textFill>
        </w:rPr>
        <w:t>五、评审标准相应的商务技术资料</w:t>
      </w:r>
      <w:bookmarkEnd w:id="557"/>
    </w:p>
    <w:p w14:paraId="432E3E6E">
      <w:pPr>
        <w:snapToGrid w:val="0"/>
        <w:spacing w:line="360" w:lineRule="auto"/>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（按采购文件第四部分评审办法前附表中“响应文件中评审标准相应的商务技术资料目录”提供资料。）</w:t>
      </w:r>
    </w:p>
    <w:tbl>
      <w:tblPr>
        <w:tblStyle w:val="63"/>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5465"/>
        <w:gridCol w:w="3046"/>
      </w:tblGrid>
      <w:tr w14:paraId="54859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44978386">
            <w:pPr>
              <w:snapToGrid w:val="0"/>
              <w:spacing w:line="360" w:lineRule="auto"/>
              <w:jc w:val="center"/>
              <w:rPr>
                <w:rFonts w:cs="仿宋_GB2312" w:asciiTheme="minorEastAsia" w:hAnsiTheme="minorEastAsia" w:eastAsiaTheme="minorEastAsia"/>
                <w:bCs/>
                <w:color w:val="000000" w:themeColor="text1"/>
                <w:sz w:val="24"/>
                <w14:textFill>
                  <w14:solidFill>
                    <w14:schemeClr w14:val="tx1"/>
                  </w14:solidFill>
                </w14:textFill>
              </w:rPr>
            </w:pPr>
            <w:r>
              <w:rPr>
                <w:rFonts w:hint="eastAsia" w:cs="仿宋_GB2312" w:asciiTheme="minorEastAsia" w:hAnsiTheme="minorEastAsia" w:eastAsiaTheme="minorEastAsia"/>
                <w:bCs/>
                <w:color w:val="000000" w:themeColor="text1"/>
                <w:sz w:val="24"/>
                <w14:textFill>
                  <w14:solidFill>
                    <w14:schemeClr w14:val="tx1"/>
                  </w14:solidFill>
                </w14:textFill>
              </w:rPr>
              <w:t>序号</w:t>
            </w:r>
          </w:p>
        </w:tc>
        <w:tc>
          <w:tcPr>
            <w:tcW w:w="5465" w:type="dxa"/>
          </w:tcPr>
          <w:p w14:paraId="7D0CC30F">
            <w:pPr>
              <w:snapToGrid w:val="0"/>
              <w:spacing w:line="360" w:lineRule="auto"/>
              <w:jc w:val="center"/>
              <w:rPr>
                <w:rFonts w:ascii="宋体" w:hAnsi="宋体" w:cs="宋体"/>
                <w:bCs/>
                <w:color w:val="000000" w:themeColor="text1"/>
                <w:sz w:val="24"/>
                <w14:textFill>
                  <w14:solidFill>
                    <w14:schemeClr w14:val="tx1"/>
                  </w14:solidFill>
                </w14:textFill>
              </w:rPr>
            </w:pPr>
            <w:r>
              <w:rPr>
                <w:rFonts w:hint="eastAsia" w:cs="仿宋_GB2312" w:asciiTheme="minorEastAsia" w:hAnsiTheme="minorEastAsia" w:eastAsiaTheme="minorEastAsia"/>
                <w:bCs/>
                <w:color w:val="000000" w:themeColor="text1"/>
                <w:sz w:val="24"/>
                <w14:textFill>
                  <w14:solidFill>
                    <w14:schemeClr w14:val="tx1"/>
                  </w14:solidFill>
                </w14:textFill>
              </w:rPr>
              <w:t>响应文件中评标标准相应的商务技术资料目录*</w:t>
            </w:r>
          </w:p>
        </w:tc>
        <w:tc>
          <w:tcPr>
            <w:tcW w:w="3046" w:type="dxa"/>
          </w:tcPr>
          <w:p w14:paraId="048A97D3">
            <w:pPr>
              <w:snapToGrid w:val="0"/>
              <w:spacing w:line="240" w:lineRule="atLeast"/>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响应文件中的页码位置</w:t>
            </w:r>
          </w:p>
        </w:tc>
      </w:tr>
      <w:tr w14:paraId="2D874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2FC6BEC4">
            <w:pPr>
              <w:snapToGrid w:val="0"/>
              <w:spacing w:line="360" w:lineRule="auto"/>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1</w:t>
            </w:r>
          </w:p>
        </w:tc>
        <w:tc>
          <w:tcPr>
            <w:tcW w:w="5465" w:type="dxa"/>
          </w:tcPr>
          <w:p w14:paraId="06944F60">
            <w:pPr>
              <w:snapToGrid w:val="0"/>
              <w:spacing w:line="360" w:lineRule="auto"/>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XXX（预先填写）</w:t>
            </w:r>
          </w:p>
        </w:tc>
        <w:tc>
          <w:tcPr>
            <w:tcW w:w="3046" w:type="dxa"/>
          </w:tcPr>
          <w:p w14:paraId="62B5F810">
            <w:pPr>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见响应文件第</w:t>
            </w:r>
            <w:r>
              <w:rPr>
                <w:rFonts w:hint="eastAsia" w:ascii="宋体" w:hAnsi="宋体" w:cs="宋体"/>
                <w:bCs/>
                <w:color w:val="000000" w:themeColor="text1"/>
                <w:sz w:val="24"/>
                <w:u w:val="single"/>
                <w14:textFill>
                  <w14:solidFill>
                    <w14:schemeClr w14:val="tx1"/>
                  </w14:solidFill>
                </w14:textFill>
              </w:rPr>
              <w:t xml:space="preserve">  </w:t>
            </w:r>
            <w:r>
              <w:rPr>
                <w:rFonts w:hint="eastAsia" w:ascii="宋体" w:hAnsi="宋体" w:cs="宋体"/>
                <w:bCs/>
                <w:color w:val="000000" w:themeColor="text1"/>
                <w:sz w:val="24"/>
                <w14:textFill>
                  <w14:solidFill>
                    <w14:schemeClr w14:val="tx1"/>
                  </w14:solidFill>
                </w14:textFill>
              </w:rPr>
              <w:t>页</w:t>
            </w:r>
          </w:p>
        </w:tc>
      </w:tr>
      <w:tr w14:paraId="63B4A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2EFC6830">
            <w:pPr>
              <w:snapToGrid w:val="0"/>
              <w:spacing w:line="360" w:lineRule="auto"/>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w:t>
            </w:r>
          </w:p>
        </w:tc>
        <w:tc>
          <w:tcPr>
            <w:tcW w:w="5465" w:type="dxa"/>
          </w:tcPr>
          <w:p w14:paraId="70F78C42">
            <w:pPr>
              <w:snapToGrid w:val="0"/>
              <w:spacing w:line="360" w:lineRule="auto"/>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XXX</w:t>
            </w:r>
          </w:p>
        </w:tc>
        <w:tc>
          <w:tcPr>
            <w:tcW w:w="3046" w:type="dxa"/>
          </w:tcPr>
          <w:p w14:paraId="67D68ECC">
            <w:pPr>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见响应文件第</w:t>
            </w:r>
            <w:r>
              <w:rPr>
                <w:rFonts w:hint="eastAsia" w:ascii="宋体" w:hAnsi="宋体" w:cs="宋体"/>
                <w:bCs/>
                <w:color w:val="000000" w:themeColor="text1"/>
                <w:sz w:val="24"/>
                <w:u w:val="single"/>
                <w14:textFill>
                  <w14:solidFill>
                    <w14:schemeClr w14:val="tx1"/>
                  </w14:solidFill>
                </w14:textFill>
              </w:rPr>
              <w:t xml:space="preserve">  </w:t>
            </w:r>
            <w:r>
              <w:rPr>
                <w:rFonts w:hint="eastAsia" w:ascii="宋体" w:hAnsi="宋体" w:cs="宋体"/>
                <w:bCs/>
                <w:color w:val="000000" w:themeColor="text1"/>
                <w:sz w:val="24"/>
                <w14:textFill>
                  <w14:solidFill>
                    <w14:schemeClr w14:val="tx1"/>
                  </w14:solidFill>
                </w14:textFill>
              </w:rPr>
              <w:t>页</w:t>
            </w:r>
          </w:p>
        </w:tc>
      </w:tr>
      <w:tr w14:paraId="7436A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096BD6D4">
            <w:pPr>
              <w:snapToGrid w:val="0"/>
              <w:spacing w:line="360" w:lineRule="auto"/>
              <w:jc w:val="center"/>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5465" w:type="dxa"/>
          </w:tcPr>
          <w:p w14:paraId="4BD70B08">
            <w:pPr>
              <w:snapToGrid w:val="0"/>
              <w:spacing w:line="360" w:lineRule="auto"/>
              <w:jc w:val="center"/>
              <w:rPr>
                <w:rFonts w:ascii="宋体" w:hAnsi="宋体" w:cs="宋体"/>
                <w:bCs/>
                <w:color w:val="000000" w:themeColor="text1"/>
                <w:sz w:val="24"/>
                <w14:textFill>
                  <w14:solidFill>
                    <w14:schemeClr w14:val="tx1"/>
                  </w14:solidFill>
                </w14:textFill>
              </w:rPr>
            </w:pPr>
          </w:p>
        </w:tc>
        <w:tc>
          <w:tcPr>
            <w:tcW w:w="3046" w:type="dxa"/>
          </w:tcPr>
          <w:p w14:paraId="7DD913F0">
            <w:pPr>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见响应文件第</w:t>
            </w:r>
            <w:r>
              <w:rPr>
                <w:rFonts w:hint="eastAsia" w:ascii="宋体" w:hAnsi="宋体" w:cs="宋体"/>
                <w:bCs/>
                <w:color w:val="000000" w:themeColor="text1"/>
                <w:sz w:val="24"/>
                <w:u w:val="single"/>
                <w14:textFill>
                  <w14:solidFill>
                    <w14:schemeClr w14:val="tx1"/>
                  </w14:solidFill>
                </w14:textFill>
              </w:rPr>
              <w:t xml:space="preserve">  </w:t>
            </w:r>
            <w:r>
              <w:rPr>
                <w:rFonts w:hint="eastAsia" w:ascii="宋体" w:hAnsi="宋体" w:cs="宋体"/>
                <w:bCs/>
                <w:color w:val="000000" w:themeColor="text1"/>
                <w:sz w:val="24"/>
                <w14:textFill>
                  <w14:solidFill>
                    <w14:schemeClr w14:val="tx1"/>
                  </w14:solidFill>
                </w14:textFill>
              </w:rPr>
              <w:t>页</w:t>
            </w:r>
          </w:p>
        </w:tc>
      </w:tr>
    </w:tbl>
    <w:p w14:paraId="3C0CDDE9">
      <w:pPr>
        <w:jc w:val="center"/>
        <w:rPr>
          <w:rFonts w:ascii="宋体" w:hAnsi="宋体" w:cs="宋体"/>
          <w:b/>
          <w:color w:val="000000" w:themeColor="text1"/>
          <w:kern w:val="0"/>
          <w:sz w:val="32"/>
          <w:szCs w:val="32"/>
          <w14:textFill>
            <w14:solidFill>
              <w14:schemeClr w14:val="tx1"/>
            </w14:solidFill>
          </w14:textFill>
        </w:rPr>
      </w:pPr>
    </w:p>
    <w:p w14:paraId="76496E06">
      <w:pPr>
        <w:jc w:val="center"/>
        <w:rPr>
          <w:rFonts w:ascii="宋体" w:hAnsi="宋体" w:cs="宋体"/>
          <w:b/>
          <w:color w:val="000000" w:themeColor="text1"/>
          <w:kern w:val="0"/>
          <w:sz w:val="32"/>
          <w:szCs w:val="32"/>
          <w14:textFill>
            <w14:solidFill>
              <w14:schemeClr w14:val="tx1"/>
            </w14:solidFill>
          </w14:textFill>
        </w:rPr>
      </w:pPr>
    </w:p>
    <w:p w14:paraId="3A9D0308">
      <w:pPr>
        <w:jc w:val="center"/>
        <w:rPr>
          <w:rFonts w:ascii="宋体" w:hAnsi="宋体" w:cs="宋体"/>
          <w:b/>
          <w:color w:val="000000" w:themeColor="text1"/>
          <w:kern w:val="0"/>
          <w:sz w:val="32"/>
          <w:szCs w:val="32"/>
          <w14:textFill>
            <w14:solidFill>
              <w14:schemeClr w14:val="tx1"/>
            </w14:solidFill>
          </w14:textFill>
        </w:rPr>
      </w:pPr>
    </w:p>
    <w:p w14:paraId="53BDD167">
      <w:pPr>
        <w:jc w:val="center"/>
        <w:rPr>
          <w:rFonts w:ascii="宋体" w:hAnsi="宋体" w:cs="宋体"/>
          <w:b/>
          <w:color w:val="000000" w:themeColor="text1"/>
          <w:kern w:val="0"/>
          <w:sz w:val="32"/>
          <w:szCs w:val="32"/>
          <w14:textFill>
            <w14:solidFill>
              <w14:schemeClr w14:val="tx1"/>
            </w14:solidFill>
          </w14:textFill>
        </w:rPr>
      </w:pPr>
    </w:p>
    <w:p w14:paraId="3B605AC1">
      <w:pPr>
        <w:jc w:val="center"/>
        <w:rPr>
          <w:rFonts w:ascii="宋体" w:hAnsi="宋体" w:cs="宋体"/>
          <w:b/>
          <w:color w:val="000000" w:themeColor="text1"/>
          <w:kern w:val="0"/>
          <w:sz w:val="32"/>
          <w:szCs w:val="32"/>
          <w14:textFill>
            <w14:solidFill>
              <w14:schemeClr w14:val="tx1"/>
            </w14:solidFill>
          </w14:textFill>
        </w:rPr>
      </w:pPr>
    </w:p>
    <w:p w14:paraId="44C62C61">
      <w:pPr>
        <w:snapToGrid w:val="0"/>
        <w:jc w:val="center"/>
        <w:outlineLvl w:val="2"/>
        <w:rPr>
          <w:rFonts w:ascii="宋体" w:hAnsi="宋体" w:cs="宋体"/>
          <w:b/>
          <w:bCs/>
          <w:color w:val="000000" w:themeColor="text1"/>
          <w:sz w:val="32"/>
          <w:szCs w:val="32"/>
          <w14:textFill>
            <w14:solidFill>
              <w14:schemeClr w14:val="tx1"/>
            </w14:solidFill>
          </w14:textFill>
        </w:rPr>
      </w:pPr>
      <w:bookmarkStart w:id="558" w:name="_Toc14345"/>
      <w:r>
        <w:rPr>
          <w:rFonts w:hint="eastAsia" w:ascii="宋体" w:hAnsi="宋体" w:cs="宋体"/>
          <w:b/>
          <w:bCs/>
          <w:color w:val="000000" w:themeColor="text1"/>
          <w:sz w:val="32"/>
          <w:szCs w:val="32"/>
          <w14:textFill>
            <w14:solidFill>
              <w14:schemeClr w14:val="tx1"/>
            </w14:solidFill>
          </w14:textFill>
        </w:rPr>
        <w:t>六、商务技术偏离表</w:t>
      </w:r>
      <w:bookmarkEnd w:id="558"/>
    </w:p>
    <w:tbl>
      <w:tblPr>
        <w:tblStyle w:val="6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3127F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BF61533">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序号</w:t>
            </w:r>
          </w:p>
        </w:tc>
        <w:tc>
          <w:tcPr>
            <w:tcW w:w="3683" w:type="dxa"/>
          </w:tcPr>
          <w:p w14:paraId="105643FE">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采购文件章节及具体内容</w:t>
            </w:r>
          </w:p>
        </w:tc>
        <w:tc>
          <w:tcPr>
            <w:tcW w:w="3546" w:type="dxa"/>
          </w:tcPr>
          <w:p w14:paraId="4CC2780B">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响应文件章节及具体内容</w:t>
            </w:r>
          </w:p>
        </w:tc>
        <w:tc>
          <w:tcPr>
            <w:tcW w:w="1276" w:type="dxa"/>
          </w:tcPr>
          <w:p w14:paraId="308F5222">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偏离说明</w:t>
            </w:r>
          </w:p>
        </w:tc>
      </w:tr>
      <w:tr w14:paraId="71B36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4D63313">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w:t>
            </w:r>
          </w:p>
        </w:tc>
        <w:tc>
          <w:tcPr>
            <w:tcW w:w="3683" w:type="dxa"/>
          </w:tcPr>
          <w:p w14:paraId="4410388B">
            <w:pPr>
              <w:jc w:val="center"/>
              <w:rPr>
                <w:rFonts w:ascii="宋体" w:hAnsi="宋体" w:cs="宋体"/>
                <w:b/>
                <w:color w:val="000000" w:themeColor="text1"/>
                <w:kern w:val="0"/>
                <w:sz w:val="32"/>
                <w:szCs w:val="32"/>
                <w14:textFill>
                  <w14:solidFill>
                    <w14:schemeClr w14:val="tx1"/>
                  </w14:solidFill>
                </w14:textFill>
              </w:rPr>
            </w:pPr>
          </w:p>
        </w:tc>
        <w:tc>
          <w:tcPr>
            <w:tcW w:w="3546" w:type="dxa"/>
          </w:tcPr>
          <w:p w14:paraId="4E5C9244">
            <w:pPr>
              <w:jc w:val="center"/>
              <w:rPr>
                <w:rFonts w:ascii="宋体" w:hAnsi="宋体" w:cs="宋体"/>
                <w:b/>
                <w:color w:val="000000" w:themeColor="text1"/>
                <w:kern w:val="0"/>
                <w:sz w:val="32"/>
                <w:szCs w:val="32"/>
                <w14:textFill>
                  <w14:solidFill>
                    <w14:schemeClr w14:val="tx1"/>
                  </w14:solidFill>
                </w14:textFill>
              </w:rPr>
            </w:pPr>
          </w:p>
        </w:tc>
        <w:tc>
          <w:tcPr>
            <w:tcW w:w="1276" w:type="dxa"/>
          </w:tcPr>
          <w:p w14:paraId="5417F7B1">
            <w:pPr>
              <w:jc w:val="center"/>
              <w:rPr>
                <w:rFonts w:ascii="宋体" w:hAnsi="宋体" w:cs="宋体"/>
                <w:b/>
                <w:color w:val="000000" w:themeColor="text1"/>
                <w:kern w:val="0"/>
                <w:sz w:val="32"/>
                <w:szCs w:val="32"/>
                <w14:textFill>
                  <w14:solidFill>
                    <w14:schemeClr w14:val="tx1"/>
                  </w14:solidFill>
                </w14:textFill>
              </w:rPr>
            </w:pPr>
          </w:p>
        </w:tc>
      </w:tr>
      <w:tr w14:paraId="132D7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5ABA366">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w:t>
            </w:r>
          </w:p>
        </w:tc>
        <w:tc>
          <w:tcPr>
            <w:tcW w:w="3683" w:type="dxa"/>
          </w:tcPr>
          <w:p w14:paraId="6DA868D3">
            <w:pPr>
              <w:jc w:val="center"/>
              <w:rPr>
                <w:rFonts w:ascii="宋体" w:hAnsi="宋体" w:cs="宋体"/>
                <w:b/>
                <w:color w:val="000000" w:themeColor="text1"/>
                <w:kern w:val="0"/>
                <w:sz w:val="32"/>
                <w:szCs w:val="32"/>
                <w14:textFill>
                  <w14:solidFill>
                    <w14:schemeClr w14:val="tx1"/>
                  </w14:solidFill>
                </w14:textFill>
              </w:rPr>
            </w:pPr>
          </w:p>
        </w:tc>
        <w:tc>
          <w:tcPr>
            <w:tcW w:w="3546" w:type="dxa"/>
          </w:tcPr>
          <w:p w14:paraId="0D2B6E8A">
            <w:pPr>
              <w:jc w:val="center"/>
              <w:rPr>
                <w:rFonts w:ascii="宋体" w:hAnsi="宋体" w:cs="宋体"/>
                <w:b/>
                <w:color w:val="000000" w:themeColor="text1"/>
                <w:kern w:val="0"/>
                <w:sz w:val="32"/>
                <w:szCs w:val="32"/>
                <w14:textFill>
                  <w14:solidFill>
                    <w14:schemeClr w14:val="tx1"/>
                  </w14:solidFill>
                </w14:textFill>
              </w:rPr>
            </w:pPr>
          </w:p>
        </w:tc>
        <w:tc>
          <w:tcPr>
            <w:tcW w:w="1276" w:type="dxa"/>
          </w:tcPr>
          <w:p w14:paraId="2ACB77D6">
            <w:pPr>
              <w:jc w:val="center"/>
              <w:rPr>
                <w:rFonts w:ascii="宋体" w:hAnsi="宋体" w:cs="宋体"/>
                <w:b/>
                <w:color w:val="000000" w:themeColor="text1"/>
                <w:kern w:val="0"/>
                <w:sz w:val="32"/>
                <w:szCs w:val="32"/>
                <w14:textFill>
                  <w14:solidFill>
                    <w14:schemeClr w14:val="tx1"/>
                  </w14:solidFill>
                </w14:textFill>
              </w:rPr>
            </w:pPr>
          </w:p>
        </w:tc>
      </w:tr>
      <w:tr w14:paraId="0EF92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DCBF269">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3683" w:type="dxa"/>
          </w:tcPr>
          <w:p w14:paraId="7E4CCF81">
            <w:pPr>
              <w:jc w:val="center"/>
              <w:rPr>
                <w:rFonts w:ascii="宋体" w:hAnsi="宋体" w:cs="宋体"/>
                <w:b/>
                <w:color w:val="000000" w:themeColor="text1"/>
                <w:kern w:val="0"/>
                <w:sz w:val="32"/>
                <w:szCs w:val="32"/>
                <w14:textFill>
                  <w14:solidFill>
                    <w14:schemeClr w14:val="tx1"/>
                  </w14:solidFill>
                </w14:textFill>
              </w:rPr>
            </w:pPr>
          </w:p>
        </w:tc>
        <w:tc>
          <w:tcPr>
            <w:tcW w:w="3546" w:type="dxa"/>
          </w:tcPr>
          <w:p w14:paraId="1210A24C">
            <w:pPr>
              <w:jc w:val="center"/>
              <w:rPr>
                <w:rFonts w:ascii="宋体" w:hAnsi="宋体" w:cs="宋体"/>
                <w:b/>
                <w:color w:val="000000" w:themeColor="text1"/>
                <w:kern w:val="0"/>
                <w:sz w:val="32"/>
                <w:szCs w:val="32"/>
                <w14:textFill>
                  <w14:solidFill>
                    <w14:schemeClr w14:val="tx1"/>
                  </w14:solidFill>
                </w14:textFill>
              </w:rPr>
            </w:pPr>
          </w:p>
        </w:tc>
        <w:tc>
          <w:tcPr>
            <w:tcW w:w="1276" w:type="dxa"/>
          </w:tcPr>
          <w:p w14:paraId="0246DF6C">
            <w:pPr>
              <w:jc w:val="center"/>
              <w:rPr>
                <w:rFonts w:ascii="宋体" w:hAnsi="宋体" w:cs="宋体"/>
                <w:b/>
                <w:color w:val="000000" w:themeColor="text1"/>
                <w:kern w:val="0"/>
                <w:sz w:val="32"/>
                <w:szCs w:val="32"/>
                <w14:textFill>
                  <w14:solidFill>
                    <w14:schemeClr w14:val="tx1"/>
                  </w14:solidFill>
                </w14:textFill>
              </w:rPr>
            </w:pPr>
          </w:p>
        </w:tc>
      </w:tr>
    </w:tbl>
    <w:p w14:paraId="739AFF50">
      <w:pPr>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供应商保证：除商务技术偏离表列出的偏离外，供应商响应采购文件的全部要求</w:t>
      </w:r>
    </w:p>
    <w:p w14:paraId="31E23A9E">
      <w:pPr>
        <w:jc w:val="center"/>
        <w:rPr>
          <w:rFonts w:ascii="宋体" w:hAnsi="宋体" w:cs="宋体"/>
          <w:b/>
          <w:color w:val="000000" w:themeColor="text1"/>
          <w:kern w:val="0"/>
          <w:sz w:val="32"/>
          <w:szCs w:val="32"/>
          <w14:textFill>
            <w14:solidFill>
              <w14:schemeClr w14:val="tx1"/>
            </w14:solidFill>
          </w14:textFill>
        </w:rPr>
      </w:pPr>
    </w:p>
    <w:p w14:paraId="6BF5E8E5">
      <w:pPr>
        <w:spacing w:line="360" w:lineRule="auto"/>
        <w:ind w:right="42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注：1.按本格式和要求提供。</w:t>
      </w:r>
    </w:p>
    <w:p w14:paraId="669E67E1">
      <w:pPr>
        <w:pStyle w:val="79"/>
        <w:ind w:firstLine="48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2.本表格所反映的偏离情况与“符合性审查资料”、“评标标准相应的商务技术资料”不一致的，以“符合性审查资料”、“评标标准相应的商务技术资料”为准。</w:t>
      </w:r>
    </w:p>
    <w:p w14:paraId="77AAC392">
      <w:pPr>
        <w:pStyle w:val="79"/>
        <w:ind w:firstLine="48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3.投标人须保证：除商务技术偏离表列出的偏离外，投标人响应招标文件的全部非实质性要求。</w:t>
      </w:r>
    </w:p>
    <w:p w14:paraId="798F4736">
      <w:pPr>
        <w:spacing w:line="360" w:lineRule="auto"/>
        <w:ind w:right="420"/>
        <w:rPr>
          <w:rFonts w:ascii="宋体" w:hAnsi="宋体" w:cs="宋体"/>
          <w:color w:val="000000" w:themeColor="text1"/>
          <w:sz w:val="24"/>
          <w14:textFill>
            <w14:solidFill>
              <w14:schemeClr w14:val="tx1"/>
            </w14:solidFill>
          </w14:textFill>
        </w:rPr>
      </w:pPr>
    </w:p>
    <w:p w14:paraId="59483F26">
      <w:pPr>
        <w:ind w:firstLine="1911" w:firstLineChars="595"/>
        <w:rPr>
          <w:rFonts w:ascii="宋体" w:hAnsi="宋体" w:cs="宋体"/>
          <w:b/>
          <w:bCs/>
          <w:color w:val="000000" w:themeColor="text1"/>
          <w:sz w:val="32"/>
          <w:szCs w:val="32"/>
          <w14:textFill>
            <w14:solidFill>
              <w14:schemeClr w14:val="tx1"/>
            </w14:solidFill>
          </w14:textFill>
        </w:rPr>
        <w:sectPr>
          <w:footerReference r:id="rId10" w:type="first"/>
          <w:footerReference r:id="rId9" w:type="default"/>
          <w:pgSz w:w="11906" w:h="16838"/>
          <w:pgMar w:top="1440" w:right="1080" w:bottom="1440" w:left="1080" w:header="851" w:footer="992" w:gutter="0"/>
          <w:cols w:space="720" w:num="1"/>
          <w:titlePg/>
          <w:docGrid w:linePitch="312" w:charSpace="0"/>
        </w:sectPr>
      </w:pPr>
    </w:p>
    <w:p w14:paraId="61A71BE2">
      <w:pPr>
        <w:snapToGrid w:val="0"/>
        <w:jc w:val="center"/>
        <w:outlineLvl w:val="2"/>
        <w:rPr>
          <w:rFonts w:ascii="宋体" w:hAnsi="宋体" w:cs="宋体"/>
          <w:b/>
          <w:color w:val="000000" w:themeColor="text1"/>
          <w:kern w:val="0"/>
          <w:sz w:val="32"/>
          <w:szCs w:val="32"/>
          <w14:textFill>
            <w14:solidFill>
              <w14:schemeClr w14:val="tx1"/>
            </w14:solidFill>
          </w14:textFill>
        </w:rPr>
      </w:pPr>
      <w:bookmarkStart w:id="559" w:name="_Toc5877"/>
      <w:r>
        <w:rPr>
          <w:rFonts w:hint="eastAsia" w:ascii="宋体" w:hAnsi="宋体" w:cs="宋体"/>
          <w:b/>
          <w:bCs/>
          <w:color w:val="000000" w:themeColor="text1"/>
          <w:sz w:val="32"/>
          <w:szCs w:val="32"/>
          <w14:textFill>
            <w14:solidFill>
              <w14:schemeClr w14:val="tx1"/>
            </w14:solidFill>
          </w14:textFill>
        </w:rPr>
        <w:t>七</w:t>
      </w:r>
      <w:r>
        <w:rPr>
          <w:rFonts w:hint="eastAsia" w:ascii="宋体" w:hAnsi="宋体" w:cs="宋体"/>
          <w:b/>
          <w:color w:val="000000" w:themeColor="text1"/>
          <w:kern w:val="0"/>
          <w:sz w:val="32"/>
          <w:szCs w:val="32"/>
          <w14:textFill>
            <w14:solidFill>
              <w14:schemeClr w14:val="tx1"/>
            </w14:solidFill>
          </w14:textFill>
        </w:rPr>
        <w:t>、</w:t>
      </w:r>
      <w:r>
        <w:rPr>
          <w:rFonts w:hint="eastAsia" w:ascii="宋体" w:hAnsi="宋体" w:cs="宋体"/>
          <w:b/>
          <w:color w:val="000000" w:themeColor="text1"/>
          <w:kern w:val="0"/>
          <w:sz w:val="32"/>
          <w:szCs w:val="32"/>
          <w:lang w:val="zh-CN"/>
          <w14:textFill>
            <w14:solidFill>
              <w14:schemeClr w14:val="tx1"/>
            </w14:solidFill>
          </w14:textFill>
        </w:rPr>
        <w:t>政府采购供应商廉洁自律承诺书</w:t>
      </w:r>
      <w:bookmarkEnd w:id="559"/>
    </w:p>
    <w:p w14:paraId="7E1FDED4">
      <w:pPr>
        <w:snapToGrid w:val="0"/>
        <w:spacing w:line="360" w:lineRule="auto"/>
        <w:rPr>
          <w:rFonts w:ascii="宋体" w:hAnsi="宋体" w:cs="宋体"/>
          <w:color w:val="000000" w:themeColor="text1"/>
          <w:sz w:val="24"/>
          <w14:textFill>
            <w14:solidFill>
              <w14:schemeClr w14:val="tx1"/>
            </w14:solidFill>
          </w14:textFill>
        </w:rPr>
      </w:pPr>
    </w:p>
    <w:p w14:paraId="3DEE182F">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浙江中医药大学、浙江豪圣建设项目管理有限公司</w:t>
      </w:r>
      <w:r>
        <w:rPr>
          <w:rFonts w:hint="eastAsia" w:ascii="宋体" w:hAnsi="宋体" w:cs="宋体"/>
          <w:color w:val="000000" w:themeColor="text1"/>
          <w:kern w:val="0"/>
          <w:sz w:val="24"/>
          <w:lang w:val="zh-CN"/>
          <w14:textFill>
            <w14:solidFill>
              <w14:schemeClr w14:val="tx1"/>
            </w14:solidFill>
          </w14:textFill>
        </w:rPr>
        <w:t>：</w:t>
      </w:r>
    </w:p>
    <w:p w14:paraId="1E623EAC">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我单位响应你</w:t>
      </w:r>
      <w:r>
        <w:rPr>
          <w:rFonts w:hint="eastAsia" w:ascii="宋体" w:hAnsi="宋体" w:cs="宋体"/>
          <w:color w:val="000000" w:themeColor="text1"/>
          <w:sz w:val="24"/>
          <w14:textFill>
            <w14:solidFill>
              <w14:schemeClr w14:val="tx1"/>
            </w14:solidFill>
          </w14:textFill>
        </w:rPr>
        <w:t>单位</w:t>
      </w:r>
      <w:r>
        <w:rPr>
          <w:rFonts w:hint="eastAsia" w:ascii="宋体" w:hAnsi="宋体" w:cs="宋体"/>
          <w:color w:val="000000" w:themeColor="text1"/>
          <w:kern w:val="0"/>
          <w:sz w:val="24"/>
          <w:lang w:val="zh-CN"/>
          <w14:textFill>
            <w14:solidFill>
              <w14:schemeClr w14:val="tx1"/>
            </w14:solidFill>
          </w14:textFill>
        </w:rPr>
        <w:t>项目招标要求参加投标。在这次投标过程中和中标后，我们将严格遵守国家法律法规要求，并郑重承诺：</w:t>
      </w:r>
    </w:p>
    <w:p w14:paraId="1C92A610">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一、不向项目有关人员及部门赠送礼金礼物、有价证券、回扣以及中介费、介绍费、咨询费等好处费； </w:t>
      </w:r>
    </w:p>
    <w:p w14:paraId="382815D8">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二、不为项目有关人员及部门报销应由你方单位或个人支付的费用； </w:t>
      </w:r>
    </w:p>
    <w:p w14:paraId="7F81D399">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三、不向项目有关人员及部门提供有可能影响公正的宴请和健身娱乐等活动； </w:t>
      </w:r>
    </w:p>
    <w:p w14:paraId="0D74C654">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四、不为项目有关人员及部门出国（境）、旅游等提供方便；</w:t>
      </w:r>
    </w:p>
    <w:p w14:paraId="2DFEFCCB">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五、不为项目有关人员个人装修住房、婚丧嫁娶、配偶子女工作安排等提供好处；</w:t>
      </w:r>
    </w:p>
    <w:p w14:paraId="45974FB4">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六、严格遵守《中华人民共和国政府采购法》《中华人民共和国招标投标法》《中华人民共和国民法典》等法律法规，诚实守信，合法经营，坚决抵制各种违法违纪行为。 </w:t>
      </w:r>
    </w:p>
    <w:p w14:paraId="207544F0">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3B5D8842">
      <w:pPr>
        <w:autoSpaceDE w:val="0"/>
        <w:autoSpaceDN w:val="0"/>
        <w:spacing w:line="360" w:lineRule="auto"/>
        <w:ind w:left="2"/>
        <w:jc w:val="left"/>
        <w:rPr>
          <w:rFonts w:ascii="宋体" w:hAnsi="宋体" w:cs="宋体"/>
          <w:color w:val="000000" w:themeColor="text1"/>
          <w:kern w:val="0"/>
          <w:sz w:val="24"/>
          <w:lang w:val="zh-CN"/>
          <w14:textFill>
            <w14:solidFill>
              <w14:schemeClr w14:val="tx1"/>
            </w14:solidFill>
          </w14:textFill>
        </w:rPr>
      </w:pPr>
    </w:p>
    <w:p w14:paraId="6A30F7C9">
      <w:pPr>
        <w:autoSpaceDE w:val="0"/>
        <w:autoSpaceDN w:val="0"/>
        <w:spacing w:line="360" w:lineRule="auto"/>
        <w:ind w:left="2"/>
        <w:jc w:val="left"/>
        <w:rPr>
          <w:rFonts w:ascii="宋体" w:hAnsi="宋体" w:cs="宋体"/>
          <w:color w:val="000000" w:themeColor="text1"/>
          <w:kern w:val="0"/>
          <w:sz w:val="24"/>
          <w:lang w:val="zh-CN"/>
          <w14:textFill>
            <w14:solidFill>
              <w14:schemeClr w14:val="tx1"/>
            </w14:solidFill>
          </w14:textFill>
        </w:rPr>
      </w:pPr>
    </w:p>
    <w:p w14:paraId="42A1A175">
      <w:pPr>
        <w:autoSpaceDE w:val="0"/>
        <w:autoSpaceDN w:val="0"/>
        <w:spacing w:line="360" w:lineRule="auto"/>
        <w:ind w:left="2"/>
        <w:jc w:val="left"/>
        <w:rPr>
          <w:rFonts w:ascii="宋体" w:hAnsi="宋体" w:cs="宋体"/>
          <w:color w:val="000000" w:themeColor="text1"/>
          <w:kern w:val="0"/>
          <w:sz w:val="24"/>
          <w:lang w:val="zh-CN"/>
          <w14:textFill>
            <w14:solidFill>
              <w14:schemeClr w14:val="tx1"/>
            </w14:solidFill>
          </w14:textFill>
        </w:rPr>
      </w:pPr>
    </w:p>
    <w:p w14:paraId="61583563">
      <w:pPr>
        <w:autoSpaceDE w:val="0"/>
        <w:autoSpaceDN w:val="0"/>
        <w:spacing w:line="360" w:lineRule="auto"/>
        <w:ind w:left="2" w:leftChars="1" w:right="1120" w:firstLine="4560" w:firstLineChars="19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供应商名称（</w:t>
      </w:r>
      <w:r>
        <w:rPr>
          <w:rFonts w:hint="eastAsia" w:ascii="宋体" w:hAnsi="宋体" w:cs="宋体"/>
          <w:color w:val="000000" w:themeColor="text1"/>
          <w:sz w:val="24"/>
          <w14:textFill>
            <w14:solidFill>
              <w14:schemeClr w14:val="tx1"/>
            </w14:solidFill>
          </w14:textFill>
        </w:rPr>
        <w:t>电子签名</w:t>
      </w:r>
      <w:r>
        <w:rPr>
          <w:rFonts w:hint="eastAsia" w:ascii="宋体" w:hAnsi="宋体" w:cs="宋体"/>
          <w:color w:val="000000" w:themeColor="text1"/>
          <w:kern w:val="0"/>
          <w:sz w:val="24"/>
          <w:lang w:val="zh-CN"/>
          <w14:textFill>
            <w14:solidFill>
              <w14:schemeClr w14:val="tx1"/>
            </w14:solidFill>
          </w14:textFill>
        </w:rPr>
        <w:t xml:space="preserve">）：                                                                                                                                                                                                               </w:t>
      </w:r>
    </w:p>
    <w:p w14:paraId="1EE1B271">
      <w:pPr>
        <w:spacing w:line="360" w:lineRule="auto"/>
        <w:ind w:left="4620" w:leftChars="2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日期</w:t>
      </w:r>
      <w:r>
        <w:rPr>
          <w:rFonts w:hint="eastAsia" w:ascii="宋体" w:hAnsi="宋体" w:cs="宋体"/>
          <w:color w:val="000000" w:themeColor="text1"/>
          <w:kern w:val="0"/>
          <w:sz w:val="24"/>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 xml:space="preserve">   年   月   日</w:t>
      </w:r>
    </w:p>
    <w:p w14:paraId="79615276">
      <w:pPr>
        <w:spacing w:line="360" w:lineRule="auto"/>
        <w:jc w:val="center"/>
        <w:rPr>
          <w:rFonts w:ascii="宋体" w:hAnsi="宋体" w:cs="宋体"/>
          <w:b/>
          <w:bCs/>
          <w:color w:val="000000" w:themeColor="text1"/>
          <w:sz w:val="24"/>
          <w14:textFill>
            <w14:solidFill>
              <w14:schemeClr w14:val="tx1"/>
            </w14:solidFill>
          </w14:textFill>
        </w:rPr>
      </w:pPr>
    </w:p>
    <w:p w14:paraId="18CDE506">
      <w:pPr>
        <w:spacing w:line="360" w:lineRule="auto"/>
        <w:ind w:right="42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注：按本格式和要求提供。</w:t>
      </w:r>
    </w:p>
    <w:p w14:paraId="2C2CDC61">
      <w:pPr>
        <w:spacing w:line="360" w:lineRule="auto"/>
        <w:jc w:val="center"/>
        <w:rPr>
          <w:rFonts w:ascii="宋体" w:hAnsi="宋体" w:cs="宋体"/>
          <w:b/>
          <w:bCs/>
          <w:color w:val="000000" w:themeColor="text1"/>
          <w:sz w:val="24"/>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5B8F6F1F">
      <w:pPr>
        <w:spacing w:line="360" w:lineRule="auto"/>
        <w:jc w:val="center"/>
        <w:outlineLvl w:val="1"/>
        <w:rPr>
          <w:rFonts w:ascii="宋体" w:hAnsi="宋体" w:cs="宋体"/>
          <w:b/>
          <w:color w:val="000000" w:themeColor="text1"/>
          <w:kern w:val="0"/>
          <w:sz w:val="36"/>
          <w:szCs w:val="36"/>
          <w14:textFill>
            <w14:solidFill>
              <w14:schemeClr w14:val="tx1"/>
            </w14:solidFill>
          </w14:textFill>
        </w:rPr>
      </w:pPr>
      <w:bookmarkStart w:id="560" w:name="_Toc16346"/>
      <w:r>
        <w:rPr>
          <w:rFonts w:hint="eastAsia" w:ascii="宋体" w:hAnsi="宋体" w:cs="宋体"/>
          <w:b/>
          <w:color w:val="000000" w:themeColor="text1"/>
          <w:kern w:val="0"/>
          <w:sz w:val="36"/>
          <w:szCs w:val="36"/>
          <w14:textFill>
            <w14:solidFill>
              <w14:schemeClr w14:val="tx1"/>
            </w14:solidFill>
          </w14:textFill>
        </w:rPr>
        <w:t>报价文件部分</w:t>
      </w:r>
      <w:bookmarkEnd w:id="560"/>
    </w:p>
    <w:p w14:paraId="4F4EA766">
      <w:pPr>
        <w:spacing w:line="360" w:lineRule="auto"/>
        <w:jc w:val="center"/>
        <w:rPr>
          <w:rFonts w:ascii="宋体" w:hAnsi="宋体" w:cs="宋体"/>
          <w:b/>
          <w:color w:val="000000" w:themeColor="text1"/>
          <w:kern w:val="0"/>
          <w:sz w:val="36"/>
          <w:szCs w:val="36"/>
          <w14:textFill>
            <w14:solidFill>
              <w14:schemeClr w14:val="tx1"/>
            </w14:solidFill>
          </w14:textFill>
        </w:rPr>
      </w:pPr>
      <w:r>
        <w:rPr>
          <w:rFonts w:hint="eastAsia" w:ascii="宋体" w:hAnsi="宋体" w:cs="宋体"/>
          <w:b/>
          <w:color w:val="000000" w:themeColor="text1"/>
          <w:kern w:val="0"/>
          <w:sz w:val="36"/>
          <w:szCs w:val="36"/>
          <w14:textFill>
            <w14:solidFill>
              <w14:schemeClr w14:val="tx1"/>
            </w14:solidFill>
          </w14:textFill>
        </w:rPr>
        <w:t>目录</w:t>
      </w:r>
    </w:p>
    <w:p w14:paraId="5743F52E">
      <w:pPr>
        <w:spacing w:line="360" w:lineRule="auto"/>
        <w:jc w:val="center"/>
        <w:rPr>
          <w:rFonts w:ascii="宋体" w:hAnsi="宋体" w:cs="宋体"/>
          <w:b/>
          <w:color w:val="000000" w:themeColor="text1"/>
          <w:kern w:val="0"/>
          <w:sz w:val="36"/>
          <w:szCs w:val="36"/>
          <w14:textFill>
            <w14:solidFill>
              <w14:schemeClr w14:val="tx1"/>
            </w14:solidFill>
          </w14:textFill>
        </w:rPr>
      </w:pPr>
    </w:p>
    <w:p w14:paraId="12AB2C2A">
      <w:pPr>
        <w:numPr>
          <w:ilvl w:val="0"/>
          <w:numId w:val="4"/>
        </w:numPr>
        <w:snapToGrid w:val="0"/>
        <w:spacing w:line="360" w:lineRule="auto"/>
        <w:rPr>
          <w:rFonts w:ascii="宋体" w:hAnsi="宋体" w:cs="宋体"/>
          <w:sz w:val="24"/>
        </w:rPr>
      </w:pPr>
      <w:r>
        <w:rPr>
          <w:rFonts w:hint="eastAsia" w:ascii="宋体" w:hAnsi="宋体" w:cs="宋体"/>
          <w:sz w:val="24"/>
        </w:rPr>
        <w:t>报价单…………………………………………………………………………（页码）</w:t>
      </w:r>
    </w:p>
    <w:p w14:paraId="5E52B307">
      <w:pPr>
        <w:snapToGrid w:val="0"/>
        <w:spacing w:line="360" w:lineRule="auto"/>
        <w:rPr>
          <w:rFonts w:ascii="宋体" w:hAnsi="宋体" w:cs="宋体"/>
          <w:sz w:val="24"/>
        </w:rPr>
      </w:pPr>
      <w:r>
        <w:rPr>
          <w:rFonts w:hint="eastAsia" w:ascii="宋体" w:hAnsi="宋体" w:cs="宋体"/>
          <w:color w:val="000000" w:themeColor="text1"/>
          <w:sz w:val="24"/>
          <w14:textFill>
            <w14:solidFill>
              <w14:schemeClr w14:val="tx1"/>
            </w14:solidFill>
          </w14:textFill>
        </w:rPr>
        <w:t>（2）已标价工</w:t>
      </w:r>
      <w:r>
        <w:rPr>
          <w:rFonts w:hint="eastAsia" w:ascii="宋体" w:hAnsi="宋体" w:cs="宋体"/>
          <w:sz w:val="24"/>
        </w:rPr>
        <w:t>程量清单……………………………………………………………（页码）</w:t>
      </w:r>
    </w:p>
    <w:p w14:paraId="12EFF0D9">
      <w:pPr>
        <w:pStyle w:val="80"/>
        <w:rPr>
          <w:color w:val="000000" w:themeColor="text1"/>
          <w14:textFill>
            <w14:solidFill>
              <w14:schemeClr w14:val="tx1"/>
            </w14:solidFill>
          </w14:textFill>
        </w:rPr>
      </w:pPr>
    </w:p>
    <w:p w14:paraId="0AE0605B">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78050252">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3BBBE2A6">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597EC8A7">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4BADF5A0">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019F94D0">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3320E286">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491133F3">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51F95AEA">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5CF0AC79">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4E2567AD">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290FA01B">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535E209D">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3AF5B481">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0F8D1CB0">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0C11F79E">
      <w:pPr>
        <w:pStyle w:val="695"/>
        <w:keepNext w:val="0"/>
        <w:pageBreakBefore w:val="0"/>
        <w:tabs>
          <w:tab w:val="clear" w:pos="720"/>
        </w:tabs>
        <w:snapToGrid w:val="0"/>
        <w:spacing w:before="120" w:after="120"/>
        <w:ind w:firstLine="643"/>
        <w:outlineLvl w:val="9"/>
        <w:rPr>
          <w:rFonts w:ascii="宋体" w:hAnsi="宋体" w:eastAsia="宋体" w:cs="宋体"/>
          <w:color w:val="000000" w:themeColor="text1"/>
          <w:kern w:val="2"/>
          <w:sz w:val="32"/>
          <w:szCs w:val="32"/>
          <w14:textFill>
            <w14:solidFill>
              <w14:schemeClr w14:val="tx1"/>
            </w14:solidFill>
          </w14:textFill>
        </w:rPr>
        <w:sectPr>
          <w:footerReference r:id="rId13" w:type="first"/>
          <w:headerReference r:id="rId11" w:type="default"/>
          <w:footerReference r:id="rId12" w:type="default"/>
          <w:pgSz w:w="11906" w:h="16838"/>
          <w:pgMar w:top="1440" w:right="1080" w:bottom="1440" w:left="1080" w:header="851" w:footer="992" w:gutter="0"/>
          <w:cols w:space="720" w:num="1"/>
          <w:titlePg/>
          <w:docGrid w:linePitch="312" w:charSpace="0"/>
        </w:sectPr>
      </w:pPr>
    </w:p>
    <w:p w14:paraId="14734239">
      <w:pPr>
        <w:pStyle w:val="695"/>
        <w:keepNext w:val="0"/>
        <w:pageBreakBefore w:val="0"/>
        <w:tabs>
          <w:tab w:val="clear" w:pos="720"/>
        </w:tabs>
        <w:snapToGrid w:val="0"/>
        <w:spacing w:before="120" w:after="120"/>
        <w:outlineLvl w:val="9"/>
        <w:rPr>
          <w:rFonts w:ascii="宋体" w:hAnsi="宋体" w:eastAsia="宋体" w:cs="宋体"/>
          <w:color w:val="000000" w:themeColor="text1"/>
          <w:kern w:val="2"/>
          <w:sz w:val="32"/>
          <w:szCs w:val="32"/>
          <w14:textFill>
            <w14:solidFill>
              <w14:schemeClr w14:val="tx1"/>
            </w14:solidFill>
          </w14:textFill>
        </w:rPr>
      </w:pPr>
      <w:r>
        <w:rPr>
          <w:rFonts w:hint="eastAsia" w:ascii="宋体" w:hAnsi="宋体" w:eastAsia="宋体" w:cs="宋体"/>
          <w:color w:val="000000" w:themeColor="text1"/>
          <w:kern w:val="2"/>
          <w:sz w:val="32"/>
          <w:szCs w:val="32"/>
          <w14:textFill>
            <w14:solidFill>
              <w14:schemeClr w14:val="tx1"/>
            </w14:solidFill>
          </w14:textFill>
        </w:rPr>
        <w:t>一、报价单</w:t>
      </w:r>
    </w:p>
    <w:p w14:paraId="6BF42318">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浙江中医药大学、浙江豪圣建设项目管理有限公司</w:t>
      </w:r>
      <w:r>
        <w:rPr>
          <w:rFonts w:hint="eastAsia" w:ascii="宋体" w:hAnsi="宋体" w:cs="宋体"/>
          <w:color w:val="000000" w:themeColor="text1"/>
          <w:kern w:val="0"/>
          <w:sz w:val="24"/>
          <w:lang w:val="zh-CN"/>
          <w14:textFill>
            <w14:solidFill>
              <w14:schemeClr w14:val="tx1"/>
            </w14:solidFill>
          </w14:textFill>
        </w:rPr>
        <w:t>：</w:t>
      </w:r>
    </w:p>
    <w:p w14:paraId="1FE2BCDF">
      <w:pPr>
        <w:snapToGrid w:val="0"/>
        <w:spacing w:line="360" w:lineRule="auto"/>
        <w:ind w:firstLine="482"/>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按你方采购文件要求，我们，本响应文件签字方，谨此向你方发出要约如下：如你方接受本投标，我方承诺按照如下报价单的价格完成</w:t>
      </w:r>
      <w:r>
        <w:rPr>
          <w:rFonts w:hint="eastAsia" w:ascii="宋体" w:hAnsi="宋体" w:cs="宋体"/>
          <w:color w:val="000000" w:themeColor="text1"/>
          <w:sz w:val="24"/>
          <w14:textFill>
            <w14:solidFill>
              <w14:schemeClr w14:val="tx1"/>
            </w14:solidFill>
          </w14:textFill>
        </w:rPr>
        <w:t>浙江中医药大学富春校区体育场地修缮工程</w:t>
      </w:r>
      <w:r>
        <w:rPr>
          <w:rFonts w:hint="eastAsia" w:ascii="宋体" w:hAnsi="宋体" w:cs="宋体"/>
          <w:color w:val="000000" w:themeColor="text1"/>
          <w:kern w:val="0"/>
          <w:sz w:val="24"/>
          <w:lang w:val="zh-CN"/>
          <w14:textFill>
            <w14:solidFill>
              <w14:schemeClr w14:val="tx1"/>
            </w14:solidFill>
          </w14:textFill>
        </w:rPr>
        <w:t>【项目编号：</w:t>
      </w:r>
      <w:r>
        <w:rPr>
          <w:rFonts w:hint="eastAsia" w:ascii="宋体" w:hAnsi="宋体" w:cs="宋体"/>
          <w:color w:val="000000" w:themeColor="text1"/>
          <w:sz w:val="24"/>
          <w14:textFill>
            <w14:solidFill>
              <w14:schemeClr w14:val="tx1"/>
            </w14:solidFill>
          </w14:textFill>
        </w:rPr>
        <w:t>HSZB-2025-512】的实施</w:t>
      </w:r>
      <w:r>
        <w:rPr>
          <w:rFonts w:hint="eastAsia" w:ascii="宋体" w:hAnsi="宋体" w:cs="宋体"/>
          <w:color w:val="000000" w:themeColor="text1"/>
          <w:kern w:val="0"/>
          <w:sz w:val="24"/>
          <w:lang w:val="zh-CN"/>
          <w14:textFill>
            <w14:solidFill>
              <w14:schemeClr w14:val="tx1"/>
            </w14:solidFill>
          </w14:textFill>
        </w:rPr>
        <w:t>。</w:t>
      </w:r>
    </w:p>
    <w:p w14:paraId="67396564">
      <w:pPr>
        <w:spacing w:line="360" w:lineRule="auto"/>
        <w:jc w:val="center"/>
        <w:rPr>
          <w:rFonts w:ascii="宋体" w:hAnsi="宋体" w:cs="宋体"/>
          <w:b/>
          <w:color w:val="000000" w:themeColor="text1"/>
          <w:kern w:val="0"/>
          <w:sz w:val="24"/>
          <w:lang w:val="zh-CN"/>
          <w14:textFill>
            <w14:solidFill>
              <w14:schemeClr w14:val="tx1"/>
            </w14:solidFill>
          </w14:textFill>
        </w:rPr>
      </w:pPr>
      <w:r>
        <w:rPr>
          <w:rFonts w:hint="eastAsia" w:ascii="宋体" w:hAnsi="宋体" w:cs="宋体"/>
          <w:b/>
          <w:color w:val="000000" w:themeColor="text1"/>
          <w:kern w:val="0"/>
          <w:sz w:val="24"/>
          <w:lang w:val="zh-CN"/>
          <w14:textFill>
            <w14:solidFill>
              <w14:schemeClr w14:val="tx1"/>
            </w14:solidFill>
          </w14:textFill>
        </w:rPr>
        <w:t>报价</w:t>
      </w:r>
      <w:r>
        <w:rPr>
          <w:rFonts w:hint="eastAsia" w:ascii="宋体" w:hAnsi="宋体" w:cs="宋体"/>
          <w:b/>
          <w:color w:val="000000" w:themeColor="text1"/>
          <w:kern w:val="0"/>
          <w:sz w:val="24"/>
          <w14:textFill>
            <w14:solidFill>
              <w14:schemeClr w14:val="tx1"/>
            </w14:solidFill>
          </w14:textFill>
        </w:rPr>
        <w:t>单</w:t>
      </w:r>
    </w:p>
    <w:tbl>
      <w:tblPr>
        <w:tblStyle w:val="62"/>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1550"/>
        <w:gridCol w:w="1841"/>
        <w:gridCol w:w="1744"/>
        <w:gridCol w:w="1742"/>
        <w:gridCol w:w="1744"/>
      </w:tblGrid>
      <w:tr w14:paraId="2DE8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668" w:type="pct"/>
            <w:vAlign w:val="center"/>
          </w:tcPr>
          <w:p w14:paraId="102E3F91">
            <w:pPr>
              <w:jc w:val="center"/>
              <w:rPr>
                <w:rFonts w:ascii="宋体" w:hAnsi="宋体" w:cs="宋体"/>
                <w:b/>
                <w:sz w:val="24"/>
              </w:rPr>
            </w:pPr>
            <w:r>
              <w:rPr>
                <w:rFonts w:hint="eastAsia" w:ascii="宋体" w:hAnsi="宋体" w:cs="宋体"/>
                <w:b/>
                <w:sz w:val="24"/>
              </w:rPr>
              <w:t>项目名称</w:t>
            </w:r>
          </w:p>
        </w:tc>
        <w:tc>
          <w:tcPr>
            <w:tcW w:w="779" w:type="pct"/>
            <w:vAlign w:val="center"/>
          </w:tcPr>
          <w:p w14:paraId="6CB09F43">
            <w:pPr>
              <w:jc w:val="center"/>
              <w:rPr>
                <w:rFonts w:ascii="宋体" w:hAnsi="宋体" w:cs="宋体"/>
                <w:b/>
                <w:sz w:val="24"/>
              </w:rPr>
            </w:pPr>
            <w:r>
              <w:rPr>
                <w:rFonts w:hint="eastAsia" w:ascii="宋体" w:hAnsi="宋体" w:cs="宋体"/>
                <w:b/>
                <w:sz w:val="24"/>
              </w:rPr>
              <w:t>施工范围</w:t>
            </w:r>
          </w:p>
        </w:tc>
        <w:tc>
          <w:tcPr>
            <w:tcW w:w="924" w:type="pct"/>
            <w:vAlign w:val="center"/>
          </w:tcPr>
          <w:p w14:paraId="68BA3BAD">
            <w:pPr>
              <w:jc w:val="center"/>
              <w:rPr>
                <w:rFonts w:ascii="宋体" w:hAnsi="宋体" w:cs="宋体"/>
                <w:b/>
                <w:sz w:val="24"/>
              </w:rPr>
            </w:pPr>
            <w:r>
              <w:rPr>
                <w:rFonts w:hint="eastAsia" w:ascii="宋体" w:hAnsi="宋体" w:cs="宋体"/>
                <w:b/>
                <w:sz w:val="24"/>
              </w:rPr>
              <w:t>施工工期</w:t>
            </w:r>
          </w:p>
        </w:tc>
        <w:tc>
          <w:tcPr>
            <w:tcW w:w="876" w:type="pct"/>
            <w:vAlign w:val="center"/>
          </w:tcPr>
          <w:p w14:paraId="6CE09475">
            <w:pPr>
              <w:jc w:val="center"/>
              <w:rPr>
                <w:rFonts w:ascii="宋体" w:hAnsi="宋体" w:cs="宋体"/>
                <w:b/>
                <w:sz w:val="24"/>
              </w:rPr>
            </w:pPr>
            <w:r>
              <w:rPr>
                <w:rFonts w:hint="eastAsia" w:ascii="宋体" w:hAnsi="宋体" w:cs="宋体"/>
                <w:b/>
                <w:sz w:val="24"/>
              </w:rPr>
              <w:t>项目经理</w:t>
            </w:r>
          </w:p>
        </w:tc>
        <w:tc>
          <w:tcPr>
            <w:tcW w:w="875" w:type="pct"/>
            <w:vAlign w:val="center"/>
          </w:tcPr>
          <w:p w14:paraId="5A458841">
            <w:pPr>
              <w:jc w:val="center"/>
              <w:rPr>
                <w:rFonts w:ascii="宋体" w:hAnsi="宋体" w:cs="宋体"/>
                <w:b/>
                <w:sz w:val="24"/>
              </w:rPr>
            </w:pPr>
            <w:r>
              <w:rPr>
                <w:rFonts w:hint="eastAsia" w:ascii="宋体" w:hAnsi="宋体" w:cs="宋体"/>
                <w:b/>
                <w:sz w:val="24"/>
              </w:rPr>
              <w:t>执业证书信息</w:t>
            </w:r>
          </w:p>
        </w:tc>
        <w:tc>
          <w:tcPr>
            <w:tcW w:w="876" w:type="pct"/>
            <w:vAlign w:val="center"/>
          </w:tcPr>
          <w:p w14:paraId="392768F2">
            <w:pPr>
              <w:jc w:val="center"/>
              <w:rPr>
                <w:rFonts w:ascii="宋体" w:hAnsi="宋体" w:cs="宋体"/>
                <w:b/>
                <w:sz w:val="24"/>
              </w:rPr>
            </w:pPr>
          </w:p>
          <w:p w14:paraId="5B38705D">
            <w:pPr>
              <w:jc w:val="center"/>
              <w:rPr>
                <w:rFonts w:ascii="宋体" w:hAnsi="宋体" w:cs="宋体"/>
                <w:b/>
                <w:sz w:val="24"/>
              </w:rPr>
            </w:pPr>
            <w:r>
              <w:rPr>
                <w:rFonts w:hint="eastAsia" w:ascii="宋体" w:hAnsi="宋体" w:cs="宋体"/>
                <w:b/>
                <w:sz w:val="24"/>
              </w:rPr>
              <w:t>备注（如果有）</w:t>
            </w:r>
          </w:p>
          <w:p w14:paraId="541A9006">
            <w:pPr>
              <w:jc w:val="center"/>
              <w:rPr>
                <w:rFonts w:ascii="宋体" w:hAnsi="宋体" w:cs="宋体"/>
                <w:b/>
                <w:sz w:val="24"/>
              </w:rPr>
            </w:pPr>
          </w:p>
        </w:tc>
      </w:tr>
      <w:tr w14:paraId="7D49F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68" w:type="pct"/>
            <w:vAlign w:val="center"/>
          </w:tcPr>
          <w:p w14:paraId="4F4AF8FD">
            <w:pPr>
              <w:snapToGrid w:val="0"/>
              <w:jc w:val="center"/>
              <w:rPr>
                <w:rFonts w:ascii="宋体" w:hAnsi="宋体" w:cs="宋体"/>
                <w:sz w:val="24"/>
              </w:rPr>
            </w:pPr>
          </w:p>
        </w:tc>
        <w:tc>
          <w:tcPr>
            <w:tcW w:w="779" w:type="pct"/>
            <w:vAlign w:val="center"/>
          </w:tcPr>
          <w:p w14:paraId="07A642C5">
            <w:pPr>
              <w:snapToGrid w:val="0"/>
              <w:jc w:val="center"/>
              <w:rPr>
                <w:rFonts w:ascii="宋体" w:hAnsi="宋体" w:cs="宋体"/>
                <w:sz w:val="24"/>
              </w:rPr>
            </w:pPr>
          </w:p>
        </w:tc>
        <w:tc>
          <w:tcPr>
            <w:tcW w:w="924" w:type="pct"/>
            <w:vAlign w:val="center"/>
          </w:tcPr>
          <w:p w14:paraId="36A0DE2A">
            <w:pPr>
              <w:snapToGrid w:val="0"/>
              <w:jc w:val="center"/>
              <w:rPr>
                <w:rFonts w:ascii="宋体" w:hAnsi="宋体" w:cs="宋体"/>
                <w:sz w:val="24"/>
              </w:rPr>
            </w:pPr>
          </w:p>
        </w:tc>
        <w:tc>
          <w:tcPr>
            <w:tcW w:w="876" w:type="pct"/>
            <w:vAlign w:val="center"/>
          </w:tcPr>
          <w:p w14:paraId="7CCCD55E">
            <w:pPr>
              <w:jc w:val="center"/>
              <w:rPr>
                <w:rFonts w:ascii="宋体" w:hAnsi="宋体" w:cs="宋体"/>
                <w:sz w:val="24"/>
              </w:rPr>
            </w:pPr>
          </w:p>
        </w:tc>
        <w:tc>
          <w:tcPr>
            <w:tcW w:w="875" w:type="pct"/>
            <w:vAlign w:val="center"/>
          </w:tcPr>
          <w:p w14:paraId="461BD4B2">
            <w:pPr>
              <w:jc w:val="center"/>
              <w:rPr>
                <w:rFonts w:ascii="宋体" w:hAnsi="宋体" w:cs="宋体"/>
                <w:sz w:val="24"/>
              </w:rPr>
            </w:pPr>
          </w:p>
        </w:tc>
        <w:tc>
          <w:tcPr>
            <w:tcW w:w="876" w:type="pct"/>
            <w:vAlign w:val="center"/>
          </w:tcPr>
          <w:p w14:paraId="39143CD6">
            <w:pPr>
              <w:jc w:val="center"/>
              <w:rPr>
                <w:rFonts w:ascii="宋体" w:hAnsi="宋体" w:cs="宋体"/>
                <w:sz w:val="24"/>
              </w:rPr>
            </w:pPr>
          </w:p>
        </w:tc>
      </w:tr>
      <w:tr w14:paraId="62C98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2372" w:type="pct"/>
            <w:gridSpan w:val="3"/>
            <w:vAlign w:val="center"/>
          </w:tcPr>
          <w:p w14:paraId="2261659E">
            <w:pPr>
              <w:jc w:val="center"/>
              <w:rPr>
                <w:rFonts w:ascii="宋体" w:hAnsi="宋体" w:cs="宋体"/>
                <w:b/>
                <w:sz w:val="24"/>
              </w:rPr>
            </w:pPr>
            <w:r>
              <w:rPr>
                <w:rFonts w:hint="eastAsia" w:ascii="宋体" w:hAnsi="宋体" w:cs="宋体"/>
                <w:b/>
                <w:sz w:val="24"/>
              </w:rPr>
              <w:t>磋商报价（小写）</w:t>
            </w:r>
          </w:p>
        </w:tc>
        <w:tc>
          <w:tcPr>
            <w:tcW w:w="2627" w:type="pct"/>
            <w:gridSpan w:val="3"/>
            <w:vAlign w:val="center"/>
          </w:tcPr>
          <w:p w14:paraId="26448B8E">
            <w:pPr>
              <w:jc w:val="center"/>
              <w:rPr>
                <w:rFonts w:ascii="宋体" w:hAnsi="宋体" w:cs="宋体"/>
                <w:sz w:val="24"/>
              </w:rPr>
            </w:pPr>
          </w:p>
        </w:tc>
      </w:tr>
      <w:tr w14:paraId="4B721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2372" w:type="pct"/>
            <w:gridSpan w:val="3"/>
            <w:vAlign w:val="center"/>
          </w:tcPr>
          <w:p w14:paraId="5D17E1E4">
            <w:pPr>
              <w:jc w:val="center"/>
              <w:rPr>
                <w:rFonts w:ascii="宋体" w:hAnsi="宋体" w:cs="宋体"/>
                <w:b/>
                <w:sz w:val="24"/>
              </w:rPr>
            </w:pPr>
            <w:r>
              <w:rPr>
                <w:rFonts w:hint="eastAsia" w:ascii="宋体" w:hAnsi="宋体" w:cs="宋体"/>
                <w:b/>
                <w:sz w:val="24"/>
              </w:rPr>
              <w:t>磋商报价（大写）</w:t>
            </w:r>
          </w:p>
        </w:tc>
        <w:tc>
          <w:tcPr>
            <w:tcW w:w="2627" w:type="pct"/>
            <w:gridSpan w:val="3"/>
            <w:vAlign w:val="center"/>
          </w:tcPr>
          <w:p w14:paraId="3A26E18B">
            <w:pPr>
              <w:jc w:val="center"/>
              <w:rPr>
                <w:rFonts w:ascii="宋体" w:hAnsi="宋体" w:cs="宋体"/>
                <w:sz w:val="24"/>
              </w:rPr>
            </w:pPr>
          </w:p>
        </w:tc>
      </w:tr>
    </w:tbl>
    <w:p w14:paraId="36179C4D">
      <w:pPr>
        <w:snapToGrid w:val="0"/>
        <w:spacing w:line="360" w:lineRule="auto"/>
        <w:ind w:left="480"/>
        <w:rPr>
          <w:rFonts w:ascii="宋体" w:hAnsi="宋体" w:cs="宋体"/>
          <w:b/>
          <w:color w:val="000000" w:themeColor="text1"/>
          <w:kern w:val="0"/>
          <w:sz w:val="24"/>
          <w:lang w:val="zh-CN"/>
          <w14:textFill>
            <w14:solidFill>
              <w14:schemeClr w14:val="tx1"/>
            </w14:solidFill>
          </w14:textFill>
        </w:rPr>
      </w:pPr>
    </w:p>
    <w:p w14:paraId="0A5ADB51">
      <w:pPr>
        <w:spacing w:line="360" w:lineRule="auto"/>
        <w:ind w:left="-2" w:leftChars="-1" w:firstLine="482" w:firstLineChars="200"/>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注：</w:t>
      </w:r>
    </w:p>
    <w:p w14:paraId="2F304919">
      <w:pPr>
        <w:spacing w:line="360" w:lineRule="auto"/>
        <w:ind w:left="-2" w:leftChars="-1"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1、供应商需按本表格式填写</w:t>
      </w:r>
      <w:r>
        <w:rPr>
          <w:rFonts w:hint="eastAsia" w:ascii="宋体" w:hAnsi="宋体" w:cs="宋体"/>
          <w:b/>
          <w:color w:val="000000" w:themeColor="text1"/>
          <w:kern w:val="0"/>
          <w:sz w:val="24"/>
          <w:lang w:val="zh-CN"/>
          <w14:textFill>
            <w14:solidFill>
              <w14:schemeClr w14:val="tx1"/>
            </w14:solidFill>
          </w14:textFill>
        </w:rPr>
        <w:t>，</w:t>
      </w:r>
      <w:r>
        <w:rPr>
          <w:rFonts w:hint="eastAsia" w:ascii="宋体" w:hAnsi="宋体" w:cs="宋体"/>
          <w:b/>
          <w:color w:val="000000" w:themeColor="text1"/>
          <w:kern w:val="0"/>
          <w:sz w:val="24"/>
          <w14:textFill>
            <w14:solidFill>
              <w14:schemeClr w14:val="tx1"/>
            </w14:solidFill>
          </w14:textFill>
        </w:rPr>
        <w:t>否则视为</w:t>
      </w:r>
      <w:r>
        <w:rPr>
          <w:rFonts w:hint="eastAsia" w:ascii="宋体" w:hAnsi="宋体" w:cs="宋体"/>
          <w:b/>
          <w:color w:val="000000" w:themeColor="text1"/>
          <w:sz w:val="24"/>
          <w14:textFill>
            <w14:solidFill>
              <w14:schemeClr w14:val="tx1"/>
            </w14:solidFill>
          </w14:textFill>
        </w:rPr>
        <w:t>响应文件含有采购人不能接受的附加条件，响应文件无效</w:t>
      </w:r>
      <w:r>
        <w:rPr>
          <w:rFonts w:hint="eastAsia" w:ascii="宋体" w:hAnsi="宋体" w:cs="宋体"/>
          <w:b/>
          <w:color w:val="000000" w:themeColor="text1"/>
          <w:kern w:val="0"/>
          <w:sz w:val="24"/>
          <w:lang w:val="zh-CN"/>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w:t>
      </w:r>
    </w:p>
    <w:p w14:paraId="7EAFF76B">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2、有关本项目实施所涉及的一切费用均计入报价。</w:t>
      </w:r>
      <w:r>
        <w:rPr>
          <w:rFonts w:hint="eastAsia" w:ascii="宋体" w:hAnsi="宋体" w:cs="宋体"/>
          <w:color w:val="000000" w:themeColor="text1"/>
          <w:kern w:val="0"/>
          <w:sz w:val="24"/>
          <w14:textFill>
            <w14:solidFill>
              <w14:schemeClr w14:val="tx1"/>
            </w14:solidFill>
          </w14:textFill>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总价不为零，部分产品、服务单价为零的，视作已包含在总价中。</w:t>
      </w:r>
      <w:r>
        <w:rPr>
          <w:rFonts w:hint="eastAsia" w:ascii="宋体" w:hAnsi="宋体" w:cs="宋体"/>
          <w:b/>
          <w:color w:val="000000" w:themeColor="text1"/>
          <w:kern w:val="0"/>
          <w:sz w:val="24"/>
          <w:lang w:val="zh-CN"/>
          <w14:textFill>
            <w14:solidFill>
              <w14:schemeClr w14:val="tx1"/>
            </w14:solidFill>
          </w14:textFill>
        </w:rPr>
        <w:t>采购内容未包含在《报价单》名称栏中，供应商不能作出合理解释的，</w:t>
      </w:r>
      <w:r>
        <w:rPr>
          <w:rFonts w:hint="eastAsia" w:ascii="宋体" w:hAnsi="宋体" w:cs="宋体"/>
          <w:b/>
          <w:color w:val="000000" w:themeColor="text1"/>
          <w:kern w:val="0"/>
          <w:sz w:val="24"/>
          <w14:textFill>
            <w14:solidFill>
              <w14:schemeClr w14:val="tx1"/>
            </w14:solidFill>
          </w14:textFill>
        </w:rPr>
        <w:t>视为</w:t>
      </w:r>
      <w:r>
        <w:rPr>
          <w:rFonts w:hint="eastAsia" w:ascii="宋体" w:hAnsi="宋体" w:cs="宋体"/>
          <w:b/>
          <w:color w:val="000000" w:themeColor="text1"/>
          <w:sz w:val="24"/>
          <w14:textFill>
            <w14:solidFill>
              <w14:schemeClr w14:val="tx1"/>
            </w14:solidFill>
          </w14:textFill>
        </w:rPr>
        <w:t>响应文件含有采购人不能接受的附加条件的，响应文件无效。</w:t>
      </w:r>
    </w:p>
    <w:p w14:paraId="2258E504">
      <w:pPr>
        <w:snapToGrid w:val="0"/>
        <w:spacing w:line="360" w:lineRule="auto"/>
        <w:ind w:firstLine="480" w:firstLineChars="200"/>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3、特别提示：采购代理机构将对项目名称和项目编号，成交供应商名称、地址和成交金额、施工范围、施工工期、项目经理、执业证书信息、品牌（如果有）、规格型号、数量、单价等予以公示。</w:t>
      </w:r>
      <w:r>
        <w:rPr>
          <w:rFonts w:hint="eastAsia" w:ascii="宋体" w:hAnsi="宋体" w:cs="宋体"/>
          <w:color w:val="000000" w:themeColor="text1"/>
          <w:sz w:val="32"/>
          <w:szCs w:val="32"/>
          <w14:textFill>
            <w14:solidFill>
              <w14:schemeClr w14:val="tx1"/>
            </w14:solidFill>
          </w14:textFill>
        </w:rPr>
        <w:br w:type="page"/>
      </w:r>
    </w:p>
    <w:p w14:paraId="653ADE12">
      <w:pPr>
        <w:pStyle w:val="695"/>
        <w:keepNext w:val="0"/>
        <w:pageBreakBefore w:val="0"/>
        <w:tabs>
          <w:tab w:val="clear" w:pos="720"/>
        </w:tabs>
        <w:snapToGrid w:val="0"/>
        <w:spacing w:before="120" w:after="120"/>
        <w:outlineLvl w:val="9"/>
        <w:rPr>
          <w:rFonts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kern w:val="2"/>
          <w:sz w:val="32"/>
          <w:szCs w:val="32"/>
          <w14:textFill>
            <w14:solidFill>
              <w14:schemeClr w14:val="tx1"/>
            </w14:solidFill>
          </w14:textFill>
        </w:rPr>
        <w:t>二、</w:t>
      </w:r>
      <w:r>
        <w:rPr>
          <w:rFonts w:hint="eastAsia" w:ascii="宋体" w:hAnsi="宋体" w:eastAsia="宋体" w:cs="宋体"/>
          <w:kern w:val="2"/>
          <w:sz w:val="32"/>
          <w:szCs w:val="32"/>
        </w:rPr>
        <w:t>已标价工程量清单</w:t>
      </w:r>
    </w:p>
    <w:p w14:paraId="3573F4FE">
      <w:pPr>
        <w:ind w:right="420"/>
        <w:rPr>
          <w:rFonts w:ascii="宋体" w:hAnsi="宋体" w:cs="宋体"/>
          <w:sz w:val="24"/>
        </w:rPr>
      </w:pPr>
      <w:r>
        <w:rPr>
          <w:rFonts w:hint="eastAsia" w:ascii="宋体" w:hAnsi="宋体" w:cs="宋体"/>
          <w:sz w:val="24"/>
        </w:rPr>
        <w:t xml:space="preserve">注：按采购文件工程量清单编制 </w:t>
      </w:r>
    </w:p>
    <w:p w14:paraId="79347CC4">
      <w:pPr>
        <w:widowControl/>
        <w:spacing w:line="360" w:lineRule="auto"/>
        <w:ind w:firstLine="120" w:firstLineChars="50"/>
        <w:jc w:val="left"/>
        <w:rPr>
          <w:rFonts w:ascii="宋体" w:hAnsi="宋体" w:cs="宋体"/>
          <w:b/>
          <w:color w:val="000000" w:themeColor="text1"/>
          <w:sz w:val="24"/>
          <w14:textFill>
            <w14:solidFill>
              <w14:schemeClr w14:val="tx1"/>
            </w14:solidFill>
          </w14:textFill>
        </w:rPr>
      </w:pPr>
    </w:p>
    <w:p w14:paraId="31FA8B91">
      <w:pPr>
        <w:pStyle w:val="2"/>
        <w:keepNext w:val="0"/>
        <w:keepLines w:val="0"/>
        <w:pageBreakBefore/>
        <w:widowControl/>
        <w:spacing w:before="100" w:beforeAutospacing="1" w:after="100" w:afterAutospacing="1" w:line="360" w:lineRule="auto"/>
        <w:ind w:left="1290" w:firstLine="3092" w:firstLineChars="700"/>
        <w:rPr>
          <w:rFonts w:ascii="宋体" w:hAnsi="宋体" w:cs="宋体"/>
          <w:color w:val="000000" w:themeColor="text1"/>
          <w14:textFill>
            <w14:solidFill>
              <w14:schemeClr w14:val="tx1"/>
            </w14:solidFill>
          </w14:textFill>
        </w:rPr>
      </w:pPr>
      <w:bookmarkStart w:id="561" w:name="_Toc465665161"/>
      <w:bookmarkStart w:id="562" w:name="_Toc21218"/>
      <w:r>
        <w:rPr>
          <w:rFonts w:hint="eastAsia" w:ascii="宋体" w:hAnsi="宋体" w:cs="宋体"/>
          <w:color w:val="000000" w:themeColor="text1"/>
          <w14:textFill>
            <w14:solidFill>
              <w14:schemeClr w14:val="tx1"/>
            </w14:solidFill>
          </w14:textFill>
        </w:rPr>
        <w:t>附件</w:t>
      </w:r>
      <w:bookmarkEnd w:id="561"/>
      <w:bookmarkEnd w:id="562"/>
    </w:p>
    <w:p w14:paraId="3B637E0A">
      <w:pPr>
        <w:spacing w:line="360" w:lineRule="auto"/>
        <w:rPr>
          <w:rFonts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附件1：</w:t>
      </w:r>
    </w:p>
    <w:p w14:paraId="5ECD4F8E">
      <w:pPr>
        <w:spacing w:line="360" w:lineRule="auto"/>
        <w:jc w:val="center"/>
        <w:rPr>
          <w:rFonts w:ascii="宋体" w:hAnsi="宋体" w:cs="宋体"/>
          <w:b/>
          <w:color w:val="000000" w:themeColor="text1"/>
          <w:spacing w:val="6"/>
          <w:sz w:val="32"/>
          <w:szCs w:val="32"/>
          <w14:textFill>
            <w14:solidFill>
              <w14:schemeClr w14:val="tx1"/>
            </w14:solidFill>
          </w14:textFill>
        </w:rPr>
      </w:pPr>
      <w:bookmarkStart w:id="563" w:name="OLE_LINK13"/>
      <w:bookmarkStart w:id="564" w:name="OLE_LINK14"/>
      <w:r>
        <w:rPr>
          <w:rFonts w:hint="eastAsia" w:ascii="宋体" w:hAnsi="宋体" w:cs="宋体"/>
          <w:b/>
          <w:color w:val="000000" w:themeColor="text1"/>
          <w:spacing w:val="6"/>
          <w:sz w:val="32"/>
          <w:szCs w:val="32"/>
          <w14:textFill>
            <w14:solidFill>
              <w14:schemeClr w14:val="tx1"/>
            </w14:solidFill>
          </w14:textFill>
        </w:rPr>
        <w:t>残疾人福利性单位声明函</w:t>
      </w:r>
    </w:p>
    <w:bookmarkEnd w:id="563"/>
    <w:bookmarkEnd w:id="564"/>
    <w:p w14:paraId="5160AC97">
      <w:pPr>
        <w:spacing w:line="360" w:lineRule="auto"/>
        <w:rPr>
          <w:rFonts w:ascii="宋体" w:hAnsi="宋体" w:cs="宋体"/>
          <w:b/>
          <w:color w:val="000000" w:themeColor="text1"/>
          <w:spacing w:val="6"/>
          <w:sz w:val="30"/>
          <w:szCs w:val="30"/>
          <w14:textFill>
            <w14:solidFill>
              <w14:schemeClr w14:val="tx1"/>
            </w14:solidFill>
          </w14:textFill>
        </w:rPr>
      </w:pPr>
    </w:p>
    <w:p w14:paraId="2B7B2C9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D03007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本单位对上述声明的真实性负责。如有虚假，将依法承担相应责任。</w:t>
      </w:r>
    </w:p>
    <w:p w14:paraId="1F12E612">
      <w:pPr>
        <w:spacing w:line="360" w:lineRule="auto"/>
        <w:ind w:firstLine="480" w:firstLineChars="200"/>
        <w:rPr>
          <w:rFonts w:ascii="宋体" w:hAnsi="宋体" w:cs="宋体"/>
          <w:color w:val="000000" w:themeColor="text1"/>
          <w:sz w:val="24"/>
          <w14:textFill>
            <w14:solidFill>
              <w14:schemeClr w14:val="tx1"/>
            </w14:solidFill>
          </w14:textFill>
        </w:rPr>
      </w:pPr>
    </w:p>
    <w:p w14:paraId="16DA64B7">
      <w:pPr>
        <w:spacing w:line="360" w:lineRule="auto"/>
        <w:ind w:firstLine="480" w:firstLineChars="200"/>
        <w:rPr>
          <w:rFonts w:ascii="宋体" w:hAnsi="宋体" w:cs="宋体"/>
          <w:color w:val="000000" w:themeColor="text1"/>
          <w:sz w:val="24"/>
          <w14:textFill>
            <w14:solidFill>
              <w14:schemeClr w14:val="tx1"/>
            </w14:solidFill>
          </w14:textFill>
        </w:rPr>
      </w:pPr>
    </w:p>
    <w:p w14:paraId="3866E93F">
      <w:pPr>
        <w:tabs>
          <w:tab w:val="left" w:pos="4860"/>
        </w:tabs>
        <w:spacing w:line="360" w:lineRule="auto"/>
        <w:ind w:right="1560" w:firstLine="480" w:firstLineChars="2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供应商名称（电子签名）</w:t>
      </w:r>
      <w:r>
        <w:rPr>
          <w:rFonts w:hint="eastAsia" w:ascii="宋体" w:hAnsi="宋体" w:cs="宋体"/>
          <w:color w:val="000000" w:themeColor="text1"/>
          <w:sz w:val="24"/>
          <w14:textFill>
            <w14:solidFill>
              <w14:schemeClr w14:val="tx1"/>
            </w14:solidFill>
          </w14:textFill>
        </w:rPr>
        <w:t>：</w:t>
      </w:r>
    </w:p>
    <w:p w14:paraId="6BBE894C">
      <w:pPr>
        <w:tabs>
          <w:tab w:val="left" w:pos="4860"/>
        </w:tabs>
        <w:spacing w:line="360" w:lineRule="auto"/>
        <w:ind w:right="1560" w:firstLine="480" w:firstLineChars="2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日  期：</w:t>
      </w:r>
    </w:p>
    <w:p w14:paraId="5D123C8A">
      <w:pPr>
        <w:spacing w:line="360" w:lineRule="auto"/>
        <w:ind w:firstLine="480" w:firstLineChars="200"/>
        <w:rPr>
          <w:rFonts w:ascii="宋体" w:hAnsi="宋体" w:cs="宋体"/>
          <w:color w:val="000000" w:themeColor="text1"/>
          <w:sz w:val="24"/>
          <w14:textFill>
            <w14:solidFill>
              <w14:schemeClr w14:val="tx1"/>
            </w14:solidFill>
          </w14:textFill>
        </w:rPr>
      </w:pPr>
    </w:p>
    <w:p w14:paraId="563ACE5E">
      <w:pPr>
        <w:spacing w:line="360" w:lineRule="auto"/>
        <w:ind w:firstLine="420" w:firstLineChars="200"/>
        <w:rPr>
          <w:rFonts w:ascii="宋体" w:hAnsi="宋体" w:cs="宋体"/>
          <w:color w:val="000000" w:themeColor="text1"/>
          <w14:textFill>
            <w14:solidFill>
              <w14:schemeClr w14:val="tx1"/>
            </w14:solidFill>
          </w14:textFill>
        </w:rPr>
      </w:pPr>
    </w:p>
    <w:p w14:paraId="0740DBC1">
      <w:pPr>
        <w:spacing w:line="360" w:lineRule="auto"/>
        <w:ind w:firstLine="420" w:firstLineChars="200"/>
        <w:rPr>
          <w:rFonts w:ascii="宋体" w:hAnsi="宋体" w:cs="宋体"/>
          <w:color w:val="000000" w:themeColor="text1"/>
          <w14:textFill>
            <w14:solidFill>
              <w14:schemeClr w14:val="tx1"/>
            </w14:solidFill>
          </w14:textFill>
        </w:rPr>
      </w:pPr>
    </w:p>
    <w:p w14:paraId="41FA87AC">
      <w:pPr>
        <w:spacing w:line="360" w:lineRule="auto"/>
        <w:ind w:firstLine="420" w:firstLineChars="200"/>
        <w:rPr>
          <w:rFonts w:ascii="宋体" w:hAnsi="宋体" w:cs="宋体"/>
          <w:color w:val="000000" w:themeColor="text1"/>
          <w14:textFill>
            <w14:solidFill>
              <w14:schemeClr w14:val="tx1"/>
            </w14:solidFill>
          </w14:textFill>
        </w:rPr>
      </w:pPr>
    </w:p>
    <w:p w14:paraId="152A04E1">
      <w:pPr>
        <w:spacing w:line="360" w:lineRule="auto"/>
        <w:ind w:firstLine="420" w:firstLineChars="200"/>
        <w:rPr>
          <w:rFonts w:ascii="宋体" w:hAnsi="宋体" w:cs="宋体"/>
          <w:color w:val="000000" w:themeColor="text1"/>
          <w14:textFill>
            <w14:solidFill>
              <w14:schemeClr w14:val="tx1"/>
            </w14:solidFill>
          </w14:textFill>
        </w:rPr>
      </w:pPr>
    </w:p>
    <w:p w14:paraId="6E09F6D8">
      <w:pPr>
        <w:spacing w:line="360" w:lineRule="auto"/>
        <w:rPr>
          <w:rFonts w:ascii="宋体" w:hAnsi="宋体" w:cs="宋体"/>
          <w:b/>
          <w:color w:val="000000" w:themeColor="text1"/>
          <w:sz w:val="24"/>
          <w14:textFill>
            <w14:solidFill>
              <w14:schemeClr w14:val="tx1"/>
            </w14:solidFill>
          </w14:textFill>
        </w:rPr>
      </w:pPr>
    </w:p>
    <w:p w14:paraId="716B8508">
      <w:pPr>
        <w:spacing w:line="360" w:lineRule="auto"/>
        <w:rPr>
          <w:rFonts w:ascii="宋体" w:hAnsi="宋体" w:cs="宋体"/>
          <w:b/>
          <w:color w:val="000000" w:themeColor="text1"/>
          <w:sz w:val="24"/>
          <w14:textFill>
            <w14:solidFill>
              <w14:schemeClr w14:val="tx1"/>
            </w14:solidFill>
          </w14:textFill>
        </w:rPr>
      </w:pPr>
    </w:p>
    <w:p w14:paraId="3B301FE5">
      <w:pPr>
        <w:spacing w:line="360" w:lineRule="auto"/>
        <w:rPr>
          <w:rFonts w:ascii="宋体" w:hAnsi="宋体" w:cs="宋体"/>
          <w:b/>
          <w:color w:val="000000" w:themeColor="text1"/>
          <w:sz w:val="24"/>
          <w14:textFill>
            <w14:solidFill>
              <w14:schemeClr w14:val="tx1"/>
            </w14:solidFill>
          </w14:textFill>
        </w:rPr>
      </w:pPr>
    </w:p>
    <w:p w14:paraId="3B5D354A">
      <w:pPr>
        <w:spacing w:line="360" w:lineRule="auto"/>
        <w:rPr>
          <w:rFonts w:ascii="宋体" w:hAnsi="宋体" w:cs="宋体"/>
          <w:b/>
          <w:color w:val="000000" w:themeColor="text1"/>
          <w:sz w:val="24"/>
          <w14:textFill>
            <w14:solidFill>
              <w14:schemeClr w14:val="tx1"/>
            </w14:solidFill>
          </w14:textFill>
        </w:rPr>
      </w:pPr>
    </w:p>
    <w:p w14:paraId="25B3D462">
      <w:pPr>
        <w:spacing w:line="360" w:lineRule="auto"/>
        <w:rPr>
          <w:rFonts w:ascii="宋体" w:hAnsi="宋体" w:cs="宋体"/>
          <w:b/>
          <w:color w:val="000000" w:themeColor="text1"/>
          <w:sz w:val="24"/>
          <w14:textFill>
            <w14:solidFill>
              <w14:schemeClr w14:val="tx1"/>
            </w14:solidFill>
          </w14:textFill>
        </w:rPr>
      </w:pPr>
    </w:p>
    <w:p w14:paraId="2D33DC7E">
      <w:pPr>
        <w:spacing w:line="360" w:lineRule="auto"/>
        <w:rPr>
          <w:rFonts w:ascii="宋体" w:hAnsi="宋体" w:cs="宋体"/>
          <w:b/>
          <w:color w:val="000000" w:themeColor="text1"/>
          <w:sz w:val="24"/>
          <w14:textFill>
            <w14:solidFill>
              <w14:schemeClr w14:val="tx1"/>
            </w14:solidFill>
          </w14:textFill>
        </w:rPr>
      </w:pPr>
    </w:p>
    <w:p w14:paraId="4E9E6003">
      <w:pPr>
        <w:spacing w:line="360" w:lineRule="auto"/>
        <w:rPr>
          <w:rFonts w:ascii="宋体" w:hAnsi="宋体" w:cs="宋体"/>
          <w:b/>
          <w:color w:val="000000" w:themeColor="text1"/>
          <w:sz w:val="24"/>
          <w14:textFill>
            <w14:solidFill>
              <w14:schemeClr w14:val="tx1"/>
            </w14:solidFill>
          </w14:textFill>
        </w:rPr>
      </w:pPr>
    </w:p>
    <w:p w14:paraId="560AC5EA">
      <w:pPr>
        <w:spacing w:line="360" w:lineRule="auto"/>
        <w:rPr>
          <w:rFonts w:ascii="宋体" w:hAnsi="宋体" w:cs="宋体"/>
          <w:b/>
          <w:color w:val="000000" w:themeColor="text1"/>
          <w:sz w:val="24"/>
          <w14:textFill>
            <w14:solidFill>
              <w14:schemeClr w14:val="tx1"/>
            </w14:solidFill>
          </w14:textFill>
        </w:rPr>
      </w:pPr>
    </w:p>
    <w:p w14:paraId="2A728752">
      <w:pPr>
        <w:spacing w:line="360" w:lineRule="auto"/>
        <w:jc w:val="left"/>
        <w:rPr>
          <w:rFonts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附件2：质疑函范本及制作说明</w:t>
      </w:r>
    </w:p>
    <w:p w14:paraId="045925B0">
      <w:pPr>
        <w:spacing w:line="360" w:lineRule="auto"/>
        <w:jc w:val="center"/>
        <w:rPr>
          <w:rFonts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质疑函范本</w:t>
      </w:r>
    </w:p>
    <w:p w14:paraId="48C950D0">
      <w:pPr>
        <w:snapToGrid w:val="0"/>
        <w:spacing w:before="240" w:beforeLines="100"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一、质疑供应商基本信息</w:t>
      </w:r>
    </w:p>
    <w:p w14:paraId="3A1D8192">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质疑供应商：</w:t>
      </w:r>
      <w:r>
        <w:rPr>
          <w:rFonts w:hint="eastAsia" w:ascii="宋体" w:hAnsi="宋体" w:cs="宋体"/>
          <w:color w:val="000000" w:themeColor="text1"/>
          <w:sz w:val="24"/>
          <w:u w:val="dotted"/>
          <w14:textFill>
            <w14:solidFill>
              <w14:schemeClr w14:val="tx1"/>
            </w14:solidFill>
          </w14:textFill>
        </w:rPr>
        <w:t xml:space="preserve">                                        </w:t>
      </w:r>
    </w:p>
    <w:p w14:paraId="554135D3">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邮编：</w:t>
      </w:r>
      <w:r>
        <w:rPr>
          <w:rFonts w:hint="eastAsia" w:ascii="宋体" w:hAnsi="宋体" w:cs="宋体"/>
          <w:color w:val="000000" w:themeColor="text1"/>
          <w:sz w:val="24"/>
          <w:u w:val="dotted"/>
          <w14:textFill>
            <w14:solidFill>
              <w14:schemeClr w14:val="tx1"/>
            </w14:solidFill>
          </w14:textFill>
        </w:rPr>
        <w:t xml:space="preserve">                                                   </w:t>
      </w:r>
    </w:p>
    <w:p w14:paraId="192DA931">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联系人：</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联系电话：</w:t>
      </w:r>
      <w:r>
        <w:rPr>
          <w:rFonts w:hint="eastAsia" w:ascii="宋体" w:hAnsi="宋体" w:cs="宋体"/>
          <w:color w:val="000000" w:themeColor="text1"/>
          <w:sz w:val="24"/>
          <w:u w:val="dotted"/>
          <w14:textFill>
            <w14:solidFill>
              <w14:schemeClr w14:val="tx1"/>
            </w14:solidFill>
          </w14:textFill>
        </w:rPr>
        <w:t xml:space="preserve">                              </w:t>
      </w:r>
    </w:p>
    <w:p w14:paraId="1C80E2F2">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授权代表：</w:t>
      </w:r>
      <w:r>
        <w:rPr>
          <w:rFonts w:hint="eastAsia" w:ascii="宋体" w:hAnsi="宋体" w:cs="宋体"/>
          <w:color w:val="000000" w:themeColor="text1"/>
          <w:sz w:val="24"/>
          <w:u w:val="dotted"/>
          <w14:textFill>
            <w14:solidFill>
              <w14:schemeClr w14:val="tx1"/>
            </w14:solidFill>
          </w14:textFill>
        </w:rPr>
        <w:t xml:space="preserve">                                          </w:t>
      </w:r>
    </w:p>
    <w:p w14:paraId="773D9E24">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联系电话：</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w:t>
      </w:r>
    </w:p>
    <w:p w14:paraId="2DFB3C95">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地址： </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邮编：</w:t>
      </w:r>
      <w:r>
        <w:rPr>
          <w:rFonts w:hint="eastAsia" w:ascii="宋体" w:hAnsi="宋体" w:cs="宋体"/>
          <w:color w:val="000000" w:themeColor="text1"/>
          <w:sz w:val="24"/>
          <w:u w:val="dotted"/>
          <w14:textFill>
            <w14:solidFill>
              <w14:schemeClr w14:val="tx1"/>
            </w14:solidFill>
          </w14:textFill>
        </w:rPr>
        <w:t xml:space="preserve">                                                </w:t>
      </w:r>
    </w:p>
    <w:p w14:paraId="40117F79">
      <w:pPr>
        <w:snapToGrid w:val="0"/>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二、质疑项目基本情况</w:t>
      </w:r>
    </w:p>
    <w:p w14:paraId="37DF87C9">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质疑项目的名称：</w:t>
      </w:r>
      <w:r>
        <w:rPr>
          <w:rFonts w:hint="eastAsia" w:ascii="宋体" w:hAnsi="宋体" w:cs="宋体"/>
          <w:color w:val="000000" w:themeColor="text1"/>
          <w:sz w:val="24"/>
          <w:u w:val="dotted"/>
          <w14:textFill>
            <w14:solidFill>
              <w14:schemeClr w14:val="tx1"/>
            </w14:solidFill>
          </w14:textFill>
        </w:rPr>
        <w:t xml:space="preserve">                                      </w:t>
      </w:r>
    </w:p>
    <w:p w14:paraId="7446553D">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质疑项目的编号：</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包号：</w:t>
      </w:r>
      <w:r>
        <w:rPr>
          <w:rFonts w:hint="eastAsia" w:ascii="宋体" w:hAnsi="宋体" w:cs="宋体"/>
          <w:color w:val="000000" w:themeColor="text1"/>
          <w:sz w:val="24"/>
          <w:u w:val="dotted"/>
          <w14:textFill>
            <w14:solidFill>
              <w14:schemeClr w14:val="tx1"/>
            </w14:solidFill>
          </w14:textFill>
        </w:rPr>
        <w:t xml:space="preserve">                 </w:t>
      </w:r>
    </w:p>
    <w:p w14:paraId="26A629BD">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采购人名称：</w:t>
      </w:r>
      <w:r>
        <w:rPr>
          <w:rFonts w:hint="eastAsia" w:ascii="宋体" w:hAnsi="宋体" w:cs="宋体"/>
          <w:color w:val="000000" w:themeColor="text1"/>
          <w:sz w:val="24"/>
          <w:u w:val="dotted"/>
          <w14:textFill>
            <w14:solidFill>
              <w14:schemeClr w14:val="tx1"/>
            </w14:solidFill>
          </w14:textFill>
        </w:rPr>
        <w:t xml:space="preserve">                                         </w:t>
      </w:r>
    </w:p>
    <w:p w14:paraId="29708688">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采购文件获取日期：</w:t>
      </w:r>
      <w:r>
        <w:rPr>
          <w:rFonts w:hint="eastAsia" w:ascii="宋体" w:hAnsi="宋体" w:cs="宋体"/>
          <w:color w:val="000000" w:themeColor="text1"/>
          <w:sz w:val="24"/>
          <w:u w:val="dotted"/>
          <w14:textFill>
            <w14:solidFill>
              <w14:schemeClr w14:val="tx1"/>
            </w14:solidFill>
          </w14:textFill>
        </w:rPr>
        <w:t xml:space="preserve">                                           </w:t>
      </w:r>
    </w:p>
    <w:p w14:paraId="3C3917CC">
      <w:pPr>
        <w:snapToGrid w:val="0"/>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三、质疑事项具体内容</w:t>
      </w:r>
    </w:p>
    <w:p w14:paraId="0CAE1E3D">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质疑事项1：</w:t>
      </w:r>
      <w:r>
        <w:rPr>
          <w:rFonts w:hint="eastAsia" w:ascii="宋体" w:hAnsi="宋体" w:cs="宋体"/>
          <w:color w:val="000000" w:themeColor="text1"/>
          <w:sz w:val="24"/>
          <w:u w:val="dotted"/>
          <w14:textFill>
            <w14:solidFill>
              <w14:schemeClr w14:val="tx1"/>
            </w14:solidFill>
          </w14:textFill>
        </w:rPr>
        <w:t xml:space="preserve">                                         </w:t>
      </w:r>
    </w:p>
    <w:p w14:paraId="2C598F6C">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事实依据：</w:t>
      </w:r>
      <w:r>
        <w:rPr>
          <w:rFonts w:hint="eastAsia" w:ascii="宋体" w:hAnsi="宋体" w:cs="宋体"/>
          <w:color w:val="000000" w:themeColor="text1"/>
          <w:sz w:val="24"/>
          <w:u w:val="dotted"/>
          <w14:textFill>
            <w14:solidFill>
              <w14:schemeClr w14:val="tx1"/>
            </w14:solidFill>
          </w14:textFill>
        </w:rPr>
        <w:t xml:space="preserve">                                          </w:t>
      </w:r>
    </w:p>
    <w:p w14:paraId="44BCAF42">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dotted"/>
          <w14:textFill>
            <w14:solidFill>
              <w14:schemeClr w14:val="tx1"/>
            </w14:solidFill>
          </w14:textFill>
        </w:rPr>
        <w:t xml:space="preserve">                                                       </w:t>
      </w:r>
    </w:p>
    <w:p w14:paraId="79F98635">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法律依据：</w:t>
      </w:r>
      <w:r>
        <w:rPr>
          <w:rFonts w:hint="eastAsia" w:ascii="宋体" w:hAnsi="宋体" w:cs="宋体"/>
          <w:color w:val="000000" w:themeColor="text1"/>
          <w:sz w:val="24"/>
          <w:u w:val="dotted"/>
          <w14:textFill>
            <w14:solidFill>
              <w14:schemeClr w14:val="tx1"/>
            </w14:solidFill>
          </w14:textFill>
        </w:rPr>
        <w:t xml:space="preserve">                                          </w:t>
      </w:r>
    </w:p>
    <w:p w14:paraId="354D3000">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u w:val="dotted"/>
          <w14:textFill>
            <w14:solidFill>
              <w14:schemeClr w14:val="tx1"/>
            </w14:solidFill>
          </w14:textFill>
        </w:rPr>
        <w:t xml:space="preserve">                                                     </w:t>
      </w:r>
    </w:p>
    <w:p w14:paraId="7C92291B">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质疑事项2</w:t>
      </w:r>
    </w:p>
    <w:p w14:paraId="1A4D2845">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p w14:paraId="350E9A07">
      <w:pPr>
        <w:snapToGrid w:val="0"/>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四、与质疑事项相关的质疑请求</w:t>
      </w:r>
    </w:p>
    <w:p w14:paraId="5240885B">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请求：</w:t>
      </w:r>
      <w:r>
        <w:rPr>
          <w:rFonts w:hint="eastAsia" w:ascii="宋体" w:hAnsi="宋体" w:cs="宋体"/>
          <w:color w:val="000000" w:themeColor="text1"/>
          <w:sz w:val="24"/>
          <w:u w:val="dotted"/>
          <w14:textFill>
            <w14:solidFill>
              <w14:schemeClr w14:val="tx1"/>
            </w14:solidFill>
          </w14:textFill>
        </w:rPr>
        <w:t xml:space="preserve">                                               </w:t>
      </w:r>
    </w:p>
    <w:p w14:paraId="0D88C55A">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签字(签章)：                   公章：                      </w:t>
      </w:r>
    </w:p>
    <w:p w14:paraId="118CB862">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日期：    </w:t>
      </w:r>
    </w:p>
    <w:p w14:paraId="7B2D3C5F">
      <w:pPr>
        <w:spacing w:line="360" w:lineRule="auto"/>
        <w:jc w:val="center"/>
        <w:rPr>
          <w:rFonts w:ascii="宋体" w:hAnsi="宋体" w:cs="宋体"/>
          <w:b/>
          <w:bCs/>
          <w:color w:val="000000" w:themeColor="text1"/>
          <w:sz w:val="24"/>
          <w14:textFill>
            <w14:solidFill>
              <w14:schemeClr w14:val="tx1"/>
            </w14:solidFill>
          </w14:textFill>
        </w:rPr>
      </w:pPr>
    </w:p>
    <w:p w14:paraId="0653E834">
      <w:pPr>
        <w:spacing w:line="360" w:lineRule="auto"/>
        <w:rPr>
          <w:rFonts w:ascii="宋体" w:hAnsi="宋体" w:cs="宋体"/>
          <w:b/>
          <w:color w:val="000000" w:themeColor="text1"/>
          <w:sz w:val="24"/>
          <w14:textFill>
            <w14:solidFill>
              <w14:schemeClr w14:val="tx1"/>
            </w14:solidFill>
          </w14:textFill>
        </w:rPr>
      </w:pPr>
    </w:p>
    <w:p w14:paraId="605536A6">
      <w:pPr>
        <w:spacing w:line="360" w:lineRule="auto"/>
        <w:rPr>
          <w:rFonts w:ascii="宋体" w:hAnsi="宋体" w:cs="宋体"/>
          <w:b/>
          <w:color w:val="000000" w:themeColor="text1"/>
          <w:sz w:val="24"/>
          <w14:textFill>
            <w14:solidFill>
              <w14:schemeClr w14:val="tx1"/>
            </w14:solidFill>
          </w14:textFill>
        </w:rPr>
      </w:pPr>
    </w:p>
    <w:p w14:paraId="0D22BCCE">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质疑函制作说明：</w:t>
      </w:r>
    </w:p>
    <w:p w14:paraId="399BC86C">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1.供应商提出质疑时，应提交质疑函和必要的证明材料。</w:t>
      </w:r>
    </w:p>
    <w:p w14:paraId="664BA298">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2.质疑供应商若委托代理人进行质疑的，质疑函应按要求列明“授权代表”的有关内容，并在附件中提交由质疑</w:t>
      </w:r>
      <w:r>
        <w:rPr>
          <w:rFonts w:hint="eastAsia" w:ascii="宋体" w:hAnsi="宋体" w:cs="宋体"/>
          <w:color w:val="000000" w:themeColor="text1"/>
          <w:kern w:val="0"/>
          <w:sz w:val="24"/>
          <w14:textFill>
            <w14:solidFill>
              <w14:schemeClr w14:val="tx1"/>
            </w14:solidFill>
          </w14:textFill>
        </w:rPr>
        <w:t>供应商签署的授权委托书。授权委托书应载明代理人的姓名或者名称、代理事项、具体权限、期限和相关事项。</w:t>
      </w:r>
    </w:p>
    <w:p w14:paraId="64D9B95B">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3.质疑供应商若对项目的某一分包进行质疑，质疑函中应列明具体分包号。</w:t>
      </w:r>
    </w:p>
    <w:p w14:paraId="72CD2D44">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4.质疑函的质疑事项应具体、明确，并有必要的事实依据和法律依据。</w:t>
      </w:r>
    </w:p>
    <w:p w14:paraId="58AC6740">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5.质疑函的质疑请求应与质疑事项相关。</w:t>
      </w:r>
    </w:p>
    <w:p w14:paraId="08DFAF4B">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14:paraId="1AAE5692">
      <w:pPr>
        <w:widowControl/>
        <w:spacing w:line="360" w:lineRule="auto"/>
        <w:ind w:firstLine="600" w:firstLineChars="200"/>
        <w:jc w:val="left"/>
        <w:rPr>
          <w:rFonts w:ascii="宋体" w:hAnsi="宋体" w:cs="宋体"/>
          <w:color w:val="000000" w:themeColor="text1"/>
          <w:sz w:val="30"/>
          <w:szCs w:val="30"/>
          <w14:textFill>
            <w14:solidFill>
              <w14:schemeClr w14:val="tx1"/>
            </w14:solidFill>
          </w14:textFill>
        </w:rPr>
      </w:pPr>
    </w:p>
    <w:p w14:paraId="38B1D772">
      <w:pPr>
        <w:spacing w:line="360" w:lineRule="auto"/>
        <w:jc w:val="center"/>
        <w:rPr>
          <w:rFonts w:ascii="宋体" w:hAnsi="宋体" w:cs="宋体"/>
          <w:b/>
          <w:color w:val="000000" w:themeColor="text1"/>
          <w:spacing w:val="6"/>
          <w:sz w:val="32"/>
          <w:szCs w:val="32"/>
          <w14:textFill>
            <w14:solidFill>
              <w14:schemeClr w14:val="tx1"/>
            </w14:solidFill>
          </w14:textFill>
        </w:rPr>
      </w:pPr>
    </w:p>
    <w:p w14:paraId="5CB16817">
      <w:pPr>
        <w:spacing w:line="360" w:lineRule="auto"/>
        <w:jc w:val="center"/>
        <w:rPr>
          <w:rFonts w:ascii="宋体" w:hAnsi="宋体" w:cs="宋体"/>
          <w:b/>
          <w:color w:val="000000" w:themeColor="text1"/>
          <w:spacing w:val="6"/>
          <w:sz w:val="32"/>
          <w:szCs w:val="32"/>
          <w14:textFill>
            <w14:solidFill>
              <w14:schemeClr w14:val="tx1"/>
            </w14:solidFill>
          </w14:textFill>
        </w:rPr>
      </w:pPr>
    </w:p>
    <w:p w14:paraId="1EEC489B">
      <w:pPr>
        <w:spacing w:line="360" w:lineRule="auto"/>
        <w:jc w:val="center"/>
        <w:rPr>
          <w:rFonts w:ascii="宋体" w:hAnsi="宋体" w:cs="宋体"/>
          <w:b/>
          <w:color w:val="000000" w:themeColor="text1"/>
          <w:spacing w:val="6"/>
          <w:sz w:val="32"/>
          <w:szCs w:val="32"/>
          <w14:textFill>
            <w14:solidFill>
              <w14:schemeClr w14:val="tx1"/>
            </w14:solidFill>
          </w14:textFill>
        </w:rPr>
      </w:pPr>
    </w:p>
    <w:p w14:paraId="3E1E48E2">
      <w:pPr>
        <w:spacing w:line="360" w:lineRule="auto"/>
        <w:jc w:val="center"/>
        <w:rPr>
          <w:rFonts w:ascii="宋体" w:hAnsi="宋体" w:cs="宋体"/>
          <w:b/>
          <w:color w:val="000000" w:themeColor="text1"/>
          <w:spacing w:val="6"/>
          <w:sz w:val="32"/>
          <w:szCs w:val="32"/>
          <w14:textFill>
            <w14:solidFill>
              <w14:schemeClr w14:val="tx1"/>
            </w14:solidFill>
          </w14:textFill>
        </w:rPr>
      </w:pPr>
    </w:p>
    <w:p w14:paraId="56583A69">
      <w:pPr>
        <w:spacing w:line="360" w:lineRule="auto"/>
        <w:jc w:val="center"/>
        <w:rPr>
          <w:rFonts w:ascii="宋体" w:hAnsi="宋体" w:cs="宋体"/>
          <w:b/>
          <w:color w:val="000000" w:themeColor="text1"/>
          <w:spacing w:val="6"/>
          <w:sz w:val="32"/>
          <w:szCs w:val="32"/>
          <w14:textFill>
            <w14:solidFill>
              <w14:schemeClr w14:val="tx1"/>
            </w14:solidFill>
          </w14:textFill>
        </w:rPr>
      </w:pPr>
    </w:p>
    <w:p w14:paraId="041C00BB">
      <w:pPr>
        <w:spacing w:line="360" w:lineRule="auto"/>
        <w:jc w:val="center"/>
        <w:rPr>
          <w:rFonts w:ascii="宋体" w:hAnsi="宋体" w:cs="宋体"/>
          <w:b/>
          <w:color w:val="000000" w:themeColor="text1"/>
          <w:spacing w:val="6"/>
          <w:sz w:val="32"/>
          <w:szCs w:val="32"/>
          <w14:textFill>
            <w14:solidFill>
              <w14:schemeClr w14:val="tx1"/>
            </w14:solidFill>
          </w14:textFill>
        </w:rPr>
      </w:pPr>
    </w:p>
    <w:p w14:paraId="57549A6B">
      <w:pPr>
        <w:spacing w:line="360" w:lineRule="auto"/>
        <w:jc w:val="center"/>
        <w:rPr>
          <w:rFonts w:ascii="宋体" w:hAnsi="宋体" w:cs="宋体"/>
          <w:b/>
          <w:color w:val="000000" w:themeColor="text1"/>
          <w:spacing w:val="6"/>
          <w:sz w:val="32"/>
          <w:szCs w:val="32"/>
          <w14:textFill>
            <w14:solidFill>
              <w14:schemeClr w14:val="tx1"/>
            </w14:solidFill>
          </w14:textFill>
        </w:rPr>
      </w:pPr>
    </w:p>
    <w:p w14:paraId="0D893DDB">
      <w:pPr>
        <w:spacing w:line="360" w:lineRule="auto"/>
        <w:jc w:val="center"/>
        <w:rPr>
          <w:rFonts w:ascii="宋体" w:hAnsi="宋体" w:cs="宋体"/>
          <w:b/>
          <w:color w:val="000000" w:themeColor="text1"/>
          <w:spacing w:val="6"/>
          <w:sz w:val="32"/>
          <w:szCs w:val="32"/>
          <w14:textFill>
            <w14:solidFill>
              <w14:schemeClr w14:val="tx1"/>
            </w14:solidFill>
          </w14:textFill>
        </w:rPr>
      </w:pPr>
    </w:p>
    <w:p w14:paraId="431054CD">
      <w:pPr>
        <w:spacing w:line="360" w:lineRule="auto"/>
        <w:jc w:val="center"/>
        <w:rPr>
          <w:rFonts w:ascii="宋体" w:hAnsi="宋体" w:cs="宋体"/>
          <w:b/>
          <w:color w:val="000000" w:themeColor="text1"/>
          <w:spacing w:val="6"/>
          <w:sz w:val="32"/>
          <w:szCs w:val="32"/>
          <w14:textFill>
            <w14:solidFill>
              <w14:schemeClr w14:val="tx1"/>
            </w14:solidFill>
          </w14:textFill>
        </w:rPr>
      </w:pPr>
    </w:p>
    <w:p w14:paraId="55F8A6B5">
      <w:pPr>
        <w:spacing w:line="360" w:lineRule="auto"/>
        <w:jc w:val="center"/>
        <w:rPr>
          <w:rFonts w:ascii="宋体" w:hAnsi="宋体" w:cs="宋体"/>
          <w:b/>
          <w:color w:val="000000" w:themeColor="text1"/>
          <w:spacing w:val="6"/>
          <w:sz w:val="32"/>
          <w:szCs w:val="32"/>
          <w14:textFill>
            <w14:solidFill>
              <w14:schemeClr w14:val="tx1"/>
            </w14:solidFill>
          </w14:textFill>
        </w:rPr>
      </w:pPr>
    </w:p>
    <w:p w14:paraId="6F0B3015">
      <w:pPr>
        <w:spacing w:line="360" w:lineRule="auto"/>
        <w:jc w:val="center"/>
        <w:rPr>
          <w:rFonts w:ascii="宋体" w:hAnsi="宋体" w:cs="宋体"/>
          <w:b/>
          <w:color w:val="000000" w:themeColor="text1"/>
          <w:spacing w:val="6"/>
          <w:sz w:val="32"/>
          <w:szCs w:val="32"/>
          <w14:textFill>
            <w14:solidFill>
              <w14:schemeClr w14:val="tx1"/>
            </w14:solidFill>
          </w14:textFill>
        </w:rPr>
      </w:pPr>
    </w:p>
    <w:p w14:paraId="1C3F1EF0">
      <w:pPr>
        <w:spacing w:line="360" w:lineRule="auto"/>
        <w:jc w:val="center"/>
        <w:rPr>
          <w:rFonts w:ascii="宋体" w:hAnsi="宋体" w:cs="宋体"/>
          <w:b/>
          <w:color w:val="000000" w:themeColor="text1"/>
          <w:spacing w:val="6"/>
          <w:sz w:val="32"/>
          <w:szCs w:val="32"/>
          <w14:textFill>
            <w14:solidFill>
              <w14:schemeClr w14:val="tx1"/>
            </w14:solidFill>
          </w14:textFill>
        </w:rPr>
      </w:pPr>
    </w:p>
    <w:p w14:paraId="0CDFD63F">
      <w:pPr>
        <w:spacing w:line="360" w:lineRule="auto"/>
        <w:jc w:val="left"/>
        <w:rPr>
          <w:rFonts w:ascii="宋体" w:hAnsi="宋体" w:cs="宋体"/>
          <w:b/>
          <w:color w:val="000000" w:themeColor="text1"/>
          <w:spacing w:val="6"/>
          <w:sz w:val="32"/>
          <w:szCs w:val="32"/>
          <w14:textFill>
            <w14:solidFill>
              <w14:schemeClr w14:val="tx1"/>
            </w14:solidFill>
          </w14:textFill>
        </w:rPr>
      </w:pPr>
    </w:p>
    <w:p w14:paraId="0FB3D6AD">
      <w:pPr>
        <w:spacing w:line="360" w:lineRule="auto"/>
        <w:jc w:val="left"/>
        <w:rPr>
          <w:rFonts w:ascii="宋体" w:hAnsi="宋体" w:cs="宋体"/>
          <w:b/>
          <w:color w:val="000000" w:themeColor="text1"/>
          <w:spacing w:val="6"/>
          <w:sz w:val="32"/>
          <w:szCs w:val="32"/>
          <w14:textFill>
            <w14:solidFill>
              <w14:schemeClr w14:val="tx1"/>
            </w14:solidFill>
          </w14:textFill>
        </w:rPr>
      </w:pPr>
    </w:p>
    <w:p w14:paraId="0F2E030F">
      <w:pPr>
        <w:spacing w:line="360" w:lineRule="auto"/>
        <w:jc w:val="left"/>
        <w:rPr>
          <w:rFonts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附件3：投诉书范本及制作说明</w:t>
      </w:r>
    </w:p>
    <w:p w14:paraId="3F06CA8B">
      <w:pPr>
        <w:spacing w:line="360" w:lineRule="auto"/>
        <w:jc w:val="center"/>
        <w:rPr>
          <w:rFonts w:ascii="宋体" w:hAnsi="宋体" w:cs="宋体"/>
          <w:b/>
          <w:color w:val="000000" w:themeColor="text1"/>
          <w:sz w:val="24"/>
          <w14:textFill>
            <w14:solidFill>
              <w14:schemeClr w14:val="tx1"/>
            </w14:solidFill>
          </w14:textFill>
        </w:rPr>
      </w:pPr>
    </w:p>
    <w:p w14:paraId="332F8294">
      <w:pPr>
        <w:spacing w:line="360" w:lineRule="auto"/>
        <w:jc w:val="center"/>
        <w:rPr>
          <w:rFonts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投诉书范本</w:t>
      </w:r>
    </w:p>
    <w:p w14:paraId="72624463">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一、投诉相关主体基本情况</w:t>
      </w:r>
    </w:p>
    <w:p w14:paraId="69B9E6C1">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投诉人：</w:t>
      </w:r>
      <w:r>
        <w:rPr>
          <w:rFonts w:hint="eastAsia" w:ascii="宋体" w:hAnsi="宋体" w:cs="宋体"/>
          <w:color w:val="000000" w:themeColor="text1"/>
          <w:sz w:val="24"/>
          <w:u w:val="dotted"/>
          <w14:textFill>
            <w14:solidFill>
              <w14:schemeClr w14:val="tx1"/>
            </w14:solidFill>
          </w14:textFill>
        </w:rPr>
        <w:t xml:space="preserve">                                               </w:t>
      </w:r>
    </w:p>
    <w:p w14:paraId="46766E84">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邮编：</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5EE354EA">
      <w:pPr>
        <w:tabs>
          <w:tab w:val="left" w:pos="6510"/>
        </w:tabs>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法定代表人/主要负责人：</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w:t>
      </w:r>
    </w:p>
    <w:p w14:paraId="5EDAF69E">
      <w:pPr>
        <w:tabs>
          <w:tab w:val="left" w:pos="6510"/>
        </w:tabs>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联系电话：</w:t>
      </w:r>
      <w:r>
        <w:rPr>
          <w:rFonts w:hint="eastAsia" w:ascii="宋体" w:hAnsi="宋体" w:cs="宋体"/>
          <w:color w:val="000000" w:themeColor="text1"/>
          <w:sz w:val="24"/>
          <w:u w:val="dotted"/>
          <w14:textFill>
            <w14:solidFill>
              <w14:schemeClr w14:val="tx1"/>
            </w14:solidFill>
          </w14:textFill>
        </w:rPr>
        <w:t xml:space="preserve">                                             </w:t>
      </w:r>
    </w:p>
    <w:p w14:paraId="07892FDB">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授权代表：</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联系电话</w:t>
      </w:r>
      <w:r>
        <w:rPr>
          <w:rFonts w:hint="eastAsia" w:ascii="宋体" w:hAnsi="宋体" w:cs="宋体"/>
          <w:color w:val="000000" w:themeColor="text1"/>
          <w:sz w:val="24"/>
          <w:u w:val="dotted"/>
          <w14:textFill>
            <w14:solidFill>
              <w14:schemeClr w14:val="tx1"/>
            </w14:solidFill>
          </w14:textFill>
        </w:rPr>
        <w:t xml:space="preserve">：                  </w:t>
      </w:r>
    </w:p>
    <w:p w14:paraId="11B9C848">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邮编：</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dotted"/>
          <w14:textFill>
            <w14:solidFill>
              <w14:schemeClr w14:val="tx1"/>
            </w14:solidFill>
          </w14:textFill>
        </w:rPr>
        <w:t xml:space="preserve">                   </w:t>
      </w:r>
    </w:p>
    <w:p w14:paraId="6CF415DE">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被投诉人1：</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52F452AC">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邮编：</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57E941B2">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联系人：</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联系电话：</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4C52511E">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被投诉人2</w:t>
      </w:r>
    </w:p>
    <w:p w14:paraId="10110C90">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p w14:paraId="4C6BB87F">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相关供应商：</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1B9D20E1">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邮编：</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3E353476">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联系人：</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联系电话：</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6C30791C">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二、投诉项目基本情况</w:t>
      </w:r>
    </w:p>
    <w:p w14:paraId="6864DFEF">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采购项目名称：</w:t>
      </w:r>
      <w:r>
        <w:rPr>
          <w:rFonts w:hint="eastAsia" w:ascii="宋体" w:hAnsi="宋体" w:cs="宋体"/>
          <w:color w:val="000000" w:themeColor="text1"/>
          <w:sz w:val="24"/>
          <w:u w:val="dotted"/>
          <w14:textFill>
            <w14:solidFill>
              <w14:schemeClr w14:val="tx1"/>
            </w14:solidFill>
          </w14:textFill>
        </w:rPr>
        <w:t xml:space="preserve">                                        </w:t>
      </w:r>
    </w:p>
    <w:p w14:paraId="0CCADA38">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采购项目编号：</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包号：</w:t>
      </w:r>
      <w:r>
        <w:rPr>
          <w:rFonts w:hint="eastAsia" w:ascii="宋体" w:hAnsi="宋体" w:cs="宋体"/>
          <w:color w:val="000000" w:themeColor="text1"/>
          <w:sz w:val="24"/>
          <w:u w:val="dotted"/>
          <w14:textFill>
            <w14:solidFill>
              <w14:schemeClr w14:val="tx1"/>
            </w14:solidFill>
          </w14:textFill>
        </w:rPr>
        <w:t xml:space="preserve">              </w:t>
      </w:r>
    </w:p>
    <w:p w14:paraId="3E5FD910">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采购人名称：</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5ED7FA1E">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代理机构名称：</w:t>
      </w:r>
      <w:r>
        <w:rPr>
          <w:rFonts w:hint="eastAsia" w:ascii="宋体" w:hAnsi="宋体" w:cs="宋体"/>
          <w:color w:val="000000" w:themeColor="text1"/>
          <w:sz w:val="24"/>
          <w:u w:val="dotted"/>
          <w14:textFill>
            <w14:solidFill>
              <w14:schemeClr w14:val="tx1"/>
            </w14:solidFill>
          </w14:textFill>
        </w:rPr>
        <w:t xml:space="preserve">                                         </w:t>
      </w:r>
    </w:p>
    <w:p w14:paraId="4C6A8208">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采购文件公告:</w:t>
      </w:r>
      <w:r>
        <w:rPr>
          <w:rFonts w:hint="eastAsia" w:ascii="宋体" w:hAnsi="宋体" w:cs="宋体"/>
          <w:color w:val="000000" w:themeColor="text1"/>
          <w:sz w:val="24"/>
          <w:u w:val="dotted"/>
          <w14:textFill>
            <w14:solidFill>
              <w14:schemeClr w14:val="tx1"/>
            </w14:solidFill>
          </w14:textFill>
        </w:rPr>
        <w:t xml:space="preserve">是/否 </w:t>
      </w:r>
      <w:r>
        <w:rPr>
          <w:rFonts w:hint="eastAsia" w:ascii="宋体" w:hAnsi="宋体" w:cs="宋体"/>
          <w:color w:val="000000" w:themeColor="text1"/>
          <w:sz w:val="24"/>
          <w14:textFill>
            <w14:solidFill>
              <w14:schemeClr w14:val="tx1"/>
            </w14:solidFill>
          </w14:textFill>
        </w:rPr>
        <w:t>公告期限：</w:t>
      </w:r>
      <w:r>
        <w:rPr>
          <w:rFonts w:hint="eastAsia" w:ascii="宋体" w:hAnsi="宋体" w:cs="宋体"/>
          <w:color w:val="000000" w:themeColor="text1"/>
          <w:sz w:val="24"/>
          <w:u w:val="dotted"/>
          <w14:textFill>
            <w14:solidFill>
              <w14:schemeClr w14:val="tx1"/>
            </w14:solidFill>
          </w14:textFill>
        </w:rPr>
        <w:t xml:space="preserve">                                 </w:t>
      </w:r>
    </w:p>
    <w:p w14:paraId="1782D83C">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采购结果公告:</w:t>
      </w:r>
      <w:r>
        <w:rPr>
          <w:rFonts w:hint="eastAsia" w:ascii="宋体" w:hAnsi="宋体" w:cs="宋体"/>
          <w:color w:val="000000" w:themeColor="text1"/>
          <w:sz w:val="24"/>
          <w:u w:val="dotted"/>
          <w14:textFill>
            <w14:solidFill>
              <w14:schemeClr w14:val="tx1"/>
            </w14:solidFill>
          </w14:textFill>
        </w:rPr>
        <w:t xml:space="preserve">是/否 </w:t>
      </w:r>
      <w:r>
        <w:rPr>
          <w:rFonts w:hint="eastAsia" w:ascii="宋体" w:hAnsi="宋体" w:cs="宋体"/>
          <w:color w:val="000000" w:themeColor="text1"/>
          <w:sz w:val="24"/>
          <w14:textFill>
            <w14:solidFill>
              <w14:schemeClr w14:val="tx1"/>
            </w14:solidFill>
          </w14:textFill>
        </w:rPr>
        <w:t>公告期限：</w:t>
      </w:r>
      <w:r>
        <w:rPr>
          <w:rFonts w:hint="eastAsia" w:ascii="宋体" w:hAnsi="宋体" w:cs="宋体"/>
          <w:color w:val="000000" w:themeColor="text1"/>
          <w:sz w:val="24"/>
          <w:u w:val="dotted"/>
          <w14:textFill>
            <w14:solidFill>
              <w14:schemeClr w14:val="tx1"/>
            </w14:solidFill>
          </w14:textFill>
        </w:rPr>
        <w:t xml:space="preserve">                        </w:t>
      </w:r>
    </w:p>
    <w:p w14:paraId="690CF9D4">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三、质疑基本情况</w:t>
      </w:r>
    </w:p>
    <w:p w14:paraId="18A443CF">
      <w:pPr>
        <w:spacing w:line="360" w:lineRule="auto"/>
        <w:ind w:firstLine="480" w:firstLineChars="200"/>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投诉人于</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日,向</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提出质疑，质疑事项为：</w:t>
      </w:r>
      <w:r>
        <w:rPr>
          <w:rFonts w:hint="eastAsia" w:ascii="宋体" w:hAnsi="宋体" w:cs="宋体"/>
          <w:color w:val="000000" w:themeColor="text1"/>
          <w:sz w:val="24"/>
          <w:u w:val="dotted"/>
          <w14:textFill>
            <w14:solidFill>
              <w14:schemeClr w14:val="tx1"/>
            </w14:solidFill>
          </w14:textFill>
        </w:rPr>
        <w:t xml:space="preserve">                                </w:t>
      </w:r>
    </w:p>
    <w:p w14:paraId="657D3535">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w:t>
      </w:r>
    </w:p>
    <w:p w14:paraId="7E1BF1EF">
      <w:pPr>
        <w:spacing w:line="360" w:lineRule="auto"/>
        <w:ind w:firstLine="360" w:firstLineChars="1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dotted"/>
          <w14:textFill>
            <w14:solidFill>
              <w14:schemeClr w14:val="tx1"/>
            </w14:solidFill>
          </w14:textFill>
        </w:rPr>
        <w:t>采购人/代理机构</w:t>
      </w:r>
      <w:r>
        <w:rPr>
          <w:rFonts w:hint="eastAsia" w:ascii="宋体" w:hAnsi="宋体" w:cs="宋体"/>
          <w:color w:val="000000" w:themeColor="text1"/>
          <w:sz w:val="24"/>
          <w14:textFill>
            <w14:solidFill>
              <w14:schemeClr w14:val="tx1"/>
            </w14:solidFill>
          </w14:textFill>
        </w:rPr>
        <w:t>于</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日,就质疑事项作出了答复/没有在法定期限内作出答复。</w:t>
      </w:r>
    </w:p>
    <w:p w14:paraId="1C485141">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四、投诉事项具体内容</w:t>
      </w:r>
    </w:p>
    <w:p w14:paraId="1FD52531">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投诉事项 1：</w:t>
      </w:r>
      <w:r>
        <w:rPr>
          <w:rFonts w:hint="eastAsia" w:ascii="宋体" w:hAnsi="宋体" w:cs="宋体"/>
          <w:color w:val="000000" w:themeColor="text1"/>
          <w:sz w:val="24"/>
          <w:u w:val="dotted"/>
          <w14:textFill>
            <w14:solidFill>
              <w14:schemeClr w14:val="tx1"/>
            </w14:solidFill>
          </w14:textFill>
        </w:rPr>
        <w:t xml:space="preserve">                                       </w:t>
      </w:r>
    </w:p>
    <w:p w14:paraId="78C38F93">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事实依据：</w:t>
      </w:r>
      <w:r>
        <w:rPr>
          <w:rFonts w:hint="eastAsia" w:ascii="宋体" w:hAnsi="宋体" w:cs="宋体"/>
          <w:color w:val="000000" w:themeColor="text1"/>
          <w:sz w:val="24"/>
          <w:u w:val="dotted"/>
          <w14:textFill>
            <w14:solidFill>
              <w14:schemeClr w14:val="tx1"/>
            </w14:solidFill>
          </w14:textFill>
        </w:rPr>
        <w:t xml:space="preserve">                                         </w:t>
      </w:r>
    </w:p>
    <w:p w14:paraId="183112E9">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u w:val="dotted"/>
          <w14:textFill>
            <w14:solidFill>
              <w14:schemeClr w14:val="tx1"/>
            </w14:solidFill>
          </w14:textFill>
        </w:rPr>
        <w:t xml:space="preserve">                                                      </w:t>
      </w:r>
    </w:p>
    <w:p w14:paraId="78F6C1FE">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法律依据：</w:t>
      </w:r>
      <w:r>
        <w:rPr>
          <w:rFonts w:hint="eastAsia" w:ascii="宋体" w:hAnsi="宋体" w:cs="宋体"/>
          <w:color w:val="000000" w:themeColor="text1"/>
          <w:sz w:val="24"/>
          <w:u w:val="dotted"/>
          <w14:textFill>
            <w14:solidFill>
              <w14:schemeClr w14:val="tx1"/>
            </w14:solidFill>
          </w14:textFill>
        </w:rPr>
        <w:t xml:space="preserve">                                          </w:t>
      </w:r>
    </w:p>
    <w:p w14:paraId="07AF9388">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u w:val="dotted"/>
          <w14:textFill>
            <w14:solidFill>
              <w14:schemeClr w14:val="tx1"/>
            </w14:solidFill>
          </w14:textFill>
        </w:rPr>
        <w:t xml:space="preserve">                                                      </w:t>
      </w:r>
    </w:p>
    <w:p w14:paraId="097EF693">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投诉事项2</w:t>
      </w:r>
    </w:p>
    <w:p w14:paraId="2F2E9FFF">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p w14:paraId="5D0B1489">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五、与投诉事项相关的投诉请求</w:t>
      </w:r>
    </w:p>
    <w:p w14:paraId="5EFA8213">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请求：</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w:t>
      </w:r>
    </w:p>
    <w:p w14:paraId="1816FB1E">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p w14:paraId="458D1918">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签字(签章)：                   公章：                      </w:t>
      </w:r>
    </w:p>
    <w:p w14:paraId="4D10AA2A">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日期：    </w:t>
      </w:r>
    </w:p>
    <w:p w14:paraId="371C0CDD">
      <w:pPr>
        <w:spacing w:line="360" w:lineRule="auto"/>
        <w:rPr>
          <w:rFonts w:ascii="宋体" w:hAnsi="宋体" w:cs="宋体"/>
          <w:b/>
          <w:color w:val="000000" w:themeColor="text1"/>
          <w:sz w:val="24"/>
          <w14:textFill>
            <w14:solidFill>
              <w14:schemeClr w14:val="tx1"/>
            </w14:solidFill>
          </w14:textFill>
        </w:rPr>
      </w:pPr>
    </w:p>
    <w:p w14:paraId="269EA533">
      <w:pPr>
        <w:spacing w:line="360" w:lineRule="auto"/>
        <w:rPr>
          <w:rFonts w:ascii="宋体" w:hAnsi="宋体" w:cs="宋体"/>
          <w:b/>
          <w:color w:val="000000" w:themeColor="text1"/>
          <w:sz w:val="24"/>
          <w14:textFill>
            <w14:solidFill>
              <w14:schemeClr w14:val="tx1"/>
            </w14:solidFill>
          </w14:textFill>
        </w:rPr>
      </w:pPr>
    </w:p>
    <w:p w14:paraId="5910E66F">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投诉书制作说明：</w:t>
      </w:r>
    </w:p>
    <w:p w14:paraId="40936894">
      <w:pPr>
        <w:widowControl/>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1.投诉人提起投诉时，应当提交投诉书和必要的证明材料，并按照被投诉人和与投诉事项有关的供应商数量提供投诉书副本。</w:t>
      </w:r>
    </w:p>
    <w:p w14:paraId="010782AA">
      <w:pPr>
        <w:widowControl/>
        <w:spacing w:line="36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2.投诉人若委托代理人进行投诉的，投诉书应按照要求列明“授权代表”的有关内容，并在附件中提交由</w:t>
      </w:r>
      <w:r>
        <w:rPr>
          <w:rFonts w:hint="eastAsia" w:ascii="宋体" w:hAnsi="宋体" w:cs="宋体"/>
          <w:color w:val="000000" w:themeColor="text1"/>
          <w:kern w:val="0"/>
          <w:sz w:val="24"/>
          <w14:textFill>
            <w14:solidFill>
              <w14:schemeClr w14:val="tx1"/>
            </w14:solidFill>
          </w14:textFill>
        </w:rPr>
        <w:t>投诉人签署的授权委托书。授权委托书应当载明代理人的姓名或者名称、代理事项、具体权限、期限和相关事项。</w:t>
      </w:r>
    </w:p>
    <w:p w14:paraId="682622B1">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3.投诉人若对项目的某一分包进行投诉，投诉书应列明具体分包号。</w:t>
      </w:r>
    </w:p>
    <w:p w14:paraId="772F5727">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4.投诉书应简要列明质疑事项，质疑函、质疑答复等作为附件材料提供。</w:t>
      </w:r>
    </w:p>
    <w:p w14:paraId="422E6010">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5.投诉书的投诉事项应具体、明确，并有必要的事实依据和法律依据。</w:t>
      </w:r>
    </w:p>
    <w:p w14:paraId="76CDF283">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6.投诉书的投诉请求应与投诉事项相关。</w:t>
      </w:r>
    </w:p>
    <w:p w14:paraId="3E6F802C">
      <w:pPr>
        <w:widowControl/>
        <w:spacing w:line="36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7.投诉人为自然人的，投诉书应当由本人签字；投诉人为法人或者其他组织的，投诉书应当由法定代表人、主要负责人，或者其授权代表签字或者盖章，并加盖公章。</w:t>
      </w:r>
    </w:p>
    <w:p w14:paraId="2E32BC5C">
      <w:pPr>
        <w:spacing w:line="360" w:lineRule="auto"/>
        <w:rPr>
          <w:rFonts w:ascii="宋体" w:hAnsi="宋体" w:cs="宋体"/>
          <w:b/>
          <w:color w:val="000000" w:themeColor="text1"/>
          <w:sz w:val="24"/>
          <w14:textFill>
            <w14:solidFill>
              <w14:schemeClr w14:val="tx1"/>
            </w14:solidFill>
          </w14:textFill>
        </w:rPr>
      </w:pPr>
    </w:p>
    <w:p w14:paraId="77262C72">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6CC6EC17">
      <w:pPr>
        <w:autoSpaceDE w:val="0"/>
        <w:autoSpaceDN w:val="0"/>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附件4：</w:t>
      </w:r>
      <w:r>
        <w:rPr>
          <w:rFonts w:hint="eastAsia" w:ascii="宋体" w:hAnsi="宋体" w:cs="宋体"/>
          <w:b/>
          <w:bCs/>
          <w:color w:val="000000" w:themeColor="text1"/>
          <w:sz w:val="32"/>
          <w:szCs w:val="32"/>
          <w14:textFill>
            <w14:solidFill>
              <w14:schemeClr w14:val="tx1"/>
            </w14:solidFill>
          </w14:textFill>
        </w:rPr>
        <w:t>业务专用章使用说明函</w:t>
      </w:r>
    </w:p>
    <w:p w14:paraId="2BA3CFAE">
      <w:pPr>
        <w:spacing w:line="360" w:lineRule="auto"/>
        <w:rPr>
          <w:rFonts w:ascii="宋体" w:hAnsi="宋体" w:cs="宋体"/>
          <w:color w:val="000000" w:themeColor="text1"/>
          <w:sz w:val="24"/>
          <w:u w:val="single"/>
          <w14:textFill>
            <w14:solidFill>
              <w14:schemeClr w14:val="tx1"/>
            </w14:solidFill>
          </w14:textFill>
        </w:rPr>
      </w:pPr>
    </w:p>
    <w:p w14:paraId="0EEE74CC">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浙江中医药大学、浙江豪圣建设项目管理有限公司</w:t>
      </w:r>
    </w:p>
    <w:p w14:paraId="1077A58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我方</w:t>
      </w:r>
      <w:r>
        <w:rPr>
          <w:rFonts w:hint="eastAsia" w:ascii="宋体" w:hAnsi="宋体" w:cs="宋体"/>
          <w:color w:val="000000" w:themeColor="text1"/>
          <w:kern w:val="0"/>
          <w:sz w:val="24"/>
          <w:u w:val="single"/>
          <w:lang w:val="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(供应商全称)是中华人民共和国依法登记注册的合法企业，</w:t>
      </w:r>
      <w:r>
        <w:rPr>
          <w:rFonts w:hint="eastAsia" w:ascii="宋体" w:hAnsi="宋体" w:cs="宋体"/>
          <w:bCs/>
          <w:color w:val="000000" w:themeColor="text1"/>
          <w:sz w:val="24"/>
          <w14:textFill>
            <w14:solidFill>
              <w14:schemeClr w14:val="tx1"/>
            </w14:solidFill>
          </w14:textFill>
        </w:rPr>
        <w:t>在参加</w:t>
      </w:r>
      <w:r>
        <w:rPr>
          <w:rFonts w:hint="eastAsia" w:ascii="宋体" w:hAnsi="宋体" w:cs="宋体"/>
          <w:color w:val="000000" w:themeColor="text1"/>
          <w:sz w:val="24"/>
          <w14:textFill>
            <w14:solidFill>
              <w14:schemeClr w14:val="tx1"/>
            </w14:solidFill>
          </w14:textFill>
        </w:rPr>
        <w:t>你方组织的浙江中医药大学富春校区体育场地修缮工程项目【项目编号：HSZB-2025-512】</w:t>
      </w:r>
      <w:r>
        <w:rPr>
          <w:rFonts w:hint="eastAsia" w:ascii="宋体" w:hAnsi="宋体" w:cs="宋体"/>
          <w:bCs/>
          <w:color w:val="000000" w:themeColor="text1"/>
          <w:sz w:val="24"/>
          <w14:textFill>
            <w14:solidFill>
              <w14:schemeClr w14:val="tx1"/>
            </w14:solidFill>
          </w14:textFill>
        </w:rPr>
        <w:t>投标活动中作如下说明：</w:t>
      </w:r>
      <w:r>
        <w:rPr>
          <w:rFonts w:hint="eastAsia" w:ascii="宋体" w:hAnsi="宋体" w:cs="宋体"/>
          <w:color w:val="000000" w:themeColor="text1"/>
          <w:sz w:val="24"/>
          <w14:textFill>
            <w14:solidFill>
              <w14:schemeClr w14:val="tx1"/>
            </w14:solidFill>
          </w14:textFill>
        </w:rPr>
        <w:t xml:space="preserve">我方所使用的“XX专用章”与法定名称章具有同等的法律效力，对使用“XX专用章”的行为予以完全承认，并愿意承担相应责任。   </w:t>
      </w:r>
    </w:p>
    <w:p w14:paraId="3D2AF5D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特此说明。</w:t>
      </w:r>
    </w:p>
    <w:p w14:paraId="655BC872">
      <w:pPr>
        <w:spacing w:line="360" w:lineRule="auto"/>
        <w:ind w:firstLine="494"/>
        <w:rPr>
          <w:rFonts w:ascii="宋体" w:hAnsi="宋体" w:cs="宋体"/>
          <w:color w:val="000000" w:themeColor="text1"/>
          <w:sz w:val="24"/>
          <w14:textFill>
            <w14:solidFill>
              <w14:schemeClr w14:val="tx1"/>
            </w14:solidFill>
          </w14:textFill>
        </w:rPr>
      </w:pPr>
    </w:p>
    <w:p w14:paraId="5C5E8073">
      <w:pPr>
        <w:spacing w:line="360" w:lineRule="auto"/>
        <w:ind w:firstLine="494"/>
        <w:rPr>
          <w:rFonts w:ascii="宋体" w:hAnsi="宋体" w:cs="宋体"/>
          <w:color w:val="000000" w:themeColor="text1"/>
          <w:sz w:val="24"/>
          <w14:textFill>
            <w14:solidFill>
              <w14:schemeClr w14:val="tx1"/>
            </w14:solidFill>
          </w14:textFill>
        </w:rPr>
      </w:pPr>
    </w:p>
    <w:p w14:paraId="04BB1BF0">
      <w:pPr>
        <w:spacing w:line="360" w:lineRule="auto"/>
        <w:ind w:firstLine="494"/>
        <w:rPr>
          <w:rFonts w:ascii="宋体" w:hAnsi="宋体" w:cs="宋体"/>
          <w:color w:val="000000" w:themeColor="text1"/>
          <w:sz w:val="24"/>
          <w14:textFill>
            <w14:solidFill>
              <w14:schemeClr w14:val="tx1"/>
            </w14:solidFill>
          </w14:textFill>
        </w:rPr>
      </w:pPr>
    </w:p>
    <w:p w14:paraId="7AB63046">
      <w:pPr>
        <w:spacing w:line="360" w:lineRule="auto"/>
        <w:ind w:firstLine="494"/>
        <w:rPr>
          <w:rFonts w:ascii="宋体" w:hAnsi="宋体" w:cs="宋体"/>
          <w:color w:val="000000" w:themeColor="text1"/>
          <w:sz w:val="24"/>
          <w14:textFill>
            <w14:solidFill>
              <w14:schemeClr w14:val="tx1"/>
            </w14:solidFill>
          </w14:textFill>
        </w:rPr>
      </w:pPr>
    </w:p>
    <w:p w14:paraId="3759BCCE">
      <w:pPr>
        <w:spacing w:line="360" w:lineRule="auto"/>
        <w:ind w:right="480" w:firstLine="4080" w:firstLineChars="17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供应商（法定名称章）：</w:t>
      </w:r>
    </w:p>
    <w:p w14:paraId="0696D09F">
      <w:pPr>
        <w:ind w:right="1440" w:firstLine="494"/>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日期：       年     月     日</w:t>
      </w:r>
    </w:p>
    <w:p w14:paraId="1013C01C">
      <w:pP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w:t>
      </w:r>
    </w:p>
    <w:p w14:paraId="01591710">
      <w:pPr>
        <w:spacing w:line="360" w:lineRule="auto"/>
        <w:rPr>
          <w:rFonts w:ascii="宋体" w:hAnsi="宋体" w:cs="宋体"/>
          <w:bCs/>
          <w:color w:val="000000" w:themeColor="text1"/>
          <w:sz w:val="24"/>
          <w14:textFill>
            <w14:solidFill>
              <w14:schemeClr w14:val="tx1"/>
            </w14:solidFill>
          </w14:textFill>
        </w:rPr>
      </w:pPr>
      <w:r>
        <w:rPr>
          <w:rFonts w:ascii="宋体" w:hAnsi="宋体" w:cs="宋体"/>
          <w:b/>
          <w:bCs/>
          <w:color w:val="000000" w:themeColor="text1"/>
          <w:sz w:val="24"/>
          <w14:textFill>
            <w14:solidFill>
              <w14:schemeClr w14:val="tx1"/>
            </w14:solidFill>
          </w14:textFill>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ascii="宋体" w:hAnsi="宋体" w:cs="宋体"/>
          <w:b/>
          <w:bCs/>
          <w:color w:val="000000" w:themeColor="text1"/>
          <w:sz w:val="24"/>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color w:val="000000" w:themeColor="text1"/>
          <w:sz w:val="24"/>
          <w14:textFill>
            <w14:solidFill>
              <w14:schemeClr w14:val="tx1"/>
            </w14:solidFill>
          </w14:textFill>
        </w:rPr>
        <w:t>供应商</w:t>
      </w:r>
      <w:r>
        <w:rPr>
          <w:rFonts w:hint="eastAsia" w:ascii="宋体" w:hAnsi="宋体" w:cs="宋体"/>
          <w:color w:val="000000" w:themeColor="text1"/>
          <w:sz w:val="24"/>
          <w14:textFill>
            <w14:solidFill>
              <w14:schemeClr w14:val="tx1"/>
            </w14:solidFill>
          </w14:textFill>
        </w:rPr>
        <w:t>法定名称章（印模）                供应商“XX专用章”（印模）</w:t>
      </w:r>
    </w:p>
    <w:p w14:paraId="4AAE5D7C">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3B12E758">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330551F0">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6C910082">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2D6F7E68">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7441E0C5">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55E15674">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1343D069">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50C6FF12">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65619A70">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72CDB194">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52056487">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387CCE83">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7ACD2145">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15F38654">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4B7B9982">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45DC9B72">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4E03FDD6">
      <w:pPr>
        <w:autoSpaceDE w:val="0"/>
        <w:autoSpaceDN w:val="0"/>
        <w:jc w:val="center"/>
        <w:rPr>
          <w:rFonts w:ascii="宋体" w:hAnsi="宋体" w:cs="宋体"/>
          <w:b/>
          <w:color w:val="000000" w:themeColor="text1"/>
          <w:kern w:val="0"/>
          <w:sz w:val="32"/>
          <w:szCs w:val="32"/>
          <w:lang w:val="zh-CN"/>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w:t>
      </w:r>
      <w:r>
        <w:rPr>
          <w:rFonts w:ascii="宋体" w:hAnsi="宋体" w:cs="宋体"/>
          <w:b/>
          <w:color w:val="000000" w:themeColor="text1"/>
          <w:spacing w:val="6"/>
          <w:sz w:val="32"/>
          <w:szCs w:val="32"/>
          <w14:textFill>
            <w14:solidFill>
              <w14:schemeClr w14:val="tx1"/>
            </w14:solidFill>
          </w14:textFill>
        </w:rPr>
        <w:t>5</w:t>
      </w:r>
      <w:r>
        <w:rPr>
          <w:rFonts w:hint="eastAsia" w:ascii="宋体" w:hAnsi="宋体" w:cs="宋体"/>
          <w:b/>
          <w:color w:val="000000" w:themeColor="text1"/>
          <w:spacing w:val="6"/>
          <w:sz w:val="32"/>
          <w:szCs w:val="32"/>
          <w14:textFill>
            <w14:solidFill>
              <w14:schemeClr w14:val="tx1"/>
            </w14:solidFill>
          </w14:textFill>
        </w:rPr>
        <w:t>：</w:t>
      </w:r>
      <w:r>
        <w:rPr>
          <w:rFonts w:hint="eastAsia" w:ascii="宋体" w:hAnsi="宋体" w:cs="宋体"/>
          <w:b/>
          <w:color w:val="000000" w:themeColor="text1"/>
          <w:kern w:val="0"/>
          <w:sz w:val="32"/>
          <w:szCs w:val="32"/>
          <w:lang w:val="zh-CN"/>
          <w14:textFill>
            <w14:solidFill>
              <w14:schemeClr w14:val="tx1"/>
            </w14:solidFill>
          </w14:textFill>
        </w:rPr>
        <w:t>联合协议</w:t>
      </w:r>
    </w:p>
    <w:p w14:paraId="32734090">
      <w:pPr>
        <w:widowControl/>
        <w:spacing w:line="360" w:lineRule="auto"/>
        <w:ind w:firstLine="482" w:firstLineChars="200"/>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（以联合体形式参与的，提供联合协议；本项目不接受联合体或者供应商不以联合体形式参与的，则不需要提供）</w:t>
      </w:r>
    </w:p>
    <w:p w14:paraId="1F105E29">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u w:val="single"/>
          <w14:textFill>
            <w14:solidFill>
              <w14:schemeClr w14:val="tx1"/>
            </w14:solidFill>
          </w14:textFill>
        </w:rPr>
        <w:t>（联合体所有成员名称）</w:t>
      </w:r>
      <w:r>
        <w:rPr>
          <w:rFonts w:hint="eastAsia" w:ascii="宋体" w:hAnsi="宋体" w:cs="宋体"/>
          <w:color w:val="000000" w:themeColor="text1"/>
          <w:kern w:val="0"/>
          <w:sz w:val="24"/>
          <w14:textFill>
            <w14:solidFill>
              <w14:schemeClr w14:val="tx1"/>
            </w14:solidFill>
          </w14:textFill>
        </w:rPr>
        <w:t>自愿</w:t>
      </w:r>
      <w:r>
        <w:rPr>
          <w:rFonts w:hint="eastAsia" w:ascii="宋体" w:hAnsi="宋体" w:cs="宋体"/>
          <w:color w:val="000000" w:themeColor="text1"/>
          <w:kern w:val="0"/>
          <w:sz w:val="24"/>
          <w:lang w:val="zh-CN"/>
          <w14:textFill>
            <w14:solidFill>
              <w14:schemeClr w14:val="tx1"/>
            </w14:solidFill>
          </w14:textFill>
        </w:rPr>
        <w:t>组成一个联合体，以一个供应商的身份</w:t>
      </w:r>
      <w:r>
        <w:rPr>
          <w:rFonts w:hint="eastAsia" w:ascii="宋体" w:hAnsi="宋体" w:cs="宋体"/>
          <w:color w:val="000000" w:themeColor="text1"/>
          <w:kern w:val="0"/>
          <w:sz w:val="24"/>
          <w14:textFill>
            <w14:solidFill>
              <w14:schemeClr w14:val="tx1"/>
            </w14:solidFill>
          </w14:textFill>
        </w:rPr>
        <w:t>参加</w:t>
      </w:r>
      <w:r>
        <w:rPr>
          <w:rFonts w:hint="eastAsia" w:ascii="宋体" w:hAnsi="宋体" w:cs="宋体"/>
          <w:color w:val="000000" w:themeColor="text1"/>
          <w:sz w:val="24"/>
          <w14:textFill>
            <w14:solidFill>
              <w14:schemeClr w14:val="tx1"/>
            </w14:solidFill>
          </w14:textFill>
        </w:rPr>
        <w:t>浙江中医药大学富春校区体育场地修缮工程【项目编号：HSZB-2025-512】</w:t>
      </w:r>
      <w:r>
        <w:rPr>
          <w:rFonts w:hint="eastAsia" w:ascii="宋体" w:hAnsi="宋体" w:cs="宋体"/>
          <w:color w:val="000000" w:themeColor="text1"/>
          <w:kern w:val="0"/>
          <w:sz w:val="24"/>
          <w14:textFill>
            <w14:solidFill>
              <w14:schemeClr w14:val="tx1"/>
            </w14:solidFill>
          </w14:textFill>
        </w:rPr>
        <w:t>响应</w:t>
      </w:r>
      <w:r>
        <w:rPr>
          <w:rFonts w:hint="eastAsia" w:ascii="宋体" w:hAnsi="宋体" w:cs="宋体"/>
          <w:color w:val="000000" w:themeColor="text1"/>
          <w:kern w:val="0"/>
          <w:sz w:val="24"/>
          <w:lang w:val="zh-CN"/>
          <w14:textFill>
            <w14:solidFill>
              <w14:schemeClr w14:val="tx1"/>
            </w14:solidFill>
          </w14:textFill>
        </w:rPr>
        <w:t xml:space="preserve">。 </w:t>
      </w:r>
    </w:p>
    <w:p w14:paraId="648F802F">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一、各方一致决定，</w:t>
      </w:r>
      <w:r>
        <w:rPr>
          <w:rFonts w:hint="eastAsia" w:ascii="宋体" w:hAnsi="宋体" w:cs="宋体"/>
          <w:color w:val="000000" w:themeColor="text1"/>
          <w:kern w:val="0"/>
          <w:sz w:val="24"/>
          <w:u w:val="single"/>
          <w14:textFill>
            <w14:solidFill>
              <w14:schemeClr w14:val="tx1"/>
            </w14:solidFill>
          </w14:textFill>
        </w:rPr>
        <w:t>（某联合体成员名称）</w:t>
      </w:r>
      <w:r>
        <w:rPr>
          <w:rFonts w:hint="eastAsia" w:ascii="宋体" w:hAnsi="宋体" w:cs="宋体"/>
          <w:color w:val="000000" w:themeColor="text1"/>
          <w:kern w:val="0"/>
          <w:sz w:val="24"/>
          <w14:textFill>
            <w14:solidFill>
              <w14:schemeClr w14:val="tx1"/>
            </w14:solidFill>
          </w14:textFill>
        </w:rPr>
        <w:t>为联合体</w:t>
      </w:r>
      <w:r>
        <w:rPr>
          <w:rFonts w:hint="eastAsia" w:ascii="宋体" w:hAnsi="宋体" w:cs="宋体"/>
          <w:color w:val="000000" w:themeColor="text1"/>
          <w:kern w:val="0"/>
          <w:sz w:val="24"/>
          <w:lang w:val="zh-CN"/>
          <w14:textFill>
            <w14:solidFill>
              <w14:schemeClr w14:val="tx1"/>
            </w14:solidFill>
          </w14:textFill>
        </w:rPr>
        <w:t>牵头人</w:t>
      </w:r>
      <w:r>
        <w:rPr>
          <w:rFonts w:hint="eastAsia" w:ascii="宋体" w:hAnsi="宋体" w:cs="宋体"/>
          <w:color w:val="000000" w:themeColor="text1"/>
          <w:sz w:val="24"/>
          <w14:textFill>
            <w14:solidFill>
              <w14:schemeClr w14:val="tx1"/>
            </w14:solidFill>
          </w14:textFill>
        </w:rPr>
        <w:t>，代表所有联合体成员负责投标和合同实施阶段的主办、协调工作</w:t>
      </w:r>
      <w:r>
        <w:rPr>
          <w:rFonts w:hint="eastAsia" w:ascii="宋体" w:hAnsi="宋体" w:cs="宋体"/>
          <w:color w:val="000000" w:themeColor="text1"/>
          <w:kern w:val="0"/>
          <w:sz w:val="24"/>
          <w:lang w:val="zh-CN"/>
          <w14:textFill>
            <w14:solidFill>
              <w14:schemeClr w14:val="tx1"/>
            </w14:solidFill>
          </w14:textFill>
        </w:rPr>
        <w:t>。</w:t>
      </w:r>
    </w:p>
    <w:p w14:paraId="01539F85">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二、</w:t>
      </w:r>
      <w:r>
        <w:rPr>
          <w:rFonts w:hint="eastAsia" w:ascii="宋体" w:hAnsi="宋体" w:cs="宋体"/>
          <w:color w:val="000000" w:themeColor="text1"/>
          <w:sz w:val="24"/>
          <w14:textFill>
            <w14:solidFill>
              <w14:schemeClr w14:val="tx1"/>
            </w14:solidFill>
          </w14:textFill>
        </w:rPr>
        <w:t>所有联合体成员各方签署授权书，授权书载明的</w:t>
      </w:r>
      <w:r>
        <w:rPr>
          <w:rFonts w:hint="eastAsia" w:ascii="宋体" w:hAnsi="宋体" w:cs="宋体"/>
          <w:color w:val="000000" w:themeColor="text1"/>
          <w:kern w:val="0"/>
          <w:sz w:val="24"/>
          <w:lang w:val="zh-CN"/>
          <w14:textFill>
            <w14:solidFill>
              <w14:schemeClr w14:val="tx1"/>
            </w14:solidFill>
          </w14:textFill>
        </w:rPr>
        <w:t>授权代表根据采购文件规定及</w:t>
      </w:r>
      <w:r>
        <w:rPr>
          <w:rFonts w:hint="eastAsia" w:ascii="宋体" w:hAnsi="宋体" w:cs="宋体"/>
          <w:color w:val="000000" w:themeColor="text1"/>
          <w:kern w:val="0"/>
          <w:sz w:val="24"/>
          <w14:textFill>
            <w14:solidFill>
              <w14:schemeClr w14:val="tx1"/>
            </w14:solidFill>
          </w14:textFill>
        </w:rPr>
        <w:t>响应内容</w:t>
      </w:r>
      <w:r>
        <w:rPr>
          <w:rFonts w:hint="eastAsia" w:ascii="宋体" w:hAnsi="宋体" w:cs="宋体"/>
          <w:color w:val="000000" w:themeColor="text1"/>
          <w:kern w:val="0"/>
          <w:sz w:val="24"/>
          <w:lang w:val="zh-CN"/>
          <w14:textFill>
            <w14:solidFill>
              <w14:schemeClr w14:val="tx1"/>
            </w14:solidFill>
          </w14:textFill>
        </w:rPr>
        <w:t>而对采购人、采购代理机构所作的任何合法承诺，包括书面澄清及相应等均对联合投标各方产生约束力。</w:t>
      </w:r>
    </w:p>
    <w:p w14:paraId="425B517E">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三、本次联合</w:t>
      </w:r>
      <w:r>
        <w:rPr>
          <w:rFonts w:hint="eastAsia" w:ascii="宋体" w:hAnsi="宋体" w:cs="宋体"/>
          <w:color w:val="000000" w:themeColor="text1"/>
          <w:kern w:val="0"/>
          <w:sz w:val="24"/>
          <w14:textFill>
            <w14:solidFill>
              <w14:schemeClr w14:val="tx1"/>
            </w14:solidFill>
          </w14:textFill>
        </w:rPr>
        <w:t>响应</w:t>
      </w:r>
      <w:r>
        <w:rPr>
          <w:rFonts w:hint="eastAsia" w:ascii="宋体" w:hAnsi="宋体" w:cs="宋体"/>
          <w:color w:val="000000" w:themeColor="text1"/>
          <w:kern w:val="0"/>
          <w:sz w:val="24"/>
          <w:lang w:val="zh-CN"/>
          <w14:textFill>
            <w14:solidFill>
              <w14:schemeClr w14:val="tx1"/>
            </w14:solidFill>
          </w14:textFill>
        </w:rPr>
        <w:t>中，分工如下：</w:t>
      </w:r>
    </w:p>
    <w:p w14:paraId="4214F7F0">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bookmarkStart w:id="565" w:name="_Hlk101134295"/>
      <w:r>
        <w:rPr>
          <w:rFonts w:hint="eastAsia" w:ascii="宋体" w:hAnsi="宋体" w:cs="宋体"/>
          <w:color w:val="000000" w:themeColor="text1"/>
          <w:kern w:val="0"/>
          <w:sz w:val="24"/>
          <w:u w:val="single"/>
          <w14:textFill>
            <w14:solidFill>
              <w14:schemeClr w14:val="tx1"/>
            </w14:solidFill>
          </w14:textFill>
        </w:rPr>
        <w:t>（联合体成员1）</w:t>
      </w:r>
      <w:r>
        <w:rPr>
          <w:rFonts w:hint="eastAsia" w:ascii="宋体" w:hAnsi="宋体" w:cs="宋体"/>
          <w:color w:val="000000" w:themeColor="text1"/>
          <w:kern w:val="0"/>
          <w:sz w:val="24"/>
          <w:lang w:val="zh-CN"/>
          <w14:textFill>
            <w14:solidFill>
              <w14:schemeClr w14:val="tx1"/>
            </w14:solidFill>
          </w14:textFill>
        </w:rPr>
        <w:t>承担的工作和义务为：</w:t>
      </w:r>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w:t>
      </w:r>
    </w:p>
    <w:p w14:paraId="068B3394">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u w:val="single"/>
          <w14:textFill>
            <w14:solidFill>
              <w14:schemeClr w14:val="tx1"/>
            </w14:solidFill>
          </w14:textFill>
        </w:rPr>
        <w:t>（联合体成员</w:t>
      </w:r>
      <w:r>
        <w:rPr>
          <w:rFonts w:ascii="宋体" w:hAnsi="宋体" w:cs="宋体"/>
          <w:color w:val="000000" w:themeColor="text1"/>
          <w:kern w:val="0"/>
          <w:sz w:val="24"/>
          <w:u w:val="single"/>
          <w14:textFill>
            <w14:solidFill>
              <w14:schemeClr w14:val="tx1"/>
            </w14:solidFill>
          </w14:textFill>
        </w:rPr>
        <w:t>2</w:t>
      </w:r>
      <w:r>
        <w:rPr>
          <w:rFonts w:hint="eastAsia"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承担的工作和义务为：</w:t>
      </w:r>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w:t>
      </w:r>
    </w:p>
    <w:p w14:paraId="08CFECB2">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w:t>
      </w:r>
    </w:p>
    <w:bookmarkEnd w:id="565"/>
    <w:p w14:paraId="59440A5F">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四、联合体成员中小企业合同份额。</w:t>
      </w:r>
    </w:p>
    <w:p w14:paraId="4D42F5CD">
      <w:pPr>
        <w:snapToGrid w:val="0"/>
        <w:spacing w:line="360" w:lineRule="auto"/>
        <w:ind w:firstLine="576"/>
        <w:rPr>
          <w:rFonts w:ascii="宋体" w:hAnsi="宋体" w:cs="宋体"/>
          <w:b/>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1、</w:t>
      </w:r>
      <w:r>
        <w:rPr>
          <w:rFonts w:hint="eastAsia" w:ascii="宋体" w:hAnsi="宋体" w:cs="宋体"/>
          <w:color w:val="000000" w:themeColor="text1"/>
          <w:kern w:val="0"/>
          <w:sz w:val="24"/>
          <w:u w:val="single"/>
          <w14:textFill>
            <w14:solidFill>
              <w14:schemeClr w14:val="tx1"/>
            </w14:solidFill>
          </w14:textFill>
        </w:rPr>
        <w:t>（联合体成员</w:t>
      </w:r>
      <w:r>
        <w:rPr>
          <w:rFonts w:ascii="宋体" w:hAnsi="宋体" w:cs="宋体"/>
          <w:color w:val="000000" w:themeColor="text1"/>
          <w:kern w:val="0"/>
          <w:sz w:val="24"/>
          <w:u w:val="single"/>
          <w14:textFill>
            <w14:solidFill>
              <w14:schemeClr w14:val="tx1"/>
            </w14:solidFill>
          </w14:textFill>
        </w:rPr>
        <w:t>X,</w:t>
      </w:r>
      <w:r>
        <w:rPr>
          <w:rFonts w:hint="eastAsia"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14:textFill>
            <w14:solidFill>
              <w14:schemeClr w14:val="tx1"/>
            </w14:solidFill>
          </w14:textFill>
        </w:rPr>
        <w:t>提供的全部工程由小微企业承建，其合同份额占到合同总金额</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%以上；</w:t>
      </w:r>
      <w:r>
        <w:rPr>
          <w:rFonts w:hint="eastAsia" w:ascii="宋体" w:hAnsi="宋体" w:cs="宋体"/>
          <w:color w:val="000000" w:themeColor="text1"/>
          <w:kern w:val="0"/>
          <w:sz w:val="24"/>
          <w:lang w:val="zh-CN"/>
          <w14:textFill>
            <w14:solidFill>
              <w14:schemeClr w14:val="tx1"/>
            </w14:solidFill>
          </w14:textFill>
        </w:rPr>
        <w:t>……。</w:t>
      </w:r>
      <w:r>
        <w:rPr>
          <w:rFonts w:hint="eastAsia" w:ascii="宋体" w:hAnsi="宋体" w:cs="宋体"/>
          <w:b/>
          <w:color w:val="000000" w:themeColor="text1"/>
          <w:kern w:val="0"/>
          <w:sz w:val="24"/>
          <w:lang w:val="zh-CN"/>
          <w14:textFill>
            <w14:solidFill>
              <w14:schemeClr w14:val="tx1"/>
            </w14:solidFill>
          </w14:textFill>
        </w:rPr>
        <w:t>（未预留份额专门面向中小企业采购的采购项目，以及预留份额中的非预留部分采购包，接受联合体</w:t>
      </w:r>
      <w:r>
        <w:rPr>
          <w:rFonts w:hint="eastAsia" w:ascii="宋体" w:hAnsi="宋体" w:cs="宋体"/>
          <w:b/>
          <w:color w:val="000000" w:themeColor="text1"/>
          <w:kern w:val="0"/>
          <w:sz w:val="24"/>
          <w14:textFill>
            <w14:solidFill>
              <w14:schemeClr w14:val="tx1"/>
            </w14:solidFill>
          </w14:textFill>
        </w:rPr>
        <w:t>磋商</w:t>
      </w:r>
      <w:r>
        <w:rPr>
          <w:rFonts w:hint="eastAsia" w:ascii="宋体" w:hAnsi="宋体" w:cs="宋体"/>
          <w:b/>
          <w:color w:val="000000" w:themeColor="text1"/>
          <w:kern w:val="0"/>
          <w:sz w:val="24"/>
          <w:lang w:val="zh-CN"/>
          <w14:textFill>
            <w14:solidFill>
              <w14:schemeClr w14:val="tx1"/>
            </w14:solidFill>
          </w14:textFill>
        </w:rPr>
        <w:t>的，联合协议约定小微企业的合同份额占到合同总金额30%以上的，对联合体报价给予</w:t>
      </w:r>
      <w:r>
        <w:rPr>
          <w:rFonts w:hint="eastAsia" w:ascii="宋体" w:hAnsi="宋体" w:cs="宋体"/>
          <w:b/>
          <w:color w:val="000000" w:themeColor="text1"/>
          <w:kern w:val="0"/>
          <w:sz w:val="24"/>
          <w14:textFill>
            <w14:solidFill>
              <w14:schemeClr w14:val="tx1"/>
            </w14:solidFill>
          </w14:textFill>
        </w:rPr>
        <w:t>2</w:t>
      </w:r>
      <w:r>
        <w:rPr>
          <w:rFonts w:hint="eastAsia" w:ascii="宋体" w:hAnsi="宋体" w:cs="宋体"/>
          <w:b/>
          <w:color w:val="000000" w:themeColor="text1"/>
          <w:kern w:val="0"/>
          <w:sz w:val="24"/>
          <w:lang w:val="zh-CN"/>
          <w14:textFill>
            <w14:solidFill>
              <w14:schemeClr w14:val="tx1"/>
            </w14:solidFill>
          </w14:textFill>
        </w:rPr>
        <w:t>%的扣除。供应商</w:t>
      </w:r>
      <w:r>
        <w:rPr>
          <w:rFonts w:hint="eastAsia" w:ascii="宋体" w:hAnsi="宋体" w:cs="宋体"/>
          <w:b/>
          <w:color w:val="000000" w:themeColor="text1"/>
          <w:sz w:val="24"/>
          <w14:textFill>
            <w14:solidFill>
              <w14:schemeClr w14:val="tx1"/>
            </w14:solidFill>
          </w14:textFill>
        </w:rPr>
        <w:t>拟享受以上价格扣除政策的，填写有关内容。</w:t>
      </w:r>
      <w:r>
        <w:rPr>
          <w:rFonts w:hint="eastAsia" w:ascii="宋体" w:hAnsi="宋体" w:cs="宋体"/>
          <w:b/>
          <w:color w:val="000000" w:themeColor="text1"/>
          <w:kern w:val="0"/>
          <w:sz w:val="24"/>
          <w:lang w:val="zh-CN"/>
          <w14:textFill>
            <w14:solidFill>
              <w14:schemeClr w14:val="tx1"/>
            </w14:solidFill>
          </w14:textFill>
        </w:rPr>
        <w:t>）</w:t>
      </w:r>
    </w:p>
    <w:p w14:paraId="054DF9BC">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2、中小企业合同金额达到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%，其中小微企业合同金额达到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w:t>
      </w:r>
      <w:r>
        <w:rPr>
          <w:rFonts w:hint="eastAsia" w:ascii="宋体" w:hAnsi="宋体" w:cs="宋体"/>
          <w:b/>
          <w:bCs/>
          <w:color w:val="000000" w:themeColor="text1"/>
          <w:kern w:val="0"/>
          <w:sz w:val="24"/>
          <w:lang w:val="zh-CN"/>
          <w14:textFill>
            <w14:solidFill>
              <w14:schemeClr w14:val="tx1"/>
            </w14:solidFill>
          </w14:textFill>
        </w:rPr>
        <w:t>（</w:t>
      </w:r>
      <w:r>
        <w:rPr>
          <w:rFonts w:hint="eastAsia" w:ascii="宋体" w:hAnsi="宋体" w:cs="宋体"/>
          <w:b/>
          <w:bCs/>
          <w:color w:val="000000" w:themeColor="text1"/>
          <w:sz w:val="24"/>
          <w14:textFill>
            <w14:solidFill>
              <w14:schemeClr w14:val="tx1"/>
            </w14:solidFill>
          </w14:textFill>
        </w:rPr>
        <w:t>要求以联合体形式参加的项目或采购包，供应商按采购文件第一部分竞争性磋商公告申请人的资格要求中规定的联合协议中中小企业、小微企业合同金额应当达到的比例要求填写。</w:t>
      </w:r>
      <w:r>
        <w:rPr>
          <w:rFonts w:hint="eastAsia" w:ascii="宋体" w:hAnsi="宋体" w:cs="宋体"/>
          <w:b/>
          <w:bCs/>
          <w:color w:val="000000" w:themeColor="text1"/>
          <w:kern w:val="0"/>
          <w:sz w:val="24"/>
          <w:lang w:val="zh-CN"/>
          <w14:textFill>
            <w14:solidFill>
              <w14:schemeClr w14:val="tx1"/>
            </w14:solidFill>
          </w14:textFill>
        </w:rPr>
        <w:t>）</w:t>
      </w:r>
    </w:p>
    <w:p w14:paraId="659C6839">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五、如果成交，</w:t>
      </w:r>
      <w:r>
        <w:rPr>
          <w:rFonts w:hint="eastAsia" w:ascii="宋体" w:hAnsi="宋体" w:cs="宋体"/>
          <w:color w:val="000000" w:themeColor="text1"/>
          <w:sz w:val="24"/>
          <w14:textFill>
            <w14:solidFill>
              <w14:schemeClr w14:val="tx1"/>
            </w14:solidFill>
          </w14:textFill>
        </w:rPr>
        <w:t>联合体各成员方共同与采购人签订合同，并就采购合同约定的事项对采购人承担连带责任。</w:t>
      </w:r>
    </w:p>
    <w:p w14:paraId="43B6DBA4">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六、有关本次联合</w:t>
      </w:r>
      <w:r>
        <w:rPr>
          <w:rFonts w:hint="eastAsia" w:ascii="宋体" w:hAnsi="宋体" w:cs="宋体"/>
          <w:color w:val="000000" w:themeColor="text1"/>
          <w:kern w:val="0"/>
          <w:sz w:val="24"/>
          <w14:textFill>
            <w14:solidFill>
              <w14:schemeClr w14:val="tx1"/>
            </w14:solidFill>
          </w14:textFill>
        </w:rPr>
        <w:t>响应</w:t>
      </w:r>
      <w:r>
        <w:rPr>
          <w:rFonts w:hint="eastAsia" w:ascii="宋体" w:hAnsi="宋体" w:cs="宋体"/>
          <w:color w:val="000000" w:themeColor="text1"/>
          <w:kern w:val="0"/>
          <w:sz w:val="24"/>
          <w:lang w:val="zh-CN"/>
          <w14:textFill>
            <w14:solidFill>
              <w14:schemeClr w14:val="tx1"/>
            </w14:solidFill>
          </w14:textFill>
        </w:rPr>
        <w:t>的其他事宜：</w:t>
      </w:r>
    </w:p>
    <w:p w14:paraId="507F4881">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1、联合体各方不再单独参加或者与其他供应商另外组成联合体参加同一合同项下的政府采购活动。</w:t>
      </w:r>
    </w:p>
    <w:p w14:paraId="25E05940">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2、联合体中有同类资质的各方按照联合体分工承担相同工作的，按照资质等级较低的供应商确定资质等级。</w:t>
      </w:r>
    </w:p>
    <w:p w14:paraId="22EB6586">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3、本协议提交采购人、采购代理机构后，联合体各方不得以任何形式对上述内容进行修改或撤销。</w:t>
      </w:r>
    </w:p>
    <w:p w14:paraId="7E9F53C2">
      <w:pPr>
        <w:snapToGrid w:val="0"/>
        <w:spacing w:line="360" w:lineRule="auto"/>
        <w:ind w:firstLine="5040" w:firstLineChars="21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联合体成员名称(电子签名/公章)：</w:t>
      </w:r>
    </w:p>
    <w:p w14:paraId="249CB018">
      <w:pPr>
        <w:snapToGrid w:val="0"/>
        <w:spacing w:line="360" w:lineRule="auto"/>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日期：  年  月   日</w:t>
      </w:r>
    </w:p>
    <w:p w14:paraId="24BA20E4">
      <w:pPr>
        <w:spacing w:line="360" w:lineRule="auto"/>
        <w:ind w:right="42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注：按本格式和要求提供。</w:t>
      </w:r>
    </w:p>
    <w:p w14:paraId="2B87B075">
      <w:pPr>
        <w:autoSpaceDE w:val="0"/>
        <w:autoSpaceDN w:val="0"/>
        <w:jc w:val="center"/>
        <w:rPr>
          <w:rFonts w:ascii="宋体" w:hAnsi="宋体" w:cs="宋体"/>
          <w:b/>
          <w:color w:val="000000" w:themeColor="text1"/>
          <w:spacing w:val="6"/>
          <w:sz w:val="32"/>
          <w:szCs w:val="32"/>
          <w14:textFill>
            <w14:solidFill>
              <w14:schemeClr w14:val="tx1"/>
            </w14:solidFill>
          </w14:textFill>
        </w:rPr>
        <w:sectPr>
          <w:footerReference r:id="rId16" w:type="first"/>
          <w:headerReference r:id="rId14" w:type="default"/>
          <w:footerReference r:id="rId15" w:type="default"/>
          <w:pgSz w:w="11906" w:h="16838"/>
          <w:pgMar w:top="1440" w:right="1080" w:bottom="1440" w:left="1080" w:header="851" w:footer="992" w:gutter="0"/>
          <w:cols w:space="720" w:num="1"/>
          <w:titlePg/>
          <w:docGrid w:linePitch="312" w:charSpace="0"/>
        </w:sectPr>
      </w:pPr>
    </w:p>
    <w:p w14:paraId="58026BE4">
      <w:pPr>
        <w:snapToGrid w:val="0"/>
        <w:spacing w:line="360" w:lineRule="auto"/>
        <w:jc w:val="center"/>
        <w:rPr>
          <w:rFonts w:ascii="宋体" w:hAnsi="宋体" w:cs="宋体"/>
          <w:b/>
          <w:color w:val="000000" w:themeColor="text1"/>
          <w:kern w:val="0"/>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w:t>
      </w:r>
      <w:r>
        <w:rPr>
          <w:rFonts w:ascii="宋体" w:hAnsi="宋体" w:cs="宋体"/>
          <w:b/>
          <w:color w:val="000000" w:themeColor="text1"/>
          <w:spacing w:val="6"/>
          <w:sz w:val="32"/>
          <w:szCs w:val="32"/>
          <w14:textFill>
            <w14:solidFill>
              <w14:schemeClr w14:val="tx1"/>
            </w14:solidFill>
          </w14:textFill>
        </w:rPr>
        <w:t>6</w:t>
      </w:r>
      <w:r>
        <w:rPr>
          <w:rFonts w:hint="eastAsia" w:ascii="宋体" w:hAnsi="宋体" w:cs="宋体"/>
          <w:b/>
          <w:color w:val="000000" w:themeColor="text1"/>
          <w:spacing w:val="6"/>
          <w:sz w:val="32"/>
          <w:szCs w:val="32"/>
          <w14:textFill>
            <w14:solidFill>
              <w14:schemeClr w14:val="tx1"/>
            </w14:solidFill>
          </w14:textFill>
        </w:rPr>
        <w:t>：</w:t>
      </w:r>
      <w:r>
        <w:rPr>
          <w:rFonts w:hint="eastAsia" w:ascii="宋体" w:hAnsi="宋体" w:cs="宋体"/>
          <w:b/>
          <w:color w:val="000000" w:themeColor="text1"/>
          <w:kern w:val="0"/>
          <w:sz w:val="32"/>
          <w:szCs w:val="32"/>
          <w14:textFill>
            <w14:solidFill>
              <w14:schemeClr w14:val="tx1"/>
            </w14:solidFill>
          </w14:textFill>
        </w:rPr>
        <w:t>分包意向协议</w:t>
      </w:r>
    </w:p>
    <w:p w14:paraId="173A0A50">
      <w:pPr>
        <w:widowControl/>
        <w:spacing w:line="360" w:lineRule="auto"/>
        <w:ind w:firstLine="120" w:firstLineChars="5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hint="eastAsia" w:ascii="宋体" w:hAnsi="宋体" w:cs="宋体"/>
          <w:b/>
          <w:color w:val="000000" w:themeColor="text1"/>
          <w:sz w:val="24"/>
          <w14:textFill>
            <w14:solidFill>
              <w14:schemeClr w14:val="tx1"/>
            </w14:solidFill>
          </w14:textFill>
        </w:rPr>
        <w:t>成交后以分包方式履行合同的，提供分包意向协议；采购人不同意分包或者供应商成交后不以分包方式履行合同的，则不需要提供。</w:t>
      </w:r>
      <w:r>
        <w:rPr>
          <w:rFonts w:hint="eastAsia" w:ascii="宋体" w:hAnsi="宋体" w:cs="宋体"/>
          <w:color w:val="000000" w:themeColor="text1"/>
          <w:sz w:val="24"/>
          <w14:textFill>
            <w14:solidFill>
              <w14:schemeClr w14:val="tx1"/>
            </w14:solidFill>
          </w14:textFill>
        </w:rPr>
        <w:t>）</w:t>
      </w:r>
    </w:p>
    <w:p w14:paraId="28753862">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u w:val="single"/>
          <w14:textFill>
            <w14:solidFill>
              <w14:schemeClr w14:val="tx1"/>
            </w14:solidFill>
          </w14:textFill>
        </w:rPr>
        <w:t>（供应商名称）</w:t>
      </w:r>
      <w:r>
        <w:rPr>
          <w:rFonts w:hint="eastAsia" w:ascii="宋体" w:hAnsi="宋体" w:cs="宋体"/>
          <w:color w:val="000000" w:themeColor="text1"/>
          <w:kern w:val="0"/>
          <w:sz w:val="24"/>
          <w:lang w:val="zh-CN"/>
          <w14:textFill>
            <w14:solidFill>
              <w14:schemeClr w14:val="tx1"/>
            </w14:solidFill>
          </w14:textFill>
        </w:rPr>
        <w:t>若成为</w:t>
      </w:r>
      <w:r>
        <w:rPr>
          <w:rFonts w:hint="eastAsia" w:ascii="宋体" w:hAnsi="宋体" w:cs="宋体"/>
          <w:color w:val="000000" w:themeColor="text1"/>
          <w:sz w:val="24"/>
          <w14:textFill>
            <w14:solidFill>
              <w14:schemeClr w14:val="tx1"/>
            </w14:solidFill>
          </w14:textFill>
        </w:rPr>
        <w:t>浙江中医药大学富春校区体育场地修缮工程【项目编号：HSZB-2025-512】</w:t>
      </w:r>
      <w:r>
        <w:rPr>
          <w:rFonts w:hint="eastAsia" w:ascii="宋体" w:hAnsi="宋体" w:cs="宋体"/>
          <w:color w:val="000000" w:themeColor="text1"/>
          <w:kern w:val="0"/>
          <w:sz w:val="24"/>
          <w:lang w:val="zh-CN"/>
          <w14:textFill>
            <w14:solidFill>
              <w14:schemeClr w14:val="tx1"/>
            </w14:solidFill>
          </w14:textFill>
        </w:rPr>
        <w:t>的成交供应商，将依法采取分包方式履行合同。</w:t>
      </w:r>
      <w:r>
        <w:rPr>
          <w:rFonts w:hint="eastAsia" w:ascii="宋体" w:hAnsi="宋体" w:cs="宋体"/>
          <w:color w:val="000000" w:themeColor="text1"/>
          <w:kern w:val="0"/>
          <w:sz w:val="24"/>
          <w:u w:val="single"/>
          <w14:textFill>
            <w14:solidFill>
              <w14:schemeClr w14:val="tx1"/>
            </w14:solidFill>
          </w14:textFill>
        </w:rPr>
        <w:t>（供应商名称）</w:t>
      </w:r>
      <w:r>
        <w:rPr>
          <w:rFonts w:hint="eastAsia" w:ascii="宋体" w:hAnsi="宋体" w:cs="宋体"/>
          <w:color w:val="000000" w:themeColor="text1"/>
          <w:kern w:val="0"/>
          <w:sz w:val="24"/>
          <w14:textFill>
            <w14:solidFill>
              <w14:schemeClr w14:val="tx1"/>
            </w14:solidFill>
          </w14:textFill>
        </w:rPr>
        <w:t>与</w:t>
      </w:r>
      <w:r>
        <w:rPr>
          <w:rFonts w:hint="eastAsia" w:ascii="宋体" w:hAnsi="宋体" w:cs="宋体"/>
          <w:color w:val="000000" w:themeColor="text1"/>
          <w:kern w:val="0"/>
          <w:sz w:val="24"/>
          <w:u w:val="single"/>
          <w14:textFill>
            <w14:solidFill>
              <w14:schemeClr w14:val="tx1"/>
            </w14:solidFill>
          </w14:textFill>
        </w:rPr>
        <w:t>（所有分包供应商名称）</w:t>
      </w:r>
      <w:r>
        <w:rPr>
          <w:rFonts w:hint="eastAsia" w:ascii="宋体" w:hAnsi="宋体" w:cs="宋体"/>
          <w:color w:val="000000" w:themeColor="text1"/>
          <w:kern w:val="0"/>
          <w:sz w:val="24"/>
          <w14:textFill>
            <w14:solidFill>
              <w14:schemeClr w14:val="tx1"/>
            </w14:solidFill>
          </w14:textFill>
        </w:rPr>
        <w:t>达成分包意向协议</w:t>
      </w:r>
      <w:r>
        <w:rPr>
          <w:rFonts w:hint="eastAsia" w:ascii="宋体" w:hAnsi="宋体" w:cs="宋体"/>
          <w:color w:val="000000" w:themeColor="text1"/>
          <w:kern w:val="0"/>
          <w:sz w:val="24"/>
          <w:lang w:val="zh-CN"/>
          <w14:textFill>
            <w14:solidFill>
              <w14:schemeClr w14:val="tx1"/>
            </w14:solidFill>
          </w14:textFill>
        </w:rPr>
        <w:t xml:space="preserve">。 </w:t>
      </w:r>
    </w:p>
    <w:p w14:paraId="3DF8BCC4">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一、分包标的及数量</w:t>
      </w:r>
    </w:p>
    <w:p w14:paraId="5157F171">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u w:val="single"/>
          <w14:textFill>
            <w14:solidFill>
              <w14:schemeClr w14:val="tx1"/>
            </w14:solidFill>
          </w14:textFill>
        </w:rPr>
        <w:t>（供应商名称）</w:t>
      </w:r>
      <w:r>
        <w:rPr>
          <w:rFonts w:hint="eastAsia" w:ascii="宋体" w:hAnsi="宋体" w:cs="宋体"/>
          <w:color w:val="000000" w:themeColor="text1"/>
          <w:kern w:val="0"/>
          <w:sz w:val="24"/>
          <w:lang w:val="zh-CN"/>
          <w14:textFill>
            <w14:solidFill>
              <w14:schemeClr w14:val="tx1"/>
            </w14:solidFill>
          </w14:textFill>
        </w:rPr>
        <w:t>将</w:t>
      </w:r>
      <w:r>
        <w:rPr>
          <w:rFonts w:hint="eastAsia" w:ascii="宋体" w:hAnsi="宋体" w:cs="宋体"/>
          <w:color w:val="000000" w:themeColor="text1"/>
          <w:u w:val="single"/>
          <w14:textFill>
            <w14:solidFill>
              <w14:schemeClr w14:val="tx1"/>
            </w14:solidFill>
          </w14:textFill>
        </w:rPr>
        <w:t xml:space="preserve"> </w:t>
      </w:r>
      <w:r>
        <w:rPr>
          <w:rFonts w:ascii="宋体" w:hAnsi="宋体" w:cs="宋体"/>
          <w:color w:val="000000" w:themeColor="text1"/>
          <w:kern w:val="0"/>
          <w:sz w:val="24"/>
          <w:u w:val="single"/>
          <w14:textFill>
            <w14:solidFill>
              <w14:schemeClr w14:val="tx1"/>
            </w14:solidFill>
          </w14:textFill>
        </w:rPr>
        <w:t xml:space="preserve">  XX工作内容   </w:t>
      </w:r>
      <w:r>
        <w:rPr>
          <w:rFonts w:hint="eastAsia" w:ascii="宋体" w:hAnsi="宋体" w:cs="宋体"/>
          <w:color w:val="000000" w:themeColor="text1"/>
          <w:sz w:val="24"/>
          <w14:textFill>
            <w14:solidFill>
              <w14:schemeClr w14:val="tx1"/>
            </w14:solidFill>
          </w14:textFill>
        </w:rPr>
        <w:t>分包给</w:t>
      </w:r>
      <w:r>
        <w:rPr>
          <w:rFonts w:hint="eastAsia" w:ascii="宋体" w:hAnsi="宋体" w:cs="宋体"/>
          <w:color w:val="000000" w:themeColor="text1"/>
          <w:kern w:val="0"/>
          <w:sz w:val="24"/>
          <w:u w:val="single"/>
          <w14:textFill>
            <w14:solidFill>
              <w14:schemeClr w14:val="tx1"/>
            </w14:solidFill>
          </w14:textFill>
        </w:rPr>
        <w:t>（分包供应商1名称）</w:t>
      </w:r>
      <w:r>
        <w:rPr>
          <w:rFonts w:hint="eastAsia" w:ascii="宋体" w:hAnsi="宋体" w:cs="宋体"/>
          <w:color w:val="000000" w:themeColor="text1"/>
          <w:kern w:val="0"/>
          <w:sz w:val="24"/>
          <w:lang w:val="zh-CN"/>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（分包供应商1名称），</w:t>
      </w:r>
      <w:r>
        <w:rPr>
          <w:rFonts w:hint="eastAsia" w:ascii="宋体" w:hAnsi="宋体" w:cs="宋体"/>
          <w:color w:val="000000" w:themeColor="text1"/>
          <w:kern w:val="0"/>
          <w:sz w:val="24"/>
          <w:lang w:val="zh-CN"/>
          <w14:textFill>
            <w14:solidFill>
              <w14:schemeClr w14:val="tx1"/>
            </w14:solidFill>
          </w14:textFill>
        </w:rPr>
        <w:t>具备承</w:t>
      </w:r>
      <w:r>
        <w:rPr>
          <w:rFonts w:hint="eastAsia" w:ascii="宋体" w:hAnsi="宋体" w:cs="宋体"/>
          <w:color w:val="000000" w:themeColor="text1"/>
          <w:kern w:val="0"/>
          <w:sz w:val="24"/>
          <w14:textFill>
            <w14:solidFill>
              <w14:schemeClr w14:val="tx1"/>
            </w14:solidFill>
          </w14:textFill>
        </w:rPr>
        <w:t>担</w:t>
      </w:r>
      <w:r>
        <w:rPr>
          <w:rFonts w:hint="eastAsia" w:ascii="宋体" w:hAnsi="宋体" w:cs="宋体"/>
          <w:color w:val="000000" w:themeColor="text1"/>
          <w:kern w:val="0"/>
          <w:sz w:val="24"/>
          <w:u w:val="single"/>
          <w:lang w:val="zh-CN"/>
          <w14:textFill>
            <w14:solidFill>
              <w14:schemeClr w14:val="tx1"/>
            </w14:solidFill>
          </w14:textFill>
        </w:rPr>
        <w:t>XX工作内容</w:t>
      </w:r>
      <w:r>
        <w:rPr>
          <w:rFonts w:hint="eastAsia" w:ascii="宋体" w:hAnsi="宋体" w:cs="宋体"/>
          <w:color w:val="000000" w:themeColor="text1"/>
          <w:kern w:val="0"/>
          <w:sz w:val="24"/>
          <w:lang w:val="zh-CN"/>
          <w14:textFill>
            <w14:solidFill>
              <w14:schemeClr w14:val="tx1"/>
            </w14:solidFill>
          </w14:textFill>
        </w:rPr>
        <w:t>相应资质条件且不得再次分包；</w:t>
      </w:r>
    </w:p>
    <w:p w14:paraId="4D7F7472">
      <w:pPr>
        <w:tabs>
          <w:tab w:val="left" w:pos="432"/>
        </w:tabs>
        <w:ind w:left="664" w:leftChars="316" w:firstLine="228" w:firstLineChars="95"/>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p w14:paraId="411578B3">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二、分包供应商中小企业合同份额</w:t>
      </w:r>
    </w:p>
    <w:p w14:paraId="5B278718">
      <w:pPr>
        <w:snapToGrid w:val="0"/>
        <w:spacing w:line="360" w:lineRule="auto"/>
        <w:ind w:firstLine="576"/>
        <w:rPr>
          <w:rFonts w:ascii="宋体" w:hAnsi="宋体" w:cs="宋体"/>
          <w:b/>
          <w:color w:val="000000" w:themeColor="text1"/>
          <w:kern w:val="0"/>
          <w:sz w:val="24"/>
          <w:lang w:val="zh-CN"/>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r>
        <w:rPr>
          <w:rFonts w:hint="eastAsia" w:ascii="宋体" w:hAnsi="宋体" w:cs="宋体"/>
          <w:color w:val="000000" w:themeColor="text1"/>
          <w:kern w:val="0"/>
          <w:sz w:val="24"/>
          <w:u w:val="single"/>
          <w14:textFill>
            <w14:solidFill>
              <w14:schemeClr w14:val="tx1"/>
            </w14:solidFill>
          </w14:textFill>
        </w:rPr>
        <w:t>（分包供应商X</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……）提供的工程全部由小微企业承建，</w:t>
      </w:r>
      <w:r>
        <w:rPr>
          <w:rFonts w:hint="eastAsia" w:ascii="宋体" w:hAnsi="宋体" w:cs="宋体"/>
          <w:color w:val="000000" w:themeColor="text1"/>
          <w:kern w:val="0"/>
          <w:sz w:val="24"/>
          <w14:textFill>
            <w14:solidFill>
              <w14:schemeClr w14:val="tx1"/>
            </w14:solidFill>
          </w14:textFill>
        </w:rPr>
        <w:t>其合同份额占到合同总金额</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%以上</w:t>
      </w:r>
      <w:r>
        <w:rPr>
          <w:rFonts w:hint="eastAsia" w:ascii="宋体" w:hAnsi="宋体" w:cs="宋体"/>
          <w:color w:val="000000" w:themeColor="text1"/>
          <w14:textFill>
            <w14:solidFill>
              <w14:schemeClr w14:val="tx1"/>
            </w14:solidFill>
          </w14:textFill>
        </w:rPr>
        <w:t>。</w:t>
      </w:r>
      <w:r>
        <w:rPr>
          <w:rFonts w:hint="eastAsia" w:ascii="宋体" w:hAnsi="宋体" w:cs="宋体"/>
          <w:b/>
          <w:color w:val="000000" w:themeColor="text1"/>
          <w:kern w:val="0"/>
          <w:sz w:val="24"/>
          <w:lang w:val="zh-CN"/>
          <w14:textFill>
            <w14:solidFill>
              <w14:schemeClr w14:val="tx1"/>
            </w14:solidFill>
          </w14:textFill>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宋体" w:hAnsi="宋体" w:cs="宋体"/>
          <w:b/>
          <w:color w:val="000000" w:themeColor="text1"/>
          <w:kern w:val="0"/>
          <w:sz w:val="24"/>
          <w14:textFill>
            <w14:solidFill>
              <w14:schemeClr w14:val="tx1"/>
            </w14:solidFill>
          </w14:textFill>
        </w:rPr>
        <w:t>2</w:t>
      </w:r>
      <w:r>
        <w:rPr>
          <w:rFonts w:hint="eastAsia" w:ascii="宋体" w:hAnsi="宋体" w:cs="宋体"/>
          <w:b/>
          <w:color w:val="000000" w:themeColor="text1"/>
          <w:kern w:val="0"/>
          <w:sz w:val="24"/>
          <w:lang w:val="zh-CN"/>
          <w14:textFill>
            <w14:solidFill>
              <w14:schemeClr w14:val="tx1"/>
            </w14:solidFill>
          </w14:textFill>
        </w:rPr>
        <w:t>%的扣除。供应商</w:t>
      </w:r>
      <w:r>
        <w:rPr>
          <w:rFonts w:hint="eastAsia" w:ascii="宋体" w:hAnsi="宋体" w:cs="宋体"/>
          <w:b/>
          <w:color w:val="000000" w:themeColor="text1"/>
          <w:sz w:val="24"/>
          <w14:textFill>
            <w14:solidFill>
              <w14:schemeClr w14:val="tx1"/>
            </w14:solidFill>
          </w14:textFill>
        </w:rPr>
        <w:t>拟享受以上价格扣除政策的，填写有关内容。</w:t>
      </w:r>
      <w:r>
        <w:rPr>
          <w:rFonts w:hint="eastAsia" w:ascii="宋体" w:hAnsi="宋体" w:cs="宋体"/>
          <w:b/>
          <w:color w:val="000000" w:themeColor="text1"/>
          <w:kern w:val="0"/>
          <w:sz w:val="24"/>
          <w:lang w:val="zh-CN"/>
          <w14:textFill>
            <w14:solidFill>
              <w14:schemeClr w14:val="tx1"/>
            </w14:solidFill>
          </w14:textFill>
        </w:rPr>
        <w:t>）</w:t>
      </w:r>
    </w:p>
    <w:p w14:paraId="43C4810C">
      <w:pPr>
        <w:spacing w:line="360" w:lineRule="auto"/>
        <w:ind w:firstLine="480" w:firstLineChars="200"/>
        <w:rPr>
          <w:rFonts w:ascii="宋体" w:hAnsi="宋体" w:cs="宋体"/>
          <w:b/>
          <w:bCs/>
          <w:color w:val="000000" w:themeColor="text1"/>
          <w:kern w:val="0"/>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bookmarkStart w:id="566" w:name="_Hlk101133173"/>
      <w:r>
        <w:rPr>
          <w:rFonts w:hint="eastAsia" w:ascii="宋体" w:hAnsi="宋体" w:cs="宋体"/>
          <w:color w:val="000000" w:themeColor="text1"/>
          <w:sz w:val="24"/>
          <w14:textFill>
            <w14:solidFill>
              <w14:schemeClr w14:val="tx1"/>
            </w14:solidFill>
          </w14:textFill>
        </w:rPr>
        <w:t>中小企业合同金额达到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%，其中小微企业合同金额达到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w:t>
      </w:r>
      <w:r>
        <w:rPr>
          <w:rFonts w:hint="eastAsia" w:ascii="宋体" w:hAnsi="宋体" w:cs="宋体"/>
          <w:b/>
          <w:bCs/>
          <w:color w:val="000000" w:themeColor="text1"/>
          <w:kern w:val="0"/>
          <w:sz w:val="24"/>
          <w:lang w:val="zh-CN"/>
          <w14:textFill>
            <w14:solidFill>
              <w14:schemeClr w14:val="tx1"/>
            </w14:solidFill>
          </w14:textFill>
        </w:rPr>
        <w:t>（</w:t>
      </w:r>
      <w:r>
        <w:rPr>
          <w:rFonts w:hint="eastAsia" w:ascii="宋体" w:hAnsi="宋体" w:cs="宋体"/>
          <w:b/>
          <w:bCs/>
          <w:color w:val="000000" w:themeColor="text1"/>
          <w:sz w:val="24"/>
          <w14:textFill>
            <w14:solidFill>
              <w14:schemeClr w14:val="tx1"/>
            </w14:solidFill>
          </w14:textFill>
        </w:rPr>
        <w:t>要求合同分包形式参加的项目或采购包，供应商按采购文件第一部分竞争性磋商公告申请人的资格要求中规定的</w:t>
      </w:r>
      <w:r>
        <w:rPr>
          <w:rFonts w:hint="eastAsia" w:ascii="宋体" w:hAnsi="宋体" w:cs="宋体"/>
          <w:b/>
          <w:color w:val="000000" w:themeColor="text1"/>
          <w:kern w:val="0"/>
          <w:sz w:val="24"/>
          <w:lang w:val="zh-CN"/>
          <w14:textFill>
            <w14:solidFill>
              <w14:schemeClr w14:val="tx1"/>
            </w14:solidFill>
          </w14:textFill>
        </w:rPr>
        <w:t>分包意向协议</w:t>
      </w:r>
      <w:r>
        <w:rPr>
          <w:rFonts w:hint="eastAsia" w:ascii="宋体" w:hAnsi="宋体" w:cs="宋体"/>
          <w:b/>
          <w:bCs/>
          <w:color w:val="000000" w:themeColor="text1"/>
          <w:sz w:val="24"/>
          <w14:textFill>
            <w14:solidFill>
              <w14:schemeClr w14:val="tx1"/>
            </w14:solidFill>
          </w14:textFill>
        </w:rPr>
        <w:t>中中小企业、小微企业合同金额应当达到的比例要求填写。</w:t>
      </w:r>
      <w:r>
        <w:rPr>
          <w:rFonts w:hint="eastAsia" w:ascii="宋体" w:hAnsi="宋体" w:cs="宋体"/>
          <w:b/>
          <w:bCs/>
          <w:color w:val="000000" w:themeColor="text1"/>
          <w:kern w:val="0"/>
          <w:sz w:val="24"/>
          <w:lang w:val="zh-CN"/>
          <w14:textFill>
            <w14:solidFill>
              <w14:schemeClr w14:val="tx1"/>
            </w14:solidFill>
          </w14:textFill>
        </w:rPr>
        <w:t>）</w:t>
      </w:r>
      <w:bookmarkEnd w:id="566"/>
    </w:p>
    <w:p w14:paraId="77ED84BA">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三、分包工作履行期限、地点、方式</w:t>
      </w:r>
    </w:p>
    <w:p w14:paraId="13165204">
      <w:pPr>
        <w:snapToGrid w:val="0"/>
        <w:spacing w:line="360" w:lineRule="auto"/>
        <w:ind w:firstLine="576"/>
        <w:rPr>
          <w:rFonts w:ascii="宋体" w:hAnsi="宋体" w:cs="宋体"/>
          <w:color w:val="000000" w:themeColor="text1"/>
          <w:u w:val="single"/>
          <w14:textFill>
            <w14:solidFill>
              <w14:schemeClr w14:val="tx1"/>
            </w14:solidFill>
          </w14:textFill>
        </w:rPr>
      </w:pPr>
      <w:r>
        <w:rPr>
          <w:rFonts w:hint="eastAsia" w:ascii="宋体" w:hAnsi="宋体" w:cs="宋体"/>
          <w:color w:val="000000" w:themeColor="text1"/>
          <w:u w:val="single"/>
          <w14:textFill>
            <w14:solidFill>
              <w14:schemeClr w14:val="tx1"/>
            </w14:solidFill>
          </w14:textFill>
        </w:rPr>
        <w:t xml:space="preserve">                                                                                  </w:t>
      </w:r>
    </w:p>
    <w:p w14:paraId="15030F4C">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四、质量</w:t>
      </w:r>
    </w:p>
    <w:p w14:paraId="67120A12">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u w:val="single"/>
          <w14:textFill>
            <w14:solidFill>
              <w14:schemeClr w14:val="tx1"/>
            </w14:solidFill>
          </w14:textFill>
        </w:rPr>
        <w:t xml:space="preserve">                                                                                       </w:t>
      </w:r>
    </w:p>
    <w:p w14:paraId="53C279F0">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五、价款或者报酬</w:t>
      </w:r>
    </w:p>
    <w:p w14:paraId="2315E72D">
      <w:pPr>
        <w:snapToGrid w:val="0"/>
        <w:spacing w:line="360" w:lineRule="auto"/>
        <w:ind w:left="573" w:leftChars="273"/>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u w:val="single"/>
          <w14:textFill>
            <w14:solidFill>
              <w14:schemeClr w14:val="tx1"/>
            </w14:solidFill>
          </w14:textFill>
        </w:rPr>
        <w:t xml:space="preserve">                                                                                     </w:t>
      </w:r>
    </w:p>
    <w:p w14:paraId="6C9F2A30">
      <w:pPr>
        <w:snapToGrid w:val="0"/>
        <w:spacing w:line="360" w:lineRule="auto"/>
        <w:ind w:left="573" w:leftChars="273"/>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六、违约责任</w:t>
      </w:r>
    </w:p>
    <w:p w14:paraId="6EF05C53">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u w:val="single"/>
          <w14:textFill>
            <w14:solidFill>
              <w14:schemeClr w14:val="tx1"/>
            </w14:solidFill>
          </w14:textFill>
        </w:rPr>
        <w:t xml:space="preserve">                                                                                     </w:t>
      </w:r>
    </w:p>
    <w:p w14:paraId="727FA739">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七、争议解决的办法</w:t>
      </w:r>
    </w:p>
    <w:p w14:paraId="3C62F01A">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u w:val="single"/>
          <w14:textFill>
            <w14:solidFill>
              <w14:schemeClr w14:val="tx1"/>
            </w14:solidFill>
          </w14:textFill>
        </w:rPr>
        <w:t xml:space="preserve">                                                                                  </w:t>
      </w:r>
    </w:p>
    <w:p w14:paraId="53C3CA95">
      <w:pPr>
        <w:snapToGrid w:val="0"/>
        <w:spacing w:line="360" w:lineRule="auto"/>
        <w:ind w:left="5758" w:leftChars="342" w:hanging="5040" w:hangingChars="21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供应商名称(电子签名)：</w:t>
      </w:r>
    </w:p>
    <w:p w14:paraId="122E0457">
      <w:pPr>
        <w:snapToGrid w:val="0"/>
        <w:spacing w:line="360" w:lineRule="auto"/>
        <w:ind w:firstLine="5640" w:firstLineChars="235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分包供应商名称：</w:t>
      </w:r>
    </w:p>
    <w:p w14:paraId="68AFF0B9">
      <w:pPr>
        <w:snapToGrid w:val="0"/>
        <w:spacing w:line="360" w:lineRule="auto"/>
        <w:ind w:firstLine="5760" w:firstLineChars="2400"/>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w:t>
      </w:r>
    </w:p>
    <w:p w14:paraId="3D486765">
      <w:pPr>
        <w:spacing w:line="360" w:lineRule="auto"/>
        <w:jc w:val="center"/>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日期：  年  月   日</w:t>
      </w:r>
    </w:p>
    <w:p w14:paraId="2D0A6060">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57556187">
      <w:pPr>
        <w:autoSpaceDE w:val="0"/>
        <w:autoSpaceDN w:val="0"/>
        <w:jc w:val="center"/>
        <w:rPr>
          <w:rFonts w:ascii="宋体" w:hAnsi="宋体" w:cs="宋体"/>
          <w:b/>
          <w:color w:val="000000" w:themeColor="text1"/>
          <w:spacing w:val="6"/>
          <w:sz w:val="32"/>
          <w:szCs w:val="32"/>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429D32B5">
      <w:pPr>
        <w:autoSpaceDE w:val="0"/>
        <w:autoSpaceDN w:val="0"/>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w:t>
      </w:r>
      <w:r>
        <w:rPr>
          <w:rFonts w:ascii="宋体" w:hAnsi="宋体" w:cs="宋体"/>
          <w:b/>
          <w:color w:val="000000" w:themeColor="text1"/>
          <w:spacing w:val="6"/>
          <w:sz w:val="32"/>
          <w:szCs w:val="32"/>
          <w14:textFill>
            <w14:solidFill>
              <w14:schemeClr w14:val="tx1"/>
            </w14:solidFill>
          </w14:textFill>
        </w:rPr>
        <w:t>7</w:t>
      </w:r>
      <w:r>
        <w:rPr>
          <w:rFonts w:hint="eastAsia" w:ascii="宋体" w:hAnsi="宋体" w:cs="宋体"/>
          <w:b/>
          <w:color w:val="000000" w:themeColor="text1"/>
          <w:spacing w:val="6"/>
          <w:sz w:val="32"/>
          <w:szCs w:val="32"/>
          <w14:textFill>
            <w14:solidFill>
              <w14:schemeClr w14:val="tx1"/>
            </w14:solidFill>
          </w14:textFill>
        </w:rPr>
        <w:t>：</w:t>
      </w:r>
      <w:r>
        <w:rPr>
          <w:rFonts w:hint="eastAsia" w:ascii="宋体" w:hAnsi="宋体" w:cs="宋体"/>
          <w:b/>
          <w:color w:val="000000" w:themeColor="text1"/>
          <w:sz w:val="32"/>
          <w:szCs w:val="32"/>
          <w14:textFill>
            <w14:solidFill>
              <w14:schemeClr w14:val="tx1"/>
            </w14:solidFill>
          </w14:textFill>
        </w:rPr>
        <w:t>中小企业声明函</w:t>
      </w:r>
    </w:p>
    <w:p w14:paraId="18A6DC80">
      <w:pPr>
        <w:spacing w:line="360" w:lineRule="auto"/>
        <w:jc w:val="center"/>
        <w:rPr>
          <w:rFonts w:ascii="宋体" w:hAnsi="宋体" w:cs="宋体"/>
          <w:color w:val="000000" w:themeColor="text1"/>
          <w:sz w:val="24"/>
          <w:u w:val="single"/>
          <w14:textFill>
            <w14:solidFill>
              <w14:schemeClr w14:val="tx1"/>
            </w14:solidFill>
          </w14:textFill>
        </w:rPr>
      </w:pPr>
    </w:p>
    <w:p w14:paraId="35283DE9">
      <w:pPr>
        <w:spacing w:line="360" w:lineRule="auto"/>
        <w:jc w:val="center"/>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中小企业声明函（工程）</w:t>
      </w:r>
    </w:p>
    <w:p w14:paraId="548927C5">
      <w:pPr>
        <w:spacing w:line="360" w:lineRule="auto"/>
        <w:ind w:firstLine="360" w:firstLineChars="15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本公司（联合体）郑重声明，根据《政府采购促进中小企业发展管理办法》（财库﹝2020﹞46 号）的规定，本公司（联合体）参加 </w:t>
      </w:r>
      <w:r>
        <w:rPr>
          <w:rFonts w:hint="eastAsia" w:ascii="宋体" w:hAnsi="宋体" w:cs="宋体"/>
          <w:color w:val="000000" w:themeColor="text1"/>
          <w:sz w:val="24"/>
          <w:u w:val="single"/>
          <w14:textFill>
            <w14:solidFill>
              <w14:schemeClr w14:val="tx1"/>
            </w14:solidFill>
          </w14:textFill>
        </w:rPr>
        <w:t xml:space="preserve">浙江中医药大学 </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 xml:space="preserve"> 浙江中医药大学富春校区体育场地修缮工程 </w:t>
      </w:r>
      <w:r>
        <w:rPr>
          <w:rFonts w:hint="eastAsia" w:ascii="宋体" w:hAnsi="宋体" w:cs="宋体"/>
          <w:color w:val="000000" w:themeColor="text1"/>
          <w:sz w:val="24"/>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14:paraId="01BEF9FE">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浙江中医药大学富春校区体育场地修缮工程</w:t>
      </w:r>
      <w:r>
        <w:rPr>
          <w:rFonts w:hint="eastAsia" w:ascii="宋体" w:hAnsi="宋体" w:cs="宋体"/>
          <w:color w:val="000000" w:themeColor="text1"/>
          <w:sz w:val="24"/>
          <w:u w:val="single"/>
          <w14:textFill>
            <w14:solidFill>
              <w14:schemeClr w14:val="tx1"/>
            </w14:solidFill>
          </w14:textFill>
        </w:rPr>
        <w:t>）</w:t>
      </w:r>
      <w:r>
        <w:rPr>
          <w:rFonts w:hint="eastAsia" w:ascii="宋体" w:hAnsi="宋体" w:cs="宋体"/>
          <w:color w:val="000000" w:themeColor="text1"/>
          <w:sz w:val="24"/>
          <w14:textFill>
            <w14:solidFill>
              <w14:schemeClr w14:val="tx1"/>
            </w14:solidFill>
          </w14:textFill>
        </w:rPr>
        <w:t xml:space="preserve">，属于 </w:t>
      </w:r>
      <w:r>
        <w:rPr>
          <w:rFonts w:hint="eastAsia" w:ascii="宋体" w:hAnsi="宋体" w:cs="宋体"/>
          <w:color w:val="000000" w:themeColor="text1"/>
          <w:sz w:val="24"/>
          <w:u w:val="single"/>
          <w14:textFill>
            <w14:solidFill>
              <w14:schemeClr w14:val="tx1"/>
            </w14:solidFill>
          </w14:textFill>
        </w:rPr>
        <w:t>（建筑业）</w:t>
      </w:r>
      <w:r>
        <w:rPr>
          <w:rFonts w:hint="eastAsia" w:ascii="宋体" w:hAnsi="宋体" w:cs="宋体"/>
          <w:color w:val="000000" w:themeColor="text1"/>
          <w:sz w:val="24"/>
          <w14:textFill>
            <w14:solidFill>
              <w14:schemeClr w14:val="tx1"/>
            </w14:solidFill>
          </w14:textFill>
        </w:rPr>
        <w:t xml:space="preserve"> ；承建（承接）企业为 </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 xml:space="preserve"> ，从业人员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 xml:space="preserve"> （中型企业、小型企业、微型企业） </w:t>
      </w:r>
      <w:r>
        <w:rPr>
          <w:rFonts w:hint="eastAsia" w:ascii="宋体" w:hAnsi="宋体" w:cs="宋体"/>
          <w:color w:val="000000" w:themeColor="text1"/>
          <w:sz w:val="24"/>
          <w14:textFill>
            <w14:solidFill>
              <w14:schemeClr w14:val="tx1"/>
            </w14:solidFill>
          </w14:textFill>
        </w:rPr>
        <w:t>；</w:t>
      </w:r>
    </w:p>
    <w:p w14:paraId="64A7F687">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 xml:space="preserve">，属于 </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xml:space="preserve"> ；承建（承接）企业为 </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 xml:space="preserve"> ，从业人员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 xml:space="preserve"> （中型企业、小型企业、微型企业） </w:t>
      </w:r>
      <w:r>
        <w:rPr>
          <w:rFonts w:hint="eastAsia" w:ascii="宋体" w:hAnsi="宋体" w:cs="宋体"/>
          <w:color w:val="000000" w:themeColor="text1"/>
          <w:sz w:val="24"/>
          <w14:textFill>
            <w14:solidFill>
              <w14:schemeClr w14:val="tx1"/>
            </w14:solidFill>
          </w14:textFill>
        </w:rPr>
        <w:t>；</w:t>
      </w:r>
    </w:p>
    <w:p w14:paraId="785A0F31">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p w14:paraId="74577AE2">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以上企业，不属于大企业的分支机构，不存在控股股东为大企业的情形，也不存在与大企业的负责人为同一人的情形。</w:t>
      </w:r>
    </w:p>
    <w:p w14:paraId="444E3877">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本企业对上述声明内容的真实性负责。如有虚假，将依法承担相应责任。</w:t>
      </w:r>
    </w:p>
    <w:p w14:paraId="7673E9B1">
      <w:pPr>
        <w:spacing w:line="360" w:lineRule="auto"/>
        <w:ind w:firstLine="480" w:firstLineChars="200"/>
        <w:rPr>
          <w:rFonts w:ascii="宋体" w:hAnsi="宋体" w:cs="宋体"/>
          <w:color w:val="000000" w:themeColor="text1"/>
          <w:sz w:val="24"/>
          <w14:textFill>
            <w14:solidFill>
              <w14:schemeClr w14:val="tx1"/>
            </w14:solidFill>
          </w14:textFill>
        </w:rPr>
      </w:pPr>
    </w:p>
    <w:p w14:paraId="0A16C6B7">
      <w:pPr>
        <w:snapToGrid w:val="0"/>
        <w:spacing w:line="360" w:lineRule="auto"/>
        <w:ind w:firstLine="5160" w:firstLineChars="215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供应商名称(电子签名)：</w:t>
      </w:r>
    </w:p>
    <w:p w14:paraId="1B232CD2">
      <w:pPr>
        <w:snapToGrid w:val="0"/>
        <w:spacing w:line="360" w:lineRule="auto"/>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日期</w:t>
      </w:r>
      <w:r>
        <w:rPr>
          <w:rFonts w:hint="eastAsia" w:ascii="宋体" w:hAnsi="宋体" w:cs="宋体"/>
          <w:color w:val="000000" w:themeColor="text1"/>
          <w:kern w:val="0"/>
          <w:sz w:val="24"/>
          <w14:textFill>
            <w14:solidFill>
              <w14:schemeClr w14:val="tx1"/>
            </w14:solidFill>
          </w14:textFill>
        </w:rPr>
        <w:t xml:space="preserve">：  年  </w:t>
      </w:r>
      <w:r>
        <w:rPr>
          <w:rFonts w:hint="eastAsia" w:ascii="宋体" w:hAnsi="宋体" w:cs="宋体"/>
          <w:color w:val="000000" w:themeColor="text1"/>
          <w:kern w:val="0"/>
          <w:sz w:val="24"/>
          <w:lang w:val="zh-CN"/>
          <w14:textFill>
            <w14:solidFill>
              <w14:schemeClr w14:val="tx1"/>
            </w14:solidFill>
          </w14:textFill>
        </w:rPr>
        <w:t>月</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日</w:t>
      </w:r>
    </w:p>
    <w:p w14:paraId="3AB4A8B2">
      <w:pPr>
        <w:spacing w:line="360" w:lineRule="auto"/>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从业人员、营业收入、资产总额填报上一年度数据，无上一年度数据的新成立企业可不填报。</w:t>
      </w:r>
    </w:p>
    <w:p w14:paraId="56BF5F63">
      <w:pPr>
        <w:spacing w:line="360" w:lineRule="auto"/>
        <w:ind w:right="42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w:t>
      </w:r>
    </w:p>
    <w:p w14:paraId="3F48159F">
      <w:pPr>
        <w:spacing w:line="360" w:lineRule="auto"/>
        <w:ind w:firstLine="480" w:firstLineChars="200"/>
        <w:rPr>
          <w:rFonts w:ascii="宋体" w:hAnsi="宋体" w:cs="仿宋_GB2312"/>
          <w:b/>
          <w:color w:val="000000" w:themeColor="text1"/>
          <w:sz w:val="24"/>
          <w14:textFill>
            <w14:solidFill>
              <w14:schemeClr w14:val="tx1"/>
            </w14:solidFill>
          </w14:textFill>
        </w:rPr>
      </w:pPr>
      <w:r>
        <w:rPr>
          <w:rFonts w:hint="eastAsia" w:ascii="宋体" w:hAnsi="宋体" w:cs="宋体"/>
          <w:color w:val="000000" w:themeColor="text1"/>
          <w:sz w:val="24"/>
          <w:lang w:bidi="ar"/>
          <w14:textFill>
            <w14:solidFill>
              <w14:schemeClr w14:val="tx1"/>
            </w14:solidFill>
          </w14:textFill>
        </w:rPr>
        <w:t>①从业人员、营业收入、资产总额填报上一年度数据，无上一年度数据的新成立企业可不填报。</w:t>
      </w:r>
      <w:r>
        <w:rPr>
          <w:rFonts w:hint="eastAsia" w:ascii="宋体" w:hAnsi="宋体" w:cs="宋体"/>
          <w:color w:val="000000" w:themeColor="text1"/>
          <w:sz w:val="24"/>
          <w:shd w:val="clear" w:color="auto" w:fill="C9E7FF"/>
          <w:lang w:bidi="ar"/>
          <w14:textFill>
            <w14:solidFill>
              <w14:schemeClr w14:val="tx1"/>
            </w14:solidFill>
          </w14:textFill>
        </w:rPr>
        <w:t>②《中小企业声明函》中“标的名称”、“采购文件中明确的所属行业”依据招标文件第二部分投标人须知前附表中“采购标的及其对应的中小企业划分标准所属行业”的指引，逐一填写，不得缺漏。</w:t>
      </w:r>
    </w:p>
    <w:p w14:paraId="1BDA290D">
      <w:pPr>
        <w:spacing w:line="360" w:lineRule="auto"/>
        <w:jc w:val="center"/>
        <w:rPr>
          <w:rFonts w:ascii="宋体" w:hAnsi="宋体" w:cs="宋体"/>
          <w:b/>
          <w:color w:val="000000" w:themeColor="text1"/>
          <w:sz w:val="32"/>
          <w:szCs w:val="32"/>
          <w14:textFill>
            <w14:solidFill>
              <w14:schemeClr w14:val="tx1"/>
            </w14:solidFill>
          </w14:textFill>
        </w:rPr>
      </w:pPr>
    </w:p>
    <w:p w14:paraId="7CB56242">
      <w:pPr>
        <w:spacing w:line="360" w:lineRule="auto"/>
        <w:rPr>
          <w:rFonts w:ascii="宋体" w:hAnsi="宋体" w:cs="宋体"/>
          <w:bCs/>
          <w:color w:val="000000" w:themeColor="text1"/>
          <w:sz w:val="24"/>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07B23BA9">
      <w:pPr>
        <w:spacing w:line="360" w:lineRule="auto"/>
        <w:rPr>
          <w:rFonts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附件8：工程量清单（另附）</w:t>
      </w:r>
    </w:p>
    <w:p w14:paraId="4B6B8A90">
      <w:pPr>
        <w:spacing w:line="360" w:lineRule="auto"/>
        <w:rPr>
          <w:rFonts w:ascii="宋体" w:hAnsi="宋体" w:cs="宋体"/>
          <w:b/>
          <w:color w:val="000000" w:themeColor="text1"/>
          <w:spacing w:val="6"/>
          <w:sz w:val="32"/>
          <w:szCs w:val="32"/>
          <w14:textFill>
            <w14:solidFill>
              <w14:schemeClr w14:val="tx1"/>
            </w14:solidFill>
          </w14:textFill>
        </w:rPr>
      </w:pPr>
    </w:p>
    <w:p w14:paraId="7B4A4AD5">
      <w:pPr>
        <w:spacing w:line="360" w:lineRule="auto"/>
        <w:rPr>
          <w:rFonts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附件9：图纸（另附）</w:t>
      </w:r>
    </w:p>
    <w:p w14:paraId="7427DA24">
      <w:pPr>
        <w:pStyle w:val="24"/>
        <w:rPr>
          <w:color w:val="000000" w:themeColor="text1"/>
          <w14:textFill>
            <w14:solidFill>
              <w14:schemeClr w14:val="tx1"/>
            </w14:solidFill>
          </w14:textFill>
        </w:rPr>
      </w:pPr>
    </w:p>
    <w:sectPr>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Segoe UI Symbol"/>
    <w:panose1 w:val="020B0500000000000000"/>
    <w:charset w:val="00"/>
    <w:family w:val="swiss"/>
    <w:pitch w:val="default"/>
    <w:sig w:usb0="00000000" w:usb1="00000000" w:usb2="00000000" w:usb3="00000000" w:csb0="00000001" w:csb1="00000000"/>
  </w:font>
  <w:font w:name="Segoe UI Symbol">
    <w:panose1 w:val="020B0502040204020203"/>
    <w:charset w:val="00"/>
    <w:family w:val="auto"/>
    <w:pitch w:val="default"/>
    <w:sig w:usb0="800001E3" w:usb1="1200FFEF" w:usb2="00040000" w:usb3="04000000" w:csb0="00000001" w:csb1="40000000"/>
  </w:font>
  <w:font w:name="Lucida Sans">
    <w:altName w:val="Lucida Sans Unicode"/>
    <w:panose1 w:val="00000000000000000000"/>
    <w:charset w:val="00"/>
    <w:family w:val="swiss"/>
    <w:pitch w:val="default"/>
    <w:sig w:usb0="00000000" w:usb1="00000000" w:usb2="00000000" w:usb3="00000000" w:csb0="00000001" w:csb1="00000000"/>
  </w:font>
  <w:font w:name="Lucida Sans Unicode">
    <w:panose1 w:val="020B0602030504020204"/>
    <w:charset w:val="00"/>
    <w:family w:val="swiss"/>
    <w:pitch w:val="default"/>
    <w:sig w:usb0="80001AFF" w:usb1="0000396B" w:usb2="00000000" w:usb3="00000000" w:csb0="200000BF" w:csb1="D7F7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Helvetica">
    <w:altName w:val="Arial"/>
    <w:panose1 w:val="020B0604020202020204"/>
    <w:charset w:val="00"/>
    <w:family w:val="swiss"/>
    <w:pitch w:val="default"/>
    <w:sig w:usb0="00000000" w:usb1="00000000" w:usb2="00000000" w:usb3="00000000" w:csb0="00000001"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1"/>
    <w:family w:val="roman"/>
    <w:pitch w:val="default"/>
    <w:sig w:usb0="00000000" w:usb1="00000000" w:usb2="00000000" w:usb3="00000000" w:csb0="00000000" w:csb1="00000000"/>
  </w:font>
  <w:font w:name="Segoe UI Semilight">
    <w:panose1 w:val="020B04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CA1F3">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34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103</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618A5">
    <w:pPr>
      <w:pStyle w:val="39"/>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101</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103</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4E754">
    <w:pPr>
      <w:pStyle w:val="39"/>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103</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103</w:t>
    </w:r>
    <w:r>
      <w:rPr>
        <w:rFonts w:hint="eastAsia" w:ascii="仿宋_GB2312" w:eastAsia="仿宋_GB2312"/>
        <w:kern w:val="0"/>
        <w:szCs w:val="21"/>
      </w:rPr>
      <w:fldChar w:fldCharType="end"/>
    </w:r>
    <w:bookmarkStart w:id="567" w:name="_Toc164085800"/>
    <w:bookmarkStart w:id="568" w:name="_Toc91899912"/>
    <w:bookmarkStart w:id="569" w:name="_Toc131845147"/>
    <w:bookmarkStart w:id="570" w:name="_Toc36110187"/>
    <w:r>
      <w:rPr>
        <w:rFonts w:hint="eastAsia" w:ascii="仿宋_GB2312" w:eastAsia="仿宋_GB2312"/>
        <w:kern w:val="0"/>
        <w:szCs w:val="21"/>
      </w:rPr>
      <w:t xml:space="preserve"> 页</w:t>
    </w:r>
    <w:bookmarkEnd w:id="567"/>
    <w:bookmarkEnd w:id="568"/>
    <w:bookmarkEnd w:id="569"/>
    <w:bookmarkEnd w:id="57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0528A">
    <w:pPr>
      <w:pStyle w:val="39"/>
      <w:framePr w:wrap="around" w:vAnchor="text" w:hAnchor="margin" w:xAlign="right" w:y="1"/>
      <w:rPr>
        <w:rStyle w:val="72"/>
      </w:rPr>
    </w:pPr>
    <w:r>
      <w:fldChar w:fldCharType="begin"/>
    </w:r>
    <w:r>
      <w:rPr>
        <w:rStyle w:val="72"/>
      </w:rPr>
      <w:instrText xml:space="preserve">PAGE  </w:instrText>
    </w:r>
    <w:r>
      <w:fldChar w:fldCharType="end"/>
    </w:r>
  </w:p>
  <w:p w14:paraId="3B33F578">
    <w:pPr>
      <w:pStyle w:val="3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60570">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103</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E2A5E">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103</w:t>
    </w:r>
    <w:r>
      <w:rPr>
        <w:rFonts w:hint="eastAsia" w:ascii="仿宋_GB2312" w:eastAsia="仿宋_GB2312"/>
        <w:kern w:val="0"/>
      </w:rPr>
      <w:fldChar w:fldCharType="end"/>
    </w:r>
    <w:r>
      <w:rPr>
        <w:rFonts w:hint="eastAsia" w:ascii="仿宋_GB2312" w:eastAsia="仿宋_GB2312"/>
        <w:kern w:val="0"/>
      </w:rPr>
      <w:t xml:space="preserve"> 页</w:t>
    </w:r>
  </w:p>
  <w:p w14:paraId="150DC1EE">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D1678">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103</w:t>
    </w:r>
    <w:r>
      <w:rPr>
        <w:rFonts w:hint="eastAsia" w:ascii="仿宋_GB2312" w:eastAsia="仿宋_GB2312"/>
        <w:kern w:val="0"/>
      </w:rPr>
      <w:fldChar w:fldCharType="end"/>
    </w:r>
    <w:r>
      <w:rPr>
        <w:rFonts w:hint="eastAsia" w:ascii="仿宋_GB2312" w:eastAsia="仿宋_GB2312"/>
        <w:kern w:val="0"/>
      </w:rPr>
      <w:t xml:space="preserve"> 页</w:t>
    </w:r>
  </w:p>
  <w:p w14:paraId="377BB01A">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3222B">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103</w:t>
    </w:r>
    <w:r>
      <w:rPr>
        <w:rFonts w:hint="eastAsia" w:ascii="仿宋_GB2312" w:eastAsia="仿宋_GB2312"/>
        <w:kern w:val="0"/>
      </w:rPr>
      <w:fldChar w:fldCharType="end"/>
    </w:r>
    <w:r>
      <w:rPr>
        <w:rFonts w:hint="eastAsia" w:ascii="仿宋_GB2312" w:eastAsia="仿宋_GB2312"/>
        <w:kern w:val="0"/>
      </w:rPr>
      <w:t xml:space="preserve"> 页</w:t>
    </w:r>
  </w:p>
  <w:p w14:paraId="3F2B4BAE">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70E50">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103</w:t>
    </w:r>
    <w:r>
      <w:rPr>
        <w:rFonts w:hint="eastAsia" w:ascii="仿宋_GB2312" w:eastAsia="仿宋_GB2312"/>
        <w:kern w:val="0"/>
      </w:rPr>
      <w:fldChar w:fldCharType="end"/>
    </w:r>
    <w:r>
      <w:rPr>
        <w:rFonts w:hint="eastAsia" w:ascii="仿宋_GB2312" w:eastAsia="仿宋_GB2312"/>
        <w:kern w:val="0"/>
      </w:rPr>
      <w:t xml:space="preserve"> 页</w:t>
    </w:r>
  </w:p>
  <w:p w14:paraId="42C96A82">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AFD84">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1ACC0D86">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C664F">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89</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103</w:t>
    </w:r>
    <w:r>
      <w:rPr>
        <w:rFonts w:hint="eastAsia" w:ascii="仿宋_GB2312" w:eastAsia="仿宋_GB2312"/>
        <w:kern w:val="0"/>
      </w:rPr>
      <w:fldChar w:fldCharType="end"/>
    </w:r>
    <w:r>
      <w:rPr>
        <w:rFonts w:hint="eastAsia" w:ascii="仿宋_GB2312" w:eastAsia="仿宋_GB2312"/>
        <w:kern w:val="0"/>
      </w:rPr>
      <w:t xml:space="preserve"> 页</w:t>
    </w:r>
  </w:p>
  <w:p w14:paraId="745B509B">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2E0CA">
    <w:pPr>
      <w:pStyle w:val="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194D7">
    <w:pPr>
      <w:pStyle w:val="40"/>
      <w:pBdr>
        <w:bottom w:val="single" w:color="auto" w:sz="6" w:space="0"/>
      </w:pBdr>
      <w:tabs>
        <w:tab w:val="center" w:pos="4535"/>
        <w:tab w:val="right" w:pos="9070"/>
        <w:tab w:val="clear" w:pos="4153"/>
        <w:tab w:val="clear" w:pos="8306"/>
      </w:tabs>
      <w:jc w:val="right"/>
      <w:rPr>
        <w:rFonts w:ascii="仿宋_GB2312" w:eastAsia="仿宋_GB2312"/>
        <w:b/>
        <w:i/>
        <w:u w:val="single"/>
      </w:rPr>
    </w:pPr>
    <w:r>
      <w:rPr>
        <w:lang w:val="zh-CN"/>
      </w:rPr>
      <w:t>杭州市政府采购</w:t>
    </w:r>
    <w:r>
      <w:rPr>
        <w:rFonts w:hint="eastAsia"/>
        <w:lang w:val="zh-CN"/>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529B">
    <w:pPr>
      <w:pStyle w:val="4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1E102D"/>
    <w:multiLevelType w:val="singleLevel"/>
    <w:tmpl w:val="8B1E102D"/>
    <w:lvl w:ilvl="0" w:tentative="0">
      <w:start w:val="1"/>
      <w:numFmt w:val="decimal"/>
      <w:suff w:val="nothing"/>
      <w:lvlText w:val="（%1）"/>
      <w:lvlJc w:val="left"/>
    </w:lvl>
  </w:abstractNum>
  <w:abstractNum w:abstractNumId="1">
    <w:nsid w:val="14954F20"/>
    <w:multiLevelType w:val="multilevel"/>
    <w:tmpl w:val="14954F20"/>
    <w:lvl w:ilvl="0" w:tentative="0">
      <w:start w:val="1"/>
      <w:numFmt w:val="decimalEnclosedCircle"/>
      <w:lvlText w:val="%1"/>
      <w:lvlJc w:val="left"/>
      <w:pPr>
        <w:ind w:left="840" w:hanging="420"/>
      </w:pPr>
      <w:rPr>
        <w:rFonts w:hint="eastAsia"/>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5B6C0D47"/>
    <w:multiLevelType w:val="singleLevel"/>
    <w:tmpl w:val="5B6C0D47"/>
    <w:lvl w:ilvl="0" w:tentative="0">
      <w:start w:val="1"/>
      <w:numFmt w:val="chineseCounting"/>
      <w:suff w:val="nothing"/>
      <w:lvlText w:val="（%1）"/>
      <w:lvlJc w:val="left"/>
    </w:lvl>
  </w:abstractNum>
  <w:abstractNum w:abstractNumId="3">
    <w:nsid w:val="5B6C0D48"/>
    <w:multiLevelType w:val="multilevel"/>
    <w:tmpl w:val="5B6C0D48"/>
    <w:lvl w:ilvl="0" w:tentative="0">
      <w:start w:val="1"/>
      <w:numFmt w:val="japaneseCounting"/>
      <w:lvlText w:val="（%1）"/>
      <w:lvlJc w:val="left"/>
      <w:pPr>
        <w:tabs>
          <w:tab w:val="left" w:pos="720"/>
        </w:tabs>
        <w:ind w:left="720" w:hanging="720"/>
      </w:pPr>
      <w:rPr>
        <w:rFonts w:hint="eastAsia"/>
      </w:rPr>
    </w:lvl>
    <w:lvl w:ilvl="1" w:tentative="0">
      <w:start w:val="1"/>
      <w:numFmt w:val="japaneseCounting"/>
      <w:lvlText w:val="%2、"/>
      <w:lvlJc w:val="left"/>
      <w:pPr>
        <w:tabs>
          <w:tab w:val="left" w:pos="1140"/>
        </w:tabs>
        <w:ind w:left="1140" w:hanging="720"/>
      </w:pPr>
      <w:rPr>
        <w:rFonts w:hint="eastAsia"/>
      </w:rPr>
    </w:lvl>
    <w:lvl w:ilvl="2" w:tentative="0">
      <w:start w:val="1"/>
      <w:numFmt w:val="decimal"/>
      <w:lvlText w:val="%3、"/>
      <w:lvlJc w:val="left"/>
      <w:pPr>
        <w:tabs>
          <w:tab w:val="left" w:pos="1560"/>
        </w:tabs>
        <w:ind w:left="1560" w:hanging="72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419"/>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1MzRhMDFkZWU4ZGJiNmQ5YzU0Nzg0NDRkMTNjNGUifQ=="/>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471"/>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43"/>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689A"/>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0CFA"/>
    <w:rsid w:val="001A128B"/>
    <w:rsid w:val="001A1475"/>
    <w:rsid w:val="001A1F0E"/>
    <w:rsid w:val="001A3335"/>
    <w:rsid w:val="001A473A"/>
    <w:rsid w:val="001A4977"/>
    <w:rsid w:val="001A4ED9"/>
    <w:rsid w:val="001A5785"/>
    <w:rsid w:val="001A5FD7"/>
    <w:rsid w:val="001A66A6"/>
    <w:rsid w:val="001A6BAF"/>
    <w:rsid w:val="001A6BBB"/>
    <w:rsid w:val="001A79A2"/>
    <w:rsid w:val="001B06A6"/>
    <w:rsid w:val="001B13BF"/>
    <w:rsid w:val="001B16F5"/>
    <w:rsid w:val="001B1C1F"/>
    <w:rsid w:val="001B219B"/>
    <w:rsid w:val="001B2703"/>
    <w:rsid w:val="001B3DCD"/>
    <w:rsid w:val="001B45B9"/>
    <w:rsid w:val="001B46B2"/>
    <w:rsid w:val="001B4725"/>
    <w:rsid w:val="001B48B2"/>
    <w:rsid w:val="001B49DA"/>
    <w:rsid w:val="001B4CA8"/>
    <w:rsid w:val="001B559D"/>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5DA1"/>
    <w:rsid w:val="001F612E"/>
    <w:rsid w:val="001F6A92"/>
    <w:rsid w:val="001F77E8"/>
    <w:rsid w:val="001F7F7E"/>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A25"/>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085"/>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8DC"/>
    <w:rsid w:val="00296C32"/>
    <w:rsid w:val="002977CE"/>
    <w:rsid w:val="00297AF5"/>
    <w:rsid w:val="002A02D6"/>
    <w:rsid w:val="002A07C4"/>
    <w:rsid w:val="002A0921"/>
    <w:rsid w:val="002A0CB3"/>
    <w:rsid w:val="002A1887"/>
    <w:rsid w:val="002A2001"/>
    <w:rsid w:val="002A28BA"/>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1F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088"/>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6CEE"/>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5A21"/>
    <w:rsid w:val="00465DE5"/>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17D"/>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45F"/>
    <w:rsid w:val="004B6E50"/>
    <w:rsid w:val="004B728F"/>
    <w:rsid w:val="004B7317"/>
    <w:rsid w:val="004B75B2"/>
    <w:rsid w:val="004B75C6"/>
    <w:rsid w:val="004B7A16"/>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17FE0"/>
    <w:rsid w:val="005207D8"/>
    <w:rsid w:val="0052091D"/>
    <w:rsid w:val="005212F4"/>
    <w:rsid w:val="00521908"/>
    <w:rsid w:val="005224BC"/>
    <w:rsid w:val="00522928"/>
    <w:rsid w:val="00522FF1"/>
    <w:rsid w:val="00523946"/>
    <w:rsid w:val="0052397A"/>
    <w:rsid w:val="005256D6"/>
    <w:rsid w:val="00525AD8"/>
    <w:rsid w:val="00525D6B"/>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250"/>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61E6"/>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8BB"/>
    <w:rsid w:val="00662D3D"/>
    <w:rsid w:val="00662F1F"/>
    <w:rsid w:val="00663D15"/>
    <w:rsid w:val="00665030"/>
    <w:rsid w:val="00665670"/>
    <w:rsid w:val="006659EA"/>
    <w:rsid w:val="006661E8"/>
    <w:rsid w:val="00666395"/>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1E4"/>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9A3"/>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3761"/>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317"/>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503"/>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0A1D"/>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4D71"/>
    <w:rsid w:val="008052CE"/>
    <w:rsid w:val="0080548A"/>
    <w:rsid w:val="008058D0"/>
    <w:rsid w:val="00806A4C"/>
    <w:rsid w:val="0080705B"/>
    <w:rsid w:val="0080723C"/>
    <w:rsid w:val="00807F71"/>
    <w:rsid w:val="0081000F"/>
    <w:rsid w:val="0081137A"/>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C35"/>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7C2"/>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357"/>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8B8"/>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4DD"/>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1FB"/>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423"/>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0E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E7368"/>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4EE"/>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1B7"/>
    <w:rsid w:val="00B70200"/>
    <w:rsid w:val="00B702D7"/>
    <w:rsid w:val="00B70389"/>
    <w:rsid w:val="00B70E01"/>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595"/>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107"/>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1A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ABD"/>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34B"/>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16B9"/>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B4D"/>
    <w:rsid w:val="00D20FD1"/>
    <w:rsid w:val="00D214D4"/>
    <w:rsid w:val="00D21AAA"/>
    <w:rsid w:val="00D21E6F"/>
    <w:rsid w:val="00D2218A"/>
    <w:rsid w:val="00D2238E"/>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C31"/>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37F"/>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6157"/>
    <w:rsid w:val="00DE6E4D"/>
    <w:rsid w:val="00DE7498"/>
    <w:rsid w:val="00DE75EF"/>
    <w:rsid w:val="00DE7611"/>
    <w:rsid w:val="00DE7D19"/>
    <w:rsid w:val="00DF04FC"/>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BDF"/>
    <w:rsid w:val="00E13326"/>
    <w:rsid w:val="00E13D07"/>
    <w:rsid w:val="00E13E71"/>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6EC6"/>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1EE"/>
    <w:rsid w:val="00E912FD"/>
    <w:rsid w:val="00E91B26"/>
    <w:rsid w:val="00E92C6E"/>
    <w:rsid w:val="00E92D0B"/>
    <w:rsid w:val="00E92FFF"/>
    <w:rsid w:val="00E93195"/>
    <w:rsid w:val="00E9391C"/>
    <w:rsid w:val="00E93D05"/>
    <w:rsid w:val="00E950D4"/>
    <w:rsid w:val="00E951D8"/>
    <w:rsid w:val="00E95C2A"/>
    <w:rsid w:val="00E961CB"/>
    <w:rsid w:val="00E963BC"/>
    <w:rsid w:val="00E966A6"/>
    <w:rsid w:val="00E96E91"/>
    <w:rsid w:val="00E9751D"/>
    <w:rsid w:val="00E97DC6"/>
    <w:rsid w:val="00E97F7A"/>
    <w:rsid w:val="00EA0010"/>
    <w:rsid w:val="00EA0143"/>
    <w:rsid w:val="00EA089B"/>
    <w:rsid w:val="00EA1ACC"/>
    <w:rsid w:val="00EA29E4"/>
    <w:rsid w:val="00EA2E21"/>
    <w:rsid w:val="00EA2EAA"/>
    <w:rsid w:val="00EA380C"/>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7134"/>
    <w:rsid w:val="00F0724D"/>
    <w:rsid w:val="00F07378"/>
    <w:rsid w:val="00F10B81"/>
    <w:rsid w:val="00F10BC9"/>
    <w:rsid w:val="00F113C9"/>
    <w:rsid w:val="00F11C01"/>
    <w:rsid w:val="00F11D80"/>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F6449"/>
    <w:rsid w:val="01236AFB"/>
    <w:rsid w:val="014632E9"/>
    <w:rsid w:val="019B53E2"/>
    <w:rsid w:val="019F7441"/>
    <w:rsid w:val="01B37585"/>
    <w:rsid w:val="01B82438"/>
    <w:rsid w:val="01BF5575"/>
    <w:rsid w:val="01C65DA5"/>
    <w:rsid w:val="01D55165"/>
    <w:rsid w:val="01DB7ED5"/>
    <w:rsid w:val="01DF6BF8"/>
    <w:rsid w:val="01E70DB5"/>
    <w:rsid w:val="01EC2C57"/>
    <w:rsid w:val="02145195"/>
    <w:rsid w:val="0233386D"/>
    <w:rsid w:val="024912E2"/>
    <w:rsid w:val="025C7268"/>
    <w:rsid w:val="025F0711"/>
    <w:rsid w:val="026B2E25"/>
    <w:rsid w:val="026C6D7F"/>
    <w:rsid w:val="02824D4D"/>
    <w:rsid w:val="02D0730E"/>
    <w:rsid w:val="02D52B76"/>
    <w:rsid w:val="02DC4B10"/>
    <w:rsid w:val="02DD76CE"/>
    <w:rsid w:val="02F36323"/>
    <w:rsid w:val="02F5619C"/>
    <w:rsid w:val="02FA438B"/>
    <w:rsid w:val="031C69F7"/>
    <w:rsid w:val="032633D2"/>
    <w:rsid w:val="0326446A"/>
    <w:rsid w:val="03280EF8"/>
    <w:rsid w:val="032A4C70"/>
    <w:rsid w:val="032D5555"/>
    <w:rsid w:val="034A70C0"/>
    <w:rsid w:val="036363D4"/>
    <w:rsid w:val="036634D2"/>
    <w:rsid w:val="036F6B27"/>
    <w:rsid w:val="03DD35E4"/>
    <w:rsid w:val="03F040A4"/>
    <w:rsid w:val="04074FB1"/>
    <w:rsid w:val="04076900"/>
    <w:rsid w:val="041A5A3B"/>
    <w:rsid w:val="041A7841"/>
    <w:rsid w:val="042311BA"/>
    <w:rsid w:val="042B157A"/>
    <w:rsid w:val="042E7F90"/>
    <w:rsid w:val="04390EE3"/>
    <w:rsid w:val="043F0BEF"/>
    <w:rsid w:val="04730898"/>
    <w:rsid w:val="048F763B"/>
    <w:rsid w:val="04932CE9"/>
    <w:rsid w:val="049F330E"/>
    <w:rsid w:val="04AA775C"/>
    <w:rsid w:val="04AF1889"/>
    <w:rsid w:val="04B54A0D"/>
    <w:rsid w:val="04C64E6C"/>
    <w:rsid w:val="04F66F48"/>
    <w:rsid w:val="051756C8"/>
    <w:rsid w:val="05251E14"/>
    <w:rsid w:val="05A16594"/>
    <w:rsid w:val="05A7762D"/>
    <w:rsid w:val="05BE3D95"/>
    <w:rsid w:val="05DE7F94"/>
    <w:rsid w:val="05E355AA"/>
    <w:rsid w:val="060E5941"/>
    <w:rsid w:val="06110FAF"/>
    <w:rsid w:val="061E21DC"/>
    <w:rsid w:val="06332B7B"/>
    <w:rsid w:val="06493CA7"/>
    <w:rsid w:val="06497B03"/>
    <w:rsid w:val="065344DE"/>
    <w:rsid w:val="065A6178"/>
    <w:rsid w:val="06606BFB"/>
    <w:rsid w:val="066F1CF3"/>
    <w:rsid w:val="068E5516"/>
    <w:rsid w:val="06930BB8"/>
    <w:rsid w:val="069E6B2E"/>
    <w:rsid w:val="06D118A6"/>
    <w:rsid w:val="06F347DF"/>
    <w:rsid w:val="07245D42"/>
    <w:rsid w:val="07264C62"/>
    <w:rsid w:val="072D2F81"/>
    <w:rsid w:val="075A3B1D"/>
    <w:rsid w:val="0768431A"/>
    <w:rsid w:val="0779354C"/>
    <w:rsid w:val="07967637"/>
    <w:rsid w:val="07A46B95"/>
    <w:rsid w:val="07C1191B"/>
    <w:rsid w:val="07CC279A"/>
    <w:rsid w:val="07EA2C20"/>
    <w:rsid w:val="08061376"/>
    <w:rsid w:val="080822E1"/>
    <w:rsid w:val="080B2B96"/>
    <w:rsid w:val="081E0B1B"/>
    <w:rsid w:val="08452D77"/>
    <w:rsid w:val="084560A8"/>
    <w:rsid w:val="086401F8"/>
    <w:rsid w:val="08640C24"/>
    <w:rsid w:val="08661343"/>
    <w:rsid w:val="08751CAA"/>
    <w:rsid w:val="087E4C40"/>
    <w:rsid w:val="08923AEE"/>
    <w:rsid w:val="08A871D0"/>
    <w:rsid w:val="08D35DAA"/>
    <w:rsid w:val="08D66AD6"/>
    <w:rsid w:val="08D8516E"/>
    <w:rsid w:val="08DA33A3"/>
    <w:rsid w:val="08E80F13"/>
    <w:rsid w:val="091E5277"/>
    <w:rsid w:val="09335624"/>
    <w:rsid w:val="0944690F"/>
    <w:rsid w:val="09535675"/>
    <w:rsid w:val="095F057D"/>
    <w:rsid w:val="09642282"/>
    <w:rsid w:val="09694443"/>
    <w:rsid w:val="09733572"/>
    <w:rsid w:val="09772C16"/>
    <w:rsid w:val="0978425B"/>
    <w:rsid w:val="098353B5"/>
    <w:rsid w:val="09A92330"/>
    <w:rsid w:val="09B06B87"/>
    <w:rsid w:val="09BA4874"/>
    <w:rsid w:val="09C13146"/>
    <w:rsid w:val="09C3140C"/>
    <w:rsid w:val="09E04166"/>
    <w:rsid w:val="0A1C0718"/>
    <w:rsid w:val="0A3E7710"/>
    <w:rsid w:val="0A515D78"/>
    <w:rsid w:val="0A5B7E63"/>
    <w:rsid w:val="0A703465"/>
    <w:rsid w:val="0A805ABD"/>
    <w:rsid w:val="0AA374A5"/>
    <w:rsid w:val="0AAB7649"/>
    <w:rsid w:val="0AAC240E"/>
    <w:rsid w:val="0ABC5606"/>
    <w:rsid w:val="0ADB0F46"/>
    <w:rsid w:val="0AE147AE"/>
    <w:rsid w:val="0B30404E"/>
    <w:rsid w:val="0B4C6C14"/>
    <w:rsid w:val="0B547599"/>
    <w:rsid w:val="0B631A88"/>
    <w:rsid w:val="0B683D45"/>
    <w:rsid w:val="0B7F3F11"/>
    <w:rsid w:val="0B7F7B23"/>
    <w:rsid w:val="0B884417"/>
    <w:rsid w:val="0B8E5FB8"/>
    <w:rsid w:val="0B980BE5"/>
    <w:rsid w:val="0BCD088E"/>
    <w:rsid w:val="0BDF6813"/>
    <w:rsid w:val="0BF6188C"/>
    <w:rsid w:val="0BF73C91"/>
    <w:rsid w:val="0C112E71"/>
    <w:rsid w:val="0C170175"/>
    <w:rsid w:val="0C571A41"/>
    <w:rsid w:val="0C5C1171"/>
    <w:rsid w:val="0C5E1CBC"/>
    <w:rsid w:val="0C615B50"/>
    <w:rsid w:val="0C7C4062"/>
    <w:rsid w:val="0C8445DA"/>
    <w:rsid w:val="0C87121B"/>
    <w:rsid w:val="0C931AD8"/>
    <w:rsid w:val="0CC007F7"/>
    <w:rsid w:val="0CC04897"/>
    <w:rsid w:val="0CC617AC"/>
    <w:rsid w:val="0CE4552E"/>
    <w:rsid w:val="0CE618DF"/>
    <w:rsid w:val="0CF12CA2"/>
    <w:rsid w:val="0CFE707A"/>
    <w:rsid w:val="0D063BDA"/>
    <w:rsid w:val="0D08375F"/>
    <w:rsid w:val="0D184CFB"/>
    <w:rsid w:val="0D1C7D1F"/>
    <w:rsid w:val="0D4A7419"/>
    <w:rsid w:val="0D71793F"/>
    <w:rsid w:val="0D827401"/>
    <w:rsid w:val="0D84094E"/>
    <w:rsid w:val="0D8A00E9"/>
    <w:rsid w:val="0D8D589E"/>
    <w:rsid w:val="0DA01C73"/>
    <w:rsid w:val="0DD63300"/>
    <w:rsid w:val="0DD8176C"/>
    <w:rsid w:val="0DF50604"/>
    <w:rsid w:val="0DF702FE"/>
    <w:rsid w:val="0E060E51"/>
    <w:rsid w:val="0E2008DB"/>
    <w:rsid w:val="0E5604B2"/>
    <w:rsid w:val="0E666D78"/>
    <w:rsid w:val="0E6D5D79"/>
    <w:rsid w:val="0E9D0089"/>
    <w:rsid w:val="0EB803EE"/>
    <w:rsid w:val="0EDC703A"/>
    <w:rsid w:val="0EF94D4B"/>
    <w:rsid w:val="0EF95E3E"/>
    <w:rsid w:val="0F152C78"/>
    <w:rsid w:val="0F1669F0"/>
    <w:rsid w:val="0F4958DC"/>
    <w:rsid w:val="0F515DF7"/>
    <w:rsid w:val="0F596BA8"/>
    <w:rsid w:val="0F6248D2"/>
    <w:rsid w:val="0F64775C"/>
    <w:rsid w:val="0F693536"/>
    <w:rsid w:val="0F71086A"/>
    <w:rsid w:val="0F7B0511"/>
    <w:rsid w:val="0F7B76D9"/>
    <w:rsid w:val="0F816ACD"/>
    <w:rsid w:val="0F847DFE"/>
    <w:rsid w:val="0F8971C2"/>
    <w:rsid w:val="0F9832DB"/>
    <w:rsid w:val="0FBF3FD2"/>
    <w:rsid w:val="0FBF4992"/>
    <w:rsid w:val="0FBF7FF3"/>
    <w:rsid w:val="0FE8038D"/>
    <w:rsid w:val="0FFE7520"/>
    <w:rsid w:val="104F21BA"/>
    <w:rsid w:val="10646583"/>
    <w:rsid w:val="107D4B15"/>
    <w:rsid w:val="108A3C80"/>
    <w:rsid w:val="10993435"/>
    <w:rsid w:val="10AB4F16"/>
    <w:rsid w:val="10C26171"/>
    <w:rsid w:val="10E87F18"/>
    <w:rsid w:val="10F33360"/>
    <w:rsid w:val="10FC16EA"/>
    <w:rsid w:val="10FD39C4"/>
    <w:rsid w:val="110F1D40"/>
    <w:rsid w:val="111B209C"/>
    <w:rsid w:val="11266F33"/>
    <w:rsid w:val="118963A1"/>
    <w:rsid w:val="11C6522A"/>
    <w:rsid w:val="11D63897"/>
    <w:rsid w:val="11E104CC"/>
    <w:rsid w:val="11E20309"/>
    <w:rsid w:val="12255233"/>
    <w:rsid w:val="12437C74"/>
    <w:rsid w:val="12530213"/>
    <w:rsid w:val="127723A9"/>
    <w:rsid w:val="12862074"/>
    <w:rsid w:val="12883966"/>
    <w:rsid w:val="129E45B4"/>
    <w:rsid w:val="12C10A21"/>
    <w:rsid w:val="12D81596"/>
    <w:rsid w:val="12E60488"/>
    <w:rsid w:val="12F62DC0"/>
    <w:rsid w:val="13036D42"/>
    <w:rsid w:val="13072A44"/>
    <w:rsid w:val="13096776"/>
    <w:rsid w:val="13280AA0"/>
    <w:rsid w:val="134E49AB"/>
    <w:rsid w:val="135950FD"/>
    <w:rsid w:val="135F4BE2"/>
    <w:rsid w:val="139B1A0A"/>
    <w:rsid w:val="139D25C7"/>
    <w:rsid w:val="13AA7707"/>
    <w:rsid w:val="13BF1404"/>
    <w:rsid w:val="13BF3CE4"/>
    <w:rsid w:val="13EB3FA7"/>
    <w:rsid w:val="13F310AE"/>
    <w:rsid w:val="140B63F8"/>
    <w:rsid w:val="141008D8"/>
    <w:rsid w:val="14125FE6"/>
    <w:rsid w:val="1437559E"/>
    <w:rsid w:val="146D271E"/>
    <w:rsid w:val="14982588"/>
    <w:rsid w:val="149A5AD9"/>
    <w:rsid w:val="14A7619D"/>
    <w:rsid w:val="14F615A9"/>
    <w:rsid w:val="15001CD4"/>
    <w:rsid w:val="150536C3"/>
    <w:rsid w:val="150C1963"/>
    <w:rsid w:val="150C68CB"/>
    <w:rsid w:val="151447A0"/>
    <w:rsid w:val="152B4878"/>
    <w:rsid w:val="15451DDD"/>
    <w:rsid w:val="154A6454"/>
    <w:rsid w:val="15657D89"/>
    <w:rsid w:val="15762120"/>
    <w:rsid w:val="158F4E06"/>
    <w:rsid w:val="15AE1730"/>
    <w:rsid w:val="15FF01DE"/>
    <w:rsid w:val="162E2871"/>
    <w:rsid w:val="166242C9"/>
    <w:rsid w:val="16691AFB"/>
    <w:rsid w:val="16907088"/>
    <w:rsid w:val="16A8729C"/>
    <w:rsid w:val="16B33777"/>
    <w:rsid w:val="16BC70A7"/>
    <w:rsid w:val="16BC7E7D"/>
    <w:rsid w:val="16C6339E"/>
    <w:rsid w:val="16F969DB"/>
    <w:rsid w:val="1701318F"/>
    <w:rsid w:val="17084E70"/>
    <w:rsid w:val="17237EFC"/>
    <w:rsid w:val="172F2D79"/>
    <w:rsid w:val="174329DC"/>
    <w:rsid w:val="17557BEF"/>
    <w:rsid w:val="176A78D9"/>
    <w:rsid w:val="178766DD"/>
    <w:rsid w:val="178C5AA1"/>
    <w:rsid w:val="17A0154D"/>
    <w:rsid w:val="17B46DA6"/>
    <w:rsid w:val="17BE7C25"/>
    <w:rsid w:val="17BF5E77"/>
    <w:rsid w:val="17C074F9"/>
    <w:rsid w:val="17D349C1"/>
    <w:rsid w:val="17E70F2A"/>
    <w:rsid w:val="17FD074D"/>
    <w:rsid w:val="17FE0021"/>
    <w:rsid w:val="181D2CB6"/>
    <w:rsid w:val="182E0907"/>
    <w:rsid w:val="1830729E"/>
    <w:rsid w:val="184A3267"/>
    <w:rsid w:val="18506ACF"/>
    <w:rsid w:val="1870062C"/>
    <w:rsid w:val="187A7FF0"/>
    <w:rsid w:val="18817102"/>
    <w:rsid w:val="18830A15"/>
    <w:rsid w:val="18852B28"/>
    <w:rsid w:val="188B5321"/>
    <w:rsid w:val="19001F04"/>
    <w:rsid w:val="197C1B46"/>
    <w:rsid w:val="19856C4C"/>
    <w:rsid w:val="19932372"/>
    <w:rsid w:val="199E7D0E"/>
    <w:rsid w:val="19A20DD5"/>
    <w:rsid w:val="19A846E9"/>
    <w:rsid w:val="19AE03F1"/>
    <w:rsid w:val="19B47531"/>
    <w:rsid w:val="19BE1321"/>
    <w:rsid w:val="19F33BB6"/>
    <w:rsid w:val="1A071A03"/>
    <w:rsid w:val="1A1F16AE"/>
    <w:rsid w:val="1A3B5C77"/>
    <w:rsid w:val="1A4E34E2"/>
    <w:rsid w:val="1A6C1BBA"/>
    <w:rsid w:val="1A725422"/>
    <w:rsid w:val="1A984BAD"/>
    <w:rsid w:val="1AB8220E"/>
    <w:rsid w:val="1AD21E95"/>
    <w:rsid w:val="1AE4166C"/>
    <w:rsid w:val="1AF06CFB"/>
    <w:rsid w:val="1AF11B8D"/>
    <w:rsid w:val="1B11359C"/>
    <w:rsid w:val="1B2A271F"/>
    <w:rsid w:val="1B3E70B3"/>
    <w:rsid w:val="1B440441"/>
    <w:rsid w:val="1B530544"/>
    <w:rsid w:val="1B713184"/>
    <w:rsid w:val="1B7725C5"/>
    <w:rsid w:val="1BA209CF"/>
    <w:rsid w:val="1BB4777D"/>
    <w:rsid w:val="1BB83309"/>
    <w:rsid w:val="1BB92BDD"/>
    <w:rsid w:val="1BD75AB8"/>
    <w:rsid w:val="1BD9327F"/>
    <w:rsid w:val="1C0459C2"/>
    <w:rsid w:val="1C183DA8"/>
    <w:rsid w:val="1C1B3B4A"/>
    <w:rsid w:val="1C1D316C"/>
    <w:rsid w:val="1C694603"/>
    <w:rsid w:val="1C6A3ED7"/>
    <w:rsid w:val="1C766D20"/>
    <w:rsid w:val="1C7725CD"/>
    <w:rsid w:val="1C812CD0"/>
    <w:rsid w:val="1C88086E"/>
    <w:rsid w:val="1D1327C1"/>
    <w:rsid w:val="1D266CE1"/>
    <w:rsid w:val="1D3963AF"/>
    <w:rsid w:val="1D3D0FE5"/>
    <w:rsid w:val="1D556936"/>
    <w:rsid w:val="1D6A673C"/>
    <w:rsid w:val="1D6D0123"/>
    <w:rsid w:val="1D7768AC"/>
    <w:rsid w:val="1D9247AE"/>
    <w:rsid w:val="1DB567EC"/>
    <w:rsid w:val="1DCA7323"/>
    <w:rsid w:val="1DE55F0B"/>
    <w:rsid w:val="1DF51A98"/>
    <w:rsid w:val="1E0068A1"/>
    <w:rsid w:val="1E205195"/>
    <w:rsid w:val="1E3D060F"/>
    <w:rsid w:val="1E3F7D2E"/>
    <w:rsid w:val="1E4134E4"/>
    <w:rsid w:val="1E5062B3"/>
    <w:rsid w:val="1E523514"/>
    <w:rsid w:val="1E671B83"/>
    <w:rsid w:val="1E682698"/>
    <w:rsid w:val="1E714A66"/>
    <w:rsid w:val="1E7605F3"/>
    <w:rsid w:val="1E802593"/>
    <w:rsid w:val="1E8B6156"/>
    <w:rsid w:val="1E990AA4"/>
    <w:rsid w:val="1EA703CC"/>
    <w:rsid w:val="1EAC4C7B"/>
    <w:rsid w:val="1EB61656"/>
    <w:rsid w:val="1EB7330C"/>
    <w:rsid w:val="1EC55E72"/>
    <w:rsid w:val="1EF04B68"/>
    <w:rsid w:val="1F0A0FF3"/>
    <w:rsid w:val="1F274302"/>
    <w:rsid w:val="1F2948B5"/>
    <w:rsid w:val="1F5771FF"/>
    <w:rsid w:val="1F646BF6"/>
    <w:rsid w:val="1F6B0692"/>
    <w:rsid w:val="1F904124"/>
    <w:rsid w:val="1F9E2816"/>
    <w:rsid w:val="1F9F033C"/>
    <w:rsid w:val="1FCB7383"/>
    <w:rsid w:val="1FCD30FB"/>
    <w:rsid w:val="1FE868A9"/>
    <w:rsid w:val="20034907"/>
    <w:rsid w:val="20081AD8"/>
    <w:rsid w:val="20173E4B"/>
    <w:rsid w:val="20390790"/>
    <w:rsid w:val="204E48BC"/>
    <w:rsid w:val="20564E9E"/>
    <w:rsid w:val="2076109D"/>
    <w:rsid w:val="20880DD0"/>
    <w:rsid w:val="208921B3"/>
    <w:rsid w:val="209239FD"/>
    <w:rsid w:val="20973DEB"/>
    <w:rsid w:val="209B6D55"/>
    <w:rsid w:val="20B26522"/>
    <w:rsid w:val="20B44310"/>
    <w:rsid w:val="20F14BC7"/>
    <w:rsid w:val="211116EB"/>
    <w:rsid w:val="21415B4F"/>
    <w:rsid w:val="21523D75"/>
    <w:rsid w:val="216133FC"/>
    <w:rsid w:val="21C97D6C"/>
    <w:rsid w:val="21D56769"/>
    <w:rsid w:val="21E07116"/>
    <w:rsid w:val="21E52EF3"/>
    <w:rsid w:val="21FB5D7B"/>
    <w:rsid w:val="22015E94"/>
    <w:rsid w:val="220426D8"/>
    <w:rsid w:val="22056B7C"/>
    <w:rsid w:val="22066531"/>
    <w:rsid w:val="220B1C3D"/>
    <w:rsid w:val="221D1D20"/>
    <w:rsid w:val="22284619"/>
    <w:rsid w:val="223034CD"/>
    <w:rsid w:val="22334A87"/>
    <w:rsid w:val="228026A7"/>
    <w:rsid w:val="22883309"/>
    <w:rsid w:val="22BE6801"/>
    <w:rsid w:val="22E9024C"/>
    <w:rsid w:val="22F62969"/>
    <w:rsid w:val="2309264B"/>
    <w:rsid w:val="233500BF"/>
    <w:rsid w:val="23377FF7"/>
    <w:rsid w:val="236B425F"/>
    <w:rsid w:val="236D2C2B"/>
    <w:rsid w:val="23836192"/>
    <w:rsid w:val="238B30B1"/>
    <w:rsid w:val="23901F29"/>
    <w:rsid w:val="239C0061"/>
    <w:rsid w:val="23B908A4"/>
    <w:rsid w:val="23C95987"/>
    <w:rsid w:val="23DF51AB"/>
    <w:rsid w:val="23E629DD"/>
    <w:rsid w:val="23E95BEF"/>
    <w:rsid w:val="23FD0064"/>
    <w:rsid w:val="242F7EE0"/>
    <w:rsid w:val="243E45C7"/>
    <w:rsid w:val="24480FA2"/>
    <w:rsid w:val="245375B0"/>
    <w:rsid w:val="24642C0A"/>
    <w:rsid w:val="246A716A"/>
    <w:rsid w:val="24B22173"/>
    <w:rsid w:val="24B95AD9"/>
    <w:rsid w:val="24BE24DA"/>
    <w:rsid w:val="24C22B02"/>
    <w:rsid w:val="24CF5825"/>
    <w:rsid w:val="24D663E6"/>
    <w:rsid w:val="24D77F2B"/>
    <w:rsid w:val="24F44C86"/>
    <w:rsid w:val="251610A0"/>
    <w:rsid w:val="25253091"/>
    <w:rsid w:val="258129BE"/>
    <w:rsid w:val="258B00E2"/>
    <w:rsid w:val="258C3110"/>
    <w:rsid w:val="25A917A6"/>
    <w:rsid w:val="25BE27CC"/>
    <w:rsid w:val="25F2430C"/>
    <w:rsid w:val="25F74A5C"/>
    <w:rsid w:val="26094761"/>
    <w:rsid w:val="2628662C"/>
    <w:rsid w:val="262D45DE"/>
    <w:rsid w:val="265605A8"/>
    <w:rsid w:val="2674607E"/>
    <w:rsid w:val="26746610"/>
    <w:rsid w:val="26871DC8"/>
    <w:rsid w:val="268F4C66"/>
    <w:rsid w:val="26A53EF9"/>
    <w:rsid w:val="26A616E9"/>
    <w:rsid w:val="26A94201"/>
    <w:rsid w:val="26AC274F"/>
    <w:rsid w:val="26CD578F"/>
    <w:rsid w:val="26DB0948"/>
    <w:rsid w:val="26DC3C24"/>
    <w:rsid w:val="27044A29"/>
    <w:rsid w:val="271D34C8"/>
    <w:rsid w:val="273B6B9C"/>
    <w:rsid w:val="276142BF"/>
    <w:rsid w:val="27783712"/>
    <w:rsid w:val="27840543"/>
    <w:rsid w:val="27907362"/>
    <w:rsid w:val="27962024"/>
    <w:rsid w:val="27A77FE3"/>
    <w:rsid w:val="28333E1D"/>
    <w:rsid w:val="28454BD6"/>
    <w:rsid w:val="28455253"/>
    <w:rsid w:val="28551971"/>
    <w:rsid w:val="285B1C53"/>
    <w:rsid w:val="287E1436"/>
    <w:rsid w:val="289F7086"/>
    <w:rsid w:val="28BA1D43"/>
    <w:rsid w:val="28C11323"/>
    <w:rsid w:val="28C32028"/>
    <w:rsid w:val="28CC490F"/>
    <w:rsid w:val="28DE40AA"/>
    <w:rsid w:val="28E82D54"/>
    <w:rsid w:val="29345E77"/>
    <w:rsid w:val="294C65AD"/>
    <w:rsid w:val="2973086F"/>
    <w:rsid w:val="29785E86"/>
    <w:rsid w:val="29806583"/>
    <w:rsid w:val="298B3C4C"/>
    <w:rsid w:val="29A0362E"/>
    <w:rsid w:val="29A21154"/>
    <w:rsid w:val="29D07B74"/>
    <w:rsid w:val="29D357B2"/>
    <w:rsid w:val="29D37560"/>
    <w:rsid w:val="29F26D24"/>
    <w:rsid w:val="2A15033F"/>
    <w:rsid w:val="2A1662C1"/>
    <w:rsid w:val="2A1C7367"/>
    <w:rsid w:val="2A2815FA"/>
    <w:rsid w:val="2A4144C9"/>
    <w:rsid w:val="2A6D6092"/>
    <w:rsid w:val="2A703001"/>
    <w:rsid w:val="2A7D76B4"/>
    <w:rsid w:val="2ABE6D75"/>
    <w:rsid w:val="2ABF7AE4"/>
    <w:rsid w:val="2AD96DF8"/>
    <w:rsid w:val="2ADC2444"/>
    <w:rsid w:val="2AE61515"/>
    <w:rsid w:val="2AEA4B61"/>
    <w:rsid w:val="2B3F207C"/>
    <w:rsid w:val="2B437463"/>
    <w:rsid w:val="2B7807EE"/>
    <w:rsid w:val="2B8F74B6"/>
    <w:rsid w:val="2BA50BF7"/>
    <w:rsid w:val="2BBF00EC"/>
    <w:rsid w:val="2BC37CFD"/>
    <w:rsid w:val="2BC445B9"/>
    <w:rsid w:val="2BD5237F"/>
    <w:rsid w:val="2BE536CE"/>
    <w:rsid w:val="2BE758D9"/>
    <w:rsid w:val="2BF33EE9"/>
    <w:rsid w:val="2C0902CA"/>
    <w:rsid w:val="2C09049E"/>
    <w:rsid w:val="2C097269"/>
    <w:rsid w:val="2C0A653C"/>
    <w:rsid w:val="2C1856FE"/>
    <w:rsid w:val="2C191F85"/>
    <w:rsid w:val="2C6D5A4A"/>
    <w:rsid w:val="2CB90C8F"/>
    <w:rsid w:val="2CBB4EED"/>
    <w:rsid w:val="2CC82C80"/>
    <w:rsid w:val="2CC84EBC"/>
    <w:rsid w:val="2CD51841"/>
    <w:rsid w:val="2CE57EA0"/>
    <w:rsid w:val="2CE82D6F"/>
    <w:rsid w:val="2CF9108B"/>
    <w:rsid w:val="2D0068BE"/>
    <w:rsid w:val="2D2B1461"/>
    <w:rsid w:val="2D343236"/>
    <w:rsid w:val="2D346567"/>
    <w:rsid w:val="2D4D587B"/>
    <w:rsid w:val="2D5A06D6"/>
    <w:rsid w:val="2D790198"/>
    <w:rsid w:val="2DAF2092"/>
    <w:rsid w:val="2DC01BA9"/>
    <w:rsid w:val="2DD15014"/>
    <w:rsid w:val="2DD65871"/>
    <w:rsid w:val="2DF27D55"/>
    <w:rsid w:val="2DF72DE4"/>
    <w:rsid w:val="2E0220AF"/>
    <w:rsid w:val="2E057F04"/>
    <w:rsid w:val="2E3B3926"/>
    <w:rsid w:val="2E3D58F0"/>
    <w:rsid w:val="2E4B082A"/>
    <w:rsid w:val="2E560BBA"/>
    <w:rsid w:val="2E5642BC"/>
    <w:rsid w:val="2E5A1FFE"/>
    <w:rsid w:val="2E5D4E86"/>
    <w:rsid w:val="2E5D790B"/>
    <w:rsid w:val="2E953036"/>
    <w:rsid w:val="2E9A3C18"/>
    <w:rsid w:val="2EBB0FEE"/>
    <w:rsid w:val="2EC63002"/>
    <w:rsid w:val="2ECD6C74"/>
    <w:rsid w:val="2EF81CDA"/>
    <w:rsid w:val="2F0A6B38"/>
    <w:rsid w:val="2F307202"/>
    <w:rsid w:val="2F946CCB"/>
    <w:rsid w:val="2FA554FB"/>
    <w:rsid w:val="2FB971F8"/>
    <w:rsid w:val="2FC31E25"/>
    <w:rsid w:val="2FD25781"/>
    <w:rsid w:val="2FDC745C"/>
    <w:rsid w:val="2FE778C1"/>
    <w:rsid w:val="2FFD7934"/>
    <w:rsid w:val="303568D9"/>
    <w:rsid w:val="304545E8"/>
    <w:rsid w:val="304F5466"/>
    <w:rsid w:val="307153DD"/>
    <w:rsid w:val="30733ACD"/>
    <w:rsid w:val="308C3862"/>
    <w:rsid w:val="309379D8"/>
    <w:rsid w:val="3095731D"/>
    <w:rsid w:val="30A270F7"/>
    <w:rsid w:val="30AA14F8"/>
    <w:rsid w:val="30DF1478"/>
    <w:rsid w:val="30EC586F"/>
    <w:rsid w:val="3112096E"/>
    <w:rsid w:val="315F6F32"/>
    <w:rsid w:val="317E4255"/>
    <w:rsid w:val="317F3B29"/>
    <w:rsid w:val="319C6071"/>
    <w:rsid w:val="31A11ECE"/>
    <w:rsid w:val="31AC537E"/>
    <w:rsid w:val="31E3679B"/>
    <w:rsid w:val="31E732FD"/>
    <w:rsid w:val="31EE30DC"/>
    <w:rsid w:val="31EF6F01"/>
    <w:rsid w:val="32075721"/>
    <w:rsid w:val="3225238E"/>
    <w:rsid w:val="32517576"/>
    <w:rsid w:val="326E42CA"/>
    <w:rsid w:val="32803FFD"/>
    <w:rsid w:val="328C4750"/>
    <w:rsid w:val="32933D30"/>
    <w:rsid w:val="32BE5C2C"/>
    <w:rsid w:val="32CA4507"/>
    <w:rsid w:val="32D63C1D"/>
    <w:rsid w:val="32E225C2"/>
    <w:rsid w:val="32FB6478"/>
    <w:rsid w:val="332410BB"/>
    <w:rsid w:val="33263B3F"/>
    <w:rsid w:val="3361798A"/>
    <w:rsid w:val="336963EB"/>
    <w:rsid w:val="33816EEB"/>
    <w:rsid w:val="33A361F5"/>
    <w:rsid w:val="33C323F3"/>
    <w:rsid w:val="33C541E3"/>
    <w:rsid w:val="33E800AC"/>
    <w:rsid w:val="33EB55CD"/>
    <w:rsid w:val="33EC4C02"/>
    <w:rsid w:val="33EF143A"/>
    <w:rsid w:val="33FE342B"/>
    <w:rsid w:val="340D2360"/>
    <w:rsid w:val="3410665D"/>
    <w:rsid w:val="34136B81"/>
    <w:rsid w:val="34211214"/>
    <w:rsid w:val="342310E4"/>
    <w:rsid w:val="342E63AB"/>
    <w:rsid w:val="344A041F"/>
    <w:rsid w:val="34605E94"/>
    <w:rsid w:val="34897199"/>
    <w:rsid w:val="34950E68"/>
    <w:rsid w:val="34986E94"/>
    <w:rsid w:val="34AF62C9"/>
    <w:rsid w:val="34CB4388"/>
    <w:rsid w:val="34CF6B76"/>
    <w:rsid w:val="34F0546A"/>
    <w:rsid w:val="34FA3BF3"/>
    <w:rsid w:val="34FA6E12"/>
    <w:rsid w:val="3518051D"/>
    <w:rsid w:val="35386E11"/>
    <w:rsid w:val="354D7158"/>
    <w:rsid w:val="35611EC4"/>
    <w:rsid w:val="358D5588"/>
    <w:rsid w:val="35A95619"/>
    <w:rsid w:val="35DB6951"/>
    <w:rsid w:val="362D1DA6"/>
    <w:rsid w:val="363A3B40"/>
    <w:rsid w:val="363C023B"/>
    <w:rsid w:val="364721D8"/>
    <w:rsid w:val="365302AE"/>
    <w:rsid w:val="36607A0A"/>
    <w:rsid w:val="366E227C"/>
    <w:rsid w:val="366F2E0D"/>
    <w:rsid w:val="3679148F"/>
    <w:rsid w:val="367B6A5C"/>
    <w:rsid w:val="36A74ADA"/>
    <w:rsid w:val="36A77DAA"/>
    <w:rsid w:val="36A91D74"/>
    <w:rsid w:val="36AD60D5"/>
    <w:rsid w:val="36AE738B"/>
    <w:rsid w:val="36B224F9"/>
    <w:rsid w:val="36C97D20"/>
    <w:rsid w:val="36D6068F"/>
    <w:rsid w:val="36E0506A"/>
    <w:rsid w:val="36EC0CC9"/>
    <w:rsid w:val="371F2036"/>
    <w:rsid w:val="3733163E"/>
    <w:rsid w:val="373F410B"/>
    <w:rsid w:val="373F4487"/>
    <w:rsid w:val="375D66BB"/>
    <w:rsid w:val="37A711A3"/>
    <w:rsid w:val="37BF2ED1"/>
    <w:rsid w:val="37D050DF"/>
    <w:rsid w:val="37EE7094"/>
    <w:rsid w:val="38296C89"/>
    <w:rsid w:val="383002EB"/>
    <w:rsid w:val="383B4C4E"/>
    <w:rsid w:val="3845787B"/>
    <w:rsid w:val="384F4255"/>
    <w:rsid w:val="38586797"/>
    <w:rsid w:val="386D5023"/>
    <w:rsid w:val="388008B3"/>
    <w:rsid w:val="38AC16A8"/>
    <w:rsid w:val="38B60778"/>
    <w:rsid w:val="38BC0149"/>
    <w:rsid w:val="38D87D1C"/>
    <w:rsid w:val="38EA21D0"/>
    <w:rsid w:val="38F66DC7"/>
    <w:rsid w:val="39291FD6"/>
    <w:rsid w:val="394418E0"/>
    <w:rsid w:val="39486471"/>
    <w:rsid w:val="39565AB7"/>
    <w:rsid w:val="39636459"/>
    <w:rsid w:val="396B7F6C"/>
    <w:rsid w:val="39700927"/>
    <w:rsid w:val="39A27B01"/>
    <w:rsid w:val="39B417A9"/>
    <w:rsid w:val="39E44E71"/>
    <w:rsid w:val="39FC5695"/>
    <w:rsid w:val="3A006D8E"/>
    <w:rsid w:val="3A077E58"/>
    <w:rsid w:val="3A085004"/>
    <w:rsid w:val="3A204F94"/>
    <w:rsid w:val="3A3651E5"/>
    <w:rsid w:val="3A532FBB"/>
    <w:rsid w:val="3A577884"/>
    <w:rsid w:val="3A685AA2"/>
    <w:rsid w:val="3A726921"/>
    <w:rsid w:val="3A744481"/>
    <w:rsid w:val="3A886145"/>
    <w:rsid w:val="3A8C7BEF"/>
    <w:rsid w:val="3A906246"/>
    <w:rsid w:val="3A9E536B"/>
    <w:rsid w:val="3ACA22B9"/>
    <w:rsid w:val="3AF235BE"/>
    <w:rsid w:val="3B2349B7"/>
    <w:rsid w:val="3B3D2A8B"/>
    <w:rsid w:val="3B457B92"/>
    <w:rsid w:val="3B4C7172"/>
    <w:rsid w:val="3B584C08"/>
    <w:rsid w:val="3B616CFF"/>
    <w:rsid w:val="3B6259F6"/>
    <w:rsid w:val="3B70073D"/>
    <w:rsid w:val="3B934DA1"/>
    <w:rsid w:val="3B976654"/>
    <w:rsid w:val="3BA951BE"/>
    <w:rsid w:val="3BBB37A0"/>
    <w:rsid w:val="3BC01EFC"/>
    <w:rsid w:val="3BCA786A"/>
    <w:rsid w:val="3BD31E2F"/>
    <w:rsid w:val="3BDA652C"/>
    <w:rsid w:val="3BDF7FE6"/>
    <w:rsid w:val="3BF15831"/>
    <w:rsid w:val="3C017F5D"/>
    <w:rsid w:val="3C105946"/>
    <w:rsid w:val="3C1934F8"/>
    <w:rsid w:val="3C471448"/>
    <w:rsid w:val="3C5F759A"/>
    <w:rsid w:val="3C667DC0"/>
    <w:rsid w:val="3C6C525A"/>
    <w:rsid w:val="3CCE23CB"/>
    <w:rsid w:val="3CD17D17"/>
    <w:rsid w:val="3D2A5291"/>
    <w:rsid w:val="3D37175C"/>
    <w:rsid w:val="3D3C7F39"/>
    <w:rsid w:val="3D440F09"/>
    <w:rsid w:val="3D4504A0"/>
    <w:rsid w:val="3D474095"/>
    <w:rsid w:val="3D4E0F7F"/>
    <w:rsid w:val="3D8734BB"/>
    <w:rsid w:val="3D960B78"/>
    <w:rsid w:val="3D9A11D4"/>
    <w:rsid w:val="3DA16D89"/>
    <w:rsid w:val="3DA364BE"/>
    <w:rsid w:val="3DB334D8"/>
    <w:rsid w:val="3DDA0A65"/>
    <w:rsid w:val="3DE041CB"/>
    <w:rsid w:val="3DF53AF1"/>
    <w:rsid w:val="3E0702B8"/>
    <w:rsid w:val="3E0D48F6"/>
    <w:rsid w:val="3E155F41"/>
    <w:rsid w:val="3E1868B4"/>
    <w:rsid w:val="3E377251"/>
    <w:rsid w:val="3E42664B"/>
    <w:rsid w:val="3E5A7334"/>
    <w:rsid w:val="3E5E1696"/>
    <w:rsid w:val="3E7B5D6B"/>
    <w:rsid w:val="3E843E66"/>
    <w:rsid w:val="3E8F51FE"/>
    <w:rsid w:val="3E926F87"/>
    <w:rsid w:val="3E9A59DE"/>
    <w:rsid w:val="3EAF4836"/>
    <w:rsid w:val="3EC33DFA"/>
    <w:rsid w:val="3EE6168C"/>
    <w:rsid w:val="3EEF22EE"/>
    <w:rsid w:val="3EF20030"/>
    <w:rsid w:val="3EFD0EAF"/>
    <w:rsid w:val="3F0062A9"/>
    <w:rsid w:val="3F060E16"/>
    <w:rsid w:val="3F1D1096"/>
    <w:rsid w:val="3F2F0234"/>
    <w:rsid w:val="3F2F3423"/>
    <w:rsid w:val="3F6363FE"/>
    <w:rsid w:val="3F756B8F"/>
    <w:rsid w:val="3F95482B"/>
    <w:rsid w:val="3FBA6DA0"/>
    <w:rsid w:val="3FDF6807"/>
    <w:rsid w:val="4019356B"/>
    <w:rsid w:val="404B5C4A"/>
    <w:rsid w:val="40592157"/>
    <w:rsid w:val="406E1CAE"/>
    <w:rsid w:val="4084115C"/>
    <w:rsid w:val="4090365D"/>
    <w:rsid w:val="4093314D"/>
    <w:rsid w:val="40A0133A"/>
    <w:rsid w:val="40AF61D9"/>
    <w:rsid w:val="40B27A77"/>
    <w:rsid w:val="40BA4B7E"/>
    <w:rsid w:val="40C31A53"/>
    <w:rsid w:val="40C652D1"/>
    <w:rsid w:val="40D43E92"/>
    <w:rsid w:val="40FF545D"/>
    <w:rsid w:val="410067C8"/>
    <w:rsid w:val="41036525"/>
    <w:rsid w:val="412546ED"/>
    <w:rsid w:val="413B7A6D"/>
    <w:rsid w:val="41483F38"/>
    <w:rsid w:val="41524DB6"/>
    <w:rsid w:val="416176D3"/>
    <w:rsid w:val="4182569C"/>
    <w:rsid w:val="418F0D2A"/>
    <w:rsid w:val="418F7DB9"/>
    <w:rsid w:val="419E7FFC"/>
    <w:rsid w:val="41C37A62"/>
    <w:rsid w:val="41D01505"/>
    <w:rsid w:val="42134546"/>
    <w:rsid w:val="423B584A"/>
    <w:rsid w:val="42402E61"/>
    <w:rsid w:val="42474939"/>
    <w:rsid w:val="424C3C57"/>
    <w:rsid w:val="425D7EB7"/>
    <w:rsid w:val="42613FF3"/>
    <w:rsid w:val="42660D96"/>
    <w:rsid w:val="4269685C"/>
    <w:rsid w:val="428667D2"/>
    <w:rsid w:val="428B67D2"/>
    <w:rsid w:val="42CB59A5"/>
    <w:rsid w:val="42CD1CE0"/>
    <w:rsid w:val="42D02437"/>
    <w:rsid w:val="42E1381E"/>
    <w:rsid w:val="42ED6459"/>
    <w:rsid w:val="42FE58DD"/>
    <w:rsid w:val="43174B3D"/>
    <w:rsid w:val="433F136A"/>
    <w:rsid w:val="434B790E"/>
    <w:rsid w:val="434C41B3"/>
    <w:rsid w:val="4360274F"/>
    <w:rsid w:val="438C2802"/>
    <w:rsid w:val="43977AB6"/>
    <w:rsid w:val="43A3342B"/>
    <w:rsid w:val="43A80F3F"/>
    <w:rsid w:val="43AE09CA"/>
    <w:rsid w:val="43C04259"/>
    <w:rsid w:val="43C77C27"/>
    <w:rsid w:val="43D30430"/>
    <w:rsid w:val="43DE09EE"/>
    <w:rsid w:val="43EB60D2"/>
    <w:rsid w:val="44002FAD"/>
    <w:rsid w:val="441C37AA"/>
    <w:rsid w:val="44330ECF"/>
    <w:rsid w:val="44496945"/>
    <w:rsid w:val="446948F1"/>
    <w:rsid w:val="446B0669"/>
    <w:rsid w:val="449101DD"/>
    <w:rsid w:val="44AB6CB7"/>
    <w:rsid w:val="44B10046"/>
    <w:rsid w:val="44B55D88"/>
    <w:rsid w:val="44DE1391"/>
    <w:rsid w:val="450D34CE"/>
    <w:rsid w:val="451B225C"/>
    <w:rsid w:val="451F3201"/>
    <w:rsid w:val="45232CF2"/>
    <w:rsid w:val="452410C9"/>
    <w:rsid w:val="45317DFB"/>
    <w:rsid w:val="456D3CE4"/>
    <w:rsid w:val="4579042C"/>
    <w:rsid w:val="457E3359"/>
    <w:rsid w:val="457F0571"/>
    <w:rsid w:val="45851176"/>
    <w:rsid w:val="45B61F7E"/>
    <w:rsid w:val="45C55BC2"/>
    <w:rsid w:val="45C63B94"/>
    <w:rsid w:val="45C73FC5"/>
    <w:rsid w:val="45CA5863"/>
    <w:rsid w:val="460E7DA5"/>
    <w:rsid w:val="46276812"/>
    <w:rsid w:val="46422483"/>
    <w:rsid w:val="46517D32"/>
    <w:rsid w:val="465670F7"/>
    <w:rsid w:val="46582E6F"/>
    <w:rsid w:val="4659254A"/>
    <w:rsid w:val="465B0637"/>
    <w:rsid w:val="465E3F0D"/>
    <w:rsid w:val="466A16E6"/>
    <w:rsid w:val="46753A21"/>
    <w:rsid w:val="46893F2B"/>
    <w:rsid w:val="469D4D26"/>
    <w:rsid w:val="46C444E6"/>
    <w:rsid w:val="46C4686E"/>
    <w:rsid w:val="46DD5122"/>
    <w:rsid w:val="46FF32EA"/>
    <w:rsid w:val="470703F1"/>
    <w:rsid w:val="474D674C"/>
    <w:rsid w:val="475A49C5"/>
    <w:rsid w:val="476B783C"/>
    <w:rsid w:val="477517FF"/>
    <w:rsid w:val="477B778F"/>
    <w:rsid w:val="478203EC"/>
    <w:rsid w:val="479E6FA7"/>
    <w:rsid w:val="47B025FA"/>
    <w:rsid w:val="47C63E08"/>
    <w:rsid w:val="47CD33E9"/>
    <w:rsid w:val="47DE732A"/>
    <w:rsid w:val="4809698F"/>
    <w:rsid w:val="480F755D"/>
    <w:rsid w:val="4811697D"/>
    <w:rsid w:val="487A3E25"/>
    <w:rsid w:val="488B5503"/>
    <w:rsid w:val="48937E21"/>
    <w:rsid w:val="489A0361"/>
    <w:rsid w:val="48A8102D"/>
    <w:rsid w:val="48B94FF3"/>
    <w:rsid w:val="48BF0F83"/>
    <w:rsid w:val="48E37AAB"/>
    <w:rsid w:val="48FD4B4C"/>
    <w:rsid w:val="490A68E0"/>
    <w:rsid w:val="491055FE"/>
    <w:rsid w:val="49127986"/>
    <w:rsid w:val="491446BA"/>
    <w:rsid w:val="492B56F2"/>
    <w:rsid w:val="495F5B3E"/>
    <w:rsid w:val="496F77D7"/>
    <w:rsid w:val="497654FD"/>
    <w:rsid w:val="49A81A17"/>
    <w:rsid w:val="49B64211"/>
    <w:rsid w:val="49D41AAC"/>
    <w:rsid w:val="49E50EBD"/>
    <w:rsid w:val="49F6167F"/>
    <w:rsid w:val="4A064FA0"/>
    <w:rsid w:val="4A16615C"/>
    <w:rsid w:val="4A372D9B"/>
    <w:rsid w:val="4A3B1B3B"/>
    <w:rsid w:val="4A4424D7"/>
    <w:rsid w:val="4A653DAC"/>
    <w:rsid w:val="4A9F72BE"/>
    <w:rsid w:val="4AB82D0F"/>
    <w:rsid w:val="4AEB7664"/>
    <w:rsid w:val="4AFD7C19"/>
    <w:rsid w:val="4B0567D1"/>
    <w:rsid w:val="4B217CD3"/>
    <w:rsid w:val="4B236AAE"/>
    <w:rsid w:val="4B2F799D"/>
    <w:rsid w:val="4B427C4A"/>
    <w:rsid w:val="4B6B0F4E"/>
    <w:rsid w:val="4B707271"/>
    <w:rsid w:val="4B7324F9"/>
    <w:rsid w:val="4B83098E"/>
    <w:rsid w:val="4B9739F7"/>
    <w:rsid w:val="4BC32B39"/>
    <w:rsid w:val="4BEE2503"/>
    <w:rsid w:val="4BF727EA"/>
    <w:rsid w:val="4C245A30"/>
    <w:rsid w:val="4C2F01CE"/>
    <w:rsid w:val="4C5440D8"/>
    <w:rsid w:val="4CAF130F"/>
    <w:rsid w:val="4CB6685F"/>
    <w:rsid w:val="4CC367FE"/>
    <w:rsid w:val="4D077F3C"/>
    <w:rsid w:val="4D123355"/>
    <w:rsid w:val="4D2A3B31"/>
    <w:rsid w:val="4D312C52"/>
    <w:rsid w:val="4D695962"/>
    <w:rsid w:val="4D8602C2"/>
    <w:rsid w:val="4D905305"/>
    <w:rsid w:val="4D964A72"/>
    <w:rsid w:val="4D993968"/>
    <w:rsid w:val="4D9C1254"/>
    <w:rsid w:val="4D9E5B15"/>
    <w:rsid w:val="4D9F75D5"/>
    <w:rsid w:val="4DA370C6"/>
    <w:rsid w:val="4DAE5A6A"/>
    <w:rsid w:val="4DD03C33"/>
    <w:rsid w:val="4E0B07C7"/>
    <w:rsid w:val="4E28581D"/>
    <w:rsid w:val="4E612ADD"/>
    <w:rsid w:val="4E793892"/>
    <w:rsid w:val="4E800872"/>
    <w:rsid w:val="4E8862BB"/>
    <w:rsid w:val="4EC569ED"/>
    <w:rsid w:val="4ED50EA1"/>
    <w:rsid w:val="4EEC050C"/>
    <w:rsid w:val="4F104EC3"/>
    <w:rsid w:val="4F1C3E96"/>
    <w:rsid w:val="4F247D92"/>
    <w:rsid w:val="4F47354A"/>
    <w:rsid w:val="4F911C54"/>
    <w:rsid w:val="4FBD3D43"/>
    <w:rsid w:val="4FC6709B"/>
    <w:rsid w:val="4FD23C92"/>
    <w:rsid w:val="4FD73056"/>
    <w:rsid w:val="4FDF63AF"/>
    <w:rsid w:val="4FE625E0"/>
    <w:rsid w:val="500D6A78"/>
    <w:rsid w:val="5021480F"/>
    <w:rsid w:val="50526B81"/>
    <w:rsid w:val="505C301C"/>
    <w:rsid w:val="505E5526"/>
    <w:rsid w:val="50962ECB"/>
    <w:rsid w:val="509C1BAA"/>
    <w:rsid w:val="50A42E38"/>
    <w:rsid w:val="50A4577F"/>
    <w:rsid w:val="50B73D1F"/>
    <w:rsid w:val="50BD5BC9"/>
    <w:rsid w:val="50C11EEE"/>
    <w:rsid w:val="50E97CFC"/>
    <w:rsid w:val="50F1639A"/>
    <w:rsid w:val="50FA4028"/>
    <w:rsid w:val="50FE2865"/>
    <w:rsid w:val="510D65B7"/>
    <w:rsid w:val="511157AB"/>
    <w:rsid w:val="5142540C"/>
    <w:rsid w:val="518832C8"/>
    <w:rsid w:val="519D3C50"/>
    <w:rsid w:val="51A0432A"/>
    <w:rsid w:val="51A86090"/>
    <w:rsid w:val="51B7396D"/>
    <w:rsid w:val="520D3263"/>
    <w:rsid w:val="52195BA8"/>
    <w:rsid w:val="52293911"/>
    <w:rsid w:val="522E4CC3"/>
    <w:rsid w:val="5244713B"/>
    <w:rsid w:val="52615633"/>
    <w:rsid w:val="52693347"/>
    <w:rsid w:val="526F4DE4"/>
    <w:rsid w:val="52756B57"/>
    <w:rsid w:val="528A2602"/>
    <w:rsid w:val="52977FD4"/>
    <w:rsid w:val="52A25790"/>
    <w:rsid w:val="52A631B4"/>
    <w:rsid w:val="52A96B6F"/>
    <w:rsid w:val="52B45975"/>
    <w:rsid w:val="52C33D66"/>
    <w:rsid w:val="52C35B14"/>
    <w:rsid w:val="52D94AA4"/>
    <w:rsid w:val="52EA3A62"/>
    <w:rsid w:val="52F50BB8"/>
    <w:rsid w:val="53097272"/>
    <w:rsid w:val="534C1537"/>
    <w:rsid w:val="53544462"/>
    <w:rsid w:val="536B6D64"/>
    <w:rsid w:val="5397158E"/>
    <w:rsid w:val="53E325D5"/>
    <w:rsid w:val="54013861"/>
    <w:rsid w:val="544669FD"/>
    <w:rsid w:val="54487265"/>
    <w:rsid w:val="544D6070"/>
    <w:rsid w:val="54556C40"/>
    <w:rsid w:val="545A24A8"/>
    <w:rsid w:val="545A4256"/>
    <w:rsid w:val="54605E1E"/>
    <w:rsid w:val="546450D5"/>
    <w:rsid w:val="54B3506A"/>
    <w:rsid w:val="54CA0D16"/>
    <w:rsid w:val="54D9161F"/>
    <w:rsid w:val="54DD4057"/>
    <w:rsid w:val="54E7490F"/>
    <w:rsid w:val="54E76163"/>
    <w:rsid w:val="550764A4"/>
    <w:rsid w:val="550B2BF6"/>
    <w:rsid w:val="55214EB5"/>
    <w:rsid w:val="55364EFD"/>
    <w:rsid w:val="553920BD"/>
    <w:rsid w:val="555923AB"/>
    <w:rsid w:val="555D4828"/>
    <w:rsid w:val="556F1F83"/>
    <w:rsid w:val="55782BE6"/>
    <w:rsid w:val="557A4C8B"/>
    <w:rsid w:val="558931E1"/>
    <w:rsid w:val="558E065B"/>
    <w:rsid w:val="559002B6"/>
    <w:rsid w:val="55923347"/>
    <w:rsid w:val="55925180"/>
    <w:rsid w:val="55983B1B"/>
    <w:rsid w:val="55A8376B"/>
    <w:rsid w:val="55BD684B"/>
    <w:rsid w:val="55DC29B6"/>
    <w:rsid w:val="55DD4241"/>
    <w:rsid w:val="55E95892"/>
    <w:rsid w:val="55FC3817"/>
    <w:rsid w:val="560A5808"/>
    <w:rsid w:val="5621327D"/>
    <w:rsid w:val="563D798B"/>
    <w:rsid w:val="566B6D1E"/>
    <w:rsid w:val="56777341"/>
    <w:rsid w:val="56815ACA"/>
    <w:rsid w:val="57032A2C"/>
    <w:rsid w:val="570F5219"/>
    <w:rsid w:val="572E78E5"/>
    <w:rsid w:val="575C2093"/>
    <w:rsid w:val="575D12B5"/>
    <w:rsid w:val="57610A87"/>
    <w:rsid w:val="577B1140"/>
    <w:rsid w:val="577B7F21"/>
    <w:rsid w:val="577F181B"/>
    <w:rsid w:val="578A4E52"/>
    <w:rsid w:val="57917F8F"/>
    <w:rsid w:val="57921984"/>
    <w:rsid w:val="579737F0"/>
    <w:rsid w:val="57AB7B30"/>
    <w:rsid w:val="57AF5251"/>
    <w:rsid w:val="57B26373"/>
    <w:rsid w:val="57B63F04"/>
    <w:rsid w:val="57B65C47"/>
    <w:rsid w:val="57CD20C2"/>
    <w:rsid w:val="57D675AB"/>
    <w:rsid w:val="57D95FDD"/>
    <w:rsid w:val="580F5357"/>
    <w:rsid w:val="58256929"/>
    <w:rsid w:val="58353010"/>
    <w:rsid w:val="583F5C3D"/>
    <w:rsid w:val="58737A58"/>
    <w:rsid w:val="58773629"/>
    <w:rsid w:val="588E44CE"/>
    <w:rsid w:val="588F7EBD"/>
    <w:rsid w:val="58917D2F"/>
    <w:rsid w:val="5894085C"/>
    <w:rsid w:val="58A261CC"/>
    <w:rsid w:val="58AE4F0C"/>
    <w:rsid w:val="58B85899"/>
    <w:rsid w:val="58E363A9"/>
    <w:rsid w:val="58E93DFA"/>
    <w:rsid w:val="59036C6A"/>
    <w:rsid w:val="591E264C"/>
    <w:rsid w:val="595E1678"/>
    <w:rsid w:val="596516D3"/>
    <w:rsid w:val="59693603"/>
    <w:rsid w:val="596D5BD4"/>
    <w:rsid w:val="597E3DD8"/>
    <w:rsid w:val="597F77E2"/>
    <w:rsid w:val="598558D1"/>
    <w:rsid w:val="598D0C2A"/>
    <w:rsid w:val="59967ADE"/>
    <w:rsid w:val="59B241EC"/>
    <w:rsid w:val="59B63CDD"/>
    <w:rsid w:val="59F64A21"/>
    <w:rsid w:val="59F80043"/>
    <w:rsid w:val="5A09252F"/>
    <w:rsid w:val="5A0B2778"/>
    <w:rsid w:val="5A2A7C7B"/>
    <w:rsid w:val="5A3E2560"/>
    <w:rsid w:val="5A5D3B6E"/>
    <w:rsid w:val="5A637A76"/>
    <w:rsid w:val="5A6D33BA"/>
    <w:rsid w:val="5A792B1F"/>
    <w:rsid w:val="5A874767"/>
    <w:rsid w:val="5AA85BE2"/>
    <w:rsid w:val="5AAD6F28"/>
    <w:rsid w:val="5AAE6397"/>
    <w:rsid w:val="5ABE2749"/>
    <w:rsid w:val="5AC16DDD"/>
    <w:rsid w:val="5AD63A24"/>
    <w:rsid w:val="5AE26D53"/>
    <w:rsid w:val="5AE51A4D"/>
    <w:rsid w:val="5B215ACE"/>
    <w:rsid w:val="5B231846"/>
    <w:rsid w:val="5B2E1A1D"/>
    <w:rsid w:val="5B615ECA"/>
    <w:rsid w:val="5B7F45A2"/>
    <w:rsid w:val="5B843A1C"/>
    <w:rsid w:val="5B873E3F"/>
    <w:rsid w:val="5BAA4E32"/>
    <w:rsid w:val="5BB41F11"/>
    <w:rsid w:val="5C02690E"/>
    <w:rsid w:val="5C196DA7"/>
    <w:rsid w:val="5C2A048C"/>
    <w:rsid w:val="5C4D2220"/>
    <w:rsid w:val="5C5F68AD"/>
    <w:rsid w:val="5C71038F"/>
    <w:rsid w:val="5C7B745F"/>
    <w:rsid w:val="5C80234E"/>
    <w:rsid w:val="5C8A680C"/>
    <w:rsid w:val="5C9A78E6"/>
    <w:rsid w:val="5D0C4701"/>
    <w:rsid w:val="5D0E5BDE"/>
    <w:rsid w:val="5D0F0395"/>
    <w:rsid w:val="5D101956"/>
    <w:rsid w:val="5D1A4582"/>
    <w:rsid w:val="5D221076"/>
    <w:rsid w:val="5D2E44D2"/>
    <w:rsid w:val="5D397964"/>
    <w:rsid w:val="5D537A94"/>
    <w:rsid w:val="5D5A391C"/>
    <w:rsid w:val="5D5F10C0"/>
    <w:rsid w:val="5D790E2F"/>
    <w:rsid w:val="5D891B7B"/>
    <w:rsid w:val="5D8D2FA6"/>
    <w:rsid w:val="5DAA1DAA"/>
    <w:rsid w:val="5DAD38EE"/>
    <w:rsid w:val="5DDC4B42"/>
    <w:rsid w:val="5DEC23C3"/>
    <w:rsid w:val="5E006862"/>
    <w:rsid w:val="5E0207B9"/>
    <w:rsid w:val="5E1834A1"/>
    <w:rsid w:val="5E1B4A56"/>
    <w:rsid w:val="5E261785"/>
    <w:rsid w:val="5E326D6C"/>
    <w:rsid w:val="5E4A7017"/>
    <w:rsid w:val="5E552BBA"/>
    <w:rsid w:val="5E59557E"/>
    <w:rsid w:val="5E611C10"/>
    <w:rsid w:val="5E7A0F3F"/>
    <w:rsid w:val="5E8365F6"/>
    <w:rsid w:val="5E912F6A"/>
    <w:rsid w:val="5E9F4AA7"/>
    <w:rsid w:val="5EAA35A6"/>
    <w:rsid w:val="5EEC63F2"/>
    <w:rsid w:val="5EFC7377"/>
    <w:rsid w:val="5EFF1C82"/>
    <w:rsid w:val="5F06174D"/>
    <w:rsid w:val="5F3A3602"/>
    <w:rsid w:val="5F45733B"/>
    <w:rsid w:val="5F6277C6"/>
    <w:rsid w:val="5F6D0B1D"/>
    <w:rsid w:val="5F8405CE"/>
    <w:rsid w:val="5F8D0B82"/>
    <w:rsid w:val="5F990328"/>
    <w:rsid w:val="5FAB1E0A"/>
    <w:rsid w:val="5FCC5339"/>
    <w:rsid w:val="5FD56E87"/>
    <w:rsid w:val="5FE34A5B"/>
    <w:rsid w:val="5FFC654F"/>
    <w:rsid w:val="5FFE1E36"/>
    <w:rsid w:val="60232584"/>
    <w:rsid w:val="6025396A"/>
    <w:rsid w:val="6042451C"/>
    <w:rsid w:val="6046746B"/>
    <w:rsid w:val="606F2E37"/>
    <w:rsid w:val="607330CE"/>
    <w:rsid w:val="60765F74"/>
    <w:rsid w:val="60825176"/>
    <w:rsid w:val="609F2AC4"/>
    <w:rsid w:val="60FA2EE8"/>
    <w:rsid w:val="61054A27"/>
    <w:rsid w:val="610A52BC"/>
    <w:rsid w:val="610D059B"/>
    <w:rsid w:val="611D2366"/>
    <w:rsid w:val="61421856"/>
    <w:rsid w:val="615227C4"/>
    <w:rsid w:val="61654E3F"/>
    <w:rsid w:val="6170330B"/>
    <w:rsid w:val="61812E22"/>
    <w:rsid w:val="6182292A"/>
    <w:rsid w:val="619F7F92"/>
    <w:rsid w:val="61BC02FE"/>
    <w:rsid w:val="61C84EF5"/>
    <w:rsid w:val="61E33F36"/>
    <w:rsid w:val="61E84C4F"/>
    <w:rsid w:val="61F94C26"/>
    <w:rsid w:val="62000E56"/>
    <w:rsid w:val="620852F1"/>
    <w:rsid w:val="62265778"/>
    <w:rsid w:val="62375BD7"/>
    <w:rsid w:val="624502F4"/>
    <w:rsid w:val="624C47EB"/>
    <w:rsid w:val="624F3E49"/>
    <w:rsid w:val="62632286"/>
    <w:rsid w:val="62885958"/>
    <w:rsid w:val="628D57F7"/>
    <w:rsid w:val="62A274F4"/>
    <w:rsid w:val="62B611F1"/>
    <w:rsid w:val="62F13FD7"/>
    <w:rsid w:val="62F40B65"/>
    <w:rsid w:val="62FC2CFE"/>
    <w:rsid w:val="63024505"/>
    <w:rsid w:val="63343EC4"/>
    <w:rsid w:val="635600A5"/>
    <w:rsid w:val="635B1DB5"/>
    <w:rsid w:val="63711FED"/>
    <w:rsid w:val="63880DDC"/>
    <w:rsid w:val="638D750D"/>
    <w:rsid w:val="639A466F"/>
    <w:rsid w:val="63AC6CC0"/>
    <w:rsid w:val="63E91153"/>
    <w:rsid w:val="63F23480"/>
    <w:rsid w:val="63F41FD1"/>
    <w:rsid w:val="64055776"/>
    <w:rsid w:val="64085A7D"/>
    <w:rsid w:val="641F5B67"/>
    <w:rsid w:val="64240056"/>
    <w:rsid w:val="642B52C7"/>
    <w:rsid w:val="643E143A"/>
    <w:rsid w:val="64491666"/>
    <w:rsid w:val="645A795A"/>
    <w:rsid w:val="647C3D75"/>
    <w:rsid w:val="648B6EEF"/>
    <w:rsid w:val="64917820"/>
    <w:rsid w:val="64C158BF"/>
    <w:rsid w:val="64CE2EAA"/>
    <w:rsid w:val="64EC0EFA"/>
    <w:rsid w:val="64FD3107"/>
    <w:rsid w:val="650A2FD0"/>
    <w:rsid w:val="65143FAD"/>
    <w:rsid w:val="65363F24"/>
    <w:rsid w:val="653C3090"/>
    <w:rsid w:val="65854376"/>
    <w:rsid w:val="658767BE"/>
    <w:rsid w:val="65892531"/>
    <w:rsid w:val="658A7C58"/>
    <w:rsid w:val="65A32EA1"/>
    <w:rsid w:val="65D06126"/>
    <w:rsid w:val="65DF280D"/>
    <w:rsid w:val="66195831"/>
    <w:rsid w:val="66195D1F"/>
    <w:rsid w:val="662E75B1"/>
    <w:rsid w:val="66342C2E"/>
    <w:rsid w:val="66344907"/>
    <w:rsid w:val="663E784C"/>
    <w:rsid w:val="66756CCD"/>
    <w:rsid w:val="668B6A45"/>
    <w:rsid w:val="66B772E6"/>
    <w:rsid w:val="67112C4A"/>
    <w:rsid w:val="6716225F"/>
    <w:rsid w:val="67184229"/>
    <w:rsid w:val="672F3F24"/>
    <w:rsid w:val="673E055F"/>
    <w:rsid w:val="67551CE3"/>
    <w:rsid w:val="678371C8"/>
    <w:rsid w:val="67876CB8"/>
    <w:rsid w:val="67A22552"/>
    <w:rsid w:val="67B22DCC"/>
    <w:rsid w:val="67BE71AA"/>
    <w:rsid w:val="67CD5013"/>
    <w:rsid w:val="67CF7323"/>
    <w:rsid w:val="67D90273"/>
    <w:rsid w:val="67DE5875"/>
    <w:rsid w:val="67E55852"/>
    <w:rsid w:val="67EB1AB4"/>
    <w:rsid w:val="67FA1285"/>
    <w:rsid w:val="68077DF9"/>
    <w:rsid w:val="684F3C7A"/>
    <w:rsid w:val="68534DEC"/>
    <w:rsid w:val="68551F4F"/>
    <w:rsid w:val="685A261F"/>
    <w:rsid w:val="687A3533"/>
    <w:rsid w:val="687C10C9"/>
    <w:rsid w:val="68840C16"/>
    <w:rsid w:val="68876EFB"/>
    <w:rsid w:val="68884654"/>
    <w:rsid w:val="689F444F"/>
    <w:rsid w:val="68B96DBB"/>
    <w:rsid w:val="68C47C0A"/>
    <w:rsid w:val="68CA2805"/>
    <w:rsid w:val="68DE6DAC"/>
    <w:rsid w:val="68E937A3"/>
    <w:rsid w:val="68FB149A"/>
    <w:rsid w:val="693E15D3"/>
    <w:rsid w:val="695B03FD"/>
    <w:rsid w:val="69627681"/>
    <w:rsid w:val="6977531D"/>
    <w:rsid w:val="69A00505"/>
    <w:rsid w:val="69AA3132"/>
    <w:rsid w:val="69C266CE"/>
    <w:rsid w:val="69CC2BFF"/>
    <w:rsid w:val="69D81A4D"/>
    <w:rsid w:val="69FD55B8"/>
    <w:rsid w:val="6A042842"/>
    <w:rsid w:val="6A0665BA"/>
    <w:rsid w:val="6A0B1C62"/>
    <w:rsid w:val="6A1C5DDE"/>
    <w:rsid w:val="6A2406C8"/>
    <w:rsid w:val="6A3B7666"/>
    <w:rsid w:val="6A9A1ADF"/>
    <w:rsid w:val="6AA302AD"/>
    <w:rsid w:val="6ADE0BD1"/>
    <w:rsid w:val="6AE81378"/>
    <w:rsid w:val="6AE96859"/>
    <w:rsid w:val="6B0625EA"/>
    <w:rsid w:val="6B147746"/>
    <w:rsid w:val="6B24787C"/>
    <w:rsid w:val="6B573233"/>
    <w:rsid w:val="6B5B6274"/>
    <w:rsid w:val="6B935D53"/>
    <w:rsid w:val="6B945E48"/>
    <w:rsid w:val="6BAE0CB8"/>
    <w:rsid w:val="6BD44496"/>
    <w:rsid w:val="6C1316F7"/>
    <w:rsid w:val="6C196F71"/>
    <w:rsid w:val="6C226FCB"/>
    <w:rsid w:val="6C266DB6"/>
    <w:rsid w:val="6C31226F"/>
    <w:rsid w:val="6C333690"/>
    <w:rsid w:val="6C421739"/>
    <w:rsid w:val="6C517EC7"/>
    <w:rsid w:val="6C552F0B"/>
    <w:rsid w:val="6C8C67B7"/>
    <w:rsid w:val="6C9D744C"/>
    <w:rsid w:val="6CEC0DA4"/>
    <w:rsid w:val="6D064B23"/>
    <w:rsid w:val="6D0B213A"/>
    <w:rsid w:val="6D167928"/>
    <w:rsid w:val="6D254FA9"/>
    <w:rsid w:val="6D26299B"/>
    <w:rsid w:val="6D4772EC"/>
    <w:rsid w:val="6D82064E"/>
    <w:rsid w:val="6D8A7502"/>
    <w:rsid w:val="6D9078AF"/>
    <w:rsid w:val="6DA73C10"/>
    <w:rsid w:val="6DAA3FEF"/>
    <w:rsid w:val="6DBB3B60"/>
    <w:rsid w:val="6DC0172B"/>
    <w:rsid w:val="6DCB690C"/>
    <w:rsid w:val="6DD41A5B"/>
    <w:rsid w:val="6DE54739"/>
    <w:rsid w:val="6DF43C2E"/>
    <w:rsid w:val="6DF51CA3"/>
    <w:rsid w:val="6E0C6169"/>
    <w:rsid w:val="6E526272"/>
    <w:rsid w:val="6E62222D"/>
    <w:rsid w:val="6E712470"/>
    <w:rsid w:val="6E8335BD"/>
    <w:rsid w:val="6E8E12EF"/>
    <w:rsid w:val="6E972936"/>
    <w:rsid w:val="6E983DCC"/>
    <w:rsid w:val="6EAB14DE"/>
    <w:rsid w:val="6EB178F7"/>
    <w:rsid w:val="6ED446C5"/>
    <w:rsid w:val="6F2A7D94"/>
    <w:rsid w:val="6F40431D"/>
    <w:rsid w:val="6F410095"/>
    <w:rsid w:val="6F72024E"/>
    <w:rsid w:val="6F8331F1"/>
    <w:rsid w:val="6F9208F0"/>
    <w:rsid w:val="6FAE1A09"/>
    <w:rsid w:val="6FBD3BBF"/>
    <w:rsid w:val="6FD75BF8"/>
    <w:rsid w:val="6FE32D16"/>
    <w:rsid w:val="6FE80510"/>
    <w:rsid w:val="6FF62C2D"/>
    <w:rsid w:val="70027824"/>
    <w:rsid w:val="701B08E6"/>
    <w:rsid w:val="70685902"/>
    <w:rsid w:val="707149AA"/>
    <w:rsid w:val="707723D0"/>
    <w:rsid w:val="707F70C6"/>
    <w:rsid w:val="70AE175A"/>
    <w:rsid w:val="70F5661B"/>
    <w:rsid w:val="71357785"/>
    <w:rsid w:val="71360107"/>
    <w:rsid w:val="713A4D9B"/>
    <w:rsid w:val="713B688E"/>
    <w:rsid w:val="7148279F"/>
    <w:rsid w:val="71D43752"/>
    <w:rsid w:val="71F1796A"/>
    <w:rsid w:val="71FB63D5"/>
    <w:rsid w:val="72154626"/>
    <w:rsid w:val="721E53FB"/>
    <w:rsid w:val="72262B5D"/>
    <w:rsid w:val="72283FF7"/>
    <w:rsid w:val="722E7212"/>
    <w:rsid w:val="723A0474"/>
    <w:rsid w:val="725923E4"/>
    <w:rsid w:val="72691DDC"/>
    <w:rsid w:val="726D4D03"/>
    <w:rsid w:val="727907ED"/>
    <w:rsid w:val="72833651"/>
    <w:rsid w:val="72864BF7"/>
    <w:rsid w:val="729023FC"/>
    <w:rsid w:val="72987FCC"/>
    <w:rsid w:val="72EE22E1"/>
    <w:rsid w:val="72F1592E"/>
    <w:rsid w:val="72F35B4A"/>
    <w:rsid w:val="734B3290"/>
    <w:rsid w:val="739F35DC"/>
    <w:rsid w:val="73C0646E"/>
    <w:rsid w:val="73C13552"/>
    <w:rsid w:val="742222F5"/>
    <w:rsid w:val="743E30A2"/>
    <w:rsid w:val="74476126"/>
    <w:rsid w:val="744E128A"/>
    <w:rsid w:val="74706664"/>
    <w:rsid w:val="747F3682"/>
    <w:rsid w:val="748E5B2A"/>
    <w:rsid w:val="749C4185"/>
    <w:rsid w:val="74A569D0"/>
    <w:rsid w:val="74EC45FF"/>
    <w:rsid w:val="75067759"/>
    <w:rsid w:val="75291143"/>
    <w:rsid w:val="752E6DCD"/>
    <w:rsid w:val="75461F61"/>
    <w:rsid w:val="7551380D"/>
    <w:rsid w:val="755D394A"/>
    <w:rsid w:val="75600BE5"/>
    <w:rsid w:val="7564475C"/>
    <w:rsid w:val="756D1BE3"/>
    <w:rsid w:val="756E34B6"/>
    <w:rsid w:val="7583797F"/>
    <w:rsid w:val="75AA6994"/>
    <w:rsid w:val="75D20F1D"/>
    <w:rsid w:val="75DA2C18"/>
    <w:rsid w:val="75E023B5"/>
    <w:rsid w:val="75F54412"/>
    <w:rsid w:val="761D08E0"/>
    <w:rsid w:val="7641097A"/>
    <w:rsid w:val="765863F0"/>
    <w:rsid w:val="765D347C"/>
    <w:rsid w:val="767825EE"/>
    <w:rsid w:val="76826699"/>
    <w:rsid w:val="76A333E3"/>
    <w:rsid w:val="76BB24DB"/>
    <w:rsid w:val="76C87133"/>
    <w:rsid w:val="76CC0B8C"/>
    <w:rsid w:val="76CD08D5"/>
    <w:rsid w:val="76DB4B92"/>
    <w:rsid w:val="76E732D0"/>
    <w:rsid w:val="77052AA4"/>
    <w:rsid w:val="77136511"/>
    <w:rsid w:val="77161E07"/>
    <w:rsid w:val="771816DB"/>
    <w:rsid w:val="77340A39"/>
    <w:rsid w:val="77351FD0"/>
    <w:rsid w:val="773A5AF5"/>
    <w:rsid w:val="77472422"/>
    <w:rsid w:val="775546DD"/>
    <w:rsid w:val="777F31F2"/>
    <w:rsid w:val="77972F48"/>
    <w:rsid w:val="77D1700D"/>
    <w:rsid w:val="77EC04CC"/>
    <w:rsid w:val="780F6F82"/>
    <w:rsid w:val="784B788E"/>
    <w:rsid w:val="78770683"/>
    <w:rsid w:val="78775729"/>
    <w:rsid w:val="78A42DB0"/>
    <w:rsid w:val="78A656AB"/>
    <w:rsid w:val="78B2245C"/>
    <w:rsid w:val="78B95140"/>
    <w:rsid w:val="78E172CC"/>
    <w:rsid w:val="78EA1D1F"/>
    <w:rsid w:val="79036DC3"/>
    <w:rsid w:val="7904172F"/>
    <w:rsid w:val="790C6793"/>
    <w:rsid w:val="790F7E27"/>
    <w:rsid w:val="792702FB"/>
    <w:rsid w:val="792A231A"/>
    <w:rsid w:val="79316829"/>
    <w:rsid w:val="79490272"/>
    <w:rsid w:val="797E66A9"/>
    <w:rsid w:val="798518A4"/>
    <w:rsid w:val="79863274"/>
    <w:rsid w:val="79A97383"/>
    <w:rsid w:val="79BF0534"/>
    <w:rsid w:val="79E27E8B"/>
    <w:rsid w:val="79F850CE"/>
    <w:rsid w:val="79FD443C"/>
    <w:rsid w:val="79FEE5E2"/>
    <w:rsid w:val="7A1D1975"/>
    <w:rsid w:val="7A2F7467"/>
    <w:rsid w:val="7A3E5150"/>
    <w:rsid w:val="7A410F49"/>
    <w:rsid w:val="7A4670D6"/>
    <w:rsid w:val="7A4D3D91"/>
    <w:rsid w:val="7A534B63"/>
    <w:rsid w:val="7A615382"/>
    <w:rsid w:val="7A67303B"/>
    <w:rsid w:val="7AAB1D04"/>
    <w:rsid w:val="7ABA4368"/>
    <w:rsid w:val="7ABE4C8F"/>
    <w:rsid w:val="7AD05746"/>
    <w:rsid w:val="7ADB75EF"/>
    <w:rsid w:val="7AEA5A84"/>
    <w:rsid w:val="7B257FFD"/>
    <w:rsid w:val="7B310FBD"/>
    <w:rsid w:val="7B343476"/>
    <w:rsid w:val="7B362A78"/>
    <w:rsid w:val="7B466080"/>
    <w:rsid w:val="7B5A2978"/>
    <w:rsid w:val="7B5A7E4C"/>
    <w:rsid w:val="7B667AF9"/>
    <w:rsid w:val="7B6E0463"/>
    <w:rsid w:val="7B7468F8"/>
    <w:rsid w:val="7B762E74"/>
    <w:rsid w:val="7B7D06A6"/>
    <w:rsid w:val="7B8657AD"/>
    <w:rsid w:val="7BEE0103"/>
    <w:rsid w:val="7C0A0FE4"/>
    <w:rsid w:val="7C254906"/>
    <w:rsid w:val="7C5533D1"/>
    <w:rsid w:val="7C590818"/>
    <w:rsid w:val="7C75312C"/>
    <w:rsid w:val="7C7C10F6"/>
    <w:rsid w:val="7C853BEA"/>
    <w:rsid w:val="7C881368"/>
    <w:rsid w:val="7C8B294F"/>
    <w:rsid w:val="7CB63E70"/>
    <w:rsid w:val="7CCB71F0"/>
    <w:rsid w:val="7CD564F7"/>
    <w:rsid w:val="7CE27788"/>
    <w:rsid w:val="7CEC1640"/>
    <w:rsid w:val="7D0C32F1"/>
    <w:rsid w:val="7D0F408D"/>
    <w:rsid w:val="7D126BCC"/>
    <w:rsid w:val="7D470F6C"/>
    <w:rsid w:val="7D491C6C"/>
    <w:rsid w:val="7D5429C0"/>
    <w:rsid w:val="7D6E6D43"/>
    <w:rsid w:val="7DB57A34"/>
    <w:rsid w:val="7DB859C6"/>
    <w:rsid w:val="7DE22A43"/>
    <w:rsid w:val="7DE60973"/>
    <w:rsid w:val="7DEF0916"/>
    <w:rsid w:val="7E1E5218"/>
    <w:rsid w:val="7E292420"/>
    <w:rsid w:val="7E33329E"/>
    <w:rsid w:val="7E6C679B"/>
    <w:rsid w:val="7E9A4E1F"/>
    <w:rsid w:val="7EA146AC"/>
    <w:rsid w:val="7EA1645A"/>
    <w:rsid w:val="7EA7723A"/>
    <w:rsid w:val="7EA83C8C"/>
    <w:rsid w:val="7EB048EF"/>
    <w:rsid w:val="7EF56FBB"/>
    <w:rsid w:val="7F0768EB"/>
    <w:rsid w:val="7F143BEC"/>
    <w:rsid w:val="7F3217A8"/>
    <w:rsid w:val="7F362021"/>
    <w:rsid w:val="7F4514DB"/>
    <w:rsid w:val="7F5160D2"/>
    <w:rsid w:val="7F6851CA"/>
    <w:rsid w:val="7F715AF2"/>
    <w:rsid w:val="7F7B47F9"/>
    <w:rsid w:val="7F886E69"/>
    <w:rsid w:val="7F9B10FB"/>
    <w:rsid w:val="7FDB599C"/>
    <w:rsid w:val="7FF058EB"/>
    <w:rsid w:val="AEFB2051"/>
    <w:rsid w:val="BB7FA927"/>
    <w:rsid w:val="EFF72F48"/>
    <w:rsid w:val="F5FFD31F"/>
    <w:rsid w:val="F7E57758"/>
    <w:rsid w:val="F7FD985E"/>
    <w:rsid w:val="FBDE7B37"/>
    <w:rsid w:val="FEF3980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5"/>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3">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5"/>
    <w:qFormat/>
    <w:uiPriority w:val="0"/>
    <w:pPr>
      <w:keepNext/>
      <w:keepLines/>
      <w:tabs>
        <w:tab w:val="left" w:pos="900"/>
      </w:tabs>
      <w:spacing w:before="260" w:after="260" w:line="416" w:lineRule="auto"/>
      <w:ind w:left="900" w:hanging="720"/>
      <w:outlineLvl w:val="2"/>
    </w:pPr>
    <w:rPr>
      <w:b/>
      <w:bCs/>
      <w:sz w:val="32"/>
      <w:szCs w:val="32"/>
    </w:rPr>
  </w:style>
  <w:style w:type="paragraph" w:styleId="6">
    <w:name w:val="heading 4"/>
    <w:basedOn w:val="1"/>
    <w:next w:val="1"/>
    <w:link w:val="329"/>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7">
    <w:name w:val="heading 5"/>
    <w:basedOn w:val="1"/>
    <w:next w:val="1"/>
    <w:link w:val="295"/>
    <w:qFormat/>
    <w:uiPriority w:val="0"/>
    <w:pPr>
      <w:keepNext/>
      <w:keepLines/>
      <w:tabs>
        <w:tab w:val="left" w:pos="1008"/>
      </w:tabs>
      <w:spacing w:before="280" w:after="290" w:line="376" w:lineRule="auto"/>
      <w:ind w:left="1008" w:hanging="1008"/>
      <w:outlineLvl w:val="4"/>
    </w:pPr>
    <w:rPr>
      <w:b/>
      <w:bCs/>
      <w:sz w:val="28"/>
      <w:szCs w:val="28"/>
    </w:rPr>
  </w:style>
  <w:style w:type="paragraph" w:styleId="8">
    <w:name w:val="heading 6"/>
    <w:basedOn w:val="1"/>
    <w:next w:val="1"/>
    <w:link w:val="147"/>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9">
    <w:name w:val="heading 7"/>
    <w:basedOn w:val="1"/>
    <w:next w:val="1"/>
    <w:link w:val="309"/>
    <w:qFormat/>
    <w:uiPriority w:val="0"/>
    <w:pPr>
      <w:keepNext/>
      <w:keepLines/>
      <w:tabs>
        <w:tab w:val="left" w:pos="1296"/>
      </w:tabs>
      <w:spacing w:before="240" w:after="64" w:line="320" w:lineRule="auto"/>
      <w:ind w:left="1296" w:hanging="1296"/>
      <w:outlineLvl w:val="6"/>
    </w:pPr>
    <w:rPr>
      <w:b/>
      <w:bCs/>
      <w:sz w:val="24"/>
    </w:rPr>
  </w:style>
  <w:style w:type="paragraph" w:styleId="10">
    <w:name w:val="heading 8"/>
    <w:basedOn w:val="1"/>
    <w:next w:val="1"/>
    <w:link w:val="360"/>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1">
    <w:name w:val="heading 9"/>
    <w:basedOn w:val="1"/>
    <w:next w:val="1"/>
    <w:link w:val="182"/>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69">
    <w:name w:val="Default Paragraph Font"/>
    <w:semiHidden/>
    <w:unhideWhenUsed/>
    <w:uiPriority w:val="1"/>
  </w:style>
  <w:style w:type="table" w:default="1" w:styleId="62">
    <w:name w:val="Normal Table"/>
    <w:semiHidden/>
    <w:unhideWhenUsed/>
    <w:uiPriority w:val="99"/>
    <w:tblPr>
      <w:tblCellMar>
        <w:top w:w="0" w:type="dxa"/>
        <w:left w:w="108" w:type="dxa"/>
        <w:bottom w:w="0" w:type="dxa"/>
        <w:right w:w="108" w:type="dxa"/>
      </w:tblCellMar>
    </w:tblPr>
  </w:style>
  <w:style w:type="paragraph" w:styleId="5">
    <w:name w:val="Normal Indent"/>
    <w:basedOn w:val="1"/>
    <w:next w:val="1"/>
    <w:link w:val="193"/>
    <w:qFormat/>
    <w:uiPriority w:val="0"/>
    <w:pPr>
      <w:widowControl/>
      <w:snapToGrid w:val="0"/>
      <w:spacing w:line="480" w:lineRule="exact"/>
      <w:ind w:firstLine="567"/>
    </w:pPr>
    <w:rPr>
      <w:rFonts w:ascii="宋体"/>
      <w:snapToGrid w:val="0"/>
      <w:color w:val="000000"/>
      <w:kern w:val="28"/>
      <w:sz w:val="28"/>
      <w:szCs w:val="20"/>
    </w:rPr>
  </w:style>
  <w:style w:type="paragraph" w:styleId="12">
    <w:name w:val="toc 7"/>
    <w:basedOn w:val="1"/>
    <w:next w:val="1"/>
    <w:qFormat/>
    <w:uiPriority w:val="0"/>
    <w:pPr>
      <w:ind w:left="2520" w:leftChars="1200"/>
    </w:pPr>
  </w:style>
  <w:style w:type="paragraph" w:styleId="13">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4">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5">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6">
    <w:name w:val="caption"/>
    <w:basedOn w:val="1"/>
    <w:next w:val="1"/>
    <w:link w:val="229"/>
    <w:qFormat/>
    <w:uiPriority w:val="0"/>
    <w:rPr>
      <w:b/>
      <w:sz w:val="28"/>
      <w:szCs w:val="20"/>
    </w:rPr>
  </w:style>
  <w:style w:type="paragraph" w:styleId="17">
    <w:name w:val="index 5"/>
    <w:basedOn w:val="1"/>
    <w:next w:val="1"/>
    <w:qFormat/>
    <w:uiPriority w:val="0"/>
    <w:pPr>
      <w:adjustRightInd/>
      <w:ind w:left="800" w:leftChars="800" w:firstLine="200" w:firstLineChars="200"/>
    </w:pPr>
  </w:style>
  <w:style w:type="paragraph" w:styleId="18">
    <w:name w:val="Document Map"/>
    <w:basedOn w:val="1"/>
    <w:link w:val="202"/>
    <w:qFormat/>
    <w:uiPriority w:val="0"/>
    <w:pPr>
      <w:shd w:val="clear" w:color="auto" w:fill="000080"/>
    </w:pPr>
  </w:style>
  <w:style w:type="paragraph" w:styleId="19">
    <w:name w:val="annotation text"/>
    <w:basedOn w:val="1"/>
    <w:link w:val="346"/>
    <w:qFormat/>
    <w:uiPriority w:val="99"/>
    <w:pPr>
      <w:jc w:val="left"/>
    </w:pPr>
  </w:style>
  <w:style w:type="paragraph" w:styleId="20">
    <w:name w:val="Salutation"/>
    <w:basedOn w:val="1"/>
    <w:next w:val="1"/>
    <w:link w:val="300"/>
    <w:qFormat/>
    <w:uiPriority w:val="0"/>
    <w:rPr>
      <w:rFonts w:ascii="仿宋_GB2312" w:eastAsia="仿宋_GB2312"/>
      <w:sz w:val="28"/>
      <w:szCs w:val="20"/>
    </w:rPr>
  </w:style>
  <w:style w:type="paragraph" w:styleId="21">
    <w:name w:val="Body Text 3"/>
    <w:basedOn w:val="1"/>
    <w:link w:val="332"/>
    <w:qFormat/>
    <w:uiPriority w:val="0"/>
    <w:pPr>
      <w:jc w:val="center"/>
    </w:pPr>
    <w:rPr>
      <w:szCs w:val="20"/>
    </w:rPr>
  </w:style>
  <w:style w:type="paragraph" w:styleId="22">
    <w:name w:val="List Bullet 3"/>
    <w:basedOn w:val="1"/>
    <w:unhideWhenUsed/>
    <w:qFormat/>
    <w:uiPriority w:val="0"/>
    <w:pPr>
      <w:snapToGrid w:val="0"/>
      <w:spacing w:line="360" w:lineRule="auto"/>
      <w:ind w:left="360" w:right="238" w:hanging="360"/>
      <w:contextualSpacing/>
    </w:pPr>
    <w:rPr>
      <w:sz w:val="24"/>
    </w:rPr>
  </w:style>
  <w:style w:type="paragraph" w:styleId="23">
    <w:name w:val="Body Text"/>
    <w:basedOn w:val="1"/>
    <w:link w:val="432"/>
    <w:qFormat/>
    <w:uiPriority w:val="0"/>
    <w:pPr>
      <w:autoSpaceDE w:val="0"/>
      <w:autoSpaceDN w:val="0"/>
      <w:spacing w:line="360" w:lineRule="auto"/>
    </w:pPr>
    <w:rPr>
      <w:rFonts w:ascii="宋体" w:hAnsi="Arial" w:cs="Arial"/>
      <w:snapToGrid w:val="0"/>
      <w:sz w:val="24"/>
      <w:szCs w:val="21"/>
      <w:lang w:val="zh-CN"/>
    </w:rPr>
  </w:style>
  <w:style w:type="paragraph" w:styleId="24">
    <w:name w:val="Body Text Indent"/>
    <w:basedOn w:val="1"/>
    <w:next w:val="1"/>
    <w:link w:val="267"/>
    <w:qFormat/>
    <w:uiPriority w:val="0"/>
    <w:pPr>
      <w:spacing w:line="480" w:lineRule="exact"/>
      <w:ind w:firstLine="480" w:firstLineChars="200"/>
    </w:pPr>
    <w:rPr>
      <w:rFonts w:ascii="宋体" w:hAnsi="宋体"/>
      <w:sz w:val="24"/>
    </w:rPr>
  </w:style>
  <w:style w:type="paragraph" w:styleId="25">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6">
    <w:name w:val="List 2"/>
    <w:basedOn w:val="1"/>
    <w:qFormat/>
    <w:uiPriority w:val="0"/>
    <w:pPr>
      <w:adjustRightInd/>
      <w:spacing w:line="360" w:lineRule="auto"/>
      <w:ind w:left="100" w:leftChars="200" w:hanging="200" w:hangingChars="200"/>
    </w:pPr>
    <w:rPr>
      <w:rFonts w:eastAsia="微软雅黑"/>
    </w:rPr>
  </w:style>
  <w:style w:type="paragraph" w:styleId="27">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28">
    <w:name w:val="List Bullet 2"/>
    <w:basedOn w:val="1"/>
    <w:qFormat/>
    <w:uiPriority w:val="0"/>
    <w:pPr>
      <w:autoSpaceDE w:val="0"/>
      <w:autoSpaceDN w:val="0"/>
      <w:ind w:left="420"/>
      <w:jc w:val="left"/>
    </w:pPr>
    <w:rPr>
      <w:rFonts w:ascii="宋体" w:hAnsi="宋体"/>
      <w:color w:val="000000"/>
      <w:kern w:val="0"/>
      <w:sz w:val="24"/>
      <w:szCs w:val="20"/>
    </w:rPr>
  </w:style>
  <w:style w:type="paragraph" w:styleId="29">
    <w:name w:val="HTML Address"/>
    <w:basedOn w:val="1"/>
    <w:link w:val="219"/>
    <w:qFormat/>
    <w:uiPriority w:val="0"/>
    <w:pPr>
      <w:widowControl/>
      <w:adjustRightInd/>
      <w:ind w:firstLine="200" w:firstLineChars="200"/>
      <w:jc w:val="left"/>
    </w:pPr>
    <w:rPr>
      <w:rFonts w:ascii="宋体" w:hAnsi="宋体"/>
      <w:i/>
      <w:iCs/>
      <w:kern w:val="0"/>
      <w:sz w:val="24"/>
    </w:rPr>
  </w:style>
  <w:style w:type="paragraph" w:styleId="30">
    <w:name w:val="toc 5"/>
    <w:basedOn w:val="1"/>
    <w:next w:val="1"/>
    <w:qFormat/>
    <w:uiPriority w:val="0"/>
    <w:pPr>
      <w:ind w:left="1680" w:leftChars="800"/>
    </w:pPr>
  </w:style>
  <w:style w:type="paragraph" w:styleId="31">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2">
    <w:name w:val="Plain Text"/>
    <w:basedOn w:val="1"/>
    <w:link w:val="125"/>
    <w:qFormat/>
    <w:uiPriority w:val="0"/>
    <w:rPr>
      <w:rFonts w:ascii="宋体" w:hAnsi="Courier New" w:cs="Arial"/>
      <w:snapToGrid w:val="0"/>
      <w:szCs w:val="21"/>
    </w:rPr>
  </w:style>
  <w:style w:type="paragraph" w:styleId="33">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4">
    <w:name w:val="toc 8"/>
    <w:basedOn w:val="1"/>
    <w:next w:val="1"/>
    <w:qFormat/>
    <w:uiPriority w:val="0"/>
    <w:pPr>
      <w:ind w:left="2940" w:leftChars="1400"/>
    </w:pPr>
  </w:style>
  <w:style w:type="paragraph" w:styleId="35">
    <w:name w:val="Date"/>
    <w:basedOn w:val="1"/>
    <w:next w:val="1"/>
    <w:link w:val="181"/>
    <w:qFormat/>
    <w:uiPriority w:val="0"/>
    <w:pPr>
      <w:ind w:left="100" w:leftChars="2500"/>
    </w:pPr>
    <w:rPr>
      <w:rFonts w:ascii="宋体"/>
      <w:sz w:val="24"/>
      <w:szCs w:val="21"/>
      <w:lang w:val="zh-CN"/>
    </w:rPr>
  </w:style>
  <w:style w:type="paragraph" w:styleId="36">
    <w:name w:val="Body Text Indent 2"/>
    <w:basedOn w:val="1"/>
    <w:link w:val="310"/>
    <w:qFormat/>
    <w:uiPriority w:val="0"/>
    <w:pPr>
      <w:spacing w:line="360" w:lineRule="auto"/>
      <w:ind w:firstLine="601"/>
      <w:textAlignment w:val="baseline"/>
    </w:pPr>
    <w:rPr>
      <w:rFonts w:ascii="宋体"/>
      <w:kern w:val="0"/>
      <w:sz w:val="28"/>
      <w:szCs w:val="20"/>
    </w:rPr>
  </w:style>
  <w:style w:type="paragraph" w:styleId="37">
    <w:name w:val="endnote text"/>
    <w:basedOn w:val="1"/>
    <w:link w:val="934"/>
    <w:qFormat/>
    <w:uiPriority w:val="0"/>
    <w:rPr>
      <w:lang w:val="zh-CN"/>
    </w:rPr>
  </w:style>
  <w:style w:type="paragraph" w:styleId="38">
    <w:name w:val="Balloon Text"/>
    <w:basedOn w:val="1"/>
    <w:link w:val="188"/>
    <w:qFormat/>
    <w:uiPriority w:val="0"/>
    <w:rPr>
      <w:sz w:val="18"/>
      <w:szCs w:val="18"/>
    </w:rPr>
  </w:style>
  <w:style w:type="paragraph" w:styleId="39">
    <w:name w:val="footer"/>
    <w:basedOn w:val="1"/>
    <w:link w:val="385"/>
    <w:qFormat/>
    <w:uiPriority w:val="99"/>
    <w:pPr>
      <w:tabs>
        <w:tab w:val="center" w:pos="4153"/>
        <w:tab w:val="right" w:pos="8306"/>
      </w:tabs>
      <w:snapToGrid w:val="0"/>
      <w:jc w:val="left"/>
    </w:pPr>
    <w:rPr>
      <w:sz w:val="18"/>
      <w:szCs w:val="18"/>
    </w:rPr>
  </w:style>
  <w:style w:type="paragraph" w:styleId="40">
    <w:name w:val="header"/>
    <w:basedOn w:val="1"/>
    <w:link w:val="394"/>
    <w:qFormat/>
    <w:uiPriority w:val="99"/>
    <w:pPr>
      <w:pBdr>
        <w:bottom w:val="single" w:color="auto" w:sz="6" w:space="1"/>
      </w:pBdr>
      <w:tabs>
        <w:tab w:val="center" w:pos="4153"/>
        <w:tab w:val="right" w:pos="8306"/>
      </w:tabs>
      <w:snapToGrid w:val="0"/>
      <w:jc w:val="center"/>
    </w:pPr>
    <w:rPr>
      <w:sz w:val="18"/>
      <w:szCs w:val="18"/>
    </w:rPr>
  </w:style>
  <w:style w:type="paragraph" w:styleId="41">
    <w:name w:val="Signature"/>
    <w:basedOn w:val="1"/>
    <w:link w:val="347"/>
    <w:qFormat/>
    <w:uiPriority w:val="0"/>
    <w:pPr>
      <w:spacing w:after="600" w:line="312" w:lineRule="atLeast"/>
      <w:jc w:val="center"/>
      <w:textAlignment w:val="baseline"/>
    </w:pPr>
    <w:rPr>
      <w:rFonts w:eastAsia="仿宋_GB2312"/>
      <w:kern w:val="0"/>
      <w:sz w:val="24"/>
      <w:szCs w:val="20"/>
    </w:rPr>
  </w:style>
  <w:style w:type="paragraph" w:styleId="42">
    <w:name w:val="toc 1"/>
    <w:basedOn w:val="1"/>
    <w:next w:val="1"/>
    <w:qFormat/>
    <w:uiPriority w:val="0"/>
  </w:style>
  <w:style w:type="paragraph" w:styleId="43">
    <w:name w:val="toc 4"/>
    <w:basedOn w:val="1"/>
    <w:next w:val="1"/>
    <w:qFormat/>
    <w:uiPriority w:val="0"/>
    <w:pPr>
      <w:ind w:left="1260" w:leftChars="600"/>
    </w:pPr>
  </w:style>
  <w:style w:type="paragraph" w:styleId="44">
    <w:name w:val="index heading"/>
    <w:basedOn w:val="1"/>
    <w:next w:val="45"/>
    <w:qFormat/>
    <w:uiPriority w:val="0"/>
    <w:pPr>
      <w:adjustRightInd/>
      <w:ind w:firstLine="200" w:firstLineChars="200"/>
    </w:pPr>
  </w:style>
  <w:style w:type="paragraph" w:styleId="45">
    <w:name w:val="index 1"/>
    <w:basedOn w:val="1"/>
    <w:next w:val="1"/>
    <w:qFormat/>
    <w:uiPriority w:val="0"/>
    <w:pPr>
      <w:adjustRightInd/>
      <w:spacing w:line="360" w:lineRule="auto"/>
      <w:ind w:firstLine="200" w:firstLineChars="200"/>
      <w:jc w:val="center"/>
    </w:pPr>
    <w:rPr>
      <w:sz w:val="24"/>
      <w:szCs w:val="20"/>
    </w:rPr>
  </w:style>
  <w:style w:type="paragraph" w:styleId="46">
    <w:name w:val="Subtitle"/>
    <w:link w:val="133"/>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7">
    <w:name w:val="List Number 5"/>
    <w:basedOn w:val="1"/>
    <w:qFormat/>
    <w:uiPriority w:val="0"/>
    <w:pPr>
      <w:tabs>
        <w:tab w:val="left" w:pos="902"/>
      </w:tabs>
      <w:adjustRightInd/>
      <w:spacing w:line="400" w:lineRule="exact"/>
      <w:ind w:left="902" w:hanging="420"/>
    </w:pPr>
    <w:rPr>
      <w:sz w:val="24"/>
      <w:szCs w:val="20"/>
    </w:rPr>
  </w:style>
  <w:style w:type="paragraph" w:styleId="48">
    <w:name w:val="List"/>
    <w:basedOn w:val="1"/>
    <w:qFormat/>
    <w:uiPriority w:val="0"/>
    <w:pPr>
      <w:ind w:left="200" w:hanging="200" w:hangingChars="200"/>
    </w:pPr>
  </w:style>
  <w:style w:type="paragraph" w:styleId="49">
    <w:name w:val="footnote text"/>
    <w:basedOn w:val="5"/>
    <w:link w:val="312"/>
    <w:qFormat/>
    <w:uiPriority w:val="0"/>
    <w:pPr>
      <w:adjustRightInd/>
      <w:snapToGrid/>
      <w:spacing w:before="60" w:after="60" w:line="300" w:lineRule="exact"/>
      <w:ind w:firstLine="0"/>
    </w:pPr>
    <w:rPr>
      <w:rFonts w:ascii="Calibri"/>
      <w:snapToGrid/>
      <w:color w:val="0000FF"/>
      <w:kern w:val="0"/>
      <w:sz w:val="21"/>
    </w:rPr>
  </w:style>
  <w:style w:type="paragraph" w:styleId="50">
    <w:name w:val="toc 6"/>
    <w:basedOn w:val="1"/>
    <w:next w:val="1"/>
    <w:qFormat/>
    <w:uiPriority w:val="0"/>
    <w:pPr>
      <w:ind w:left="2100" w:leftChars="1000"/>
    </w:pPr>
  </w:style>
  <w:style w:type="paragraph" w:styleId="51">
    <w:name w:val="List 5"/>
    <w:basedOn w:val="1"/>
    <w:qFormat/>
    <w:uiPriority w:val="0"/>
    <w:pPr>
      <w:adjustRightInd/>
      <w:ind w:left="100" w:leftChars="800" w:hanging="200" w:hangingChars="200"/>
    </w:pPr>
  </w:style>
  <w:style w:type="paragraph" w:styleId="52">
    <w:name w:val="Body Text Indent 3"/>
    <w:basedOn w:val="1"/>
    <w:link w:val="377"/>
    <w:qFormat/>
    <w:uiPriority w:val="0"/>
    <w:pPr>
      <w:spacing w:line="360" w:lineRule="auto"/>
      <w:ind w:firstLine="420"/>
    </w:pPr>
    <w:rPr>
      <w:sz w:val="24"/>
      <w:szCs w:val="20"/>
    </w:rPr>
  </w:style>
  <w:style w:type="paragraph" w:styleId="53">
    <w:name w:val="toc 2"/>
    <w:basedOn w:val="1"/>
    <w:next w:val="1"/>
    <w:qFormat/>
    <w:uiPriority w:val="0"/>
    <w:pPr>
      <w:ind w:left="420" w:leftChars="200"/>
    </w:pPr>
  </w:style>
  <w:style w:type="paragraph" w:styleId="54">
    <w:name w:val="toc 9"/>
    <w:basedOn w:val="1"/>
    <w:next w:val="1"/>
    <w:qFormat/>
    <w:uiPriority w:val="0"/>
    <w:pPr>
      <w:ind w:left="3360" w:leftChars="1600"/>
    </w:pPr>
  </w:style>
  <w:style w:type="paragraph" w:styleId="55">
    <w:name w:val="Body Text 2"/>
    <w:basedOn w:val="1"/>
    <w:link w:val="304"/>
    <w:qFormat/>
    <w:uiPriority w:val="0"/>
    <w:pPr>
      <w:spacing w:after="120" w:line="480" w:lineRule="auto"/>
    </w:pPr>
  </w:style>
  <w:style w:type="paragraph" w:styleId="56">
    <w:name w:val="HTML Preformatted"/>
    <w:basedOn w:val="1"/>
    <w:link w:val="30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7">
    <w:name w:val="Normal (Web)"/>
    <w:basedOn w:val="1"/>
    <w:qFormat/>
    <w:uiPriority w:val="99"/>
    <w:pPr>
      <w:widowControl/>
      <w:spacing w:before="100" w:beforeAutospacing="1" w:after="100" w:afterAutospacing="1"/>
      <w:jc w:val="left"/>
    </w:pPr>
    <w:rPr>
      <w:rFonts w:ascii="宋体" w:hAnsi="宋体"/>
      <w:kern w:val="0"/>
      <w:sz w:val="24"/>
    </w:rPr>
  </w:style>
  <w:style w:type="paragraph" w:styleId="58">
    <w:name w:val="Title"/>
    <w:basedOn w:val="1"/>
    <w:link w:val="288"/>
    <w:qFormat/>
    <w:uiPriority w:val="10"/>
    <w:pPr>
      <w:widowControl/>
      <w:overflowPunct w:val="0"/>
      <w:autoSpaceDE w:val="0"/>
      <w:autoSpaceDN w:val="0"/>
      <w:jc w:val="center"/>
      <w:textAlignment w:val="baseline"/>
    </w:pPr>
    <w:rPr>
      <w:b/>
      <w:kern w:val="0"/>
      <w:sz w:val="24"/>
      <w:szCs w:val="20"/>
      <w:lang w:val="en-GB"/>
    </w:rPr>
  </w:style>
  <w:style w:type="paragraph" w:styleId="59">
    <w:name w:val="annotation subject"/>
    <w:basedOn w:val="19"/>
    <w:next w:val="19"/>
    <w:link w:val="96"/>
    <w:qFormat/>
    <w:uiPriority w:val="0"/>
    <w:rPr>
      <w:b/>
      <w:bCs/>
    </w:rPr>
  </w:style>
  <w:style w:type="paragraph" w:styleId="60">
    <w:name w:val="Body Text First Indent"/>
    <w:basedOn w:val="23"/>
    <w:next w:val="50"/>
    <w:link w:val="323"/>
    <w:qFormat/>
    <w:uiPriority w:val="0"/>
    <w:pPr>
      <w:ind w:firstLine="420"/>
    </w:pPr>
    <w:rPr>
      <w:rFonts w:hAnsi="Calibri" w:cs="Times New Roman"/>
      <w:snapToGrid/>
      <w:szCs w:val="20"/>
    </w:rPr>
  </w:style>
  <w:style w:type="paragraph" w:styleId="61">
    <w:name w:val="Body Text First Indent 2"/>
    <w:basedOn w:val="24"/>
    <w:next w:val="1"/>
    <w:link w:val="121"/>
    <w:qFormat/>
    <w:uiPriority w:val="0"/>
    <w:pPr>
      <w:adjustRightInd/>
      <w:spacing w:after="120" w:line="240" w:lineRule="auto"/>
      <w:ind w:left="420" w:leftChars="200" w:firstLine="210"/>
    </w:pPr>
    <w:rPr>
      <w:sz w:val="21"/>
    </w:rPr>
  </w:style>
  <w:style w:type="table" w:styleId="63">
    <w:name w:val="Table Grid"/>
    <w:basedOn w:val="6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Theme"/>
    <w:basedOn w:val="6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Elegant"/>
    <w:basedOn w:val="6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6">
    <w:name w:val="Table Grid 5"/>
    <w:basedOn w:val="6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7">
    <w:name w:val="Table Grid 8"/>
    <w:basedOn w:val="6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8">
    <w:name w:val="Table Professional"/>
    <w:basedOn w:val="6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0">
    <w:name w:val="Strong"/>
    <w:qFormat/>
    <w:uiPriority w:val="22"/>
    <w:rPr>
      <w:b/>
      <w:bCs/>
    </w:rPr>
  </w:style>
  <w:style w:type="character" w:styleId="71">
    <w:name w:val="endnote reference"/>
    <w:qFormat/>
    <w:uiPriority w:val="0"/>
    <w:rPr>
      <w:vertAlign w:val="superscript"/>
    </w:rPr>
  </w:style>
  <w:style w:type="character" w:styleId="72">
    <w:name w:val="page number"/>
    <w:basedOn w:val="69"/>
    <w:qFormat/>
    <w:uiPriority w:val="0"/>
    <w:rPr>
      <w:rFonts w:ascii="Arial" w:hAnsi="Arial" w:eastAsia="黑体" w:cs="Arial"/>
      <w:snapToGrid w:val="0"/>
      <w:kern w:val="0"/>
      <w:szCs w:val="21"/>
    </w:rPr>
  </w:style>
  <w:style w:type="character" w:styleId="73">
    <w:name w:val="FollowedHyperlink"/>
    <w:qFormat/>
    <w:uiPriority w:val="99"/>
    <w:rPr>
      <w:rFonts w:ascii="Arial" w:hAnsi="Arial" w:eastAsia="黑体" w:cs="Arial"/>
      <w:snapToGrid w:val="0"/>
      <w:color w:val="000000"/>
      <w:kern w:val="0"/>
      <w:sz w:val="18"/>
      <w:szCs w:val="18"/>
      <w:u w:val="none"/>
    </w:rPr>
  </w:style>
  <w:style w:type="character" w:styleId="74">
    <w:name w:val="Emphasis"/>
    <w:qFormat/>
    <w:uiPriority w:val="20"/>
    <w:rPr>
      <w:color w:val="CC0033"/>
    </w:rPr>
  </w:style>
  <w:style w:type="character" w:styleId="75">
    <w:name w:val="line number"/>
    <w:basedOn w:val="69"/>
    <w:qFormat/>
    <w:uiPriority w:val="0"/>
    <w:rPr>
      <w:rFonts w:ascii="Arial" w:hAnsi="Arial" w:eastAsia="黑体" w:cs="Arial"/>
      <w:snapToGrid w:val="0"/>
      <w:kern w:val="0"/>
      <w:szCs w:val="21"/>
    </w:rPr>
  </w:style>
  <w:style w:type="character" w:styleId="76">
    <w:name w:val="Hyperlink"/>
    <w:qFormat/>
    <w:uiPriority w:val="99"/>
    <w:rPr>
      <w:rFonts w:ascii="Arial" w:hAnsi="Arial" w:eastAsia="黑体" w:cs="Arial"/>
      <w:snapToGrid w:val="0"/>
      <w:color w:val="000000"/>
      <w:kern w:val="0"/>
      <w:sz w:val="18"/>
      <w:szCs w:val="18"/>
      <w:u w:val="none"/>
    </w:rPr>
  </w:style>
  <w:style w:type="character" w:styleId="77">
    <w:name w:val="HTML Code"/>
    <w:qFormat/>
    <w:uiPriority w:val="0"/>
    <w:rPr>
      <w:rFonts w:ascii="黑体" w:hAnsi="Courier New" w:eastAsia="黑体" w:cs="楷体_GB2312"/>
      <w:sz w:val="20"/>
      <w:szCs w:val="20"/>
    </w:rPr>
  </w:style>
  <w:style w:type="character" w:styleId="78">
    <w:name w:val="annotation reference"/>
    <w:qFormat/>
    <w:uiPriority w:val="99"/>
    <w:rPr>
      <w:sz w:val="21"/>
      <w:szCs w:val="21"/>
    </w:rPr>
  </w:style>
  <w:style w:type="paragraph" w:customStyle="1" w:styleId="7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80">
    <w:name w:val="正文空2字"/>
    <w:basedOn w:val="81"/>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81">
    <w:name w:val="左对齐正文"/>
    <w:qFormat/>
    <w:uiPriority w:val="99"/>
    <w:rPr>
      <w:rFonts w:ascii="Calibri" w:hAnsi="Calibri" w:eastAsia="仿宋_GB2312" w:cs="Calibri"/>
      <w:kern w:val="2"/>
      <w:sz w:val="32"/>
      <w:szCs w:val="32"/>
      <w:lang w:val="en-US" w:eastAsia="zh-CN" w:bidi="ar-SA"/>
    </w:rPr>
  </w:style>
  <w:style w:type="character" w:customStyle="1" w:styleId="82">
    <w:name w:val="表格非标题文字 Char"/>
    <w:link w:val="83"/>
    <w:qFormat/>
    <w:uiPriority w:val="0"/>
    <w:rPr>
      <w:rFonts w:ascii="Futura Bk" w:hAnsi="Futura Bk"/>
      <w:kern w:val="2"/>
      <w:sz w:val="18"/>
      <w:szCs w:val="21"/>
      <w:lang w:val="en-US" w:eastAsia="zh-CN" w:bidi="ar-SA"/>
    </w:rPr>
  </w:style>
  <w:style w:type="paragraph" w:customStyle="1" w:styleId="83">
    <w:name w:val="表格非标题文字"/>
    <w:link w:val="82"/>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4">
    <w:name w:val="*正文 Char"/>
    <w:link w:val="85"/>
    <w:qFormat/>
    <w:locked/>
    <w:uiPriority w:val="0"/>
    <w:rPr>
      <w:rFonts w:ascii="宋体" w:hAnsi="宋体"/>
      <w:sz w:val="24"/>
    </w:rPr>
  </w:style>
  <w:style w:type="paragraph" w:customStyle="1" w:styleId="85">
    <w:name w:val="*正文"/>
    <w:basedOn w:val="1"/>
    <w:link w:val="84"/>
    <w:qFormat/>
    <w:uiPriority w:val="0"/>
    <w:pPr>
      <w:snapToGrid w:val="0"/>
      <w:spacing w:line="360" w:lineRule="auto"/>
      <w:ind w:firstLine="482"/>
      <w:jc w:val="left"/>
    </w:pPr>
    <w:rPr>
      <w:rFonts w:ascii="宋体" w:hAnsi="宋体"/>
      <w:kern w:val="0"/>
      <w:sz w:val="24"/>
      <w:szCs w:val="20"/>
    </w:rPr>
  </w:style>
  <w:style w:type="character" w:customStyle="1" w:styleId="86">
    <w:name w:val="Char Char71"/>
    <w:semiHidden/>
    <w:qFormat/>
    <w:uiPriority w:val="0"/>
    <w:rPr>
      <w:rFonts w:eastAsia="宋体"/>
      <w:kern w:val="2"/>
      <w:sz w:val="21"/>
      <w:szCs w:val="24"/>
      <w:lang w:val="en-US" w:eastAsia="zh-CN" w:bidi="ar-SA"/>
    </w:rPr>
  </w:style>
  <w:style w:type="character" w:customStyle="1" w:styleId="87">
    <w:name w:val="Char Char6"/>
    <w:qFormat/>
    <w:uiPriority w:val="0"/>
    <w:rPr>
      <w:rFonts w:eastAsia="宋体"/>
      <w:kern w:val="2"/>
      <w:sz w:val="21"/>
      <w:szCs w:val="24"/>
      <w:lang w:val="en-US" w:eastAsia="zh-CN" w:bidi="ar-SA"/>
    </w:rPr>
  </w:style>
  <w:style w:type="character" w:customStyle="1" w:styleId="88">
    <w:name w:val="正文缩进 Char"/>
    <w:qFormat/>
    <w:uiPriority w:val="0"/>
    <w:rPr>
      <w:rFonts w:eastAsia="宋体"/>
      <w:kern w:val="2"/>
      <w:sz w:val="21"/>
      <w:lang w:val="en-US" w:eastAsia="zh-CN"/>
    </w:rPr>
  </w:style>
  <w:style w:type="character" w:customStyle="1" w:styleId="89">
    <w:name w:val="正文首行缩进 Char1"/>
    <w:qFormat/>
    <w:uiPriority w:val="0"/>
    <w:rPr>
      <w:rFonts w:ascii="宋体" w:hAnsi="Times New Roman" w:eastAsia="宋体" w:cs="Times New Roman"/>
      <w:snapToGrid w:val="0"/>
      <w:kern w:val="2"/>
      <w:sz w:val="24"/>
      <w:szCs w:val="21"/>
      <w:lang w:val="zh-CN"/>
    </w:rPr>
  </w:style>
  <w:style w:type="character" w:customStyle="1" w:styleId="90">
    <w:name w:val="Char Char28"/>
    <w:qFormat/>
    <w:uiPriority w:val="6"/>
    <w:rPr>
      <w:rFonts w:ascii="仿宋_GB2312" w:hAnsi="仿宋_GB2312" w:eastAsia="仿宋_GB2312"/>
      <w:kern w:val="1"/>
      <w:sz w:val="28"/>
    </w:rPr>
  </w:style>
  <w:style w:type="character" w:customStyle="1" w:styleId="91">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2">
    <w:name w:val="Heading 1 Char"/>
    <w:qFormat/>
    <w:uiPriority w:val="6"/>
    <w:rPr>
      <w:rFonts w:ascii="Times New Roman" w:hAnsi="Times New Roman" w:eastAsia="黑体" w:cs="Times New Roman"/>
      <w:b/>
      <w:kern w:val="0"/>
      <w:sz w:val="24"/>
      <w:szCs w:val="24"/>
    </w:rPr>
  </w:style>
  <w:style w:type="character" w:customStyle="1" w:styleId="93">
    <w:name w:val="U_正文 Char"/>
    <w:link w:val="94"/>
    <w:qFormat/>
    <w:uiPriority w:val="0"/>
    <w:rPr>
      <w:sz w:val="24"/>
      <w:szCs w:val="24"/>
    </w:rPr>
  </w:style>
  <w:style w:type="paragraph" w:customStyle="1" w:styleId="94">
    <w:name w:val="U_正文"/>
    <w:basedOn w:val="1"/>
    <w:link w:val="93"/>
    <w:qFormat/>
    <w:uiPriority w:val="0"/>
    <w:pPr>
      <w:adjustRightInd/>
      <w:spacing w:beforeLines="20" w:afterLines="20" w:line="300" w:lineRule="auto"/>
      <w:ind w:firstLine="200" w:firstLineChars="200"/>
    </w:pPr>
    <w:rPr>
      <w:kern w:val="0"/>
      <w:sz w:val="24"/>
    </w:rPr>
  </w:style>
  <w:style w:type="character" w:customStyle="1" w:styleId="95">
    <w:name w:val="HTML 地址 Char1"/>
    <w:qFormat/>
    <w:uiPriority w:val="0"/>
    <w:rPr>
      <w:rFonts w:ascii="Times New Roman" w:hAnsi="Times New Roman" w:eastAsia="宋体" w:cs="Times New Roman"/>
      <w:i/>
      <w:iCs/>
      <w:szCs w:val="24"/>
    </w:rPr>
  </w:style>
  <w:style w:type="character" w:customStyle="1" w:styleId="96">
    <w:name w:val="批注主题 Char1"/>
    <w:link w:val="59"/>
    <w:qFormat/>
    <w:uiPriority w:val="0"/>
    <w:rPr>
      <w:b/>
      <w:bCs/>
      <w:kern w:val="2"/>
      <w:sz w:val="21"/>
      <w:szCs w:val="24"/>
    </w:rPr>
  </w:style>
  <w:style w:type="character" w:customStyle="1" w:styleId="97">
    <w:name w:val="Char Char51"/>
    <w:qFormat/>
    <w:uiPriority w:val="0"/>
    <w:rPr>
      <w:rFonts w:ascii="宋体" w:hAnsi="Courier New" w:eastAsia="宋体"/>
      <w:kern w:val="2"/>
      <w:sz w:val="21"/>
      <w:lang w:val="en-US" w:eastAsia="zh-CN"/>
    </w:rPr>
  </w:style>
  <w:style w:type="character" w:customStyle="1" w:styleId="98">
    <w:name w:val="表正文 Char"/>
    <w:qFormat/>
    <w:uiPriority w:val="0"/>
    <w:rPr>
      <w:rFonts w:ascii="宋体" w:eastAsia="宋体"/>
      <w:snapToGrid w:val="0"/>
      <w:color w:val="000000"/>
      <w:kern w:val="28"/>
      <w:sz w:val="28"/>
      <w:lang w:val="en-US" w:eastAsia="zh-CN" w:bidi="ar-SA"/>
    </w:rPr>
  </w:style>
  <w:style w:type="character" w:customStyle="1" w:styleId="99">
    <w:name w:val="Char Char34"/>
    <w:qFormat/>
    <w:uiPriority w:val="6"/>
    <w:rPr>
      <w:b/>
      <w:kern w:val="1"/>
      <w:sz w:val="28"/>
      <w:szCs w:val="28"/>
    </w:rPr>
  </w:style>
  <w:style w:type="character" w:customStyle="1" w:styleId="100">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101">
    <w:name w:val="哈哈正文 Char"/>
    <w:link w:val="102"/>
    <w:qFormat/>
    <w:uiPriority w:val="0"/>
    <w:rPr>
      <w:rFonts w:ascii="宋体" w:hAnsi="宋体" w:eastAsia="宋体"/>
      <w:kern w:val="2"/>
      <w:sz w:val="24"/>
      <w:lang w:bidi="ar-SA"/>
    </w:rPr>
  </w:style>
  <w:style w:type="paragraph" w:customStyle="1" w:styleId="102">
    <w:name w:val="哈哈正文"/>
    <w:basedOn w:val="1"/>
    <w:link w:val="101"/>
    <w:qFormat/>
    <w:uiPriority w:val="0"/>
    <w:pPr>
      <w:adjustRightInd/>
      <w:spacing w:line="360" w:lineRule="auto"/>
      <w:ind w:firstLine="200" w:firstLineChars="200"/>
    </w:pPr>
    <w:rPr>
      <w:rFonts w:ascii="宋体" w:hAnsi="宋体"/>
      <w:sz w:val="24"/>
      <w:szCs w:val="20"/>
    </w:rPr>
  </w:style>
  <w:style w:type="character" w:customStyle="1" w:styleId="103">
    <w:name w:val="未处理的提及1"/>
    <w:qFormat/>
    <w:uiPriority w:val="0"/>
    <w:rPr>
      <w:color w:val="808080"/>
      <w:shd w:val="clear" w:color="auto" w:fill="E6E6E6"/>
    </w:rPr>
  </w:style>
  <w:style w:type="character" w:customStyle="1" w:styleId="104">
    <w:name w:val="txt"/>
    <w:qFormat/>
    <w:uiPriority w:val="0"/>
    <w:rPr>
      <w:rFonts w:ascii="仿宋_GB2312" w:eastAsia="微软雅黑"/>
      <w:b/>
      <w:kern w:val="2"/>
      <w:sz w:val="32"/>
      <w:szCs w:val="32"/>
      <w:lang w:val="en-US" w:eastAsia="zh-CN" w:bidi="ar-SA"/>
    </w:rPr>
  </w:style>
  <w:style w:type="character" w:customStyle="1" w:styleId="105">
    <w:name w:val="二级标题 Char Char"/>
    <w:qFormat/>
    <w:uiPriority w:val="0"/>
    <w:rPr>
      <w:rFonts w:ascii="宋体" w:hAnsi="宋体" w:eastAsia="宋体"/>
      <w:b/>
      <w:snapToGrid w:val="0"/>
      <w:kern w:val="2"/>
      <w:sz w:val="24"/>
      <w:szCs w:val="24"/>
      <w:lang w:val="en-US" w:eastAsia="zh-CN" w:bidi="ar-SA"/>
    </w:rPr>
  </w:style>
  <w:style w:type="character" w:customStyle="1" w:styleId="106">
    <w:name w:val="Char Char32"/>
    <w:qFormat/>
    <w:uiPriority w:val="6"/>
    <w:rPr>
      <w:b/>
      <w:kern w:val="1"/>
      <w:sz w:val="24"/>
      <w:szCs w:val="24"/>
    </w:rPr>
  </w:style>
  <w:style w:type="character" w:customStyle="1" w:styleId="107">
    <w:name w:val="PI Char1"/>
    <w:qFormat/>
    <w:uiPriority w:val="0"/>
    <w:rPr>
      <w:rFonts w:ascii="宋体" w:hAnsi="宋体"/>
      <w:kern w:val="2"/>
      <w:sz w:val="24"/>
      <w:szCs w:val="24"/>
    </w:rPr>
  </w:style>
  <w:style w:type="character" w:customStyle="1" w:styleId="108">
    <w:name w:val="tw4winTerm"/>
    <w:qFormat/>
    <w:uiPriority w:val="0"/>
    <w:rPr>
      <w:color w:val="0000FF"/>
    </w:rPr>
  </w:style>
  <w:style w:type="character" w:customStyle="1" w:styleId="109">
    <w:name w:val="Footer Char"/>
    <w:qFormat/>
    <w:locked/>
    <w:uiPriority w:val="0"/>
    <w:rPr>
      <w:rFonts w:eastAsia="宋体"/>
      <w:kern w:val="2"/>
      <w:sz w:val="18"/>
      <w:lang w:val="en-US" w:eastAsia="zh-CN" w:bidi="ar-SA"/>
    </w:rPr>
  </w:style>
  <w:style w:type="character" w:customStyle="1" w:styleId="110">
    <w:name w:val="普通文字 Char Char1"/>
    <w:qFormat/>
    <w:uiPriority w:val="0"/>
    <w:rPr>
      <w:rFonts w:ascii="宋体" w:hAnsi="Courier New"/>
      <w:kern w:val="2"/>
      <w:sz w:val="21"/>
    </w:rPr>
  </w:style>
  <w:style w:type="character" w:customStyle="1" w:styleId="111">
    <w:name w:val="Char Char101"/>
    <w:qFormat/>
    <w:uiPriority w:val="6"/>
    <w:rPr>
      <w:rFonts w:ascii="宋体" w:hAnsi="宋体"/>
      <w:kern w:val="2"/>
      <w:sz w:val="21"/>
      <w:szCs w:val="24"/>
      <w:lang w:val="en-US" w:eastAsia="zh-CN"/>
    </w:rPr>
  </w:style>
  <w:style w:type="character" w:customStyle="1" w:styleId="112">
    <w:name w:val="标题 4 Char"/>
    <w:qFormat/>
    <w:uiPriority w:val="0"/>
    <w:rPr>
      <w:rFonts w:ascii="Arial" w:hAnsi="Arial" w:eastAsia="黑体"/>
      <w:b/>
      <w:kern w:val="2"/>
      <w:sz w:val="28"/>
    </w:rPr>
  </w:style>
  <w:style w:type="character" w:customStyle="1" w:styleId="113">
    <w:name w:val="链接"/>
    <w:qFormat/>
    <w:uiPriority w:val="0"/>
    <w:rPr>
      <w:color w:val="0000FF"/>
      <w:sz w:val="21"/>
      <w:szCs w:val="21"/>
      <w:u w:val="single"/>
    </w:rPr>
  </w:style>
  <w:style w:type="character" w:customStyle="1" w:styleId="114">
    <w:name w:val="h4 Char"/>
    <w:qFormat/>
    <w:uiPriority w:val="0"/>
    <w:rPr>
      <w:rFonts w:ascii="Arial" w:hAnsi="Arial" w:eastAsia="黑体"/>
      <w:b/>
      <w:bCs/>
      <w:kern w:val="2"/>
      <w:sz w:val="28"/>
      <w:szCs w:val="28"/>
      <w:lang w:val="zh-CN" w:eastAsia="zh-CN" w:bidi="ar-SA"/>
    </w:rPr>
  </w:style>
  <w:style w:type="character" w:customStyle="1" w:styleId="115">
    <w:name w:val="5正文 Char"/>
    <w:link w:val="116"/>
    <w:qFormat/>
    <w:uiPriority w:val="0"/>
    <w:rPr>
      <w:rFonts w:ascii="仿宋_GB2312" w:hAnsi="微软雅黑" w:eastAsia="仿宋_GB2312"/>
      <w:sz w:val="28"/>
      <w:szCs w:val="21"/>
    </w:rPr>
  </w:style>
  <w:style w:type="paragraph" w:customStyle="1" w:styleId="116">
    <w:name w:val="5正文"/>
    <w:basedOn w:val="1"/>
    <w:link w:val="115"/>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7">
    <w:name w:val="标题 3 字符"/>
    <w:qFormat/>
    <w:uiPriority w:val="9"/>
    <w:rPr>
      <w:b/>
      <w:bCs/>
      <w:kern w:val="2"/>
      <w:sz w:val="32"/>
      <w:szCs w:val="32"/>
    </w:rPr>
  </w:style>
  <w:style w:type="character" w:customStyle="1" w:styleId="118">
    <w:name w:val="样式6 Char"/>
    <w:qFormat/>
    <w:uiPriority w:val="0"/>
    <w:rPr>
      <w:rFonts w:ascii="仿宋_GB2312" w:hAnsi="宋体" w:eastAsia="仿宋_GB2312"/>
      <w:b/>
      <w:bCs/>
      <w:kern w:val="2"/>
      <w:sz w:val="24"/>
      <w:szCs w:val="24"/>
      <w:lang w:val="en-US" w:eastAsia="zh-CN" w:bidi="ar-SA"/>
    </w:rPr>
  </w:style>
  <w:style w:type="character" w:customStyle="1" w:styleId="119">
    <w:name w:val="Char Char14"/>
    <w:qFormat/>
    <w:uiPriority w:val="6"/>
    <w:rPr>
      <w:rFonts w:ascii="黑体" w:hAnsi="黑体" w:eastAsia="黑体"/>
    </w:rPr>
  </w:style>
  <w:style w:type="character" w:customStyle="1" w:styleId="120">
    <w:name w:val="Heading 2 Hidden Char"/>
    <w:qFormat/>
    <w:uiPriority w:val="0"/>
    <w:rPr>
      <w:rFonts w:ascii="仿宋_GB2312" w:eastAsia="仿宋_GB2312"/>
      <w:b/>
      <w:bCs/>
      <w:kern w:val="2"/>
      <w:sz w:val="24"/>
      <w:szCs w:val="24"/>
      <w:lang w:val="zh-CN" w:eastAsia="zh-CN" w:bidi="ar-SA"/>
    </w:rPr>
  </w:style>
  <w:style w:type="character" w:customStyle="1" w:styleId="121">
    <w:name w:val="正文首行缩进 2 Char"/>
    <w:link w:val="61"/>
    <w:qFormat/>
    <w:uiPriority w:val="0"/>
    <w:rPr>
      <w:rFonts w:ascii="宋体" w:hAnsi="宋体"/>
      <w:kern w:val="2"/>
      <w:sz w:val="21"/>
      <w:szCs w:val="24"/>
    </w:rPr>
  </w:style>
  <w:style w:type="character" w:customStyle="1" w:styleId="122">
    <w:name w:val="font11"/>
    <w:qFormat/>
    <w:uiPriority w:val="0"/>
    <w:rPr>
      <w:rFonts w:hint="default" w:ascii="Times New Roman" w:hAnsi="Times New Roman" w:cs="Times New Roman"/>
      <w:color w:val="000000"/>
      <w:sz w:val="22"/>
      <w:szCs w:val="22"/>
      <w:u w:val="none"/>
    </w:rPr>
  </w:style>
  <w:style w:type="character" w:customStyle="1" w:styleId="123">
    <w:name w:val="表正文 Char1"/>
    <w:qFormat/>
    <w:uiPriority w:val="0"/>
    <w:rPr>
      <w:rFonts w:ascii="宋体" w:eastAsia="宋体"/>
      <w:snapToGrid w:val="0"/>
      <w:color w:val="000000"/>
      <w:kern w:val="28"/>
      <w:sz w:val="28"/>
    </w:rPr>
  </w:style>
  <w:style w:type="character" w:customStyle="1" w:styleId="124">
    <w:name w:val="blue1"/>
    <w:basedOn w:val="69"/>
    <w:qFormat/>
    <w:uiPriority w:val="0"/>
    <w:rPr>
      <w:rFonts w:ascii="Arial" w:hAnsi="Arial" w:eastAsia="黑体" w:cs="Arial"/>
      <w:snapToGrid w:val="0"/>
      <w:kern w:val="0"/>
      <w:szCs w:val="21"/>
    </w:rPr>
  </w:style>
  <w:style w:type="character" w:customStyle="1" w:styleId="125">
    <w:name w:val="纯文本 Char"/>
    <w:link w:val="32"/>
    <w:qFormat/>
    <w:uiPriority w:val="0"/>
    <w:rPr>
      <w:rFonts w:ascii="宋体" w:hAnsi="Courier New" w:eastAsia="宋体" w:cs="Arial"/>
      <w:snapToGrid w:val="0"/>
      <w:kern w:val="2"/>
      <w:sz w:val="21"/>
      <w:szCs w:val="21"/>
      <w:lang w:val="en-US" w:eastAsia="zh-CN" w:bidi="ar-SA"/>
    </w:rPr>
  </w:style>
  <w:style w:type="character" w:customStyle="1" w:styleId="126">
    <w:name w:val="标书1 Char"/>
    <w:qFormat/>
    <w:uiPriority w:val="0"/>
    <w:rPr>
      <w:rFonts w:eastAsia="宋体"/>
      <w:b/>
      <w:bCs/>
      <w:kern w:val="44"/>
      <w:sz w:val="44"/>
      <w:szCs w:val="44"/>
      <w:lang w:val="en-US" w:eastAsia="zh-CN" w:bidi="ar-SA"/>
    </w:rPr>
  </w:style>
  <w:style w:type="character" w:customStyle="1" w:styleId="127">
    <w:name w:val="样式5 Char"/>
    <w:qFormat/>
    <w:uiPriority w:val="0"/>
    <w:rPr>
      <w:rFonts w:ascii="仿宋_GB2312" w:hAnsi="仿宋" w:eastAsia="仿宋_GB2312"/>
      <w:kern w:val="2"/>
      <w:sz w:val="24"/>
      <w:szCs w:val="24"/>
    </w:rPr>
  </w:style>
  <w:style w:type="character" w:customStyle="1" w:styleId="128">
    <w:name w:val="样式4 Char"/>
    <w:qFormat/>
    <w:uiPriority w:val="0"/>
    <w:rPr>
      <w:rFonts w:ascii="仿宋_GB2312" w:hAnsi="仿宋" w:eastAsia="仿宋_GB2312"/>
      <w:b/>
      <w:kern w:val="2"/>
      <w:sz w:val="32"/>
      <w:szCs w:val="32"/>
      <w:lang w:bidi="ar-SA"/>
    </w:rPr>
  </w:style>
  <w:style w:type="character" w:customStyle="1" w:styleId="129">
    <w:name w:val="插图说明 Char"/>
    <w:qFormat/>
    <w:uiPriority w:val="0"/>
    <w:rPr>
      <w:rFonts w:eastAsia="黑体"/>
      <w:sz w:val="24"/>
      <w:lang w:val="en-US" w:eastAsia="zh-CN"/>
    </w:rPr>
  </w:style>
  <w:style w:type="character" w:customStyle="1" w:styleId="130">
    <w:name w:val="正文2 Char Char"/>
    <w:link w:val="131"/>
    <w:qFormat/>
    <w:uiPriority w:val="0"/>
    <w:rPr>
      <w:rFonts w:eastAsia="宋体"/>
      <w:kern w:val="2"/>
      <w:sz w:val="24"/>
      <w:lang w:val="en-US" w:eastAsia="zh-CN" w:bidi="ar-SA"/>
    </w:rPr>
  </w:style>
  <w:style w:type="paragraph" w:customStyle="1" w:styleId="131">
    <w:name w:val="正文2"/>
    <w:basedOn w:val="1"/>
    <w:link w:val="130"/>
    <w:qFormat/>
    <w:uiPriority w:val="0"/>
    <w:pPr>
      <w:spacing w:before="156" w:line="360" w:lineRule="auto"/>
      <w:ind w:firstLine="510" w:firstLineChars="200"/>
    </w:pPr>
    <w:rPr>
      <w:sz w:val="24"/>
      <w:szCs w:val="20"/>
    </w:rPr>
  </w:style>
  <w:style w:type="character" w:customStyle="1" w:styleId="132">
    <w:name w:val="Char Char24"/>
    <w:qFormat/>
    <w:uiPriority w:val="6"/>
    <w:rPr>
      <w:kern w:val="1"/>
      <w:sz w:val="21"/>
    </w:rPr>
  </w:style>
  <w:style w:type="character" w:customStyle="1" w:styleId="133">
    <w:name w:val="副标题 Char"/>
    <w:link w:val="46"/>
    <w:qFormat/>
    <w:uiPriority w:val="0"/>
    <w:rPr>
      <w:rFonts w:ascii="Arial" w:hAnsi="Arial" w:eastAsia="隶书"/>
      <w:b/>
      <w:bCs/>
      <w:kern w:val="28"/>
      <w:sz w:val="44"/>
      <w:szCs w:val="32"/>
      <w:lang w:val="en-US" w:eastAsia="zh-CN" w:bidi="ar-SA"/>
    </w:rPr>
  </w:style>
  <w:style w:type="character" w:customStyle="1" w:styleId="134">
    <w:name w:val="普通文字 Char1 Char"/>
    <w:qFormat/>
    <w:uiPriority w:val="0"/>
    <w:rPr>
      <w:rFonts w:ascii="宋体" w:hAnsi="Courier New" w:eastAsia="宋体"/>
      <w:kern w:val="2"/>
      <w:sz w:val="21"/>
      <w:szCs w:val="24"/>
      <w:lang w:val="en-US" w:eastAsia="zh-CN" w:bidi="ar-SA"/>
    </w:rPr>
  </w:style>
  <w:style w:type="character" w:customStyle="1" w:styleId="135">
    <w:name w:val="h3 Char1"/>
    <w:qFormat/>
    <w:uiPriority w:val="0"/>
    <w:rPr>
      <w:rFonts w:eastAsia="宋体"/>
      <w:b/>
      <w:bCs/>
      <w:kern w:val="2"/>
      <w:sz w:val="32"/>
      <w:szCs w:val="32"/>
      <w:lang w:bidi="ar-SA"/>
    </w:rPr>
  </w:style>
  <w:style w:type="character" w:customStyle="1" w:styleId="136">
    <w:name w:val="标题 Char1"/>
    <w:qFormat/>
    <w:uiPriority w:val="0"/>
    <w:rPr>
      <w:rFonts w:ascii="Cambria" w:hAnsi="Cambria" w:eastAsia="宋体" w:cs="Times New Roman"/>
      <w:b/>
      <w:bCs/>
      <w:sz w:val="32"/>
      <w:szCs w:val="32"/>
      <w:lang w:bidi="ar-SA"/>
    </w:rPr>
  </w:style>
  <w:style w:type="character" w:customStyle="1" w:styleId="137">
    <w:name w:val="gf正文1 Char"/>
    <w:qFormat/>
    <w:uiPriority w:val="0"/>
    <w:rPr>
      <w:rFonts w:ascii="宋体" w:hAnsi="宋体" w:eastAsia="宋体" w:cs="宋体"/>
      <w:kern w:val="2"/>
      <w:sz w:val="24"/>
      <w:szCs w:val="24"/>
      <w:lang w:val="en-US" w:eastAsia="zh-CN" w:bidi="ar-SA"/>
    </w:rPr>
  </w:style>
  <w:style w:type="character" w:customStyle="1" w:styleId="138">
    <w:name w:val="正文文本缩进 Char1"/>
    <w:qFormat/>
    <w:uiPriority w:val="0"/>
    <w:rPr>
      <w:rFonts w:ascii="Calibri" w:hAnsi="Calibri"/>
      <w:sz w:val="28"/>
    </w:rPr>
  </w:style>
  <w:style w:type="character" w:customStyle="1" w:styleId="139">
    <w:name w:val="No Spacing Char"/>
    <w:link w:val="140"/>
    <w:qFormat/>
    <w:uiPriority w:val="1"/>
    <w:rPr>
      <w:sz w:val="22"/>
      <w:szCs w:val="22"/>
      <w:lang w:val="en-US" w:eastAsia="zh-CN" w:bidi="ar-SA"/>
    </w:rPr>
  </w:style>
  <w:style w:type="paragraph" w:customStyle="1" w:styleId="140">
    <w:name w:val="无间隔1"/>
    <w:link w:val="139"/>
    <w:qFormat/>
    <w:uiPriority w:val="1"/>
    <w:rPr>
      <w:rFonts w:ascii="Times New Roman" w:hAnsi="Times New Roman" w:eastAsia="宋体" w:cs="Times New Roman"/>
      <w:sz w:val="22"/>
      <w:szCs w:val="22"/>
      <w:lang w:val="en-US" w:eastAsia="zh-CN" w:bidi="ar-SA"/>
    </w:rPr>
  </w:style>
  <w:style w:type="character" w:customStyle="1" w:styleId="141">
    <w:name w:val="样式7 Char"/>
    <w:qFormat/>
    <w:uiPriority w:val="0"/>
    <w:rPr>
      <w:rFonts w:ascii="仿宋_GB2312" w:hAnsi="仿宋" w:eastAsia="仿宋_GB2312"/>
      <w:b/>
      <w:kern w:val="2"/>
      <w:sz w:val="24"/>
      <w:szCs w:val="24"/>
    </w:rPr>
  </w:style>
  <w:style w:type="character" w:customStyle="1" w:styleId="142">
    <w:name w:val="font12gray1"/>
    <w:qFormat/>
    <w:uiPriority w:val="0"/>
    <w:rPr>
      <w:rFonts w:ascii="仿宋_GB2312" w:eastAsia="微软雅黑"/>
      <w:b/>
      <w:spacing w:val="300"/>
      <w:kern w:val="2"/>
      <w:sz w:val="18"/>
      <w:szCs w:val="18"/>
      <w:lang w:val="en-US" w:eastAsia="zh-CN" w:bidi="ar-SA"/>
    </w:rPr>
  </w:style>
  <w:style w:type="character" w:customStyle="1" w:styleId="143">
    <w:name w:val="Char Char7"/>
    <w:semiHidden/>
    <w:qFormat/>
    <w:uiPriority w:val="0"/>
    <w:rPr>
      <w:rFonts w:eastAsia="宋体"/>
      <w:kern w:val="2"/>
      <w:sz w:val="21"/>
      <w:szCs w:val="24"/>
      <w:lang w:val="en-US" w:eastAsia="zh-CN" w:bidi="ar-SA"/>
    </w:rPr>
  </w:style>
  <w:style w:type="character" w:customStyle="1" w:styleId="144">
    <w:name w:val="表名 Char"/>
    <w:qFormat/>
    <w:uiPriority w:val="0"/>
    <w:rPr>
      <w:rFonts w:eastAsia="宋体"/>
      <w:b/>
      <w:bCs/>
      <w:kern w:val="2"/>
      <w:sz w:val="24"/>
      <w:szCs w:val="24"/>
      <w:lang w:val="en-US" w:eastAsia="zh-CN" w:bidi="ar-SA"/>
    </w:rPr>
  </w:style>
  <w:style w:type="character" w:customStyle="1" w:styleId="145">
    <w:name w:val="Document Map Char"/>
    <w:qFormat/>
    <w:locked/>
    <w:uiPriority w:val="0"/>
    <w:rPr>
      <w:rFonts w:eastAsia="宋体"/>
      <w:kern w:val="2"/>
      <w:sz w:val="21"/>
      <w:szCs w:val="24"/>
      <w:lang w:val="en-US" w:eastAsia="zh-CN" w:bidi="ar-SA"/>
    </w:rPr>
  </w:style>
  <w:style w:type="character" w:customStyle="1" w:styleId="146">
    <w:name w:val="font41"/>
    <w:basedOn w:val="69"/>
    <w:qFormat/>
    <w:uiPriority w:val="0"/>
    <w:rPr>
      <w:rFonts w:hint="eastAsia" w:ascii="仿宋_GB2312" w:eastAsia="仿宋_GB2312" w:cs="仿宋_GB2312"/>
      <w:color w:val="000000"/>
      <w:sz w:val="22"/>
      <w:szCs w:val="22"/>
      <w:u w:val="none"/>
    </w:rPr>
  </w:style>
  <w:style w:type="character" w:customStyle="1" w:styleId="147">
    <w:name w:val="标题 6 Char"/>
    <w:link w:val="8"/>
    <w:qFormat/>
    <w:uiPriority w:val="0"/>
    <w:rPr>
      <w:rFonts w:ascii="Arial" w:hAnsi="Arial" w:eastAsia="黑体"/>
      <w:b/>
      <w:bCs/>
      <w:kern w:val="2"/>
      <w:sz w:val="24"/>
      <w:szCs w:val="24"/>
    </w:rPr>
  </w:style>
  <w:style w:type="character" w:customStyle="1" w:styleId="148">
    <w:name w:val="纯文本 Char_0"/>
    <w:link w:val="149"/>
    <w:qFormat/>
    <w:uiPriority w:val="0"/>
    <w:rPr>
      <w:rFonts w:ascii="宋体" w:hAnsi="Courier New"/>
      <w:kern w:val="2"/>
      <w:sz w:val="21"/>
      <w:szCs w:val="21"/>
      <w:lang w:val="en-US" w:eastAsia="zh-CN"/>
    </w:rPr>
  </w:style>
  <w:style w:type="paragraph" w:customStyle="1" w:styleId="149">
    <w:name w:val="纯文本_0_0"/>
    <w:basedOn w:val="150"/>
    <w:link w:val="148"/>
    <w:qFormat/>
    <w:uiPriority w:val="0"/>
    <w:rPr>
      <w:rFonts w:ascii="宋体" w:hAnsi="Courier New"/>
      <w:szCs w:val="21"/>
    </w:rPr>
  </w:style>
  <w:style w:type="paragraph" w:customStyle="1" w:styleId="150">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1">
    <w:name w:val="Balloon Text Char"/>
    <w:qFormat/>
    <w:locked/>
    <w:uiPriority w:val="0"/>
    <w:rPr>
      <w:rFonts w:eastAsia="宋体"/>
      <w:kern w:val="2"/>
      <w:sz w:val="18"/>
      <w:szCs w:val="18"/>
      <w:lang w:val="en-US" w:eastAsia="zh-CN" w:bidi="ar-SA"/>
    </w:rPr>
  </w:style>
  <w:style w:type="character" w:customStyle="1" w:styleId="152">
    <w:name w:val="正文 项目2 Char"/>
    <w:basedOn w:val="153"/>
    <w:qFormat/>
    <w:uiPriority w:val="0"/>
    <w:rPr>
      <w:rFonts w:ascii="仿宋_GB2312" w:hAnsi="仿宋_GB2312" w:eastAsia="仿宋_GB2312"/>
      <w:kern w:val="2"/>
      <w:sz w:val="24"/>
      <w:lang w:bidi="ar-SA"/>
    </w:rPr>
  </w:style>
  <w:style w:type="character" w:customStyle="1" w:styleId="153">
    <w:name w:val="正文 项目 Char"/>
    <w:qFormat/>
    <w:uiPriority w:val="0"/>
    <w:rPr>
      <w:rFonts w:ascii="仿宋_GB2312" w:hAnsi="仿宋_GB2312" w:eastAsia="仿宋_GB2312"/>
      <w:kern w:val="2"/>
      <w:sz w:val="24"/>
      <w:lang w:bidi="ar-SA"/>
    </w:rPr>
  </w:style>
  <w:style w:type="character" w:customStyle="1" w:styleId="154">
    <w:name w:val="h Char Char1"/>
    <w:qFormat/>
    <w:uiPriority w:val="0"/>
    <w:rPr>
      <w:rFonts w:eastAsia="宋体"/>
      <w:kern w:val="2"/>
      <w:sz w:val="18"/>
      <w:szCs w:val="18"/>
      <w:lang w:val="en-US" w:eastAsia="zh-CN" w:bidi="ar-SA"/>
    </w:rPr>
  </w:style>
  <w:style w:type="character" w:customStyle="1" w:styleId="155">
    <w:name w:val="Char Char27"/>
    <w:qFormat/>
    <w:uiPriority w:val="6"/>
    <w:rPr>
      <w:rFonts w:ascii="宋体" w:hAnsi="宋体" w:eastAsia="宋体"/>
      <w:color w:val="000000"/>
      <w:kern w:val="1"/>
      <w:sz w:val="28"/>
      <w:lang w:val="en-US" w:eastAsia="zh-CN" w:bidi="ar-SA"/>
    </w:rPr>
  </w:style>
  <w:style w:type="character" w:customStyle="1" w:styleId="156">
    <w:name w:val="px14"/>
    <w:qFormat/>
    <w:uiPriority w:val="0"/>
    <w:rPr>
      <w:rFonts w:ascii="仿宋_GB2312" w:eastAsia="微软雅黑" w:cs="Times New Roman"/>
      <w:b/>
      <w:kern w:val="2"/>
      <w:sz w:val="32"/>
      <w:szCs w:val="32"/>
      <w:lang w:val="en-US" w:eastAsia="zh-CN" w:bidi="ar-SA"/>
    </w:rPr>
  </w:style>
  <w:style w:type="character" w:customStyle="1" w:styleId="157">
    <w:name w:val="HTML 预设格式 Char1"/>
    <w:qFormat/>
    <w:uiPriority w:val="0"/>
    <w:rPr>
      <w:rFonts w:ascii="Courier New" w:hAnsi="Courier New" w:eastAsia="宋体" w:cs="Courier New"/>
      <w:sz w:val="20"/>
      <w:szCs w:val="20"/>
    </w:rPr>
  </w:style>
  <w:style w:type="character" w:customStyle="1" w:styleId="158">
    <w:name w:val="普通文字 Char1"/>
    <w:qFormat/>
    <w:uiPriority w:val="0"/>
    <w:rPr>
      <w:rFonts w:ascii="宋体" w:hAnsi="Courier New" w:eastAsia="宋体"/>
      <w:kern w:val="2"/>
      <w:sz w:val="21"/>
      <w:lang w:val="en-US" w:eastAsia="zh-CN"/>
    </w:rPr>
  </w:style>
  <w:style w:type="character" w:customStyle="1" w:styleId="159">
    <w:name w:val="hei16b1"/>
    <w:qFormat/>
    <w:uiPriority w:val="0"/>
    <w:rPr>
      <w:rFonts w:hint="default" w:ascii="Arial" w:hAnsi="Arial" w:cs="Arial"/>
      <w:b/>
      <w:bCs/>
      <w:color w:val="000000"/>
      <w:sz w:val="24"/>
      <w:szCs w:val="24"/>
    </w:rPr>
  </w:style>
  <w:style w:type="character" w:customStyle="1" w:styleId="160">
    <w:name w:val="正文（绿盟科技） Char"/>
    <w:link w:val="161"/>
    <w:qFormat/>
    <w:uiPriority w:val="0"/>
    <w:rPr>
      <w:rFonts w:ascii="Arial" w:hAnsi="Arial"/>
      <w:sz w:val="21"/>
      <w:szCs w:val="21"/>
    </w:rPr>
  </w:style>
  <w:style w:type="paragraph" w:customStyle="1" w:styleId="161">
    <w:name w:val="正文（绿盟科技）"/>
    <w:link w:val="160"/>
    <w:qFormat/>
    <w:uiPriority w:val="0"/>
    <w:pPr>
      <w:spacing w:line="300" w:lineRule="auto"/>
    </w:pPr>
    <w:rPr>
      <w:rFonts w:ascii="Arial" w:hAnsi="Arial" w:eastAsia="宋体" w:cs="Times New Roman"/>
      <w:sz w:val="21"/>
      <w:szCs w:val="21"/>
      <w:lang w:val="en-US" w:eastAsia="zh-CN" w:bidi="ar-SA"/>
    </w:rPr>
  </w:style>
  <w:style w:type="character" w:customStyle="1" w:styleId="162">
    <w:name w:val="Char Char19"/>
    <w:qFormat/>
    <w:uiPriority w:val="6"/>
    <w:rPr>
      <w:rFonts w:ascii="宋体" w:hAnsi="宋体"/>
      <w:i/>
      <w:sz w:val="24"/>
      <w:szCs w:val="24"/>
    </w:rPr>
  </w:style>
  <w:style w:type="character" w:customStyle="1" w:styleId="163">
    <w:name w:val="页脚 Char"/>
    <w:qFormat/>
    <w:uiPriority w:val="0"/>
    <w:rPr>
      <w:rFonts w:eastAsia="仿宋_GB2312"/>
      <w:kern w:val="2"/>
      <w:sz w:val="18"/>
      <w:lang w:val="en-US" w:eastAsia="zh-CN"/>
    </w:rPr>
  </w:style>
  <w:style w:type="character" w:customStyle="1" w:styleId="164">
    <w:name w:val="批注主题 Char"/>
    <w:qFormat/>
    <w:uiPriority w:val="0"/>
    <w:rPr>
      <w:rFonts w:eastAsia="宋体"/>
      <w:b/>
      <w:bCs/>
      <w:kern w:val="2"/>
      <w:sz w:val="21"/>
      <w:szCs w:val="24"/>
      <w:lang w:val="en-US" w:eastAsia="zh-CN" w:bidi="ar-SA"/>
    </w:rPr>
  </w:style>
  <w:style w:type="character" w:customStyle="1" w:styleId="165">
    <w:name w:val="Comment Text Char"/>
    <w:qFormat/>
    <w:locked/>
    <w:uiPriority w:val="0"/>
    <w:rPr>
      <w:rFonts w:ascii="宋体" w:hAnsi="宋体" w:eastAsia="宋体"/>
      <w:kern w:val="2"/>
      <w:sz w:val="24"/>
      <w:lang w:val="en-US" w:eastAsia="zh-CN" w:bidi="ar-SA"/>
    </w:rPr>
  </w:style>
  <w:style w:type="character" w:customStyle="1" w:styleId="166">
    <w:name w:val="标题 2 字符"/>
    <w:qFormat/>
    <w:uiPriority w:val="1"/>
    <w:rPr>
      <w:rFonts w:ascii="仿宋_GB2312" w:hAnsi="Times New Roman" w:eastAsia="仿宋_GB2312" w:cs="Times New Roman"/>
      <w:b/>
      <w:kern w:val="2"/>
      <w:sz w:val="24"/>
      <w:lang w:val="zh-CN"/>
    </w:rPr>
  </w:style>
  <w:style w:type="character" w:customStyle="1" w:styleId="167">
    <w:name w:val="Char Char72"/>
    <w:qFormat/>
    <w:uiPriority w:val="0"/>
    <w:rPr>
      <w:rFonts w:eastAsia="宋体"/>
      <w:kern w:val="2"/>
      <w:sz w:val="21"/>
      <w:szCs w:val="24"/>
      <w:lang w:val="en-US" w:eastAsia="zh-CN" w:bidi="ar-SA"/>
    </w:rPr>
  </w:style>
  <w:style w:type="character" w:customStyle="1" w:styleId="168">
    <w:name w:val="正文文本缩进 Char2"/>
    <w:qFormat/>
    <w:uiPriority w:val="0"/>
    <w:rPr>
      <w:rFonts w:ascii="Times New Roman" w:hAnsi="Times New Roman" w:eastAsia="宋体" w:cs="Times New Roman"/>
      <w:snapToGrid w:val="0"/>
      <w:kern w:val="0"/>
      <w:szCs w:val="24"/>
    </w:rPr>
  </w:style>
  <w:style w:type="character" w:customStyle="1" w:styleId="169">
    <w:name w:val="样式2 Char"/>
    <w:qFormat/>
    <w:uiPriority w:val="0"/>
    <w:rPr>
      <w:rFonts w:ascii="仿宋_GB2312" w:hAnsi="仿宋" w:eastAsia="仿宋_GB2312" w:cs="仿宋_GB2312"/>
      <w:b/>
      <w:bCs/>
      <w:sz w:val="32"/>
      <w:szCs w:val="30"/>
      <w:lang w:val="zh-CN"/>
    </w:rPr>
  </w:style>
  <w:style w:type="character" w:customStyle="1" w:styleId="170">
    <w:name w:val="表格名称[858D7CFB-ED40-4347-BF05-701D383B685F]"/>
    <w:link w:val="171"/>
    <w:qFormat/>
    <w:uiPriority w:val="0"/>
    <w:rPr>
      <w:sz w:val="32"/>
    </w:rPr>
  </w:style>
  <w:style w:type="paragraph" w:customStyle="1" w:styleId="171">
    <w:name w:val="表格名称"/>
    <w:basedOn w:val="3"/>
    <w:link w:val="170"/>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2">
    <w:name w:val="Char Char4"/>
    <w:qFormat/>
    <w:uiPriority w:val="0"/>
    <w:rPr>
      <w:rFonts w:eastAsia="宋体"/>
      <w:b/>
      <w:sz w:val="24"/>
      <w:lang w:val="en-GB" w:eastAsia="zh-CN" w:bidi="ar-SA"/>
    </w:rPr>
  </w:style>
  <w:style w:type="character" w:customStyle="1" w:styleId="173">
    <w:name w:val="c7 style3"/>
    <w:qFormat/>
    <w:uiPriority w:val="0"/>
  </w:style>
  <w:style w:type="character" w:customStyle="1" w:styleId="174">
    <w:name w:val="正文文本 3 Char1"/>
    <w:semiHidden/>
    <w:qFormat/>
    <w:uiPriority w:val="99"/>
    <w:rPr>
      <w:rFonts w:ascii="Times New Roman" w:hAnsi="Times New Roman" w:eastAsia="宋体" w:cs="Times New Roman"/>
      <w:sz w:val="16"/>
      <w:szCs w:val="16"/>
    </w:rPr>
  </w:style>
  <w:style w:type="character" w:customStyle="1" w:styleId="175">
    <w:name w:val="tw4winInternal"/>
    <w:qFormat/>
    <w:uiPriority w:val="0"/>
    <w:rPr>
      <w:rFonts w:ascii="Courier New" w:hAnsi="Courier New" w:cs="Courier New"/>
      <w:color w:val="FF0000"/>
      <w:lang w:val="en-US" w:eastAsia="zh-CN"/>
    </w:rPr>
  </w:style>
  <w:style w:type="character" w:customStyle="1" w:styleId="176">
    <w:name w:val="Char Char10"/>
    <w:semiHidden/>
    <w:qFormat/>
    <w:uiPriority w:val="0"/>
    <w:rPr>
      <w:rFonts w:ascii="宋体" w:hAnsi="宋体"/>
      <w:kern w:val="2"/>
      <w:sz w:val="21"/>
      <w:szCs w:val="24"/>
      <w:lang w:val="en-US" w:eastAsia="zh-CN"/>
    </w:rPr>
  </w:style>
  <w:style w:type="character" w:customStyle="1" w:styleId="177">
    <w:name w:val="shadow11"/>
    <w:qFormat/>
    <w:uiPriority w:val="0"/>
    <w:rPr>
      <w:color w:val="000000"/>
      <w:sz w:val="21"/>
    </w:rPr>
  </w:style>
  <w:style w:type="character" w:customStyle="1" w:styleId="178">
    <w:name w:val="正文非缩进 Char3"/>
    <w:qFormat/>
    <w:uiPriority w:val="0"/>
    <w:rPr>
      <w:rFonts w:ascii="宋体" w:eastAsia="宋体"/>
      <w:snapToGrid w:val="0"/>
      <w:color w:val="000000"/>
      <w:kern w:val="28"/>
      <w:sz w:val="28"/>
      <w:lang w:val="en-US" w:eastAsia="zh-CN" w:bidi="ar-SA"/>
    </w:rPr>
  </w:style>
  <w:style w:type="character" w:customStyle="1" w:styleId="179">
    <w:name w:val="Char Char"/>
    <w:qFormat/>
    <w:uiPriority w:val="0"/>
    <w:rPr>
      <w:rFonts w:ascii="宋体" w:hAnsi="Courier New" w:eastAsia="宋体"/>
      <w:kern w:val="2"/>
      <w:sz w:val="21"/>
      <w:lang w:val="en-US" w:eastAsia="zh-CN" w:bidi="ar-SA"/>
    </w:rPr>
  </w:style>
  <w:style w:type="character" w:customStyle="1" w:styleId="180">
    <w:name w:val="签名 Char1"/>
    <w:qFormat/>
    <w:uiPriority w:val="0"/>
    <w:rPr>
      <w:rFonts w:ascii="Times New Roman" w:hAnsi="Times New Roman" w:eastAsia="宋体" w:cs="Times New Roman"/>
      <w:szCs w:val="24"/>
    </w:rPr>
  </w:style>
  <w:style w:type="character" w:customStyle="1" w:styleId="181">
    <w:name w:val="日期 Char"/>
    <w:link w:val="35"/>
    <w:qFormat/>
    <w:uiPriority w:val="0"/>
    <w:rPr>
      <w:rFonts w:ascii="宋体"/>
      <w:kern w:val="2"/>
      <w:sz w:val="24"/>
      <w:szCs w:val="21"/>
      <w:lang w:val="zh-CN"/>
    </w:rPr>
  </w:style>
  <w:style w:type="character" w:customStyle="1" w:styleId="182">
    <w:name w:val="标题 9 Char"/>
    <w:link w:val="11"/>
    <w:qFormat/>
    <w:uiPriority w:val="0"/>
    <w:rPr>
      <w:rFonts w:ascii="Arial" w:hAnsi="Arial" w:eastAsia="黑体"/>
      <w:kern w:val="2"/>
      <w:sz w:val="21"/>
      <w:szCs w:val="21"/>
    </w:rPr>
  </w:style>
  <w:style w:type="character" w:customStyle="1" w:styleId="183">
    <w:name w:val="Char Char18"/>
    <w:qFormat/>
    <w:uiPriority w:val="6"/>
    <w:rPr>
      <w:rFonts w:ascii="宋体" w:hAnsi="宋体"/>
      <w:sz w:val="28"/>
    </w:rPr>
  </w:style>
  <w:style w:type="character" w:customStyle="1" w:styleId="184">
    <w:name w:val="批注文字 Char"/>
    <w:qFormat/>
    <w:uiPriority w:val="99"/>
    <w:rPr>
      <w:kern w:val="2"/>
      <w:sz w:val="21"/>
      <w:szCs w:val="24"/>
    </w:rPr>
  </w:style>
  <w:style w:type="character" w:customStyle="1" w:styleId="185">
    <w:name w:val="Char Char22"/>
    <w:qFormat/>
    <w:uiPriority w:val="6"/>
    <w:rPr>
      <w:rFonts w:ascii="宋体" w:hAnsi="宋体"/>
      <w:kern w:val="1"/>
      <w:sz w:val="24"/>
      <w:szCs w:val="24"/>
    </w:rPr>
  </w:style>
  <w:style w:type="character" w:customStyle="1" w:styleId="186">
    <w:name w:val="pt141"/>
    <w:qFormat/>
    <w:uiPriority w:val="0"/>
    <w:rPr>
      <w:color w:val="330066"/>
      <w:sz w:val="22"/>
      <w:szCs w:val="22"/>
    </w:rPr>
  </w:style>
  <w:style w:type="character" w:customStyle="1" w:styleId="187">
    <w:name w:val="正文文本缩进 2 Char1"/>
    <w:semiHidden/>
    <w:qFormat/>
    <w:uiPriority w:val="99"/>
    <w:rPr>
      <w:rFonts w:ascii="Times New Roman" w:hAnsi="Times New Roman" w:eastAsia="宋体" w:cs="Times New Roman"/>
      <w:szCs w:val="24"/>
    </w:rPr>
  </w:style>
  <w:style w:type="character" w:customStyle="1" w:styleId="188">
    <w:name w:val="批注框文本 Char"/>
    <w:link w:val="38"/>
    <w:qFormat/>
    <w:uiPriority w:val="0"/>
    <w:rPr>
      <w:kern w:val="2"/>
      <w:sz w:val="18"/>
      <w:szCs w:val="18"/>
    </w:rPr>
  </w:style>
  <w:style w:type="character" w:customStyle="1" w:styleId="189">
    <w:name w:val="Char Char611"/>
    <w:qFormat/>
    <w:uiPriority w:val="0"/>
    <w:rPr>
      <w:rFonts w:eastAsia="宋体"/>
      <w:kern w:val="2"/>
      <w:sz w:val="21"/>
      <w:szCs w:val="24"/>
      <w:lang w:val="en-US" w:eastAsia="zh-CN" w:bidi="ar-SA"/>
    </w:rPr>
  </w:style>
  <w:style w:type="character" w:customStyle="1" w:styleId="190">
    <w:name w:val="highlight1"/>
    <w:qFormat/>
    <w:uiPriority w:val="0"/>
    <w:rPr>
      <w:rFonts w:ascii="仿宋_GB2312" w:eastAsia="微软雅黑"/>
      <w:b/>
      <w:kern w:val="2"/>
      <w:sz w:val="23"/>
      <w:szCs w:val="23"/>
      <w:lang w:val="en-US" w:eastAsia="zh-CN" w:bidi="ar-SA"/>
    </w:rPr>
  </w:style>
  <w:style w:type="character" w:customStyle="1" w:styleId="191">
    <w:name w:val="my正文 Char"/>
    <w:link w:val="192"/>
    <w:qFormat/>
    <w:locked/>
    <w:uiPriority w:val="0"/>
    <w:rPr>
      <w:rFonts w:ascii="Tahoma" w:hAnsi="Tahoma"/>
      <w:sz w:val="24"/>
      <w:szCs w:val="24"/>
    </w:rPr>
  </w:style>
  <w:style w:type="paragraph" w:customStyle="1" w:styleId="192">
    <w:name w:val="my正文"/>
    <w:basedOn w:val="1"/>
    <w:link w:val="191"/>
    <w:qFormat/>
    <w:uiPriority w:val="0"/>
    <w:pPr>
      <w:adjustRightInd/>
      <w:spacing w:line="360" w:lineRule="auto"/>
      <w:ind w:firstLine="480" w:firstLineChars="200"/>
    </w:pPr>
    <w:rPr>
      <w:rFonts w:ascii="Tahoma" w:hAnsi="Tahoma"/>
      <w:kern w:val="0"/>
      <w:sz w:val="24"/>
    </w:rPr>
  </w:style>
  <w:style w:type="character" w:customStyle="1" w:styleId="193">
    <w:name w:val="正文缩进 Char2"/>
    <w:link w:val="5"/>
    <w:qFormat/>
    <w:uiPriority w:val="0"/>
    <w:rPr>
      <w:rFonts w:ascii="宋体" w:eastAsia="宋体"/>
      <w:snapToGrid w:val="0"/>
      <w:color w:val="000000"/>
      <w:kern w:val="28"/>
      <w:sz w:val="28"/>
      <w:lang w:val="en-US" w:eastAsia="zh-CN" w:bidi="ar-SA"/>
    </w:rPr>
  </w:style>
  <w:style w:type="character" w:customStyle="1" w:styleId="194">
    <w:name w:val="Used by Word for text of Help footnotes Char Char1"/>
    <w:qFormat/>
    <w:uiPriority w:val="0"/>
    <w:rPr>
      <w:color w:val="0000FF"/>
      <w:sz w:val="21"/>
    </w:rPr>
  </w:style>
  <w:style w:type="character" w:customStyle="1" w:styleId="195">
    <w:name w:val="页眉 Char"/>
    <w:qFormat/>
    <w:uiPriority w:val="0"/>
    <w:rPr>
      <w:rFonts w:eastAsia="仿宋_GB2312"/>
      <w:kern w:val="2"/>
      <w:sz w:val="18"/>
      <w:lang w:val="en-US" w:eastAsia="zh-CN"/>
    </w:rPr>
  </w:style>
  <w:style w:type="character" w:customStyle="1" w:styleId="196">
    <w:name w:val="FA正文 Char Char"/>
    <w:qFormat/>
    <w:uiPriority w:val="0"/>
    <w:rPr>
      <w:rFonts w:hAnsi="宋体"/>
      <w:kern w:val="2"/>
      <w:sz w:val="24"/>
      <w:lang w:bidi="ar-SA"/>
    </w:rPr>
  </w:style>
  <w:style w:type="character" w:customStyle="1" w:styleId="197">
    <w:name w:val="纯文本 字符"/>
    <w:qFormat/>
    <w:uiPriority w:val="0"/>
    <w:rPr>
      <w:rFonts w:ascii="宋体" w:hAnsi="Courier New" w:eastAsia="宋体" w:cs="Arial"/>
      <w:snapToGrid w:val="0"/>
      <w:kern w:val="2"/>
      <w:sz w:val="21"/>
      <w:szCs w:val="21"/>
      <w:lang w:val="en-US" w:eastAsia="zh-CN" w:bidi="ar-SA"/>
    </w:rPr>
  </w:style>
  <w:style w:type="character" w:customStyle="1" w:styleId="198">
    <w:name w:val="3级 Char"/>
    <w:link w:val="199"/>
    <w:qFormat/>
    <w:uiPriority w:val="0"/>
    <w:rPr>
      <w:rFonts w:ascii="宋体" w:hAnsi="宋体"/>
      <w:b/>
      <w:bCs/>
      <w:snapToGrid/>
      <w:sz w:val="28"/>
    </w:rPr>
  </w:style>
  <w:style w:type="paragraph" w:customStyle="1" w:styleId="199">
    <w:name w:val="3级"/>
    <w:basedOn w:val="200"/>
    <w:link w:val="198"/>
    <w:qFormat/>
    <w:uiPriority w:val="0"/>
    <w:pPr>
      <w:ind w:left="0" w:right="466" w:firstLine="288"/>
    </w:pPr>
    <w:rPr>
      <w:rFonts w:hAnsi="宋体"/>
      <w:snapToGrid/>
    </w:rPr>
  </w:style>
  <w:style w:type="paragraph" w:customStyle="1" w:styleId="200">
    <w:name w:val="样式 标题 3h33rd level3BOD 0H3l3CTHeading 3 - oldLevel 3 He..."/>
    <w:basedOn w:val="4"/>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1">
    <w:name w:val="myp11"/>
    <w:qFormat/>
    <w:uiPriority w:val="0"/>
    <w:rPr>
      <w:rFonts w:ascii="仿宋_GB2312" w:eastAsia="微软雅黑"/>
      <w:b/>
      <w:kern w:val="2"/>
      <w:sz w:val="32"/>
      <w:szCs w:val="32"/>
      <w:lang w:val="en-US" w:eastAsia="zh-CN" w:bidi="ar-SA"/>
    </w:rPr>
  </w:style>
  <w:style w:type="character" w:customStyle="1" w:styleId="202">
    <w:name w:val="文档结构图 Char1"/>
    <w:link w:val="18"/>
    <w:qFormat/>
    <w:uiPriority w:val="0"/>
    <w:rPr>
      <w:kern w:val="2"/>
      <w:sz w:val="21"/>
      <w:szCs w:val="24"/>
      <w:shd w:val="clear" w:color="auto" w:fill="000080"/>
    </w:rPr>
  </w:style>
  <w:style w:type="character" w:customStyle="1" w:styleId="203">
    <w:name w:val="H6 Char"/>
    <w:qFormat/>
    <w:uiPriority w:val="0"/>
    <w:rPr>
      <w:rFonts w:ascii="Arial" w:hAnsi="Arial" w:eastAsia="黑体"/>
      <w:b/>
      <w:bCs/>
      <w:kern w:val="2"/>
      <w:sz w:val="24"/>
      <w:szCs w:val="24"/>
    </w:rPr>
  </w:style>
  <w:style w:type="character" w:customStyle="1" w:styleId="204">
    <w:name w:val="Char Char91"/>
    <w:qFormat/>
    <w:uiPriority w:val="0"/>
    <w:rPr>
      <w:rFonts w:eastAsia="宋体"/>
      <w:kern w:val="2"/>
      <w:sz w:val="18"/>
      <w:szCs w:val="18"/>
      <w:lang w:val="en-US" w:eastAsia="zh-CN" w:bidi="ar-SA"/>
    </w:rPr>
  </w:style>
  <w:style w:type="character" w:customStyle="1" w:styleId="205">
    <w:name w:val="副标题 Char1"/>
    <w:qFormat/>
    <w:uiPriority w:val="0"/>
    <w:rPr>
      <w:rFonts w:ascii="Cambria" w:hAnsi="Cambria" w:eastAsia="宋体" w:cs="Times New Roman"/>
      <w:b/>
      <w:bCs/>
      <w:snapToGrid w:val="0"/>
      <w:kern w:val="28"/>
      <w:sz w:val="32"/>
      <w:szCs w:val="32"/>
    </w:rPr>
  </w:style>
  <w:style w:type="character" w:customStyle="1" w:styleId="206">
    <w:name w:val="font61"/>
    <w:basedOn w:val="69"/>
    <w:qFormat/>
    <w:uiPriority w:val="0"/>
    <w:rPr>
      <w:rFonts w:hint="eastAsia" w:ascii="仿宋" w:hAnsi="仿宋" w:eastAsia="仿宋" w:cs="仿宋"/>
      <w:color w:val="000000"/>
      <w:sz w:val="20"/>
      <w:szCs w:val="20"/>
      <w:u w:val="none"/>
    </w:rPr>
  </w:style>
  <w:style w:type="character" w:customStyle="1" w:styleId="207">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08">
    <w:name w:val="Char Char211"/>
    <w:qFormat/>
    <w:uiPriority w:val="0"/>
    <w:rPr>
      <w:rFonts w:eastAsia="宋体"/>
      <w:b/>
      <w:bCs/>
      <w:kern w:val="2"/>
      <w:sz w:val="21"/>
      <w:szCs w:val="24"/>
      <w:lang w:val="en-US" w:eastAsia="zh-CN" w:bidi="ar-SA"/>
    </w:rPr>
  </w:style>
  <w:style w:type="character" w:customStyle="1" w:styleId="209">
    <w:name w:val="标题 2 Char"/>
    <w:qFormat/>
    <w:uiPriority w:val="0"/>
    <w:rPr>
      <w:rFonts w:ascii="Arial" w:hAnsi="Arial" w:eastAsia="黑体"/>
      <w:b/>
      <w:kern w:val="2"/>
      <w:sz w:val="32"/>
      <w:lang w:val="en-US" w:eastAsia="zh-CN"/>
    </w:rPr>
  </w:style>
  <w:style w:type="character" w:customStyle="1" w:styleId="210">
    <w:name w:val="maywed421"/>
    <w:qFormat/>
    <w:uiPriority w:val="0"/>
    <w:rPr>
      <w:color w:val="366FB6"/>
      <w:u w:val="none"/>
    </w:rPr>
  </w:style>
  <w:style w:type="character" w:customStyle="1" w:styleId="211">
    <w:name w:val="正文文本缩进 Char"/>
    <w:qFormat/>
    <w:uiPriority w:val="0"/>
    <w:rPr>
      <w:rFonts w:ascii="宋体" w:hAnsi="宋体"/>
      <w:kern w:val="2"/>
      <w:sz w:val="24"/>
      <w:szCs w:val="24"/>
    </w:rPr>
  </w:style>
  <w:style w:type="character" w:customStyle="1" w:styleId="212">
    <w:name w:val="Char Char102"/>
    <w:semiHidden/>
    <w:qFormat/>
    <w:uiPriority w:val="0"/>
    <w:rPr>
      <w:rFonts w:ascii="宋体" w:hAnsi="宋体"/>
      <w:kern w:val="2"/>
      <w:sz w:val="21"/>
      <w:szCs w:val="24"/>
      <w:lang w:val="en-US" w:eastAsia="zh-CN"/>
    </w:rPr>
  </w:style>
  <w:style w:type="character" w:customStyle="1" w:styleId="213">
    <w:name w:val="页眉 Char1"/>
    <w:qFormat/>
    <w:uiPriority w:val="0"/>
    <w:rPr>
      <w:rFonts w:eastAsia="宋体"/>
      <w:kern w:val="2"/>
      <w:sz w:val="18"/>
      <w:szCs w:val="18"/>
      <w:lang w:val="en-US" w:eastAsia="zh-CN" w:bidi="ar-SA"/>
    </w:rPr>
  </w:style>
  <w:style w:type="character" w:customStyle="1" w:styleId="214">
    <w:name w:val="md"/>
    <w:basedOn w:val="69"/>
    <w:qFormat/>
    <w:uiPriority w:val="0"/>
    <w:rPr>
      <w:rFonts w:ascii="Arial" w:hAnsi="Arial" w:eastAsia="黑体" w:cs="Arial"/>
      <w:snapToGrid w:val="0"/>
      <w:kern w:val="0"/>
      <w:szCs w:val="21"/>
    </w:rPr>
  </w:style>
  <w:style w:type="character" w:customStyle="1" w:styleId="215">
    <w:name w:val="big1"/>
    <w:qFormat/>
    <w:uiPriority w:val="0"/>
    <w:rPr>
      <w:rFonts w:hint="eastAsia" w:ascii="宋体" w:hAnsi="宋体" w:eastAsia="宋体"/>
      <w:color w:val="333333"/>
      <w:sz w:val="22"/>
      <w:szCs w:val="22"/>
    </w:rPr>
  </w:style>
  <w:style w:type="character" w:customStyle="1" w:styleId="216">
    <w:name w:val="Char Char311"/>
    <w:qFormat/>
    <w:uiPriority w:val="0"/>
    <w:rPr>
      <w:rFonts w:eastAsia="宋体"/>
      <w:kern w:val="2"/>
      <w:sz w:val="21"/>
      <w:szCs w:val="24"/>
      <w:lang w:val="en-US" w:eastAsia="zh-CN" w:bidi="ar-SA"/>
    </w:rPr>
  </w:style>
  <w:style w:type="character" w:customStyle="1" w:styleId="217">
    <w:name w:val="Char Char81"/>
    <w:qFormat/>
    <w:uiPriority w:val="6"/>
    <w:rPr>
      <w:rFonts w:eastAsia="宋体"/>
      <w:b/>
      <w:sz w:val="24"/>
      <w:lang w:val="en-GB" w:eastAsia="zh-CN"/>
    </w:rPr>
  </w:style>
  <w:style w:type="character" w:customStyle="1" w:styleId="218">
    <w:name w:val="样式3 Char"/>
    <w:basedOn w:val="169"/>
    <w:qFormat/>
    <w:uiPriority w:val="0"/>
    <w:rPr>
      <w:rFonts w:ascii="仿宋_GB2312" w:hAnsi="仿宋" w:eastAsia="仿宋_GB2312" w:cs="仿宋_GB2312"/>
      <w:sz w:val="32"/>
      <w:szCs w:val="30"/>
      <w:lang w:val="zh-CN"/>
    </w:rPr>
  </w:style>
  <w:style w:type="character" w:customStyle="1" w:styleId="219">
    <w:name w:val="HTML 地址 Char"/>
    <w:link w:val="29"/>
    <w:qFormat/>
    <w:uiPriority w:val="0"/>
    <w:rPr>
      <w:rFonts w:ascii="宋体" w:hAnsi="宋体"/>
      <w:i/>
      <w:iCs/>
      <w:sz w:val="24"/>
      <w:szCs w:val="24"/>
    </w:rPr>
  </w:style>
  <w:style w:type="character" w:customStyle="1" w:styleId="220">
    <w:name w:val="正文首行缩进 2 Char1"/>
    <w:qFormat/>
    <w:uiPriority w:val="0"/>
    <w:rPr>
      <w:rFonts w:ascii="Times New Roman" w:hAnsi="Times New Roman" w:eastAsia="宋体" w:cs="Times New Roman"/>
      <w:kern w:val="2"/>
      <w:sz w:val="24"/>
      <w:szCs w:val="24"/>
    </w:rPr>
  </w:style>
  <w:style w:type="character" w:customStyle="1" w:styleId="221">
    <w:name w:val="副标题 Char2"/>
    <w:qFormat/>
    <w:uiPriority w:val="0"/>
    <w:rPr>
      <w:rFonts w:ascii="Cambria" w:hAnsi="Cambria" w:eastAsia="宋体" w:cs="Times New Roman"/>
      <w:b/>
      <w:bCs/>
      <w:snapToGrid w:val="0"/>
      <w:kern w:val="28"/>
      <w:sz w:val="32"/>
      <w:szCs w:val="32"/>
    </w:rPr>
  </w:style>
  <w:style w:type="character" w:customStyle="1" w:styleId="222">
    <w:name w:val="标题4-dyf Char"/>
    <w:link w:val="223"/>
    <w:qFormat/>
    <w:uiPriority w:val="0"/>
    <w:rPr>
      <w:rFonts w:ascii="Cambria" w:hAnsi="Cambria"/>
      <w:b/>
      <w:bCs/>
      <w:color w:val="000000"/>
      <w:kern w:val="2"/>
      <w:sz w:val="21"/>
      <w:szCs w:val="21"/>
    </w:rPr>
  </w:style>
  <w:style w:type="paragraph" w:customStyle="1" w:styleId="223">
    <w:name w:val="标题4-dyf"/>
    <w:basedOn w:val="6"/>
    <w:link w:val="222"/>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4">
    <w:name w:val="dectext1"/>
    <w:qFormat/>
    <w:uiPriority w:val="0"/>
    <w:rPr>
      <w:rFonts w:ascii="宋体" w:hAnsi="宋体" w:eastAsia="宋体"/>
      <w:color w:val="333333"/>
      <w:sz w:val="21"/>
      <w:szCs w:val="21"/>
      <w:u w:val="none"/>
    </w:rPr>
  </w:style>
  <w:style w:type="character" w:customStyle="1" w:styleId="225">
    <w:name w:val="冯 Char"/>
    <w:link w:val="226"/>
    <w:qFormat/>
    <w:uiPriority w:val="0"/>
    <w:rPr>
      <w:rFonts w:ascii="宋体" w:hAnsi="宋体"/>
      <w:color w:val="000000"/>
      <w:sz w:val="24"/>
      <w:szCs w:val="24"/>
    </w:rPr>
  </w:style>
  <w:style w:type="paragraph" w:customStyle="1" w:styleId="226">
    <w:name w:val="冯"/>
    <w:basedOn w:val="1"/>
    <w:link w:val="225"/>
    <w:qFormat/>
    <w:uiPriority w:val="0"/>
    <w:pPr>
      <w:widowControl/>
      <w:adjustRightInd/>
      <w:spacing w:line="360" w:lineRule="auto"/>
      <w:ind w:firstLine="480" w:firstLineChars="200"/>
    </w:pPr>
    <w:rPr>
      <w:rFonts w:ascii="宋体" w:hAnsi="宋体"/>
      <w:color w:val="000000"/>
      <w:kern w:val="0"/>
      <w:sz w:val="24"/>
    </w:rPr>
  </w:style>
  <w:style w:type="character" w:customStyle="1" w:styleId="227">
    <w:name w:val="Header Char"/>
    <w:qFormat/>
    <w:locked/>
    <w:uiPriority w:val="0"/>
    <w:rPr>
      <w:rFonts w:eastAsia="宋体"/>
      <w:kern w:val="2"/>
      <w:sz w:val="18"/>
      <w:szCs w:val="18"/>
      <w:lang w:val="en-US" w:eastAsia="zh-CN" w:bidi="ar-SA"/>
    </w:rPr>
  </w:style>
  <w:style w:type="character" w:customStyle="1" w:styleId="228">
    <w:name w:val="Char Char12"/>
    <w:qFormat/>
    <w:uiPriority w:val="0"/>
    <w:rPr>
      <w:rFonts w:ascii="仿宋_GB2312" w:eastAsia="仿宋_GB2312"/>
      <w:b/>
      <w:bCs/>
      <w:kern w:val="2"/>
      <w:sz w:val="24"/>
      <w:szCs w:val="24"/>
      <w:lang w:val="zh-CN" w:eastAsia="zh-CN" w:bidi="ar-SA"/>
    </w:rPr>
  </w:style>
  <w:style w:type="character" w:customStyle="1" w:styleId="229">
    <w:name w:val="题注 Char"/>
    <w:link w:val="16"/>
    <w:qFormat/>
    <w:uiPriority w:val="0"/>
    <w:rPr>
      <w:b/>
      <w:kern w:val="2"/>
      <w:sz w:val="28"/>
    </w:rPr>
  </w:style>
  <w:style w:type="character" w:customStyle="1" w:styleId="230">
    <w:name w:val="普通文字 Char3"/>
    <w:qFormat/>
    <w:uiPriority w:val="0"/>
    <w:rPr>
      <w:rFonts w:ascii="宋体" w:hAnsi="Courier New" w:eastAsia="宋体"/>
      <w:kern w:val="2"/>
      <w:sz w:val="21"/>
      <w:lang w:val="en-US" w:eastAsia="zh-CN" w:bidi="ar-SA"/>
    </w:rPr>
  </w:style>
  <w:style w:type="character" w:customStyle="1" w:styleId="231">
    <w:name w:val="公文正文 Char"/>
    <w:qFormat/>
    <w:uiPriority w:val="0"/>
    <w:rPr>
      <w:rFonts w:ascii="仿宋_GB2312" w:eastAsia="仿宋_GB2312"/>
      <w:kern w:val="2"/>
      <w:sz w:val="24"/>
      <w:szCs w:val="24"/>
      <w:lang w:val="en-US" w:eastAsia="zh-CN" w:bidi="ar-SA"/>
    </w:rPr>
  </w:style>
  <w:style w:type="character" w:customStyle="1" w:styleId="232">
    <w:name w:val="正文首行缩进 Char Char Char Char Char"/>
    <w:qFormat/>
    <w:uiPriority w:val="0"/>
    <w:rPr>
      <w:rFonts w:ascii="宋体"/>
      <w:kern w:val="2"/>
      <w:sz w:val="24"/>
      <w:lang w:val="zh-CN"/>
    </w:rPr>
  </w:style>
  <w:style w:type="character" w:customStyle="1" w:styleId="233">
    <w:name w:val="PI Char"/>
    <w:qFormat/>
    <w:uiPriority w:val="0"/>
    <w:rPr>
      <w:rFonts w:ascii="宋体" w:hAnsi="宋体" w:eastAsia="宋体"/>
      <w:kern w:val="2"/>
      <w:sz w:val="24"/>
      <w:szCs w:val="24"/>
      <w:lang w:val="en-US" w:eastAsia="zh-CN" w:bidi="ar-SA"/>
    </w:rPr>
  </w:style>
  <w:style w:type="character" w:customStyle="1" w:styleId="234">
    <w:name w:val="Default Char"/>
    <w:link w:val="235"/>
    <w:qFormat/>
    <w:uiPriority w:val="0"/>
    <w:rPr>
      <w:rFonts w:ascii="仿宋_GB2312" w:eastAsia="仿宋_GB2312" w:cs="仿宋_GB2312"/>
      <w:color w:val="000000"/>
      <w:sz w:val="24"/>
      <w:szCs w:val="24"/>
      <w:lang w:val="en-US" w:eastAsia="zh-CN" w:bidi="ar-SA"/>
    </w:rPr>
  </w:style>
  <w:style w:type="paragraph" w:customStyle="1" w:styleId="235">
    <w:name w:val="Default"/>
    <w:next w:val="1"/>
    <w:link w:val="23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36">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237">
    <w:name w:val="目录 71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238">
    <w:name w:val="style91"/>
    <w:qFormat/>
    <w:uiPriority w:val="0"/>
    <w:rPr>
      <w:color w:val="333333"/>
    </w:rPr>
  </w:style>
  <w:style w:type="character" w:customStyle="1" w:styleId="239">
    <w:name w:val="列出段落 Char2"/>
    <w:qFormat/>
    <w:uiPriority w:val="34"/>
    <w:rPr>
      <w:rFonts w:ascii="Calibri" w:hAnsi="Calibri"/>
      <w:kern w:val="2"/>
      <w:sz w:val="28"/>
    </w:rPr>
  </w:style>
  <w:style w:type="character" w:customStyle="1" w:styleId="240">
    <w:name w:val="mdeck"/>
    <w:qFormat/>
    <w:uiPriority w:val="0"/>
    <w:rPr>
      <w:rFonts w:ascii="仿宋_GB2312" w:eastAsia="微软雅黑"/>
      <w:b/>
      <w:kern w:val="2"/>
      <w:sz w:val="32"/>
      <w:szCs w:val="32"/>
      <w:lang w:val="en-US" w:eastAsia="zh-CN" w:bidi="ar-SA"/>
    </w:rPr>
  </w:style>
  <w:style w:type="character" w:customStyle="1" w:styleId="241">
    <w:name w:val="unnamed11"/>
    <w:qFormat/>
    <w:uiPriority w:val="0"/>
    <w:rPr>
      <w:sz w:val="20"/>
      <w:szCs w:val="20"/>
    </w:rPr>
  </w:style>
  <w:style w:type="character" w:customStyle="1" w:styleId="242">
    <w:name w:val="正文文本 Char2"/>
    <w:semiHidden/>
    <w:qFormat/>
    <w:uiPriority w:val="99"/>
    <w:rPr>
      <w:rFonts w:ascii="Times New Roman" w:hAnsi="Times New Roman" w:eastAsia="宋体" w:cs="Times New Roman"/>
      <w:snapToGrid w:val="0"/>
      <w:kern w:val="0"/>
      <w:szCs w:val="24"/>
    </w:rPr>
  </w:style>
  <w:style w:type="character" w:customStyle="1" w:styleId="243">
    <w:name w:val="标书正文格式 Char"/>
    <w:qFormat/>
    <w:uiPriority w:val="0"/>
    <w:rPr>
      <w:rFonts w:eastAsia="楷体_GB2312"/>
      <w:kern w:val="2"/>
      <w:sz w:val="24"/>
      <w:szCs w:val="24"/>
      <w:lang w:bidi="ar-SA"/>
    </w:rPr>
  </w:style>
  <w:style w:type="character" w:customStyle="1" w:styleId="244">
    <w:name w:val="Char Char11"/>
    <w:qFormat/>
    <w:locked/>
    <w:uiPriority w:val="0"/>
    <w:rPr>
      <w:rFonts w:ascii="宋体" w:hAnsi="宋体" w:eastAsia="宋体"/>
      <w:b/>
      <w:kern w:val="2"/>
      <w:sz w:val="24"/>
      <w:szCs w:val="24"/>
      <w:lang w:val="en-US" w:eastAsia="zh-CN" w:bidi="ar-SA"/>
    </w:rPr>
  </w:style>
  <w:style w:type="character" w:customStyle="1" w:styleId="245">
    <w:name w:val="ca-131"/>
    <w:qFormat/>
    <w:uiPriority w:val="0"/>
    <w:rPr>
      <w:rFonts w:hint="eastAsia" w:ascii="仿宋_GB2312" w:eastAsia="仿宋_GB2312"/>
      <w:b/>
      <w:bCs/>
      <w:color w:val="000000"/>
      <w:spacing w:val="-20"/>
      <w:sz w:val="24"/>
      <w:szCs w:val="24"/>
    </w:rPr>
  </w:style>
  <w:style w:type="character" w:customStyle="1" w:styleId="246">
    <w:name w:val="tw4winMark"/>
    <w:qFormat/>
    <w:uiPriority w:val="0"/>
    <w:rPr>
      <w:rFonts w:ascii="Courier New" w:hAnsi="Courier New" w:cs="Courier New"/>
      <w:vanish/>
      <w:color w:val="800080"/>
      <w:sz w:val="24"/>
      <w:szCs w:val="24"/>
      <w:vertAlign w:val="subscript"/>
    </w:rPr>
  </w:style>
  <w:style w:type="character" w:customStyle="1" w:styleId="247">
    <w:name w:val="正文样式 Char"/>
    <w:link w:val="248"/>
    <w:qFormat/>
    <w:uiPriority w:val="0"/>
    <w:rPr>
      <w:rFonts w:ascii="Calibri" w:hAnsi="Calibri"/>
      <w:sz w:val="24"/>
      <w:szCs w:val="24"/>
    </w:rPr>
  </w:style>
  <w:style w:type="paragraph" w:customStyle="1" w:styleId="248">
    <w:name w:val="正文样式"/>
    <w:basedOn w:val="1"/>
    <w:link w:val="247"/>
    <w:qFormat/>
    <w:uiPriority w:val="0"/>
    <w:pPr>
      <w:adjustRightInd/>
      <w:spacing w:line="360" w:lineRule="auto"/>
      <w:ind w:firstLine="480" w:firstLineChars="200"/>
    </w:pPr>
    <w:rPr>
      <w:kern w:val="0"/>
      <w:sz w:val="24"/>
    </w:rPr>
  </w:style>
  <w:style w:type="character" w:customStyle="1" w:styleId="249">
    <w:name w:val="表正文 Char3"/>
    <w:qFormat/>
    <w:uiPriority w:val="0"/>
    <w:rPr>
      <w:rFonts w:eastAsia="宋体"/>
    </w:rPr>
  </w:style>
  <w:style w:type="character" w:customStyle="1" w:styleId="250">
    <w:name w:val="H5 Char"/>
    <w:qFormat/>
    <w:uiPriority w:val="0"/>
    <w:rPr>
      <w:b/>
      <w:bCs/>
      <w:kern w:val="2"/>
      <w:sz w:val="28"/>
      <w:szCs w:val="28"/>
    </w:rPr>
  </w:style>
  <w:style w:type="character" w:customStyle="1" w:styleId="251">
    <w:name w:val="Char Char3"/>
    <w:qFormat/>
    <w:uiPriority w:val="0"/>
    <w:rPr>
      <w:rFonts w:eastAsia="宋体"/>
      <w:kern w:val="2"/>
      <w:sz w:val="21"/>
      <w:szCs w:val="24"/>
      <w:lang w:val="en-US" w:eastAsia="zh-CN" w:bidi="ar-SA"/>
    </w:rPr>
  </w:style>
  <w:style w:type="character" w:customStyle="1" w:styleId="252">
    <w:name w:val="正文 编号 Char"/>
    <w:qFormat/>
    <w:uiPriority w:val="0"/>
    <w:rPr>
      <w:rFonts w:ascii="仿宋_GB2312" w:hAnsi="仿宋_GB2312" w:eastAsia="仿宋_GB2312"/>
      <w:kern w:val="2"/>
      <w:sz w:val="24"/>
      <w:lang w:bidi="ar-SA"/>
    </w:rPr>
  </w:style>
  <w:style w:type="character" w:customStyle="1" w:styleId="253">
    <w:name w:val="question-title2"/>
    <w:qFormat/>
    <w:uiPriority w:val="6"/>
    <w:rPr>
      <w:rFonts w:ascii="Arial" w:hAnsi="Arial" w:eastAsia="黑体" w:cs="Arial"/>
      <w:snapToGrid w:val="0"/>
      <w:kern w:val="0"/>
      <w:szCs w:val="21"/>
    </w:rPr>
  </w:style>
  <w:style w:type="character" w:customStyle="1" w:styleId="254">
    <w:name w:val="gf正文1 Char Char"/>
    <w:link w:val="255"/>
    <w:qFormat/>
    <w:uiPriority w:val="0"/>
    <w:rPr>
      <w:rFonts w:ascii="宋体" w:hAnsi="宋体" w:cs="宋体"/>
      <w:kern w:val="2"/>
      <w:sz w:val="24"/>
      <w:szCs w:val="24"/>
    </w:rPr>
  </w:style>
  <w:style w:type="paragraph" w:customStyle="1" w:styleId="255">
    <w:name w:val="gf正文1"/>
    <w:basedOn w:val="1"/>
    <w:link w:val="254"/>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6">
    <w:name w:val="Char Char15"/>
    <w:qFormat/>
    <w:uiPriority w:val="6"/>
    <w:rPr>
      <w:rFonts w:ascii="宋体" w:hAnsi="宋体"/>
      <w:kern w:val="1"/>
      <w:sz w:val="21"/>
    </w:rPr>
  </w:style>
  <w:style w:type="character" w:customStyle="1" w:styleId="257">
    <w:name w:val="正文缩进 Char3"/>
    <w:qFormat/>
    <w:uiPriority w:val="0"/>
    <w:rPr>
      <w:rFonts w:ascii="宋体" w:eastAsia="宋体"/>
      <w:snapToGrid w:val="0"/>
      <w:color w:val="000000"/>
      <w:kern w:val="28"/>
      <w:sz w:val="28"/>
      <w:lang w:val="en-US" w:eastAsia="zh-CN" w:bidi="ar-SA"/>
    </w:rPr>
  </w:style>
  <w:style w:type="character" w:customStyle="1" w:styleId="258">
    <w:name w:val="列出段落 Char1"/>
    <w:link w:val="259"/>
    <w:qFormat/>
    <w:uiPriority w:val="0"/>
    <w:rPr>
      <w:rFonts w:ascii="Calibri" w:hAnsi="Calibri"/>
      <w:sz w:val="24"/>
      <w:lang w:eastAsia="en-US"/>
    </w:rPr>
  </w:style>
  <w:style w:type="paragraph" w:customStyle="1" w:styleId="259">
    <w:name w:val="列表1"/>
    <w:basedOn w:val="1"/>
    <w:next w:val="260"/>
    <w:link w:val="258"/>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60">
    <w:name w:val="列出段落1"/>
    <w:basedOn w:val="1"/>
    <w:qFormat/>
    <w:uiPriority w:val="34"/>
    <w:pPr>
      <w:spacing w:line="360" w:lineRule="auto"/>
      <w:ind w:firstLine="200" w:firstLineChars="200"/>
    </w:pPr>
    <w:rPr>
      <w:rFonts w:eastAsia="楷体_GB2312" w:cs="Lucida Sans"/>
      <w:sz w:val="24"/>
    </w:rPr>
  </w:style>
  <w:style w:type="character" w:customStyle="1" w:styleId="261">
    <w:name w:val="Char Char8"/>
    <w:qFormat/>
    <w:uiPriority w:val="0"/>
    <w:rPr>
      <w:rFonts w:eastAsia="宋体"/>
      <w:b/>
      <w:sz w:val="24"/>
      <w:lang w:val="en-GB" w:eastAsia="zh-CN"/>
    </w:rPr>
  </w:style>
  <w:style w:type="character" w:customStyle="1" w:styleId="262">
    <w:name w:val="Normal Indent Char Char"/>
    <w:qFormat/>
    <w:uiPriority w:val="0"/>
    <w:rPr>
      <w:rFonts w:eastAsia="宋体"/>
      <w:kern w:val="2"/>
      <w:sz w:val="21"/>
      <w:lang w:val="en-US" w:eastAsia="zh-CN" w:bidi="ar-SA"/>
    </w:rPr>
  </w:style>
  <w:style w:type="character" w:customStyle="1" w:styleId="263">
    <w:name w:val="列表段落 字符"/>
    <w:qFormat/>
    <w:uiPriority w:val="99"/>
  </w:style>
  <w:style w:type="character" w:customStyle="1" w:styleId="264">
    <w:name w:val="Ò³Ã¼ Char Char1"/>
    <w:qFormat/>
    <w:uiPriority w:val="0"/>
    <w:rPr>
      <w:rFonts w:eastAsia="宋体"/>
      <w:kern w:val="2"/>
      <w:sz w:val="18"/>
      <w:szCs w:val="18"/>
      <w:lang w:val="en-US" w:eastAsia="zh-CN" w:bidi="ar-SA"/>
    </w:rPr>
  </w:style>
  <w:style w:type="character" w:customStyle="1" w:styleId="265">
    <w:name w:val="方案正文 Char"/>
    <w:qFormat/>
    <w:uiPriority w:val="0"/>
    <w:rPr>
      <w:rFonts w:ascii="仿宋_GB2312" w:eastAsia="仿宋_GB2312"/>
      <w:b/>
      <w:color w:val="000000"/>
      <w:kern w:val="2"/>
      <w:sz w:val="24"/>
      <w:lang w:val="en-US" w:eastAsia="zh-CN" w:bidi="ar-SA"/>
    </w:rPr>
  </w:style>
  <w:style w:type="character" w:customStyle="1" w:styleId="266">
    <w:name w:val="Char Char30"/>
    <w:qFormat/>
    <w:uiPriority w:val="6"/>
    <w:rPr>
      <w:rFonts w:ascii="Arial" w:hAnsi="Arial" w:eastAsia="黑体"/>
      <w:kern w:val="1"/>
      <w:sz w:val="21"/>
      <w:szCs w:val="21"/>
    </w:rPr>
  </w:style>
  <w:style w:type="character" w:customStyle="1" w:styleId="267">
    <w:name w:val="正文文本缩进 Char3"/>
    <w:link w:val="24"/>
    <w:qFormat/>
    <w:uiPriority w:val="0"/>
    <w:rPr>
      <w:rFonts w:ascii="宋体" w:hAnsi="宋体"/>
      <w:kern w:val="2"/>
      <w:sz w:val="24"/>
      <w:szCs w:val="24"/>
    </w:rPr>
  </w:style>
  <w:style w:type="character" w:customStyle="1" w:styleId="268">
    <w:name w:val="font01"/>
    <w:qFormat/>
    <w:uiPriority w:val="0"/>
    <w:rPr>
      <w:rFonts w:hint="eastAsia" w:ascii="微软雅黑" w:hAnsi="微软雅黑" w:eastAsia="微软雅黑" w:cs="微软雅黑"/>
      <w:color w:val="000000"/>
      <w:sz w:val="20"/>
      <w:szCs w:val="20"/>
      <w:u w:val="none"/>
    </w:rPr>
  </w:style>
  <w:style w:type="character" w:customStyle="1" w:styleId="269">
    <w:name w:val="Char Char20"/>
    <w:qFormat/>
    <w:uiPriority w:val="6"/>
    <w:rPr>
      <w:kern w:val="1"/>
      <w:sz w:val="24"/>
    </w:rPr>
  </w:style>
  <w:style w:type="character" w:customStyle="1" w:styleId="270">
    <w:name w:val="tw4winExternal"/>
    <w:qFormat/>
    <w:uiPriority w:val="0"/>
    <w:rPr>
      <w:rFonts w:ascii="Courier New" w:hAnsi="Courier New" w:cs="Courier New"/>
      <w:color w:val="808080"/>
      <w:lang w:val="en-US" w:eastAsia="zh-CN"/>
    </w:rPr>
  </w:style>
  <w:style w:type="character" w:customStyle="1" w:styleId="271">
    <w:name w:val="标题 4 Char1"/>
    <w:qFormat/>
    <w:uiPriority w:val="9"/>
    <w:rPr>
      <w:rFonts w:ascii="Cambria" w:hAnsi="Cambria" w:eastAsia="宋体" w:cs="Times New Roman"/>
      <w:b/>
      <w:bCs/>
      <w:kern w:val="2"/>
      <w:sz w:val="28"/>
      <w:szCs w:val="28"/>
    </w:rPr>
  </w:style>
  <w:style w:type="character" w:customStyle="1" w:styleId="272">
    <w:name w:val="批注文字 Char2"/>
    <w:qFormat/>
    <w:uiPriority w:val="99"/>
    <w:rPr>
      <w:rFonts w:ascii="Times New Roman" w:hAnsi="Times New Roman" w:eastAsia="宋体" w:cs="Times New Roman"/>
      <w:snapToGrid w:val="0"/>
      <w:kern w:val="0"/>
      <w:szCs w:val="24"/>
    </w:rPr>
  </w:style>
  <w:style w:type="character" w:customStyle="1" w:styleId="273">
    <w:name w:val="正文文本 2 Char"/>
    <w:qFormat/>
    <w:uiPriority w:val="0"/>
    <w:rPr>
      <w:rFonts w:eastAsia="宋体"/>
      <w:kern w:val="2"/>
      <w:sz w:val="21"/>
      <w:szCs w:val="24"/>
      <w:lang w:val="en-US" w:eastAsia="zh-CN" w:bidi="ar-SA"/>
    </w:rPr>
  </w:style>
  <w:style w:type="character" w:customStyle="1" w:styleId="274">
    <w:name w:val="Ò³Ã¼ Char Char"/>
    <w:qFormat/>
    <w:uiPriority w:val="0"/>
    <w:rPr>
      <w:rFonts w:eastAsia="宋体"/>
      <w:kern w:val="2"/>
      <w:sz w:val="18"/>
      <w:lang w:val="en-US" w:eastAsia="zh-CN" w:bidi="ar-SA"/>
    </w:rPr>
  </w:style>
  <w:style w:type="character" w:customStyle="1" w:styleId="275">
    <w:name w:val="message1"/>
    <w:qFormat/>
    <w:uiPriority w:val="0"/>
    <w:rPr>
      <w:rFonts w:hint="default" w:ascii="Tahoma" w:hAnsi="Tahoma" w:cs="Tahoma"/>
      <w:sz w:val="18"/>
      <w:szCs w:val="18"/>
    </w:rPr>
  </w:style>
  <w:style w:type="character" w:customStyle="1" w:styleId="276">
    <w:name w:val="Char Char23"/>
    <w:qFormat/>
    <w:uiPriority w:val="6"/>
    <w:rPr>
      <w:color w:val="0000FF"/>
      <w:sz w:val="21"/>
    </w:rPr>
  </w:style>
  <w:style w:type="character" w:customStyle="1" w:styleId="277">
    <w:name w:val="批注框文本 字符"/>
    <w:qFormat/>
    <w:uiPriority w:val="0"/>
    <w:rPr>
      <w:rFonts w:ascii="Arial" w:hAnsi="Arial" w:eastAsia="黑体" w:cs="Arial"/>
      <w:snapToGrid w:val="0"/>
      <w:kern w:val="0"/>
      <w:sz w:val="18"/>
      <w:szCs w:val="18"/>
    </w:rPr>
  </w:style>
  <w:style w:type="character" w:customStyle="1" w:styleId="278">
    <w:name w:val="纯文本 Char2"/>
    <w:semiHidden/>
    <w:qFormat/>
    <w:uiPriority w:val="99"/>
    <w:rPr>
      <w:rFonts w:ascii="宋体" w:hAnsi="Courier New" w:eastAsia="宋体" w:cs="Courier New"/>
    </w:rPr>
  </w:style>
  <w:style w:type="character" w:customStyle="1" w:styleId="279">
    <w:name w:val="Char Char25"/>
    <w:qFormat/>
    <w:uiPriority w:val="6"/>
    <w:rPr>
      <w:rFonts w:ascii="宋体" w:hAnsi="宋体"/>
      <w:kern w:val="1"/>
      <w:sz w:val="24"/>
      <w:lang w:val="zh-CN"/>
    </w:rPr>
  </w:style>
  <w:style w:type="character" w:customStyle="1" w:styleId="280">
    <w:name w:val="Char Char411"/>
    <w:qFormat/>
    <w:uiPriority w:val="0"/>
    <w:rPr>
      <w:rFonts w:eastAsia="宋体"/>
      <w:b/>
      <w:sz w:val="24"/>
      <w:lang w:val="en-GB" w:eastAsia="zh-CN" w:bidi="ar-SA"/>
    </w:rPr>
  </w:style>
  <w:style w:type="character" w:customStyle="1" w:styleId="281">
    <w:name w:val="Heading 7 Char"/>
    <w:qFormat/>
    <w:locked/>
    <w:uiPriority w:val="0"/>
    <w:rPr>
      <w:rFonts w:ascii="宋体" w:hAnsi="宋体" w:eastAsia="宋体"/>
      <w:b/>
      <w:bCs/>
      <w:kern w:val="2"/>
      <w:sz w:val="24"/>
      <w:szCs w:val="24"/>
      <w:lang w:val="en-US" w:eastAsia="zh-CN" w:bidi="ar-SA"/>
    </w:rPr>
  </w:style>
  <w:style w:type="character" w:customStyle="1" w:styleId="282">
    <w:name w:val="此正文 Char"/>
    <w:link w:val="283"/>
    <w:qFormat/>
    <w:uiPriority w:val="0"/>
    <w:rPr>
      <w:kern w:val="2"/>
      <w:sz w:val="24"/>
      <w:szCs w:val="24"/>
    </w:rPr>
  </w:style>
  <w:style w:type="paragraph" w:customStyle="1" w:styleId="283">
    <w:name w:val="此正文"/>
    <w:basedOn w:val="1"/>
    <w:link w:val="282"/>
    <w:qFormat/>
    <w:uiPriority w:val="0"/>
    <w:pPr>
      <w:adjustRightInd/>
      <w:spacing w:line="360" w:lineRule="auto"/>
      <w:ind w:firstLine="200" w:firstLineChars="200"/>
    </w:pPr>
    <w:rPr>
      <w:sz w:val="24"/>
    </w:rPr>
  </w:style>
  <w:style w:type="character" w:customStyle="1" w:styleId="284">
    <w:name w:val="Char Char2"/>
    <w:qFormat/>
    <w:uiPriority w:val="0"/>
    <w:rPr>
      <w:rFonts w:eastAsia="宋体"/>
      <w:b/>
      <w:bCs/>
      <w:kern w:val="2"/>
      <w:sz w:val="21"/>
      <w:szCs w:val="24"/>
      <w:lang w:val="en-US" w:eastAsia="zh-CN" w:bidi="ar-SA"/>
    </w:rPr>
  </w:style>
  <w:style w:type="character" w:customStyle="1" w:styleId="285">
    <w:name w:val="标题 1 Char"/>
    <w:link w:val="2"/>
    <w:qFormat/>
    <w:uiPriority w:val="9"/>
    <w:rPr>
      <w:b/>
      <w:bCs/>
      <w:kern w:val="44"/>
      <w:sz w:val="44"/>
      <w:szCs w:val="44"/>
    </w:rPr>
  </w:style>
  <w:style w:type="character" w:customStyle="1" w:styleId="286">
    <w:name w:val="Footer-Even Char1"/>
    <w:qFormat/>
    <w:uiPriority w:val="0"/>
    <w:rPr>
      <w:rFonts w:eastAsia="宋体"/>
      <w:kern w:val="2"/>
      <w:sz w:val="18"/>
      <w:szCs w:val="18"/>
      <w:lang w:val="en-US" w:eastAsia="zh-CN" w:bidi="ar-SA"/>
    </w:rPr>
  </w:style>
  <w:style w:type="character" w:customStyle="1" w:styleId="287">
    <w:name w:val="Char Char29"/>
    <w:qFormat/>
    <w:uiPriority w:val="6"/>
    <w:rPr>
      <w:rFonts w:ascii="Arial" w:hAnsi="Arial" w:eastAsia="微软雅黑"/>
      <w:b/>
      <w:kern w:val="1"/>
      <w:sz w:val="44"/>
      <w:szCs w:val="32"/>
      <w:lang w:val="en-US" w:eastAsia="zh-CN" w:bidi="ar-SA"/>
    </w:rPr>
  </w:style>
  <w:style w:type="character" w:customStyle="1" w:styleId="288">
    <w:name w:val="标题 Char2"/>
    <w:link w:val="58"/>
    <w:qFormat/>
    <w:uiPriority w:val="10"/>
    <w:rPr>
      <w:b/>
      <w:sz w:val="24"/>
      <w:lang w:val="en-GB"/>
    </w:rPr>
  </w:style>
  <w:style w:type="character" w:customStyle="1" w:styleId="289">
    <w:name w:val="font81"/>
    <w:basedOn w:val="69"/>
    <w:qFormat/>
    <w:uiPriority w:val="0"/>
    <w:rPr>
      <w:rFonts w:ascii="微软雅黑" w:hAnsi="微软雅黑" w:eastAsia="微软雅黑" w:cs="微软雅黑"/>
      <w:color w:val="000000"/>
      <w:sz w:val="20"/>
      <w:szCs w:val="20"/>
      <w:u w:val="none"/>
    </w:rPr>
  </w:style>
  <w:style w:type="character" w:customStyle="1" w:styleId="290">
    <w:name w:val="Char Char312"/>
    <w:qFormat/>
    <w:uiPriority w:val="0"/>
    <w:rPr>
      <w:rFonts w:ascii="Times New Roman" w:hAnsi="Times New Roman" w:eastAsia="宋体" w:cs="Times New Roman"/>
      <w:b/>
      <w:kern w:val="2"/>
      <w:sz w:val="32"/>
      <w:szCs w:val="24"/>
      <w:lang w:val="en-US" w:eastAsia="zh-CN" w:bidi="ar-SA"/>
    </w:rPr>
  </w:style>
  <w:style w:type="character" w:customStyle="1" w:styleId="291">
    <w:name w:val="t21"/>
    <w:qFormat/>
    <w:uiPriority w:val="0"/>
    <w:rPr>
      <w:rFonts w:ascii="仿宋_GB2312" w:eastAsia="微软雅黑"/>
      <w:b/>
      <w:kern w:val="2"/>
      <w:sz w:val="23"/>
      <w:szCs w:val="23"/>
      <w:lang w:val="en-US" w:eastAsia="zh-CN" w:bidi="ar-SA"/>
    </w:rPr>
  </w:style>
  <w:style w:type="character" w:customStyle="1" w:styleId="292">
    <w:name w:val="样式8 Char"/>
    <w:qFormat/>
    <w:uiPriority w:val="0"/>
    <w:rPr>
      <w:rFonts w:ascii="仿宋_GB2312" w:hAnsi="宋体" w:eastAsia="仿宋_GB2312"/>
      <w:b/>
      <w:bCs/>
      <w:kern w:val="2"/>
      <w:sz w:val="24"/>
      <w:szCs w:val="24"/>
    </w:rPr>
  </w:style>
  <w:style w:type="character" w:customStyle="1" w:styleId="293">
    <w:name w:val="表格 Char Char"/>
    <w:qFormat/>
    <w:uiPriority w:val="0"/>
    <w:rPr>
      <w:rFonts w:ascii="宋体" w:hAnsi="宋体" w:eastAsia="宋体"/>
      <w:lang w:bidi="ar-SA"/>
    </w:rPr>
  </w:style>
  <w:style w:type="character" w:customStyle="1" w:styleId="294">
    <w:name w:val="正文文本 字符1"/>
    <w:qFormat/>
    <w:uiPriority w:val="0"/>
    <w:rPr>
      <w:rFonts w:ascii="Calibri" w:hAnsi="Calibri" w:eastAsia="黑体" w:cs="Arial"/>
      <w:snapToGrid w:val="0"/>
      <w:kern w:val="2"/>
      <w:sz w:val="28"/>
      <w:szCs w:val="21"/>
    </w:rPr>
  </w:style>
  <w:style w:type="character" w:customStyle="1" w:styleId="295">
    <w:name w:val="标题 5 Char"/>
    <w:link w:val="7"/>
    <w:qFormat/>
    <w:uiPriority w:val="9"/>
    <w:rPr>
      <w:b/>
      <w:bCs/>
      <w:kern w:val="2"/>
      <w:sz w:val="28"/>
      <w:szCs w:val="28"/>
    </w:rPr>
  </w:style>
  <w:style w:type="character" w:customStyle="1" w:styleId="296">
    <w:name w:val="标题 6 Char1"/>
    <w:qFormat/>
    <w:uiPriority w:val="0"/>
    <w:rPr>
      <w:rFonts w:ascii="Arial" w:hAnsi="Arial" w:eastAsia="黑体" w:cs="Times New Roman"/>
      <w:b/>
      <w:sz w:val="24"/>
      <w:szCs w:val="20"/>
      <w:lang w:bidi="ar-SA"/>
    </w:rPr>
  </w:style>
  <w:style w:type="character" w:customStyle="1" w:styleId="297">
    <w:name w:val="带编号样式 Char"/>
    <w:qFormat/>
    <w:uiPriority w:val="0"/>
    <w:rPr>
      <w:rFonts w:ascii="仿宋_GB2312" w:eastAsia="仿宋_GB2312"/>
      <w:color w:val="000000"/>
      <w:sz w:val="24"/>
      <w:lang w:bidi="ar-SA"/>
    </w:rPr>
  </w:style>
  <w:style w:type="character" w:customStyle="1" w:styleId="298">
    <w:name w:val="unnamed31"/>
    <w:qFormat/>
    <w:uiPriority w:val="0"/>
    <w:rPr>
      <w:rFonts w:ascii="Tahoma" w:hAnsi="Tahoma" w:eastAsia="宋体"/>
      <w:b/>
      <w:kern w:val="2"/>
      <w:sz w:val="24"/>
      <w:szCs w:val="32"/>
      <w:u w:val="none"/>
      <w:lang w:val="en-US" w:eastAsia="zh-CN" w:bidi="ar-SA"/>
    </w:rPr>
  </w:style>
  <w:style w:type="character" w:customStyle="1" w:styleId="299">
    <w:name w:val="正文首行缩进 Char Char Char Char Char Char1"/>
    <w:qFormat/>
    <w:uiPriority w:val="0"/>
    <w:rPr>
      <w:rFonts w:ascii="宋体" w:eastAsia="宋体"/>
      <w:kern w:val="2"/>
      <w:sz w:val="24"/>
      <w:szCs w:val="24"/>
      <w:lang w:val="zh-CN" w:bidi="ar-SA"/>
    </w:rPr>
  </w:style>
  <w:style w:type="character" w:customStyle="1" w:styleId="300">
    <w:name w:val="称呼 Char"/>
    <w:link w:val="20"/>
    <w:qFormat/>
    <w:uiPriority w:val="0"/>
    <w:rPr>
      <w:rFonts w:ascii="仿宋_GB2312" w:eastAsia="仿宋_GB2312"/>
      <w:kern w:val="2"/>
      <w:sz w:val="28"/>
    </w:rPr>
  </w:style>
  <w:style w:type="character" w:customStyle="1" w:styleId="301">
    <w:name w:val="文本正文 Char Char"/>
    <w:qFormat/>
    <w:locked/>
    <w:uiPriority w:val="0"/>
    <w:rPr>
      <w:sz w:val="24"/>
      <w:lang w:bidi="ar-SA"/>
    </w:rPr>
  </w:style>
  <w:style w:type="character" w:customStyle="1" w:styleId="302">
    <w:name w:val="正文缩进 字符"/>
    <w:qFormat/>
    <w:uiPriority w:val="0"/>
    <w:rPr>
      <w:rFonts w:ascii="宋体" w:eastAsia="宋体"/>
      <w:snapToGrid w:val="0"/>
      <w:color w:val="000000"/>
      <w:kern w:val="28"/>
      <w:sz w:val="28"/>
      <w:lang w:val="en-US" w:eastAsia="zh-CN" w:bidi="ar-SA"/>
    </w:rPr>
  </w:style>
  <w:style w:type="character" w:customStyle="1" w:styleId="303">
    <w:name w:val="HTML 预设格式 Char"/>
    <w:link w:val="56"/>
    <w:qFormat/>
    <w:uiPriority w:val="0"/>
    <w:rPr>
      <w:rFonts w:ascii="黑体" w:hAnsi="Courier New" w:eastAsia="黑体"/>
    </w:rPr>
  </w:style>
  <w:style w:type="character" w:customStyle="1" w:styleId="304">
    <w:name w:val="正文文本 2 Char1"/>
    <w:link w:val="55"/>
    <w:qFormat/>
    <w:uiPriority w:val="0"/>
    <w:rPr>
      <w:kern w:val="2"/>
      <w:sz w:val="21"/>
      <w:szCs w:val="24"/>
    </w:rPr>
  </w:style>
  <w:style w:type="character" w:customStyle="1" w:styleId="305">
    <w:name w:val="样式 样式 标题 4h4H4Fab-4T5Ref Heading 1rh1Heading sqlsect 1.2.3.... +... Char"/>
    <w:link w:val="306"/>
    <w:qFormat/>
    <w:uiPriority w:val="0"/>
    <w:rPr>
      <w:rFonts w:ascii="微软雅黑" w:hAnsi="微软雅黑" w:eastAsia="微软雅黑"/>
      <w:b/>
      <w:bCs/>
      <w:kern w:val="2"/>
      <w:sz w:val="24"/>
      <w:szCs w:val="28"/>
    </w:rPr>
  </w:style>
  <w:style w:type="paragraph" w:customStyle="1" w:styleId="306">
    <w:name w:val="样式 样式 标题 4h4H4Fab-4T5Ref Heading 1rh1Heading sqlsect 1.2.3.... +..."/>
    <w:basedOn w:val="307"/>
    <w:link w:val="305"/>
    <w:qFormat/>
    <w:uiPriority w:val="0"/>
    <w:pPr>
      <w:tabs>
        <w:tab w:val="left" w:pos="2356"/>
      </w:tabs>
    </w:pPr>
  </w:style>
  <w:style w:type="paragraph" w:customStyle="1" w:styleId="307">
    <w:name w:val="样式 标题 4h4H4Fab-4T5Ref Heading 1rh1Heading sqlsect 1.2.3...."/>
    <w:basedOn w:val="6"/>
    <w:link w:val="415"/>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8">
    <w:name w:val="正文非缩进 Char"/>
    <w:qFormat/>
    <w:uiPriority w:val="0"/>
    <w:rPr>
      <w:rFonts w:ascii="宋体" w:eastAsia="宋体"/>
      <w:snapToGrid w:val="0"/>
      <w:color w:val="000000"/>
      <w:kern w:val="28"/>
      <w:sz w:val="28"/>
      <w:lang w:val="en-US" w:eastAsia="zh-CN" w:bidi="ar-SA"/>
    </w:rPr>
  </w:style>
  <w:style w:type="character" w:customStyle="1" w:styleId="309">
    <w:name w:val="标题 7 Char"/>
    <w:link w:val="9"/>
    <w:qFormat/>
    <w:uiPriority w:val="0"/>
    <w:rPr>
      <w:b/>
      <w:bCs/>
      <w:kern w:val="2"/>
      <w:sz w:val="24"/>
      <w:szCs w:val="24"/>
    </w:rPr>
  </w:style>
  <w:style w:type="character" w:customStyle="1" w:styleId="310">
    <w:name w:val="正文文本缩进 2 Char"/>
    <w:link w:val="36"/>
    <w:qFormat/>
    <w:uiPriority w:val="0"/>
    <w:rPr>
      <w:rFonts w:ascii="宋体"/>
      <w:sz w:val="28"/>
    </w:rPr>
  </w:style>
  <w:style w:type="character" w:customStyle="1" w:styleId="311">
    <w:name w:val="Char Char5"/>
    <w:qFormat/>
    <w:uiPriority w:val="0"/>
    <w:rPr>
      <w:rFonts w:ascii="宋体" w:hAnsi="Courier New" w:eastAsia="宋体"/>
      <w:kern w:val="2"/>
      <w:sz w:val="21"/>
      <w:lang w:val="en-US" w:eastAsia="zh-CN"/>
    </w:rPr>
  </w:style>
  <w:style w:type="character" w:customStyle="1" w:styleId="312">
    <w:name w:val="脚注文本 Char"/>
    <w:link w:val="49"/>
    <w:qFormat/>
    <w:uiPriority w:val="0"/>
    <w:rPr>
      <w:color w:val="0000FF"/>
      <w:sz w:val="21"/>
    </w:rPr>
  </w:style>
  <w:style w:type="character" w:customStyle="1" w:styleId="313">
    <w:name w:val="称呼 Char1"/>
    <w:qFormat/>
    <w:uiPriority w:val="0"/>
    <w:rPr>
      <w:rFonts w:ascii="Times New Roman" w:hAnsi="Times New Roman" w:eastAsia="宋体" w:cs="Times New Roman"/>
      <w:szCs w:val="24"/>
    </w:rPr>
  </w:style>
  <w:style w:type="character" w:customStyle="1" w:styleId="314">
    <w:name w:val="正文1 Char"/>
    <w:qFormat/>
    <w:uiPriority w:val="0"/>
    <w:rPr>
      <w:rFonts w:ascii="宋体" w:eastAsia="宋体"/>
      <w:snapToGrid w:val="0"/>
      <w:color w:val="000000"/>
      <w:kern w:val="28"/>
      <w:sz w:val="28"/>
      <w:lang w:val="en-US" w:eastAsia="zh-CN" w:bidi="ar-SA"/>
    </w:rPr>
  </w:style>
  <w:style w:type="character" w:customStyle="1" w:styleId="315">
    <w:name w:val="正文缩进 Char1"/>
    <w:qFormat/>
    <w:uiPriority w:val="0"/>
    <w:rPr>
      <w:rFonts w:ascii="宋体" w:eastAsia="宋体"/>
      <w:snapToGrid w:val="0"/>
      <w:color w:val="000000"/>
      <w:kern w:val="28"/>
      <w:sz w:val="28"/>
      <w:lang w:val="en-US" w:eastAsia="zh-CN" w:bidi="ar-SA"/>
    </w:rPr>
  </w:style>
  <w:style w:type="character" w:customStyle="1" w:styleId="316">
    <w:name w:val="font21"/>
    <w:qFormat/>
    <w:uiPriority w:val="0"/>
    <w:rPr>
      <w:rFonts w:hint="eastAsia" w:ascii="宋体" w:hAnsi="宋体" w:eastAsia="宋体"/>
      <w:kern w:val="2"/>
      <w:sz w:val="28"/>
      <w:szCs w:val="28"/>
      <w:lang w:val="en-US" w:eastAsia="zh-CN" w:bidi="ar-SA"/>
    </w:rPr>
  </w:style>
  <w:style w:type="character" w:customStyle="1" w:styleId="317">
    <w:name w:val="Char Char26"/>
    <w:qFormat/>
    <w:uiPriority w:val="6"/>
    <w:rPr>
      <w:kern w:val="1"/>
      <w:sz w:val="21"/>
      <w:szCs w:val="24"/>
    </w:rPr>
  </w:style>
  <w:style w:type="character" w:customStyle="1" w:styleId="318">
    <w:name w:val="Item List Char"/>
    <w:link w:val="319"/>
    <w:qFormat/>
    <w:uiPriority w:val="0"/>
    <w:rPr>
      <w:rFonts w:ascii="Arial"/>
      <w:bCs/>
      <w:sz w:val="21"/>
      <w:szCs w:val="21"/>
      <w:lang w:val="en-US" w:eastAsia="zh-CN" w:bidi="ar-SA"/>
    </w:rPr>
  </w:style>
  <w:style w:type="paragraph" w:customStyle="1" w:styleId="319">
    <w:name w:val="Item List"/>
    <w:link w:val="318"/>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20">
    <w:name w:val="批注框文本 Char1"/>
    <w:qFormat/>
    <w:uiPriority w:val="0"/>
    <w:rPr>
      <w:rFonts w:ascii="Times New Roman" w:hAnsi="Times New Roman" w:eastAsia="宋体" w:cs="Times New Roman"/>
      <w:sz w:val="18"/>
      <w:szCs w:val="18"/>
    </w:rPr>
  </w:style>
  <w:style w:type="character" w:customStyle="1" w:styleId="321">
    <w:name w:val="纯文本 Char1"/>
    <w:link w:val="322"/>
    <w:qFormat/>
    <w:uiPriority w:val="0"/>
    <w:rPr>
      <w:rFonts w:ascii="宋体" w:hAnsi="Courier New"/>
    </w:rPr>
  </w:style>
  <w:style w:type="paragraph" w:customStyle="1" w:styleId="322">
    <w:name w:val="纯文本1"/>
    <w:basedOn w:val="1"/>
    <w:link w:val="321"/>
    <w:qFormat/>
    <w:uiPriority w:val="0"/>
    <w:pPr>
      <w:adjustRightInd/>
    </w:pPr>
    <w:rPr>
      <w:rFonts w:ascii="宋体" w:hAnsi="Courier New"/>
      <w:kern w:val="0"/>
      <w:sz w:val="20"/>
      <w:szCs w:val="20"/>
    </w:rPr>
  </w:style>
  <w:style w:type="character" w:customStyle="1" w:styleId="323">
    <w:name w:val="正文首行缩进 Char"/>
    <w:link w:val="60"/>
    <w:qFormat/>
    <w:uiPriority w:val="0"/>
    <w:rPr>
      <w:rFonts w:ascii="宋体"/>
      <w:kern w:val="2"/>
      <w:sz w:val="24"/>
      <w:lang w:val="zh-CN"/>
    </w:rPr>
  </w:style>
  <w:style w:type="character" w:customStyle="1" w:styleId="324">
    <w:name w:val="h3 Char"/>
    <w:qFormat/>
    <w:uiPriority w:val="0"/>
    <w:rPr>
      <w:rFonts w:eastAsia="宋体"/>
      <w:b/>
      <w:kern w:val="2"/>
      <w:sz w:val="32"/>
      <w:lang w:val="en-US" w:eastAsia="zh-CN" w:bidi="ar-SA"/>
    </w:rPr>
  </w:style>
  <w:style w:type="character" w:customStyle="1" w:styleId="325">
    <w:name w:val="dandyren_title1"/>
    <w:qFormat/>
    <w:uiPriority w:val="0"/>
    <w:rPr>
      <w:b/>
      <w:bCs/>
      <w:color w:val="FF6633"/>
      <w:sz w:val="18"/>
      <w:szCs w:val="18"/>
    </w:rPr>
  </w:style>
  <w:style w:type="character" w:customStyle="1" w:styleId="326">
    <w:name w:val="Char Char31"/>
    <w:qFormat/>
    <w:uiPriority w:val="6"/>
    <w:rPr>
      <w:rFonts w:ascii="Arial" w:hAnsi="Arial" w:eastAsia="黑体"/>
      <w:kern w:val="1"/>
      <w:sz w:val="24"/>
      <w:szCs w:val="24"/>
    </w:rPr>
  </w:style>
  <w:style w:type="character" w:customStyle="1" w:styleId="327">
    <w:name w:val="h Char1"/>
    <w:qFormat/>
    <w:uiPriority w:val="0"/>
    <w:rPr>
      <w:sz w:val="18"/>
      <w:szCs w:val="18"/>
    </w:rPr>
  </w:style>
  <w:style w:type="character" w:customStyle="1" w:styleId="328">
    <w:name w:val="solutionfonts"/>
    <w:qFormat/>
    <w:uiPriority w:val="0"/>
  </w:style>
  <w:style w:type="character" w:customStyle="1" w:styleId="329">
    <w:name w:val="标题 4 Char2"/>
    <w:link w:val="6"/>
    <w:qFormat/>
    <w:uiPriority w:val="9"/>
    <w:rPr>
      <w:rFonts w:ascii="Arial" w:hAnsi="Arial" w:eastAsia="黑体"/>
      <w:b/>
      <w:bCs/>
      <w:kern w:val="2"/>
      <w:sz w:val="28"/>
      <w:szCs w:val="28"/>
      <w:lang w:val="zh-CN"/>
    </w:rPr>
  </w:style>
  <w:style w:type="character" w:customStyle="1" w:styleId="330">
    <w:name w:val="首行缩进 Char"/>
    <w:qFormat/>
    <w:uiPriority w:val="0"/>
    <w:rPr>
      <w:rFonts w:ascii="宋体" w:eastAsia="宋体"/>
      <w:kern w:val="2"/>
      <w:sz w:val="24"/>
      <w:lang w:val="en-US" w:eastAsia="zh-CN" w:bidi="ar-SA"/>
    </w:rPr>
  </w:style>
  <w:style w:type="character" w:customStyle="1" w:styleId="331">
    <w:name w:val="Char Char52"/>
    <w:qFormat/>
    <w:uiPriority w:val="0"/>
    <w:rPr>
      <w:rFonts w:ascii="宋体" w:hAnsi="Courier New" w:eastAsia="宋体"/>
      <w:kern w:val="2"/>
      <w:sz w:val="21"/>
      <w:lang w:val="en-US" w:eastAsia="zh-CN"/>
    </w:rPr>
  </w:style>
  <w:style w:type="character" w:customStyle="1" w:styleId="332">
    <w:name w:val="正文文本 3 Char"/>
    <w:link w:val="21"/>
    <w:qFormat/>
    <w:uiPriority w:val="0"/>
    <w:rPr>
      <w:kern w:val="2"/>
      <w:sz w:val="21"/>
    </w:rPr>
  </w:style>
  <w:style w:type="character" w:customStyle="1" w:styleId="333">
    <w:name w:val="font31"/>
    <w:qFormat/>
    <w:uiPriority w:val="0"/>
    <w:rPr>
      <w:rFonts w:hint="eastAsia" w:ascii="仿宋" w:hAnsi="仿宋" w:eastAsia="仿宋" w:cs="仿宋"/>
      <w:color w:val="000000"/>
      <w:sz w:val="20"/>
      <w:szCs w:val="20"/>
      <w:u w:val="none"/>
    </w:rPr>
  </w:style>
  <w:style w:type="character" w:customStyle="1" w:styleId="334">
    <w:name w:val="正文说明 Char"/>
    <w:link w:val="335"/>
    <w:qFormat/>
    <w:uiPriority w:val="0"/>
    <w:rPr>
      <w:sz w:val="24"/>
      <w:szCs w:val="24"/>
    </w:rPr>
  </w:style>
  <w:style w:type="paragraph" w:customStyle="1" w:styleId="335">
    <w:name w:val="正文说明"/>
    <w:basedOn w:val="1"/>
    <w:link w:val="334"/>
    <w:qFormat/>
    <w:uiPriority w:val="0"/>
    <w:pPr>
      <w:adjustRightInd/>
      <w:spacing w:line="360" w:lineRule="auto"/>
    </w:pPr>
    <w:rPr>
      <w:kern w:val="0"/>
      <w:sz w:val="24"/>
    </w:rPr>
  </w:style>
  <w:style w:type="character" w:customStyle="1" w:styleId="336">
    <w:name w:val="脚注文本 Char1"/>
    <w:qFormat/>
    <w:uiPriority w:val="0"/>
    <w:rPr>
      <w:rFonts w:ascii="Times New Roman" w:hAnsi="Times New Roman" w:eastAsia="宋体" w:cs="Times New Roman"/>
      <w:sz w:val="18"/>
      <w:szCs w:val="18"/>
    </w:rPr>
  </w:style>
  <w:style w:type="character" w:customStyle="1" w:styleId="337">
    <w:name w:val="Char Char1211"/>
    <w:qFormat/>
    <w:uiPriority w:val="0"/>
    <w:rPr>
      <w:rFonts w:ascii="仿宋_GB2312" w:eastAsia="仿宋_GB2312"/>
      <w:b/>
      <w:bCs/>
      <w:kern w:val="2"/>
      <w:sz w:val="24"/>
      <w:szCs w:val="24"/>
      <w:lang w:val="zh-CN" w:eastAsia="zh-CN" w:bidi="ar-SA"/>
    </w:rPr>
  </w:style>
  <w:style w:type="character" w:customStyle="1" w:styleId="338">
    <w:name w:val="标题 Char"/>
    <w:qFormat/>
    <w:uiPriority w:val="0"/>
    <w:rPr>
      <w:rFonts w:eastAsia="宋体"/>
      <w:b/>
      <w:sz w:val="24"/>
      <w:lang w:val="en-GB" w:eastAsia="zh-CN" w:bidi="ar-SA"/>
    </w:rPr>
  </w:style>
  <w:style w:type="character" w:customStyle="1" w:styleId="339">
    <w:name w:val="Char Char35"/>
    <w:qFormat/>
    <w:uiPriority w:val="6"/>
    <w:rPr>
      <w:rFonts w:ascii="Arial" w:hAnsi="Arial" w:eastAsia="黑体"/>
      <w:b/>
      <w:kern w:val="1"/>
      <w:sz w:val="28"/>
      <w:szCs w:val="28"/>
      <w:lang w:val="zh-CN"/>
    </w:rPr>
  </w:style>
  <w:style w:type="character" w:customStyle="1" w:styleId="340">
    <w:name w:val="纯文本 Char Char Char"/>
    <w:qFormat/>
    <w:uiPriority w:val="0"/>
    <w:rPr>
      <w:rFonts w:ascii="宋体" w:hAnsi="Courier New" w:eastAsia="宋体"/>
      <w:kern w:val="2"/>
      <w:sz w:val="21"/>
      <w:lang w:val="en-US" w:eastAsia="zh-CN" w:bidi="ar-SA"/>
    </w:rPr>
  </w:style>
  <w:style w:type="character" w:customStyle="1" w:styleId="341">
    <w:name w:val="Table Text Char"/>
    <w:link w:val="342"/>
    <w:qFormat/>
    <w:uiPriority w:val="0"/>
    <w:rPr>
      <w:sz w:val="24"/>
      <w:szCs w:val="24"/>
    </w:rPr>
  </w:style>
  <w:style w:type="paragraph" w:customStyle="1" w:styleId="342">
    <w:name w:val="Table Text"/>
    <w:basedOn w:val="1"/>
    <w:link w:val="341"/>
    <w:qFormat/>
    <w:uiPriority w:val="0"/>
    <w:pPr>
      <w:widowControl/>
      <w:spacing w:before="60" w:after="60"/>
      <w:jc w:val="left"/>
    </w:pPr>
    <w:rPr>
      <w:kern w:val="0"/>
      <w:sz w:val="24"/>
    </w:rPr>
  </w:style>
  <w:style w:type="character" w:customStyle="1" w:styleId="343">
    <w:name w:val="正文1 Char1"/>
    <w:qFormat/>
    <w:uiPriority w:val="0"/>
    <w:rPr>
      <w:rFonts w:ascii="仿宋_GB2312" w:hAnsi="Courier New" w:eastAsia="仿宋_GB2312"/>
      <w:kern w:val="28"/>
      <w:sz w:val="24"/>
      <w:szCs w:val="24"/>
      <w:lang w:val="en-US" w:eastAsia="zh-CN"/>
    </w:rPr>
  </w:style>
  <w:style w:type="character" w:customStyle="1" w:styleId="344">
    <w:name w:val="页脚 Char1"/>
    <w:qFormat/>
    <w:uiPriority w:val="0"/>
    <w:rPr>
      <w:rFonts w:eastAsia="宋体"/>
      <w:kern w:val="2"/>
      <w:sz w:val="18"/>
      <w:szCs w:val="18"/>
      <w:lang w:val="en-US" w:eastAsia="zh-CN" w:bidi="ar-SA"/>
    </w:rPr>
  </w:style>
  <w:style w:type="character" w:customStyle="1" w:styleId="345">
    <w:name w:val="Bold"/>
    <w:qFormat/>
    <w:uiPriority w:val="0"/>
    <w:rPr>
      <w:rFonts w:ascii="Arial" w:hAnsi="Arial" w:eastAsia="黑体" w:cs="Times New Roman"/>
      <w:b/>
      <w:kern w:val="2"/>
      <w:sz w:val="32"/>
      <w:szCs w:val="32"/>
      <w:lang w:val="en-US" w:eastAsia="zh-CN" w:bidi="ar-SA"/>
    </w:rPr>
  </w:style>
  <w:style w:type="character" w:customStyle="1" w:styleId="346">
    <w:name w:val="批注文字 Char1"/>
    <w:link w:val="19"/>
    <w:qFormat/>
    <w:uiPriority w:val="99"/>
    <w:rPr>
      <w:kern w:val="2"/>
      <w:sz w:val="21"/>
      <w:szCs w:val="24"/>
    </w:rPr>
  </w:style>
  <w:style w:type="character" w:customStyle="1" w:styleId="347">
    <w:name w:val="签名 Char"/>
    <w:link w:val="41"/>
    <w:qFormat/>
    <w:uiPriority w:val="0"/>
    <w:rPr>
      <w:rFonts w:eastAsia="仿宋_GB2312"/>
      <w:sz w:val="24"/>
    </w:rPr>
  </w:style>
  <w:style w:type="character" w:customStyle="1" w:styleId="348">
    <w:name w:val="hui3"/>
    <w:qFormat/>
    <w:uiPriority w:val="0"/>
    <w:rPr>
      <w:color w:val="333333"/>
    </w:rPr>
  </w:style>
  <w:style w:type="character" w:customStyle="1" w:styleId="349">
    <w:name w:val="Char Char17"/>
    <w:qFormat/>
    <w:uiPriority w:val="6"/>
    <w:rPr>
      <w:rFonts w:eastAsia="仿宋_GB2312"/>
      <w:sz w:val="24"/>
    </w:rPr>
  </w:style>
  <w:style w:type="character" w:customStyle="1" w:styleId="350">
    <w:name w:val="标题 4 字符"/>
    <w:qFormat/>
    <w:uiPriority w:val="9"/>
    <w:rPr>
      <w:rFonts w:ascii="等线 Light" w:hAnsi="等线 Light" w:eastAsia="等线 Light" w:cs="Times New Roman"/>
      <w:b/>
      <w:bCs/>
      <w:snapToGrid w:val="0"/>
      <w:kern w:val="0"/>
      <w:sz w:val="28"/>
      <w:szCs w:val="28"/>
    </w:rPr>
  </w:style>
  <w:style w:type="character" w:customStyle="1" w:styleId="351">
    <w:name w:val="Char Char37"/>
    <w:qFormat/>
    <w:uiPriority w:val="6"/>
    <w:rPr>
      <w:b/>
      <w:kern w:val="1"/>
      <w:sz w:val="44"/>
      <w:szCs w:val="44"/>
    </w:rPr>
  </w:style>
  <w:style w:type="character" w:customStyle="1" w:styleId="352">
    <w:name w:val="列出段落 Char"/>
    <w:qFormat/>
    <w:uiPriority w:val="0"/>
    <w:rPr>
      <w:rFonts w:eastAsia="楷体_GB2312" w:cs="Lucida Sans"/>
      <w:kern w:val="2"/>
      <w:sz w:val="24"/>
      <w:szCs w:val="24"/>
      <w:lang w:val="en-US" w:eastAsia="zh-CN" w:bidi="ar-SA"/>
    </w:rPr>
  </w:style>
  <w:style w:type="character" w:customStyle="1" w:styleId="353">
    <w:name w:val="正文文本缩进 3 Char1"/>
    <w:semiHidden/>
    <w:qFormat/>
    <w:uiPriority w:val="99"/>
    <w:rPr>
      <w:rFonts w:ascii="Times New Roman" w:hAnsi="Times New Roman" w:eastAsia="宋体" w:cs="Times New Roman"/>
      <w:sz w:val="16"/>
      <w:szCs w:val="16"/>
    </w:rPr>
  </w:style>
  <w:style w:type="character" w:customStyle="1" w:styleId="354">
    <w:name w:val="公文正文 Char Char"/>
    <w:link w:val="355"/>
    <w:qFormat/>
    <w:uiPriority w:val="0"/>
    <w:rPr>
      <w:rFonts w:ascii="仿宋_GB2312" w:eastAsia="仿宋_GB2312"/>
      <w:kern w:val="2"/>
      <w:sz w:val="24"/>
      <w:szCs w:val="24"/>
    </w:rPr>
  </w:style>
  <w:style w:type="paragraph" w:customStyle="1" w:styleId="355">
    <w:name w:val="公文正文"/>
    <w:basedOn w:val="1"/>
    <w:link w:val="354"/>
    <w:qFormat/>
    <w:uiPriority w:val="0"/>
    <w:pPr>
      <w:adjustRightInd/>
      <w:spacing w:before="156" w:line="360" w:lineRule="auto"/>
      <w:ind w:firstLine="360" w:firstLineChars="200"/>
    </w:pPr>
    <w:rPr>
      <w:rFonts w:ascii="仿宋_GB2312" w:eastAsia="仿宋_GB2312"/>
      <w:sz w:val="24"/>
    </w:rPr>
  </w:style>
  <w:style w:type="character" w:customStyle="1" w:styleId="356">
    <w:name w:val="Table Text Char1"/>
    <w:qFormat/>
    <w:uiPriority w:val="0"/>
    <w:rPr>
      <w:rFonts w:eastAsia="宋体"/>
      <w:sz w:val="24"/>
      <w:szCs w:val="24"/>
      <w:lang w:val="en-US" w:eastAsia="zh-CN" w:bidi="ar-SA"/>
    </w:rPr>
  </w:style>
  <w:style w:type="character" w:customStyle="1" w:styleId="357">
    <w:name w:val="标题 1 Char Char"/>
    <w:qFormat/>
    <w:uiPriority w:val="0"/>
    <w:rPr>
      <w:rFonts w:hint="eastAsia" w:ascii="宋体" w:hAnsi="宋体" w:eastAsia="宋体"/>
      <w:b/>
      <w:spacing w:val="-2"/>
      <w:sz w:val="24"/>
      <w:lang w:val="en-US" w:eastAsia="zh-CN" w:bidi="ar-SA"/>
    </w:rPr>
  </w:style>
  <w:style w:type="character" w:customStyle="1" w:styleId="358">
    <w:name w:val="正文（缩进2汉字） Char"/>
    <w:link w:val="359"/>
    <w:qFormat/>
    <w:uiPriority w:val="0"/>
    <w:rPr>
      <w:rFonts w:ascii="宋体"/>
    </w:rPr>
  </w:style>
  <w:style w:type="paragraph" w:customStyle="1" w:styleId="359">
    <w:name w:val="正文（缩进2汉字）"/>
    <w:basedOn w:val="1"/>
    <w:link w:val="358"/>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60">
    <w:name w:val="标题 8 Char"/>
    <w:link w:val="10"/>
    <w:qFormat/>
    <w:uiPriority w:val="0"/>
    <w:rPr>
      <w:rFonts w:ascii="Arial" w:hAnsi="Arial" w:eastAsia="黑体"/>
      <w:kern w:val="2"/>
      <w:sz w:val="24"/>
      <w:szCs w:val="24"/>
    </w:rPr>
  </w:style>
  <w:style w:type="character" w:customStyle="1" w:styleId="361">
    <w:name w:val="标书表格字体格式 Char"/>
    <w:qFormat/>
    <w:uiPriority w:val="0"/>
    <w:rPr>
      <w:kern w:val="2"/>
      <w:sz w:val="21"/>
      <w:szCs w:val="24"/>
      <w:lang w:bidi="ar-SA"/>
    </w:rPr>
  </w:style>
  <w:style w:type="character" w:customStyle="1" w:styleId="362">
    <w:name w:val="tw4winError"/>
    <w:qFormat/>
    <w:uiPriority w:val="0"/>
    <w:rPr>
      <w:rFonts w:ascii="Courier New" w:hAnsi="Courier New" w:cs="Courier New"/>
      <w:color w:val="00FF00"/>
      <w:sz w:val="40"/>
      <w:szCs w:val="40"/>
    </w:rPr>
  </w:style>
  <w:style w:type="character" w:customStyle="1" w:styleId="363">
    <w:name w:val="Body Text(ch) Char Char"/>
    <w:qFormat/>
    <w:uiPriority w:val="0"/>
    <w:rPr>
      <w:rFonts w:ascii="宋体"/>
      <w:kern w:val="2"/>
      <w:sz w:val="24"/>
      <w:szCs w:val="21"/>
      <w:lang w:val="zh-CN"/>
    </w:rPr>
  </w:style>
  <w:style w:type="character" w:customStyle="1" w:styleId="364">
    <w:name w:val="正文首行缩进两字 Char"/>
    <w:qFormat/>
    <w:uiPriority w:val="0"/>
    <w:rPr>
      <w:sz w:val="24"/>
      <w:szCs w:val="24"/>
      <w:lang w:val="en-US" w:eastAsia="zh-CN" w:bidi="ar-SA"/>
    </w:rPr>
  </w:style>
  <w:style w:type="character" w:customStyle="1" w:styleId="365">
    <w:name w:val="正文文本 Char"/>
    <w:qFormat/>
    <w:uiPriority w:val="0"/>
    <w:rPr>
      <w:rFonts w:eastAsia="宋体"/>
      <w:kern w:val="2"/>
      <w:sz w:val="24"/>
      <w:szCs w:val="24"/>
      <w:lang w:val="en-US" w:eastAsia="zh-CN" w:bidi="ar-SA"/>
    </w:rPr>
  </w:style>
  <w:style w:type="character" w:customStyle="1" w:styleId="366">
    <w:name w:val="文档结构图 字符1"/>
    <w:qFormat/>
    <w:uiPriority w:val="0"/>
    <w:rPr>
      <w:rFonts w:ascii="宋体" w:hAnsi="Calibri" w:eastAsia="黑体" w:cs="Arial"/>
      <w:snapToGrid w:val="0"/>
      <w:kern w:val="2"/>
      <w:sz w:val="18"/>
      <w:szCs w:val="18"/>
    </w:rPr>
  </w:style>
  <w:style w:type="character" w:customStyle="1" w:styleId="367">
    <w:name w:val="content"/>
    <w:qFormat/>
    <w:uiPriority w:val="0"/>
  </w:style>
  <w:style w:type="character" w:customStyle="1" w:styleId="368">
    <w:name w:val="tw4winPopup"/>
    <w:qFormat/>
    <w:uiPriority w:val="0"/>
    <w:rPr>
      <w:rFonts w:ascii="Courier New" w:hAnsi="Courier New" w:cs="Courier New"/>
      <w:color w:val="008000"/>
      <w:lang w:val="en-US" w:eastAsia="zh-CN"/>
    </w:rPr>
  </w:style>
  <w:style w:type="character" w:customStyle="1" w:styleId="369">
    <w:name w:val="param-name"/>
    <w:qFormat/>
    <w:uiPriority w:val="99"/>
    <w:rPr>
      <w:rFonts w:ascii="Arial" w:hAnsi="Arial" w:eastAsia="黑体" w:cs="Arial"/>
      <w:snapToGrid w:val="0"/>
      <w:kern w:val="0"/>
      <w:szCs w:val="21"/>
    </w:rPr>
  </w:style>
  <w:style w:type="character" w:customStyle="1" w:styleId="370">
    <w:name w:val="标准正文格式 Char"/>
    <w:qFormat/>
    <w:uiPriority w:val="0"/>
    <w:rPr>
      <w:rFonts w:ascii="宋体" w:eastAsia="仿宋_GB2312" w:cs="宋体"/>
      <w:color w:val="000000"/>
      <w:sz w:val="24"/>
      <w:lang w:val="en-US" w:eastAsia="zh-CN" w:bidi="ar-SA"/>
    </w:rPr>
  </w:style>
  <w:style w:type="character" w:customStyle="1" w:styleId="371">
    <w:name w:val="Char Char212"/>
    <w:qFormat/>
    <w:uiPriority w:val="0"/>
    <w:rPr>
      <w:rFonts w:eastAsia="宋体"/>
      <w:b/>
      <w:bCs/>
      <w:kern w:val="2"/>
      <w:sz w:val="21"/>
      <w:szCs w:val="24"/>
      <w:lang w:val="en-US" w:eastAsia="zh-CN" w:bidi="ar-SA"/>
    </w:rPr>
  </w:style>
  <w:style w:type="character" w:customStyle="1" w:styleId="372">
    <w:name w:val="文档结构图 Char"/>
    <w:qFormat/>
    <w:uiPriority w:val="0"/>
    <w:rPr>
      <w:rFonts w:eastAsia="宋体"/>
      <w:kern w:val="2"/>
      <w:sz w:val="21"/>
      <w:szCs w:val="24"/>
      <w:lang w:val="en-US" w:eastAsia="zh-CN" w:bidi="ar-SA"/>
    </w:rPr>
  </w:style>
  <w:style w:type="character" w:customStyle="1" w:styleId="373">
    <w:name w:val="zbggmain style9"/>
    <w:qFormat/>
    <w:uiPriority w:val="0"/>
  </w:style>
  <w:style w:type="character" w:customStyle="1" w:styleId="374">
    <w:name w:val="Char Char16"/>
    <w:qFormat/>
    <w:uiPriority w:val="6"/>
    <w:rPr>
      <w:kern w:val="1"/>
      <w:sz w:val="18"/>
      <w:szCs w:val="18"/>
    </w:rPr>
  </w:style>
  <w:style w:type="character" w:customStyle="1" w:styleId="375">
    <w:name w:val="font51"/>
    <w:basedOn w:val="69"/>
    <w:qFormat/>
    <w:uiPriority w:val="0"/>
    <w:rPr>
      <w:rFonts w:hint="eastAsia" w:ascii="仿宋" w:hAnsi="仿宋" w:eastAsia="仿宋" w:cs="仿宋"/>
      <w:color w:val="000000"/>
      <w:sz w:val="20"/>
      <w:szCs w:val="20"/>
      <w:u w:val="none"/>
    </w:rPr>
  </w:style>
  <w:style w:type="character" w:customStyle="1" w:styleId="376">
    <w:name w:val="Char Char82"/>
    <w:qFormat/>
    <w:uiPriority w:val="0"/>
    <w:rPr>
      <w:rFonts w:eastAsia="宋体"/>
      <w:b/>
      <w:sz w:val="24"/>
      <w:lang w:val="en-GB" w:eastAsia="zh-CN"/>
    </w:rPr>
  </w:style>
  <w:style w:type="character" w:customStyle="1" w:styleId="377">
    <w:name w:val="正文文本缩进 3 Char"/>
    <w:link w:val="52"/>
    <w:qFormat/>
    <w:uiPriority w:val="0"/>
    <w:rPr>
      <w:kern w:val="2"/>
      <w:sz w:val="24"/>
    </w:rPr>
  </w:style>
  <w:style w:type="character" w:customStyle="1" w:styleId="378">
    <w:name w:val="日期 Char1"/>
    <w:semiHidden/>
    <w:qFormat/>
    <w:uiPriority w:val="99"/>
    <w:rPr>
      <w:rFonts w:ascii="Times New Roman" w:hAnsi="Times New Roman" w:eastAsia="宋体" w:cs="Times New Roman"/>
      <w:szCs w:val="24"/>
    </w:rPr>
  </w:style>
  <w:style w:type="character" w:customStyle="1" w:styleId="379">
    <w:name w:val="页眉 字符"/>
    <w:qFormat/>
    <w:uiPriority w:val="99"/>
    <w:rPr>
      <w:kern w:val="2"/>
      <w:sz w:val="18"/>
      <w:szCs w:val="18"/>
    </w:rPr>
  </w:style>
  <w:style w:type="character" w:customStyle="1" w:styleId="380">
    <w:name w:val="Char Char33"/>
    <w:qFormat/>
    <w:uiPriority w:val="6"/>
    <w:rPr>
      <w:rFonts w:ascii="Arial" w:hAnsi="Arial" w:eastAsia="黑体"/>
      <w:b/>
      <w:kern w:val="1"/>
      <w:sz w:val="24"/>
      <w:szCs w:val="24"/>
    </w:rPr>
  </w:style>
  <w:style w:type="character" w:customStyle="1" w:styleId="381">
    <w:name w:val="b11_01b Char"/>
    <w:link w:val="382"/>
    <w:qFormat/>
    <w:uiPriority w:val="0"/>
    <w:rPr>
      <w:rFonts w:ascii="Verdana" w:hAnsi="Verdana"/>
      <w:b/>
      <w:bCs/>
      <w:color w:val="4A82CA"/>
      <w:sz w:val="17"/>
      <w:szCs w:val="17"/>
    </w:rPr>
  </w:style>
  <w:style w:type="paragraph" w:customStyle="1" w:styleId="382">
    <w:name w:val="b11_01b"/>
    <w:basedOn w:val="1"/>
    <w:next w:val="1"/>
    <w:link w:val="381"/>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3">
    <w:name w:val="Char Char121"/>
    <w:qFormat/>
    <w:uiPriority w:val="6"/>
    <w:rPr>
      <w:rFonts w:ascii="仿宋_GB2312" w:eastAsia="仿宋_GB2312"/>
      <w:b/>
      <w:bCs/>
      <w:kern w:val="2"/>
      <w:sz w:val="24"/>
      <w:szCs w:val="24"/>
      <w:lang w:val="zh-CN" w:eastAsia="zh-CN" w:bidi="ar-SA"/>
    </w:rPr>
  </w:style>
  <w:style w:type="character" w:customStyle="1" w:styleId="384">
    <w:name w:val="Footer-Even Char"/>
    <w:qFormat/>
    <w:uiPriority w:val="0"/>
    <w:rPr>
      <w:rFonts w:eastAsia="宋体"/>
      <w:kern w:val="2"/>
      <w:sz w:val="18"/>
      <w:lang w:val="en-US" w:eastAsia="zh-CN" w:bidi="ar-SA"/>
    </w:rPr>
  </w:style>
  <w:style w:type="character" w:customStyle="1" w:styleId="385">
    <w:name w:val="页脚 Char2"/>
    <w:link w:val="39"/>
    <w:qFormat/>
    <w:locked/>
    <w:uiPriority w:val="99"/>
    <w:rPr>
      <w:kern w:val="2"/>
      <w:sz w:val="18"/>
      <w:szCs w:val="18"/>
    </w:rPr>
  </w:style>
  <w:style w:type="character" w:customStyle="1" w:styleId="386">
    <w:name w:val="Char Char36"/>
    <w:qFormat/>
    <w:uiPriority w:val="6"/>
    <w:rPr>
      <w:rFonts w:ascii="仿宋_GB2312" w:hAnsi="仿宋_GB2312" w:eastAsia="仿宋_GB2312" w:cs="Arial"/>
      <w:b/>
      <w:kern w:val="1"/>
      <w:sz w:val="32"/>
      <w:szCs w:val="32"/>
      <w:lang w:val="zh-CN" w:eastAsia="zh-CN" w:bidi="ar-SA"/>
    </w:rPr>
  </w:style>
  <w:style w:type="character" w:customStyle="1" w:styleId="387">
    <w:name w:val="Char Char61"/>
    <w:qFormat/>
    <w:uiPriority w:val="6"/>
    <w:rPr>
      <w:rFonts w:eastAsia="宋体"/>
      <w:kern w:val="2"/>
      <w:sz w:val="21"/>
      <w:szCs w:val="24"/>
      <w:lang w:val="en-US" w:eastAsia="zh-CN" w:bidi="ar-SA"/>
    </w:rPr>
  </w:style>
  <w:style w:type="character" w:customStyle="1" w:styleId="388">
    <w:name w:val="正文文字缩进 2 Char Char"/>
    <w:qFormat/>
    <w:uiPriority w:val="0"/>
    <w:rPr>
      <w:rFonts w:ascii="宋体"/>
      <w:sz w:val="28"/>
    </w:rPr>
  </w:style>
  <w:style w:type="character" w:customStyle="1" w:styleId="389">
    <w:name w:val="f141"/>
    <w:qFormat/>
    <w:uiPriority w:val="0"/>
    <w:rPr>
      <w:rFonts w:ascii="Tahoma" w:hAnsi="Tahoma" w:eastAsia="宋体"/>
      <w:b/>
      <w:kern w:val="2"/>
      <w:sz w:val="21"/>
      <w:szCs w:val="21"/>
      <w:lang w:val="en-US" w:eastAsia="zh-CN" w:bidi="ar-SA"/>
    </w:rPr>
  </w:style>
  <w:style w:type="character" w:customStyle="1" w:styleId="390">
    <w:name w:val="段落 Char Char"/>
    <w:link w:val="391"/>
    <w:qFormat/>
    <w:uiPriority w:val="0"/>
    <w:rPr>
      <w:rFonts w:ascii="宋体" w:hAnsi="宋体"/>
      <w:sz w:val="24"/>
    </w:rPr>
  </w:style>
  <w:style w:type="paragraph" w:customStyle="1" w:styleId="391">
    <w:name w:val="段落"/>
    <w:basedOn w:val="1"/>
    <w:link w:val="390"/>
    <w:qFormat/>
    <w:uiPriority w:val="0"/>
    <w:pPr>
      <w:adjustRightInd/>
      <w:spacing w:line="360" w:lineRule="auto"/>
      <w:ind w:firstLine="480" w:firstLineChars="200"/>
    </w:pPr>
    <w:rPr>
      <w:rFonts w:ascii="宋体" w:hAnsi="宋体"/>
      <w:kern w:val="0"/>
      <w:sz w:val="24"/>
      <w:szCs w:val="20"/>
    </w:rPr>
  </w:style>
  <w:style w:type="character" w:customStyle="1" w:styleId="392">
    <w:name w:val="标题 3 Char2"/>
    <w:qFormat/>
    <w:uiPriority w:val="0"/>
    <w:rPr>
      <w:rFonts w:eastAsia="宋体"/>
      <w:b/>
      <w:bCs/>
      <w:kern w:val="2"/>
      <w:sz w:val="32"/>
      <w:szCs w:val="32"/>
      <w:lang w:val="en-US" w:eastAsia="zh-CN" w:bidi="ar-SA"/>
    </w:rPr>
  </w:style>
  <w:style w:type="character" w:customStyle="1" w:styleId="393">
    <w:name w:val="apple-converted-space"/>
    <w:qFormat/>
    <w:uiPriority w:val="0"/>
  </w:style>
  <w:style w:type="character" w:customStyle="1" w:styleId="394">
    <w:name w:val="页眉 Char2"/>
    <w:link w:val="40"/>
    <w:qFormat/>
    <w:uiPriority w:val="99"/>
    <w:rPr>
      <w:kern w:val="2"/>
      <w:sz w:val="18"/>
      <w:szCs w:val="18"/>
    </w:rPr>
  </w:style>
  <w:style w:type="character" w:customStyle="1" w:styleId="395">
    <w:name w:val="Char Char9"/>
    <w:qFormat/>
    <w:uiPriority w:val="0"/>
    <w:rPr>
      <w:rFonts w:eastAsia="宋体"/>
      <w:kern w:val="2"/>
      <w:sz w:val="18"/>
      <w:szCs w:val="18"/>
      <w:lang w:val="en-US" w:eastAsia="zh-CN" w:bidi="ar-SA"/>
    </w:rPr>
  </w:style>
  <w:style w:type="character" w:customStyle="1" w:styleId="396">
    <w:name w:val="Char Char41"/>
    <w:qFormat/>
    <w:uiPriority w:val="0"/>
    <w:rPr>
      <w:rFonts w:eastAsia="宋体"/>
      <w:b/>
      <w:sz w:val="24"/>
      <w:lang w:val="en-GB" w:eastAsia="zh-CN" w:bidi="ar-SA"/>
    </w:rPr>
  </w:style>
  <w:style w:type="character" w:customStyle="1" w:styleId="397">
    <w:name w:val="large1"/>
    <w:qFormat/>
    <w:uiPriority w:val="0"/>
    <w:rPr>
      <w:rFonts w:hint="eastAsia" w:ascii="宋体" w:hAnsi="宋体" w:eastAsia="宋体"/>
      <w:sz w:val="21"/>
      <w:szCs w:val="21"/>
    </w:rPr>
  </w:style>
  <w:style w:type="character" w:customStyle="1" w:styleId="398">
    <w:name w:val="正文段 Char"/>
    <w:link w:val="399"/>
    <w:qFormat/>
    <w:uiPriority w:val="0"/>
    <w:rPr>
      <w:sz w:val="24"/>
    </w:rPr>
  </w:style>
  <w:style w:type="paragraph" w:customStyle="1" w:styleId="399">
    <w:name w:val="正文段"/>
    <w:basedOn w:val="1"/>
    <w:link w:val="398"/>
    <w:qFormat/>
    <w:uiPriority w:val="0"/>
    <w:pPr>
      <w:widowControl/>
      <w:snapToGrid w:val="0"/>
      <w:spacing w:after="156" w:afterLines="50"/>
      <w:ind w:firstLine="200" w:firstLineChars="200"/>
    </w:pPr>
    <w:rPr>
      <w:kern w:val="0"/>
      <w:sz w:val="24"/>
      <w:szCs w:val="20"/>
    </w:rPr>
  </w:style>
  <w:style w:type="character" w:customStyle="1" w:styleId="400">
    <w:name w:val="Char Char13"/>
    <w:qFormat/>
    <w:uiPriority w:val="6"/>
    <w:rPr>
      <w:rFonts w:ascii="宋体" w:hAnsi="宋体"/>
      <w:kern w:val="1"/>
      <w:sz w:val="21"/>
      <w:szCs w:val="24"/>
    </w:rPr>
  </w:style>
  <w:style w:type="character" w:customStyle="1" w:styleId="401">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402">
    <w:name w:val="冯广丽 Char"/>
    <w:link w:val="403"/>
    <w:qFormat/>
    <w:uiPriority w:val="0"/>
    <w:rPr>
      <w:rFonts w:ascii="宋体" w:hAnsi="宋体"/>
      <w:kern w:val="2"/>
      <w:sz w:val="24"/>
      <w:szCs w:val="22"/>
    </w:rPr>
  </w:style>
  <w:style w:type="paragraph" w:customStyle="1" w:styleId="403">
    <w:name w:val="冯广丽"/>
    <w:basedOn w:val="1"/>
    <w:link w:val="402"/>
    <w:qFormat/>
    <w:uiPriority w:val="0"/>
    <w:pPr>
      <w:adjustRightInd/>
      <w:spacing w:line="360" w:lineRule="auto"/>
      <w:ind w:firstLine="480" w:firstLineChars="200"/>
    </w:pPr>
    <w:rPr>
      <w:rFonts w:ascii="宋体" w:hAnsi="宋体"/>
      <w:sz w:val="24"/>
      <w:szCs w:val="22"/>
    </w:rPr>
  </w:style>
  <w:style w:type="character" w:customStyle="1" w:styleId="404">
    <w:name w:val="批注文字 字符"/>
    <w:qFormat/>
    <w:uiPriority w:val="0"/>
    <w:rPr>
      <w:rFonts w:ascii="Arial" w:hAnsi="Arial" w:eastAsia="黑体" w:cs="Arial"/>
      <w:snapToGrid w:val="0"/>
      <w:kern w:val="0"/>
      <w:szCs w:val="21"/>
    </w:rPr>
  </w:style>
  <w:style w:type="character" w:customStyle="1" w:styleId="405">
    <w:name w:val="Char Char161"/>
    <w:qFormat/>
    <w:uiPriority w:val="0"/>
    <w:rPr>
      <w:rFonts w:eastAsia="宋体"/>
      <w:b/>
      <w:kern w:val="2"/>
      <w:sz w:val="32"/>
      <w:lang w:val="en-US" w:eastAsia="zh-CN"/>
    </w:rPr>
  </w:style>
  <w:style w:type="character" w:customStyle="1" w:styleId="406">
    <w:name w:val="javascript"/>
    <w:qFormat/>
    <w:uiPriority w:val="0"/>
  </w:style>
  <w:style w:type="character" w:customStyle="1" w:styleId="407">
    <w:name w:val="图名 Char"/>
    <w:qFormat/>
    <w:uiPriority w:val="0"/>
    <w:rPr>
      <w:rFonts w:ascii="Arial" w:hAnsi="Arial" w:eastAsia="黑体"/>
      <w:kern w:val="2"/>
      <w:sz w:val="24"/>
      <w:szCs w:val="24"/>
      <w:lang w:val="en-US" w:eastAsia="zh-CN" w:bidi="ar-SA"/>
    </w:rPr>
  </w:style>
  <w:style w:type="character" w:customStyle="1" w:styleId="408">
    <w:name w:val="Used by Word for text of Help footnotes Char Char"/>
    <w:qFormat/>
    <w:uiPriority w:val="0"/>
    <w:rPr>
      <w:rFonts w:ascii="Times New Roman" w:hAnsi="Times New Roman" w:eastAsia="宋体" w:cs="Times New Roman"/>
      <w:sz w:val="20"/>
      <w:szCs w:val="20"/>
    </w:rPr>
  </w:style>
  <w:style w:type="character" w:customStyle="1" w:styleId="409">
    <w:name w:val="编号，小四 Char"/>
    <w:link w:val="410"/>
    <w:qFormat/>
    <w:uiPriority w:val="0"/>
    <w:rPr>
      <w:rFonts w:ascii="Arial" w:hAnsi="Arial"/>
      <w:sz w:val="24"/>
    </w:rPr>
  </w:style>
  <w:style w:type="paragraph" w:customStyle="1" w:styleId="410">
    <w:name w:val="编号，小四"/>
    <w:basedOn w:val="1"/>
    <w:link w:val="409"/>
    <w:qFormat/>
    <w:uiPriority w:val="0"/>
    <w:pPr>
      <w:tabs>
        <w:tab w:val="left" w:pos="432"/>
      </w:tabs>
      <w:adjustRightInd/>
      <w:spacing w:line="360" w:lineRule="auto"/>
      <w:ind w:left="432" w:hanging="432"/>
    </w:pPr>
    <w:rPr>
      <w:rFonts w:ascii="Arial" w:hAnsi="Arial"/>
      <w:kern w:val="0"/>
      <w:sz w:val="24"/>
      <w:szCs w:val="20"/>
    </w:rPr>
  </w:style>
  <w:style w:type="character" w:customStyle="1" w:styleId="411">
    <w:name w:val="Font Style82"/>
    <w:qFormat/>
    <w:uiPriority w:val="99"/>
    <w:rPr>
      <w:rFonts w:ascii="宋体" w:eastAsia="宋体" w:cs="宋体"/>
      <w:color w:val="000000"/>
      <w:sz w:val="14"/>
      <w:szCs w:val="14"/>
    </w:rPr>
  </w:style>
  <w:style w:type="character" w:customStyle="1" w:styleId="412">
    <w:name w:val="标题 2 Char Char"/>
    <w:qFormat/>
    <w:uiPriority w:val="0"/>
    <w:rPr>
      <w:rFonts w:ascii="楷体_GB2312" w:hAnsi="Arial" w:eastAsia="楷体_GB2312"/>
      <w:b/>
      <w:bCs/>
      <w:kern w:val="2"/>
      <w:sz w:val="24"/>
      <w:szCs w:val="32"/>
      <w:lang w:val="en-US" w:eastAsia="zh-CN" w:bidi="ar-SA"/>
    </w:rPr>
  </w:style>
  <w:style w:type="character" w:customStyle="1" w:styleId="413">
    <w:name w:val="未用 Char"/>
    <w:qFormat/>
    <w:uiPriority w:val="0"/>
    <w:rPr>
      <w:rFonts w:ascii="Arial" w:hAnsi="Arial" w:eastAsia="黑体"/>
      <w:kern w:val="2"/>
      <w:sz w:val="21"/>
      <w:szCs w:val="21"/>
      <w:lang w:val="en-US" w:eastAsia="zh-CN" w:bidi="ar-SA"/>
    </w:rPr>
  </w:style>
  <w:style w:type="character" w:customStyle="1" w:styleId="414">
    <w:name w:val="myp1111"/>
    <w:qFormat/>
    <w:uiPriority w:val="0"/>
    <w:rPr>
      <w:rFonts w:hint="default" w:ascii="ˎ̥" w:hAnsi="ˎ̥"/>
      <w:color w:val="000000"/>
      <w:sz w:val="20"/>
      <w:szCs w:val="20"/>
      <w:u w:val="none"/>
    </w:rPr>
  </w:style>
  <w:style w:type="character" w:customStyle="1" w:styleId="415">
    <w:name w:val="样式 标题 4h4H4Fab-4T5Ref Heading 1rh1Heading sqlsect 1.2.3.... Char"/>
    <w:link w:val="307"/>
    <w:qFormat/>
    <w:uiPriority w:val="0"/>
    <w:rPr>
      <w:rFonts w:ascii="微软雅黑" w:hAnsi="微软雅黑" w:eastAsia="微软雅黑"/>
      <w:b/>
      <w:bCs/>
      <w:kern w:val="2"/>
      <w:sz w:val="24"/>
      <w:szCs w:val="28"/>
    </w:rPr>
  </w:style>
  <w:style w:type="character" w:customStyle="1" w:styleId="416">
    <w:name w:val="h Char Char"/>
    <w:qFormat/>
    <w:uiPriority w:val="0"/>
    <w:rPr>
      <w:rFonts w:eastAsia="宋体"/>
      <w:kern w:val="2"/>
      <w:sz w:val="18"/>
      <w:lang w:val="en-US" w:eastAsia="zh-CN" w:bidi="ar-SA"/>
    </w:rPr>
  </w:style>
  <w:style w:type="character" w:customStyle="1" w:styleId="417">
    <w:name w:val="仿宋正文 Char"/>
    <w:link w:val="418"/>
    <w:qFormat/>
    <w:uiPriority w:val="0"/>
    <w:rPr>
      <w:rFonts w:ascii="仿宋_GB2312" w:eastAsia="仿宋_GB2312"/>
      <w:kern w:val="2"/>
      <w:sz w:val="24"/>
      <w:lang w:val="en-US" w:eastAsia="zh-CN" w:bidi="ar-SA"/>
    </w:rPr>
  </w:style>
  <w:style w:type="paragraph" w:customStyle="1" w:styleId="418">
    <w:name w:val="仿宋正文"/>
    <w:basedOn w:val="1"/>
    <w:link w:val="417"/>
    <w:qFormat/>
    <w:uiPriority w:val="0"/>
    <w:pPr>
      <w:adjustRightInd/>
      <w:spacing w:line="360" w:lineRule="auto"/>
      <w:ind w:firstLine="480" w:firstLineChars="200"/>
    </w:pPr>
    <w:rPr>
      <w:rFonts w:ascii="仿宋_GB2312" w:eastAsia="仿宋_GB2312"/>
      <w:sz w:val="24"/>
      <w:szCs w:val="20"/>
    </w:rPr>
  </w:style>
  <w:style w:type="character" w:customStyle="1" w:styleId="419">
    <w:name w:val="正文首行缩进 Char Char Char Char Char Char"/>
    <w:qFormat/>
    <w:uiPriority w:val="0"/>
    <w:rPr>
      <w:rFonts w:ascii="宋体" w:eastAsia="宋体"/>
      <w:kern w:val="2"/>
      <w:sz w:val="24"/>
      <w:lang w:val="zh-CN" w:bidi="ar-SA"/>
    </w:rPr>
  </w:style>
  <w:style w:type="character" w:customStyle="1" w:styleId="420">
    <w:name w:val="样式 宋体"/>
    <w:qFormat/>
    <w:uiPriority w:val="0"/>
    <w:rPr>
      <w:rFonts w:ascii="宋体" w:hAnsi="宋体"/>
      <w:sz w:val="24"/>
    </w:rPr>
  </w:style>
  <w:style w:type="character" w:customStyle="1" w:styleId="421">
    <w:name w:val="tw4winJump"/>
    <w:qFormat/>
    <w:uiPriority w:val="0"/>
    <w:rPr>
      <w:rFonts w:ascii="Courier New" w:hAnsi="Courier New" w:cs="Courier New"/>
      <w:color w:val="008080"/>
      <w:lang w:val="en-US" w:eastAsia="zh-CN"/>
    </w:rPr>
  </w:style>
  <w:style w:type="character" w:customStyle="1" w:styleId="422">
    <w:name w:val="标题 1 字符"/>
    <w:qFormat/>
    <w:uiPriority w:val="9"/>
    <w:rPr>
      <w:rFonts w:ascii="Arial" w:hAnsi="Arial" w:eastAsia="黑体" w:cs="Arial"/>
      <w:b/>
      <w:bCs/>
      <w:snapToGrid w:val="0"/>
      <w:kern w:val="44"/>
      <w:sz w:val="44"/>
      <w:szCs w:val="44"/>
    </w:rPr>
  </w:style>
  <w:style w:type="character" w:customStyle="1" w:styleId="423">
    <w:name w:val="style36"/>
    <w:basedOn w:val="69"/>
    <w:qFormat/>
    <w:uiPriority w:val="0"/>
    <w:rPr>
      <w:rFonts w:ascii="Arial" w:hAnsi="Arial" w:eastAsia="黑体" w:cs="Arial"/>
      <w:snapToGrid w:val="0"/>
      <w:kern w:val="0"/>
      <w:szCs w:val="21"/>
    </w:rPr>
  </w:style>
  <w:style w:type="character" w:customStyle="1" w:styleId="424">
    <w:name w:val="pt9"/>
    <w:qFormat/>
    <w:uiPriority w:val="0"/>
    <w:rPr>
      <w:rFonts w:ascii="仿宋_GB2312" w:eastAsia="微软雅黑"/>
      <w:b/>
      <w:kern w:val="2"/>
      <w:sz w:val="32"/>
      <w:szCs w:val="32"/>
      <w:lang w:val="en-US" w:eastAsia="zh-CN" w:bidi="ar-SA"/>
    </w:rPr>
  </w:style>
  <w:style w:type="character" w:customStyle="1" w:styleId="425">
    <w:name w:val="DO_NOT_TRANSLATE"/>
    <w:qFormat/>
    <w:uiPriority w:val="0"/>
    <w:rPr>
      <w:rFonts w:ascii="Courier New" w:hAnsi="Courier New" w:cs="Courier New"/>
      <w:color w:val="800000"/>
      <w:lang w:val="en-US" w:eastAsia="zh-CN"/>
    </w:rPr>
  </w:style>
  <w:style w:type="character" w:customStyle="1" w:styleId="426">
    <w:name w:val="标书1 Char1"/>
    <w:qFormat/>
    <w:uiPriority w:val="0"/>
    <w:rPr>
      <w:rFonts w:eastAsia="宋体"/>
      <w:b/>
      <w:bCs/>
      <w:kern w:val="44"/>
      <w:sz w:val="44"/>
      <w:szCs w:val="44"/>
      <w:lang w:val="en-US" w:eastAsia="zh-CN" w:bidi="ar-SA"/>
    </w:rPr>
  </w:style>
  <w:style w:type="character" w:customStyle="1" w:styleId="427">
    <w:name w:val="页脚 字符"/>
    <w:qFormat/>
    <w:uiPriority w:val="99"/>
    <w:rPr>
      <w:kern w:val="2"/>
      <w:sz w:val="18"/>
      <w:szCs w:val="18"/>
    </w:rPr>
  </w:style>
  <w:style w:type="character" w:customStyle="1" w:styleId="428">
    <w:name w:val="正文2 Char"/>
    <w:qFormat/>
    <w:uiPriority w:val="0"/>
    <w:rPr>
      <w:rFonts w:eastAsia="宋体"/>
      <w:kern w:val="2"/>
      <w:sz w:val="24"/>
      <w:lang w:val="en-US" w:eastAsia="zh-CN" w:bidi="ar-SA"/>
    </w:rPr>
  </w:style>
  <w:style w:type="character" w:customStyle="1" w:styleId="429">
    <w:name w:val="Char Char21"/>
    <w:qFormat/>
    <w:uiPriority w:val="6"/>
    <w:rPr>
      <w:rFonts w:ascii="宋体" w:hAnsi="宋体"/>
      <w:kern w:val="1"/>
      <w:sz w:val="24"/>
      <w:szCs w:val="21"/>
      <w:lang w:val="zh-CN"/>
    </w:rPr>
  </w:style>
  <w:style w:type="character" w:customStyle="1" w:styleId="430">
    <w:name w:val="样式 正文缩进 + 首行缩进:  2 字符 Char Char"/>
    <w:link w:val="431"/>
    <w:qFormat/>
    <w:uiPriority w:val="0"/>
    <w:rPr>
      <w:rFonts w:cs="宋体"/>
      <w:kern w:val="2"/>
      <w:sz w:val="24"/>
    </w:rPr>
  </w:style>
  <w:style w:type="paragraph" w:customStyle="1" w:styleId="431">
    <w:name w:val="样式 正文缩进 + 首行缩进:  2 字符"/>
    <w:basedOn w:val="5"/>
    <w:link w:val="430"/>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2">
    <w:name w:val="正文文本 Char1"/>
    <w:link w:val="23"/>
    <w:qFormat/>
    <w:uiPriority w:val="0"/>
    <w:rPr>
      <w:rFonts w:ascii="宋体" w:hAnsi="Arial" w:eastAsia="宋体" w:cs="Arial"/>
      <w:snapToGrid w:val="0"/>
      <w:kern w:val="2"/>
      <w:sz w:val="24"/>
      <w:szCs w:val="21"/>
      <w:lang w:val="zh-CN" w:eastAsia="zh-CN" w:bidi="ar-SA"/>
    </w:rPr>
  </w:style>
  <w:style w:type="character" w:customStyle="1" w:styleId="433">
    <w:name w:val="gray6"/>
    <w:basedOn w:val="69"/>
    <w:qFormat/>
    <w:uiPriority w:val="0"/>
    <w:rPr>
      <w:rFonts w:ascii="Arial" w:hAnsi="Arial" w:eastAsia="黑体" w:cs="Arial"/>
      <w:snapToGrid w:val="0"/>
      <w:kern w:val="0"/>
      <w:szCs w:val="21"/>
    </w:rPr>
  </w:style>
  <w:style w:type="character" w:customStyle="1" w:styleId="434">
    <w:name w:val="hui"/>
    <w:basedOn w:val="69"/>
    <w:qFormat/>
    <w:uiPriority w:val="0"/>
    <w:rPr>
      <w:rFonts w:ascii="Arial" w:hAnsi="Arial" w:eastAsia="黑体" w:cs="Arial"/>
      <w:snapToGrid w:val="0"/>
      <w:kern w:val="0"/>
      <w:szCs w:val="21"/>
    </w:rPr>
  </w:style>
  <w:style w:type="character" w:customStyle="1" w:styleId="435">
    <w:name w:val="哈哈正文 Char Char"/>
    <w:qFormat/>
    <w:uiPriority w:val="0"/>
    <w:rPr>
      <w:rFonts w:ascii="宋体" w:hAnsi="宋体" w:eastAsia="宋体" w:cs="宋体"/>
      <w:kern w:val="2"/>
      <w:sz w:val="24"/>
      <w:lang w:val="en-US" w:eastAsia="zh-CN" w:bidi="ar-SA"/>
    </w:rPr>
  </w:style>
  <w:style w:type="paragraph" w:customStyle="1" w:styleId="436">
    <w:name w:val="样式 正文文本缩进 + 左侧:  2 字符 首行缩进:  2 字符"/>
    <w:basedOn w:val="24"/>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7">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38">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9">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40">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41">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2">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3">
    <w:name w:val="标题4_自定义"/>
    <w:basedOn w:val="6"/>
    <w:qFormat/>
    <w:uiPriority w:val="0"/>
    <w:pPr>
      <w:adjustRightInd/>
      <w:spacing w:before="0" w:after="0" w:line="360" w:lineRule="auto"/>
    </w:pPr>
    <w:rPr>
      <w:rFonts w:ascii="Verdana" w:eastAsia="Verdana"/>
      <w:sz w:val="21"/>
      <w:lang w:val="en-US"/>
    </w:rPr>
  </w:style>
  <w:style w:type="paragraph" w:customStyle="1" w:styleId="444">
    <w:name w:val="正文 内标 序号标"/>
    <w:basedOn w:val="445"/>
    <w:qFormat/>
    <w:uiPriority w:val="0"/>
    <w:pPr>
      <w:tabs>
        <w:tab w:val="left" w:pos="0"/>
      </w:tabs>
      <w:adjustRightInd/>
      <w:spacing w:before="0"/>
      <w:ind w:firstLine="482"/>
    </w:pPr>
    <w:rPr>
      <w:rFonts w:ascii="微软雅黑" w:hAnsi="微软雅黑"/>
      <w:sz w:val="24"/>
      <w:szCs w:val="24"/>
    </w:rPr>
  </w:style>
  <w:style w:type="paragraph" w:customStyle="1" w:styleId="445">
    <w:name w:val="My正文"/>
    <w:basedOn w:val="1"/>
    <w:qFormat/>
    <w:uiPriority w:val="0"/>
    <w:pPr>
      <w:spacing w:before="120" w:line="360" w:lineRule="auto"/>
      <w:ind w:firstLine="567"/>
    </w:pPr>
    <w:rPr>
      <w:rFonts w:ascii="Arial" w:hAnsi="Arial"/>
      <w:sz w:val="20"/>
      <w:szCs w:val="20"/>
    </w:rPr>
  </w:style>
  <w:style w:type="paragraph" w:customStyle="1" w:styleId="446">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7">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8">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9">
    <w:name w:val="修订2"/>
    <w:qFormat/>
    <w:uiPriority w:val="0"/>
    <w:rPr>
      <w:rFonts w:ascii="Times New Roman" w:hAnsi="Times New Roman" w:eastAsia="宋体" w:cs="Times New Roman"/>
      <w:kern w:val="2"/>
      <w:sz w:val="21"/>
      <w:lang w:val="en-US" w:eastAsia="zh-CN" w:bidi="ar-SA"/>
    </w:rPr>
  </w:style>
  <w:style w:type="paragraph" w:customStyle="1" w:styleId="450">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51">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2">
    <w:name w:val="文章标题"/>
    <w:next w:val="453"/>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3">
    <w:name w:val="封面公司名"/>
    <w:qFormat/>
    <w:uiPriority w:val="0"/>
    <w:pPr>
      <w:jc w:val="center"/>
    </w:pPr>
    <w:rPr>
      <w:rFonts w:ascii="Arial" w:hAnsi="Arial" w:eastAsia="楷体_GB2312" w:cs="宋体"/>
      <w:bCs/>
      <w:kern w:val="2"/>
      <w:sz w:val="28"/>
      <w:lang w:val="en-US" w:eastAsia="zh-CN" w:bidi="ar-SA"/>
    </w:rPr>
  </w:style>
  <w:style w:type="paragraph" w:customStyle="1" w:styleId="454">
    <w:name w:val="Char1 Char Char Char5"/>
    <w:basedOn w:val="1"/>
    <w:qFormat/>
    <w:uiPriority w:val="0"/>
    <w:pPr>
      <w:adjustRightInd/>
      <w:ind w:firstLine="200" w:firstLineChars="200"/>
    </w:pPr>
    <w:rPr>
      <w:rFonts w:ascii="Tahoma" w:hAnsi="Tahoma"/>
      <w:sz w:val="24"/>
      <w:szCs w:val="20"/>
    </w:rPr>
  </w:style>
  <w:style w:type="paragraph" w:customStyle="1" w:styleId="455">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6">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7">
    <w:name w:val="Char Char Char Char Char Char Char Char"/>
    <w:basedOn w:val="1"/>
    <w:qFormat/>
    <w:uiPriority w:val="0"/>
    <w:pPr>
      <w:tabs>
        <w:tab w:val="left" w:pos="360"/>
      </w:tabs>
    </w:pPr>
    <w:rPr>
      <w:sz w:val="24"/>
      <w:szCs w:val="20"/>
    </w:rPr>
  </w:style>
  <w:style w:type="paragraph" w:customStyle="1" w:styleId="458">
    <w:name w:val="Char Char11 Char Char Char"/>
    <w:basedOn w:val="1"/>
    <w:qFormat/>
    <w:uiPriority w:val="0"/>
    <w:pPr>
      <w:spacing w:line="360" w:lineRule="auto"/>
    </w:pPr>
    <w:rPr>
      <w:szCs w:val="20"/>
    </w:rPr>
  </w:style>
  <w:style w:type="paragraph" w:customStyle="1" w:styleId="459">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60">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61">
    <w:name w:val="样式3"/>
    <w:basedOn w:val="462"/>
    <w:qFormat/>
    <w:uiPriority w:val="0"/>
    <w:pPr>
      <w:tabs>
        <w:tab w:val="left" w:pos="2790"/>
        <w:tab w:val="left" w:pos="4230"/>
      </w:tabs>
      <w:spacing w:before="312" w:beforeLines="100"/>
      <w:jc w:val="left"/>
    </w:pPr>
  </w:style>
  <w:style w:type="paragraph" w:customStyle="1" w:styleId="462">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3">
    <w:name w:val="Char Char1 Char Char1 Char Char1"/>
    <w:basedOn w:val="1"/>
    <w:qFormat/>
    <w:uiPriority w:val="0"/>
    <w:pPr>
      <w:tabs>
        <w:tab w:val="left" w:pos="840"/>
      </w:tabs>
      <w:ind w:left="840" w:hanging="420"/>
    </w:pPr>
    <w:rPr>
      <w:rFonts w:ascii="Tahoma" w:hAnsi="Tahoma"/>
      <w:sz w:val="24"/>
    </w:rPr>
  </w:style>
  <w:style w:type="paragraph" w:customStyle="1" w:styleId="464">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5">
    <w:name w:val="标书标题2"/>
    <w:basedOn w:val="3"/>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6">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7">
    <w:name w:val="正文21"/>
    <w:basedOn w:val="1"/>
    <w:qFormat/>
    <w:uiPriority w:val="0"/>
    <w:pPr>
      <w:adjustRightInd/>
      <w:spacing w:before="156" w:line="360" w:lineRule="auto"/>
      <w:ind w:firstLine="510" w:firstLineChars="200"/>
    </w:pPr>
    <w:rPr>
      <w:sz w:val="24"/>
      <w:szCs w:val="20"/>
    </w:rPr>
  </w:style>
  <w:style w:type="paragraph" w:customStyle="1" w:styleId="468">
    <w:name w:val="Test2"/>
    <w:basedOn w:val="3"/>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9">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70">
    <w:name w:val="Char1"/>
    <w:basedOn w:val="1"/>
    <w:qFormat/>
    <w:uiPriority w:val="0"/>
    <w:rPr>
      <w:rFonts w:ascii="仿宋_GB2312" w:eastAsia="仿宋_GB2312"/>
      <w:b/>
      <w:sz w:val="32"/>
      <w:szCs w:val="32"/>
    </w:rPr>
  </w:style>
  <w:style w:type="paragraph" w:customStyle="1" w:styleId="471">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2">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3">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4">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5">
    <w:name w:val="6级标题"/>
    <w:basedOn w:val="476"/>
    <w:qFormat/>
    <w:uiPriority w:val="0"/>
    <w:pPr>
      <w:keepNext/>
      <w:tabs>
        <w:tab w:val="left" w:pos="360"/>
      </w:tabs>
      <w:spacing w:before="0" w:after="0"/>
      <w:outlineLvl w:val="5"/>
    </w:pPr>
  </w:style>
  <w:style w:type="paragraph" w:customStyle="1" w:styleId="476">
    <w:name w:val="5级标题"/>
    <w:basedOn w:val="477"/>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7">
    <w:name w:val="4级标题"/>
    <w:basedOn w:val="260"/>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8">
    <w:name w:val="样式 正文文本缩进 + 段前: 2 字符"/>
    <w:basedOn w:val="1"/>
    <w:qFormat/>
    <w:uiPriority w:val="0"/>
    <w:pPr>
      <w:adjustRightInd/>
      <w:ind w:left="420" w:leftChars="200"/>
      <w:jc w:val="left"/>
    </w:pPr>
    <w:rPr>
      <w:sz w:val="28"/>
      <w:szCs w:val="20"/>
      <w:lang w:eastAsia="zh-TW"/>
    </w:rPr>
  </w:style>
  <w:style w:type="paragraph" w:customStyle="1" w:styleId="479">
    <w:name w:val="Char2 Char Char"/>
    <w:basedOn w:val="1"/>
    <w:qFormat/>
    <w:uiPriority w:val="0"/>
    <w:pPr>
      <w:adjustRightInd/>
    </w:pPr>
    <w:rPr>
      <w:rFonts w:ascii="Tahoma" w:hAnsi="Tahoma"/>
      <w:sz w:val="24"/>
      <w:szCs w:val="20"/>
    </w:rPr>
  </w:style>
  <w:style w:type="paragraph" w:customStyle="1" w:styleId="480">
    <w:name w:val="_Style 11"/>
    <w:basedOn w:val="1"/>
    <w:qFormat/>
    <w:uiPriority w:val="34"/>
    <w:pPr>
      <w:adjustRightInd/>
      <w:ind w:firstLine="420" w:firstLineChars="200"/>
    </w:pPr>
    <w:rPr>
      <w:rFonts w:eastAsia="仿宋_GB2312"/>
      <w:sz w:val="28"/>
    </w:rPr>
  </w:style>
  <w:style w:type="paragraph" w:customStyle="1" w:styleId="481">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2">
    <w:name w:val="Char Char Char"/>
    <w:basedOn w:val="1"/>
    <w:qFormat/>
    <w:uiPriority w:val="0"/>
    <w:rPr>
      <w:rFonts w:ascii="Tahoma" w:hAnsi="Tahoma"/>
      <w:sz w:val="24"/>
      <w:szCs w:val="20"/>
    </w:rPr>
  </w:style>
  <w:style w:type="paragraph" w:customStyle="1" w:styleId="483">
    <w:name w:val="数字标题6"/>
    <w:basedOn w:val="8"/>
    <w:next w:val="1"/>
    <w:qFormat/>
    <w:uiPriority w:val="0"/>
    <w:pPr>
      <w:tabs>
        <w:tab w:val="left" w:pos="1080"/>
      </w:tabs>
      <w:ind w:left="1080" w:hanging="1080"/>
    </w:pPr>
    <w:rPr>
      <w:rFonts w:ascii="Times New Roman" w:hAnsi="Times New Roman" w:eastAsia="宋体"/>
      <w:i/>
    </w:rPr>
  </w:style>
  <w:style w:type="paragraph" w:customStyle="1" w:styleId="484">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5">
    <w:name w:val="无间隔2"/>
    <w:basedOn w:val="1"/>
    <w:link w:val="935"/>
    <w:qFormat/>
    <w:uiPriority w:val="99"/>
    <w:rPr>
      <w:szCs w:val="22"/>
    </w:rPr>
  </w:style>
  <w:style w:type="paragraph" w:customStyle="1" w:styleId="486">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7">
    <w:name w:val="Char Char Char Char Char Char Char Char Char Char Char Char1 Char1"/>
    <w:basedOn w:val="1"/>
    <w:qFormat/>
    <w:uiPriority w:val="6"/>
    <w:rPr>
      <w:rFonts w:ascii="Tahoma" w:hAnsi="Tahoma" w:cs="仿宋_GB2312"/>
      <w:sz w:val="24"/>
      <w:szCs w:val="20"/>
    </w:rPr>
  </w:style>
  <w:style w:type="paragraph" w:customStyle="1" w:styleId="488">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9">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90">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91">
    <w:name w:val="MM Topic 2"/>
    <w:basedOn w:val="3"/>
    <w:qFormat/>
    <w:uiPriority w:val="0"/>
    <w:pPr>
      <w:tabs>
        <w:tab w:val="left" w:pos="1260"/>
      </w:tabs>
      <w:ind w:left="1260" w:hanging="420"/>
    </w:pPr>
    <w:rPr>
      <w:rFonts w:ascii="Arial" w:hAnsi="Arial" w:eastAsia="黑体"/>
      <w:lang w:val="en-US"/>
    </w:rPr>
  </w:style>
  <w:style w:type="paragraph" w:customStyle="1" w:styleId="492">
    <w:name w:val="五级无标题条"/>
    <w:basedOn w:val="1"/>
    <w:qFormat/>
    <w:uiPriority w:val="0"/>
    <w:pPr>
      <w:adjustRightInd/>
    </w:pPr>
  </w:style>
  <w:style w:type="paragraph" w:customStyle="1" w:styleId="493">
    <w:name w:val="Char5"/>
    <w:basedOn w:val="1"/>
    <w:qFormat/>
    <w:uiPriority w:val="0"/>
    <w:rPr>
      <w:rFonts w:ascii="仿宋_GB2312" w:eastAsia="仿宋_GB2312"/>
      <w:b/>
      <w:sz w:val="32"/>
      <w:szCs w:val="32"/>
    </w:rPr>
  </w:style>
  <w:style w:type="paragraph" w:customStyle="1" w:styleId="494">
    <w:name w:val="TOC 标题1"/>
    <w:basedOn w:val="2"/>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5">
    <w:name w:val="彩色列表 - 强调文字颜色 12"/>
    <w:basedOn w:val="1"/>
    <w:qFormat/>
    <w:uiPriority w:val="0"/>
    <w:pPr>
      <w:adjustRightInd/>
      <w:ind w:firstLine="420" w:firstLineChars="200"/>
    </w:pPr>
    <w:rPr>
      <w:rFonts w:ascii="Calibri" w:hAnsi="Calibri"/>
      <w:szCs w:val="22"/>
    </w:rPr>
  </w:style>
  <w:style w:type="paragraph" w:customStyle="1" w:styleId="496">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7">
    <w:name w:val="Char2"/>
    <w:basedOn w:val="1"/>
    <w:qFormat/>
    <w:uiPriority w:val="0"/>
    <w:rPr>
      <w:rFonts w:ascii="仿宋_GB2312" w:eastAsia="仿宋_GB2312"/>
      <w:b/>
      <w:sz w:val="32"/>
      <w:szCs w:val="32"/>
    </w:rPr>
  </w:style>
  <w:style w:type="paragraph" w:customStyle="1" w:styleId="498">
    <w:name w:val="数字标题3"/>
    <w:basedOn w:val="4"/>
    <w:next w:val="1"/>
    <w:qFormat/>
    <w:uiPriority w:val="0"/>
    <w:pPr>
      <w:spacing w:line="240" w:lineRule="auto"/>
    </w:pPr>
    <w:rPr>
      <w:sz w:val="28"/>
      <w:szCs w:val="28"/>
    </w:rPr>
  </w:style>
  <w:style w:type="paragraph" w:customStyle="1" w:styleId="499">
    <w:name w:val="FA正文"/>
    <w:basedOn w:val="1"/>
    <w:qFormat/>
    <w:uiPriority w:val="0"/>
    <w:pPr>
      <w:spacing w:line="360" w:lineRule="auto"/>
      <w:ind w:firstLine="480" w:firstLineChars="200"/>
    </w:pPr>
    <w:rPr>
      <w:rFonts w:hAnsi="宋体"/>
      <w:sz w:val="24"/>
      <w:szCs w:val="20"/>
    </w:rPr>
  </w:style>
  <w:style w:type="paragraph" w:customStyle="1" w:styleId="500">
    <w:name w:val="MM Topic 5"/>
    <w:basedOn w:val="7"/>
    <w:qFormat/>
    <w:uiPriority w:val="0"/>
    <w:pPr>
      <w:tabs>
        <w:tab w:val="left" w:pos="2520"/>
      </w:tabs>
      <w:adjustRightInd/>
      <w:ind w:left="2520" w:hanging="420"/>
    </w:pPr>
  </w:style>
  <w:style w:type="paragraph" w:customStyle="1" w:styleId="501">
    <w:name w:val="Char Char Char Char Char Char Char Char Char Char1"/>
    <w:basedOn w:val="1"/>
    <w:qFormat/>
    <w:uiPriority w:val="0"/>
    <w:rPr>
      <w:rFonts w:ascii="仿宋_GB2312" w:eastAsia="仿宋_GB2312"/>
      <w:b/>
      <w:sz w:val="32"/>
      <w:szCs w:val="32"/>
    </w:rPr>
  </w:style>
  <w:style w:type="paragraph" w:customStyle="1" w:styleId="502">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3">
    <w:name w:val="修订1"/>
    <w:qFormat/>
    <w:uiPriority w:val="3"/>
    <w:rPr>
      <w:rFonts w:ascii="Times New Roman" w:hAnsi="Times New Roman" w:eastAsia="宋体" w:cs="Times New Roman"/>
      <w:color w:val="000000"/>
      <w:kern w:val="1"/>
      <w:sz w:val="21"/>
      <w:lang w:val="en-US" w:eastAsia="zh-CN" w:bidi="ar-SA"/>
    </w:rPr>
  </w:style>
  <w:style w:type="paragraph" w:customStyle="1" w:styleId="504">
    <w:name w:val="Char2 Char Char Char"/>
    <w:basedOn w:val="1"/>
    <w:qFormat/>
    <w:uiPriority w:val="0"/>
    <w:rPr>
      <w:rFonts w:ascii="仿宋_GB2312" w:eastAsia="仿宋_GB2312"/>
      <w:b/>
      <w:sz w:val="32"/>
      <w:szCs w:val="32"/>
    </w:rPr>
  </w:style>
  <w:style w:type="paragraph" w:customStyle="1" w:styleId="505">
    <w:name w:val="Char2 Char Char Char1"/>
    <w:basedOn w:val="1"/>
    <w:qFormat/>
    <w:uiPriority w:val="6"/>
    <w:rPr>
      <w:rFonts w:ascii="仿宋_GB2312" w:eastAsia="仿宋_GB2312"/>
      <w:b/>
      <w:sz w:val="32"/>
      <w:szCs w:val="32"/>
    </w:rPr>
  </w:style>
  <w:style w:type="paragraph" w:customStyle="1" w:styleId="506">
    <w:name w:val="默认段落样式"/>
    <w:basedOn w:val="131"/>
    <w:qFormat/>
    <w:uiPriority w:val="0"/>
    <w:pPr>
      <w:spacing w:before="0"/>
      <w:ind w:firstLine="480"/>
      <w:outlineLvl w:val="2"/>
    </w:pPr>
    <w:rPr>
      <w:rFonts w:ascii="仿宋_GB2312" w:hAnsi="宋体" w:eastAsia="仿宋_GB2312"/>
      <w:color w:val="000000"/>
      <w:szCs w:val="24"/>
    </w:rPr>
  </w:style>
  <w:style w:type="paragraph" w:customStyle="1" w:styleId="507">
    <w:name w:val="图中文字"/>
    <w:basedOn w:val="1"/>
    <w:qFormat/>
    <w:uiPriority w:val="0"/>
    <w:pPr>
      <w:snapToGrid w:val="0"/>
      <w:spacing w:line="0" w:lineRule="atLeast"/>
      <w:ind w:firstLine="200" w:firstLineChars="200"/>
      <w:jc w:val="center"/>
    </w:pPr>
    <w:rPr>
      <w:sz w:val="24"/>
      <w:szCs w:val="20"/>
    </w:rPr>
  </w:style>
  <w:style w:type="paragraph" w:customStyle="1" w:styleId="508">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9">
    <w:name w:val="MM Topic 3"/>
    <w:basedOn w:val="4"/>
    <w:qFormat/>
    <w:uiPriority w:val="0"/>
    <w:pPr>
      <w:tabs>
        <w:tab w:val="left" w:pos="1680"/>
      </w:tabs>
      <w:adjustRightInd/>
      <w:ind w:left="1680" w:hanging="420"/>
    </w:pPr>
  </w:style>
  <w:style w:type="paragraph" w:customStyle="1" w:styleId="510">
    <w:name w:val="标准小四"/>
    <w:basedOn w:val="1"/>
    <w:qFormat/>
    <w:uiPriority w:val="0"/>
    <w:pPr>
      <w:spacing w:line="360" w:lineRule="auto"/>
      <w:ind w:firstLine="480" w:firstLineChars="200"/>
    </w:pPr>
    <w:rPr>
      <w:rFonts w:ascii="Arial" w:hAnsi="Arial"/>
      <w:sz w:val="24"/>
      <w:szCs w:val="21"/>
    </w:rPr>
  </w:style>
  <w:style w:type="paragraph" w:customStyle="1" w:styleId="511">
    <w:name w:val="样式 标题 2H2h2Underrubrik1prop2l2Chapter Titlesect 1.2DO NO..."/>
    <w:basedOn w:val="3"/>
    <w:qFormat/>
    <w:uiPriority w:val="0"/>
    <w:pPr>
      <w:spacing w:before="120" w:after="120"/>
      <w:ind w:left="425" w:hanging="425"/>
    </w:pPr>
    <w:rPr>
      <w:rFonts w:ascii="微软雅黑" w:hAnsi="微软雅黑" w:eastAsia="微软雅黑" w:cs="宋体"/>
      <w:szCs w:val="20"/>
      <w:lang w:val="en-US"/>
    </w:rPr>
  </w:style>
  <w:style w:type="paragraph" w:customStyle="1" w:styleId="512">
    <w:name w:val="表格（小）"/>
    <w:basedOn w:val="1"/>
    <w:qFormat/>
    <w:uiPriority w:val="0"/>
    <w:pPr>
      <w:adjustRightInd/>
      <w:snapToGrid w:val="0"/>
      <w:spacing w:line="300" w:lineRule="auto"/>
    </w:pPr>
    <w:rPr>
      <w:rFonts w:eastAsia="仿宋"/>
      <w:szCs w:val="21"/>
    </w:rPr>
  </w:style>
  <w:style w:type="paragraph" w:customStyle="1" w:styleId="513">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4">
    <w:name w:val="Char2 Char Char1"/>
    <w:basedOn w:val="1"/>
    <w:qFormat/>
    <w:uiPriority w:val="6"/>
    <w:pPr>
      <w:adjustRightInd/>
    </w:pPr>
    <w:rPr>
      <w:rFonts w:ascii="Tahoma" w:hAnsi="Tahoma"/>
      <w:sz w:val="24"/>
      <w:szCs w:val="20"/>
    </w:rPr>
  </w:style>
  <w:style w:type="paragraph" w:customStyle="1" w:styleId="515">
    <w:name w:val="列出段落5"/>
    <w:basedOn w:val="1"/>
    <w:qFormat/>
    <w:uiPriority w:val="0"/>
    <w:pPr>
      <w:spacing w:line="360" w:lineRule="auto"/>
      <w:ind w:firstLine="200" w:firstLineChars="200"/>
    </w:pPr>
    <w:rPr>
      <w:rFonts w:eastAsia="楷体_GB2312" w:cs="Lucida Sans"/>
      <w:sz w:val="24"/>
    </w:rPr>
  </w:style>
  <w:style w:type="paragraph" w:customStyle="1" w:styleId="516">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7">
    <w:name w:val="表格文字"/>
    <w:basedOn w:val="1"/>
    <w:next w:val="5"/>
    <w:qFormat/>
    <w:uiPriority w:val="0"/>
    <w:pPr>
      <w:adjustRightInd/>
      <w:ind w:firstLine="200" w:firstLineChars="200"/>
    </w:pPr>
    <w:rPr>
      <w:rFonts w:ascii="Arial" w:hAnsi="Arial"/>
      <w:spacing w:val="-5"/>
      <w:kern w:val="0"/>
      <w:sz w:val="24"/>
      <w:szCs w:val="20"/>
    </w:rPr>
  </w:style>
  <w:style w:type="paragraph" w:customStyle="1" w:styleId="518">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9">
    <w:name w:val="TOC 标题111"/>
    <w:basedOn w:val="2"/>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20">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21">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22">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3">
    <w:name w:val="_Style 3"/>
    <w:basedOn w:val="1"/>
    <w:qFormat/>
    <w:uiPriority w:val="0"/>
    <w:pPr>
      <w:adjustRightInd/>
      <w:ind w:firstLine="420" w:firstLineChars="200"/>
    </w:pPr>
    <w:rPr>
      <w:rFonts w:eastAsia="仿宋_GB2312"/>
      <w:sz w:val="28"/>
    </w:rPr>
  </w:style>
  <w:style w:type="paragraph" w:customStyle="1" w:styleId="524">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5">
    <w:name w:val="Bulleting First Indent 1"/>
    <w:basedOn w:val="60"/>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6">
    <w:name w:val="左对齐表格文字"/>
    <w:basedOn w:val="1"/>
    <w:qFormat/>
    <w:uiPriority w:val="0"/>
    <w:pPr>
      <w:adjustRightInd/>
      <w:ind w:firstLine="200" w:firstLineChars="200"/>
      <w:jc w:val="right"/>
    </w:pPr>
  </w:style>
  <w:style w:type="paragraph" w:customStyle="1" w:styleId="527">
    <w:name w:val="Char Char11 Char Char Char Char Char Char Char Char Char"/>
    <w:basedOn w:val="1"/>
    <w:qFormat/>
    <w:uiPriority w:val="0"/>
    <w:pPr>
      <w:spacing w:line="360" w:lineRule="auto"/>
    </w:pPr>
    <w:rPr>
      <w:szCs w:val="20"/>
    </w:rPr>
  </w:style>
  <w:style w:type="paragraph" w:customStyle="1" w:styleId="528">
    <w:name w:val="正文1.25"/>
    <w:basedOn w:val="1"/>
    <w:qFormat/>
    <w:uiPriority w:val="0"/>
    <w:pPr>
      <w:adjustRightInd/>
      <w:spacing w:line="300" w:lineRule="auto"/>
      <w:ind w:firstLine="480" w:firstLineChars="200"/>
    </w:pPr>
    <w:rPr>
      <w:sz w:val="24"/>
      <w:szCs w:val="20"/>
    </w:rPr>
  </w:style>
  <w:style w:type="paragraph" w:customStyle="1" w:styleId="529">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30">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31">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2">
    <w:name w:val="Char Char1 Char Char Char1"/>
    <w:basedOn w:val="1"/>
    <w:qFormat/>
    <w:uiPriority w:val="6"/>
    <w:rPr>
      <w:rFonts w:ascii="仿宋_GB2312" w:eastAsia="仿宋_GB2312"/>
      <w:b/>
      <w:sz w:val="32"/>
      <w:szCs w:val="20"/>
    </w:rPr>
  </w:style>
  <w:style w:type="paragraph" w:customStyle="1" w:styleId="533">
    <w:name w:val="列出段落2"/>
    <w:basedOn w:val="1"/>
    <w:qFormat/>
    <w:uiPriority w:val="0"/>
    <w:pPr>
      <w:adjustRightInd/>
      <w:ind w:firstLine="420" w:firstLineChars="200"/>
    </w:pPr>
    <w:rPr>
      <w:rFonts w:ascii="宋体" w:hAnsi="宋体"/>
      <w:sz w:val="24"/>
    </w:rPr>
  </w:style>
  <w:style w:type="paragraph" w:customStyle="1" w:styleId="534">
    <w:name w:val="默认段落字体 Para Char Char Char Char Char Char Char"/>
    <w:basedOn w:val="1"/>
    <w:qFormat/>
    <w:uiPriority w:val="0"/>
    <w:rPr>
      <w:rFonts w:eastAsia="仿宋_GB2312"/>
      <w:sz w:val="28"/>
      <w:szCs w:val="20"/>
    </w:rPr>
  </w:style>
  <w:style w:type="paragraph" w:customStyle="1" w:styleId="535">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6">
    <w:name w:val="样式 标题 4PIM 4H4h4bulletblbbH41H42H43H44H45H46H47H48...1"/>
    <w:basedOn w:val="6"/>
    <w:qFormat/>
    <w:uiPriority w:val="0"/>
    <w:pPr>
      <w:widowControl/>
      <w:jc w:val="left"/>
    </w:pPr>
    <w:rPr>
      <w:rFonts w:cs="宋体"/>
      <w:sz w:val="24"/>
      <w:szCs w:val="20"/>
    </w:rPr>
  </w:style>
  <w:style w:type="paragraph" w:customStyle="1" w:styleId="537">
    <w:name w:val="彩色列表 - 强调文字颜色 11"/>
    <w:basedOn w:val="1"/>
    <w:qFormat/>
    <w:uiPriority w:val="0"/>
    <w:pPr>
      <w:adjustRightInd/>
      <w:ind w:firstLine="420" w:firstLineChars="200"/>
    </w:pPr>
    <w:rPr>
      <w:rFonts w:ascii="Calibri" w:hAnsi="Calibri"/>
      <w:szCs w:val="22"/>
    </w:rPr>
  </w:style>
  <w:style w:type="paragraph" w:customStyle="1" w:styleId="538">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9">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40">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41">
    <w:name w:val="Char Char Char1 Char1"/>
    <w:basedOn w:val="1"/>
    <w:qFormat/>
    <w:uiPriority w:val="6"/>
    <w:rPr>
      <w:szCs w:val="20"/>
    </w:rPr>
  </w:style>
  <w:style w:type="paragraph" w:customStyle="1" w:styleId="542">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3">
    <w:name w:val="样式 标题 2 + 宋体 左侧:  1.76 厘米 首行缩进:  0 厘米"/>
    <w:basedOn w:val="3"/>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4">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5">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46">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7">
    <w:name w:val="CM14"/>
    <w:basedOn w:val="235"/>
    <w:next w:val="235"/>
    <w:qFormat/>
    <w:uiPriority w:val="0"/>
    <w:pPr>
      <w:spacing w:after="68"/>
    </w:pPr>
    <w:rPr>
      <w:rFonts w:ascii="FHLHE E+ Futura Bk" w:eastAsia="FHLHE E+ Futura Bk" w:cs="Times New Roman"/>
      <w:color w:val="auto"/>
    </w:rPr>
  </w:style>
  <w:style w:type="paragraph" w:customStyle="1" w:styleId="548">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9">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50">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51">
    <w:name w:val="正文文字 2"/>
    <w:basedOn w:val="235"/>
    <w:next w:val="235"/>
    <w:qFormat/>
    <w:uiPriority w:val="0"/>
    <w:rPr>
      <w:rFonts w:ascii="宋体" w:eastAsia="宋体" w:cs="Times New Roman"/>
      <w:color w:val="auto"/>
    </w:rPr>
  </w:style>
  <w:style w:type="paragraph" w:customStyle="1" w:styleId="552">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3">
    <w:name w:val="Char Char1 Char"/>
    <w:basedOn w:val="1"/>
    <w:qFormat/>
    <w:uiPriority w:val="0"/>
    <w:rPr>
      <w:rFonts w:ascii="仿宋_GB2312" w:eastAsia="仿宋_GB2312"/>
      <w:b/>
      <w:sz w:val="32"/>
      <w:szCs w:val="32"/>
    </w:rPr>
  </w:style>
  <w:style w:type="paragraph" w:customStyle="1" w:styleId="554">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5">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56">
    <w:name w:val="Char Char111"/>
    <w:basedOn w:val="1"/>
    <w:qFormat/>
    <w:uiPriority w:val="0"/>
    <w:pPr>
      <w:spacing w:line="360" w:lineRule="auto"/>
    </w:pPr>
    <w:rPr>
      <w:szCs w:val="20"/>
    </w:rPr>
  </w:style>
  <w:style w:type="paragraph" w:customStyle="1" w:styleId="557">
    <w:name w:val="Char"/>
    <w:basedOn w:val="1"/>
    <w:qFormat/>
    <w:uiPriority w:val="0"/>
    <w:rPr>
      <w:rFonts w:ascii="仿宋_GB2312" w:eastAsia="仿宋_GB2312"/>
      <w:b/>
      <w:sz w:val="32"/>
      <w:szCs w:val="32"/>
    </w:rPr>
  </w:style>
  <w:style w:type="paragraph" w:customStyle="1" w:styleId="558">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9">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60">
    <w:name w:val="Char Char Char1 Char"/>
    <w:basedOn w:val="1"/>
    <w:qFormat/>
    <w:uiPriority w:val="0"/>
    <w:rPr>
      <w:szCs w:val="20"/>
    </w:rPr>
  </w:style>
  <w:style w:type="paragraph" w:customStyle="1" w:styleId="561">
    <w:name w:val="正文标准"/>
    <w:basedOn w:val="1"/>
    <w:qFormat/>
    <w:uiPriority w:val="0"/>
    <w:pPr>
      <w:adjustRightInd/>
      <w:spacing w:line="360" w:lineRule="auto"/>
      <w:ind w:firstLine="200" w:firstLineChars="200"/>
    </w:pPr>
    <w:rPr>
      <w:rFonts w:ascii="宋体" w:hAnsi="Calibri"/>
      <w:sz w:val="24"/>
    </w:rPr>
  </w:style>
  <w:style w:type="paragraph" w:customStyle="1" w:styleId="562">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3">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4">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5">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66">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7">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8">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69">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0">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71">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2">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3">
    <w:name w:val="标准有序列表（L1）"/>
    <w:basedOn w:val="5"/>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4">
    <w:name w:val="Char Char Char Char Char Char Char Char Char Char"/>
    <w:basedOn w:val="1"/>
    <w:qFormat/>
    <w:uiPriority w:val="0"/>
    <w:rPr>
      <w:rFonts w:ascii="仿宋_GB2312" w:eastAsia="仿宋_GB2312"/>
      <w:b/>
      <w:sz w:val="32"/>
      <w:szCs w:val="32"/>
    </w:rPr>
  </w:style>
  <w:style w:type="paragraph" w:customStyle="1" w:styleId="575">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6">
    <w:name w:val="_正文段落"/>
    <w:basedOn w:val="1"/>
    <w:qFormat/>
    <w:uiPriority w:val="0"/>
    <w:pPr>
      <w:adjustRightInd/>
      <w:ind w:firstLine="560"/>
    </w:pPr>
    <w:rPr>
      <w:rFonts w:ascii="仿宋_GB2312" w:hAnsi="仿宋" w:eastAsia="仿宋_GB2312"/>
      <w:kern w:val="0"/>
      <w:sz w:val="28"/>
      <w:szCs w:val="28"/>
    </w:rPr>
  </w:style>
  <w:style w:type="paragraph" w:customStyle="1" w:styleId="577">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8">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9">
    <w:name w:val="正文（首行缩进）"/>
    <w:basedOn w:val="24"/>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80">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81">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2">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3">
    <w:name w:val="Char Char Char1 Char2"/>
    <w:basedOn w:val="1"/>
    <w:qFormat/>
    <w:uiPriority w:val="0"/>
    <w:rPr>
      <w:szCs w:val="20"/>
    </w:rPr>
  </w:style>
  <w:style w:type="paragraph" w:customStyle="1" w:styleId="584">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5">
    <w:name w:val="默认段落字体 Para Char"/>
    <w:basedOn w:val="1"/>
    <w:qFormat/>
    <w:uiPriority w:val="0"/>
    <w:rPr>
      <w:rFonts w:ascii="Tahoma" w:hAnsi="Tahoma"/>
      <w:sz w:val="24"/>
      <w:szCs w:val="20"/>
    </w:rPr>
  </w:style>
  <w:style w:type="paragraph" w:customStyle="1" w:styleId="586">
    <w:name w:val="标题五"/>
    <w:basedOn w:val="1"/>
    <w:qFormat/>
    <w:uiPriority w:val="0"/>
    <w:pPr>
      <w:adjustRightInd/>
      <w:spacing w:before="156" w:beforeLines="50" w:line="360" w:lineRule="auto"/>
    </w:pPr>
    <w:rPr>
      <w:b/>
      <w:sz w:val="24"/>
    </w:rPr>
  </w:style>
  <w:style w:type="paragraph" w:customStyle="1" w:styleId="587">
    <w:name w:val="Char Char1101"/>
    <w:basedOn w:val="1"/>
    <w:qFormat/>
    <w:uiPriority w:val="0"/>
    <w:pPr>
      <w:spacing w:line="360" w:lineRule="auto"/>
    </w:pPr>
    <w:rPr>
      <w:rFonts w:ascii="Tahoma" w:hAnsi="Tahoma"/>
      <w:sz w:val="24"/>
      <w:szCs w:val="20"/>
    </w:rPr>
  </w:style>
  <w:style w:type="paragraph" w:customStyle="1" w:styleId="588">
    <w:name w:val="Char Char Char Char Char Char Char Char1"/>
    <w:basedOn w:val="1"/>
    <w:qFormat/>
    <w:uiPriority w:val="0"/>
    <w:pPr>
      <w:tabs>
        <w:tab w:val="left" w:pos="360"/>
      </w:tabs>
    </w:pPr>
    <w:rPr>
      <w:sz w:val="24"/>
      <w:szCs w:val="20"/>
    </w:rPr>
  </w:style>
  <w:style w:type="paragraph" w:customStyle="1" w:styleId="589">
    <w:name w:val="Char Char Char 字元 字元"/>
    <w:basedOn w:val="1"/>
    <w:qFormat/>
    <w:uiPriority w:val="0"/>
    <w:pPr>
      <w:adjustRightInd/>
      <w:spacing w:line="360" w:lineRule="auto"/>
      <w:ind w:firstLine="200" w:firstLineChars="200"/>
    </w:pPr>
    <w:rPr>
      <w:szCs w:val="20"/>
    </w:rPr>
  </w:style>
  <w:style w:type="paragraph" w:customStyle="1" w:styleId="590">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1">
    <w:name w:val="Char Char Char Char Char Char Char"/>
    <w:basedOn w:val="1"/>
    <w:qFormat/>
    <w:uiPriority w:val="0"/>
    <w:rPr>
      <w:rFonts w:ascii="仿宋_GB2312" w:eastAsia="仿宋_GB2312"/>
      <w:b/>
      <w:sz w:val="32"/>
      <w:szCs w:val="32"/>
    </w:rPr>
  </w:style>
  <w:style w:type="paragraph" w:customStyle="1" w:styleId="592">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3">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4">
    <w:name w:val="样式 标题 22h2L1 Heading 2H2sect 1.2H21sect 1.21H22sect 1.2..."/>
    <w:basedOn w:val="3"/>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5">
    <w:name w:val="样式6"/>
    <w:basedOn w:val="32"/>
    <w:qFormat/>
    <w:uiPriority w:val="0"/>
    <w:pPr>
      <w:spacing w:line="460" w:lineRule="exact"/>
      <w:outlineLvl w:val="2"/>
    </w:pPr>
    <w:rPr>
      <w:rFonts w:ascii="仿宋_GB2312" w:hAnsi="宋体" w:eastAsia="仿宋_GB2312"/>
      <w:b/>
      <w:bCs/>
      <w:sz w:val="24"/>
      <w:szCs w:val="24"/>
    </w:rPr>
  </w:style>
  <w:style w:type="paragraph" w:customStyle="1" w:styleId="596">
    <w:name w:val="批注框文本 Char Char"/>
    <w:basedOn w:val="1"/>
    <w:qFormat/>
    <w:uiPriority w:val="0"/>
    <w:pPr>
      <w:adjustRightInd/>
    </w:pPr>
    <w:rPr>
      <w:sz w:val="18"/>
      <w:szCs w:val="20"/>
    </w:rPr>
  </w:style>
  <w:style w:type="paragraph" w:customStyle="1" w:styleId="597">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8">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9">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600">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601">
    <w:name w:val="索引 11"/>
    <w:basedOn w:val="1"/>
    <w:next w:val="1"/>
    <w:qFormat/>
    <w:uiPriority w:val="99"/>
    <w:pPr>
      <w:adjustRightInd/>
      <w:spacing w:line="360" w:lineRule="auto"/>
    </w:pPr>
    <w:rPr>
      <w:rFonts w:ascii="仿宋_GB2312" w:eastAsia="仿宋_GB2312"/>
      <w:sz w:val="24"/>
      <w:szCs w:val="20"/>
    </w:rPr>
  </w:style>
  <w:style w:type="paragraph" w:customStyle="1" w:styleId="602">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3">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4">
    <w:name w:val="正文文字缩进项目"/>
    <w:basedOn w:val="24"/>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5">
    <w:name w:val="文档正文"/>
    <w:basedOn w:val="1"/>
    <w:qFormat/>
    <w:uiPriority w:val="0"/>
    <w:pPr>
      <w:spacing w:line="480" w:lineRule="atLeast"/>
      <w:ind w:firstLine="567"/>
      <w:textAlignment w:val="baseline"/>
    </w:pPr>
    <w:rPr>
      <w:kern w:val="0"/>
      <w:sz w:val="24"/>
      <w:szCs w:val="20"/>
    </w:rPr>
  </w:style>
  <w:style w:type="paragraph" w:customStyle="1" w:styleId="606">
    <w:name w:val="正文文字表格居中"/>
    <w:basedOn w:val="1"/>
    <w:next w:val="55"/>
    <w:qFormat/>
    <w:uiPriority w:val="0"/>
    <w:pPr>
      <w:snapToGrid w:val="0"/>
      <w:spacing w:line="360" w:lineRule="auto"/>
    </w:pPr>
    <w:rPr>
      <w:rFonts w:ascii="宋体"/>
      <w:b/>
      <w:sz w:val="24"/>
      <w:szCs w:val="20"/>
    </w:rPr>
  </w:style>
  <w:style w:type="paragraph" w:customStyle="1" w:styleId="607">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8">
    <w:name w:val="小节"/>
    <w:basedOn w:val="4"/>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9">
    <w:name w:val="Plain Text1"/>
    <w:basedOn w:val="1"/>
    <w:qFormat/>
    <w:uiPriority w:val="7"/>
    <w:pPr>
      <w:adjustRightInd/>
    </w:pPr>
    <w:rPr>
      <w:rFonts w:ascii="宋体" w:hAnsi="Courier New"/>
    </w:rPr>
  </w:style>
  <w:style w:type="paragraph" w:customStyle="1" w:styleId="610">
    <w:name w:val="Char3"/>
    <w:basedOn w:val="1"/>
    <w:qFormat/>
    <w:uiPriority w:val="0"/>
    <w:pPr>
      <w:adjustRightInd/>
    </w:pPr>
    <w:rPr>
      <w:rFonts w:ascii="仿宋_GB2312" w:eastAsia="仿宋_GB2312"/>
      <w:b/>
      <w:sz w:val="32"/>
      <w:szCs w:val="32"/>
    </w:rPr>
  </w:style>
  <w:style w:type="paragraph" w:customStyle="1" w:styleId="611">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2">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3">
    <w:name w:val="标题2"/>
    <w:basedOn w:val="3"/>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4">
    <w:name w:val="List Paragraph1"/>
    <w:basedOn w:val="1"/>
    <w:qFormat/>
    <w:uiPriority w:val="0"/>
    <w:pPr>
      <w:spacing w:line="360" w:lineRule="auto"/>
      <w:ind w:firstLine="200" w:firstLineChars="200"/>
    </w:pPr>
    <w:rPr>
      <w:rFonts w:eastAsia="楷体_GB2312" w:cs="Lucida Sans"/>
      <w:sz w:val="24"/>
    </w:rPr>
  </w:style>
  <w:style w:type="paragraph" w:customStyle="1" w:styleId="615">
    <w:name w:val="样式 标题 3标题 3 Char第二层条h33Bold Headbh章标题1小标题level_3PIM 3..."/>
    <w:basedOn w:val="4"/>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6">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7">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8">
    <w:name w:val="Char3 Char Char Char"/>
    <w:basedOn w:val="1"/>
    <w:qFormat/>
    <w:uiPriority w:val="0"/>
    <w:pPr>
      <w:widowControl/>
      <w:adjustRightInd/>
      <w:spacing w:after="160" w:line="240" w:lineRule="exact"/>
      <w:jc w:val="left"/>
    </w:pPr>
    <w:rPr>
      <w:szCs w:val="20"/>
    </w:rPr>
  </w:style>
  <w:style w:type="paragraph" w:customStyle="1" w:styleId="619">
    <w:name w:val="表格标题2"/>
    <w:basedOn w:val="620"/>
    <w:qFormat/>
    <w:uiPriority w:val="0"/>
    <w:rPr>
      <w:b/>
    </w:rPr>
  </w:style>
  <w:style w:type="paragraph" w:customStyle="1" w:styleId="620">
    <w:name w:val="表格内文"/>
    <w:basedOn w:val="1"/>
    <w:qFormat/>
    <w:uiPriority w:val="0"/>
    <w:pPr>
      <w:adjustRightInd/>
      <w:spacing w:line="360" w:lineRule="auto"/>
    </w:pPr>
    <w:rPr>
      <w:rFonts w:ascii="宋体" w:hAnsi="宋体" w:cs="宋体"/>
      <w:color w:val="000000"/>
      <w:szCs w:val="20"/>
    </w:rPr>
  </w:style>
  <w:style w:type="paragraph" w:customStyle="1" w:styleId="621">
    <w:name w:val="Char Char Char Char Char Char Char Char Char Char2"/>
    <w:basedOn w:val="1"/>
    <w:qFormat/>
    <w:uiPriority w:val="0"/>
    <w:rPr>
      <w:rFonts w:ascii="仿宋_GB2312" w:eastAsia="仿宋_GB2312"/>
      <w:b/>
      <w:sz w:val="32"/>
      <w:szCs w:val="32"/>
    </w:rPr>
  </w:style>
  <w:style w:type="paragraph" w:customStyle="1" w:styleId="622">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3">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4">
    <w:name w:val="Char Char11 Char Char Char Char Char Char Char Char Char11"/>
    <w:basedOn w:val="1"/>
    <w:qFormat/>
    <w:uiPriority w:val="0"/>
    <w:pPr>
      <w:spacing w:line="360" w:lineRule="auto"/>
    </w:pPr>
    <w:rPr>
      <w:szCs w:val="20"/>
    </w:rPr>
  </w:style>
  <w:style w:type="paragraph" w:customStyle="1" w:styleId="625">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6">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7">
    <w:name w:val="MM Topic 1"/>
    <w:basedOn w:val="2"/>
    <w:qFormat/>
    <w:uiPriority w:val="0"/>
    <w:pPr>
      <w:tabs>
        <w:tab w:val="left" w:pos="840"/>
      </w:tabs>
      <w:adjustRightInd/>
      <w:ind w:left="840" w:hanging="420"/>
    </w:pPr>
  </w:style>
  <w:style w:type="paragraph" w:customStyle="1" w:styleId="628">
    <w:name w:val="样式 标题 2标题2H2Heading 2 HiddenHeading 2 CCBSheading 22nd lev..."/>
    <w:basedOn w:val="3"/>
    <w:qFormat/>
    <w:uiPriority w:val="0"/>
    <w:pPr>
      <w:widowControl/>
      <w:spacing w:before="260" w:after="260" w:line="416" w:lineRule="auto"/>
      <w:ind w:left="0" w:firstLine="0"/>
    </w:pPr>
    <w:rPr>
      <w:rFonts w:ascii="Arial" w:hAnsi="Arial" w:eastAsia="黑体"/>
      <w:sz w:val="30"/>
      <w:szCs w:val="21"/>
    </w:rPr>
  </w:style>
  <w:style w:type="paragraph" w:customStyle="1" w:styleId="629">
    <w:name w:val="文本正文 Char"/>
    <w:basedOn w:val="1"/>
    <w:qFormat/>
    <w:uiPriority w:val="0"/>
    <w:pPr>
      <w:spacing w:line="360" w:lineRule="auto"/>
      <w:ind w:firstLine="200" w:firstLineChars="200"/>
    </w:pPr>
    <w:rPr>
      <w:kern w:val="0"/>
      <w:sz w:val="24"/>
      <w:szCs w:val="20"/>
    </w:rPr>
  </w:style>
  <w:style w:type="paragraph" w:customStyle="1" w:styleId="630">
    <w:name w:val="表格"/>
    <w:basedOn w:val="1"/>
    <w:qFormat/>
    <w:uiPriority w:val="0"/>
    <w:pPr>
      <w:snapToGrid w:val="0"/>
      <w:ind w:firstLine="42" w:firstLineChars="21"/>
    </w:pPr>
    <w:rPr>
      <w:rFonts w:ascii="宋体" w:hAnsi="宋体"/>
      <w:kern w:val="0"/>
      <w:sz w:val="20"/>
      <w:szCs w:val="20"/>
    </w:rPr>
  </w:style>
  <w:style w:type="paragraph" w:customStyle="1" w:styleId="631">
    <w:name w:val="标书标题4"/>
    <w:basedOn w:val="6"/>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2">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3">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4">
    <w:name w:val="表格项目符号 2"/>
    <w:basedOn w:val="28"/>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5">
    <w:name w:val="EB_表格"/>
    <w:basedOn w:val="1"/>
    <w:qFormat/>
    <w:uiPriority w:val="0"/>
    <w:pPr>
      <w:adjustRightInd/>
      <w:spacing w:line="300" w:lineRule="auto"/>
      <w:jc w:val="center"/>
    </w:pPr>
  </w:style>
  <w:style w:type="paragraph" w:customStyle="1" w:styleId="636">
    <w:name w:val="_Style 6"/>
    <w:basedOn w:val="1"/>
    <w:qFormat/>
    <w:uiPriority w:val="34"/>
    <w:pPr>
      <w:adjustRightInd/>
      <w:ind w:firstLine="420" w:firstLineChars="200"/>
    </w:pPr>
    <w:rPr>
      <w:rFonts w:eastAsia="仿宋_GB2312"/>
      <w:sz w:val="28"/>
    </w:rPr>
  </w:style>
  <w:style w:type="paragraph" w:customStyle="1" w:styleId="637">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8">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9">
    <w:name w:val="!大节"/>
    <w:basedOn w:val="3"/>
    <w:qFormat/>
    <w:uiPriority w:val="0"/>
    <w:pPr>
      <w:spacing w:before="260" w:after="260" w:line="415" w:lineRule="auto"/>
      <w:ind w:left="420" w:hanging="420"/>
    </w:pPr>
    <w:rPr>
      <w:rFonts w:ascii="Arial" w:hAnsi="Arial" w:eastAsia="微软雅黑"/>
      <w:lang w:val="en-US"/>
    </w:rPr>
  </w:style>
  <w:style w:type="paragraph" w:customStyle="1" w:styleId="640">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41">
    <w:name w:val="正文表标题"/>
    <w:next w:val="642"/>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3">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4">
    <w:name w:val="trademark"/>
    <w:qFormat/>
    <w:uiPriority w:val="0"/>
    <w:pPr>
      <w:spacing w:after="60"/>
    </w:pPr>
    <w:rPr>
      <w:rFonts w:ascii="Futura Bk" w:hAnsi="Futura Bk" w:eastAsia="宋体" w:cs="Times New Roman"/>
      <w:sz w:val="15"/>
      <w:lang w:val="en-US" w:eastAsia="en-US" w:bidi="ar-SA"/>
    </w:rPr>
  </w:style>
  <w:style w:type="paragraph" w:customStyle="1" w:styleId="645">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6">
    <w:name w:val="Char Char1 Char Char Char Char Char Char1"/>
    <w:basedOn w:val="1"/>
    <w:qFormat/>
    <w:uiPriority w:val="0"/>
    <w:rPr>
      <w:rFonts w:ascii="仿宋_GB2312" w:eastAsia="仿宋_GB2312"/>
      <w:b/>
      <w:sz w:val="32"/>
      <w:szCs w:val="20"/>
    </w:rPr>
  </w:style>
  <w:style w:type="paragraph" w:customStyle="1" w:styleId="647">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48">
    <w:name w:val="Char1 Char Char Char1"/>
    <w:basedOn w:val="1"/>
    <w:qFormat/>
    <w:uiPriority w:val="0"/>
    <w:pPr>
      <w:adjustRightInd/>
      <w:ind w:firstLine="200" w:firstLineChars="200"/>
    </w:pPr>
    <w:rPr>
      <w:rFonts w:ascii="Tahoma" w:hAnsi="Tahoma"/>
      <w:sz w:val="24"/>
      <w:szCs w:val="20"/>
    </w:rPr>
  </w:style>
  <w:style w:type="paragraph" w:customStyle="1" w:styleId="649">
    <w:name w:val="a1"/>
    <w:basedOn w:val="1"/>
    <w:qFormat/>
    <w:uiPriority w:val="0"/>
    <w:pPr>
      <w:widowControl/>
      <w:spacing w:line="300" w:lineRule="atLeast"/>
      <w:jc w:val="left"/>
    </w:pPr>
    <w:rPr>
      <w:rFonts w:ascii="宋体" w:hAnsi="宋体"/>
      <w:kern w:val="0"/>
      <w:sz w:val="18"/>
      <w:szCs w:val="20"/>
    </w:rPr>
  </w:style>
  <w:style w:type="paragraph" w:customStyle="1" w:styleId="650">
    <w:name w:val="样式7"/>
    <w:basedOn w:val="651"/>
    <w:next w:val="1"/>
    <w:qFormat/>
    <w:uiPriority w:val="0"/>
    <w:pPr>
      <w:spacing w:after="156" w:afterLines="50"/>
      <w:jc w:val="left"/>
      <w:outlineLvl w:val="3"/>
    </w:pPr>
    <w:rPr>
      <w:sz w:val="24"/>
      <w:szCs w:val="24"/>
    </w:rPr>
  </w:style>
  <w:style w:type="paragraph" w:customStyle="1" w:styleId="651">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52">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3">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4">
    <w:name w:val="样式 样式2 + 左侧:  1 字符 右侧:  1 字符"/>
    <w:basedOn w:val="462"/>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5">
    <w:name w:val="Char2 Char Char2"/>
    <w:basedOn w:val="1"/>
    <w:qFormat/>
    <w:uiPriority w:val="0"/>
    <w:pPr>
      <w:adjustRightInd/>
    </w:pPr>
    <w:rPr>
      <w:rFonts w:ascii="Tahoma" w:hAnsi="Tahoma"/>
      <w:sz w:val="24"/>
      <w:szCs w:val="20"/>
    </w:rPr>
  </w:style>
  <w:style w:type="paragraph" w:customStyle="1" w:styleId="656">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7">
    <w:name w:val="三级条标题"/>
    <w:basedOn w:val="658"/>
    <w:next w:val="642"/>
    <w:qFormat/>
    <w:uiPriority w:val="0"/>
    <w:pPr>
      <w:tabs>
        <w:tab w:val="left" w:pos="1260"/>
        <w:tab w:val="left" w:pos="1680"/>
        <w:tab w:val="left" w:pos="2100"/>
        <w:tab w:val="left" w:pos="2520"/>
      </w:tabs>
      <w:ind w:left="2520"/>
      <w:outlineLvl w:val="4"/>
    </w:pPr>
  </w:style>
  <w:style w:type="paragraph" w:customStyle="1" w:styleId="658">
    <w:name w:val="二级条标题"/>
    <w:basedOn w:val="659"/>
    <w:next w:val="642"/>
    <w:qFormat/>
    <w:uiPriority w:val="0"/>
    <w:pPr>
      <w:tabs>
        <w:tab w:val="left" w:pos="1260"/>
        <w:tab w:val="left" w:pos="1680"/>
        <w:tab w:val="left" w:pos="2100"/>
      </w:tabs>
      <w:ind w:left="0"/>
      <w:outlineLvl w:val="3"/>
    </w:pPr>
  </w:style>
  <w:style w:type="paragraph" w:customStyle="1" w:styleId="659">
    <w:name w:val="一级条标题"/>
    <w:basedOn w:val="660"/>
    <w:next w:val="642"/>
    <w:qFormat/>
    <w:uiPriority w:val="0"/>
    <w:pPr>
      <w:tabs>
        <w:tab w:val="left" w:pos="1260"/>
        <w:tab w:val="left" w:pos="1680"/>
      </w:tabs>
      <w:spacing w:before="0" w:beforeLines="0" w:after="0" w:afterLines="0"/>
      <w:ind w:left="1680"/>
      <w:outlineLvl w:val="2"/>
    </w:pPr>
  </w:style>
  <w:style w:type="paragraph" w:customStyle="1" w:styleId="660">
    <w:name w:val="章标题"/>
    <w:next w:val="642"/>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61">
    <w:name w:val="数字标题2"/>
    <w:basedOn w:val="3"/>
    <w:next w:val="1"/>
    <w:qFormat/>
    <w:uiPriority w:val="0"/>
    <w:pPr>
      <w:tabs>
        <w:tab w:val="left" w:pos="480"/>
      </w:tabs>
      <w:ind w:left="480" w:hanging="480"/>
    </w:pPr>
    <w:rPr>
      <w:rFonts w:ascii="Times New Roman" w:eastAsia="宋体"/>
      <w:i/>
      <w:sz w:val="36"/>
      <w:szCs w:val="36"/>
      <w:lang w:val="en-US"/>
    </w:rPr>
  </w:style>
  <w:style w:type="paragraph" w:customStyle="1" w:styleId="662">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3">
    <w:name w:val="样式 标题 1Level 1 HeadPIM 1Section Headh1l11Heading 0Datash..."/>
    <w:basedOn w:val="2"/>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4">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5">
    <w:name w:val="样式 标题 1章节第一层h1H"/>
    <w:basedOn w:val="2"/>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6">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7">
    <w:name w:val="正文 项目2"/>
    <w:basedOn w:val="668"/>
    <w:qFormat/>
    <w:uiPriority w:val="0"/>
    <w:pPr>
      <w:tabs>
        <w:tab w:val="left" w:pos="840"/>
      </w:tabs>
      <w:spacing w:after="0"/>
      <w:ind w:left="900"/>
    </w:pPr>
  </w:style>
  <w:style w:type="paragraph" w:customStyle="1" w:styleId="668">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9">
    <w:name w:val="Body Text 2*"/>
    <w:basedOn w:val="1"/>
    <w:qFormat/>
    <w:uiPriority w:val="6"/>
    <w:pPr>
      <w:widowControl/>
      <w:adjustRightInd/>
      <w:ind w:left="720" w:hanging="720"/>
    </w:pPr>
    <w:rPr>
      <w:color w:val="000000"/>
      <w:kern w:val="0"/>
      <w:sz w:val="24"/>
      <w:szCs w:val="20"/>
      <w:lang w:val="en-GB"/>
    </w:rPr>
  </w:style>
  <w:style w:type="paragraph" w:customStyle="1" w:styleId="670">
    <w:name w:val="表1"/>
    <w:basedOn w:val="1"/>
    <w:qFormat/>
    <w:uiPriority w:val="0"/>
    <w:pPr>
      <w:tabs>
        <w:tab w:val="left" w:pos="703"/>
      </w:tabs>
      <w:adjustRightInd/>
      <w:spacing w:line="360" w:lineRule="auto"/>
      <w:ind w:left="703"/>
      <w:jc w:val="center"/>
    </w:pPr>
  </w:style>
  <w:style w:type="paragraph" w:customStyle="1" w:styleId="671">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2">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73">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4">
    <w:name w:val="2级标题"/>
    <w:basedOn w:val="675"/>
    <w:qFormat/>
    <w:uiPriority w:val="0"/>
    <w:pPr>
      <w:jc w:val="left"/>
      <w:outlineLvl w:val="1"/>
    </w:pPr>
    <w:rPr>
      <w:rFonts w:ascii="Times New Roman" w:hAnsi="Times New Roman" w:eastAsia="仿宋"/>
      <w:sz w:val="30"/>
    </w:rPr>
  </w:style>
  <w:style w:type="paragraph" w:customStyle="1" w:styleId="675">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6">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7">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8">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9">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80">
    <w:name w:val="bullet"/>
    <w:basedOn w:val="1"/>
    <w:qFormat/>
    <w:uiPriority w:val="0"/>
    <w:pPr>
      <w:tabs>
        <w:tab w:val="left" w:pos="840"/>
      </w:tabs>
      <w:adjustRightInd/>
      <w:ind w:left="840" w:hanging="420"/>
    </w:pPr>
  </w:style>
  <w:style w:type="paragraph" w:customStyle="1" w:styleId="681">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2">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3">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4">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5">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6">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7">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8">
    <w:name w:val="MM Topic 4"/>
    <w:basedOn w:val="6"/>
    <w:qFormat/>
    <w:uiPriority w:val="0"/>
    <w:pPr>
      <w:tabs>
        <w:tab w:val="left" w:pos="2100"/>
      </w:tabs>
      <w:adjustRightInd/>
      <w:ind w:left="2100" w:hanging="420"/>
    </w:pPr>
    <w:rPr>
      <w:lang w:val="en-US"/>
    </w:rPr>
  </w:style>
  <w:style w:type="paragraph" w:customStyle="1" w:styleId="689">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90">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91">
    <w:name w:val="Char Char11 Char Char Char Char Char Char Char Char Char1"/>
    <w:basedOn w:val="1"/>
    <w:qFormat/>
    <w:uiPriority w:val="6"/>
    <w:pPr>
      <w:spacing w:line="360" w:lineRule="auto"/>
    </w:pPr>
    <w:rPr>
      <w:szCs w:val="20"/>
    </w:rPr>
  </w:style>
  <w:style w:type="paragraph" w:customStyle="1" w:styleId="692">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3">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4">
    <w:name w:val="body text bold"/>
    <w:basedOn w:val="23"/>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5">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6">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7">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98">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9">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00">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701">
    <w:name w:val="单元格居中"/>
    <w:basedOn w:val="1"/>
    <w:qFormat/>
    <w:uiPriority w:val="0"/>
    <w:pPr>
      <w:adjustRightInd/>
      <w:spacing w:line="360" w:lineRule="auto"/>
      <w:jc w:val="center"/>
    </w:pPr>
    <w:rPr>
      <w:sz w:val="24"/>
    </w:rPr>
  </w:style>
  <w:style w:type="paragraph" w:customStyle="1" w:styleId="702">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3">
    <w:name w:val="Char Char Char Char Char Char Char1"/>
    <w:basedOn w:val="1"/>
    <w:qFormat/>
    <w:uiPriority w:val="6"/>
    <w:rPr>
      <w:rFonts w:ascii="仿宋_GB2312" w:eastAsia="仿宋_GB2312"/>
      <w:b/>
      <w:sz w:val="32"/>
      <w:szCs w:val="32"/>
    </w:rPr>
  </w:style>
  <w:style w:type="paragraph" w:customStyle="1" w:styleId="704">
    <w:name w:val="正文缩进1"/>
    <w:basedOn w:val="1"/>
    <w:next w:val="24"/>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5">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6">
    <w:name w:val="Char3 Char Char Char11"/>
    <w:basedOn w:val="1"/>
    <w:qFormat/>
    <w:uiPriority w:val="0"/>
    <w:pPr>
      <w:widowControl/>
      <w:adjustRightInd/>
      <w:spacing w:after="160" w:line="240" w:lineRule="exact"/>
      <w:jc w:val="left"/>
    </w:pPr>
    <w:rPr>
      <w:szCs w:val="20"/>
    </w:rPr>
  </w:style>
  <w:style w:type="paragraph" w:customStyle="1" w:styleId="707">
    <w:name w:val="Char Char1121"/>
    <w:basedOn w:val="1"/>
    <w:qFormat/>
    <w:uiPriority w:val="0"/>
    <w:pPr>
      <w:spacing w:line="360" w:lineRule="auto"/>
    </w:pPr>
    <w:rPr>
      <w:szCs w:val="20"/>
    </w:rPr>
  </w:style>
  <w:style w:type="paragraph" w:customStyle="1" w:styleId="708">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9">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10">
    <w:name w:val="Normal0"/>
    <w:qFormat/>
    <w:uiPriority w:val="0"/>
    <w:rPr>
      <w:rFonts w:ascii="Times New Roman" w:hAnsi="Times New Roman" w:eastAsia="宋体" w:cs="Times New Roman"/>
      <w:lang w:val="en-US" w:eastAsia="en-US" w:bidi="ar-SA"/>
    </w:rPr>
  </w:style>
  <w:style w:type="paragraph" w:customStyle="1" w:styleId="711">
    <w:name w:val="带编号样式"/>
    <w:basedOn w:val="629"/>
    <w:qFormat/>
    <w:uiPriority w:val="0"/>
    <w:pPr>
      <w:tabs>
        <w:tab w:val="left" w:pos="840"/>
      </w:tabs>
      <w:snapToGrid w:val="0"/>
      <w:ind w:left="840" w:hanging="420" w:firstLineChars="0"/>
    </w:pPr>
    <w:rPr>
      <w:rFonts w:ascii="仿宋_GB2312" w:eastAsia="仿宋_GB2312"/>
      <w:color w:val="000000"/>
    </w:rPr>
  </w:style>
  <w:style w:type="paragraph" w:customStyle="1" w:styleId="712">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3">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4">
    <w:name w:val="封面"/>
    <w:basedOn w:val="1"/>
    <w:qFormat/>
    <w:uiPriority w:val="0"/>
    <w:pPr>
      <w:spacing w:line="360" w:lineRule="atLeast"/>
      <w:jc w:val="right"/>
      <w:textAlignment w:val="baseline"/>
    </w:pPr>
    <w:rPr>
      <w:rFonts w:ascii="Symbol" w:hAnsi="Symbol"/>
      <w:kern w:val="0"/>
      <w:szCs w:val="20"/>
    </w:rPr>
  </w:style>
  <w:style w:type="paragraph" w:customStyle="1" w:styleId="715">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6">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7">
    <w:name w:val="默认段落字体 Para Char Char Char1 Char"/>
    <w:basedOn w:val="1"/>
    <w:qFormat/>
    <w:uiPriority w:val="0"/>
    <w:pPr>
      <w:spacing w:line="240" w:lineRule="atLeast"/>
      <w:ind w:left="420" w:firstLine="420"/>
    </w:pPr>
    <w:rPr>
      <w:sz w:val="24"/>
    </w:rPr>
  </w:style>
  <w:style w:type="paragraph" w:customStyle="1" w:styleId="718">
    <w:name w:val="WW-正文文字缩进 2"/>
    <w:basedOn w:val="1"/>
    <w:qFormat/>
    <w:uiPriority w:val="0"/>
    <w:pPr>
      <w:suppressAutoHyphens/>
      <w:adjustRightInd/>
      <w:ind w:firstLine="420"/>
    </w:pPr>
    <w:rPr>
      <w:kern w:val="1"/>
      <w:szCs w:val="20"/>
    </w:rPr>
  </w:style>
  <w:style w:type="paragraph" w:customStyle="1" w:styleId="719">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20">
    <w:name w:val="样式 标题 2 + 四号"/>
    <w:basedOn w:val="3"/>
    <w:qFormat/>
    <w:uiPriority w:val="0"/>
    <w:pPr>
      <w:spacing w:before="120" w:after="120"/>
      <w:ind w:left="0" w:firstLine="0"/>
      <w:jc w:val="both"/>
    </w:pPr>
    <w:rPr>
      <w:rFonts w:ascii="宋体" w:hAnsi="Arial" w:eastAsia="宋体"/>
      <w:sz w:val="28"/>
      <w:lang w:val="en-US"/>
    </w:rPr>
  </w:style>
  <w:style w:type="paragraph" w:customStyle="1" w:styleId="721">
    <w:name w:val="有符号正文"/>
    <w:basedOn w:val="1"/>
    <w:qFormat/>
    <w:uiPriority w:val="0"/>
    <w:pPr>
      <w:adjustRightInd/>
      <w:spacing w:line="400" w:lineRule="exact"/>
      <w:ind w:firstLine="200" w:firstLineChars="200"/>
    </w:pPr>
    <w:rPr>
      <w:rFonts w:ascii="Arial" w:hAnsi="Arial"/>
    </w:rPr>
  </w:style>
  <w:style w:type="paragraph" w:customStyle="1" w:styleId="722">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3">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4">
    <w:name w:val="4"/>
    <w:basedOn w:val="1"/>
    <w:next w:val="36"/>
    <w:qFormat/>
    <w:uiPriority w:val="0"/>
    <w:pPr>
      <w:spacing w:after="120" w:line="480" w:lineRule="auto"/>
      <w:ind w:left="420" w:leftChars="200"/>
    </w:pPr>
    <w:rPr>
      <w:sz w:val="24"/>
      <w:szCs w:val="20"/>
    </w:rPr>
  </w:style>
  <w:style w:type="paragraph" w:customStyle="1" w:styleId="725">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6">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7">
    <w:name w:val="样式 标题 3H3 + 两端对齐"/>
    <w:basedOn w:val="4"/>
    <w:qFormat/>
    <w:uiPriority w:val="0"/>
    <w:pPr>
      <w:keepLines w:val="0"/>
      <w:spacing w:before="0" w:after="0" w:line="240" w:lineRule="auto"/>
      <w:jc w:val="left"/>
    </w:pPr>
    <w:rPr>
      <w:rFonts w:cs="宋体"/>
      <w:sz w:val="21"/>
      <w:szCs w:val="20"/>
    </w:rPr>
  </w:style>
  <w:style w:type="paragraph" w:customStyle="1" w:styleId="728">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29">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30">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31">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2">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3">
    <w:name w:val="Char Char1 Char Char Char"/>
    <w:basedOn w:val="1"/>
    <w:qFormat/>
    <w:uiPriority w:val="0"/>
    <w:rPr>
      <w:rFonts w:ascii="仿宋_GB2312" w:eastAsia="仿宋_GB2312"/>
      <w:b/>
      <w:sz w:val="32"/>
      <w:szCs w:val="20"/>
    </w:rPr>
  </w:style>
  <w:style w:type="paragraph" w:customStyle="1" w:styleId="734">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5">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6">
    <w:name w:val="Picture"/>
    <w:basedOn w:val="1"/>
    <w:next w:val="16"/>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7">
    <w:name w:val="Char Char1 Char Char Char2"/>
    <w:basedOn w:val="1"/>
    <w:qFormat/>
    <w:uiPriority w:val="0"/>
    <w:rPr>
      <w:rFonts w:ascii="仿宋_GB2312" w:eastAsia="仿宋_GB2312"/>
      <w:b/>
      <w:sz w:val="32"/>
      <w:szCs w:val="32"/>
    </w:rPr>
  </w:style>
  <w:style w:type="paragraph" w:customStyle="1" w:styleId="738">
    <w:name w:val="Char3 Char Char Char1"/>
    <w:basedOn w:val="1"/>
    <w:qFormat/>
    <w:uiPriority w:val="6"/>
    <w:pPr>
      <w:widowControl/>
      <w:adjustRightInd/>
      <w:spacing w:after="160" w:line="240" w:lineRule="exact"/>
      <w:jc w:val="left"/>
    </w:pPr>
    <w:rPr>
      <w:szCs w:val="20"/>
    </w:rPr>
  </w:style>
  <w:style w:type="paragraph" w:customStyle="1" w:styleId="739">
    <w:name w:val="Char1 Char Char Char21"/>
    <w:basedOn w:val="1"/>
    <w:qFormat/>
    <w:uiPriority w:val="0"/>
    <w:rPr>
      <w:rFonts w:ascii="Tahoma" w:hAnsi="Tahoma"/>
      <w:sz w:val="24"/>
      <w:szCs w:val="20"/>
    </w:rPr>
  </w:style>
  <w:style w:type="paragraph" w:customStyle="1" w:styleId="740">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41">
    <w:name w:val="正文（标题三）"/>
    <w:basedOn w:val="1"/>
    <w:qFormat/>
    <w:uiPriority w:val="0"/>
    <w:pPr>
      <w:spacing w:line="360" w:lineRule="auto"/>
      <w:ind w:firstLine="200" w:firstLineChars="200"/>
    </w:pPr>
    <w:rPr>
      <w:sz w:val="24"/>
    </w:rPr>
  </w:style>
  <w:style w:type="paragraph" w:customStyle="1" w:styleId="742">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3">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4">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5">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6">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7">
    <w:name w:val="Char1 Char Char Char4"/>
    <w:basedOn w:val="1"/>
    <w:qFormat/>
    <w:uiPriority w:val="0"/>
    <w:pPr>
      <w:adjustRightInd/>
      <w:ind w:firstLine="200" w:firstLineChars="200"/>
    </w:pPr>
    <w:rPr>
      <w:rFonts w:ascii="Tahoma" w:hAnsi="Tahoma"/>
      <w:sz w:val="24"/>
      <w:szCs w:val="20"/>
    </w:rPr>
  </w:style>
  <w:style w:type="paragraph" w:customStyle="1" w:styleId="748">
    <w:name w:val="_标题2"/>
    <w:basedOn w:val="715"/>
    <w:next w:val="715"/>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9">
    <w:name w:val="样式1 + (中宋体"/>
    <w:basedOn w:val="726"/>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50">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51">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2">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3">
    <w:name w:val="四号　首行缩进"/>
    <w:basedOn w:val="1"/>
    <w:qFormat/>
    <w:uiPriority w:val="0"/>
    <w:pPr>
      <w:adjustRightInd/>
      <w:spacing w:line="360" w:lineRule="auto"/>
    </w:pPr>
    <w:rPr>
      <w:rFonts w:ascii="宋体" w:hAnsi="宋体"/>
      <w:szCs w:val="20"/>
    </w:rPr>
  </w:style>
  <w:style w:type="paragraph" w:customStyle="1" w:styleId="754">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5">
    <w:name w:val="Char Char Char Char Char Char Char Char Char Char Char1 Char"/>
    <w:basedOn w:val="1"/>
    <w:qFormat/>
    <w:uiPriority w:val="0"/>
    <w:pPr>
      <w:adjustRightInd/>
    </w:pPr>
    <w:rPr>
      <w:rFonts w:ascii="Tahoma" w:hAnsi="Tahoma"/>
      <w:sz w:val="24"/>
    </w:rPr>
  </w:style>
  <w:style w:type="paragraph" w:customStyle="1" w:styleId="756">
    <w:name w:val="Char Char Char Char11"/>
    <w:basedOn w:val="1"/>
    <w:qFormat/>
    <w:uiPriority w:val="0"/>
    <w:rPr>
      <w:rFonts w:ascii="Tahoma" w:hAnsi="Tahoma"/>
      <w:sz w:val="24"/>
      <w:szCs w:val="20"/>
    </w:rPr>
  </w:style>
  <w:style w:type="paragraph" w:customStyle="1" w:styleId="757">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8">
    <w:name w:val="Char Char Char Char"/>
    <w:basedOn w:val="1"/>
    <w:qFormat/>
    <w:uiPriority w:val="0"/>
    <w:rPr>
      <w:rFonts w:ascii="Tahoma" w:hAnsi="Tahoma"/>
      <w:sz w:val="24"/>
      <w:szCs w:val="20"/>
    </w:rPr>
  </w:style>
  <w:style w:type="paragraph" w:customStyle="1" w:styleId="759">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60">
    <w:name w:val="Char19"/>
    <w:basedOn w:val="1"/>
    <w:qFormat/>
    <w:uiPriority w:val="0"/>
    <w:pPr>
      <w:adjustRightInd/>
    </w:pPr>
    <w:rPr>
      <w:szCs w:val="20"/>
    </w:rPr>
  </w:style>
  <w:style w:type="paragraph" w:customStyle="1" w:styleId="761">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2">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3">
    <w:name w:val="_Style 5"/>
    <w:basedOn w:val="1"/>
    <w:qFormat/>
    <w:uiPriority w:val="34"/>
    <w:pPr>
      <w:adjustRightInd/>
      <w:ind w:firstLine="420" w:firstLineChars="200"/>
    </w:pPr>
    <w:rPr>
      <w:rFonts w:eastAsia="仿宋_GB2312"/>
      <w:sz w:val="28"/>
    </w:rPr>
  </w:style>
  <w:style w:type="paragraph" w:customStyle="1" w:styleId="764">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5">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6">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7">
    <w:name w:val="标书表格字体格式"/>
    <w:next w:val="761"/>
    <w:qFormat/>
    <w:uiPriority w:val="0"/>
    <w:rPr>
      <w:rFonts w:ascii="Times New Roman" w:hAnsi="Times New Roman" w:eastAsia="宋体" w:cs="Times New Roman"/>
      <w:kern w:val="2"/>
      <w:sz w:val="21"/>
      <w:szCs w:val="24"/>
      <w:lang w:val="en-US" w:eastAsia="zh-CN" w:bidi="ar-SA"/>
    </w:rPr>
  </w:style>
  <w:style w:type="paragraph" w:customStyle="1" w:styleId="768">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69">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70">
    <w:name w:val="修订3"/>
    <w:qFormat/>
    <w:uiPriority w:val="0"/>
    <w:rPr>
      <w:rFonts w:ascii="Times New Roman" w:hAnsi="Times New Roman" w:eastAsia="宋体" w:cs="Times New Roman"/>
      <w:kern w:val="2"/>
      <w:sz w:val="21"/>
      <w:lang w:val="en-US" w:eastAsia="zh-CN" w:bidi="ar-SA"/>
    </w:rPr>
  </w:style>
  <w:style w:type="paragraph" w:customStyle="1" w:styleId="771">
    <w:name w:val="CSS1级正文 Char"/>
    <w:basedOn w:val="23"/>
    <w:qFormat/>
    <w:uiPriority w:val="0"/>
    <w:pPr>
      <w:autoSpaceDE/>
      <w:autoSpaceDN/>
      <w:snapToGrid w:val="0"/>
      <w:ind w:firstLine="480" w:firstLineChars="200"/>
    </w:pPr>
    <w:rPr>
      <w:rFonts w:ascii="Times New Roman"/>
      <w:szCs w:val="24"/>
      <w:lang w:val="en-US"/>
    </w:rPr>
  </w:style>
  <w:style w:type="paragraph" w:customStyle="1" w:styleId="772">
    <w:name w:val="无间隔2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3">
    <w:name w:val="表文字"/>
    <w:qFormat/>
    <w:uiPriority w:val="0"/>
    <w:rPr>
      <w:rFonts w:ascii="宋体" w:hAnsi="Times New Roman" w:eastAsia="宋体" w:cs="Times New Roman"/>
      <w:kern w:val="2"/>
      <w:lang w:val="en-US" w:eastAsia="zh-CN" w:bidi="ar-SA"/>
    </w:rPr>
  </w:style>
  <w:style w:type="paragraph" w:customStyle="1" w:styleId="774">
    <w:name w:val="MM Title"/>
    <w:basedOn w:val="58"/>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5">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6">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7">
    <w:name w:val="Char Char Char Char Char Char Char Char2"/>
    <w:basedOn w:val="1"/>
    <w:qFormat/>
    <w:uiPriority w:val="0"/>
    <w:pPr>
      <w:tabs>
        <w:tab w:val="left" w:pos="360"/>
      </w:tabs>
    </w:pPr>
    <w:rPr>
      <w:sz w:val="24"/>
      <w:szCs w:val="20"/>
    </w:rPr>
  </w:style>
  <w:style w:type="paragraph" w:customStyle="1" w:styleId="778">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9">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80">
    <w:name w:val="中文标题 3"/>
    <w:basedOn w:val="24"/>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81">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2">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3">
    <w:name w:val="正文－恩普"/>
    <w:basedOn w:val="5"/>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4">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5">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6">
    <w:name w:val="p0"/>
    <w:basedOn w:val="1"/>
    <w:qFormat/>
    <w:uiPriority w:val="0"/>
    <w:pPr>
      <w:widowControl/>
      <w:adjustRightInd/>
    </w:pPr>
    <w:rPr>
      <w:kern w:val="0"/>
      <w:szCs w:val="21"/>
    </w:rPr>
  </w:style>
  <w:style w:type="paragraph" w:customStyle="1" w:styleId="787">
    <w:name w:val="Char6"/>
    <w:basedOn w:val="1"/>
    <w:qFormat/>
    <w:uiPriority w:val="0"/>
    <w:rPr>
      <w:rFonts w:ascii="仿宋_GB2312" w:eastAsia="仿宋_GB2312"/>
      <w:b/>
      <w:sz w:val="32"/>
      <w:szCs w:val="32"/>
    </w:rPr>
  </w:style>
  <w:style w:type="paragraph" w:customStyle="1" w:styleId="788">
    <w:name w:val="Char111"/>
    <w:basedOn w:val="1"/>
    <w:qFormat/>
    <w:uiPriority w:val="0"/>
    <w:rPr>
      <w:rFonts w:ascii="仿宋_GB2312" w:eastAsia="仿宋_GB2312"/>
      <w:b/>
      <w:sz w:val="32"/>
      <w:szCs w:val="32"/>
    </w:rPr>
  </w:style>
  <w:style w:type="paragraph" w:customStyle="1" w:styleId="789">
    <w:name w:val="标题3"/>
    <w:basedOn w:val="4"/>
    <w:next w:val="52"/>
    <w:qFormat/>
    <w:uiPriority w:val="0"/>
    <w:pPr>
      <w:tabs>
        <w:tab w:val="clear" w:pos="900"/>
      </w:tabs>
      <w:spacing w:after="0" w:line="360" w:lineRule="auto"/>
    </w:pPr>
    <w:rPr>
      <w:rFonts w:ascii="仿宋" w:hAnsi="仿宋" w:eastAsia="仿宋" w:cs="仿宋"/>
    </w:rPr>
  </w:style>
  <w:style w:type="paragraph" w:customStyle="1" w:styleId="790">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91">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92">
    <w:name w:val="Char1 Char Char Char2"/>
    <w:basedOn w:val="1"/>
    <w:qFormat/>
    <w:uiPriority w:val="0"/>
    <w:pPr>
      <w:adjustRightInd/>
      <w:ind w:firstLine="200" w:firstLineChars="200"/>
    </w:pPr>
    <w:rPr>
      <w:rFonts w:ascii="Tahoma" w:hAnsi="Tahoma"/>
      <w:sz w:val="24"/>
      <w:szCs w:val="20"/>
    </w:rPr>
  </w:style>
  <w:style w:type="paragraph" w:customStyle="1" w:styleId="793">
    <w:name w:val="列出段落11"/>
    <w:basedOn w:val="1"/>
    <w:qFormat/>
    <w:uiPriority w:val="0"/>
    <w:pPr>
      <w:adjustRightInd/>
      <w:spacing w:line="360" w:lineRule="auto"/>
      <w:ind w:firstLine="420" w:firstLineChars="200"/>
    </w:pPr>
    <w:rPr>
      <w:rFonts w:ascii="Calibri" w:hAnsi="Calibri"/>
      <w:sz w:val="24"/>
      <w:szCs w:val="22"/>
    </w:rPr>
  </w:style>
  <w:style w:type="paragraph" w:customStyle="1" w:styleId="794">
    <w:name w:val="样式 标题 1 + 黑色 段前: 0.5 行 段后: 0.5 行1"/>
    <w:basedOn w:val="2"/>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5">
    <w:name w:val="Char Char Char Char Char Char Char2"/>
    <w:basedOn w:val="1"/>
    <w:qFormat/>
    <w:uiPriority w:val="0"/>
    <w:rPr>
      <w:rFonts w:ascii="仿宋_GB2312" w:eastAsia="仿宋_GB2312"/>
      <w:b/>
      <w:sz w:val="32"/>
      <w:szCs w:val="32"/>
    </w:rPr>
  </w:style>
  <w:style w:type="paragraph" w:customStyle="1" w:styleId="796">
    <w:name w:val="五级条标题"/>
    <w:basedOn w:val="797"/>
    <w:next w:val="642"/>
    <w:qFormat/>
    <w:uiPriority w:val="0"/>
    <w:pPr>
      <w:tabs>
        <w:tab w:val="left" w:pos="1260"/>
        <w:tab w:val="left" w:pos="1680"/>
        <w:tab w:val="left" w:pos="2100"/>
        <w:tab w:val="left" w:pos="2940"/>
        <w:tab w:val="left" w:pos="3360"/>
      </w:tabs>
      <w:ind w:left="3360"/>
      <w:outlineLvl w:val="6"/>
    </w:pPr>
  </w:style>
  <w:style w:type="paragraph" w:customStyle="1" w:styleId="797">
    <w:name w:val="四级条标题"/>
    <w:basedOn w:val="657"/>
    <w:next w:val="642"/>
    <w:qFormat/>
    <w:uiPriority w:val="0"/>
    <w:pPr>
      <w:tabs>
        <w:tab w:val="left" w:pos="2940"/>
        <w:tab w:val="clear" w:pos="2520"/>
      </w:tabs>
      <w:ind w:left="2940"/>
      <w:outlineLvl w:val="5"/>
    </w:pPr>
  </w:style>
  <w:style w:type="paragraph" w:customStyle="1" w:styleId="798">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9">
    <w:name w:val="Char23"/>
    <w:basedOn w:val="1"/>
    <w:qFormat/>
    <w:uiPriority w:val="0"/>
    <w:rPr>
      <w:rFonts w:ascii="仿宋_GB2312" w:eastAsia="仿宋_GB2312"/>
      <w:b/>
      <w:sz w:val="32"/>
      <w:szCs w:val="32"/>
    </w:rPr>
  </w:style>
  <w:style w:type="paragraph" w:customStyle="1" w:styleId="800">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801">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802">
    <w:name w:val="首行缩进"/>
    <w:basedOn w:val="1"/>
    <w:qFormat/>
    <w:uiPriority w:val="0"/>
    <w:pPr>
      <w:spacing w:line="360" w:lineRule="auto"/>
      <w:ind w:firstLine="480" w:firstLineChars="200"/>
    </w:pPr>
    <w:rPr>
      <w:rFonts w:ascii="宋体"/>
      <w:sz w:val="24"/>
      <w:szCs w:val="20"/>
    </w:rPr>
  </w:style>
  <w:style w:type="paragraph" w:customStyle="1" w:styleId="803">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4">
    <w:name w:val="单元格左对齐"/>
    <w:basedOn w:val="1"/>
    <w:qFormat/>
    <w:uiPriority w:val="0"/>
    <w:pPr>
      <w:adjustRightInd/>
      <w:spacing w:line="360" w:lineRule="auto"/>
    </w:pPr>
    <w:rPr>
      <w:sz w:val="24"/>
    </w:rPr>
  </w:style>
  <w:style w:type="paragraph" w:customStyle="1" w:styleId="805">
    <w:name w:val="正文主体"/>
    <w:basedOn w:val="626"/>
    <w:qFormat/>
    <w:uiPriority w:val="0"/>
  </w:style>
  <w:style w:type="paragraph" w:customStyle="1" w:styleId="806">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7">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08">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09">
    <w:name w:val="正文（首行缩进2字符）"/>
    <w:basedOn w:val="1"/>
    <w:qFormat/>
    <w:uiPriority w:val="0"/>
    <w:pPr>
      <w:adjustRightInd/>
      <w:spacing w:line="360" w:lineRule="auto"/>
      <w:ind w:firstLine="480" w:firstLineChars="200"/>
    </w:pPr>
    <w:rPr>
      <w:sz w:val="24"/>
      <w:szCs w:val="20"/>
    </w:rPr>
  </w:style>
  <w:style w:type="paragraph" w:customStyle="1" w:styleId="810">
    <w:name w:val="P1"/>
    <w:basedOn w:val="1"/>
    <w:qFormat/>
    <w:uiPriority w:val="0"/>
    <w:pPr>
      <w:adjustRightInd/>
      <w:spacing w:line="288" w:lineRule="auto"/>
      <w:ind w:firstLine="425" w:firstLineChars="200"/>
    </w:pPr>
  </w:style>
  <w:style w:type="paragraph" w:customStyle="1" w:styleId="811">
    <w:name w:val="列表内容"/>
    <w:basedOn w:val="1"/>
    <w:next w:val="1"/>
    <w:qFormat/>
    <w:uiPriority w:val="0"/>
    <w:pPr>
      <w:widowControl/>
      <w:tabs>
        <w:tab w:val="left" w:pos="840"/>
      </w:tabs>
      <w:ind w:left="840" w:hanging="420"/>
      <w:jc w:val="left"/>
    </w:pPr>
    <w:rPr>
      <w:kern w:val="0"/>
      <w:sz w:val="18"/>
    </w:rPr>
  </w:style>
  <w:style w:type="paragraph" w:customStyle="1" w:styleId="812">
    <w:name w:val="Char Char11 Char Char Char1"/>
    <w:basedOn w:val="1"/>
    <w:qFormat/>
    <w:uiPriority w:val="6"/>
    <w:pPr>
      <w:spacing w:line="360" w:lineRule="auto"/>
    </w:pPr>
    <w:rPr>
      <w:szCs w:val="20"/>
    </w:rPr>
  </w:style>
  <w:style w:type="paragraph" w:customStyle="1" w:styleId="813">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4">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5">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6">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7">
    <w:name w:val="正文文字缩进2字"/>
    <w:basedOn w:val="23"/>
    <w:qFormat/>
    <w:uiPriority w:val="0"/>
    <w:pPr>
      <w:autoSpaceDE/>
      <w:autoSpaceDN/>
      <w:adjustRightInd/>
      <w:spacing w:before="60" w:after="60"/>
      <w:ind w:firstLine="200" w:firstLineChars="200"/>
    </w:pPr>
    <w:rPr>
      <w:rFonts w:ascii="Times New Roman"/>
      <w:szCs w:val="20"/>
      <w:lang w:val="en-US"/>
    </w:rPr>
  </w:style>
  <w:style w:type="paragraph" w:customStyle="1" w:styleId="818">
    <w:name w:val="默认段落字体 Para Char Char Char Char"/>
    <w:basedOn w:val="1"/>
    <w:qFormat/>
    <w:uiPriority w:val="0"/>
    <w:pPr>
      <w:spacing w:line="360" w:lineRule="auto"/>
    </w:pPr>
    <w:rPr>
      <w:szCs w:val="20"/>
    </w:rPr>
  </w:style>
  <w:style w:type="paragraph" w:customStyle="1" w:styleId="819">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20">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21">
    <w:name w:val="Char2 Char Char Char2"/>
    <w:basedOn w:val="1"/>
    <w:qFormat/>
    <w:uiPriority w:val="0"/>
    <w:rPr>
      <w:rFonts w:ascii="仿宋_GB2312" w:eastAsia="仿宋_GB2312"/>
      <w:b/>
      <w:sz w:val="32"/>
      <w:szCs w:val="32"/>
    </w:rPr>
  </w:style>
  <w:style w:type="paragraph" w:customStyle="1" w:styleId="822">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23">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4">
    <w:name w:val="正文 首行缩进:  2 字符 Char"/>
    <w:basedOn w:val="1"/>
    <w:qFormat/>
    <w:uiPriority w:val="0"/>
    <w:pPr>
      <w:adjustRightInd/>
      <w:spacing w:line="360" w:lineRule="auto"/>
      <w:ind w:firstLine="480"/>
    </w:pPr>
    <w:rPr>
      <w:rFonts w:cs="宋体"/>
      <w:sz w:val="24"/>
      <w:szCs w:val="20"/>
    </w:rPr>
  </w:style>
  <w:style w:type="paragraph" w:customStyle="1" w:styleId="825">
    <w:name w:val="Char Char4 Char Char"/>
    <w:basedOn w:val="1"/>
    <w:qFormat/>
    <w:uiPriority w:val="0"/>
    <w:pPr>
      <w:widowControl/>
      <w:adjustRightInd/>
      <w:spacing w:after="160" w:line="240" w:lineRule="exact"/>
      <w:jc w:val="left"/>
    </w:pPr>
  </w:style>
  <w:style w:type="paragraph" w:customStyle="1" w:styleId="826">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7">
    <w:name w:val="Char Char11 Char Char Char2"/>
    <w:basedOn w:val="1"/>
    <w:qFormat/>
    <w:uiPriority w:val="0"/>
    <w:pPr>
      <w:spacing w:line="360" w:lineRule="auto"/>
    </w:pPr>
    <w:rPr>
      <w:szCs w:val="20"/>
    </w:rPr>
  </w:style>
  <w:style w:type="paragraph" w:customStyle="1" w:styleId="828">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9">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30">
    <w:name w:val="数字标题4"/>
    <w:basedOn w:val="6"/>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31">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32">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33">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4">
    <w:name w:val="Char311"/>
    <w:basedOn w:val="1"/>
    <w:qFormat/>
    <w:uiPriority w:val="0"/>
    <w:pPr>
      <w:adjustRightInd/>
      <w:ind w:firstLine="200" w:firstLineChars="200"/>
    </w:pPr>
    <w:rPr>
      <w:rFonts w:ascii="Tahoma" w:hAnsi="Tahoma"/>
      <w:sz w:val="24"/>
      <w:szCs w:val="20"/>
    </w:rPr>
  </w:style>
  <w:style w:type="paragraph" w:customStyle="1" w:styleId="835">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6">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7">
    <w:name w:val="正文 内标"/>
    <w:basedOn w:val="752"/>
    <w:qFormat/>
    <w:uiPriority w:val="0"/>
    <w:pPr>
      <w:tabs>
        <w:tab w:val="left" w:pos="0"/>
      </w:tabs>
      <w:ind w:left="900" w:firstLine="0" w:firstLineChars="0"/>
    </w:pPr>
  </w:style>
  <w:style w:type="paragraph" w:customStyle="1" w:styleId="838">
    <w:name w:val="Bulleted List"/>
    <w:basedOn w:val="1"/>
    <w:qFormat/>
    <w:uiPriority w:val="0"/>
    <w:pPr>
      <w:tabs>
        <w:tab w:val="left" w:pos="1260"/>
      </w:tabs>
      <w:adjustRightInd/>
      <w:ind w:left="1260" w:hanging="420"/>
    </w:pPr>
  </w:style>
  <w:style w:type="paragraph" w:customStyle="1" w:styleId="839">
    <w:name w:val="样式 正文文本缩进 2 + 仿宋_GB2312 黑色 行距: 1.5 倍行距"/>
    <w:basedOn w:val="36"/>
    <w:qFormat/>
    <w:uiPriority w:val="0"/>
    <w:pPr>
      <w:adjustRightInd/>
      <w:ind w:firstLine="560" w:firstLineChars="200"/>
      <w:textAlignment w:val="auto"/>
    </w:pPr>
    <w:rPr>
      <w:rFonts w:hAnsi="宋体" w:cs="宋体"/>
      <w:color w:val="000000"/>
      <w:kern w:val="2"/>
      <w:sz w:val="24"/>
    </w:rPr>
  </w:style>
  <w:style w:type="paragraph" w:customStyle="1" w:styleId="840">
    <w:name w:val="样式 左侧:  0.85 厘米"/>
    <w:basedOn w:val="1"/>
    <w:qFormat/>
    <w:uiPriority w:val="2"/>
    <w:pPr>
      <w:adjustRightInd/>
      <w:spacing w:line="360" w:lineRule="auto"/>
    </w:pPr>
    <w:rPr>
      <w:rFonts w:cs="宋体"/>
      <w:sz w:val="24"/>
      <w:szCs w:val="20"/>
    </w:rPr>
  </w:style>
  <w:style w:type="paragraph" w:customStyle="1" w:styleId="841">
    <w:name w:val="Char Char Char Char Char Char Char Char Char Char Char Char1 Char"/>
    <w:basedOn w:val="1"/>
    <w:qFormat/>
    <w:uiPriority w:val="0"/>
    <w:rPr>
      <w:rFonts w:ascii="Tahoma" w:hAnsi="Tahoma" w:cs="仿宋_GB2312"/>
      <w:sz w:val="24"/>
      <w:szCs w:val="20"/>
    </w:rPr>
  </w:style>
  <w:style w:type="paragraph" w:customStyle="1" w:styleId="842">
    <w:name w:val="正文1"/>
    <w:basedOn w:val="31"/>
    <w:qFormat/>
    <w:uiPriority w:val="0"/>
    <w:pPr>
      <w:ind w:left="0" w:leftChars="0" w:firstLine="480" w:firstLineChars="200"/>
    </w:pPr>
    <w:rPr>
      <w:rFonts w:ascii="仿宋_GB2312" w:hAnsi="Courier New" w:eastAsia="仿宋_GB2312"/>
      <w:kern w:val="28"/>
      <w:sz w:val="24"/>
    </w:rPr>
  </w:style>
  <w:style w:type="paragraph" w:customStyle="1" w:styleId="843">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4">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5">
    <w:name w:val="模板普通正文"/>
    <w:basedOn w:val="24"/>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6">
    <w:name w:val="Char Char1 Char Char Char Char Char Char"/>
    <w:basedOn w:val="1"/>
    <w:qFormat/>
    <w:uiPriority w:val="0"/>
    <w:rPr>
      <w:rFonts w:ascii="仿宋_GB2312" w:eastAsia="仿宋_GB2312"/>
      <w:b/>
      <w:sz w:val="32"/>
      <w:szCs w:val="20"/>
    </w:rPr>
  </w:style>
  <w:style w:type="paragraph" w:customStyle="1" w:styleId="847">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8">
    <w:name w:val="Char Char1 Char Char Char Char Char Char2"/>
    <w:basedOn w:val="1"/>
    <w:qFormat/>
    <w:uiPriority w:val="0"/>
    <w:rPr>
      <w:rFonts w:ascii="仿宋_GB2312" w:eastAsia="仿宋_GB2312"/>
      <w:b/>
      <w:sz w:val="32"/>
      <w:szCs w:val="20"/>
    </w:rPr>
  </w:style>
  <w:style w:type="paragraph" w:customStyle="1" w:styleId="849">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50">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51">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2">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3">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4">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5">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6">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7">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8">
    <w:name w:val="Char31"/>
    <w:basedOn w:val="1"/>
    <w:qFormat/>
    <w:uiPriority w:val="0"/>
    <w:pPr>
      <w:adjustRightInd/>
    </w:pPr>
    <w:rPr>
      <w:rFonts w:ascii="仿宋_GB2312" w:eastAsia="仿宋_GB2312"/>
      <w:b/>
      <w:sz w:val="32"/>
      <w:szCs w:val="32"/>
    </w:rPr>
  </w:style>
  <w:style w:type="paragraph" w:customStyle="1" w:styleId="859">
    <w:name w:val="样式 标题 3h33rd level3Heading 3 - oldH3l3CTheading 3Headin..."/>
    <w:basedOn w:val="4"/>
    <w:qFormat/>
    <w:uiPriority w:val="0"/>
    <w:pPr>
      <w:snapToGrid w:val="0"/>
      <w:ind w:left="0" w:firstLine="0"/>
      <w:jc w:val="left"/>
    </w:pPr>
    <w:rPr>
      <w:rFonts w:eastAsia="黑体" w:cs="宋体"/>
      <w:sz w:val="28"/>
      <w:szCs w:val="20"/>
    </w:rPr>
  </w:style>
  <w:style w:type="paragraph" w:customStyle="1" w:styleId="860">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61">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2">
    <w:name w:val="Char Char1"/>
    <w:basedOn w:val="1"/>
    <w:qFormat/>
    <w:uiPriority w:val="0"/>
    <w:pPr>
      <w:widowControl/>
      <w:spacing w:after="160" w:line="240" w:lineRule="exact"/>
      <w:jc w:val="left"/>
    </w:pPr>
    <w:rPr>
      <w:rFonts w:eastAsia="仿宋_GB2312"/>
      <w:sz w:val="28"/>
    </w:rPr>
  </w:style>
  <w:style w:type="paragraph" w:customStyle="1" w:styleId="863">
    <w:name w:val="Char21"/>
    <w:basedOn w:val="1"/>
    <w:qFormat/>
    <w:uiPriority w:val="0"/>
    <w:pPr>
      <w:adjustRightInd/>
      <w:ind w:firstLine="200" w:firstLineChars="200"/>
    </w:pPr>
    <w:rPr>
      <w:rFonts w:ascii="仿宋_GB2312" w:eastAsia="仿宋_GB2312"/>
      <w:b/>
      <w:sz w:val="32"/>
      <w:szCs w:val="32"/>
    </w:rPr>
  </w:style>
  <w:style w:type="paragraph" w:customStyle="1" w:styleId="864">
    <w:name w:val="列表段落1"/>
    <w:basedOn w:val="1"/>
    <w:qFormat/>
    <w:uiPriority w:val="34"/>
    <w:pPr>
      <w:adjustRightInd/>
      <w:ind w:right="238" w:firstLine="420"/>
    </w:pPr>
    <w:rPr>
      <w:rFonts w:ascii="Calibri" w:hAnsi="Calibri"/>
      <w:sz w:val="24"/>
    </w:rPr>
  </w:style>
  <w:style w:type="paragraph" w:customStyle="1" w:styleId="865">
    <w:name w:val="Char Char110"/>
    <w:basedOn w:val="1"/>
    <w:qFormat/>
    <w:uiPriority w:val="6"/>
    <w:pPr>
      <w:spacing w:line="360" w:lineRule="auto"/>
    </w:pPr>
    <w:rPr>
      <w:rFonts w:ascii="Tahoma" w:hAnsi="Tahoma"/>
      <w:sz w:val="24"/>
      <w:szCs w:val="20"/>
    </w:rPr>
  </w:style>
  <w:style w:type="paragraph" w:customStyle="1" w:styleId="866">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7">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68">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9">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70">
    <w:name w:val="Char Char Char Char Char Char Char Char Char Char Char Char1 Char2"/>
    <w:basedOn w:val="1"/>
    <w:qFormat/>
    <w:uiPriority w:val="0"/>
    <w:rPr>
      <w:rFonts w:ascii="Tahoma" w:hAnsi="Tahoma" w:cs="仿宋_GB2312"/>
      <w:sz w:val="24"/>
      <w:szCs w:val="20"/>
    </w:rPr>
  </w:style>
  <w:style w:type="paragraph" w:customStyle="1" w:styleId="871">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2">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3">
    <w:name w:val="样式 列表编号 + 段后: 0.5 行"/>
    <w:basedOn w:val="15"/>
    <w:qFormat/>
    <w:uiPriority w:val="2"/>
    <w:pPr>
      <w:tabs>
        <w:tab w:val="clear" w:pos="390"/>
        <w:tab w:val="clear" w:pos="454"/>
      </w:tabs>
      <w:spacing w:after="0"/>
      <w:ind w:left="840" w:hanging="420"/>
      <w:contextualSpacing/>
    </w:pPr>
    <w:rPr>
      <w:rFonts w:cs="宋体"/>
    </w:rPr>
  </w:style>
  <w:style w:type="paragraph" w:customStyle="1" w:styleId="874">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5">
    <w:name w:val="_Style 12"/>
    <w:basedOn w:val="18"/>
    <w:qFormat/>
    <w:uiPriority w:val="0"/>
    <w:pPr>
      <w:snapToGrid w:val="0"/>
      <w:spacing w:line="360" w:lineRule="auto"/>
    </w:pPr>
  </w:style>
  <w:style w:type="paragraph" w:customStyle="1" w:styleId="876">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7">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8">
    <w:name w:val="_Style 94"/>
    <w:basedOn w:val="1"/>
    <w:next w:val="260"/>
    <w:qFormat/>
    <w:uiPriority w:val="34"/>
    <w:pPr>
      <w:adjustRightInd/>
      <w:spacing w:line="360" w:lineRule="auto"/>
      <w:ind w:firstLine="200" w:firstLineChars="200"/>
    </w:pPr>
    <w:rPr>
      <w:rFonts w:ascii="Calibri" w:hAnsi="Calibri"/>
      <w:sz w:val="28"/>
      <w:szCs w:val="20"/>
    </w:rPr>
  </w:style>
  <w:style w:type="paragraph" w:customStyle="1" w:styleId="879">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80">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81">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2">
    <w:name w:val="3级标题"/>
    <w:basedOn w:val="674"/>
    <w:qFormat/>
    <w:uiPriority w:val="0"/>
    <w:pPr>
      <w:outlineLvl w:val="2"/>
    </w:pPr>
  </w:style>
  <w:style w:type="paragraph" w:customStyle="1" w:styleId="883">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4">
    <w:name w:val="Char1 Char Char Char3"/>
    <w:basedOn w:val="1"/>
    <w:qFormat/>
    <w:uiPriority w:val="0"/>
    <w:pPr>
      <w:adjustRightInd/>
      <w:ind w:firstLine="200" w:firstLineChars="200"/>
    </w:pPr>
    <w:rPr>
      <w:rFonts w:ascii="Tahoma" w:hAnsi="Tahoma"/>
      <w:sz w:val="24"/>
      <w:szCs w:val="20"/>
    </w:rPr>
  </w:style>
  <w:style w:type="paragraph" w:customStyle="1" w:styleId="885">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6">
    <w:name w:val="MM Empty"/>
    <w:basedOn w:val="1"/>
    <w:qFormat/>
    <w:uiPriority w:val="0"/>
    <w:pPr>
      <w:adjustRightInd/>
    </w:pPr>
  </w:style>
  <w:style w:type="paragraph" w:customStyle="1" w:styleId="887">
    <w:name w:val="Char24"/>
    <w:basedOn w:val="1"/>
    <w:qFormat/>
    <w:uiPriority w:val="0"/>
    <w:rPr>
      <w:rFonts w:ascii="仿宋_GB2312" w:eastAsia="仿宋_GB2312"/>
      <w:b/>
      <w:sz w:val="32"/>
      <w:szCs w:val="32"/>
    </w:rPr>
  </w:style>
  <w:style w:type="paragraph" w:customStyle="1" w:styleId="888">
    <w:name w:val="正文箭头"/>
    <w:basedOn w:val="540"/>
    <w:qFormat/>
    <w:uiPriority w:val="0"/>
  </w:style>
  <w:style w:type="paragraph" w:customStyle="1" w:styleId="889">
    <w:name w:val="U_编号2"/>
    <w:basedOn w:val="1"/>
    <w:qFormat/>
    <w:uiPriority w:val="0"/>
    <w:pPr>
      <w:tabs>
        <w:tab w:val="left" w:pos="785"/>
      </w:tabs>
      <w:adjustRightInd/>
      <w:spacing w:beforeLines="10" w:afterLines="10" w:line="300" w:lineRule="auto"/>
    </w:pPr>
    <w:rPr>
      <w:sz w:val="24"/>
    </w:rPr>
  </w:style>
  <w:style w:type="paragraph" w:customStyle="1" w:styleId="890">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91">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2">
    <w:name w:val="标书标题3"/>
    <w:basedOn w:val="4"/>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3">
    <w:name w:val="TOC 标题11"/>
    <w:basedOn w:val="2"/>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4">
    <w:name w:val="_Style 1"/>
    <w:basedOn w:val="1"/>
    <w:qFormat/>
    <w:uiPriority w:val="34"/>
    <w:pPr>
      <w:adjustRightInd/>
      <w:ind w:firstLine="420" w:firstLineChars="200"/>
    </w:pPr>
    <w:rPr>
      <w:rFonts w:eastAsia="仿宋_GB2312"/>
      <w:sz w:val="28"/>
    </w:rPr>
  </w:style>
  <w:style w:type="paragraph" w:customStyle="1" w:styleId="895">
    <w:name w:val="表格 内容"/>
    <w:basedOn w:val="731"/>
    <w:qFormat/>
    <w:uiPriority w:val="0"/>
    <w:rPr>
      <w:b w:val="0"/>
      <w:sz w:val="20"/>
    </w:rPr>
  </w:style>
  <w:style w:type="paragraph" w:customStyle="1" w:styleId="896">
    <w:name w:val="正文首行缩进1"/>
    <w:basedOn w:val="23"/>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7">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98">
    <w:name w:val="数字标题5"/>
    <w:basedOn w:val="7"/>
    <w:next w:val="1"/>
    <w:qFormat/>
    <w:uiPriority w:val="0"/>
    <w:pPr>
      <w:tabs>
        <w:tab w:val="left" w:pos="1080"/>
      </w:tabs>
      <w:ind w:left="1080" w:hanging="1080"/>
    </w:pPr>
  </w:style>
  <w:style w:type="paragraph" w:customStyle="1" w:styleId="899">
    <w:name w:val="数字标题1"/>
    <w:basedOn w:val="2"/>
    <w:next w:val="1"/>
    <w:qFormat/>
    <w:uiPriority w:val="0"/>
    <w:pPr>
      <w:tabs>
        <w:tab w:val="left" w:pos="480"/>
      </w:tabs>
      <w:ind w:left="480" w:hanging="480"/>
    </w:pPr>
  </w:style>
  <w:style w:type="paragraph" w:customStyle="1" w:styleId="900">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901">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2">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3">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4">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5">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6">
    <w:name w:val="0"/>
    <w:basedOn w:val="1"/>
    <w:qFormat/>
    <w:uiPriority w:val="0"/>
    <w:pPr>
      <w:widowControl/>
    </w:pPr>
    <w:rPr>
      <w:kern w:val="0"/>
      <w:sz w:val="24"/>
      <w:szCs w:val="20"/>
    </w:rPr>
  </w:style>
  <w:style w:type="paragraph" w:customStyle="1" w:styleId="907">
    <w:name w:val="Char Char113"/>
    <w:basedOn w:val="1"/>
    <w:qFormat/>
    <w:uiPriority w:val="0"/>
    <w:pPr>
      <w:widowControl/>
      <w:spacing w:after="160" w:line="240" w:lineRule="exact"/>
      <w:jc w:val="left"/>
    </w:pPr>
    <w:rPr>
      <w:rFonts w:eastAsia="仿宋_GB2312"/>
      <w:sz w:val="28"/>
    </w:rPr>
  </w:style>
  <w:style w:type="paragraph" w:customStyle="1" w:styleId="908">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09">
    <w:name w:val="_Style 8"/>
    <w:basedOn w:val="1"/>
    <w:qFormat/>
    <w:uiPriority w:val="34"/>
    <w:pPr>
      <w:adjustRightInd/>
      <w:ind w:firstLine="420" w:firstLineChars="200"/>
    </w:pPr>
    <w:rPr>
      <w:rFonts w:eastAsia="仿宋_GB2312"/>
      <w:sz w:val="28"/>
    </w:rPr>
  </w:style>
  <w:style w:type="paragraph" w:customStyle="1" w:styleId="910">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11">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12">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3">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4">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5">
    <w:name w:val="Char Char112"/>
    <w:basedOn w:val="1"/>
    <w:qFormat/>
    <w:uiPriority w:val="6"/>
    <w:pPr>
      <w:widowControl/>
      <w:spacing w:after="160" w:line="240" w:lineRule="exact"/>
      <w:jc w:val="left"/>
    </w:pPr>
    <w:rPr>
      <w:rFonts w:eastAsia="仿宋_GB2312"/>
      <w:sz w:val="28"/>
    </w:rPr>
  </w:style>
  <w:style w:type="paragraph" w:customStyle="1" w:styleId="916">
    <w:name w:val="正文 图"/>
    <w:basedOn w:val="445"/>
    <w:qFormat/>
    <w:uiPriority w:val="0"/>
    <w:pPr>
      <w:adjustRightInd/>
      <w:spacing w:before="0"/>
      <w:ind w:firstLine="0"/>
      <w:jc w:val="center"/>
    </w:pPr>
    <w:rPr>
      <w:rFonts w:ascii="微软雅黑" w:hAnsi="微软雅黑"/>
    </w:rPr>
  </w:style>
  <w:style w:type="paragraph" w:customStyle="1" w:styleId="917">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8">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9">
    <w:name w:val="Thf"/>
    <w:basedOn w:val="564"/>
    <w:qFormat/>
    <w:uiPriority w:val="0"/>
    <w:pPr>
      <w:ind w:left="0"/>
    </w:pPr>
  </w:style>
  <w:style w:type="paragraph" w:customStyle="1" w:styleId="920">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21">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22">
    <w:name w:val="注释"/>
    <w:basedOn w:val="1"/>
    <w:qFormat/>
    <w:uiPriority w:val="0"/>
    <w:pPr>
      <w:adjustRightInd/>
      <w:spacing w:line="360" w:lineRule="auto"/>
      <w:ind w:firstLine="480"/>
    </w:pPr>
    <w:rPr>
      <w:sz w:val="24"/>
    </w:rPr>
  </w:style>
  <w:style w:type="table" w:customStyle="1" w:styleId="923">
    <w:name w:val="网格型2"/>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1"/>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网格型6"/>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网格型3"/>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7">
    <w:name w:val="网格型4"/>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8">
    <w:name w:val="网格型5"/>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29">
    <w:name w:val="列出段落111"/>
    <w:basedOn w:val="1"/>
    <w:qFormat/>
    <w:uiPriority w:val="34"/>
    <w:pPr>
      <w:ind w:firstLine="420" w:firstLineChars="200"/>
    </w:pPr>
  </w:style>
  <w:style w:type="character" w:customStyle="1" w:styleId="930">
    <w:name w:val="交叉引用"/>
    <w:qFormat/>
    <w:uiPriority w:val="1"/>
    <w:rPr>
      <w:rFonts w:ascii="Arial" w:hAnsi="Arial" w:eastAsia="黑体"/>
      <w:snapToGrid w:val="0"/>
      <w:color w:val="0000FF"/>
      <w:kern w:val="0"/>
      <w:sz w:val="20"/>
      <w:szCs w:val="21"/>
      <w:u w:val="single"/>
      <w:lang w:val="en-US" w:eastAsia="zh-CN"/>
    </w:rPr>
  </w:style>
  <w:style w:type="character" w:customStyle="1" w:styleId="931">
    <w:name w:val="正文缩进 字符1"/>
    <w:qFormat/>
    <w:uiPriority w:val="0"/>
    <w:rPr>
      <w:rFonts w:ascii="宋体" w:eastAsia="宋体"/>
      <w:snapToGrid w:val="0"/>
      <w:color w:val="000000"/>
      <w:kern w:val="28"/>
      <w:sz w:val="28"/>
      <w:lang w:val="en-US" w:eastAsia="zh-CN" w:bidi="ar-SA"/>
    </w:rPr>
  </w:style>
  <w:style w:type="character" w:customStyle="1" w:styleId="932">
    <w:name w:val="页脚 字符1"/>
    <w:qFormat/>
    <w:locked/>
    <w:uiPriority w:val="99"/>
    <w:rPr>
      <w:kern w:val="2"/>
      <w:sz w:val="18"/>
      <w:szCs w:val="18"/>
    </w:rPr>
  </w:style>
  <w:style w:type="character" w:customStyle="1" w:styleId="933">
    <w:name w:val="页眉 字符1"/>
    <w:qFormat/>
    <w:uiPriority w:val="99"/>
    <w:rPr>
      <w:kern w:val="2"/>
      <w:sz w:val="18"/>
      <w:szCs w:val="18"/>
    </w:rPr>
  </w:style>
  <w:style w:type="character" w:customStyle="1" w:styleId="934">
    <w:name w:val="尾注文本 Char"/>
    <w:link w:val="37"/>
    <w:qFormat/>
    <w:uiPriority w:val="0"/>
    <w:rPr>
      <w:kern w:val="2"/>
      <w:sz w:val="21"/>
      <w:szCs w:val="24"/>
      <w:lang w:val="zh-CN"/>
    </w:rPr>
  </w:style>
  <w:style w:type="character" w:customStyle="1" w:styleId="935">
    <w:name w:val="无间隔 字符"/>
    <w:link w:val="485"/>
    <w:qFormat/>
    <w:uiPriority w:val="99"/>
    <w:rPr>
      <w:kern w:val="2"/>
      <w:sz w:val="21"/>
      <w:szCs w:val="22"/>
    </w:rPr>
  </w:style>
  <w:style w:type="character" w:customStyle="1" w:styleId="936">
    <w:name w:val="标准文本 Char Char"/>
    <w:link w:val="937"/>
    <w:qFormat/>
    <w:uiPriority w:val="0"/>
    <w:rPr>
      <w:rFonts w:cs="宋体"/>
      <w:kern w:val="2"/>
      <w:sz w:val="24"/>
    </w:rPr>
  </w:style>
  <w:style w:type="paragraph" w:customStyle="1" w:styleId="937">
    <w:name w:val="标准文本"/>
    <w:basedOn w:val="1"/>
    <w:link w:val="936"/>
    <w:qFormat/>
    <w:uiPriority w:val="0"/>
    <w:pPr>
      <w:adjustRightInd/>
      <w:spacing w:line="360" w:lineRule="auto"/>
      <w:ind w:firstLine="480" w:firstLineChars="200"/>
    </w:pPr>
    <w:rPr>
      <w:rFonts w:cs="宋体"/>
      <w:sz w:val="24"/>
      <w:szCs w:val="20"/>
    </w:rPr>
  </w:style>
  <w:style w:type="character" w:customStyle="1" w:styleId="938">
    <w:name w:val="Char Char213"/>
    <w:qFormat/>
    <w:uiPriority w:val="0"/>
    <w:rPr>
      <w:rFonts w:eastAsia="Century Gothic"/>
      <w:b/>
      <w:bCs/>
      <w:kern w:val="44"/>
      <w:sz w:val="32"/>
      <w:szCs w:val="44"/>
      <w:lang w:val="en-US" w:eastAsia="zh-CN" w:bidi="ar-SA"/>
    </w:rPr>
  </w:style>
  <w:style w:type="character" w:customStyle="1" w:styleId="939">
    <w:name w:val="apple-style-span"/>
    <w:qFormat/>
    <w:uiPriority w:val="0"/>
    <w:rPr>
      <w:rFonts w:ascii="Arial" w:hAnsi="Arial" w:eastAsia="黑体" w:cs="Arial"/>
      <w:snapToGrid w:val="0"/>
      <w:kern w:val="0"/>
      <w:szCs w:val="21"/>
    </w:rPr>
  </w:style>
  <w:style w:type="character" w:customStyle="1" w:styleId="940">
    <w:name w:val="15"/>
    <w:qFormat/>
    <w:uiPriority w:val="0"/>
    <w:rPr>
      <w:rFonts w:hint="default" w:ascii="Calibri" w:hAnsi="Calibri"/>
      <w:color w:val="0000FF"/>
      <w:u w:val="single"/>
    </w:rPr>
  </w:style>
  <w:style w:type="character" w:customStyle="1" w:styleId="941">
    <w:name w:val="16"/>
    <w:qFormat/>
    <w:uiPriority w:val="0"/>
    <w:rPr>
      <w:rFonts w:hint="eastAsia" w:ascii="宋体" w:hAnsi="宋体" w:eastAsia="宋体"/>
      <w:color w:val="000000"/>
      <w:sz w:val="20"/>
      <w:szCs w:val="20"/>
    </w:rPr>
  </w:style>
  <w:style w:type="character" w:customStyle="1" w:styleId="942">
    <w:name w:val="edui-unclickable"/>
    <w:qFormat/>
    <w:uiPriority w:val="0"/>
    <w:rPr>
      <w:color w:val="808080"/>
    </w:rPr>
  </w:style>
  <w:style w:type="character" w:customStyle="1" w:styleId="943">
    <w:name w:val="tpc_content1"/>
    <w:qFormat/>
    <w:uiPriority w:val="0"/>
    <w:rPr>
      <w:sz w:val="20"/>
      <w:szCs w:val="20"/>
    </w:rPr>
  </w:style>
  <w:style w:type="character" w:customStyle="1" w:styleId="944">
    <w:name w:val="正文文本缩进 字符"/>
    <w:qFormat/>
    <w:uiPriority w:val="0"/>
    <w:rPr>
      <w:rFonts w:ascii="Century Gothic" w:hAnsi="Century Gothic" w:eastAsia="Century Gothic"/>
      <w:kern w:val="2"/>
      <w:sz w:val="24"/>
      <w:lang w:val="en-US" w:eastAsia="zh-CN" w:bidi="ar-SA"/>
    </w:rPr>
  </w:style>
  <w:style w:type="character" w:customStyle="1" w:styleId="945">
    <w:name w:val="正文文本 2 字符"/>
    <w:qFormat/>
    <w:uiPriority w:val="0"/>
    <w:rPr>
      <w:rFonts w:ascii="Arial" w:hAnsi="Arial" w:eastAsia="宋体"/>
      <w:kern w:val="2"/>
      <w:sz w:val="24"/>
      <w:szCs w:val="24"/>
      <w:lang w:val="en-US" w:eastAsia="zh-CN" w:bidi="ar-SA"/>
    </w:rPr>
  </w:style>
  <w:style w:type="character" w:customStyle="1" w:styleId="946">
    <w:name w:val="edui-clickable2"/>
    <w:qFormat/>
    <w:uiPriority w:val="0"/>
    <w:rPr>
      <w:color w:val="0000FF"/>
      <w:u w:val="single"/>
    </w:rPr>
  </w:style>
  <w:style w:type="character" w:customStyle="1" w:styleId="947">
    <w:name w:val="style1"/>
    <w:qFormat/>
    <w:uiPriority w:val="0"/>
    <w:rPr>
      <w:rFonts w:ascii="Arial" w:hAnsi="Arial" w:eastAsia="黑体" w:cs="Arial"/>
      <w:snapToGrid w:val="0"/>
      <w:kern w:val="0"/>
      <w:szCs w:val="21"/>
    </w:rPr>
  </w:style>
  <w:style w:type="character" w:customStyle="1" w:styleId="948">
    <w:name w:val="zbggtop11 style5"/>
    <w:qFormat/>
    <w:uiPriority w:val="0"/>
    <w:rPr>
      <w:rFonts w:ascii="Arial" w:hAnsi="Arial" w:eastAsia="黑体" w:cs="Arial"/>
      <w:snapToGrid w:val="0"/>
      <w:kern w:val="0"/>
      <w:szCs w:val="21"/>
    </w:rPr>
  </w:style>
  <w:style w:type="character" w:customStyle="1" w:styleId="949">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50">
    <w:name w:val="bulletintext1"/>
    <w:qFormat/>
    <w:uiPriority w:val="0"/>
    <w:rPr>
      <w:color w:val="000000"/>
      <w:sz w:val="18"/>
    </w:rPr>
  </w:style>
  <w:style w:type="paragraph" w:customStyle="1" w:styleId="951">
    <w:name w:val="_Style 947"/>
    <w:basedOn w:val="1"/>
    <w:next w:val="260"/>
    <w:qFormat/>
    <w:uiPriority w:val="34"/>
    <w:pPr>
      <w:adjustRightInd/>
      <w:ind w:firstLine="420" w:firstLineChars="200"/>
    </w:pPr>
  </w:style>
  <w:style w:type="paragraph" w:customStyle="1" w:styleId="952">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53">
    <w:name w:val="纯文本2"/>
    <w:basedOn w:val="1"/>
    <w:qFormat/>
    <w:uiPriority w:val="0"/>
    <w:pPr>
      <w:adjustRightInd/>
      <w:snapToGrid w:val="0"/>
      <w:jc w:val="left"/>
    </w:pPr>
    <w:rPr>
      <w:rFonts w:ascii="Century Gothic" w:hAnsi="楷体_GB2312" w:eastAsia="Century Gothic"/>
      <w:szCs w:val="20"/>
    </w:rPr>
  </w:style>
  <w:style w:type="paragraph" w:customStyle="1" w:styleId="954">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5">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6">
    <w:name w:val="节"/>
    <w:basedOn w:val="3"/>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7">
    <w:name w:val="Blockquote"/>
    <w:basedOn w:val="1"/>
    <w:qFormat/>
    <w:uiPriority w:val="0"/>
    <w:pPr>
      <w:autoSpaceDE w:val="0"/>
      <w:autoSpaceDN w:val="0"/>
      <w:spacing w:before="100" w:after="100"/>
      <w:ind w:left="360" w:right="360"/>
      <w:jc w:val="left"/>
    </w:pPr>
    <w:rPr>
      <w:kern w:val="0"/>
      <w:sz w:val="24"/>
      <w:szCs w:val="20"/>
    </w:rPr>
  </w:style>
  <w:style w:type="paragraph" w:customStyle="1" w:styleId="958">
    <w:name w:val="p1"/>
    <w:basedOn w:val="1"/>
    <w:qFormat/>
    <w:uiPriority w:val="0"/>
    <w:pPr>
      <w:widowControl/>
      <w:adjustRightInd/>
      <w:jc w:val="left"/>
    </w:pPr>
    <w:rPr>
      <w:rFonts w:ascii=".PingFang SC" w:eastAsia=".PingFang SC"/>
      <w:color w:val="454545"/>
      <w:kern w:val="0"/>
      <w:sz w:val="18"/>
      <w:szCs w:val="18"/>
    </w:rPr>
  </w:style>
  <w:style w:type="paragraph" w:customStyle="1" w:styleId="959">
    <w:name w:val="Table Paragraph"/>
    <w:basedOn w:val="1"/>
    <w:qFormat/>
    <w:uiPriority w:val="0"/>
    <w:pPr>
      <w:adjustRightInd/>
      <w:jc w:val="left"/>
    </w:pPr>
    <w:rPr>
      <w:rFonts w:ascii="Calibri" w:hAnsi="Calibri"/>
      <w:kern w:val="0"/>
      <w:sz w:val="22"/>
      <w:szCs w:val="22"/>
      <w:lang w:eastAsia="en-US"/>
    </w:rPr>
  </w:style>
  <w:style w:type="paragraph" w:customStyle="1" w:styleId="960">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61">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2">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3">
    <w:name w:val="ksfind_class_select1"/>
    <w:basedOn w:val="69"/>
    <w:qFormat/>
    <w:uiPriority w:val="0"/>
    <w:rPr>
      <w:color w:val="000000"/>
      <w:shd w:val="clear" w:color="auto" w:fill="EFD200"/>
    </w:rPr>
  </w:style>
  <w:style w:type="character" w:customStyle="1" w:styleId="964">
    <w:name w:val="font71"/>
    <w:basedOn w:val="69"/>
    <w:qFormat/>
    <w:uiPriority w:val="0"/>
    <w:rPr>
      <w:rFonts w:hint="eastAsia" w:ascii="宋体" w:hAnsi="宋体" w:eastAsia="宋体" w:cs="宋体"/>
      <w:color w:val="000000"/>
      <w:sz w:val="22"/>
      <w:szCs w:val="22"/>
      <w:u w:val="none"/>
    </w:rPr>
  </w:style>
  <w:style w:type="character" w:customStyle="1" w:styleId="965">
    <w:name w:val="font91"/>
    <w:basedOn w:val="69"/>
    <w:qFormat/>
    <w:uiPriority w:val="0"/>
    <w:rPr>
      <w:rFonts w:hint="eastAsia" w:ascii="仿宋" w:hAnsi="仿宋" w:eastAsia="仿宋" w:cs="仿宋"/>
      <w:color w:val="000000"/>
      <w:sz w:val="22"/>
      <w:szCs w:val="22"/>
      <w:u w:val="none"/>
    </w:rPr>
  </w:style>
  <w:style w:type="paragraph" w:customStyle="1" w:styleId="966">
    <w:name w:val="样式 标题 2 + Times New Roman 四号 非加粗 段前: 5 磅 段后: 0 磅 行距: 固定值 20..."/>
    <w:basedOn w:val="3"/>
    <w:qFormat/>
    <w:uiPriority w:val="0"/>
    <w:pPr>
      <w:tabs>
        <w:tab w:val="left" w:pos="1080"/>
        <w:tab w:val="clear" w:pos="432"/>
      </w:tabs>
      <w:spacing w:before="100" w:line="400" w:lineRule="exact"/>
    </w:pPr>
    <w:rPr>
      <w:rFonts w:ascii="Times New Roman" w:hAnsi="Times New Roman" w:eastAsia="黑体" w:cs="宋体"/>
      <w:b w:val="0"/>
      <w:sz w:val="28"/>
      <w:szCs w:val="20"/>
    </w:rPr>
  </w:style>
  <w:style w:type="paragraph" w:customStyle="1" w:styleId="967">
    <w:name w:val="p16"/>
    <w:basedOn w:val="1"/>
    <w:qFormat/>
    <w:uiPriority w:val="0"/>
    <w:pPr>
      <w:widowControl/>
      <w:spacing w:before="100" w:after="100"/>
      <w:jc w:val="left"/>
    </w:pPr>
    <w:rPr>
      <w:rFonts w:ascii="宋体" w:hAnsi="宋体" w:cs="宋体"/>
      <w:color w:val="000000"/>
      <w:kern w:val="0"/>
      <w:sz w:val="24"/>
    </w:rPr>
  </w:style>
  <w:style w:type="paragraph" w:customStyle="1" w:styleId="968">
    <w:name w:val="修订4"/>
    <w:hidden/>
    <w:semiHidden/>
    <w:qFormat/>
    <w:uiPriority w:val="99"/>
    <w:rPr>
      <w:rFonts w:ascii="Times New Roman" w:hAnsi="Times New Roman" w:eastAsia="宋体" w:cs="Times New Roman"/>
      <w:kern w:val="2"/>
      <w:sz w:val="21"/>
      <w:szCs w:val="24"/>
      <w:lang w:val="en-US" w:eastAsia="zh-CN" w:bidi="ar-SA"/>
    </w:rPr>
  </w:style>
  <w:style w:type="paragraph" w:styleId="96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header" Target="header3.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header" Target="header2.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杭州市国内经济合作办公室</Company>
  <Pages>103</Pages>
  <Words>17738</Words>
  <Characters>19116</Characters>
  <Lines>517</Lines>
  <Paragraphs>145</Paragraphs>
  <TotalTime>22</TotalTime>
  <ScaleCrop>false</ScaleCrop>
  <LinksUpToDate>false</LinksUpToDate>
  <CharactersWithSpaces>19552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2025-05-23T08:00:00Z</dcterms:created>
  <dc:creator>玥</dc:creator>
  <cp:lastModifiedBy>K_Mamba</cp:lastModifiedBy>
  <cp:lastPrinted>2021-12-28T03:06:00Z</cp:lastPrinted>
  <dcterms:modified xsi:type="dcterms:W3CDTF">2025-05-29T00:52:28Z</dcterms:modified>
  <dc:title>杭州市市民卡扩大发卡工程</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E60E47F91C424C8C89C43F63A92FDB62_13</vt:lpwstr>
  </property>
  <property fmtid="{D5CDD505-2E9C-101B-9397-08002B2CF9AE}" pid="5" name="commondata">
    <vt:lpwstr>eyJoZGlkIjoiNGNlMmFkMDQ1NDY0ZmRiM2Q0NjY4NTFjN2IwMTllYjMifQ==</vt:lpwstr>
  </property>
  <property fmtid="{D5CDD505-2E9C-101B-9397-08002B2CF9AE}" pid="6" name="KSOTemplateDocerSaveRecord">
    <vt:lpwstr>eyJoZGlkIjoiY2JhOGJhMWNmMjNmMDkxNzVjNzhiNDIxNTk3YTA2MTciLCJ1c2VySWQiOiI2NDQ5NzkyNzYifQ==</vt:lpwstr>
  </property>
</Properties>
</file>