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4D54848C">
      <w:pPr>
        <w:spacing w:line="360" w:lineRule="auto"/>
        <w:jc w:val="both"/>
        <w:rPr>
          <w:rFonts w:ascii="宋体" w:hAnsi="宋体" w:cs="宋体"/>
          <w:b/>
          <w:color w:val="auto"/>
          <w:sz w:val="44"/>
          <w:szCs w:val="44"/>
          <w:highlight w:val="none"/>
        </w:rPr>
      </w:pPr>
    </w:p>
    <w:p w14:paraId="7E3993E5">
      <w:pPr>
        <w:adjustRightInd/>
        <w:spacing w:line="360" w:lineRule="auto"/>
        <w:jc w:val="center"/>
        <w:rPr>
          <w:rFonts w:ascii="宋体" w:hAnsi="宋体" w:cs="宋体"/>
          <w:b/>
          <w:color w:val="auto"/>
          <w:sz w:val="48"/>
          <w:szCs w:val="48"/>
          <w:highlight w:val="none"/>
        </w:rPr>
      </w:pPr>
    </w:p>
    <w:p w14:paraId="0F01F23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桐庐县高新区(江南园区)集体土地征收及搬迁项目(一期)评估服务项目</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编号:HCCGTL2025-046</w:t>
      </w:r>
      <w:r>
        <w:rPr>
          <w:rFonts w:hint="eastAsia" w:ascii="宋体" w:hAnsi="宋体" w:cs="宋体"/>
          <w:color w:val="auto"/>
          <w:sz w:val="30"/>
          <w:szCs w:val="30"/>
          <w:highlight w:val="none"/>
          <w:lang w:val="en-US" w:eastAsia="zh-CN"/>
        </w:rPr>
        <w:t xml:space="preserve">   </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4836694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桐庐县江南镇人民政府</w:t>
      </w:r>
    </w:p>
    <w:p w14:paraId="289DCB78">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华诚工程咨询集团有限公司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8"/>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桐庐县高新区(江南园区)集体土地征收及搬迁项目(一期)评估服务项目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8</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8</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9</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15</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HCCGTL2025-046</w:t>
      </w:r>
      <w:r>
        <w:rPr>
          <w:rFonts w:hint="eastAsia" w:ascii="宋体" w:hAnsi="宋体" w:cs="宋体"/>
          <w:b w:val="0"/>
          <w:bCs/>
          <w:color w:val="auto"/>
          <w:sz w:val="24"/>
          <w:highlight w:val="none"/>
          <w:lang w:val="en-US" w:eastAsia="zh-CN"/>
        </w:rPr>
        <w:t xml:space="preserve"> </w:t>
      </w:r>
    </w:p>
    <w:p w14:paraId="0312DF7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桐庐县高新区(江南园区)集体土地征收及搬迁项目(一期)评估服务项目</w:t>
      </w:r>
    </w:p>
    <w:p w14:paraId="1C6D4C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800000</w:t>
      </w:r>
    </w:p>
    <w:p w14:paraId="42AE452F">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最高限价</w:t>
      </w:r>
      <w:r>
        <w:rPr>
          <w:rFonts w:hint="eastAsia" w:ascii="宋体" w:hAnsi="宋体" w:eastAsia="宋体" w:cs="宋体"/>
          <w:b/>
          <w:color w:val="auto"/>
          <w:sz w:val="24"/>
          <w:highlight w:val="none"/>
          <w:lang w:val="en-US" w:eastAsia="zh-CN"/>
        </w:rPr>
        <w:t>单价</w:t>
      </w:r>
      <w:r>
        <w:rPr>
          <w:rFonts w:hint="eastAsia" w:ascii="宋体" w:hAnsi="宋体" w:eastAsia="宋体" w:cs="宋体"/>
          <w:b/>
          <w:color w:val="auto"/>
          <w:sz w:val="24"/>
          <w:highlight w:val="none"/>
        </w:rPr>
        <w:t>：</w:t>
      </w:r>
      <w:r>
        <w:rPr>
          <w:rFonts w:hint="eastAsia" w:ascii="宋体" w:hAnsi="宋体" w:eastAsia="宋体" w:cs="宋体"/>
          <w:b w:val="0"/>
          <w:bCs w:val="0"/>
          <w:kern w:val="0"/>
          <w:sz w:val="24"/>
          <w:szCs w:val="24"/>
          <w:highlight w:val="none"/>
        </w:rPr>
        <w:t>10元/</w:t>
      </w:r>
      <w:r>
        <w:rPr>
          <w:rFonts w:hint="eastAsia" w:ascii="宋体" w:hAnsi="宋体" w:eastAsia="宋体" w:cs="宋体"/>
          <w:b w:val="0"/>
          <w:bCs w:val="0"/>
          <w:color w:val="auto"/>
          <w:sz w:val="24"/>
          <w:highlight w:val="none"/>
          <w:lang w:val="en-US" w:eastAsia="zh-CN"/>
        </w:rPr>
        <w:t>平方米</w:t>
      </w:r>
    </w:p>
    <w:p w14:paraId="6EC5DB8E">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桐庐县高新区(江南园区)集体土地征收及搬迁项目(一期)评估服务项目</w:t>
      </w:r>
      <w:r>
        <w:rPr>
          <w:rFonts w:hint="eastAsia" w:hAnsi="宋体" w:cs="宋体"/>
          <w:bCs/>
          <w:snapToGrid/>
          <w:color w:val="auto"/>
          <w:kern w:val="2"/>
          <w:sz w:val="24"/>
          <w:szCs w:val="24"/>
          <w:highlight w:val="none"/>
        </w:rPr>
        <w:t>主要内容：</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4D65C897">
      <w:pPr>
        <w:pStyle w:val="133"/>
        <w:spacing w:line="360" w:lineRule="auto"/>
        <w:ind w:firstLine="482"/>
        <w:outlineLvl w:val="2"/>
        <w:rPr>
          <w:rFonts w:hint="eastAsia" w:ascii="宋体" w:hAnsi="宋体" w:cs="宋体"/>
          <w:b w:val="0"/>
          <w:bCs w:val="0"/>
          <w:kern w:val="0"/>
          <w:sz w:val="24"/>
          <w:szCs w:val="24"/>
          <w:lang w:val="en-US" w:eastAsia="zh-CN" w:bidi="ar-SA"/>
        </w:rPr>
      </w:pPr>
      <w:r>
        <w:rPr>
          <w:rFonts w:hint="eastAsia" w:ascii="宋体" w:hAnsi="宋体" w:cs="宋体"/>
          <w:b/>
          <w:color w:val="auto"/>
          <w:highlight w:val="none"/>
        </w:rPr>
        <w:t>合同履约期限：</w:t>
      </w:r>
      <w:r>
        <w:rPr>
          <w:rFonts w:hint="eastAsia" w:ascii="宋体" w:hAnsi="宋体" w:cs="宋体"/>
          <w:b w:val="0"/>
          <w:bCs w:val="0"/>
          <w:kern w:val="0"/>
          <w:sz w:val="24"/>
          <w:szCs w:val="24"/>
          <w:lang w:val="en-US" w:eastAsia="zh-CN" w:bidi="ar-SA"/>
        </w:rPr>
        <w:t>采购合同签订之日起至项目全部评估工作完成，（采购总金额原则上不超过80万元，如累计结算金额接近80万元，甲方有权终止合同，并支付累计结算金额的100%）。</w:t>
      </w:r>
    </w:p>
    <w:p w14:paraId="04C46B4D">
      <w:pPr>
        <w:pStyle w:val="133"/>
        <w:spacing w:line="360" w:lineRule="auto"/>
        <w:ind w:firstLine="482"/>
        <w:outlineLvl w:val="2"/>
        <w:rPr>
          <w:rFonts w:ascii="宋体" w:hAnsi="宋体" w:cs="宋体"/>
          <w:color w:val="auto"/>
          <w:highlight w:val="none"/>
        </w:rPr>
      </w:pPr>
      <w:r>
        <w:rPr>
          <w:rFonts w:hint="eastAsia" w:ascii="Times New Roman" w:hAnsi="Times New Roman" w:eastAsia="宋体" w:cs="微软雅黑"/>
          <w:b/>
          <w:bCs/>
          <w:sz w:val="24"/>
          <w:szCs w:val="24"/>
          <w:lang w:val="en-US" w:eastAsia="zh-CN"/>
        </w:rPr>
        <w:t>注：</w:t>
      </w:r>
      <w:r>
        <w:rPr>
          <w:rFonts w:hint="eastAsia" w:ascii="Times New Roman" w:hAnsi="Times New Roman" w:eastAsia="宋体" w:cs="微软雅黑"/>
          <w:b/>
          <w:bCs/>
          <w:sz w:val="24"/>
          <w:szCs w:val="24"/>
        </w:rPr>
        <w:t>若结算价款满合同限额后则提前自动解除，</w:t>
      </w:r>
      <w:r>
        <w:rPr>
          <w:rFonts w:hint="eastAsia" w:ascii="Times New Roman" w:hAnsi="Times New Roman" w:eastAsia="宋体" w:cs="微软雅黑"/>
          <w:b/>
          <w:bCs/>
          <w:sz w:val="24"/>
          <w:szCs w:val="24"/>
          <w:lang w:val="en-US" w:eastAsia="zh-CN"/>
        </w:rPr>
        <w:t>全部评估工作完成或</w:t>
      </w:r>
      <w:r>
        <w:rPr>
          <w:rFonts w:hint="eastAsia" w:ascii="Times New Roman" w:hAnsi="Times New Roman" w:eastAsia="宋体" w:cs="微软雅黑"/>
          <w:b/>
          <w:bCs/>
          <w:sz w:val="24"/>
          <w:szCs w:val="24"/>
        </w:rPr>
        <w:t>金额两者以先达到为准。</w:t>
      </w:r>
    </w:p>
    <w:p w14:paraId="07281B02">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Segoe UI Symbol"/>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hint="eastAsia" w:ascii="宋体" w:hAnsi="宋体" w:eastAsia="宋体" w:cs="宋体"/>
          <w:color w:val="auto"/>
          <w:spacing w:val="8"/>
          <w:kern w:val="0"/>
          <w:sz w:val="24"/>
          <w:highlight w:val="none"/>
          <w:lang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eastAsia="宋体" w:cs="宋体"/>
          <w:color w:val="auto"/>
          <w:spacing w:val="8"/>
          <w:kern w:val="0"/>
          <w:sz w:val="24"/>
          <w:highlight w:val="none"/>
          <w:lang w:eastAsia="zh-CN"/>
        </w:rPr>
        <w:t>：</w:t>
      </w:r>
      <w:r>
        <w:rPr>
          <w:rFonts w:hint="eastAsia" w:ascii="宋体" w:hAnsi="宋体" w:eastAsia="宋体" w:cs="宋体"/>
          <w:b/>
          <w:bCs/>
          <w:color w:val="auto"/>
          <w:spacing w:val="8"/>
          <w:kern w:val="0"/>
          <w:sz w:val="24"/>
          <w:highlight w:val="none"/>
          <w:lang w:val="en-US" w:eastAsia="zh-CN"/>
        </w:rPr>
        <w:t>具有房地产估价机构备案证书等级三级及以上资质</w:t>
      </w:r>
      <w:r>
        <w:rPr>
          <w:rFonts w:hint="eastAsia" w:ascii="宋体" w:hAnsi="宋体" w:eastAsia="宋体" w:cs="宋体"/>
          <w:color w:val="auto"/>
          <w:spacing w:val="8"/>
          <w:kern w:val="0"/>
          <w:sz w:val="24"/>
          <w:highlight w:val="none"/>
          <w:lang w:val="en-US" w:eastAsia="zh-CN"/>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2025年8月8日9点15分00秒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 w:val="0"/>
          <w:bCs/>
          <w:color w:val="auto"/>
          <w:sz w:val="24"/>
          <w:highlight w:val="none"/>
          <w:u w:val="single"/>
        </w:rPr>
        <w:t>2025年8月8日9点15分</w:t>
      </w:r>
      <w:r>
        <w:rPr>
          <w:rFonts w:hint="eastAsia" w:ascii="宋体" w:hAnsi="宋体" w:cs="宋体"/>
          <w:b w:val="0"/>
          <w:bCs/>
          <w:color w:val="auto"/>
          <w:sz w:val="24"/>
          <w:highlight w:val="none"/>
          <w:u w:val="single"/>
        </w:rPr>
        <w:t xml:space="preserve">00秒 </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桐庐县江南镇人民政府</w:t>
      </w:r>
      <w:r>
        <w:rPr>
          <w:rFonts w:hint="eastAsia" w:ascii="宋体" w:hAnsi="宋体" w:cs="宋体"/>
          <w:color w:val="auto"/>
          <w:sz w:val="24"/>
          <w:highlight w:val="none"/>
        </w:rPr>
        <w:t xml:space="preserve"> </w:t>
      </w:r>
    </w:p>
    <w:p w14:paraId="141E4C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址：桐庐县江南镇高山头G320国道旁</w:t>
      </w:r>
    </w:p>
    <w:p w14:paraId="378259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911895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 xml:space="preserve">林峰 </w:t>
      </w:r>
      <w:r>
        <w:rPr>
          <w:rFonts w:hint="eastAsia" w:ascii="宋体" w:hAnsi="宋体" w:cs="宋体"/>
          <w:color w:val="auto"/>
          <w:sz w:val="24"/>
          <w:highlight w:val="none"/>
        </w:rPr>
        <w:t xml:space="preserve">  </w:t>
      </w:r>
    </w:p>
    <w:p w14:paraId="31CC70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项目联系方式（询问）：15858163951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 xml:space="preserve"> </w:t>
      </w:r>
      <w:r>
        <w:rPr>
          <w:rFonts w:hint="eastAsia" w:ascii="宋体" w:hAnsi="宋体" w:cs="宋体"/>
          <w:color w:val="auto"/>
          <w:sz w:val="24"/>
          <w:highlight w:val="none"/>
        </w:rPr>
        <w:t xml:space="preserve"> </w:t>
      </w:r>
    </w:p>
    <w:p w14:paraId="160DB7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质疑联系人：方溢成</w:t>
      </w:r>
      <w:r>
        <w:rPr>
          <w:rFonts w:hint="eastAsia" w:ascii="宋体" w:hAnsi="宋体" w:cs="宋体"/>
          <w:color w:val="auto"/>
          <w:sz w:val="24"/>
          <w:highlight w:val="none"/>
          <w:lang w:val="en-US" w:eastAsia="zh-CN"/>
        </w:rPr>
        <w:t xml:space="preserve"> </w:t>
      </w:r>
      <w:r>
        <w:rPr>
          <w:rFonts w:hint="eastAsia" w:ascii="宋体" w:hAnsi="宋体" w:cs="宋体"/>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color w:val="auto"/>
          <w:sz w:val="24"/>
          <w:highlight w:val="none"/>
        </w:rPr>
        <w:t xml:space="preserve"> </w:t>
      </w:r>
    </w:p>
    <w:p w14:paraId="6722B2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质疑联系方式：18668091723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w:t>
      </w:r>
      <w:r>
        <w:rPr>
          <w:rFonts w:hint="eastAsia" w:ascii="宋体" w:hAnsi="宋体" w:cs="宋体"/>
          <w:sz w:val="24"/>
          <w:highlight w:val="none"/>
          <w:lang w:val="en-US" w:eastAsia="zh-CN"/>
        </w:rPr>
        <w:t xml:space="preserve"> </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0382607">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华诚工程咨询集团有限公司</w:t>
      </w:r>
    </w:p>
    <w:p w14:paraId="16C39B4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址：杭州市桐庐县云栖中路619号东方君兰中心28楼</w:t>
      </w:r>
    </w:p>
    <w:p w14:paraId="53F5272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真：0571-61772183</w:t>
      </w:r>
    </w:p>
    <w:p w14:paraId="100F33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项目联系人（询问）：陈婧 </w:t>
      </w:r>
    </w:p>
    <w:p w14:paraId="6D1A7C4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项目联系方式（询问）：0571-64251926</w:t>
      </w:r>
    </w:p>
    <w:p w14:paraId="44BADC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质疑联系人：叶敏露 </w:t>
      </w:r>
    </w:p>
    <w:p w14:paraId="23E21F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质疑联系方式：0571-64251926</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60D29230">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桐庐县高新区(江南园区)集体土地征收及搬迁项目(一期)评估服务项目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其他未列明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27019300">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cs="宋体"/>
                <w:color w:val="auto"/>
                <w:kern w:val="0"/>
                <w:sz w:val="24"/>
                <w:highlight w:val="none"/>
                <w:u w:val="single"/>
                <w:lang w:val="en-US" w:eastAsia="zh-CN"/>
              </w:rPr>
              <w:t>其他未列明</w:t>
            </w:r>
            <w:r>
              <w:rPr>
                <w:rFonts w:hint="eastAsia" w:ascii="宋体" w:hAnsi="宋体" w:eastAsia="宋体" w:cs="宋体"/>
                <w:b w:val="0"/>
                <w:bCs w:val="0"/>
                <w:color w:val="auto"/>
                <w:kern w:val="0"/>
                <w:sz w:val="24"/>
                <w:szCs w:val="24"/>
                <w:highlight w:val="none"/>
                <w:lang w:val="en-US" w:eastAsia="zh-CN" w:bidi="ar-SA"/>
              </w:rPr>
              <w:t>行业。</w:t>
            </w:r>
            <w:r>
              <w:rPr>
                <w:rFonts w:ascii="宋体" w:hAnsi="宋体" w:eastAsia="宋体" w:cs="宋体"/>
                <w:sz w:val="24"/>
                <w:szCs w:val="24"/>
              </w:rPr>
              <w:t>从业人员300人以下的为中小微型企业。其中，从业 人员100人及以上的为中型企业；从业人员10人及以上的为小型企业；从业人员10人 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2"/>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2"/>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auto"/>
                <w:sz w:val="24"/>
                <w:highlight w:val="none"/>
              </w:rPr>
            </w:pPr>
          </w:p>
          <w:p w14:paraId="29FA9A8C">
            <w:pPr>
              <w:snapToGrid w:val="0"/>
              <w:spacing w:line="360" w:lineRule="auto"/>
              <w:jc w:val="center"/>
              <w:rPr>
                <w:rFonts w:ascii="宋体" w:hAnsi="宋体" w:cs="宋体"/>
                <w:color w:val="auto"/>
                <w:sz w:val="24"/>
                <w:highlight w:val="none"/>
              </w:rPr>
            </w:pPr>
          </w:p>
          <w:p w14:paraId="18497155">
            <w:pPr>
              <w:snapToGrid w:val="0"/>
              <w:spacing w:line="360" w:lineRule="auto"/>
              <w:jc w:val="center"/>
              <w:rPr>
                <w:rFonts w:ascii="宋体" w:hAnsi="宋体" w:cs="宋体"/>
                <w:color w:val="auto"/>
                <w:sz w:val="24"/>
                <w:highlight w:val="none"/>
              </w:rPr>
            </w:pPr>
          </w:p>
          <w:p w14:paraId="42DDB8BE">
            <w:pPr>
              <w:snapToGrid w:val="0"/>
              <w:spacing w:line="360" w:lineRule="auto"/>
              <w:jc w:val="center"/>
              <w:rPr>
                <w:rFonts w:ascii="宋体" w:hAnsi="宋体" w:cs="宋体"/>
                <w:color w:val="auto"/>
                <w:sz w:val="24"/>
                <w:highlight w:val="none"/>
              </w:rPr>
            </w:pPr>
          </w:p>
          <w:p w14:paraId="1D875970">
            <w:pPr>
              <w:snapToGrid w:val="0"/>
              <w:spacing w:line="360" w:lineRule="auto"/>
              <w:jc w:val="center"/>
              <w:rPr>
                <w:rFonts w:ascii="宋体" w:hAnsi="宋体" w:cs="宋体"/>
                <w:color w:val="auto"/>
                <w:sz w:val="24"/>
                <w:highlight w:val="none"/>
              </w:rPr>
            </w:pPr>
          </w:p>
          <w:p w14:paraId="0BC922C3">
            <w:pPr>
              <w:snapToGrid w:val="0"/>
              <w:spacing w:line="360" w:lineRule="auto"/>
              <w:jc w:val="center"/>
              <w:rPr>
                <w:rFonts w:ascii="宋体" w:hAnsi="宋体" w:cs="宋体"/>
                <w:color w:val="auto"/>
                <w:sz w:val="24"/>
                <w:highlight w:val="none"/>
              </w:rPr>
            </w:pPr>
          </w:p>
          <w:p w14:paraId="2D356E36">
            <w:pPr>
              <w:snapToGrid w:val="0"/>
              <w:spacing w:line="360" w:lineRule="auto"/>
              <w:jc w:val="center"/>
              <w:rPr>
                <w:rFonts w:ascii="宋体" w:hAnsi="宋体" w:cs="宋体"/>
                <w:color w:val="auto"/>
                <w:sz w:val="24"/>
                <w:highlight w:val="none"/>
              </w:rPr>
            </w:pPr>
          </w:p>
          <w:p w14:paraId="32D3B44A">
            <w:pPr>
              <w:snapToGrid w:val="0"/>
              <w:spacing w:line="360" w:lineRule="auto"/>
              <w:jc w:val="center"/>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2"/>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2"/>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2"/>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2"/>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2"/>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5"/>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杭州市桐庐县云栖中路619号东方君兰中心28楼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陈婧（收），15715771169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6129343D">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本次采购的招标代理服务费按中介优选中选价</w:t>
            </w:r>
            <w:r>
              <w:rPr>
                <w:rFonts w:hint="eastAsia" w:ascii="宋体" w:hAnsi="宋体" w:cs="宋体"/>
                <w:color w:val="auto"/>
                <w:kern w:val="0"/>
                <w:sz w:val="24"/>
                <w:highlight w:val="none"/>
                <w:lang w:val="en-US" w:eastAsia="zh-CN"/>
              </w:rPr>
              <w:t>6400</w:t>
            </w:r>
            <w:r>
              <w:rPr>
                <w:rFonts w:hint="eastAsia" w:ascii="宋体" w:hAnsi="宋体" w:eastAsia="宋体" w:cs="宋体"/>
                <w:color w:val="auto"/>
                <w:kern w:val="0"/>
                <w:sz w:val="24"/>
                <w:highlight w:val="none"/>
                <w:lang w:val="en" w:eastAsia="zh-CN"/>
              </w:rPr>
              <w:t>元收取。代理费用由中标单位在领取中标通知书前一次性支付给代理公司。</w:t>
            </w:r>
          </w:p>
        </w:tc>
      </w:tr>
    </w:tbl>
    <w:p w14:paraId="1969C939">
      <w:pPr>
        <w:snapToGrid w:val="0"/>
        <w:spacing w:line="360" w:lineRule="auto"/>
        <w:jc w:val="center"/>
        <w:rPr>
          <w:rFonts w:ascii="宋体" w:hAnsi="宋体" w:cs="宋体"/>
          <w:b/>
          <w:color w:val="auto"/>
          <w:sz w:val="32"/>
          <w:szCs w:val="20"/>
          <w:highlight w:val="none"/>
        </w:rPr>
      </w:pPr>
    </w:p>
    <w:bookmarkEnd w:id="10"/>
    <w:p w14:paraId="04DA880E">
      <w:pPr>
        <w:adjustRightInd/>
        <w:spacing w:line="360" w:lineRule="auto"/>
        <w:ind w:firstLine="3845" w:firstLineChars="1197"/>
        <w:outlineLvl w:val="0"/>
        <w:rPr>
          <w:rFonts w:hint="eastAsia" w:ascii="宋体" w:hAnsi="宋体" w:cs="宋体"/>
          <w:b/>
          <w:color w:val="auto"/>
          <w:sz w:val="32"/>
          <w:szCs w:val="20"/>
          <w:highlight w:val="none"/>
        </w:rPr>
      </w:pPr>
      <w:bookmarkStart w:id="11" w:name="_Toc164416483"/>
      <w:bookmarkStart w:id="12" w:name="第三部分"/>
    </w:p>
    <w:p w14:paraId="2B0C2E48">
      <w:pPr>
        <w:adjustRightInd/>
        <w:spacing w:line="360" w:lineRule="auto"/>
        <w:ind w:firstLine="3845" w:firstLineChars="1197"/>
        <w:outlineLvl w:val="0"/>
        <w:rPr>
          <w:rFonts w:hint="eastAsia" w:ascii="宋体" w:hAnsi="宋体" w:cs="宋体"/>
          <w:b/>
          <w:color w:val="auto"/>
          <w:sz w:val="32"/>
          <w:szCs w:val="20"/>
          <w:highlight w:val="none"/>
        </w:rPr>
      </w:pPr>
    </w:p>
    <w:p w14:paraId="31DDF5A4">
      <w:pPr>
        <w:adjustRightInd/>
        <w:spacing w:line="360" w:lineRule="auto"/>
        <w:ind w:firstLine="3845" w:firstLineChars="1197"/>
        <w:outlineLvl w:val="0"/>
        <w:rPr>
          <w:rFonts w:hint="eastAsia" w:ascii="宋体" w:hAnsi="宋体" w:cs="宋体"/>
          <w:b/>
          <w:color w:val="auto"/>
          <w:sz w:val="32"/>
          <w:szCs w:val="20"/>
          <w:highlight w:val="none"/>
        </w:rPr>
      </w:pPr>
    </w:p>
    <w:p w14:paraId="75264CA2">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4"/>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5"/>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5"/>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890"/>
        <w:shd w:val="clear" w:color="auto" w:fill="FFFFFF"/>
        <w:snapToGrid w:val="0"/>
        <w:spacing w:after="240" w:afterAutospacing="0" w:line="360" w:lineRule="auto"/>
        <w:ind w:firstLine="400"/>
        <w:contextualSpacing/>
        <w:rPr>
          <w:rFonts w:hint="eastAsia"/>
          <w:color w:val="auto"/>
          <w:highlight w:val="none"/>
        </w:rPr>
      </w:pPr>
    </w:p>
    <w:p w14:paraId="72BB4CF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3"/>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4"/>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3"/>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3"/>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7"/>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3"/>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3"/>
        <w:spacing w:before="0"/>
        <w:ind w:firstLine="643"/>
        <w:rPr>
          <w:rFonts w:ascii="宋体" w:hAnsi="宋体" w:cs="宋体"/>
          <w:b/>
          <w:color w:val="auto"/>
          <w:sz w:val="32"/>
          <w:highlight w:val="none"/>
        </w:rPr>
      </w:pPr>
    </w:p>
    <w:p w14:paraId="25870E80">
      <w:pPr>
        <w:pStyle w:val="133"/>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3"/>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3"/>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7"/>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3"/>
        <w:adjustRightInd w:val="0"/>
        <w:snapToGrid w:val="0"/>
        <w:spacing w:before="0"/>
        <w:ind w:firstLine="482" w:firstLineChars="200"/>
        <w:rPr>
          <w:rStyle w:val="79"/>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2"/>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7"/>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7"/>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3"/>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7"/>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4"/>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3"/>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7"/>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2"/>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68073093"/>
      <w:bookmarkEnd w:id="16"/>
      <w:bookmarkStart w:id="17" w:name="_Hlt74714665"/>
      <w:bookmarkEnd w:id="17"/>
      <w:bookmarkStart w:id="18" w:name="_Hlt68057669"/>
      <w:bookmarkEnd w:id="18"/>
      <w:bookmarkStart w:id="19" w:name="_Hlt75236290"/>
      <w:bookmarkEnd w:id="19"/>
      <w:bookmarkStart w:id="20" w:name="_Hlt74707468"/>
      <w:bookmarkEnd w:id="20"/>
      <w:bookmarkStart w:id="21" w:name="_Hlt68072998"/>
      <w:bookmarkEnd w:id="21"/>
      <w:bookmarkStart w:id="22" w:name="_Hlt68072990"/>
      <w:bookmarkEnd w:id="22"/>
      <w:bookmarkStart w:id="23" w:name="_Hlt74729768"/>
      <w:bookmarkEnd w:id="23"/>
      <w:bookmarkStart w:id="24" w:name="_Hlt75236011"/>
      <w:bookmarkEnd w:id="24"/>
      <w:bookmarkStart w:id="25" w:name="_Hlt74730295"/>
      <w:bookmarkEnd w:id="25"/>
      <w:bookmarkStart w:id="26" w:name="_Hlt75236101"/>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97ABE2F">
      <w:pPr>
        <w:keepNext w:val="0"/>
        <w:keepLines w:val="0"/>
        <w:pageBreakBefore w:val="0"/>
        <w:kinsoku/>
        <w:wordWrap/>
        <w:overflowPunct/>
        <w:topLinePunct w:val="0"/>
        <w:autoSpaceDE/>
        <w:autoSpaceDN/>
        <w:bidi w:val="0"/>
        <w:adjustRightInd w:val="0"/>
        <w:snapToGrid/>
        <w:spacing w:line="440" w:lineRule="exact"/>
        <w:ind w:firstLine="482" w:firstLineChars="200"/>
        <w:textAlignment w:val="auto"/>
        <w:rPr>
          <w:rFonts w:ascii="宋体" w:hAnsi="宋体" w:cs="宋体"/>
          <w:b/>
          <w:bCs/>
          <w:sz w:val="24"/>
        </w:rPr>
      </w:pPr>
      <w:r>
        <w:rPr>
          <w:rFonts w:hint="eastAsia" w:ascii="宋体" w:hAnsi="宋体" w:cs="宋体"/>
          <w:b/>
          <w:bCs/>
          <w:sz w:val="24"/>
        </w:rPr>
        <w:t>一、项目概况</w:t>
      </w:r>
    </w:p>
    <w:p w14:paraId="21923876">
      <w:pPr>
        <w:pStyle w:val="59"/>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、项目名称：</w:t>
      </w:r>
      <w:r>
        <w:rPr>
          <w:rFonts w:hint="eastAsia"/>
          <w:lang w:eastAsia="zh-CN"/>
        </w:rPr>
        <w:t>桐庐县高新区(江南园区)集体土地征收及搬迁项目(一期)评估服务项目</w:t>
      </w:r>
    </w:p>
    <w:p w14:paraId="31BBE54E">
      <w:pPr>
        <w:pStyle w:val="133"/>
        <w:spacing w:line="360" w:lineRule="auto"/>
        <w:ind w:firstLine="482"/>
        <w:outlineLvl w:val="2"/>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时间要求：</w:t>
      </w:r>
      <w:r>
        <w:rPr>
          <w:rFonts w:hint="eastAsia" w:ascii="宋体" w:hAnsi="宋体" w:cs="宋体"/>
          <w:b w:val="0"/>
          <w:bCs w:val="0"/>
          <w:kern w:val="0"/>
          <w:sz w:val="24"/>
          <w:szCs w:val="24"/>
          <w:lang w:val="en-US" w:eastAsia="zh-CN" w:bidi="ar-SA"/>
        </w:rPr>
        <w:t>采购合同签订之日起至项目全部评估工作完成，（采购总金额原则上不超过80万元，如累计结算金额接近80万元，甲方有权终止合同</w:t>
      </w:r>
      <w:r>
        <w:rPr>
          <w:rFonts w:hint="eastAsia" w:ascii="宋体" w:hAnsi="宋体" w:cs="宋体"/>
          <w:b w:val="0"/>
          <w:bCs w:val="0"/>
          <w:kern w:val="0"/>
          <w:sz w:val="24"/>
          <w:szCs w:val="24"/>
          <w:highlight w:val="none"/>
          <w:lang w:val="en-US" w:eastAsia="zh-CN" w:bidi="ar-SA"/>
        </w:rPr>
        <w:t>，并支付累计结算金额的100%）。</w:t>
      </w:r>
    </w:p>
    <w:p w14:paraId="24BC1F11">
      <w:pPr>
        <w:spacing w:line="360" w:lineRule="auto"/>
        <w:ind w:firstLine="482" w:firstLineChars="200"/>
        <w:rPr>
          <w:rFonts w:hint="eastAsia" w:ascii="宋体" w:hAnsi="宋体" w:eastAsia="宋体" w:cs="宋体"/>
          <w:color w:val="auto"/>
          <w:sz w:val="24"/>
          <w:szCs w:val="24"/>
          <w:highlight w:val="none"/>
          <w:u w:val="none"/>
          <w:lang w:val="en-US" w:eastAsia="zh-CN"/>
        </w:rPr>
      </w:pPr>
      <w:r>
        <w:rPr>
          <w:rFonts w:hint="eastAsia" w:ascii="宋体" w:hAnsi="宋体" w:cs="宋体"/>
          <w:b/>
          <w:bCs/>
          <w:color w:val="auto"/>
          <w:sz w:val="24"/>
          <w:szCs w:val="24"/>
          <w:highlight w:val="none"/>
          <w:u w:val="none"/>
          <w:lang w:val="en-US" w:eastAsia="zh-CN"/>
        </w:rPr>
        <w:t>3</w:t>
      </w:r>
      <w:r>
        <w:rPr>
          <w:rFonts w:hint="eastAsia" w:ascii="宋体" w:hAnsi="宋体" w:eastAsia="宋体" w:cs="宋体"/>
          <w:b/>
          <w:bCs/>
          <w:color w:val="auto"/>
          <w:sz w:val="24"/>
          <w:szCs w:val="24"/>
          <w:highlight w:val="none"/>
          <w:u w:val="none"/>
          <w:lang w:val="en-US" w:eastAsia="zh-CN"/>
        </w:rPr>
        <w:t>、房屋评估公司服务内容:现场踏勘、测量及评估并分批出具评估报告，包括房屋主体及装修、附属物等。收费按10元/平方米计</w:t>
      </w:r>
      <w:r>
        <w:rPr>
          <w:rFonts w:hint="eastAsia" w:ascii="宋体" w:hAnsi="宋体" w:cs="宋体"/>
          <w:b/>
          <w:bCs/>
          <w:color w:val="auto"/>
          <w:sz w:val="24"/>
          <w:szCs w:val="24"/>
          <w:highlight w:val="none"/>
          <w:u w:val="none"/>
          <w:lang w:val="en-US" w:eastAsia="zh-CN"/>
        </w:rPr>
        <w:t>算</w:t>
      </w:r>
      <w:r>
        <w:rPr>
          <w:rFonts w:hint="eastAsia" w:ascii="宋体" w:hAnsi="宋体" w:eastAsia="宋体" w:cs="宋体"/>
          <w:b/>
          <w:bCs/>
          <w:color w:val="auto"/>
          <w:sz w:val="24"/>
          <w:szCs w:val="24"/>
          <w:highlight w:val="none"/>
          <w:u w:val="none"/>
          <w:lang w:val="en-US" w:eastAsia="zh-CN"/>
        </w:rPr>
        <w:t>，具体金额按实结算。</w:t>
      </w:r>
    </w:p>
    <w:p w14:paraId="2C2E29ED">
      <w:pPr>
        <w:pStyle w:val="4"/>
        <w:pageBreakBefore w:val="0"/>
        <w:widowControl w:val="0"/>
        <w:numPr>
          <w:ilvl w:val="0"/>
          <w:numId w:val="0"/>
        </w:numPr>
        <w:kinsoku/>
        <w:wordWrap/>
        <w:overflowPunct/>
        <w:topLinePunct w:val="0"/>
        <w:bidi w:val="0"/>
        <w:spacing w:before="0" w:after="0" w:line="360" w:lineRule="auto"/>
        <w:ind w:left="424" w:leftChars="197" w:hanging="10" w:hangingChars="4"/>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lang w:val="en-US" w:eastAsia="zh-CN" w:bidi="ar-SA"/>
        </w:rPr>
        <w:t>二、</w:t>
      </w:r>
      <w:r>
        <w:rPr>
          <w:rFonts w:hint="eastAsia" w:ascii="宋体" w:hAnsi="宋体" w:eastAsia="宋体" w:cs="宋体"/>
          <w:color w:val="auto"/>
          <w:sz w:val="24"/>
          <w:szCs w:val="24"/>
          <w:highlight w:val="none"/>
          <w:lang w:val="en-US" w:eastAsia="zh-CN"/>
        </w:rPr>
        <w:t>服务内容</w:t>
      </w:r>
    </w:p>
    <w:p w14:paraId="39FCDD0D">
      <w:pPr>
        <w:pageBreakBefore w:val="0"/>
        <w:widowControl w:val="0"/>
        <w:kinsoku/>
        <w:wordWrap/>
        <w:overflowPunct/>
        <w:topLinePunct w:val="0"/>
        <w:autoSpaceDE/>
        <w:autoSpaceDN/>
        <w:bidi w:val="0"/>
        <w:spacing w:line="440" w:lineRule="exact"/>
        <w:ind w:right="352"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1）对采购人委托的项目提供评估咨询服务，并出具评估成果，成果应合法有效。</w:t>
      </w:r>
    </w:p>
    <w:p w14:paraId="7F847A80">
      <w:pPr>
        <w:pageBreakBefore w:val="0"/>
        <w:widowControl w:val="0"/>
        <w:kinsoku/>
        <w:wordWrap/>
        <w:overflowPunct/>
        <w:topLinePunct w:val="0"/>
        <w:autoSpaceDE/>
        <w:autoSpaceDN/>
        <w:bidi w:val="0"/>
        <w:spacing w:line="440" w:lineRule="exact"/>
        <w:ind w:right="352"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2）评估依据：根据国家相关规定执行。</w:t>
      </w:r>
    </w:p>
    <w:p w14:paraId="40BC74B5">
      <w:pPr>
        <w:pageBreakBefore w:val="0"/>
        <w:widowControl w:val="0"/>
        <w:kinsoku/>
        <w:wordWrap/>
        <w:overflowPunct/>
        <w:topLinePunct w:val="0"/>
        <w:autoSpaceDE/>
        <w:autoSpaceDN/>
        <w:bidi w:val="0"/>
        <w:spacing w:line="440" w:lineRule="exact"/>
        <w:ind w:right="352"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3）工期要求：一般委托项目应在接受委托之日起1个月内完成，采购人对具体项目工期有特殊要求的，按特殊要求执行。</w:t>
      </w:r>
    </w:p>
    <w:p w14:paraId="3A3990F1">
      <w:pPr>
        <w:pageBreakBefore w:val="0"/>
        <w:widowControl w:val="0"/>
        <w:kinsoku/>
        <w:wordWrap/>
        <w:overflowPunct/>
        <w:topLinePunct w:val="0"/>
        <w:autoSpaceDE/>
        <w:autoSpaceDN/>
        <w:bidi w:val="0"/>
        <w:spacing w:line="440" w:lineRule="exact"/>
        <w:ind w:right="352"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4）评估咨询的主要成果是对采购人所涉项目资产进行评估。成果具体组成部分：包括但不仅限于估价的假设和限制条件、评估结果报告、评估技术报告（含有估价验算过程）等。具体要求为：</w:t>
      </w:r>
    </w:p>
    <w:p w14:paraId="0C7246E7">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①要求专业评估师（评估人员）根据估价目的，遵循估价原则，按照现行规定的程序和估价方法，并在综合分析基础上，对房屋及装修的价格等作出客观合理的价格估算和判定。</w:t>
      </w:r>
    </w:p>
    <w:p w14:paraId="10F41B84">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kern w:val="0"/>
          <w:sz w:val="24"/>
          <w:szCs w:val="24"/>
        </w:rPr>
        <w:t>②要求评估人员对房屋室内装修情况进行现场勘察、拍照取证、</w:t>
      </w:r>
      <w:r>
        <w:rPr>
          <w:rFonts w:hint="eastAsia" w:ascii="宋体" w:hAnsi="宋体" w:eastAsia="宋体" w:cs="宋体"/>
          <w:b w:val="0"/>
          <w:bCs w:val="0"/>
          <w:kern w:val="0"/>
          <w:sz w:val="24"/>
          <w:szCs w:val="24"/>
        </w:rPr>
        <w:t>测绘、记录、评议，做好图卡资料，整理填写房屋室内装修成新等级和装修价值评估表，以备复查核对，同时作为《评估报告书》的附件内容。</w:t>
      </w:r>
    </w:p>
    <w:p w14:paraId="357A8FF8">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③要求自开展评估至出具评估报告书的期限一般在1个月内完成（因评估时点不一致的按评估时点）。当住户收到《评估报告书》后，如对估价结果有异议提出复议的，评估机构应当接到本单位要求复议通知之日起15日内将复议复评结果提交本单位。在开展评估活动中，要求评估人员与住户能充分沟通，做好评估有关问题相关解释和完成住户确认签字程序，提升评估服务满意度。</w:t>
      </w:r>
    </w:p>
    <w:p w14:paraId="32E36B3D">
      <w:pPr>
        <w:pStyle w:val="4"/>
        <w:pageBreakBefore w:val="0"/>
        <w:widowControl w:val="0"/>
        <w:numPr>
          <w:ilvl w:val="0"/>
          <w:numId w:val="0"/>
        </w:numPr>
        <w:kinsoku/>
        <w:wordWrap/>
        <w:overflowPunct/>
        <w:topLinePunct w:val="0"/>
        <w:bidi w:val="0"/>
        <w:spacing w:before="0" w:after="0" w:line="360" w:lineRule="auto"/>
        <w:ind w:left="424" w:leftChars="197" w:hanging="10" w:hangingChars="4"/>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lang w:val="en-US" w:eastAsia="zh-CN" w:bidi="ar-SA"/>
        </w:rPr>
        <w:t>三、其他相关工作</w:t>
      </w:r>
    </w:p>
    <w:p w14:paraId="4E0CD675">
      <w:pPr>
        <w:spacing w:line="360" w:lineRule="auto"/>
        <w:ind w:firstLine="480" w:firstLineChars="200"/>
        <w:rPr>
          <w:rFonts w:hint="eastAsia" w:ascii="宋体" w:hAnsi="宋体" w:eastAsia="宋体" w:cs="宋体"/>
          <w:b w:val="0"/>
          <w:bCs w:val="0"/>
          <w:kern w:val="0"/>
          <w:sz w:val="24"/>
          <w:lang w:eastAsia="zh-CN"/>
        </w:rPr>
      </w:pPr>
      <w:r>
        <w:rPr>
          <w:rFonts w:hint="eastAsia" w:ascii="宋体" w:hAnsi="宋体" w:eastAsia="宋体" w:cs="宋体"/>
          <w:b w:val="0"/>
          <w:bCs w:val="0"/>
          <w:kern w:val="0"/>
          <w:sz w:val="24"/>
          <w:lang w:eastAsia="zh-CN"/>
        </w:rPr>
        <w:t>1）积极配合工作组及征收单位，做好房屋征收相关工作；</w:t>
      </w:r>
    </w:p>
    <w:p w14:paraId="0E8CCF88">
      <w:pPr>
        <w:spacing w:line="360" w:lineRule="auto"/>
        <w:ind w:firstLine="480" w:firstLineChars="200"/>
        <w:rPr>
          <w:rFonts w:hint="eastAsia" w:ascii="宋体" w:hAnsi="宋体" w:eastAsia="宋体" w:cs="宋体"/>
          <w:b w:val="0"/>
          <w:bCs w:val="0"/>
          <w:kern w:val="0"/>
          <w:sz w:val="24"/>
          <w:lang w:eastAsia="zh-CN"/>
        </w:rPr>
      </w:pPr>
      <w:r>
        <w:rPr>
          <w:rFonts w:hint="eastAsia" w:ascii="宋体" w:hAnsi="宋体" w:eastAsia="宋体" w:cs="宋体"/>
          <w:b w:val="0"/>
          <w:bCs w:val="0"/>
          <w:kern w:val="0"/>
          <w:sz w:val="24"/>
          <w:lang w:eastAsia="zh-CN"/>
        </w:rPr>
        <w:t>2）做好被征收房屋腾空验收、开具腾空单，移交给拆房单位拆除；</w:t>
      </w:r>
    </w:p>
    <w:p w14:paraId="6F40D101">
      <w:pPr>
        <w:spacing w:line="360" w:lineRule="auto"/>
        <w:ind w:firstLine="480" w:firstLineChars="200"/>
        <w:rPr>
          <w:rFonts w:hint="eastAsia" w:ascii="宋体" w:hAnsi="宋体" w:eastAsia="宋体" w:cs="宋体"/>
          <w:b w:val="0"/>
          <w:bCs w:val="0"/>
          <w:kern w:val="0"/>
          <w:sz w:val="24"/>
          <w:lang w:eastAsia="zh-CN"/>
        </w:rPr>
      </w:pPr>
      <w:r>
        <w:rPr>
          <w:rFonts w:hint="eastAsia" w:ascii="宋体" w:hAnsi="宋体" w:eastAsia="宋体" w:cs="宋体"/>
          <w:b w:val="0"/>
          <w:bCs w:val="0"/>
          <w:kern w:val="0"/>
          <w:sz w:val="24"/>
          <w:lang w:eastAsia="zh-CN"/>
        </w:rPr>
        <w:t>3）完成征收单位交办的其他相关工作。</w:t>
      </w:r>
    </w:p>
    <w:p w14:paraId="6DB1B268">
      <w:pPr>
        <w:spacing w:line="360" w:lineRule="auto"/>
        <w:ind w:firstLine="480" w:firstLineChars="200"/>
        <w:rPr>
          <w:rFonts w:hint="eastAsia" w:ascii="宋体" w:hAnsi="宋体" w:eastAsia="宋体" w:cs="宋体"/>
          <w:b w:val="0"/>
          <w:bCs w:val="0"/>
          <w:kern w:val="0"/>
          <w:sz w:val="24"/>
          <w:lang w:eastAsia="zh-CN"/>
        </w:rPr>
      </w:pPr>
      <w:r>
        <w:rPr>
          <w:rFonts w:hint="eastAsia" w:ascii="宋体" w:hAnsi="宋体" w:eastAsia="宋体" w:cs="宋体"/>
          <w:b w:val="0"/>
          <w:bCs w:val="0"/>
          <w:kern w:val="0"/>
          <w:sz w:val="24"/>
          <w:lang w:eastAsia="zh-CN"/>
        </w:rPr>
        <w:t xml:space="preserve">4）配合采购方(或项目委托人）、审计机构对相关项目的审计工作，并在审计过程中提供真实完整的相关资料。 </w:t>
      </w:r>
    </w:p>
    <w:p w14:paraId="53A59F22">
      <w:pPr>
        <w:snapToGrid w:val="0"/>
        <w:spacing w:line="240" w:lineRule="auto"/>
        <w:ind w:firstLine="482" w:firstLineChars="20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四、服务期要求</w:t>
      </w:r>
    </w:p>
    <w:p w14:paraId="22C7DA8B">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按招标人或委托人要求在限定时间内开展房屋建筑物价值评估，并在规定时间内将估价结果提交给招标人或委托人。如遇特殊情形或不可抗力因素影响，确需延长工作时间的，征得招标人或委托人同意后可给予适当延长。对因项目紧急，需加急评估的项目，中标人应抽调精干力量配合招标人优先评估，在保证评估质量的基础上，确保及时提交成果报告。一般情况下，中标人在接到单宗项目委托后1个月内须提交成果报告。</w:t>
      </w:r>
    </w:p>
    <w:p w14:paraId="0F17686C">
      <w:pPr>
        <w:keepNext w:val="0"/>
        <w:keepLines w:val="0"/>
        <w:pageBreakBefore w:val="0"/>
        <w:widowControl w:val="0"/>
        <w:kinsoku/>
        <w:overflowPunct/>
        <w:autoSpaceDE/>
        <w:autoSpaceDN/>
        <w:bidi w:val="0"/>
        <w:adjustRightInd w:val="0"/>
        <w:spacing w:line="440" w:lineRule="exact"/>
        <w:ind w:firstLine="482" w:firstLineChars="20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五</w:t>
      </w:r>
      <w:r>
        <w:rPr>
          <w:rFonts w:hint="eastAsia" w:ascii="宋体" w:hAnsi="宋体" w:eastAsia="宋体" w:cs="宋体"/>
          <w:b/>
          <w:bCs/>
          <w:kern w:val="0"/>
          <w:sz w:val="24"/>
          <w:szCs w:val="24"/>
        </w:rPr>
        <w:t>、对项目服务团队的组建要求</w:t>
      </w:r>
    </w:p>
    <w:p w14:paraId="4B9CE126">
      <w:pPr>
        <w:keepNext w:val="0"/>
        <w:keepLines w:val="0"/>
        <w:pageBreakBefore w:val="0"/>
        <w:widowControl w:val="0"/>
        <w:kinsoku/>
        <w:overflowPunct/>
        <w:autoSpaceDE/>
        <w:autoSpaceDN/>
        <w:bidi w:val="0"/>
        <w:adjustRightIn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评估机构对于承接的征收补偿评估项目，评估机构应当指派与征收补偿评估项目的工作量相适应的评估师开展评估业务，避免影响项目征收补偿工作推进。人员资格和数量满足采购人要求。</w:t>
      </w:r>
    </w:p>
    <w:p w14:paraId="42C1FBBF">
      <w:pPr>
        <w:keepNext w:val="0"/>
        <w:keepLines w:val="0"/>
        <w:pageBreakBefore w:val="0"/>
        <w:widowControl w:val="0"/>
        <w:kinsoku/>
        <w:overflowPunct/>
        <w:autoSpaceDE/>
        <w:autoSpaceDN/>
        <w:bidi w:val="0"/>
        <w:adjustRightIn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服务团队的稳定要求：投标人中标后（含在服务过程中）不得随意更换团队项目负责人、项目组团队成员，确需要更换的，必须书面申请并经委托人审核同意，否则采购方有权扣罚中标人的履约保证金乃至取消其中标资格。</w:t>
      </w:r>
    </w:p>
    <w:p w14:paraId="097821D8">
      <w:pPr>
        <w:keepNext w:val="0"/>
        <w:keepLines w:val="0"/>
        <w:pageBreakBefore w:val="0"/>
        <w:widowControl w:val="0"/>
        <w:kinsoku/>
        <w:overflowPunct/>
        <w:autoSpaceDE/>
        <w:autoSpaceDN/>
        <w:bidi w:val="0"/>
        <w:adjustRightInd w:val="0"/>
        <w:spacing w:line="440" w:lineRule="exact"/>
        <w:ind w:firstLine="482" w:firstLineChars="20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六</w:t>
      </w:r>
      <w:r>
        <w:rPr>
          <w:rFonts w:hint="eastAsia" w:ascii="宋体" w:hAnsi="宋体" w:eastAsia="宋体" w:cs="宋体"/>
          <w:b/>
          <w:bCs/>
          <w:kern w:val="0"/>
          <w:sz w:val="24"/>
          <w:szCs w:val="24"/>
        </w:rPr>
        <w:t>、对中标人及其项目工作团队的服务要求</w:t>
      </w:r>
    </w:p>
    <w:p w14:paraId="55CF40AC">
      <w:pPr>
        <w:keepNext w:val="0"/>
        <w:keepLines w:val="0"/>
        <w:pageBreakBefore w:val="0"/>
        <w:widowControl w:val="0"/>
        <w:kinsoku/>
        <w:overflowPunct/>
        <w:autoSpaceDE/>
        <w:autoSpaceDN/>
        <w:bidi w:val="0"/>
        <w:adjustRightInd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（一）总体要求</w:t>
      </w:r>
    </w:p>
    <w:p w14:paraId="07058B47">
      <w:pPr>
        <w:keepNext w:val="0"/>
        <w:keepLines w:val="0"/>
        <w:pageBreakBefore w:val="0"/>
        <w:widowControl w:val="0"/>
        <w:kinsoku/>
        <w:overflowPunct/>
        <w:autoSpaceDE/>
        <w:autoSpaceDN/>
        <w:bidi w:val="0"/>
        <w:adjustRightInd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1、为确保获得高品质的服务，投标人应制定严格的执行和管理制度，且服务模式应符合采购方需求。</w:t>
      </w:r>
    </w:p>
    <w:p w14:paraId="5976588D">
      <w:pPr>
        <w:keepNext w:val="0"/>
        <w:keepLines w:val="0"/>
        <w:pageBreakBefore w:val="0"/>
        <w:widowControl w:val="0"/>
        <w:kinsoku/>
        <w:overflowPunct/>
        <w:autoSpaceDE/>
        <w:autoSpaceDN/>
        <w:bidi w:val="0"/>
        <w:adjustRightInd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2、投标人应注意下述各点，否则由此所发生的各类纠纷由投标人自行承担，并负相应的经济和法律责任：</w:t>
      </w:r>
    </w:p>
    <w:p w14:paraId="53DC86AD">
      <w:pPr>
        <w:keepNext w:val="0"/>
        <w:keepLines w:val="0"/>
        <w:pageBreakBefore w:val="0"/>
        <w:widowControl w:val="0"/>
        <w:kinsoku/>
        <w:overflowPunct/>
        <w:autoSpaceDE/>
        <w:autoSpaceDN/>
        <w:bidi w:val="0"/>
        <w:adjustRightInd w:val="0"/>
        <w:spacing w:line="440" w:lineRule="exact"/>
        <w:ind w:firstLine="360" w:firstLineChars="150"/>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（1）中标人派出的人员应具有执业资格，且近三年内未接受过行政处罚或行业惩戒。</w:t>
      </w:r>
    </w:p>
    <w:p w14:paraId="000CF971">
      <w:pPr>
        <w:keepNext w:val="0"/>
        <w:keepLines w:val="0"/>
        <w:pageBreakBefore w:val="0"/>
        <w:widowControl w:val="0"/>
        <w:kinsoku/>
        <w:overflowPunct/>
        <w:autoSpaceDE/>
        <w:autoSpaceDN/>
        <w:bidi w:val="0"/>
        <w:adjustRightInd w:val="0"/>
        <w:spacing w:line="440" w:lineRule="exact"/>
        <w:ind w:firstLine="360" w:firstLineChars="150"/>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（2）中标人派出的人员应选用学历或职称及工作经验，能充分胜任所从事的工作，熟悉相关政策。每次派出的人员相对稳定，对曾经参与过类似项目且经验丰富的人员在承接业务时要优先选派。</w:t>
      </w:r>
    </w:p>
    <w:p w14:paraId="4AFDDA64">
      <w:pPr>
        <w:keepNext w:val="0"/>
        <w:keepLines w:val="0"/>
        <w:pageBreakBefore w:val="0"/>
        <w:widowControl w:val="0"/>
        <w:kinsoku/>
        <w:overflowPunct/>
        <w:autoSpaceDE/>
        <w:autoSpaceDN/>
        <w:bidi w:val="0"/>
        <w:adjustRightInd w:val="0"/>
        <w:spacing w:line="440" w:lineRule="exact"/>
        <w:ind w:firstLine="360" w:firstLineChars="150"/>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3）中标人派出的人员不能胜任采购人工作的，采购人有权要求该服务人员退出或要求中标人调换服务人员。因工作质量达不到要求等原因被甲方（采购人）要求退出（被替换）项目任务的，采购人有权拒付或扣付该人员的相应服务费用。派出的人员不遵守工作纪律、未按采购人工作要求开展工作、工作成果未达到采购人标准的，采购人有权拒付或扣付相关服务费用。</w:t>
      </w:r>
    </w:p>
    <w:p w14:paraId="1C39D24E">
      <w:pPr>
        <w:keepNext w:val="0"/>
        <w:keepLines w:val="0"/>
        <w:pageBreakBefore w:val="0"/>
        <w:widowControl w:val="0"/>
        <w:kinsoku/>
        <w:overflowPunct/>
        <w:autoSpaceDE/>
        <w:autoSpaceDN/>
        <w:bidi w:val="0"/>
        <w:adjustRightInd w:val="0"/>
        <w:spacing w:line="440" w:lineRule="exact"/>
        <w:ind w:firstLine="360" w:firstLineChars="150"/>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4）中标人派出的人员应服从采购人的项目工作安排，完成任务。工作期间，未经采购人批准，人员不能调换（采购人要求的除外），不得中途退出，有事需向采购人请假；如因客观情况确实需要更换的，应经由采购人书面批准。中标服务商未经采购人批准调换服务人员、中途退出，采购人将拒付或扣付相应的服务费用。</w:t>
      </w:r>
    </w:p>
    <w:p w14:paraId="442977A0">
      <w:pPr>
        <w:keepNext w:val="0"/>
        <w:keepLines w:val="0"/>
        <w:pageBreakBefore w:val="0"/>
        <w:widowControl w:val="0"/>
        <w:kinsoku/>
        <w:overflowPunct/>
        <w:autoSpaceDE/>
        <w:autoSpaceDN/>
        <w:bidi w:val="0"/>
        <w:adjustRightInd w:val="0"/>
        <w:spacing w:line="440" w:lineRule="exact"/>
        <w:ind w:firstLine="360" w:firstLineChars="150"/>
        <w:textAlignment w:val="auto"/>
        <w:rPr>
          <w:rFonts w:hint="eastAsia" w:ascii="宋体" w:hAnsi="宋体" w:eastAsia="宋体" w:cs="宋体"/>
          <w:kern w:val="0"/>
          <w:sz w:val="24"/>
          <w:szCs w:val="24"/>
        </w:rPr>
      </w:pPr>
      <w:r>
        <w:rPr>
          <w:rFonts w:hint="eastAsia" w:ascii="宋体" w:hAnsi="宋体" w:eastAsia="宋体" w:cs="宋体"/>
          <w:kern w:val="0"/>
          <w:sz w:val="24"/>
          <w:szCs w:val="24"/>
        </w:rPr>
        <w:t>（5）一旦派出人员参加服务，服务期间另行安排给人员与本次服务无关的工作需经采购方批准同意，该人员不得私自承诺或从事其他与本次服务无关的工作。</w:t>
      </w:r>
    </w:p>
    <w:p w14:paraId="6A830FEB">
      <w:pPr>
        <w:keepNext w:val="0"/>
        <w:keepLines w:val="0"/>
        <w:pageBreakBefore w:val="0"/>
        <w:widowControl w:val="0"/>
        <w:kinsoku/>
        <w:overflowPunct/>
        <w:autoSpaceDE/>
        <w:autoSpaceDN/>
        <w:bidi w:val="0"/>
        <w:adjustRightInd w:val="0"/>
        <w:spacing w:line="440" w:lineRule="exact"/>
        <w:ind w:firstLine="360" w:firstLineChars="150"/>
        <w:textAlignment w:val="auto"/>
        <w:rPr>
          <w:rFonts w:hint="eastAsia" w:ascii="宋体" w:hAnsi="宋体" w:eastAsia="宋体" w:cs="宋体"/>
          <w:kern w:val="0"/>
          <w:sz w:val="24"/>
          <w:szCs w:val="24"/>
        </w:rPr>
      </w:pPr>
      <w:r>
        <w:rPr>
          <w:rFonts w:hint="eastAsia" w:ascii="宋体" w:hAnsi="宋体" w:eastAsia="宋体" w:cs="宋体"/>
          <w:kern w:val="0"/>
          <w:sz w:val="24"/>
          <w:szCs w:val="24"/>
        </w:rPr>
        <w:t>（6）中标人拟派出的人员违反有关法律、法规或采购人制定的工作纪律或被有效投诉经采购人核实处理的，采购人除有权拒付或扣付相应的服务费用外，还可视情节解除与中标服务商的服务协议。</w:t>
      </w:r>
    </w:p>
    <w:p w14:paraId="6ED569F0">
      <w:pPr>
        <w:keepNext w:val="0"/>
        <w:keepLines w:val="0"/>
        <w:pageBreakBefore w:val="0"/>
        <w:widowControl w:val="0"/>
        <w:kinsoku/>
        <w:overflowPunct/>
        <w:autoSpaceDE/>
        <w:autoSpaceDN/>
        <w:bidi w:val="0"/>
        <w:adjustRightInd w:val="0"/>
        <w:spacing w:line="440" w:lineRule="exact"/>
        <w:ind w:firstLine="360" w:firstLineChars="150"/>
        <w:textAlignment w:val="auto"/>
        <w:rPr>
          <w:rFonts w:hint="eastAsia" w:ascii="宋体" w:hAnsi="宋体" w:eastAsia="宋体" w:cs="宋体"/>
          <w:kern w:val="0"/>
          <w:sz w:val="24"/>
          <w:szCs w:val="24"/>
        </w:rPr>
      </w:pPr>
      <w:r>
        <w:rPr>
          <w:rFonts w:hint="eastAsia" w:ascii="宋体" w:hAnsi="宋体" w:eastAsia="宋体" w:cs="宋体"/>
          <w:kern w:val="0"/>
          <w:sz w:val="24"/>
          <w:szCs w:val="24"/>
        </w:rPr>
        <w:t>（7）中标人派出的人员依法开展相关的工作，对工作情况的的真实性、准确性负责；</w:t>
      </w:r>
    </w:p>
    <w:p w14:paraId="767DB0B8">
      <w:pPr>
        <w:keepNext w:val="0"/>
        <w:keepLines w:val="0"/>
        <w:pageBreakBefore w:val="0"/>
        <w:widowControl w:val="0"/>
        <w:kinsoku/>
        <w:overflowPunct/>
        <w:autoSpaceDE/>
        <w:autoSpaceDN/>
        <w:bidi w:val="0"/>
        <w:adjustRightInd w:val="0"/>
        <w:spacing w:line="440" w:lineRule="exact"/>
        <w:ind w:firstLine="360" w:firstLineChars="150"/>
        <w:textAlignment w:val="auto"/>
        <w:rPr>
          <w:rFonts w:hint="eastAsia" w:ascii="宋体" w:hAnsi="宋体" w:eastAsia="宋体" w:cs="宋体"/>
          <w:kern w:val="0"/>
          <w:sz w:val="24"/>
          <w:szCs w:val="24"/>
        </w:rPr>
      </w:pPr>
      <w:r>
        <w:rPr>
          <w:rFonts w:hint="eastAsia" w:ascii="宋体" w:hAnsi="宋体" w:eastAsia="宋体" w:cs="宋体"/>
          <w:kern w:val="0"/>
          <w:sz w:val="24"/>
          <w:szCs w:val="24"/>
        </w:rPr>
        <w:t>（8）为了保证采购人相关工作总体进度，中标人派出的人员应及时就工作进度、重大事项向采购人沟通；</w:t>
      </w:r>
    </w:p>
    <w:p w14:paraId="02C7FE3B">
      <w:pPr>
        <w:keepNext w:val="0"/>
        <w:keepLines w:val="0"/>
        <w:pageBreakBefore w:val="0"/>
        <w:widowControl w:val="0"/>
        <w:kinsoku/>
        <w:overflowPunct/>
        <w:autoSpaceDE/>
        <w:autoSpaceDN/>
        <w:bidi w:val="0"/>
        <w:adjustRightInd w:val="0"/>
        <w:spacing w:line="440" w:lineRule="exact"/>
        <w:ind w:firstLine="360" w:firstLineChars="150"/>
        <w:textAlignment w:val="auto"/>
        <w:rPr>
          <w:rFonts w:hint="eastAsia" w:ascii="宋体" w:hAnsi="宋体" w:eastAsia="宋体" w:cs="宋体"/>
          <w:kern w:val="0"/>
          <w:sz w:val="24"/>
          <w:szCs w:val="24"/>
        </w:rPr>
      </w:pPr>
      <w:r>
        <w:rPr>
          <w:rFonts w:hint="eastAsia" w:ascii="宋体" w:hAnsi="宋体" w:eastAsia="宋体" w:cs="宋体"/>
          <w:kern w:val="0"/>
          <w:sz w:val="24"/>
          <w:szCs w:val="24"/>
        </w:rPr>
        <w:t>（9）中标人派出的人员在开展相关工作的过程中遇到的重大问题，要及时将问题反馈、报告采购人；</w:t>
      </w:r>
    </w:p>
    <w:p w14:paraId="32E64BDD">
      <w:pPr>
        <w:keepNext w:val="0"/>
        <w:keepLines w:val="0"/>
        <w:pageBreakBefore w:val="0"/>
        <w:widowControl w:val="0"/>
        <w:kinsoku/>
        <w:overflowPunct/>
        <w:autoSpaceDE/>
        <w:autoSpaceDN/>
        <w:bidi w:val="0"/>
        <w:adjustRightInd w:val="0"/>
        <w:spacing w:line="440" w:lineRule="exact"/>
        <w:ind w:firstLine="360" w:firstLineChars="150"/>
        <w:textAlignment w:val="auto"/>
        <w:rPr>
          <w:rFonts w:hint="eastAsia" w:ascii="宋体" w:hAnsi="宋体" w:eastAsia="宋体" w:cs="宋体"/>
          <w:kern w:val="0"/>
          <w:sz w:val="24"/>
          <w:szCs w:val="24"/>
        </w:rPr>
      </w:pPr>
      <w:r>
        <w:rPr>
          <w:rFonts w:hint="eastAsia" w:ascii="宋体" w:hAnsi="宋体" w:eastAsia="宋体" w:cs="宋体"/>
          <w:kern w:val="0"/>
          <w:sz w:val="24"/>
          <w:szCs w:val="24"/>
        </w:rPr>
        <w:t>（10）中标人派出的人员应完整、准确、真实地反映和记录的工作情况，做好各类资料的归集、存档和保管工作；</w:t>
      </w:r>
    </w:p>
    <w:p w14:paraId="75BAADB7">
      <w:pPr>
        <w:keepNext w:val="0"/>
        <w:keepLines w:val="0"/>
        <w:pageBreakBefore w:val="0"/>
        <w:widowControl w:val="0"/>
        <w:kinsoku/>
        <w:overflowPunct/>
        <w:autoSpaceDE/>
        <w:autoSpaceDN/>
        <w:bidi w:val="0"/>
        <w:adjustRightInd w:val="0"/>
        <w:spacing w:line="440" w:lineRule="exact"/>
        <w:ind w:firstLine="360" w:firstLineChars="150"/>
        <w:textAlignment w:val="auto"/>
        <w:rPr>
          <w:rFonts w:hint="eastAsia" w:ascii="宋体" w:hAnsi="宋体" w:eastAsia="宋体" w:cs="宋体"/>
          <w:kern w:val="0"/>
          <w:sz w:val="24"/>
          <w:szCs w:val="24"/>
        </w:rPr>
      </w:pPr>
      <w:r>
        <w:rPr>
          <w:rFonts w:hint="eastAsia" w:ascii="宋体" w:hAnsi="宋体" w:eastAsia="宋体" w:cs="宋体"/>
          <w:kern w:val="0"/>
          <w:sz w:val="24"/>
          <w:szCs w:val="24"/>
        </w:rPr>
        <w:t>（11）中标人派出的人员的工伤、意外、大病等社会保障由中标服务商按法律法规及浙江省保险的有关规定为其办理。服务期间，派出的人员若发生因工致伤、致残、死亡等险情，由中标服务商和人员按法律法规及浙江省工伤保险等有关规定处理或协商解决，采购人不承担相关责任和义务。</w:t>
      </w:r>
    </w:p>
    <w:p w14:paraId="055C89FE">
      <w:pPr>
        <w:keepNext w:val="0"/>
        <w:keepLines w:val="0"/>
        <w:pageBreakBefore w:val="0"/>
        <w:widowControl w:val="0"/>
        <w:kinsoku/>
        <w:overflowPunct/>
        <w:autoSpaceDE/>
        <w:autoSpaceDN/>
        <w:bidi w:val="0"/>
        <w:adjustRightInd w:val="0"/>
        <w:spacing w:line="440" w:lineRule="exact"/>
        <w:ind w:firstLine="360" w:firstLineChars="150"/>
        <w:textAlignment w:val="auto"/>
        <w:rPr>
          <w:rFonts w:hint="eastAsia" w:ascii="宋体" w:hAnsi="宋体" w:eastAsia="宋体" w:cs="宋体"/>
          <w:kern w:val="0"/>
          <w:sz w:val="24"/>
          <w:szCs w:val="24"/>
        </w:rPr>
      </w:pPr>
      <w:r>
        <w:rPr>
          <w:rFonts w:hint="eastAsia" w:ascii="宋体" w:hAnsi="宋体" w:eastAsia="宋体" w:cs="宋体"/>
          <w:kern w:val="0"/>
          <w:sz w:val="24"/>
          <w:szCs w:val="24"/>
        </w:rPr>
        <w:t>（12）中标人派出的人员的医疗保障需由中标服务商按浙江省医保相关政策购买和缴纳，服务期间服务人员生病就诊或住院发生的费用，由服务人员和派出的中标服务商按医保相关政策进行支付和结算，采购人不承担就诊及住院费用及相关责任和义务。</w:t>
      </w:r>
    </w:p>
    <w:p w14:paraId="0E86B679">
      <w:pPr>
        <w:keepNext w:val="0"/>
        <w:keepLines w:val="0"/>
        <w:pageBreakBefore w:val="0"/>
        <w:widowControl w:val="0"/>
        <w:kinsoku/>
        <w:overflowPunct/>
        <w:autoSpaceDE/>
        <w:autoSpaceDN/>
        <w:bidi w:val="0"/>
        <w:adjustRightInd w:val="0"/>
        <w:spacing w:line="440" w:lineRule="exact"/>
        <w:ind w:firstLine="360" w:firstLineChars="150"/>
        <w:textAlignment w:val="auto"/>
        <w:rPr>
          <w:rFonts w:hint="eastAsia" w:ascii="宋体" w:hAnsi="宋体" w:eastAsia="宋体" w:cs="宋体"/>
          <w:kern w:val="0"/>
          <w:sz w:val="24"/>
          <w:szCs w:val="24"/>
        </w:rPr>
      </w:pPr>
      <w:r>
        <w:rPr>
          <w:rFonts w:hint="eastAsia" w:ascii="宋体" w:hAnsi="宋体" w:eastAsia="宋体" w:cs="宋体"/>
          <w:kern w:val="0"/>
          <w:sz w:val="24"/>
          <w:szCs w:val="24"/>
        </w:rPr>
        <w:t>（13）中标服务商应严格执行政府相关部门、行业监管部门以及采购方制定的相关管理规定与服务考评办法。</w:t>
      </w:r>
    </w:p>
    <w:p w14:paraId="424C9267">
      <w:pPr>
        <w:keepNext w:val="0"/>
        <w:keepLines w:val="0"/>
        <w:pageBreakBefore w:val="0"/>
        <w:widowControl w:val="0"/>
        <w:kinsoku/>
        <w:overflowPunct/>
        <w:autoSpaceDE/>
        <w:autoSpaceDN/>
        <w:bidi w:val="0"/>
        <w:adjustRightInd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3、在服务过程中应保证政府征收政策和各项专业技术措施落实到位，实事求是，保证征收人和被征收人利益，工作耐心细致，用心化解各种矛盾，维护社会和谐。</w:t>
      </w:r>
    </w:p>
    <w:p w14:paraId="75908F57">
      <w:pPr>
        <w:keepNext w:val="0"/>
        <w:keepLines w:val="0"/>
        <w:pageBreakBefore w:val="0"/>
        <w:widowControl w:val="0"/>
        <w:kinsoku/>
        <w:overflowPunct/>
        <w:autoSpaceDE/>
        <w:autoSpaceDN/>
        <w:bidi w:val="0"/>
        <w:adjustRightInd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严把评估的质量关。评估工作是顺利推进征收工作的前提，通过评估工作，弄清被征收人的基本情况，以及被征收人房屋建筑物、土地和其他资产的数量、合理价值、权属性质和不同用途被征收人房屋的建筑面积等，为征收补偿方案提供翔实的基础资料，要求达到基础材料数据真实准确，确保情况摸清，测量与评估的方法科学及结果准确。</w:t>
      </w:r>
    </w:p>
    <w:p w14:paraId="69D690A5">
      <w:pPr>
        <w:keepNext w:val="0"/>
        <w:keepLines w:val="0"/>
        <w:pageBreakBefore w:val="0"/>
        <w:widowControl w:val="0"/>
        <w:kinsoku/>
        <w:overflowPunct/>
        <w:autoSpaceDE/>
        <w:autoSpaceDN/>
        <w:bidi w:val="0"/>
        <w:adjustRightInd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做到“程序合法、行为亲民、方法科学、内容真实、结果准确”，强化内部管理，规范工作行为，严守工作纪律，坚决杜绝搞“人情协议”、“吃拿卡要”等违法违规行为；加强从业人员的业务培训，着力提高工作人员的业务素质和实际操作水平；接受采购方、征收人、被征收人和社会各界的检查监督。</w:t>
      </w:r>
    </w:p>
    <w:p w14:paraId="516E9A7F">
      <w:pPr>
        <w:keepNext w:val="0"/>
        <w:keepLines w:val="0"/>
        <w:pageBreakBefore w:val="0"/>
        <w:widowControl w:val="0"/>
        <w:kinsoku/>
        <w:overflowPunct/>
        <w:autoSpaceDE/>
        <w:autoSpaceDN/>
        <w:bidi w:val="0"/>
        <w:adjustRightInd w:val="0"/>
        <w:spacing w:line="440" w:lineRule="exact"/>
        <w:ind w:firstLine="480" w:firstLineChars="200"/>
        <w:textAlignment w:val="auto"/>
        <w:rPr>
          <w:rFonts w:hint="eastAsia" w:ascii="宋体" w:hAnsi="宋体" w:eastAsia="宋体" w:cs="宋体"/>
          <w:b/>
          <w:bCs/>
          <w:kern w:val="0"/>
          <w:sz w:val="24"/>
          <w:szCs w:val="24"/>
        </w:rPr>
      </w:pPr>
      <w:r>
        <w:rPr>
          <w:rFonts w:hint="eastAsia" w:ascii="宋体" w:hAnsi="宋体" w:eastAsia="宋体" w:cs="宋体"/>
          <w:kern w:val="0"/>
          <w:sz w:val="24"/>
          <w:szCs w:val="24"/>
        </w:rPr>
        <w:t>6、规范有关工作表格的填写、房屋权证资料的收集整理、矛盾纠纷调查、房屋现状拍照、建立工作档案（需分类汇总装订成册）、房屋征收成本测算、协助签订协议等工作。各种工作档案应严格按照档案管理制度进行归档、整理，统一格式、统一编号，做到清晰、规范。</w:t>
      </w:r>
      <w:r>
        <w:rPr>
          <w:rFonts w:hint="eastAsia" w:ascii="宋体" w:hAnsi="宋体" w:eastAsia="宋体" w:cs="宋体"/>
          <w:b/>
          <w:bCs/>
          <w:kern w:val="0"/>
          <w:sz w:val="24"/>
          <w:szCs w:val="24"/>
        </w:rPr>
        <w:t>与项目相关的工作档案（包括综合性档案和技术档案）的保管期限须符合法定要求（档案保管期限不得低于30年），并应确保各种档案的完整、安全、保密和有效利用。投标人必须在投标文件和服务合同中明确相关档案的存放地点、管理机构、工作职责，并制定完整的工作档案管理制度和不当管理的追责制度。</w:t>
      </w:r>
    </w:p>
    <w:p w14:paraId="42D5C974">
      <w:pPr>
        <w:keepNext w:val="0"/>
        <w:keepLines w:val="0"/>
        <w:pageBreakBefore w:val="0"/>
        <w:widowControl w:val="0"/>
        <w:kinsoku/>
        <w:overflowPunct/>
        <w:autoSpaceDE/>
        <w:autoSpaceDN/>
        <w:bidi w:val="0"/>
        <w:adjustRightInd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7、充分分析评估工作的焦点、难点，认真细致地分析工作过程中可能出现的情况，有针对性的研究对策，确保对每个被征收单位的基本情况都能了如指掌，心中有数。</w:t>
      </w:r>
    </w:p>
    <w:p w14:paraId="79ED8DC8">
      <w:pPr>
        <w:keepNext w:val="0"/>
        <w:keepLines w:val="0"/>
        <w:pageBreakBefore w:val="0"/>
        <w:widowControl w:val="0"/>
        <w:kinsoku/>
        <w:overflowPunct/>
        <w:autoSpaceDE/>
        <w:autoSpaceDN/>
        <w:bidi w:val="0"/>
        <w:adjustRightInd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8、积极主动地与采购方或委托人、征收人、被征收人、拆房公司和其它专业服务机构或人员的工作配合；及时参加采购方或委托人等组织的工作汇报、工作评估、重点难点分析等报告会和集体会审。</w:t>
      </w:r>
    </w:p>
    <w:p w14:paraId="0DB41E8E">
      <w:pPr>
        <w:keepNext w:val="0"/>
        <w:keepLines w:val="0"/>
        <w:pageBreakBefore w:val="0"/>
        <w:widowControl w:val="0"/>
        <w:kinsoku/>
        <w:overflowPunct/>
        <w:autoSpaceDE/>
        <w:autoSpaceDN/>
        <w:bidi w:val="0"/>
        <w:adjustRightInd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9、保质保量完成约定的工作任务，以被征收户为单位完善调评估工作的业务档案，并根据采购方或委托人的需要提供其它相关服务和后续服务。</w:t>
      </w:r>
    </w:p>
    <w:p w14:paraId="7208BB35">
      <w:pPr>
        <w:keepNext w:val="0"/>
        <w:keepLines w:val="0"/>
        <w:pageBreakBefore w:val="0"/>
        <w:widowControl w:val="0"/>
        <w:kinsoku/>
        <w:overflowPunct/>
        <w:autoSpaceDE/>
        <w:autoSpaceDN/>
        <w:bidi w:val="0"/>
        <w:adjustRightInd w:val="0"/>
        <w:spacing w:line="440" w:lineRule="exact"/>
        <w:ind w:firstLine="482" w:firstLineChars="20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（二）房</w:t>
      </w:r>
      <w:r>
        <w:rPr>
          <w:rFonts w:hint="eastAsia" w:ascii="宋体" w:hAnsi="宋体" w:eastAsia="宋体" w:cs="宋体"/>
          <w:b/>
          <w:bCs/>
          <w:kern w:val="0"/>
          <w:sz w:val="24"/>
          <w:szCs w:val="24"/>
          <w:lang w:val="en-US" w:eastAsia="zh-CN"/>
        </w:rPr>
        <w:t>屋</w:t>
      </w:r>
      <w:r>
        <w:rPr>
          <w:rFonts w:hint="eastAsia" w:ascii="宋体" w:hAnsi="宋体" w:eastAsia="宋体" w:cs="宋体"/>
          <w:b/>
          <w:bCs/>
          <w:kern w:val="0"/>
          <w:sz w:val="24"/>
          <w:szCs w:val="24"/>
        </w:rPr>
        <w:t>评估服务的质量要求及违约责任：</w:t>
      </w:r>
    </w:p>
    <w:p w14:paraId="31F344CC">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根据国家有关房屋建筑物估价技术规程、规范的要求，独立、客观、公正、自主开展评估工作，规范执业，并对估价结果负责。存在下列情形时，招标人或委托人将撤销对中标人的委托，提前终止合同并可追究中标人的违约责任：</w:t>
      </w:r>
    </w:p>
    <w:p w14:paraId="57C214EC">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如果中标人在委托房屋评估业务工作中，被招标人或委托人发现有违背职业道德行为，违反客观公正原则有意评高或评低房屋价值、违反保密原则向评估单位泄露评估结果等，一经查实认定，招标人或委托人将自动终止其委托评估资格，其委托项目评估结果将不被采纳，将重新委托其它评估机构进行评估。</w:t>
      </w:r>
    </w:p>
    <w:p w14:paraId="1F9036AF">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中标人的评估结果明显偏高或偏低，超出合理范围值10%（合理范围值以集体会审会最终确定的价格为准）以上，被集体会审会确定需要重新评估的，每发现一起扣罚履约保证金一万元，累积达到三次，招标人或委托人将终止合同，并报区住建局、财政局处理。</w:t>
      </w:r>
    </w:p>
    <w:p w14:paraId="7F9390BA">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（3）如果发现中标人的评估报告中屡有数据差错，且累计达到5份报告或结果的，招标人或委托人有权单方面终止合同。</w:t>
      </w:r>
    </w:p>
    <w:p w14:paraId="7B5D8767">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在招标人或委托人规定的地点妥善保管招标人或委托人提供的资料及与之相关的评估中间资料和评估结果，未经招标人或委托人书面许可，不得泄露给招标人或委托人以外的任何第三方。招标人或委托人对资料档案及保密要求如下（包括但不限于）：</w:t>
      </w:r>
    </w:p>
    <w:p w14:paraId="1B4E65B7">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（1）中标人应当对每宗房屋评估情况建立完整的电子档案，在合同正常终止后移交一份电子档案给招标人或委托人保管；</w:t>
      </w:r>
    </w:p>
    <w:p w14:paraId="180B07A0">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（2）与本项目有关的资料及数据成果中涉及国家秘密的内容，均要求按照《国家保密法》及相关法律法规执行；</w:t>
      </w:r>
    </w:p>
    <w:p w14:paraId="1F450080">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（3）中标人应当遵守相关保密法律、法规，确保招标人或委托人及被收购单位的信息安全。</w:t>
      </w:r>
    </w:p>
    <w:p w14:paraId="54673B54">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3、任何单位和个人不得以任何形式干扰中标人的正常评估工作。如发生上述情况，中标人应主动及时告知招标人或委托人；未告知的，视作未按规定进行评估。</w:t>
      </w:r>
    </w:p>
    <w:p w14:paraId="0F0EA420">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按招标人或委托人要求在限定时间内开展房屋建筑物价值评估，并在规定时间内将估价结果提交给招标人或委托人。如遇特殊情形或不可抗力因素影响，确需延长工作时间的，征得招标人或委托人同意后可给予适当延长。对因项目紧急，需加急评估的项目，中标人应抽调精干力量配合招标人优先评估，在保证评估质量的基础上，确保及时提交成果报告。</w:t>
      </w:r>
      <w:r>
        <w:rPr>
          <w:rFonts w:hint="eastAsia" w:ascii="宋体" w:hAnsi="宋体" w:eastAsia="宋体" w:cs="宋体"/>
          <w:b/>
          <w:bCs/>
          <w:kern w:val="0"/>
          <w:sz w:val="24"/>
          <w:szCs w:val="24"/>
        </w:rPr>
        <w:t>一般情况下，中标人在接到单宗项目委托后1个月内须提交成果报告。</w:t>
      </w:r>
    </w:p>
    <w:p w14:paraId="2077BFFD">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5、招标人或委托人组织收购项目集体会审时，若认为有必要的，可要求中标人派遣代表参加，参会人员需熟悉集体会审建筑物有关情况，并做好评估情况汇报工作和相关的技术解释工作。</w:t>
      </w:r>
    </w:p>
    <w:p w14:paraId="7570A400">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6、中标人对每宗房屋的评估业务，均应提供房屋估价技术报告与房屋估价工作报告（包括电子文档），经集体会审通过后才予确认并应用。报告数量（份数）由招标人或委托人根据需要确定。</w:t>
      </w:r>
    </w:p>
    <w:p w14:paraId="5A48B7F4">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7、根据招标人或委托人的需要，提供房屋评估方面的咨询和房屋价值信息；协助招标人或委托人做好房屋估价方面的事务性工作。</w:t>
      </w:r>
    </w:p>
    <w:p w14:paraId="6EE6C9F5">
      <w:pPr>
        <w:keepNext w:val="0"/>
        <w:keepLines w:val="0"/>
        <w:pageBreakBefore w:val="0"/>
        <w:widowControl w:val="0"/>
        <w:kinsoku/>
        <w:overflowPunct/>
        <w:autoSpaceDE/>
        <w:autoSpaceDN/>
        <w:bidi w:val="0"/>
        <w:adjustRightInd w:val="0"/>
        <w:snapToGrid w:val="0"/>
        <w:spacing w:line="440" w:lineRule="exact"/>
        <w:ind w:firstLine="422"/>
        <w:textAlignment w:val="auto"/>
        <w:rPr>
          <w:rFonts w:hint="eastAsia" w:ascii="宋体" w:hAnsi="宋体" w:eastAsia="宋体" w:cs="宋体"/>
          <w:kern w:val="0"/>
          <w:sz w:val="24"/>
          <w:szCs w:val="24"/>
        </w:rPr>
      </w:pPr>
      <w:r>
        <w:rPr>
          <w:rFonts w:hint="eastAsia" w:ascii="宋体" w:hAnsi="宋体" w:eastAsia="宋体" w:cs="宋体"/>
          <w:kern w:val="0"/>
          <w:sz w:val="24"/>
          <w:szCs w:val="24"/>
        </w:rPr>
        <w:t>8、现场评估工作中需对评估对象及重要工作节点等进行摄像记录，未提供摄像记录或由于摄像记录不完整造成后期真相难以还原、矛盾纠纷无法处理的，招标人或委托人有权不予支付相关服务费用，并追究中标人的工作责任。</w:t>
      </w:r>
    </w:p>
    <w:p w14:paraId="44EFC352">
      <w:pPr>
        <w:keepNext w:val="0"/>
        <w:keepLines w:val="0"/>
        <w:pageBreakBefore w:val="0"/>
        <w:widowControl w:val="0"/>
        <w:kinsoku/>
        <w:overflowPunct/>
        <w:autoSpaceDE/>
        <w:autoSpaceDN/>
        <w:bidi w:val="0"/>
        <w:adjustRightInd w:val="0"/>
        <w:snapToGrid w:val="0"/>
        <w:spacing w:line="440" w:lineRule="exact"/>
        <w:ind w:firstLine="482" w:firstLineChars="20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（三）其他要求</w:t>
      </w:r>
    </w:p>
    <w:p w14:paraId="24756EFA">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知识产权：本次项目成果所有权和使用权均属于招标人或委托人。中标人应妥善保管留档资料，不得外泄，否则承担由此产生的一切法律和经济责任。未经招标人或委托人书面同意，任何单位和个人不得转让和使用本项目成果。</w:t>
      </w:r>
    </w:p>
    <w:p w14:paraId="2AB15A00">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2、中标人须将技术（服务）成果送到指定地点，各项技术要求及成果必须满足招标人或委托人的要求。</w:t>
      </w:r>
    </w:p>
    <w:p w14:paraId="377DD412">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3、验收标准：根据国家现行技术标准，按招标文件以及合同规定的验收评定标准等规范，由招标人或委托人组织验收。</w:t>
      </w:r>
    </w:p>
    <w:p w14:paraId="0FA4BDB8">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4、在合同执行期间，如项目计划书中的承诺标准低于国家新颁布的技术标准及要求时，则中标人应该按照新颁布的标准执行。</w:t>
      </w:r>
    </w:p>
    <w:p w14:paraId="02B74ABE">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5、中标人在履行服务过程中应接受项目当地征迁指挥部监督、管理。</w:t>
      </w:r>
    </w:p>
    <w:p w14:paraId="015698A0">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6、其他承诺：投标人在桐庐县现场区域须具有固定办公场所和执业团队。</w:t>
      </w:r>
    </w:p>
    <w:p w14:paraId="3440B969">
      <w:pPr>
        <w:keepNext w:val="0"/>
        <w:keepLines w:val="0"/>
        <w:pageBreakBefore w:val="0"/>
        <w:widowControl w:val="0"/>
        <w:kinsoku/>
        <w:overflowPunct/>
        <w:autoSpaceDE/>
        <w:autoSpaceDN/>
        <w:bidi w:val="0"/>
        <w:adjustRightInd w:val="0"/>
        <w:spacing w:line="440" w:lineRule="exact"/>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备注：以上要求所述内容为本项目最低要求，投标人必须满足，在此基础上各投标人可提供其他更多的服务承诺，并提供详细的项目服务计划书。</w:t>
      </w:r>
    </w:p>
    <w:p w14:paraId="30B96D2A">
      <w:pPr>
        <w:keepNext w:val="0"/>
        <w:keepLines w:val="0"/>
        <w:pageBreakBefore w:val="0"/>
        <w:widowControl w:val="0"/>
        <w:kinsoku/>
        <w:overflowPunct/>
        <w:autoSpaceDE/>
        <w:autoSpaceDN/>
        <w:bidi w:val="0"/>
        <w:adjustRightInd w:val="0"/>
        <w:spacing w:line="440" w:lineRule="exact"/>
        <w:ind w:firstLine="482" w:firstLineChars="200"/>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七、投标报价要求：</w:t>
      </w:r>
    </w:p>
    <w:p w14:paraId="4A12DCEC">
      <w:pPr>
        <w:keepNext w:val="0"/>
        <w:keepLines w:val="0"/>
        <w:pageBreakBefore w:val="0"/>
        <w:widowControl w:val="0"/>
        <w:kinsoku/>
        <w:overflowPunct/>
        <w:autoSpaceDE/>
        <w:autoSpaceDN/>
        <w:bidi w:val="0"/>
        <w:adjustRightInd w:val="0"/>
        <w:spacing w:line="440" w:lineRule="exact"/>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lang w:val="en-US" w:eastAsia="zh-CN"/>
        </w:rPr>
        <w:t>本项目设置最高限</w:t>
      </w:r>
      <w:r>
        <w:rPr>
          <w:rFonts w:hint="eastAsia" w:ascii="宋体" w:hAnsi="宋体" w:eastAsia="宋体" w:cs="宋体"/>
          <w:kern w:val="0"/>
          <w:sz w:val="24"/>
          <w:szCs w:val="24"/>
          <w:highlight w:val="none"/>
          <w:lang w:val="en-US" w:eastAsia="zh-CN"/>
        </w:rPr>
        <w:t>价：单价10元/平方米，投标人投标报价不得高于此价格，否则作无效标处理。</w:t>
      </w:r>
    </w:p>
    <w:p w14:paraId="6C4CF281">
      <w:pPr>
        <w:keepNext w:val="0"/>
        <w:keepLines w:val="0"/>
        <w:pageBreakBefore w:val="0"/>
        <w:widowControl w:val="0"/>
        <w:kinsoku/>
        <w:overflowPunct/>
        <w:autoSpaceDE/>
        <w:autoSpaceDN/>
        <w:bidi w:val="0"/>
        <w:adjustRightInd w:val="0"/>
        <w:spacing w:line="440" w:lineRule="exact"/>
        <w:ind w:firstLine="482" w:firstLineChars="200"/>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八、</w:t>
      </w:r>
      <w:r>
        <w:rPr>
          <w:rFonts w:hint="eastAsia" w:ascii="宋体" w:hAnsi="宋体" w:eastAsia="宋体" w:cs="宋体"/>
          <w:b/>
          <w:bCs/>
          <w:kern w:val="0"/>
          <w:sz w:val="24"/>
          <w:szCs w:val="24"/>
          <w:highlight w:val="none"/>
        </w:rPr>
        <w:t>款项结算与支付：</w:t>
      </w:r>
    </w:p>
    <w:p w14:paraId="721E28F1">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（一）服务价款的结算</w:t>
      </w:r>
    </w:p>
    <w:p w14:paraId="46ACAEBD">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本项目的专业服务费按中标人的中标单价进行计付，具体为：</w:t>
      </w:r>
    </w:p>
    <w:p w14:paraId="13631C79">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每期房地产价格评估服务费=当期经确认已完成估价的房屋建筑物面积×中标人的中标单价。</w:t>
      </w:r>
    </w:p>
    <w:p w14:paraId="5FC6B234">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（二）服务价款的支付</w:t>
      </w:r>
    </w:p>
    <w:p w14:paraId="2E5D7118">
      <w:pPr>
        <w:keepNext w:val="0"/>
        <w:keepLines w:val="0"/>
        <w:pageBreakBefore w:val="0"/>
        <w:widowControl w:val="0"/>
        <w:kinsoku/>
        <w:overflowPunct/>
        <w:autoSpaceDE/>
        <w:autoSpaceDN/>
        <w:bidi w:val="0"/>
        <w:adjustRightInd w:val="0"/>
        <w:spacing w:line="44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中标人的服务费按以下方式支付：</w:t>
      </w:r>
    </w:p>
    <w:p w14:paraId="3A788CD0">
      <w:pPr>
        <w:keepNext w:val="0"/>
        <w:keepLines w:val="0"/>
        <w:pageBreakBefore w:val="0"/>
        <w:widowControl w:val="0"/>
        <w:kinsoku/>
        <w:overflowPunct/>
        <w:autoSpaceDE/>
        <w:autoSpaceDN/>
        <w:bidi w:val="0"/>
        <w:adjustRightInd w:val="0"/>
        <w:spacing w:line="44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按照委托项目完成的工作量的进度支付，委托项目完成50%（以协议签订并具备补偿款支付条件为准）支付至已完成委托项目的服务费的50%，委托项目完成80%（以协议签订并具备补偿款支付条件为准）支付至已完成委托项目的服务费的80%，剩余服务费用至项目结束并经审计无任何问题后支付至完成项目的服务费的100%。由于中标人的原因导致审计工作无法完成，除不予支付剩余的服务费用外，项目委托人保留进一步追究经济赔偿的权利。</w:t>
      </w:r>
    </w:p>
    <w:p w14:paraId="6950BBF4">
      <w:pPr>
        <w:keepNext w:val="0"/>
        <w:keepLines w:val="0"/>
        <w:pageBreakBefore w:val="0"/>
        <w:widowControl w:val="0"/>
        <w:kinsoku/>
        <w:overflowPunct/>
        <w:autoSpaceDE/>
        <w:autoSpaceDN/>
        <w:bidi w:val="0"/>
        <w:adjustRightInd w:val="0"/>
        <w:spacing w:line="44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2、服务费以被征收（或收购）户为单位进行结算支付（“一户一付”），即：当期仅支付已完成房地产评估工作的被征收（或收购）户的服务费，采购方不支付未完成项目的期间进度费。</w:t>
      </w:r>
    </w:p>
    <w:p w14:paraId="4ADFCF9E">
      <w:pPr>
        <w:keepNext w:val="0"/>
        <w:keepLines w:val="0"/>
        <w:pageBreakBefore w:val="0"/>
        <w:widowControl w:val="0"/>
        <w:kinsoku/>
        <w:overflowPunct/>
        <w:autoSpaceDE/>
        <w:autoSpaceDN/>
        <w:bidi w:val="0"/>
        <w:adjustRightInd w:val="0"/>
        <w:spacing w:line="44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3、中标人办理服务费结算时，须提供结算依据及合规发票。</w:t>
      </w:r>
    </w:p>
    <w:p w14:paraId="4D4174F8">
      <w:pPr>
        <w:keepNext w:val="0"/>
        <w:keepLines w:val="0"/>
        <w:pageBreakBefore w:val="0"/>
        <w:widowControl w:val="0"/>
        <w:kinsoku/>
        <w:wordWrap w:val="0"/>
        <w:overflowPunct/>
        <w:topLinePunct/>
        <w:autoSpaceDE/>
        <w:autoSpaceDN/>
        <w:bidi w:val="0"/>
        <w:adjustRightInd w:val="0"/>
        <w:spacing w:line="440" w:lineRule="exact"/>
        <w:ind w:firstLine="482" w:firstLineChars="20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bCs/>
          <w:kern w:val="0"/>
          <w:sz w:val="24"/>
          <w:szCs w:val="24"/>
          <w:lang w:val="en-US" w:eastAsia="zh-CN"/>
        </w:rPr>
        <w:t>九、</w:t>
      </w:r>
      <w:r>
        <w:rPr>
          <w:rFonts w:hint="eastAsia" w:ascii="宋体" w:hAnsi="宋体" w:eastAsia="宋体" w:cs="宋体"/>
          <w:b/>
          <w:color w:val="auto"/>
          <w:sz w:val="24"/>
          <w:szCs w:val="24"/>
          <w:highlight w:val="none"/>
        </w:rPr>
        <w:t>履约保证金</w:t>
      </w:r>
      <w:r>
        <w:rPr>
          <w:rFonts w:hint="eastAsia" w:ascii="宋体" w:hAnsi="宋体" w:eastAsia="宋体" w:cs="宋体"/>
          <w:b/>
          <w:color w:val="auto"/>
          <w:sz w:val="24"/>
          <w:szCs w:val="24"/>
          <w:highlight w:val="none"/>
          <w:lang w:eastAsia="zh-CN"/>
        </w:rPr>
        <w:t>：</w:t>
      </w:r>
    </w:p>
    <w:p w14:paraId="17C81781">
      <w:pPr>
        <w:keepNext w:val="0"/>
        <w:keepLines w:val="0"/>
        <w:pageBreakBefore w:val="0"/>
        <w:widowControl w:val="0"/>
        <w:kinsoku/>
        <w:wordWrap w:val="0"/>
        <w:overflowPunct/>
        <w:topLinePunct/>
        <w:autoSpaceDE/>
        <w:autoSpaceDN/>
        <w:bidi w:val="0"/>
        <w:adjustRightInd w:val="0"/>
        <w:spacing w:line="440" w:lineRule="exact"/>
        <w:ind w:firstLine="480" w:firstLineChars="20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本项目无须缴纳履约保证金。</w:t>
      </w:r>
    </w:p>
    <w:p w14:paraId="3B5D50EB">
      <w:pPr>
        <w:keepNext w:val="0"/>
        <w:keepLines w:val="0"/>
        <w:pageBreakBefore w:val="0"/>
        <w:widowControl w:val="0"/>
        <w:kinsoku/>
        <w:wordWrap w:val="0"/>
        <w:overflowPunct/>
        <w:topLinePunct/>
        <w:autoSpaceDE/>
        <w:autoSpaceDN/>
        <w:bidi w:val="0"/>
        <w:adjustRightInd w:val="0"/>
        <w:spacing w:line="440" w:lineRule="exact"/>
        <w:ind w:firstLine="480" w:firstLineChars="200"/>
        <w:jc w:val="left"/>
        <w:textAlignment w:val="auto"/>
        <w:rPr>
          <w:rFonts w:hint="eastAsia" w:ascii="宋体" w:hAnsi="宋体" w:eastAsia="宋体" w:cs="宋体"/>
          <w:b w:val="0"/>
          <w:bCs/>
          <w:color w:val="auto"/>
          <w:sz w:val="24"/>
          <w:szCs w:val="24"/>
          <w:highlight w:val="none"/>
          <w:lang w:val="en-US" w:eastAsia="zh-CN"/>
        </w:rPr>
      </w:pPr>
    </w:p>
    <w:p w14:paraId="3681386B">
      <w:pPr>
        <w:keepNext w:val="0"/>
        <w:keepLines w:val="0"/>
        <w:pageBreakBefore w:val="0"/>
        <w:widowControl w:val="0"/>
        <w:kinsoku/>
        <w:wordWrap w:val="0"/>
        <w:overflowPunct/>
        <w:topLinePunct/>
        <w:autoSpaceDE/>
        <w:autoSpaceDN/>
        <w:bidi w:val="0"/>
        <w:adjustRightInd w:val="0"/>
        <w:spacing w:line="440" w:lineRule="exact"/>
        <w:ind w:firstLine="480" w:firstLineChars="200"/>
        <w:jc w:val="left"/>
        <w:textAlignment w:val="auto"/>
        <w:rPr>
          <w:rFonts w:hint="eastAsia" w:ascii="宋体" w:hAnsi="宋体" w:eastAsia="宋体" w:cs="宋体"/>
          <w:b w:val="0"/>
          <w:bCs/>
          <w:color w:val="auto"/>
          <w:sz w:val="24"/>
          <w:szCs w:val="24"/>
          <w:highlight w:val="none"/>
          <w:lang w:val="en-US" w:eastAsia="zh-CN"/>
        </w:rPr>
      </w:pPr>
    </w:p>
    <w:p w14:paraId="53C6DE22">
      <w:pPr>
        <w:keepNext w:val="0"/>
        <w:keepLines w:val="0"/>
        <w:pageBreakBefore w:val="0"/>
        <w:widowControl w:val="0"/>
        <w:kinsoku/>
        <w:wordWrap w:val="0"/>
        <w:overflowPunct/>
        <w:topLinePunct/>
        <w:autoSpaceDE/>
        <w:autoSpaceDN/>
        <w:bidi w:val="0"/>
        <w:adjustRightInd w:val="0"/>
        <w:spacing w:line="440" w:lineRule="exact"/>
        <w:ind w:firstLine="480" w:firstLineChars="200"/>
        <w:jc w:val="left"/>
        <w:textAlignment w:val="auto"/>
        <w:rPr>
          <w:rFonts w:hint="eastAsia" w:ascii="宋体" w:hAnsi="宋体" w:eastAsia="宋体" w:cs="宋体"/>
          <w:b w:val="0"/>
          <w:bCs/>
          <w:color w:val="auto"/>
          <w:sz w:val="24"/>
          <w:szCs w:val="24"/>
          <w:highlight w:val="none"/>
          <w:lang w:val="en-US" w:eastAsia="zh-CN"/>
        </w:rPr>
      </w:pPr>
    </w:p>
    <w:p w14:paraId="703D6CE2">
      <w:pPr>
        <w:keepNext w:val="0"/>
        <w:keepLines w:val="0"/>
        <w:pageBreakBefore w:val="0"/>
        <w:widowControl w:val="0"/>
        <w:kinsoku/>
        <w:wordWrap w:val="0"/>
        <w:overflowPunct/>
        <w:topLinePunct/>
        <w:autoSpaceDE/>
        <w:autoSpaceDN/>
        <w:bidi w:val="0"/>
        <w:adjustRightInd w:val="0"/>
        <w:spacing w:line="440" w:lineRule="exact"/>
        <w:ind w:firstLine="480" w:firstLineChars="200"/>
        <w:jc w:val="left"/>
        <w:textAlignment w:val="auto"/>
        <w:rPr>
          <w:rFonts w:hint="eastAsia" w:ascii="宋体" w:hAnsi="宋体" w:eastAsia="宋体" w:cs="宋体"/>
          <w:b w:val="0"/>
          <w:bCs/>
          <w:color w:val="auto"/>
          <w:sz w:val="24"/>
          <w:szCs w:val="24"/>
          <w:highlight w:val="none"/>
          <w:lang w:val="en-US" w:eastAsia="zh-CN"/>
        </w:rPr>
      </w:pPr>
    </w:p>
    <w:p w14:paraId="1A442A29">
      <w:pPr>
        <w:keepNext w:val="0"/>
        <w:keepLines w:val="0"/>
        <w:pageBreakBefore w:val="0"/>
        <w:widowControl w:val="0"/>
        <w:kinsoku/>
        <w:wordWrap w:val="0"/>
        <w:overflowPunct/>
        <w:topLinePunct/>
        <w:autoSpaceDE/>
        <w:autoSpaceDN/>
        <w:bidi w:val="0"/>
        <w:adjustRightInd w:val="0"/>
        <w:spacing w:line="440" w:lineRule="exact"/>
        <w:ind w:firstLine="480" w:firstLineChars="200"/>
        <w:jc w:val="left"/>
        <w:textAlignment w:val="auto"/>
        <w:rPr>
          <w:rFonts w:hint="eastAsia" w:ascii="宋体" w:hAnsi="宋体" w:eastAsia="宋体" w:cs="宋体"/>
          <w:b w:val="0"/>
          <w:bCs/>
          <w:color w:val="auto"/>
          <w:sz w:val="24"/>
          <w:szCs w:val="24"/>
          <w:highlight w:val="none"/>
          <w:lang w:val="en-US" w:eastAsia="zh-CN"/>
        </w:rPr>
      </w:pPr>
    </w:p>
    <w:p w14:paraId="240C94FE">
      <w:pPr>
        <w:keepNext w:val="0"/>
        <w:keepLines w:val="0"/>
        <w:pageBreakBefore w:val="0"/>
        <w:widowControl w:val="0"/>
        <w:kinsoku/>
        <w:wordWrap w:val="0"/>
        <w:overflowPunct/>
        <w:topLinePunct/>
        <w:autoSpaceDE/>
        <w:autoSpaceDN/>
        <w:bidi w:val="0"/>
        <w:adjustRightInd w:val="0"/>
        <w:spacing w:line="440" w:lineRule="exact"/>
        <w:ind w:firstLine="480" w:firstLineChars="200"/>
        <w:jc w:val="left"/>
        <w:textAlignment w:val="auto"/>
        <w:rPr>
          <w:rFonts w:hint="eastAsia" w:ascii="宋体" w:hAnsi="宋体" w:eastAsia="宋体" w:cs="宋体"/>
          <w:b w:val="0"/>
          <w:bCs/>
          <w:color w:val="auto"/>
          <w:sz w:val="24"/>
          <w:szCs w:val="24"/>
          <w:highlight w:val="none"/>
          <w:lang w:val="en-US" w:eastAsia="zh-CN"/>
        </w:rPr>
      </w:pPr>
    </w:p>
    <w:p w14:paraId="14492EEA">
      <w:pPr>
        <w:keepNext w:val="0"/>
        <w:keepLines w:val="0"/>
        <w:pageBreakBefore w:val="0"/>
        <w:widowControl w:val="0"/>
        <w:kinsoku/>
        <w:wordWrap w:val="0"/>
        <w:overflowPunct/>
        <w:topLinePunct/>
        <w:autoSpaceDE/>
        <w:autoSpaceDN/>
        <w:bidi w:val="0"/>
        <w:adjustRightInd w:val="0"/>
        <w:spacing w:line="440" w:lineRule="exact"/>
        <w:ind w:firstLine="480" w:firstLineChars="200"/>
        <w:jc w:val="left"/>
        <w:textAlignment w:val="auto"/>
        <w:rPr>
          <w:rFonts w:hint="eastAsia" w:ascii="宋体" w:hAnsi="宋体" w:eastAsia="宋体" w:cs="宋体"/>
          <w:b w:val="0"/>
          <w:bCs/>
          <w:color w:val="auto"/>
          <w:sz w:val="24"/>
          <w:szCs w:val="24"/>
          <w:highlight w:val="none"/>
          <w:lang w:val="en-US" w:eastAsia="zh-CN"/>
        </w:rPr>
      </w:pPr>
    </w:p>
    <w:p w14:paraId="2BA97EDC">
      <w:pPr>
        <w:keepNext w:val="0"/>
        <w:keepLines w:val="0"/>
        <w:pageBreakBefore w:val="0"/>
        <w:widowControl w:val="0"/>
        <w:kinsoku/>
        <w:wordWrap w:val="0"/>
        <w:overflowPunct/>
        <w:topLinePunct/>
        <w:autoSpaceDE/>
        <w:autoSpaceDN/>
        <w:bidi w:val="0"/>
        <w:adjustRightInd w:val="0"/>
        <w:spacing w:line="440" w:lineRule="exact"/>
        <w:ind w:firstLine="480" w:firstLineChars="200"/>
        <w:jc w:val="left"/>
        <w:textAlignment w:val="auto"/>
        <w:rPr>
          <w:rFonts w:hint="eastAsia" w:ascii="宋体" w:hAnsi="宋体" w:eastAsia="宋体" w:cs="宋体"/>
          <w:b w:val="0"/>
          <w:bCs/>
          <w:color w:val="auto"/>
          <w:sz w:val="24"/>
          <w:szCs w:val="24"/>
          <w:highlight w:val="none"/>
          <w:lang w:val="en-US" w:eastAsia="zh-CN"/>
        </w:rPr>
      </w:pPr>
    </w:p>
    <w:p w14:paraId="2684DF2C">
      <w:pPr>
        <w:keepNext w:val="0"/>
        <w:keepLines w:val="0"/>
        <w:pageBreakBefore w:val="0"/>
        <w:widowControl w:val="0"/>
        <w:kinsoku/>
        <w:wordWrap w:val="0"/>
        <w:overflowPunct/>
        <w:topLinePunct/>
        <w:autoSpaceDE/>
        <w:autoSpaceDN/>
        <w:bidi w:val="0"/>
        <w:adjustRightInd w:val="0"/>
        <w:spacing w:line="440" w:lineRule="exact"/>
        <w:ind w:firstLine="480" w:firstLineChars="200"/>
        <w:jc w:val="left"/>
        <w:textAlignment w:val="auto"/>
        <w:rPr>
          <w:rFonts w:hint="eastAsia" w:ascii="宋体" w:hAnsi="宋体" w:eastAsia="宋体" w:cs="宋体"/>
          <w:b w:val="0"/>
          <w:bCs/>
          <w:color w:val="auto"/>
          <w:sz w:val="24"/>
          <w:szCs w:val="24"/>
          <w:highlight w:val="none"/>
          <w:lang w:val="en-US" w:eastAsia="zh-CN"/>
        </w:rPr>
      </w:pPr>
    </w:p>
    <w:p w14:paraId="5B53FEED">
      <w:pPr>
        <w:keepNext w:val="0"/>
        <w:keepLines w:val="0"/>
        <w:pageBreakBefore w:val="0"/>
        <w:widowControl w:val="0"/>
        <w:kinsoku/>
        <w:wordWrap w:val="0"/>
        <w:overflowPunct/>
        <w:topLinePunct/>
        <w:autoSpaceDE/>
        <w:autoSpaceDN/>
        <w:bidi w:val="0"/>
        <w:adjustRightInd w:val="0"/>
        <w:spacing w:line="440" w:lineRule="exact"/>
        <w:jc w:val="center"/>
        <w:textAlignment w:val="auto"/>
        <w:rPr>
          <w:rFonts w:hint="eastAsia" w:ascii="宋体" w:hAnsi="宋体" w:cs="宋体"/>
          <w:b/>
          <w:color w:val="auto"/>
          <w:sz w:val="36"/>
          <w:szCs w:val="36"/>
          <w:highlight w:val="none"/>
        </w:rPr>
      </w:pPr>
    </w:p>
    <w:p w14:paraId="5C7D6581">
      <w:pPr>
        <w:keepNext w:val="0"/>
        <w:keepLines w:val="0"/>
        <w:pageBreakBefore w:val="0"/>
        <w:widowControl w:val="0"/>
        <w:kinsoku/>
        <w:wordWrap w:val="0"/>
        <w:overflowPunct/>
        <w:topLinePunct/>
        <w:autoSpaceDE/>
        <w:autoSpaceDN/>
        <w:bidi w:val="0"/>
        <w:adjustRightInd w:val="0"/>
        <w:spacing w:line="440" w:lineRule="exact"/>
        <w:jc w:val="center"/>
        <w:textAlignment w:val="auto"/>
        <w:rPr>
          <w:rFonts w:hint="eastAsia" w:ascii="宋体" w:hAnsi="宋体" w:cs="宋体"/>
          <w:b/>
          <w:color w:val="auto"/>
          <w:sz w:val="36"/>
          <w:szCs w:val="36"/>
          <w:highlight w:val="none"/>
        </w:rPr>
      </w:pPr>
    </w:p>
    <w:p w14:paraId="7D18B210">
      <w:pPr>
        <w:keepNext w:val="0"/>
        <w:keepLines w:val="0"/>
        <w:pageBreakBefore w:val="0"/>
        <w:widowControl w:val="0"/>
        <w:kinsoku/>
        <w:wordWrap w:val="0"/>
        <w:overflowPunct/>
        <w:topLinePunct/>
        <w:autoSpaceDE/>
        <w:autoSpaceDN/>
        <w:bidi w:val="0"/>
        <w:adjustRightInd w:val="0"/>
        <w:spacing w:line="440" w:lineRule="exact"/>
        <w:jc w:val="center"/>
        <w:textAlignment w:val="auto"/>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4429"/>
      <w:bookmarkEnd w:id="28"/>
      <w:bookmarkStart w:id="29" w:name="_Toc184313266"/>
      <w:bookmarkEnd w:id="29"/>
      <w:bookmarkStart w:id="30" w:name="_Toc184314419"/>
      <w:bookmarkEnd w:id="30"/>
      <w:bookmarkStart w:id="31" w:name="_Toc184308064"/>
      <w:bookmarkEnd w:id="31"/>
      <w:bookmarkStart w:id="32" w:name="_Toc184312112"/>
      <w:bookmarkEnd w:id="32"/>
      <w:bookmarkStart w:id="33" w:name="_Toc184314454"/>
      <w:bookmarkEnd w:id="33"/>
      <w:bookmarkStart w:id="34" w:name="_Toc184314467"/>
      <w:bookmarkEnd w:id="34"/>
      <w:bookmarkStart w:id="35" w:name="_Toc184313291"/>
      <w:bookmarkEnd w:id="35"/>
      <w:bookmarkStart w:id="36" w:name="_Toc184308092"/>
      <w:bookmarkEnd w:id="36"/>
      <w:bookmarkStart w:id="37" w:name="_Toc184313261"/>
      <w:bookmarkEnd w:id="37"/>
      <w:bookmarkStart w:id="38" w:name="_Toc184308091"/>
      <w:bookmarkEnd w:id="38"/>
      <w:bookmarkStart w:id="39" w:name="_Toc184313258"/>
      <w:bookmarkEnd w:id="39"/>
      <w:bookmarkStart w:id="40" w:name="_Toc184314411"/>
      <w:bookmarkEnd w:id="40"/>
      <w:bookmarkStart w:id="41" w:name="_Toc184308042"/>
      <w:bookmarkEnd w:id="41"/>
      <w:bookmarkStart w:id="42" w:name="_Toc184308070"/>
      <w:bookmarkEnd w:id="42"/>
      <w:bookmarkStart w:id="43" w:name="_Toc184313287"/>
      <w:bookmarkEnd w:id="43"/>
      <w:bookmarkStart w:id="44" w:name="_Toc184314457"/>
      <w:bookmarkEnd w:id="44"/>
      <w:bookmarkStart w:id="45" w:name="_Toc184310295"/>
      <w:bookmarkEnd w:id="45"/>
      <w:bookmarkStart w:id="46" w:name="_Toc184308048"/>
      <w:bookmarkEnd w:id="46"/>
      <w:bookmarkStart w:id="47" w:name="_Toc184313254"/>
      <w:bookmarkEnd w:id="47"/>
      <w:bookmarkStart w:id="48" w:name="_Toc184308103"/>
      <w:bookmarkEnd w:id="48"/>
      <w:bookmarkStart w:id="49" w:name="_Toc184308079"/>
      <w:bookmarkEnd w:id="49"/>
      <w:bookmarkStart w:id="50" w:name="_Toc184310335"/>
      <w:bookmarkEnd w:id="50"/>
      <w:bookmarkStart w:id="51" w:name="_Toc184314443"/>
      <w:bookmarkEnd w:id="51"/>
      <w:bookmarkStart w:id="52" w:name="_Toc184312119"/>
      <w:bookmarkEnd w:id="52"/>
      <w:bookmarkStart w:id="53" w:name="_Toc184312108"/>
      <w:bookmarkEnd w:id="53"/>
      <w:bookmarkStart w:id="54" w:name="_Toc184314414"/>
      <w:bookmarkEnd w:id="54"/>
      <w:bookmarkStart w:id="55" w:name="_Toc184310312"/>
      <w:bookmarkEnd w:id="55"/>
      <w:bookmarkStart w:id="56" w:name="_Toc184313294"/>
      <w:bookmarkEnd w:id="56"/>
      <w:bookmarkStart w:id="57" w:name="_Toc184314428"/>
      <w:bookmarkEnd w:id="57"/>
      <w:bookmarkStart w:id="58" w:name="_Toc184314433"/>
      <w:bookmarkEnd w:id="58"/>
      <w:bookmarkStart w:id="59" w:name="_Toc184314430"/>
      <w:bookmarkEnd w:id="59"/>
      <w:bookmarkStart w:id="60" w:name="_Toc184314418"/>
      <w:bookmarkEnd w:id="60"/>
      <w:bookmarkStart w:id="61" w:name="_Toc184308036"/>
      <w:bookmarkEnd w:id="61"/>
      <w:bookmarkStart w:id="62" w:name="_Toc184310303"/>
      <w:bookmarkEnd w:id="62"/>
      <w:bookmarkStart w:id="63" w:name="_Toc184308097"/>
      <w:bookmarkEnd w:id="63"/>
      <w:bookmarkStart w:id="64" w:name="_Toc184308082"/>
      <w:bookmarkEnd w:id="64"/>
      <w:bookmarkStart w:id="65" w:name="_Toc184312077"/>
      <w:bookmarkEnd w:id="65"/>
      <w:bookmarkStart w:id="66" w:name="_Toc184310332"/>
      <w:bookmarkEnd w:id="66"/>
      <w:bookmarkStart w:id="67" w:name="_Toc184310300"/>
      <w:bookmarkEnd w:id="67"/>
      <w:bookmarkStart w:id="68" w:name="_Toc184312127"/>
      <w:bookmarkEnd w:id="68"/>
      <w:bookmarkStart w:id="69" w:name="_Toc184310297"/>
      <w:bookmarkEnd w:id="69"/>
      <w:bookmarkStart w:id="70" w:name="_Toc184313257"/>
      <w:bookmarkEnd w:id="70"/>
      <w:bookmarkStart w:id="71" w:name="_Toc184310321"/>
      <w:bookmarkEnd w:id="71"/>
      <w:bookmarkStart w:id="72" w:name="_Toc184312136"/>
      <w:bookmarkEnd w:id="72"/>
      <w:bookmarkStart w:id="73" w:name="_Toc184313285"/>
      <w:bookmarkEnd w:id="73"/>
      <w:bookmarkStart w:id="74" w:name="_Toc184313310"/>
      <w:bookmarkEnd w:id="74"/>
      <w:bookmarkStart w:id="75" w:name="_Toc184310285"/>
      <w:bookmarkEnd w:id="75"/>
      <w:bookmarkStart w:id="76" w:name="_Toc184313263"/>
      <w:bookmarkEnd w:id="76"/>
      <w:bookmarkStart w:id="77" w:name="_Toc184314458"/>
      <w:bookmarkEnd w:id="77"/>
      <w:bookmarkStart w:id="78" w:name="_Toc184312138"/>
      <w:bookmarkEnd w:id="78"/>
      <w:bookmarkStart w:id="79" w:name="_Toc184312123"/>
      <w:bookmarkEnd w:id="79"/>
      <w:bookmarkStart w:id="80" w:name="_Toc184308043"/>
      <w:bookmarkEnd w:id="80"/>
      <w:bookmarkStart w:id="81" w:name="_Toc184310309"/>
      <w:bookmarkEnd w:id="81"/>
      <w:bookmarkStart w:id="82" w:name="_Toc184314471"/>
      <w:bookmarkEnd w:id="82"/>
      <w:bookmarkStart w:id="83" w:name="_Toc184314468"/>
      <w:bookmarkEnd w:id="83"/>
      <w:bookmarkStart w:id="84" w:name="_Toc184313246"/>
      <w:bookmarkEnd w:id="84"/>
      <w:bookmarkStart w:id="85" w:name="_Toc184312131"/>
      <w:bookmarkEnd w:id="85"/>
      <w:bookmarkStart w:id="86" w:name="_Toc184308096"/>
      <w:bookmarkEnd w:id="86"/>
      <w:bookmarkStart w:id="87" w:name="_Toc184314425"/>
      <w:bookmarkEnd w:id="87"/>
      <w:bookmarkStart w:id="88" w:name="_Toc184314442"/>
      <w:bookmarkEnd w:id="88"/>
      <w:bookmarkStart w:id="89" w:name="_Toc184310318"/>
      <w:bookmarkEnd w:id="89"/>
      <w:bookmarkStart w:id="90" w:name="_Toc184314450"/>
      <w:bookmarkEnd w:id="90"/>
      <w:bookmarkStart w:id="91" w:name="_Toc184308047"/>
      <w:bookmarkEnd w:id="91"/>
      <w:bookmarkStart w:id="92" w:name="_Toc184313289"/>
      <w:bookmarkEnd w:id="92"/>
      <w:bookmarkStart w:id="93" w:name="_Toc184313298"/>
      <w:bookmarkEnd w:id="93"/>
      <w:bookmarkStart w:id="94" w:name="_Toc184313271"/>
      <w:bookmarkEnd w:id="94"/>
      <w:bookmarkStart w:id="95" w:name="_Toc184314479"/>
      <w:bookmarkEnd w:id="95"/>
      <w:bookmarkStart w:id="96" w:name="_Toc184313302"/>
      <w:bookmarkEnd w:id="96"/>
      <w:bookmarkStart w:id="97" w:name="_Toc184312120"/>
      <w:bookmarkEnd w:id="97"/>
      <w:bookmarkStart w:id="98" w:name="_Toc184312068"/>
      <w:bookmarkEnd w:id="98"/>
      <w:bookmarkStart w:id="99" w:name="_Toc184313308"/>
      <w:bookmarkEnd w:id="99"/>
      <w:bookmarkStart w:id="100" w:name="_Toc184308059"/>
      <w:bookmarkEnd w:id="100"/>
      <w:bookmarkStart w:id="101" w:name="_Toc184310277"/>
      <w:bookmarkEnd w:id="101"/>
      <w:bookmarkStart w:id="102" w:name="_Toc184308051"/>
      <w:bookmarkEnd w:id="102"/>
      <w:bookmarkStart w:id="103" w:name="_Toc184310273"/>
      <w:bookmarkEnd w:id="103"/>
      <w:bookmarkStart w:id="104" w:name="_Toc184313301"/>
      <w:bookmarkEnd w:id="104"/>
      <w:bookmarkStart w:id="105" w:name="_Toc184314423"/>
      <w:bookmarkEnd w:id="105"/>
      <w:bookmarkStart w:id="106" w:name="_Toc184310306"/>
      <w:bookmarkEnd w:id="106"/>
      <w:bookmarkStart w:id="107" w:name="_Toc184313242"/>
      <w:bookmarkEnd w:id="107"/>
      <w:bookmarkStart w:id="108" w:name="_Toc184310282"/>
      <w:bookmarkEnd w:id="108"/>
      <w:bookmarkStart w:id="109" w:name="_Toc184312094"/>
      <w:bookmarkEnd w:id="109"/>
      <w:bookmarkStart w:id="110" w:name="_Toc184312072"/>
      <w:bookmarkEnd w:id="110"/>
      <w:bookmarkStart w:id="111" w:name="_Toc184312099"/>
      <w:bookmarkEnd w:id="111"/>
      <w:bookmarkStart w:id="112" w:name="_Toc184313288"/>
      <w:bookmarkEnd w:id="112"/>
      <w:bookmarkStart w:id="113" w:name="_Toc184308073"/>
      <w:bookmarkEnd w:id="113"/>
      <w:bookmarkStart w:id="114" w:name="_Toc184313245"/>
      <w:bookmarkEnd w:id="114"/>
      <w:bookmarkStart w:id="115" w:name="_Toc184314463"/>
      <w:bookmarkEnd w:id="115"/>
      <w:bookmarkStart w:id="116" w:name="_Toc184313295"/>
      <w:bookmarkEnd w:id="116"/>
      <w:bookmarkStart w:id="117" w:name="_Toc184313260"/>
      <w:bookmarkEnd w:id="117"/>
      <w:bookmarkStart w:id="118" w:name="_Toc184314456"/>
      <w:bookmarkEnd w:id="118"/>
      <w:bookmarkStart w:id="119" w:name="_Toc184314469"/>
      <w:bookmarkEnd w:id="119"/>
      <w:bookmarkStart w:id="120" w:name="_Toc184308086"/>
      <w:bookmarkEnd w:id="120"/>
      <w:bookmarkStart w:id="121" w:name="_Toc184312104"/>
      <w:bookmarkEnd w:id="121"/>
      <w:bookmarkStart w:id="122" w:name="_Toc184313290"/>
      <w:bookmarkEnd w:id="122"/>
      <w:bookmarkStart w:id="123" w:name="_Toc184312098"/>
      <w:bookmarkEnd w:id="123"/>
      <w:bookmarkStart w:id="124" w:name="_Toc184314439"/>
      <w:bookmarkEnd w:id="124"/>
      <w:bookmarkStart w:id="125" w:name="_Toc184314452"/>
      <w:bookmarkEnd w:id="125"/>
      <w:bookmarkStart w:id="126" w:name="_Toc184310344"/>
      <w:bookmarkEnd w:id="126"/>
      <w:bookmarkStart w:id="127" w:name="_Toc184312086"/>
      <w:bookmarkEnd w:id="127"/>
      <w:bookmarkStart w:id="128" w:name="_Toc184314436"/>
      <w:bookmarkEnd w:id="128"/>
      <w:bookmarkStart w:id="129" w:name="_Toc184308071"/>
      <w:bookmarkEnd w:id="129"/>
      <w:bookmarkStart w:id="130" w:name="_Toc184310301"/>
      <w:bookmarkEnd w:id="130"/>
      <w:bookmarkStart w:id="131" w:name="_Toc184313278"/>
      <w:bookmarkEnd w:id="131"/>
      <w:bookmarkStart w:id="132" w:name="_Toc184310288"/>
      <w:bookmarkEnd w:id="132"/>
      <w:bookmarkStart w:id="133" w:name="_Toc184313300"/>
      <w:bookmarkEnd w:id="133"/>
      <w:bookmarkStart w:id="134" w:name="_Toc184308085"/>
      <w:bookmarkEnd w:id="134"/>
      <w:bookmarkStart w:id="135" w:name="_Toc184313275"/>
      <w:bookmarkEnd w:id="135"/>
      <w:bookmarkStart w:id="136" w:name="_Toc184308068"/>
      <w:bookmarkEnd w:id="136"/>
      <w:bookmarkStart w:id="137" w:name="_Toc184310329"/>
      <w:bookmarkEnd w:id="137"/>
      <w:bookmarkStart w:id="138" w:name="_Toc184310294"/>
      <w:bookmarkEnd w:id="138"/>
      <w:bookmarkStart w:id="139" w:name="_Toc184314476"/>
      <w:bookmarkEnd w:id="139"/>
      <w:bookmarkStart w:id="140" w:name="_Toc184313276"/>
      <w:bookmarkEnd w:id="140"/>
      <w:bookmarkStart w:id="141" w:name="_Toc184312114"/>
      <w:bookmarkEnd w:id="141"/>
      <w:bookmarkStart w:id="142" w:name="_Toc184310272"/>
      <w:bookmarkEnd w:id="142"/>
      <w:bookmarkStart w:id="143" w:name="_Toc184312088"/>
      <w:bookmarkEnd w:id="143"/>
      <w:bookmarkStart w:id="144" w:name="_Toc184313239"/>
      <w:bookmarkEnd w:id="144"/>
      <w:bookmarkStart w:id="145" w:name="_Toc184308106"/>
      <w:bookmarkEnd w:id="145"/>
      <w:bookmarkStart w:id="146" w:name="_Toc184312137"/>
      <w:bookmarkEnd w:id="146"/>
      <w:bookmarkStart w:id="147" w:name="_Toc184313265"/>
      <w:bookmarkEnd w:id="147"/>
      <w:bookmarkStart w:id="148" w:name="_Toc184308076"/>
      <w:bookmarkEnd w:id="148"/>
      <w:bookmarkStart w:id="149" w:name="_Toc184308080"/>
      <w:bookmarkEnd w:id="149"/>
      <w:bookmarkStart w:id="150" w:name="_Toc184310276"/>
      <w:bookmarkEnd w:id="150"/>
      <w:bookmarkStart w:id="151" w:name="_Toc184312130"/>
      <w:bookmarkEnd w:id="151"/>
      <w:bookmarkStart w:id="152" w:name="_Toc184308074"/>
      <w:bookmarkEnd w:id="152"/>
      <w:bookmarkStart w:id="153" w:name="_Toc184310319"/>
      <w:bookmarkEnd w:id="153"/>
      <w:bookmarkStart w:id="154" w:name="_Toc184310331"/>
      <w:bookmarkEnd w:id="154"/>
      <w:bookmarkStart w:id="155" w:name="_Toc184312110"/>
      <w:bookmarkEnd w:id="155"/>
      <w:bookmarkStart w:id="156" w:name="_Toc184310292"/>
      <w:bookmarkEnd w:id="156"/>
      <w:bookmarkStart w:id="157" w:name="_Toc184314427"/>
      <w:bookmarkEnd w:id="157"/>
      <w:bookmarkStart w:id="158" w:name="_Toc184308041"/>
      <w:bookmarkEnd w:id="158"/>
      <w:bookmarkStart w:id="159" w:name="_Toc184312070"/>
      <w:bookmarkEnd w:id="159"/>
      <w:bookmarkStart w:id="160" w:name="_Toc184308101"/>
      <w:bookmarkEnd w:id="160"/>
      <w:bookmarkStart w:id="161" w:name="_Toc184310341"/>
      <w:bookmarkEnd w:id="161"/>
      <w:bookmarkStart w:id="162" w:name="_Toc184308108"/>
      <w:bookmarkEnd w:id="162"/>
      <w:bookmarkStart w:id="163" w:name="_Toc184310323"/>
      <w:bookmarkEnd w:id="163"/>
      <w:bookmarkStart w:id="164" w:name="_Toc184312101"/>
      <w:bookmarkEnd w:id="164"/>
      <w:bookmarkStart w:id="165" w:name="_Toc184312106"/>
      <w:bookmarkEnd w:id="165"/>
      <w:bookmarkStart w:id="166" w:name="_Toc184310337"/>
      <w:bookmarkEnd w:id="166"/>
      <w:bookmarkStart w:id="167" w:name="_Toc184312134"/>
      <w:bookmarkEnd w:id="167"/>
      <w:bookmarkStart w:id="168" w:name="_Toc184310327"/>
      <w:bookmarkEnd w:id="168"/>
      <w:bookmarkStart w:id="169" w:name="_Toc184313293"/>
      <w:bookmarkEnd w:id="169"/>
      <w:bookmarkStart w:id="170" w:name="_Toc184314441"/>
      <w:bookmarkEnd w:id="170"/>
      <w:bookmarkStart w:id="171" w:name="_Toc184313251"/>
      <w:bookmarkEnd w:id="171"/>
      <w:bookmarkStart w:id="172" w:name="_Toc184314410"/>
      <w:bookmarkEnd w:id="172"/>
      <w:bookmarkStart w:id="173" w:name="_Toc184310293"/>
      <w:bookmarkEnd w:id="173"/>
      <w:bookmarkStart w:id="174" w:name="_Toc184308065"/>
      <w:bookmarkEnd w:id="174"/>
      <w:bookmarkStart w:id="175" w:name="_Toc184310302"/>
      <w:bookmarkEnd w:id="175"/>
      <w:bookmarkStart w:id="176" w:name="_Toc184310311"/>
      <w:bookmarkEnd w:id="176"/>
      <w:bookmarkStart w:id="177" w:name="_Toc184314426"/>
      <w:bookmarkEnd w:id="177"/>
      <w:bookmarkStart w:id="178" w:name="_Toc184308078"/>
      <w:bookmarkEnd w:id="178"/>
      <w:bookmarkStart w:id="179" w:name="_Toc184308089"/>
      <w:bookmarkEnd w:id="179"/>
      <w:bookmarkStart w:id="180" w:name="_Toc184308087"/>
      <w:bookmarkEnd w:id="180"/>
      <w:bookmarkStart w:id="181" w:name="_Toc184313307"/>
      <w:bookmarkEnd w:id="181"/>
      <w:bookmarkStart w:id="182" w:name="_Toc184314470"/>
      <w:bookmarkEnd w:id="182"/>
      <w:bookmarkStart w:id="183" w:name="_Toc184312100"/>
      <w:bookmarkEnd w:id="183"/>
      <w:bookmarkStart w:id="184" w:name="_Toc184313247"/>
      <w:bookmarkEnd w:id="184"/>
      <w:bookmarkStart w:id="185" w:name="_Toc184314448"/>
      <w:bookmarkEnd w:id="185"/>
      <w:bookmarkStart w:id="186" w:name="_Toc184308083"/>
      <w:bookmarkEnd w:id="186"/>
      <w:bookmarkStart w:id="187" w:name="_Toc184313252"/>
      <w:bookmarkEnd w:id="187"/>
      <w:bookmarkStart w:id="188" w:name="_Toc184313286"/>
      <w:bookmarkEnd w:id="188"/>
      <w:bookmarkStart w:id="189" w:name="_Toc184312109"/>
      <w:bookmarkEnd w:id="189"/>
      <w:bookmarkStart w:id="190" w:name="_Toc184310342"/>
      <w:bookmarkEnd w:id="190"/>
      <w:bookmarkStart w:id="191" w:name="_Toc184308093"/>
      <w:bookmarkEnd w:id="191"/>
      <w:bookmarkStart w:id="192" w:name="_Toc184314472"/>
      <w:bookmarkEnd w:id="192"/>
      <w:bookmarkStart w:id="193" w:name="_Toc184310279"/>
      <w:bookmarkEnd w:id="193"/>
      <w:bookmarkStart w:id="194" w:name="_Toc184314449"/>
      <w:bookmarkEnd w:id="194"/>
      <w:bookmarkStart w:id="195" w:name="_Toc184310280"/>
      <w:bookmarkEnd w:id="195"/>
      <w:bookmarkStart w:id="196" w:name="_Toc184308049"/>
      <w:bookmarkEnd w:id="196"/>
      <w:bookmarkStart w:id="197" w:name="_Toc184314475"/>
      <w:bookmarkEnd w:id="197"/>
      <w:bookmarkStart w:id="198" w:name="_Toc184308107"/>
      <w:bookmarkEnd w:id="198"/>
      <w:bookmarkStart w:id="199" w:name="_Toc184313282"/>
      <w:bookmarkEnd w:id="199"/>
      <w:bookmarkStart w:id="200" w:name="_Toc184310290"/>
      <w:bookmarkEnd w:id="200"/>
      <w:bookmarkStart w:id="201" w:name="_Toc184314431"/>
      <w:bookmarkEnd w:id="201"/>
      <w:bookmarkStart w:id="202" w:name="_Toc184310333"/>
      <w:bookmarkEnd w:id="202"/>
      <w:bookmarkStart w:id="203" w:name="_Toc184310314"/>
      <w:bookmarkEnd w:id="203"/>
      <w:bookmarkStart w:id="204" w:name="_Toc184308105"/>
      <w:bookmarkEnd w:id="204"/>
      <w:bookmarkStart w:id="205" w:name="_Toc184314416"/>
      <w:bookmarkEnd w:id="205"/>
      <w:bookmarkStart w:id="206" w:name="_Toc184308062"/>
      <w:bookmarkEnd w:id="206"/>
      <w:bookmarkStart w:id="207" w:name="_Toc184314477"/>
      <w:bookmarkEnd w:id="207"/>
      <w:bookmarkStart w:id="208" w:name="_Toc184308104"/>
      <w:bookmarkEnd w:id="208"/>
      <w:bookmarkStart w:id="209" w:name="_Toc184314413"/>
      <w:bookmarkEnd w:id="209"/>
      <w:bookmarkStart w:id="210" w:name="_Toc184314421"/>
      <w:bookmarkEnd w:id="210"/>
      <w:bookmarkStart w:id="211" w:name="_Toc184308056"/>
      <w:bookmarkEnd w:id="211"/>
      <w:bookmarkStart w:id="212" w:name="_Toc184312117"/>
      <w:bookmarkEnd w:id="212"/>
      <w:bookmarkStart w:id="213" w:name="_Toc184308058"/>
      <w:bookmarkEnd w:id="213"/>
      <w:bookmarkStart w:id="214" w:name="_Toc184310310"/>
      <w:bookmarkEnd w:id="214"/>
      <w:bookmarkStart w:id="215" w:name="_Toc184312135"/>
      <w:bookmarkEnd w:id="215"/>
      <w:bookmarkStart w:id="216" w:name="_Toc184310317"/>
      <w:bookmarkEnd w:id="216"/>
      <w:bookmarkStart w:id="217" w:name="_Toc184313283"/>
      <w:bookmarkEnd w:id="217"/>
      <w:bookmarkStart w:id="218" w:name="_Toc184308037"/>
      <w:bookmarkEnd w:id="218"/>
      <w:bookmarkStart w:id="219" w:name="_Toc184312125"/>
      <w:bookmarkEnd w:id="219"/>
      <w:bookmarkStart w:id="220" w:name="_Toc184314432"/>
      <w:bookmarkEnd w:id="220"/>
      <w:bookmarkStart w:id="221" w:name="_Toc184308090"/>
      <w:bookmarkEnd w:id="221"/>
      <w:bookmarkStart w:id="222" w:name="_Toc184310289"/>
      <w:bookmarkEnd w:id="222"/>
      <w:bookmarkStart w:id="223" w:name="_Toc184312080"/>
      <w:bookmarkEnd w:id="223"/>
      <w:bookmarkStart w:id="224" w:name="_Toc184313255"/>
      <w:bookmarkEnd w:id="224"/>
      <w:bookmarkStart w:id="225" w:name="_Toc184310298"/>
      <w:bookmarkEnd w:id="225"/>
      <w:bookmarkStart w:id="226" w:name="_Toc184310325"/>
      <w:bookmarkEnd w:id="226"/>
      <w:bookmarkStart w:id="227" w:name="_Toc184314466"/>
      <w:bookmarkEnd w:id="227"/>
      <w:bookmarkStart w:id="228" w:name="_Toc184312092"/>
      <w:bookmarkEnd w:id="228"/>
      <w:bookmarkStart w:id="229" w:name="_Toc184308066"/>
      <w:bookmarkEnd w:id="229"/>
      <w:bookmarkStart w:id="230" w:name="_Toc184312128"/>
      <w:bookmarkEnd w:id="230"/>
      <w:bookmarkStart w:id="231" w:name="_Toc184310305"/>
      <w:bookmarkEnd w:id="231"/>
      <w:bookmarkStart w:id="232" w:name="_Toc184312111"/>
      <w:bookmarkEnd w:id="232"/>
      <w:bookmarkStart w:id="233" w:name="_Toc184314461"/>
      <w:bookmarkEnd w:id="233"/>
      <w:bookmarkStart w:id="234" w:name="_Toc184313277"/>
      <w:bookmarkEnd w:id="234"/>
      <w:bookmarkStart w:id="235" w:name="_Toc184313244"/>
      <w:bookmarkEnd w:id="235"/>
      <w:bookmarkStart w:id="236" w:name="_Toc184313253"/>
      <w:bookmarkEnd w:id="236"/>
      <w:bookmarkStart w:id="237" w:name="_Toc184310340"/>
      <w:bookmarkEnd w:id="237"/>
      <w:bookmarkStart w:id="238" w:name="_Toc184312116"/>
      <w:bookmarkEnd w:id="238"/>
      <w:bookmarkStart w:id="239" w:name="_Toc184308102"/>
      <w:bookmarkEnd w:id="239"/>
      <w:bookmarkStart w:id="240" w:name="_Toc184313305"/>
      <w:bookmarkEnd w:id="240"/>
      <w:bookmarkStart w:id="241" w:name="_Toc184310328"/>
      <w:bookmarkEnd w:id="241"/>
      <w:bookmarkStart w:id="242" w:name="_Toc184314465"/>
      <w:bookmarkEnd w:id="242"/>
      <w:bookmarkStart w:id="243" w:name="_Toc184312132"/>
      <w:bookmarkEnd w:id="243"/>
      <w:bookmarkStart w:id="244" w:name="_Toc184308052"/>
      <w:bookmarkEnd w:id="244"/>
      <w:bookmarkStart w:id="245" w:name="_Toc184310291"/>
      <w:bookmarkEnd w:id="245"/>
      <w:bookmarkStart w:id="246" w:name="_Toc184314420"/>
      <w:bookmarkEnd w:id="246"/>
      <w:bookmarkStart w:id="247" w:name="_Toc184312139"/>
      <w:bookmarkEnd w:id="247"/>
      <w:bookmarkStart w:id="248" w:name="_Toc184312071"/>
      <w:bookmarkEnd w:id="248"/>
      <w:bookmarkStart w:id="249" w:name="_Toc184312133"/>
      <w:bookmarkEnd w:id="249"/>
      <w:bookmarkStart w:id="250" w:name="_Toc184310338"/>
      <w:bookmarkEnd w:id="250"/>
      <w:bookmarkStart w:id="251" w:name="_Toc184310339"/>
      <w:bookmarkEnd w:id="251"/>
      <w:bookmarkStart w:id="252" w:name="_Toc184313243"/>
      <w:bookmarkEnd w:id="252"/>
      <w:bookmarkStart w:id="253" w:name="_Toc184312085"/>
      <w:bookmarkEnd w:id="253"/>
      <w:bookmarkStart w:id="254" w:name="_Toc184312089"/>
      <w:bookmarkEnd w:id="254"/>
      <w:bookmarkStart w:id="255" w:name="_Toc184308038"/>
      <w:bookmarkEnd w:id="255"/>
      <w:bookmarkStart w:id="256" w:name="_Toc184312073"/>
      <w:bookmarkEnd w:id="256"/>
      <w:bookmarkStart w:id="257" w:name="_Toc184310316"/>
      <w:bookmarkEnd w:id="257"/>
      <w:bookmarkStart w:id="258" w:name="_Toc184314464"/>
      <w:bookmarkEnd w:id="258"/>
      <w:bookmarkStart w:id="259" w:name="_Toc184313292"/>
      <w:bookmarkEnd w:id="259"/>
      <w:bookmarkStart w:id="260" w:name="_Toc184308075"/>
      <w:bookmarkEnd w:id="260"/>
      <w:bookmarkStart w:id="261" w:name="_Toc184313304"/>
      <w:bookmarkEnd w:id="261"/>
      <w:bookmarkStart w:id="262" w:name="_Toc184310336"/>
      <w:bookmarkEnd w:id="262"/>
      <w:bookmarkStart w:id="263" w:name="_Toc184312105"/>
      <w:bookmarkEnd w:id="263"/>
      <w:bookmarkStart w:id="264" w:name="_Toc184308060"/>
      <w:bookmarkEnd w:id="264"/>
      <w:bookmarkStart w:id="265" w:name="_Toc184308063"/>
      <w:bookmarkEnd w:id="265"/>
      <w:bookmarkStart w:id="266" w:name="_Toc184312090"/>
      <w:bookmarkEnd w:id="266"/>
      <w:bookmarkStart w:id="267" w:name="_Toc184312107"/>
      <w:bookmarkEnd w:id="267"/>
      <w:bookmarkStart w:id="268" w:name="_Toc184312082"/>
      <w:bookmarkEnd w:id="268"/>
      <w:bookmarkStart w:id="269" w:name="_Toc184312096"/>
      <w:bookmarkEnd w:id="269"/>
      <w:bookmarkStart w:id="270" w:name="_Toc184314424"/>
      <w:bookmarkEnd w:id="270"/>
      <w:bookmarkStart w:id="271" w:name="_Toc184310299"/>
      <w:bookmarkEnd w:id="271"/>
      <w:bookmarkStart w:id="272" w:name="_Toc184308072"/>
      <w:bookmarkEnd w:id="272"/>
      <w:bookmarkStart w:id="273" w:name="_Toc184308095"/>
      <w:bookmarkEnd w:id="273"/>
      <w:bookmarkStart w:id="274" w:name="_Toc184314481"/>
      <w:bookmarkEnd w:id="274"/>
      <w:bookmarkStart w:id="275" w:name="_Toc184308077"/>
      <w:bookmarkEnd w:id="275"/>
      <w:bookmarkStart w:id="276" w:name="_Toc184312091"/>
      <w:bookmarkEnd w:id="276"/>
      <w:bookmarkStart w:id="277" w:name="_Toc184314435"/>
      <w:bookmarkEnd w:id="277"/>
      <w:bookmarkStart w:id="278" w:name="_Toc184308081"/>
      <w:bookmarkEnd w:id="278"/>
      <w:bookmarkStart w:id="279" w:name="_Toc184310322"/>
      <w:bookmarkEnd w:id="279"/>
      <w:bookmarkStart w:id="280" w:name="_Toc184313240"/>
      <w:bookmarkEnd w:id="280"/>
      <w:bookmarkStart w:id="281" w:name="_Toc184308044"/>
      <w:bookmarkEnd w:id="281"/>
      <w:bookmarkStart w:id="282" w:name="_Toc184308069"/>
      <w:bookmarkEnd w:id="282"/>
      <w:bookmarkStart w:id="283" w:name="_Toc184310334"/>
      <w:bookmarkEnd w:id="283"/>
      <w:bookmarkStart w:id="284" w:name="_Toc184313264"/>
      <w:bookmarkEnd w:id="284"/>
      <w:bookmarkStart w:id="285" w:name="_Toc184314415"/>
      <w:bookmarkEnd w:id="285"/>
      <w:bookmarkStart w:id="286" w:name="_Toc184313248"/>
      <w:bookmarkEnd w:id="286"/>
      <w:bookmarkStart w:id="287" w:name="_Toc184313272"/>
      <w:bookmarkEnd w:id="287"/>
      <w:bookmarkStart w:id="288" w:name="_Toc184313241"/>
      <w:bookmarkEnd w:id="288"/>
      <w:bookmarkStart w:id="289" w:name="_Toc184313281"/>
      <w:bookmarkEnd w:id="289"/>
      <w:bookmarkStart w:id="290" w:name="_Toc184308100"/>
      <w:bookmarkEnd w:id="290"/>
      <w:bookmarkStart w:id="291" w:name="_Toc184308050"/>
      <w:bookmarkEnd w:id="291"/>
      <w:bookmarkStart w:id="292" w:name="_Toc184314451"/>
      <w:bookmarkEnd w:id="292"/>
      <w:bookmarkStart w:id="293" w:name="_Toc184313267"/>
      <w:bookmarkEnd w:id="293"/>
      <w:bookmarkStart w:id="294" w:name="_Toc184310308"/>
      <w:bookmarkEnd w:id="294"/>
      <w:bookmarkStart w:id="295" w:name="_Toc184313280"/>
      <w:bookmarkEnd w:id="295"/>
      <w:bookmarkStart w:id="296" w:name="_Toc184312067"/>
      <w:bookmarkEnd w:id="296"/>
      <w:bookmarkStart w:id="297" w:name="_Toc184310313"/>
      <w:bookmarkEnd w:id="297"/>
      <w:bookmarkStart w:id="298" w:name="_Toc184310287"/>
      <w:bookmarkEnd w:id="298"/>
      <w:bookmarkStart w:id="299" w:name="_Toc184312097"/>
      <w:bookmarkEnd w:id="299"/>
      <w:bookmarkStart w:id="300" w:name="_Toc184312093"/>
      <w:bookmarkEnd w:id="300"/>
      <w:bookmarkStart w:id="301" w:name="_Toc184308054"/>
      <w:bookmarkEnd w:id="301"/>
      <w:bookmarkStart w:id="302" w:name="_Toc184313249"/>
      <w:bookmarkEnd w:id="302"/>
      <w:bookmarkStart w:id="303" w:name="_Toc184313268"/>
      <w:bookmarkEnd w:id="303"/>
      <w:bookmarkStart w:id="304" w:name="_Toc184312129"/>
      <w:bookmarkEnd w:id="304"/>
      <w:bookmarkStart w:id="305" w:name="_Toc184314437"/>
      <w:bookmarkEnd w:id="305"/>
      <w:bookmarkStart w:id="306" w:name="_Toc184313250"/>
      <w:bookmarkEnd w:id="306"/>
      <w:bookmarkStart w:id="307" w:name="_Toc184313297"/>
      <w:bookmarkEnd w:id="307"/>
      <w:bookmarkStart w:id="308" w:name="_Toc184313306"/>
      <w:bookmarkEnd w:id="308"/>
      <w:bookmarkStart w:id="309" w:name="_Toc184310284"/>
      <w:bookmarkEnd w:id="309"/>
      <w:bookmarkStart w:id="310" w:name="_Toc184314422"/>
      <w:bookmarkEnd w:id="310"/>
      <w:bookmarkStart w:id="311" w:name="_Toc184312095"/>
      <w:bookmarkEnd w:id="311"/>
      <w:bookmarkStart w:id="312" w:name="_Toc184312081"/>
      <w:bookmarkEnd w:id="312"/>
      <w:bookmarkStart w:id="313" w:name="_Toc184314446"/>
      <w:bookmarkEnd w:id="313"/>
      <w:bookmarkStart w:id="314" w:name="_Toc184308067"/>
      <w:bookmarkEnd w:id="314"/>
      <w:bookmarkStart w:id="315" w:name="_Toc184314462"/>
      <w:bookmarkEnd w:id="315"/>
      <w:bookmarkStart w:id="316" w:name="_Toc184314482"/>
      <w:bookmarkEnd w:id="316"/>
      <w:bookmarkStart w:id="317" w:name="_Toc184310307"/>
      <w:bookmarkEnd w:id="317"/>
      <w:bookmarkStart w:id="318" w:name="_Toc184308045"/>
      <w:bookmarkEnd w:id="318"/>
      <w:bookmarkStart w:id="319" w:name="_Toc184314447"/>
      <w:bookmarkEnd w:id="319"/>
      <w:bookmarkStart w:id="320" w:name="_Toc184310274"/>
      <w:bookmarkEnd w:id="320"/>
      <w:bookmarkStart w:id="321" w:name="_Toc184312121"/>
      <w:bookmarkEnd w:id="321"/>
      <w:bookmarkStart w:id="322" w:name="_Toc184312115"/>
      <w:bookmarkEnd w:id="322"/>
      <w:bookmarkStart w:id="323" w:name="_Toc184308084"/>
      <w:bookmarkEnd w:id="323"/>
      <w:bookmarkStart w:id="324" w:name="_Toc184310320"/>
      <w:bookmarkEnd w:id="324"/>
      <w:bookmarkStart w:id="325" w:name="_Toc184314459"/>
      <w:bookmarkEnd w:id="325"/>
      <w:bookmarkStart w:id="326" w:name="_Toc184313296"/>
      <w:bookmarkEnd w:id="326"/>
      <w:bookmarkStart w:id="327" w:name="_Toc184312126"/>
      <w:bookmarkEnd w:id="327"/>
      <w:bookmarkStart w:id="328" w:name="_Toc184308053"/>
      <w:bookmarkEnd w:id="328"/>
      <w:bookmarkStart w:id="329" w:name="_Toc184310324"/>
      <w:bookmarkEnd w:id="329"/>
      <w:bookmarkStart w:id="330" w:name="_Toc184314455"/>
      <w:bookmarkEnd w:id="330"/>
      <w:bookmarkStart w:id="331" w:name="_Toc184314445"/>
      <w:bookmarkEnd w:id="331"/>
      <w:bookmarkStart w:id="332" w:name="_Toc184312113"/>
      <w:bookmarkEnd w:id="332"/>
      <w:bookmarkStart w:id="333" w:name="_Toc184310296"/>
      <w:bookmarkEnd w:id="333"/>
      <w:bookmarkStart w:id="334" w:name="_Toc184308057"/>
      <w:bookmarkEnd w:id="334"/>
      <w:bookmarkStart w:id="335" w:name="_Toc184313279"/>
      <w:bookmarkEnd w:id="335"/>
      <w:bookmarkStart w:id="336" w:name="_Toc184312069"/>
      <w:bookmarkEnd w:id="336"/>
      <w:bookmarkStart w:id="337" w:name="_Toc184310278"/>
      <w:bookmarkEnd w:id="337"/>
      <w:bookmarkStart w:id="338" w:name="_Toc184310286"/>
      <w:bookmarkEnd w:id="338"/>
      <w:bookmarkStart w:id="339" w:name="_Toc184312084"/>
      <w:bookmarkEnd w:id="339"/>
      <w:bookmarkStart w:id="340" w:name="_Toc184308094"/>
      <w:bookmarkEnd w:id="340"/>
      <w:bookmarkStart w:id="341" w:name="_Toc184312083"/>
      <w:bookmarkEnd w:id="341"/>
      <w:bookmarkStart w:id="342" w:name="_Toc184308098"/>
      <w:bookmarkEnd w:id="342"/>
      <w:bookmarkStart w:id="343" w:name="_Toc184313309"/>
      <w:bookmarkEnd w:id="343"/>
      <w:bookmarkStart w:id="344" w:name="_Toc184313303"/>
      <w:bookmarkEnd w:id="344"/>
      <w:bookmarkStart w:id="345" w:name="_Toc184308039"/>
      <w:bookmarkEnd w:id="345"/>
      <w:bookmarkStart w:id="346" w:name="_Toc184313270"/>
      <w:bookmarkEnd w:id="346"/>
      <w:bookmarkStart w:id="347" w:name="_Toc184313259"/>
      <w:bookmarkEnd w:id="347"/>
      <w:bookmarkStart w:id="348" w:name="_Toc184310281"/>
      <w:bookmarkEnd w:id="348"/>
      <w:bookmarkStart w:id="349" w:name="_Toc184314453"/>
      <w:bookmarkEnd w:id="349"/>
      <w:bookmarkStart w:id="350" w:name="_Toc184314434"/>
      <w:bookmarkEnd w:id="350"/>
      <w:bookmarkStart w:id="351" w:name="_Toc184313262"/>
      <w:bookmarkEnd w:id="351"/>
      <w:bookmarkStart w:id="352" w:name="_Toc184313274"/>
      <w:bookmarkEnd w:id="352"/>
      <w:bookmarkStart w:id="353" w:name="_Toc184314473"/>
      <w:bookmarkEnd w:id="353"/>
      <w:bookmarkStart w:id="354" w:name="_Toc184308061"/>
      <w:bookmarkEnd w:id="354"/>
      <w:bookmarkStart w:id="355" w:name="_Toc184310283"/>
      <w:bookmarkEnd w:id="355"/>
      <w:bookmarkStart w:id="356" w:name="_Toc184310275"/>
      <w:bookmarkEnd w:id="356"/>
      <w:bookmarkStart w:id="357" w:name="_Toc184312079"/>
      <w:bookmarkEnd w:id="357"/>
      <w:bookmarkStart w:id="358" w:name="_Toc184313238"/>
      <w:bookmarkEnd w:id="358"/>
      <w:bookmarkStart w:id="359" w:name="_Toc184310315"/>
      <w:bookmarkEnd w:id="359"/>
      <w:bookmarkStart w:id="360" w:name="_Toc184312074"/>
      <w:bookmarkEnd w:id="360"/>
      <w:bookmarkStart w:id="361" w:name="_Toc184313299"/>
      <w:bookmarkEnd w:id="361"/>
      <w:bookmarkStart w:id="362" w:name="_Toc184310343"/>
      <w:bookmarkEnd w:id="362"/>
      <w:bookmarkStart w:id="363" w:name="_Toc184310330"/>
      <w:bookmarkEnd w:id="363"/>
      <w:bookmarkStart w:id="364" w:name="_Toc184313273"/>
      <w:bookmarkEnd w:id="364"/>
      <w:bookmarkStart w:id="365" w:name="_Toc184312124"/>
      <w:bookmarkEnd w:id="365"/>
      <w:bookmarkStart w:id="366" w:name="_Toc184312087"/>
      <w:bookmarkEnd w:id="366"/>
      <w:bookmarkStart w:id="367" w:name="_Toc184312122"/>
      <w:bookmarkEnd w:id="367"/>
      <w:bookmarkStart w:id="368" w:name="_Toc184312075"/>
      <w:bookmarkEnd w:id="368"/>
      <w:bookmarkStart w:id="369" w:name="_Toc184308040"/>
      <w:bookmarkEnd w:id="369"/>
      <w:bookmarkStart w:id="370" w:name="_Toc184312102"/>
      <w:bookmarkEnd w:id="370"/>
      <w:bookmarkStart w:id="371" w:name="_Toc184314474"/>
      <w:bookmarkEnd w:id="371"/>
      <w:bookmarkStart w:id="372" w:name="_Toc184308055"/>
      <w:bookmarkEnd w:id="372"/>
      <w:bookmarkStart w:id="373" w:name="_Toc184314478"/>
      <w:bookmarkEnd w:id="373"/>
      <w:bookmarkStart w:id="374" w:name="_Toc184314460"/>
      <w:bookmarkEnd w:id="374"/>
      <w:bookmarkStart w:id="375" w:name="_Toc184313256"/>
      <w:bookmarkEnd w:id="375"/>
      <w:bookmarkStart w:id="376" w:name="_Toc184312078"/>
      <w:bookmarkEnd w:id="376"/>
      <w:bookmarkStart w:id="377" w:name="_Toc184312076"/>
      <w:bookmarkEnd w:id="377"/>
      <w:bookmarkStart w:id="378" w:name="_Toc184310326"/>
      <w:bookmarkEnd w:id="378"/>
      <w:bookmarkStart w:id="379" w:name="_Toc184312103"/>
      <w:bookmarkEnd w:id="379"/>
      <w:bookmarkStart w:id="380" w:name="_Toc184308046"/>
      <w:bookmarkEnd w:id="380"/>
      <w:bookmarkStart w:id="381" w:name="_Toc184312118"/>
      <w:bookmarkEnd w:id="381"/>
      <w:bookmarkStart w:id="382" w:name="_Toc184314417"/>
      <w:bookmarkEnd w:id="382"/>
      <w:bookmarkStart w:id="383" w:name="_Toc184314438"/>
      <w:bookmarkEnd w:id="383"/>
      <w:bookmarkStart w:id="384" w:name="_Toc184310304"/>
      <w:bookmarkEnd w:id="384"/>
      <w:bookmarkStart w:id="385" w:name="_Toc184313269"/>
      <w:bookmarkEnd w:id="385"/>
      <w:bookmarkStart w:id="386" w:name="_Toc184314440"/>
      <w:bookmarkEnd w:id="386"/>
      <w:bookmarkStart w:id="387" w:name="_Toc184313284"/>
      <w:bookmarkEnd w:id="387"/>
      <w:bookmarkStart w:id="388" w:name="_Toc184314480"/>
      <w:bookmarkEnd w:id="388"/>
      <w:bookmarkStart w:id="389" w:name="_Toc184314444"/>
      <w:bookmarkEnd w:id="389"/>
      <w:bookmarkStart w:id="390" w:name="_Toc184308099"/>
      <w:bookmarkEnd w:id="390"/>
      <w:bookmarkStart w:id="391" w:name="_Toc184314412"/>
      <w:bookmarkEnd w:id="391"/>
      <w:bookmarkStart w:id="392" w:name="_Toc184308088"/>
      <w:bookmarkEnd w:id="392"/>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10606" w:type="dxa"/>
        <w:tblInd w:w="-9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6974"/>
        <w:gridCol w:w="810"/>
        <w:gridCol w:w="1050"/>
        <w:gridCol w:w="1095"/>
      </w:tblGrid>
      <w:tr w14:paraId="7BEDA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14:paraId="10C7BF13">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974" w:type="dxa"/>
            <w:vAlign w:val="center"/>
          </w:tcPr>
          <w:p w14:paraId="7623FBD6">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810" w:type="dxa"/>
            <w:vAlign w:val="center"/>
          </w:tcPr>
          <w:p w14:paraId="449D912F">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050" w:type="dxa"/>
            <w:vAlign w:val="center"/>
          </w:tcPr>
          <w:p w14:paraId="18E86A03">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095" w:type="dxa"/>
            <w:vAlign w:val="center"/>
          </w:tcPr>
          <w:p w14:paraId="68C6CDA1">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highlight w:val="none"/>
              </w:rPr>
              <w:t>投标文件中评标标准相应的商务技术资料目录*</w:t>
            </w:r>
          </w:p>
        </w:tc>
      </w:tr>
      <w:tr w14:paraId="018D0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14:paraId="3B223BD0">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974" w:type="dxa"/>
            <w:shd w:val="clear" w:color="auto" w:fill="auto"/>
            <w:vAlign w:val="center"/>
          </w:tcPr>
          <w:p w14:paraId="654BC618">
            <w:pPr>
              <w:keepNext w:val="0"/>
              <w:keepLines w:val="0"/>
              <w:pageBreakBefore w:val="0"/>
              <w:kinsoku/>
              <w:wordWrap/>
              <w:overflowPunct/>
              <w:topLinePunct w:val="0"/>
              <w:autoSpaceDE/>
              <w:autoSpaceDN/>
              <w:bidi w:val="0"/>
              <w:adjustRightInd w:val="0"/>
              <w:spacing w:line="440" w:lineRule="exact"/>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投标人</w:t>
            </w:r>
            <w:r>
              <w:rPr>
                <w:rFonts w:hint="eastAsia" w:ascii="宋体" w:hAnsi="宋体" w:cs="宋体"/>
                <w:sz w:val="24"/>
                <w:szCs w:val="24"/>
                <w:highlight w:val="none"/>
                <w:lang w:val="en-US" w:eastAsia="zh-CN"/>
              </w:rPr>
              <w:t>2020</w:t>
            </w:r>
            <w:r>
              <w:rPr>
                <w:rFonts w:hint="eastAsia" w:ascii="宋体" w:hAnsi="宋体" w:eastAsia="宋体" w:cs="宋体"/>
                <w:sz w:val="24"/>
                <w:szCs w:val="24"/>
                <w:highlight w:val="none"/>
              </w:rPr>
              <w:t>年1月1日以来承接</w:t>
            </w:r>
            <w:r>
              <w:rPr>
                <w:rFonts w:hint="eastAsia" w:ascii="宋体" w:hAnsi="宋体" w:cs="宋体"/>
                <w:sz w:val="24"/>
                <w:szCs w:val="24"/>
                <w:highlight w:val="none"/>
                <w:lang w:val="en-US" w:eastAsia="zh-CN"/>
              </w:rPr>
              <w:t>过</w:t>
            </w:r>
            <w:r>
              <w:rPr>
                <w:rFonts w:hint="eastAsia" w:ascii="宋体" w:hAnsi="宋体" w:eastAsia="宋体" w:cs="宋体"/>
                <w:sz w:val="24"/>
                <w:szCs w:val="24"/>
                <w:highlight w:val="none"/>
              </w:rPr>
              <w:t>类似</w:t>
            </w:r>
            <w:r>
              <w:rPr>
                <w:rFonts w:hint="eastAsia" w:ascii="宋体" w:hAnsi="宋体" w:cs="宋体"/>
                <w:sz w:val="24"/>
                <w:szCs w:val="24"/>
                <w:highlight w:val="none"/>
                <w:lang w:val="en-US" w:eastAsia="zh-CN"/>
              </w:rPr>
              <w:t>项目</w:t>
            </w:r>
            <w:bookmarkStart w:id="519" w:name="_GoBack"/>
            <w:bookmarkEnd w:id="519"/>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，每个得</w:t>
            </w:r>
            <w:r>
              <w:rPr>
                <w:rFonts w:hint="eastAsia" w:ascii="宋体" w:hAnsi="宋体" w:eastAsia="宋体" w:cs="宋体"/>
                <w:sz w:val="24"/>
                <w:szCs w:val="24"/>
                <w:highlight w:val="none"/>
                <w:lang w:val="en-US" w:eastAsia="zh-CN"/>
              </w:rPr>
              <w:t>0.5分，最高</w:t>
            </w:r>
            <w:r>
              <w:rPr>
                <w:rFonts w:hint="eastAsia" w:ascii="宋体" w:hAnsi="宋体" w:eastAsia="宋体" w:cs="宋体"/>
                <w:sz w:val="24"/>
                <w:szCs w:val="24"/>
                <w:highlight w:val="none"/>
              </w:rPr>
              <w:t>得1分。</w:t>
            </w:r>
          </w:p>
          <w:p w14:paraId="1B48FBA9">
            <w:pPr>
              <w:keepNext w:val="0"/>
              <w:keepLines w:val="0"/>
              <w:pageBreakBefore w:val="0"/>
              <w:widowControl/>
              <w:suppressLineNumbers w:val="0"/>
              <w:kinsoku/>
              <w:wordWrap/>
              <w:overflowPunct/>
              <w:autoSpaceDE/>
              <w:autoSpaceDN/>
              <w:bidi w:val="0"/>
              <w:adjustRightInd w:val="0"/>
              <w:spacing w:line="44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highlight w:val="none"/>
                <w:lang w:val="en-US" w:eastAsia="zh-CN"/>
              </w:rPr>
              <w:t>【</w:t>
            </w:r>
            <w:r>
              <w:rPr>
                <w:rFonts w:hint="eastAsia" w:ascii="宋体" w:hAnsi="宋体" w:eastAsia="宋体" w:cs="宋体"/>
                <w:sz w:val="24"/>
              </w:rPr>
              <w:t>提供评估合同或协议以及项目中标通知书，承接时间以合同签订时间为准。</w:t>
            </w:r>
            <w:r>
              <w:rPr>
                <w:rFonts w:hint="eastAsia" w:ascii="宋体" w:hAnsi="宋体" w:eastAsia="宋体" w:cs="宋体"/>
                <w:bCs/>
                <w:sz w:val="24"/>
                <w:szCs w:val="24"/>
                <w:highlight w:val="none"/>
                <w:lang w:val="en-US" w:eastAsia="zh-CN"/>
              </w:rPr>
              <w:t>】</w:t>
            </w:r>
          </w:p>
        </w:tc>
        <w:tc>
          <w:tcPr>
            <w:tcW w:w="810" w:type="dxa"/>
            <w:shd w:val="clear" w:color="auto" w:fill="auto"/>
            <w:vAlign w:val="center"/>
          </w:tcPr>
          <w:p w14:paraId="6F13E1CD">
            <w:pPr>
              <w:keepNext w:val="0"/>
              <w:keepLines w:val="0"/>
              <w:pageBreakBefore w:val="0"/>
              <w:kinsoku/>
              <w:wordWrap/>
              <w:overflowPunct/>
              <w:topLinePunct/>
              <w:autoSpaceDE/>
              <w:autoSpaceDN/>
              <w:bidi w:val="0"/>
              <w:adjustRightInd w:val="0"/>
              <w:snapToGrid/>
              <w:spacing w:line="440" w:lineRule="exact"/>
              <w:jc w:val="center"/>
              <w:textAlignment w:val="auto"/>
              <w:rPr>
                <w:rFonts w:hint="eastAsia" w:ascii="宋体" w:hAnsi="宋体" w:eastAsia="宋体" w:cs="宋体"/>
                <w:snapToGrid w:val="0"/>
                <w:kern w:val="2"/>
                <w:sz w:val="24"/>
                <w:szCs w:val="24"/>
                <w:lang w:val="en-US" w:eastAsia="zh-CN" w:bidi="ar-SA"/>
              </w:rPr>
            </w:pPr>
            <w:r>
              <w:rPr>
                <w:rFonts w:hint="eastAsia" w:ascii="宋体" w:hAnsi="宋体" w:eastAsia="宋体" w:cs="宋体"/>
                <w:bCs/>
                <w:sz w:val="24"/>
                <w:szCs w:val="24"/>
                <w:lang w:val="en-US" w:eastAsia="zh-CN"/>
              </w:rPr>
              <w:t>1</w:t>
            </w:r>
          </w:p>
        </w:tc>
        <w:tc>
          <w:tcPr>
            <w:tcW w:w="1050" w:type="dxa"/>
            <w:vAlign w:val="center"/>
          </w:tcPr>
          <w:p w14:paraId="3574C94B">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1095" w:type="dxa"/>
            <w:vAlign w:val="center"/>
          </w:tcPr>
          <w:p w14:paraId="53F5A3B4">
            <w:pPr>
              <w:keepNext w:val="0"/>
              <w:keepLines w:val="0"/>
              <w:pageBreakBefore w:val="0"/>
              <w:kinsoku/>
              <w:wordWrap/>
              <w:overflowPunct/>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sz w:val="24"/>
                <w:szCs w:val="16"/>
                <w:lang w:val="en-US" w:eastAsia="zh-CN"/>
              </w:rPr>
              <w:t>业绩</w:t>
            </w:r>
          </w:p>
        </w:tc>
      </w:tr>
      <w:tr w14:paraId="2AC1C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14:paraId="2CF03CCF">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6974" w:type="dxa"/>
            <w:shd w:val="clear" w:color="auto" w:fill="auto"/>
            <w:vAlign w:val="center"/>
          </w:tcPr>
          <w:p w14:paraId="79B1BA43">
            <w:pPr>
              <w:pStyle w:val="2"/>
              <w:keepNext w:val="0"/>
              <w:keepLines w:val="0"/>
              <w:pageBreakBefore w:val="0"/>
              <w:widowControl w:val="0"/>
              <w:kinsoku/>
              <w:wordWrap/>
              <w:overflowPunct/>
              <w:bidi w:val="0"/>
              <w:adjustRightInd w:val="0"/>
              <w:spacing w:line="440" w:lineRule="exact"/>
              <w:ind w:left="0" w:leftChars="0" w:firstLine="0" w:firstLine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投标人具有注册估价师</w:t>
            </w:r>
          </w:p>
          <w:p w14:paraId="73720B04">
            <w:pPr>
              <w:pStyle w:val="2"/>
              <w:keepNext w:val="0"/>
              <w:keepLines w:val="0"/>
              <w:pageBreakBefore w:val="0"/>
              <w:widowControl w:val="0"/>
              <w:kinsoku/>
              <w:wordWrap/>
              <w:overflowPunct/>
              <w:bidi w:val="0"/>
              <w:adjustRightInd w:val="0"/>
              <w:spacing w:line="440" w:lineRule="exact"/>
              <w:ind w:left="0" w:leftChars="0" w:firstLine="0" w:firstLine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0-6</w:t>
            </w:r>
            <w:r>
              <w:rPr>
                <w:rFonts w:hint="eastAsia" w:ascii="宋体" w:hAnsi="宋体" w:eastAsia="宋体" w:cs="宋体"/>
                <w:sz w:val="24"/>
              </w:rPr>
              <w:t>名</w:t>
            </w:r>
            <w:r>
              <w:rPr>
                <w:rFonts w:hint="eastAsia" w:ascii="宋体" w:hAnsi="宋体" w:eastAsia="宋体" w:cs="宋体"/>
                <w:sz w:val="24"/>
                <w:lang w:val="en-US" w:eastAsia="zh-CN"/>
              </w:rPr>
              <w:t>（含）的得4分，</w:t>
            </w:r>
          </w:p>
          <w:p w14:paraId="1151EAE9">
            <w:pPr>
              <w:pStyle w:val="2"/>
              <w:keepNext w:val="0"/>
              <w:keepLines w:val="0"/>
              <w:pageBreakBefore w:val="0"/>
              <w:widowControl w:val="0"/>
              <w:kinsoku/>
              <w:wordWrap/>
              <w:overflowPunct/>
              <w:bidi w:val="0"/>
              <w:adjustRightInd w:val="0"/>
              <w:spacing w:line="440" w:lineRule="exact"/>
              <w:ind w:left="0" w:leftChars="0" w:firstLine="0" w:firstLine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7-10</w:t>
            </w:r>
            <w:r>
              <w:rPr>
                <w:rFonts w:hint="eastAsia" w:ascii="宋体" w:hAnsi="宋体" w:eastAsia="宋体" w:cs="宋体"/>
                <w:sz w:val="24"/>
              </w:rPr>
              <w:t>名</w:t>
            </w:r>
            <w:r>
              <w:rPr>
                <w:rFonts w:hint="eastAsia" w:ascii="宋体" w:hAnsi="宋体" w:eastAsia="宋体" w:cs="宋体"/>
                <w:sz w:val="24"/>
                <w:lang w:val="en-US" w:eastAsia="zh-CN"/>
              </w:rPr>
              <w:t>（含）得6分，</w:t>
            </w:r>
          </w:p>
          <w:p w14:paraId="369B50E7">
            <w:pPr>
              <w:pStyle w:val="2"/>
              <w:keepNext w:val="0"/>
              <w:keepLines w:val="0"/>
              <w:pageBreakBefore w:val="0"/>
              <w:widowControl w:val="0"/>
              <w:kinsoku/>
              <w:wordWrap/>
              <w:overflowPunct/>
              <w:bidi w:val="0"/>
              <w:adjustRightInd w:val="0"/>
              <w:spacing w:line="440" w:lineRule="exact"/>
              <w:ind w:left="0" w:leftChars="0" w:firstLine="0" w:firstLine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11-15</w:t>
            </w:r>
            <w:r>
              <w:rPr>
                <w:rFonts w:hint="eastAsia" w:ascii="宋体" w:hAnsi="宋体" w:eastAsia="宋体" w:cs="宋体"/>
                <w:sz w:val="24"/>
              </w:rPr>
              <w:t>名</w:t>
            </w:r>
            <w:r>
              <w:rPr>
                <w:rFonts w:hint="eastAsia" w:ascii="宋体" w:hAnsi="宋体" w:eastAsia="宋体" w:cs="宋体"/>
                <w:sz w:val="24"/>
                <w:lang w:val="en-US" w:eastAsia="zh-CN"/>
              </w:rPr>
              <w:t>（含）的得8分；</w:t>
            </w:r>
          </w:p>
          <w:p w14:paraId="0EE4C17F">
            <w:pPr>
              <w:pStyle w:val="2"/>
              <w:keepNext w:val="0"/>
              <w:keepLines w:val="0"/>
              <w:pageBreakBefore w:val="0"/>
              <w:widowControl w:val="0"/>
              <w:kinsoku/>
              <w:wordWrap/>
              <w:overflowPunct/>
              <w:bidi w:val="0"/>
              <w:adjustRightInd w:val="0"/>
              <w:spacing w:line="440" w:lineRule="exact"/>
              <w:ind w:left="0" w:leftChars="0" w:firstLine="0" w:firstLineChars="0"/>
              <w:jc w:val="left"/>
              <w:textAlignment w:val="auto"/>
              <w:rPr>
                <w:rFonts w:hint="eastAsia" w:ascii="宋体" w:hAnsi="宋体" w:eastAsia="宋体" w:cs="宋体"/>
                <w:kern w:val="2"/>
                <w:sz w:val="24"/>
                <w:szCs w:val="16"/>
                <w:lang w:val="en-US" w:eastAsia="zh-CN" w:bidi="ar-SA"/>
              </w:rPr>
            </w:pPr>
            <w:r>
              <w:rPr>
                <w:rFonts w:hint="eastAsia" w:ascii="宋体" w:hAnsi="宋体" w:eastAsia="宋体" w:cs="宋体"/>
                <w:b/>
                <w:bCs/>
                <w:sz w:val="24"/>
                <w:lang w:val="en-US" w:eastAsia="zh-CN"/>
              </w:rPr>
              <w:t>注：人员提供证书扫描件或复印件，且须提供近3个月以上的已缴纳社保的证明材料，不提供不得分。</w:t>
            </w:r>
          </w:p>
        </w:tc>
        <w:tc>
          <w:tcPr>
            <w:tcW w:w="810" w:type="dxa"/>
            <w:shd w:val="clear" w:color="auto" w:fill="auto"/>
            <w:vAlign w:val="center"/>
          </w:tcPr>
          <w:p w14:paraId="30C44E9E">
            <w:pPr>
              <w:keepNext w:val="0"/>
              <w:keepLines w:val="0"/>
              <w:pageBreakBefore w:val="0"/>
              <w:widowControl/>
              <w:kinsoku/>
              <w:wordWrap/>
              <w:overflowPunct/>
              <w:bidi w:val="0"/>
              <w:adjustRightInd w:val="0"/>
              <w:spacing w:line="440" w:lineRule="exact"/>
              <w:jc w:val="center"/>
              <w:textAlignment w:val="auto"/>
              <w:rPr>
                <w:rFonts w:hint="eastAsia" w:ascii="宋体" w:hAnsi="宋体" w:eastAsia="宋体" w:cs="宋体"/>
                <w:bCs/>
                <w:kern w:val="2"/>
                <w:sz w:val="24"/>
                <w:szCs w:val="24"/>
                <w:lang w:val="en-US" w:eastAsia="zh-CN" w:bidi="ar-SA"/>
              </w:rPr>
            </w:pPr>
            <w:r>
              <w:rPr>
                <w:rFonts w:hint="eastAsia" w:ascii="宋体" w:hAnsi="宋体" w:eastAsia="宋体" w:cs="宋体"/>
                <w:kern w:val="3"/>
                <w:sz w:val="24"/>
                <w:szCs w:val="24"/>
                <w:vertAlign w:val="baseline"/>
                <w:lang w:val="en-US" w:eastAsia="zh-CN" w:bidi="ar-SA"/>
              </w:rPr>
              <w:t>8</w:t>
            </w:r>
          </w:p>
        </w:tc>
        <w:tc>
          <w:tcPr>
            <w:tcW w:w="1050" w:type="dxa"/>
            <w:vMerge w:val="restart"/>
            <w:shd w:val="clear" w:color="auto" w:fill="auto"/>
            <w:vAlign w:val="center"/>
          </w:tcPr>
          <w:p w14:paraId="607F54FA">
            <w:pPr>
              <w:keepNext w:val="0"/>
              <w:keepLines w:val="0"/>
              <w:pageBreakBefore w:val="0"/>
              <w:widowControl/>
              <w:kinsoku/>
              <w:wordWrap/>
              <w:overflowPunct/>
              <w:bidi w:val="0"/>
              <w:adjustRightInd w:val="0"/>
              <w:spacing w:line="440" w:lineRule="exact"/>
              <w:jc w:val="center"/>
              <w:textAlignment w:val="auto"/>
              <w:rPr>
                <w:rFonts w:hint="eastAsia" w:ascii="宋体" w:hAnsi="宋体" w:eastAsia="宋体" w:cs="宋体"/>
                <w:bCs/>
                <w:kern w:val="2"/>
                <w:sz w:val="24"/>
                <w:szCs w:val="24"/>
                <w:lang w:val="en-US" w:eastAsia="zh-CN" w:bidi="ar-SA"/>
              </w:rPr>
            </w:pPr>
            <w:r>
              <w:rPr>
                <w:rFonts w:hint="eastAsia" w:ascii="宋体" w:hAnsi="宋体" w:eastAsia="宋体" w:cs="宋体"/>
                <w:color w:val="000000"/>
                <w:sz w:val="24"/>
                <w:szCs w:val="24"/>
                <w:lang w:val="en-US" w:eastAsia="zh-CN"/>
              </w:rPr>
              <w:t>客观分</w:t>
            </w:r>
          </w:p>
        </w:tc>
        <w:tc>
          <w:tcPr>
            <w:tcW w:w="1095" w:type="dxa"/>
            <w:vMerge w:val="restart"/>
            <w:shd w:val="clear" w:color="auto" w:fill="auto"/>
            <w:vAlign w:val="center"/>
          </w:tcPr>
          <w:p w14:paraId="64C5378B">
            <w:pPr>
              <w:keepNext w:val="0"/>
              <w:keepLines w:val="0"/>
              <w:pageBreakBefore w:val="0"/>
              <w:kinsoku/>
              <w:wordWrap/>
              <w:overflowPunct/>
              <w:bidi w:val="0"/>
              <w:adjustRightInd w:val="0"/>
              <w:spacing w:line="440" w:lineRule="exact"/>
              <w:ind w:left="0" w:leftChars="0" w:firstLine="0" w:firstLineChars="0"/>
              <w:jc w:val="center"/>
              <w:textAlignment w:val="auto"/>
              <w:rPr>
                <w:rFonts w:hint="eastAsia" w:ascii="宋体" w:hAnsi="宋体" w:eastAsia="宋体" w:cs="宋体"/>
                <w:kern w:val="3"/>
                <w:sz w:val="24"/>
                <w:szCs w:val="24"/>
                <w:vertAlign w:val="baseline"/>
                <w:lang w:val="en-US" w:eastAsia="zh-CN" w:bidi="ar-SA"/>
              </w:rPr>
            </w:pPr>
          </w:p>
          <w:p w14:paraId="62C997AE">
            <w:pPr>
              <w:keepNext w:val="0"/>
              <w:keepLines w:val="0"/>
              <w:pageBreakBefore w:val="0"/>
              <w:kinsoku/>
              <w:wordWrap/>
              <w:overflowPunct/>
              <w:bidi w:val="0"/>
              <w:adjustRightInd w:val="0"/>
              <w:spacing w:line="440" w:lineRule="exact"/>
              <w:ind w:left="0" w:leftChars="0" w:firstLine="0" w:firstLineChars="0"/>
              <w:jc w:val="center"/>
              <w:textAlignment w:val="auto"/>
              <w:rPr>
                <w:rFonts w:hint="eastAsia" w:ascii="宋体" w:hAnsi="宋体" w:eastAsia="宋体" w:cs="宋体"/>
                <w:bCs/>
                <w:kern w:val="2"/>
                <w:sz w:val="24"/>
                <w:szCs w:val="16"/>
                <w:lang w:val="en-US" w:eastAsia="zh-CN" w:bidi="ar-SA"/>
              </w:rPr>
            </w:pPr>
            <w:r>
              <w:rPr>
                <w:rFonts w:hint="eastAsia" w:ascii="宋体" w:hAnsi="宋体" w:eastAsia="宋体" w:cs="宋体"/>
                <w:kern w:val="3"/>
                <w:sz w:val="24"/>
                <w:szCs w:val="24"/>
                <w:vertAlign w:val="baseline"/>
                <w:lang w:val="en-US" w:eastAsia="zh-CN" w:bidi="ar-SA"/>
              </w:rPr>
              <w:t>项目实施团队</w:t>
            </w:r>
          </w:p>
        </w:tc>
      </w:tr>
      <w:tr w14:paraId="69B1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14:paraId="02A77E92">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974" w:type="dxa"/>
            <w:shd w:val="clear" w:color="auto" w:fill="auto"/>
            <w:vAlign w:val="center"/>
          </w:tcPr>
          <w:p w14:paraId="0C5A8987">
            <w:pPr>
              <w:pStyle w:val="2"/>
              <w:keepNext w:val="0"/>
              <w:keepLines w:val="0"/>
              <w:pageBreakBefore w:val="0"/>
              <w:widowControl w:val="0"/>
              <w:kinsoku/>
              <w:wordWrap/>
              <w:overflowPunct/>
              <w:bidi w:val="0"/>
              <w:adjustRightInd w:val="0"/>
              <w:spacing w:line="440" w:lineRule="exact"/>
              <w:ind w:left="0" w:leftChars="0" w:firstLine="0" w:firstLine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投标人具有注册资产估价师1</w:t>
            </w:r>
            <w:r>
              <w:rPr>
                <w:rFonts w:hint="eastAsia" w:ascii="宋体" w:hAnsi="宋体" w:eastAsia="宋体" w:cs="宋体"/>
                <w:sz w:val="24"/>
              </w:rPr>
              <w:t>名</w:t>
            </w:r>
            <w:r>
              <w:rPr>
                <w:rFonts w:hint="eastAsia" w:ascii="宋体" w:hAnsi="宋体" w:eastAsia="宋体" w:cs="宋体"/>
                <w:sz w:val="24"/>
                <w:lang w:val="en-US" w:eastAsia="zh-CN"/>
              </w:rPr>
              <w:t>的得2分，</w:t>
            </w:r>
            <w:r>
              <w:rPr>
                <w:rFonts w:hint="eastAsia" w:ascii="宋体" w:hAnsi="宋体" w:eastAsia="宋体" w:cs="宋体"/>
                <w:sz w:val="24"/>
              </w:rPr>
              <w:t>每增加1名</w:t>
            </w:r>
            <w:r>
              <w:rPr>
                <w:rFonts w:hint="eastAsia" w:ascii="宋体" w:hAnsi="宋体" w:eastAsia="宋体" w:cs="宋体"/>
                <w:sz w:val="24"/>
                <w:lang w:val="en-US" w:eastAsia="zh-CN"/>
              </w:rPr>
              <w:t>得1.5分，最高得5分。</w:t>
            </w:r>
          </w:p>
          <w:p w14:paraId="54153929">
            <w:pPr>
              <w:pStyle w:val="2"/>
              <w:keepNext w:val="0"/>
              <w:keepLines w:val="0"/>
              <w:pageBreakBefore w:val="0"/>
              <w:widowControl w:val="0"/>
              <w:kinsoku/>
              <w:wordWrap/>
              <w:overflowPunct/>
              <w:bidi w:val="0"/>
              <w:adjustRightInd w:val="0"/>
              <w:spacing w:line="440" w:lineRule="exact"/>
              <w:ind w:left="0" w:leftChars="0" w:firstLine="0" w:firstLineChars="0"/>
              <w:jc w:val="left"/>
              <w:textAlignment w:val="auto"/>
              <w:rPr>
                <w:rFonts w:hint="eastAsia" w:ascii="宋体" w:hAnsi="宋体" w:eastAsia="宋体" w:cs="宋体"/>
                <w:kern w:val="2"/>
                <w:sz w:val="24"/>
                <w:szCs w:val="16"/>
                <w:lang w:val="en-US" w:eastAsia="zh-CN" w:bidi="ar-SA"/>
              </w:rPr>
            </w:pPr>
            <w:r>
              <w:rPr>
                <w:rFonts w:hint="eastAsia" w:ascii="宋体" w:hAnsi="宋体" w:eastAsia="宋体" w:cs="宋体"/>
                <w:b/>
                <w:bCs/>
                <w:sz w:val="24"/>
                <w:lang w:val="en-US" w:eastAsia="zh-CN"/>
              </w:rPr>
              <w:t>注：人员提供证书扫描件或复印件，且须提供近3个月以上的已缴纳社保的证明材料，不提供不得分。</w:t>
            </w:r>
          </w:p>
        </w:tc>
        <w:tc>
          <w:tcPr>
            <w:tcW w:w="810" w:type="dxa"/>
            <w:shd w:val="clear" w:color="auto" w:fill="auto"/>
            <w:vAlign w:val="center"/>
          </w:tcPr>
          <w:p w14:paraId="42812D49">
            <w:pPr>
              <w:keepNext w:val="0"/>
              <w:keepLines w:val="0"/>
              <w:pageBreakBefore w:val="0"/>
              <w:widowControl/>
              <w:kinsoku/>
              <w:wordWrap/>
              <w:overflowPunct/>
              <w:bidi w:val="0"/>
              <w:adjustRightInd w:val="0"/>
              <w:spacing w:line="440" w:lineRule="exact"/>
              <w:jc w:val="center"/>
              <w:textAlignment w:val="auto"/>
              <w:rPr>
                <w:rFonts w:hint="eastAsia" w:ascii="宋体" w:hAnsi="宋体" w:eastAsia="宋体" w:cs="宋体"/>
                <w:bCs/>
                <w:kern w:val="2"/>
                <w:sz w:val="24"/>
                <w:szCs w:val="24"/>
                <w:lang w:val="en-US" w:eastAsia="zh-CN" w:bidi="ar-SA"/>
              </w:rPr>
            </w:pPr>
            <w:r>
              <w:rPr>
                <w:rFonts w:hint="eastAsia" w:ascii="宋体" w:hAnsi="宋体" w:eastAsia="宋体" w:cs="宋体"/>
                <w:kern w:val="3"/>
                <w:sz w:val="24"/>
                <w:szCs w:val="24"/>
                <w:vertAlign w:val="baseline"/>
                <w:lang w:val="en-US" w:eastAsia="zh-CN" w:bidi="ar-SA"/>
              </w:rPr>
              <w:t>5</w:t>
            </w:r>
          </w:p>
        </w:tc>
        <w:tc>
          <w:tcPr>
            <w:tcW w:w="1050" w:type="dxa"/>
            <w:vMerge w:val="continue"/>
            <w:shd w:val="clear" w:color="auto" w:fill="auto"/>
            <w:vAlign w:val="center"/>
          </w:tcPr>
          <w:p w14:paraId="0A3E18C4">
            <w:pPr>
              <w:keepNext w:val="0"/>
              <w:keepLines w:val="0"/>
              <w:pageBreakBefore w:val="0"/>
              <w:widowControl/>
              <w:kinsoku/>
              <w:wordWrap/>
              <w:overflowPunct/>
              <w:bidi w:val="0"/>
              <w:adjustRightInd w:val="0"/>
              <w:spacing w:line="440" w:lineRule="exact"/>
              <w:jc w:val="center"/>
              <w:textAlignment w:val="auto"/>
              <w:rPr>
                <w:rFonts w:hint="eastAsia" w:ascii="宋体" w:hAnsi="宋体" w:eastAsia="宋体" w:cs="宋体"/>
                <w:bCs/>
                <w:kern w:val="2"/>
                <w:sz w:val="24"/>
                <w:szCs w:val="24"/>
                <w:lang w:val="en-US" w:eastAsia="zh-CN" w:bidi="ar-SA"/>
              </w:rPr>
            </w:pPr>
          </w:p>
        </w:tc>
        <w:tc>
          <w:tcPr>
            <w:tcW w:w="1095" w:type="dxa"/>
            <w:vMerge w:val="continue"/>
            <w:shd w:val="clear" w:color="auto" w:fill="auto"/>
            <w:vAlign w:val="center"/>
          </w:tcPr>
          <w:p w14:paraId="1EC74F9A">
            <w:pPr>
              <w:keepNext w:val="0"/>
              <w:keepLines w:val="0"/>
              <w:pageBreakBefore w:val="0"/>
              <w:kinsoku/>
              <w:wordWrap/>
              <w:overflowPunct/>
              <w:bidi w:val="0"/>
              <w:adjustRightInd w:val="0"/>
              <w:spacing w:line="440" w:lineRule="exact"/>
              <w:ind w:left="0" w:leftChars="0" w:firstLine="0" w:firstLineChars="0"/>
              <w:jc w:val="center"/>
              <w:textAlignment w:val="auto"/>
              <w:rPr>
                <w:rFonts w:hint="eastAsia" w:ascii="宋体" w:hAnsi="宋体" w:eastAsia="宋体" w:cs="宋体"/>
                <w:bCs/>
                <w:kern w:val="2"/>
                <w:sz w:val="24"/>
                <w:szCs w:val="16"/>
                <w:lang w:val="en-US" w:eastAsia="zh-CN" w:bidi="ar-SA"/>
              </w:rPr>
            </w:pPr>
          </w:p>
        </w:tc>
      </w:tr>
      <w:tr w14:paraId="5D34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14:paraId="6CECBE50">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6974" w:type="dxa"/>
            <w:shd w:val="clear" w:color="auto" w:fill="auto"/>
            <w:vAlign w:val="center"/>
          </w:tcPr>
          <w:p w14:paraId="476A1752">
            <w:pPr>
              <w:pStyle w:val="2"/>
              <w:keepNext w:val="0"/>
              <w:keepLines w:val="0"/>
              <w:pageBreakBefore w:val="0"/>
              <w:widowControl w:val="0"/>
              <w:kinsoku/>
              <w:wordWrap/>
              <w:overflowPunct/>
              <w:bidi w:val="0"/>
              <w:adjustRightInd w:val="0"/>
              <w:spacing w:line="440" w:lineRule="exact"/>
              <w:ind w:left="0" w:leftChars="0" w:firstLine="0" w:firstLine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投标人具有估价员</w:t>
            </w:r>
          </w:p>
          <w:p w14:paraId="0F18AFE3">
            <w:pPr>
              <w:pStyle w:val="2"/>
              <w:keepNext w:val="0"/>
              <w:keepLines w:val="0"/>
              <w:pageBreakBefore w:val="0"/>
              <w:widowControl w:val="0"/>
              <w:kinsoku/>
              <w:wordWrap/>
              <w:overflowPunct/>
              <w:bidi w:val="0"/>
              <w:adjustRightInd w:val="0"/>
              <w:spacing w:line="440" w:lineRule="exact"/>
              <w:ind w:left="0" w:leftChars="0" w:firstLine="0" w:firstLine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0-4</w:t>
            </w:r>
            <w:r>
              <w:rPr>
                <w:rFonts w:hint="eastAsia" w:ascii="宋体" w:hAnsi="宋体" w:eastAsia="宋体" w:cs="宋体"/>
                <w:sz w:val="24"/>
              </w:rPr>
              <w:t>名</w:t>
            </w:r>
            <w:r>
              <w:rPr>
                <w:rFonts w:hint="eastAsia" w:ascii="宋体" w:hAnsi="宋体" w:eastAsia="宋体" w:cs="宋体"/>
                <w:sz w:val="24"/>
                <w:lang w:val="en-US" w:eastAsia="zh-CN"/>
              </w:rPr>
              <w:t>（含）的得3分，</w:t>
            </w:r>
          </w:p>
          <w:p w14:paraId="223D331A">
            <w:pPr>
              <w:pStyle w:val="2"/>
              <w:keepNext w:val="0"/>
              <w:keepLines w:val="0"/>
              <w:pageBreakBefore w:val="0"/>
              <w:widowControl w:val="0"/>
              <w:kinsoku/>
              <w:wordWrap/>
              <w:overflowPunct/>
              <w:bidi w:val="0"/>
              <w:adjustRightInd w:val="0"/>
              <w:spacing w:line="440" w:lineRule="exact"/>
              <w:ind w:left="0" w:leftChars="0" w:firstLine="0" w:firstLine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5-8</w:t>
            </w:r>
            <w:r>
              <w:rPr>
                <w:rFonts w:hint="eastAsia" w:ascii="宋体" w:hAnsi="宋体" w:eastAsia="宋体" w:cs="宋体"/>
                <w:sz w:val="24"/>
              </w:rPr>
              <w:t>名</w:t>
            </w:r>
            <w:r>
              <w:rPr>
                <w:rFonts w:hint="eastAsia" w:ascii="宋体" w:hAnsi="宋体" w:eastAsia="宋体" w:cs="宋体"/>
                <w:sz w:val="24"/>
                <w:lang w:val="en-US" w:eastAsia="zh-CN"/>
              </w:rPr>
              <w:t>（含）得5分，</w:t>
            </w:r>
          </w:p>
          <w:p w14:paraId="6DE3ECE5">
            <w:pPr>
              <w:pStyle w:val="2"/>
              <w:keepNext w:val="0"/>
              <w:keepLines w:val="0"/>
              <w:pageBreakBefore w:val="0"/>
              <w:widowControl w:val="0"/>
              <w:kinsoku/>
              <w:wordWrap/>
              <w:overflowPunct/>
              <w:bidi w:val="0"/>
              <w:adjustRightInd w:val="0"/>
              <w:spacing w:line="440" w:lineRule="exact"/>
              <w:ind w:left="0" w:leftChars="0" w:firstLine="0" w:firstLine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9-12</w:t>
            </w:r>
            <w:r>
              <w:rPr>
                <w:rFonts w:hint="eastAsia" w:ascii="宋体" w:hAnsi="宋体" w:eastAsia="宋体" w:cs="宋体"/>
                <w:sz w:val="24"/>
              </w:rPr>
              <w:t>名</w:t>
            </w:r>
            <w:r>
              <w:rPr>
                <w:rFonts w:hint="eastAsia" w:ascii="宋体" w:hAnsi="宋体" w:eastAsia="宋体" w:cs="宋体"/>
                <w:sz w:val="24"/>
                <w:lang w:val="en-US" w:eastAsia="zh-CN"/>
              </w:rPr>
              <w:t>（含）的得7分；</w:t>
            </w:r>
          </w:p>
          <w:p w14:paraId="6A424682">
            <w:pPr>
              <w:pStyle w:val="2"/>
              <w:keepNext w:val="0"/>
              <w:keepLines w:val="0"/>
              <w:pageBreakBefore w:val="0"/>
              <w:widowControl w:val="0"/>
              <w:kinsoku/>
              <w:wordWrap/>
              <w:overflowPunct/>
              <w:bidi w:val="0"/>
              <w:adjustRightInd w:val="0"/>
              <w:spacing w:line="440" w:lineRule="exact"/>
              <w:ind w:left="0" w:leftChars="0" w:firstLine="0" w:firstLineChars="0"/>
              <w:jc w:val="left"/>
              <w:textAlignment w:val="auto"/>
              <w:rPr>
                <w:rFonts w:hint="eastAsia" w:ascii="宋体" w:hAnsi="宋体" w:eastAsia="宋体" w:cs="宋体"/>
                <w:sz w:val="24"/>
                <w:szCs w:val="16"/>
                <w:lang w:val="en-US" w:eastAsia="zh-CN"/>
              </w:rPr>
            </w:pPr>
            <w:r>
              <w:rPr>
                <w:rFonts w:hint="eastAsia" w:ascii="宋体" w:hAnsi="宋体" w:eastAsia="宋体" w:cs="宋体"/>
                <w:b/>
                <w:bCs/>
                <w:sz w:val="24"/>
                <w:lang w:val="en-US" w:eastAsia="zh-CN"/>
              </w:rPr>
              <w:t>注：人员提供证书扫描件或复印件，且须提供近3个月以上的已缴纳社保的证明材料，不提供不得分。</w:t>
            </w:r>
          </w:p>
        </w:tc>
        <w:tc>
          <w:tcPr>
            <w:tcW w:w="810" w:type="dxa"/>
            <w:shd w:val="clear" w:color="auto" w:fill="auto"/>
            <w:vAlign w:val="center"/>
          </w:tcPr>
          <w:p w14:paraId="5DE0D3B7">
            <w:pPr>
              <w:keepNext w:val="0"/>
              <w:keepLines w:val="0"/>
              <w:pageBreakBefore w:val="0"/>
              <w:widowControl/>
              <w:kinsoku/>
              <w:wordWrap/>
              <w:overflowPunct/>
              <w:bidi w:val="0"/>
              <w:adjustRightInd w:val="0"/>
              <w:spacing w:line="440" w:lineRule="exact"/>
              <w:jc w:val="center"/>
              <w:textAlignment w:val="auto"/>
              <w:rPr>
                <w:rFonts w:hint="eastAsia" w:ascii="宋体" w:hAnsi="宋体" w:eastAsia="宋体" w:cs="宋体"/>
                <w:snapToGrid w:val="0"/>
                <w:kern w:val="2"/>
                <w:sz w:val="24"/>
                <w:szCs w:val="24"/>
                <w:lang w:val="en-US" w:eastAsia="zh-CN" w:bidi="ar-SA"/>
              </w:rPr>
            </w:pPr>
            <w:r>
              <w:rPr>
                <w:rFonts w:hint="eastAsia" w:ascii="宋体" w:hAnsi="宋体" w:eastAsia="宋体" w:cs="宋体"/>
                <w:kern w:val="3"/>
                <w:sz w:val="24"/>
                <w:szCs w:val="24"/>
                <w:vertAlign w:val="baseline"/>
                <w:lang w:val="en-US" w:eastAsia="zh-CN" w:bidi="ar-SA"/>
              </w:rPr>
              <w:t>7</w:t>
            </w:r>
          </w:p>
        </w:tc>
        <w:tc>
          <w:tcPr>
            <w:tcW w:w="1050" w:type="dxa"/>
            <w:vMerge w:val="continue"/>
            <w:vAlign w:val="center"/>
          </w:tcPr>
          <w:p w14:paraId="5FFB9F58">
            <w:pPr>
              <w:keepNext w:val="0"/>
              <w:keepLines w:val="0"/>
              <w:pageBreakBefore w:val="0"/>
              <w:widowControl/>
              <w:kinsoku/>
              <w:wordWrap/>
              <w:overflowPunct/>
              <w:bidi w:val="0"/>
              <w:adjustRightInd w:val="0"/>
              <w:spacing w:line="440" w:lineRule="exact"/>
              <w:jc w:val="center"/>
              <w:textAlignment w:val="auto"/>
              <w:rPr>
                <w:rFonts w:hint="eastAsia" w:ascii="宋体" w:hAnsi="宋体" w:eastAsia="宋体" w:cs="宋体"/>
                <w:color w:val="auto"/>
                <w:sz w:val="24"/>
                <w:szCs w:val="24"/>
                <w:highlight w:val="none"/>
              </w:rPr>
            </w:pPr>
          </w:p>
        </w:tc>
        <w:tc>
          <w:tcPr>
            <w:tcW w:w="1095" w:type="dxa"/>
            <w:vMerge w:val="continue"/>
            <w:vAlign w:val="center"/>
          </w:tcPr>
          <w:p w14:paraId="35E86150">
            <w:pPr>
              <w:keepNext w:val="0"/>
              <w:keepLines w:val="0"/>
              <w:pageBreakBefore w:val="0"/>
              <w:kinsoku/>
              <w:wordWrap/>
              <w:overflowPunct/>
              <w:bidi w:val="0"/>
              <w:adjustRightInd w:val="0"/>
              <w:spacing w:line="440" w:lineRule="exact"/>
              <w:ind w:left="0" w:leftChars="0" w:firstLine="0" w:firstLineChars="0"/>
              <w:jc w:val="center"/>
              <w:textAlignment w:val="auto"/>
              <w:rPr>
                <w:rFonts w:hint="eastAsia" w:ascii="宋体" w:hAnsi="宋体" w:eastAsia="宋体" w:cs="宋体"/>
                <w:bCs/>
                <w:color w:val="auto"/>
                <w:sz w:val="24"/>
                <w:szCs w:val="24"/>
                <w:highlight w:val="none"/>
                <w:lang w:eastAsia="zh-CN"/>
              </w:rPr>
            </w:pPr>
          </w:p>
        </w:tc>
      </w:tr>
      <w:tr w14:paraId="0EC7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14:paraId="4DB42AB8">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6974" w:type="dxa"/>
            <w:vAlign w:val="center"/>
          </w:tcPr>
          <w:p w14:paraId="1D545440">
            <w:pPr>
              <w:keepNext w:val="0"/>
              <w:keepLines w:val="0"/>
              <w:pageBreakBefore w:val="0"/>
              <w:kinsoku/>
              <w:wordWrap/>
              <w:overflowPunct/>
              <w:bidi w:val="0"/>
              <w:adjustRightInd w:val="0"/>
              <w:spacing w:line="440" w:lineRule="exact"/>
              <w:jc w:val="left"/>
              <w:textAlignment w:val="auto"/>
              <w:outlineLvl w:val="0"/>
              <w:rPr>
                <w:rFonts w:hint="eastAsia" w:ascii="宋体" w:hAnsi="宋体" w:eastAsia="宋体" w:cs="宋体"/>
                <w:sz w:val="24"/>
              </w:rPr>
            </w:pPr>
            <w:r>
              <w:rPr>
                <w:rFonts w:hint="eastAsia" w:ascii="宋体" w:hAnsi="宋体" w:eastAsia="宋体" w:cs="宋体"/>
                <w:sz w:val="24"/>
              </w:rPr>
              <w:t>根据各投标供应商对本项目征迁范围内现状了解及掌握程度，根据所述内容的情况进行打分。</w:t>
            </w:r>
          </w:p>
          <w:p w14:paraId="10C9E99C">
            <w:pPr>
              <w:keepNext w:val="0"/>
              <w:keepLines w:val="0"/>
              <w:pageBreakBefore w:val="0"/>
              <w:kinsoku/>
              <w:wordWrap/>
              <w:overflowPunct/>
              <w:bidi w:val="0"/>
              <w:adjustRightInd w:val="0"/>
              <w:spacing w:line="440" w:lineRule="exact"/>
              <w:jc w:val="left"/>
              <w:textAlignment w:val="auto"/>
              <w:outlineLvl w:val="0"/>
              <w:rPr>
                <w:rFonts w:hint="eastAsia" w:ascii="宋体" w:hAnsi="宋体" w:eastAsia="宋体" w:cs="宋体"/>
                <w:sz w:val="24"/>
                <w:szCs w:val="16"/>
                <w:lang w:eastAsia="zh-CN"/>
              </w:rPr>
            </w:pPr>
            <w:r>
              <w:rPr>
                <w:rFonts w:hint="eastAsia" w:ascii="宋体" w:hAnsi="宋体" w:eastAsia="宋体" w:cs="宋体"/>
                <w:b w:val="0"/>
                <w:bCs w:val="0"/>
                <w:kern w:val="0"/>
                <w:sz w:val="24"/>
                <w:szCs w:val="24"/>
              </w:rPr>
              <w:t>分析合理、内容齐全、结构完整、表述准确得</w:t>
            </w:r>
            <w:r>
              <w:rPr>
                <w:rFonts w:hint="eastAsia" w:ascii="宋体" w:hAnsi="宋体" w:cs="宋体"/>
                <w:b w:val="0"/>
                <w:bCs w:val="0"/>
                <w:kern w:val="0"/>
                <w:sz w:val="24"/>
                <w:szCs w:val="24"/>
                <w:lang w:val="en-US" w:eastAsia="zh-CN"/>
              </w:rPr>
              <w:t>5</w:t>
            </w:r>
            <w:r>
              <w:rPr>
                <w:rFonts w:hint="eastAsia" w:ascii="宋体" w:hAnsi="宋体" w:eastAsia="宋体" w:cs="宋体"/>
                <w:b w:val="0"/>
                <w:bCs w:val="0"/>
                <w:kern w:val="0"/>
                <w:sz w:val="24"/>
                <w:szCs w:val="24"/>
                <w:lang w:val="en-US" w:eastAsia="zh-CN"/>
              </w:rPr>
              <w:t>-</w:t>
            </w:r>
            <w:r>
              <w:rPr>
                <w:rFonts w:hint="eastAsia" w:ascii="宋体" w:hAnsi="宋体" w:cs="宋体"/>
                <w:b w:val="0"/>
                <w:bCs w:val="0"/>
                <w:kern w:val="0"/>
                <w:sz w:val="24"/>
                <w:szCs w:val="24"/>
                <w:lang w:val="en-US" w:eastAsia="zh-CN"/>
              </w:rPr>
              <w:t>6</w:t>
            </w:r>
            <w:r>
              <w:rPr>
                <w:rFonts w:hint="eastAsia" w:ascii="宋体" w:hAnsi="宋体" w:eastAsia="宋体" w:cs="宋体"/>
                <w:b w:val="0"/>
                <w:bCs w:val="0"/>
                <w:kern w:val="0"/>
                <w:sz w:val="24"/>
                <w:szCs w:val="24"/>
              </w:rPr>
              <w:t>分，分析存在 缺漏项</w:t>
            </w:r>
            <w:r>
              <w:rPr>
                <w:rFonts w:hint="eastAsia" w:ascii="宋体" w:hAnsi="宋体" w:eastAsia="宋体" w:cs="宋体"/>
                <w:b w:val="0"/>
                <w:bCs w:val="0"/>
                <w:kern w:val="0"/>
                <w:sz w:val="24"/>
                <w:szCs w:val="24"/>
                <w:lang w:eastAsia="zh-CN"/>
              </w:rPr>
              <w:t>的</w:t>
            </w:r>
            <w:r>
              <w:rPr>
                <w:rFonts w:hint="eastAsia" w:ascii="宋体" w:hAnsi="宋体" w:cs="宋体"/>
                <w:b w:val="0"/>
                <w:bCs w:val="0"/>
                <w:kern w:val="0"/>
                <w:sz w:val="24"/>
                <w:szCs w:val="24"/>
                <w:lang w:eastAsia="zh-CN"/>
              </w:rPr>
              <w:t>得</w:t>
            </w:r>
            <w:r>
              <w:rPr>
                <w:rFonts w:hint="eastAsia" w:ascii="宋体" w:hAnsi="宋体" w:eastAsia="宋体" w:cs="宋体"/>
                <w:b w:val="0"/>
                <w:bCs w:val="0"/>
                <w:kern w:val="0"/>
                <w:sz w:val="24"/>
                <w:szCs w:val="24"/>
                <w:lang w:val="en-US" w:eastAsia="zh-CN"/>
              </w:rPr>
              <w:t>2-</w:t>
            </w:r>
            <w:r>
              <w:rPr>
                <w:rFonts w:hint="eastAsia" w:ascii="宋体" w:hAnsi="宋体" w:cs="宋体"/>
                <w:b w:val="0"/>
                <w:bCs w:val="0"/>
                <w:kern w:val="0"/>
                <w:sz w:val="24"/>
                <w:szCs w:val="24"/>
                <w:lang w:val="en-US" w:eastAsia="zh-CN"/>
              </w:rPr>
              <w:t>4</w:t>
            </w:r>
            <w:r>
              <w:rPr>
                <w:rFonts w:hint="eastAsia" w:ascii="宋体" w:hAnsi="宋体" w:eastAsia="宋体" w:cs="宋体"/>
                <w:b w:val="0"/>
                <w:bCs w:val="0"/>
                <w:kern w:val="0"/>
                <w:sz w:val="24"/>
                <w:szCs w:val="24"/>
                <w:lang w:val="en-US" w:eastAsia="zh-CN"/>
              </w:rPr>
              <w:t>.9分，内容不足或者不符合的得0-1.9分。</w:t>
            </w:r>
          </w:p>
        </w:tc>
        <w:tc>
          <w:tcPr>
            <w:tcW w:w="810" w:type="dxa"/>
            <w:vAlign w:val="center"/>
          </w:tcPr>
          <w:p w14:paraId="5F0F080A">
            <w:pPr>
              <w:keepNext w:val="0"/>
              <w:keepLines w:val="0"/>
              <w:pageBreakBefore w:val="0"/>
              <w:widowControl/>
              <w:kinsoku/>
              <w:wordWrap/>
              <w:overflowPunct/>
              <w:bidi w:val="0"/>
              <w:adjustRightInd w:val="0"/>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kern w:val="3"/>
                <w:sz w:val="24"/>
                <w:szCs w:val="24"/>
                <w:vertAlign w:val="baseline"/>
                <w:lang w:val="en-US" w:eastAsia="zh-CN" w:bidi="ar-SA"/>
              </w:rPr>
              <w:t>6</w:t>
            </w:r>
          </w:p>
        </w:tc>
        <w:tc>
          <w:tcPr>
            <w:tcW w:w="1050" w:type="dxa"/>
            <w:vMerge w:val="restart"/>
            <w:vAlign w:val="center"/>
          </w:tcPr>
          <w:p w14:paraId="4B254068">
            <w:pPr>
              <w:keepNext w:val="0"/>
              <w:keepLines w:val="0"/>
              <w:pageBreakBefore w:val="0"/>
              <w:widowControl/>
              <w:kinsoku/>
              <w:wordWrap/>
              <w:overflowPunct/>
              <w:bidi w:val="0"/>
              <w:adjustRightInd w:val="0"/>
              <w:spacing w:line="440" w:lineRule="exact"/>
              <w:jc w:val="center"/>
              <w:textAlignment w:val="auto"/>
              <w:rPr>
                <w:rFonts w:hint="eastAsia" w:ascii="宋体" w:hAnsi="宋体" w:eastAsia="宋体" w:cs="宋体"/>
                <w:bCs/>
                <w:color w:val="auto"/>
                <w:sz w:val="24"/>
                <w:highlight w:val="none"/>
              </w:rPr>
            </w:pPr>
          </w:p>
          <w:p w14:paraId="3448341E">
            <w:pPr>
              <w:keepNext w:val="0"/>
              <w:keepLines w:val="0"/>
              <w:pageBreakBefore w:val="0"/>
              <w:widowControl/>
              <w:kinsoku/>
              <w:wordWrap/>
              <w:overflowPunct/>
              <w:bidi w:val="0"/>
              <w:adjustRightInd w:val="0"/>
              <w:spacing w:line="440" w:lineRule="exact"/>
              <w:jc w:val="center"/>
              <w:textAlignment w:val="auto"/>
              <w:rPr>
                <w:rFonts w:hint="eastAsia" w:ascii="宋体" w:hAnsi="宋体" w:eastAsia="宋体" w:cs="宋体"/>
                <w:bCs/>
                <w:color w:val="auto"/>
                <w:sz w:val="24"/>
                <w:highlight w:val="none"/>
              </w:rPr>
            </w:pPr>
          </w:p>
          <w:p w14:paraId="1AD803DF">
            <w:pPr>
              <w:keepNext w:val="0"/>
              <w:keepLines w:val="0"/>
              <w:pageBreakBefore w:val="0"/>
              <w:widowControl/>
              <w:kinsoku/>
              <w:wordWrap/>
              <w:overflowPunct/>
              <w:bidi w:val="0"/>
              <w:adjustRightInd w:val="0"/>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highlight w:val="none"/>
              </w:rPr>
              <w:t>主观分</w:t>
            </w:r>
          </w:p>
        </w:tc>
        <w:tc>
          <w:tcPr>
            <w:tcW w:w="1095" w:type="dxa"/>
            <w:vMerge w:val="restart"/>
            <w:vAlign w:val="center"/>
          </w:tcPr>
          <w:p w14:paraId="186E7E51">
            <w:pPr>
              <w:keepNext w:val="0"/>
              <w:keepLines w:val="0"/>
              <w:pageBreakBefore w:val="0"/>
              <w:kinsoku/>
              <w:wordWrap/>
              <w:overflowPunct/>
              <w:bidi w:val="0"/>
              <w:adjustRightInd w:val="0"/>
              <w:spacing w:line="440" w:lineRule="exact"/>
              <w:ind w:left="0" w:leftChars="0" w:firstLine="0" w:firstLineChars="0"/>
              <w:jc w:val="center"/>
              <w:textAlignment w:val="auto"/>
              <w:rPr>
                <w:rFonts w:hint="eastAsia" w:ascii="宋体" w:hAnsi="宋体" w:eastAsia="宋体" w:cs="宋体"/>
                <w:sz w:val="24"/>
              </w:rPr>
            </w:pPr>
          </w:p>
          <w:p w14:paraId="67DE4111">
            <w:pPr>
              <w:keepNext w:val="0"/>
              <w:keepLines w:val="0"/>
              <w:pageBreakBefore w:val="0"/>
              <w:kinsoku/>
              <w:wordWrap/>
              <w:overflowPunct/>
              <w:bidi w:val="0"/>
              <w:adjustRightInd w:val="0"/>
              <w:spacing w:line="440" w:lineRule="exact"/>
              <w:ind w:left="0" w:leftChars="0" w:firstLine="0" w:firstLineChars="0"/>
              <w:jc w:val="center"/>
              <w:textAlignment w:val="auto"/>
              <w:rPr>
                <w:rFonts w:hint="eastAsia" w:ascii="宋体" w:hAnsi="宋体" w:eastAsia="宋体" w:cs="宋体"/>
                <w:sz w:val="24"/>
              </w:rPr>
            </w:pPr>
          </w:p>
          <w:p w14:paraId="75C44175">
            <w:pPr>
              <w:keepNext w:val="0"/>
              <w:keepLines w:val="0"/>
              <w:pageBreakBefore w:val="0"/>
              <w:kinsoku/>
              <w:wordWrap/>
              <w:overflowPunct/>
              <w:bidi w:val="0"/>
              <w:adjustRightInd w:val="0"/>
              <w:spacing w:line="440" w:lineRule="exact"/>
              <w:ind w:left="0" w:leftChars="0" w:firstLine="0" w:firstLineChars="0"/>
              <w:jc w:val="center"/>
              <w:textAlignment w:val="auto"/>
              <w:rPr>
                <w:rFonts w:hint="eastAsia" w:ascii="宋体" w:hAnsi="宋体" w:eastAsia="宋体" w:cs="宋体"/>
                <w:sz w:val="24"/>
              </w:rPr>
            </w:pPr>
          </w:p>
          <w:p w14:paraId="61C82933">
            <w:pPr>
              <w:keepNext w:val="0"/>
              <w:keepLines w:val="0"/>
              <w:pageBreakBefore w:val="0"/>
              <w:kinsoku/>
              <w:wordWrap/>
              <w:overflowPunct/>
              <w:bidi w:val="0"/>
              <w:adjustRightInd w:val="0"/>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sz w:val="24"/>
              </w:rPr>
              <w:t>项目实施方案</w:t>
            </w:r>
          </w:p>
        </w:tc>
      </w:tr>
      <w:tr w14:paraId="53BE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14:paraId="7653EA69">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6974" w:type="dxa"/>
            <w:shd w:val="clear" w:color="auto" w:fill="auto"/>
            <w:vAlign w:val="center"/>
          </w:tcPr>
          <w:p w14:paraId="095CF4D6">
            <w:pPr>
              <w:keepNext w:val="0"/>
              <w:keepLines w:val="0"/>
              <w:pageBreakBefore w:val="0"/>
              <w:kinsoku/>
              <w:wordWrap/>
              <w:overflowPunct/>
              <w:bidi w:val="0"/>
              <w:adjustRightInd w:val="0"/>
              <w:spacing w:line="440" w:lineRule="exact"/>
              <w:jc w:val="left"/>
              <w:textAlignment w:val="auto"/>
              <w:outlineLvl w:val="0"/>
              <w:rPr>
                <w:rFonts w:hint="eastAsia" w:ascii="宋体" w:hAnsi="宋体" w:eastAsia="宋体" w:cs="宋体"/>
                <w:b/>
                <w:kern w:val="2"/>
                <w:sz w:val="24"/>
                <w:szCs w:val="24"/>
                <w:lang w:val="en-US" w:eastAsia="zh-CN" w:bidi="ar-SA"/>
              </w:rPr>
            </w:pPr>
            <w:r>
              <w:rPr>
                <w:rFonts w:hint="eastAsia" w:ascii="宋体" w:hAnsi="宋体" w:eastAsia="宋体" w:cs="宋体"/>
                <w:sz w:val="24"/>
              </w:rPr>
              <w:t>对本项目的工作思路理解情况是否充分，根据所述内容的情况进行打分。</w:t>
            </w:r>
            <w:r>
              <w:rPr>
                <w:rFonts w:hint="eastAsia" w:ascii="宋体" w:hAnsi="宋体" w:eastAsia="宋体" w:cs="宋体"/>
                <w:b w:val="0"/>
                <w:bCs w:val="0"/>
                <w:sz w:val="24"/>
                <w:szCs w:val="24"/>
              </w:rPr>
              <w:t>方案完整且符合采购需求要求的得</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rPr>
              <w:t>分，部分符合或方案不完整的得2-</w:t>
            </w: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rPr>
              <w:t>.9分，方案内容严重不足或不符的得0-1.9分。</w:t>
            </w:r>
          </w:p>
        </w:tc>
        <w:tc>
          <w:tcPr>
            <w:tcW w:w="810" w:type="dxa"/>
            <w:shd w:val="clear" w:color="auto" w:fill="auto"/>
            <w:vAlign w:val="center"/>
          </w:tcPr>
          <w:p w14:paraId="111D4899">
            <w:pPr>
              <w:keepNext w:val="0"/>
              <w:keepLines w:val="0"/>
              <w:pageBreakBefore w:val="0"/>
              <w:widowControl/>
              <w:kinsoku/>
              <w:wordWrap/>
              <w:overflowPunct/>
              <w:bidi w:val="0"/>
              <w:adjustRightInd w:val="0"/>
              <w:spacing w:line="440" w:lineRule="exact"/>
              <w:jc w:val="center"/>
              <w:textAlignment w:val="auto"/>
              <w:rPr>
                <w:rFonts w:hint="eastAsia" w:ascii="宋体" w:hAnsi="宋体" w:eastAsia="宋体" w:cs="宋体"/>
                <w:bCs/>
                <w:kern w:val="2"/>
                <w:sz w:val="24"/>
                <w:szCs w:val="24"/>
                <w:lang w:val="en-US" w:eastAsia="zh-CN" w:bidi="ar-SA"/>
              </w:rPr>
            </w:pPr>
            <w:r>
              <w:rPr>
                <w:rFonts w:hint="eastAsia" w:ascii="宋体" w:hAnsi="宋体" w:eastAsia="宋体" w:cs="宋体"/>
                <w:kern w:val="3"/>
                <w:sz w:val="24"/>
                <w:szCs w:val="24"/>
                <w:vertAlign w:val="baseline"/>
                <w:lang w:val="en-US" w:eastAsia="zh-CN" w:bidi="ar-SA"/>
              </w:rPr>
              <w:t>6</w:t>
            </w:r>
          </w:p>
        </w:tc>
        <w:tc>
          <w:tcPr>
            <w:tcW w:w="1050" w:type="dxa"/>
            <w:vMerge w:val="continue"/>
            <w:vAlign w:val="center"/>
          </w:tcPr>
          <w:p w14:paraId="2CC2A968">
            <w:pPr>
              <w:keepNext w:val="0"/>
              <w:keepLines w:val="0"/>
              <w:pageBreakBefore w:val="0"/>
              <w:widowControl/>
              <w:kinsoku/>
              <w:wordWrap/>
              <w:overflowPunct/>
              <w:bidi w:val="0"/>
              <w:adjustRightInd w:val="0"/>
              <w:spacing w:line="440" w:lineRule="exact"/>
              <w:jc w:val="center"/>
              <w:textAlignment w:val="auto"/>
              <w:rPr>
                <w:rFonts w:hint="eastAsia" w:ascii="宋体" w:hAnsi="宋体" w:eastAsia="宋体" w:cs="宋体"/>
                <w:color w:val="auto"/>
                <w:sz w:val="24"/>
                <w:szCs w:val="24"/>
                <w:highlight w:val="none"/>
              </w:rPr>
            </w:pPr>
          </w:p>
        </w:tc>
        <w:tc>
          <w:tcPr>
            <w:tcW w:w="1095" w:type="dxa"/>
            <w:vMerge w:val="continue"/>
            <w:vAlign w:val="center"/>
          </w:tcPr>
          <w:p w14:paraId="418AB7D7">
            <w:pPr>
              <w:keepNext w:val="0"/>
              <w:keepLines w:val="0"/>
              <w:pageBreakBefore w:val="0"/>
              <w:kinsoku/>
              <w:wordWrap/>
              <w:overflowPunct/>
              <w:bidi w:val="0"/>
              <w:adjustRightInd w:val="0"/>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p>
        </w:tc>
      </w:tr>
      <w:tr w14:paraId="72DFE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14:paraId="45EC22DA">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6974" w:type="dxa"/>
            <w:shd w:val="clear" w:color="auto" w:fill="auto"/>
            <w:vAlign w:val="center"/>
          </w:tcPr>
          <w:p w14:paraId="0016B24A">
            <w:pPr>
              <w:keepNext w:val="0"/>
              <w:keepLines w:val="0"/>
              <w:pageBreakBefore w:val="0"/>
              <w:kinsoku/>
              <w:wordWrap/>
              <w:overflowPunct/>
              <w:bidi w:val="0"/>
              <w:adjustRightInd w:val="0"/>
              <w:spacing w:line="440" w:lineRule="exact"/>
              <w:jc w:val="left"/>
              <w:textAlignment w:val="auto"/>
              <w:outlineLvl w:val="0"/>
              <w:rPr>
                <w:rFonts w:hint="eastAsia" w:ascii="宋体" w:hAnsi="宋体" w:eastAsia="宋体" w:cs="宋体"/>
                <w:bCs/>
                <w:sz w:val="24"/>
                <w:szCs w:val="24"/>
                <w:lang w:val="en-US" w:eastAsia="zh-CN"/>
              </w:rPr>
            </w:pPr>
            <w:r>
              <w:rPr>
                <w:rFonts w:hint="eastAsia" w:ascii="宋体" w:hAnsi="宋体" w:eastAsia="宋体" w:cs="宋体"/>
                <w:sz w:val="24"/>
              </w:rPr>
              <w:t>根据对本项目需求的重点、难点进行分析，对分析的准确性、针对性、充分性、优劣性进行打分。</w:t>
            </w:r>
            <w:r>
              <w:rPr>
                <w:rFonts w:hint="eastAsia" w:ascii="宋体" w:hAnsi="宋体" w:eastAsia="宋体" w:cs="宋体"/>
                <w:b w:val="0"/>
                <w:bCs w:val="0"/>
                <w:sz w:val="24"/>
                <w:szCs w:val="24"/>
              </w:rPr>
              <w:t>方案完整且符合采购需求要求的得</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rPr>
              <w:t>分，部分符合或方案不完整的得2-</w:t>
            </w: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rPr>
              <w:t>.9分，方案内容严重不足或不符的得0-1.9分。</w:t>
            </w:r>
          </w:p>
        </w:tc>
        <w:tc>
          <w:tcPr>
            <w:tcW w:w="810" w:type="dxa"/>
            <w:shd w:val="clear" w:color="auto" w:fill="auto"/>
            <w:vAlign w:val="center"/>
          </w:tcPr>
          <w:p w14:paraId="3951CCEB">
            <w:pPr>
              <w:keepNext w:val="0"/>
              <w:keepLines w:val="0"/>
              <w:pageBreakBefore w:val="0"/>
              <w:widowControl/>
              <w:kinsoku/>
              <w:wordWrap/>
              <w:overflowPunct/>
              <w:bidi w:val="0"/>
              <w:adjustRightInd w:val="0"/>
              <w:spacing w:line="440" w:lineRule="exact"/>
              <w:jc w:val="center"/>
              <w:textAlignment w:val="auto"/>
              <w:rPr>
                <w:rFonts w:hint="eastAsia" w:ascii="宋体" w:hAnsi="宋体" w:eastAsia="宋体" w:cs="宋体"/>
                <w:bCs/>
                <w:sz w:val="24"/>
                <w:szCs w:val="24"/>
                <w:lang w:val="en-US" w:eastAsia="zh-CN"/>
              </w:rPr>
            </w:pPr>
            <w:r>
              <w:rPr>
                <w:rFonts w:hint="eastAsia" w:ascii="宋体" w:hAnsi="宋体" w:eastAsia="宋体" w:cs="宋体"/>
                <w:kern w:val="3"/>
                <w:sz w:val="24"/>
                <w:szCs w:val="24"/>
                <w:vertAlign w:val="baseline"/>
                <w:lang w:val="en-US" w:eastAsia="zh-CN" w:bidi="ar-SA"/>
              </w:rPr>
              <w:t>6</w:t>
            </w:r>
          </w:p>
        </w:tc>
        <w:tc>
          <w:tcPr>
            <w:tcW w:w="1050" w:type="dxa"/>
            <w:vMerge w:val="continue"/>
            <w:vAlign w:val="center"/>
          </w:tcPr>
          <w:p w14:paraId="69173B65">
            <w:pPr>
              <w:keepNext w:val="0"/>
              <w:keepLines w:val="0"/>
              <w:pageBreakBefore w:val="0"/>
              <w:widowControl/>
              <w:kinsoku/>
              <w:wordWrap/>
              <w:overflowPunct/>
              <w:bidi w:val="0"/>
              <w:adjustRightInd w:val="0"/>
              <w:spacing w:line="440" w:lineRule="exact"/>
              <w:jc w:val="center"/>
              <w:textAlignment w:val="auto"/>
              <w:rPr>
                <w:rFonts w:hint="eastAsia" w:ascii="宋体" w:hAnsi="宋体" w:eastAsia="宋体" w:cs="宋体"/>
                <w:color w:val="auto"/>
                <w:sz w:val="24"/>
                <w:szCs w:val="24"/>
                <w:highlight w:val="none"/>
              </w:rPr>
            </w:pPr>
          </w:p>
        </w:tc>
        <w:tc>
          <w:tcPr>
            <w:tcW w:w="1095" w:type="dxa"/>
            <w:vMerge w:val="continue"/>
            <w:vAlign w:val="center"/>
          </w:tcPr>
          <w:p w14:paraId="659793A3">
            <w:pPr>
              <w:keepNext w:val="0"/>
              <w:keepLines w:val="0"/>
              <w:pageBreakBefore w:val="0"/>
              <w:kinsoku/>
              <w:wordWrap/>
              <w:overflowPunct/>
              <w:bidi w:val="0"/>
              <w:adjustRightInd w:val="0"/>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p>
        </w:tc>
      </w:tr>
      <w:tr w14:paraId="5315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14:paraId="478FC60E">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6974" w:type="dxa"/>
            <w:shd w:val="clear" w:color="auto" w:fill="auto"/>
            <w:vAlign w:val="center"/>
          </w:tcPr>
          <w:p w14:paraId="0FC3BCE3">
            <w:pPr>
              <w:keepNext w:val="0"/>
              <w:keepLines w:val="0"/>
              <w:pageBreakBefore w:val="0"/>
              <w:kinsoku/>
              <w:wordWrap/>
              <w:overflowPunct/>
              <w:bidi w:val="0"/>
              <w:adjustRightInd w:val="0"/>
              <w:spacing w:line="440" w:lineRule="exact"/>
              <w:jc w:val="left"/>
              <w:textAlignment w:val="auto"/>
              <w:outlineLvl w:val="0"/>
              <w:rPr>
                <w:rFonts w:hint="eastAsia" w:ascii="宋体" w:hAnsi="宋体" w:eastAsia="宋体" w:cs="宋体"/>
                <w:bCs/>
                <w:sz w:val="24"/>
                <w:szCs w:val="24"/>
                <w:lang w:val="en-US" w:eastAsia="zh-CN"/>
              </w:rPr>
            </w:pPr>
            <w:r>
              <w:rPr>
                <w:rFonts w:hint="eastAsia" w:ascii="宋体" w:hAnsi="宋体" w:eastAsia="宋体" w:cs="宋体"/>
                <w:sz w:val="24"/>
              </w:rPr>
              <w:t>对本项目重点、难点进行分析后提出的切实可行、思维缜密、针对性强的解决方案，根据解决方案的合理性、优劣性、可行性等情况打分。</w:t>
            </w:r>
            <w:r>
              <w:rPr>
                <w:rFonts w:hint="eastAsia" w:ascii="宋体" w:hAnsi="宋体" w:eastAsia="宋体" w:cs="宋体"/>
                <w:b w:val="0"/>
                <w:bCs w:val="0"/>
                <w:sz w:val="24"/>
                <w:szCs w:val="24"/>
              </w:rPr>
              <w:t>方案完整且符合采购需求要求的得</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rPr>
              <w:t>分，部分符合或方案不完整的得2-</w:t>
            </w: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rPr>
              <w:t>.9分，方案内容严重不足或不符的得0-1.9分。</w:t>
            </w:r>
          </w:p>
        </w:tc>
        <w:tc>
          <w:tcPr>
            <w:tcW w:w="810" w:type="dxa"/>
            <w:shd w:val="clear" w:color="auto" w:fill="auto"/>
            <w:vAlign w:val="center"/>
          </w:tcPr>
          <w:p w14:paraId="695BA13C">
            <w:pPr>
              <w:keepNext w:val="0"/>
              <w:keepLines w:val="0"/>
              <w:pageBreakBefore w:val="0"/>
              <w:widowControl/>
              <w:kinsoku/>
              <w:wordWrap/>
              <w:overflowPunct/>
              <w:bidi w:val="0"/>
              <w:adjustRightInd w:val="0"/>
              <w:spacing w:line="440" w:lineRule="exact"/>
              <w:jc w:val="center"/>
              <w:textAlignment w:val="auto"/>
              <w:rPr>
                <w:rFonts w:hint="eastAsia" w:ascii="宋体" w:hAnsi="宋体" w:eastAsia="宋体" w:cs="宋体"/>
                <w:bCs/>
                <w:sz w:val="24"/>
                <w:szCs w:val="24"/>
                <w:lang w:val="en-US" w:eastAsia="zh-CN"/>
              </w:rPr>
            </w:pPr>
            <w:r>
              <w:rPr>
                <w:rFonts w:hint="eastAsia" w:ascii="宋体" w:hAnsi="宋体" w:eastAsia="宋体" w:cs="宋体"/>
                <w:kern w:val="3"/>
                <w:sz w:val="24"/>
                <w:szCs w:val="24"/>
                <w:vertAlign w:val="baseline"/>
                <w:lang w:val="en-US" w:eastAsia="zh-CN" w:bidi="ar-SA"/>
              </w:rPr>
              <w:t>6</w:t>
            </w:r>
          </w:p>
        </w:tc>
        <w:tc>
          <w:tcPr>
            <w:tcW w:w="1050" w:type="dxa"/>
            <w:vMerge w:val="continue"/>
            <w:vAlign w:val="center"/>
          </w:tcPr>
          <w:p w14:paraId="7D0AD58D">
            <w:pPr>
              <w:keepNext w:val="0"/>
              <w:keepLines w:val="0"/>
              <w:pageBreakBefore w:val="0"/>
              <w:widowControl/>
              <w:kinsoku/>
              <w:wordWrap/>
              <w:overflowPunct/>
              <w:bidi w:val="0"/>
              <w:adjustRightInd w:val="0"/>
              <w:spacing w:line="440" w:lineRule="exact"/>
              <w:jc w:val="center"/>
              <w:textAlignment w:val="auto"/>
              <w:rPr>
                <w:rFonts w:hint="eastAsia" w:ascii="宋体" w:hAnsi="宋体" w:eastAsia="宋体" w:cs="宋体"/>
                <w:color w:val="auto"/>
                <w:sz w:val="24"/>
                <w:szCs w:val="24"/>
                <w:highlight w:val="none"/>
              </w:rPr>
            </w:pPr>
          </w:p>
        </w:tc>
        <w:tc>
          <w:tcPr>
            <w:tcW w:w="1095" w:type="dxa"/>
            <w:vMerge w:val="continue"/>
            <w:vAlign w:val="center"/>
          </w:tcPr>
          <w:p w14:paraId="672E5D66">
            <w:pPr>
              <w:keepNext w:val="0"/>
              <w:keepLines w:val="0"/>
              <w:pageBreakBefore w:val="0"/>
              <w:kinsoku/>
              <w:wordWrap/>
              <w:overflowPunct/>
              <w:bidi w:val="0"/>
              <w:adjustRightInd w:val="0"/>
              <w:spacing w:line="440" w:lineRule="exact"/>
              <w:ind w:left="0" w:leftChars="0" w:firstLine="0" w:firstLineChars="0"/>
              <w:jc w:val="center"/>
              <w:textAlignment w:val="auto"/>
              <w:rPr>
                <w:rFonts w:hint="eastAsia" w:ascii="宋体" w:hAnsi="宋体" w:eastAsia="宋体" w:cs="宋体"/>
                <w:bCs/>
                <w:color w:val="auto"/>
                <w:sz w:val="24"/>
                <w:szCs w:val="24"/>
                <w:highlight w:val="none"/>
                <w:lang w:val="en-US"/>
              </w:rPr>
            </w:pPr>
          </w:p>
        </w:tc>
      </w:tr>
      <w:tr w14:paraId="56BFB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77" w:type="dxa"/>
            <w:vAlign w:val="center"/>
          </w:tcPr>
          <w:p w14:paraId="25ABE947">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6974" w:type="dxa"/>
            <w:shd w:val="clear" w:color="auto" w:fill="auto"/>
            <w:vAlign w:val="center"/>
          </w:tcPr>
          <w:p w14:paraId="56A2DEF3">
            <w:pPr>
              <w:keepNext w:val="0"/>
              <w:keepLines w:val="0"/>
              <w:pageBreakBefore w:val="0"/>
              <w:kinsoku/>
              <w:wordWrap/>
              <w:overflowPunct/>
              <w:bidi w:val="0"/>
              <w:adjustRightInd w:val="0"/>
              <w:spacing w:line="440" w:lineRule="exact"/>
              <w:jc w:val="left"/>
              <w:textAlignment w:val="auto"/>
              <w:outlineLvl w:val="0"/>
              <w:rPr>
                <w:rFonts w:hint="eastAsia" w:ascii="宋体" w:hAnsi="宋体" w:eastAsia="宋体" w:cs="宋体"/>
                <w:sz w:val="24"/>
                <w:szCs w:val="24"/>
                <w:lang w:val="en-US" w:eastAsia="zh-CN"/>
              </w:rPr>
            </w:pPr>
            <w:r>
              <w:rPr>
                <w:rFonts w:hint="eastAsia" w:ascii="宋体" w:hAnsi="宋体" w:eastAsia="宋体" w:cs="宋体"/>
                <w:sz w:val="24"/>
              </w:rPr>
              <w:t>根据投标供应商针对本项目制定的开展实施</w:t>
            </w:r>
            <w:r>
              <w:rPr>
                <w:rFonts w:hint="eastAsia" w:ascii="宋体" w:hAnsi="宋体" w:eastAsia="宋体" w:cs="宋体"/>
                <w:sz w:val="24"/>
                <w:lang w:val="en-US" w:eastAsia="zh-CN"/>
              </w:rPr>
              <w:t>评估</w:t>
            </w:r>
            <w:r>
              <w:rPr>
                <w:rFonts w:hint="eastAsia" w:ascii="宋体" w:hAnsi="宋体" w:eastAsia="宋体" w:cs="宋体"/>
                <w:sz w:val="24"/>
              </w:rPr>
              <w:t>服务工作实施方案内容的完善性、可行性、针对性等情况进行打分。</w:t>
            </w:r>
            <w:r>
              <w:rPr>
                <w:rFonts w:hint="eastAsia" w:ascii="宋体" w:hAnsi="宋体" w:eastAsia="宋体" w:cs="宋体"/>
                <w:b w:val="0"/>
                <w:bCs w:val="0"/>
                <w:sz w:val="24"/>
                <w:szCs w:val="24"/>
              </w:rPr>
              <w:t>方案完整且符合采购需求要求的得</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rPr>
              <w:t>分，部分符合或方案不完整的得2-</w:t>
            </w: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rPr>
              <w:t>.9分，方案内容严重不足或不符的得0-1.9分。</w:t>
            </w:r>
          </w:p>
        </w:tc>
        <w:tc>
          <w:tcPr>
            <w:tcW w:w="810" w:type="dxa"/>
            <w:shd w:val="clear" w:color="auto" w:fill="auto"/>
            <w:vAlign w:val="center"/>
          </w:tcPr>
          <w:p w14:paraId="75A3257A">
            <w:pPr>
              <w:keepNext w:val="0"/>
              <w:keepLines w:val="0"/>
              <w:pageBreakBefore w:val="0"/>
              <w:widowControl/>
              <w:kinsoku/>
              <w:wordWrap/>
              <w:overflowPunct/>
              <w:bidi w:val="0"/>
              <w:adjustRightInd w:val="0"/>
              <w:spacing w:line="440" w:lineRule="exact"/>
              <w:jc w:val="center"/>
              <w:textAlignment w:val="auto"/>
              <w:rPr>
                <w:rFonts w:hint="eastAsia" w:ascii="宋体" w:hAnsi="宋体" w:eastAsia="宋体" w:cs="宋体"/>
                <w:bCs/>
                <w:sz w:val="24"/>
                <w:szCs w:val="24"/>
                <w:lang w:val="en-US" w:eastAsia="zh-CN"/>
              </w:rPr>
            </w:pPr>
            <w:r>
              <w:rPr>
                <w:rFonts w:hint="eastAsia" w:ascii="宋体" w:hAnsi="宋体" w:eastAsia="宋体" w:cs="宋体"/>
                <w:kern w:val="3"/>
                <w:sz w:val="24"/>
                <w:szCs w:val="24"/>
                <w:vertAlign w:val="baseline"/>
                <w:lang w:val="en-US" w:eastAsia="zh-CN" w:bidi="ar-SA"/>
              </w:rPr>
              <w:t>6</w:t>
            </w:r>
          </w:p>
        </w:tc>
        <w:tc>
          <w:tcPr>
            <w:tcW w:w="1050" w:type="dxa"/>
            <w:vMerge w:val="continue"/>
            <w:vAlign w:val="center"/>
          </w:tcPr>
          <w:p w14:paraId="1711FAA5">
            <w:pPr>
              <w:keepNext w:val="0"/>
              <w:keepLines w:val="0"/>
              <w:pageBreakBefore w:val="0"/>
              <w:widowControl/>
              <w:kinsoku/>
              <w:wordWrap/>
              <w:overflowPunct/>
              <w:bidi w:val="0"/>
              <w:adjustRightInd w:val="0"/>
              <w:spacing w:line="440" w:lineRule="exact"/>
              <w:jc w:val="center"/>
              <w:textAlignment w:val="auto"/>
              <w:rPr>
                <w:rFonts w:hint="eastAsia" w:ascii="宋体" w:hAnsi="宋体" w:eastAsia="宋体" w:cs="宋体"/>
                <w:color w:val="auto"/>
                <w:sz w:val="24"/>
                <w:szCs w:val="24"/>
                <w:highlight w:val="none"/>
              </w:rPr>
            </w:pPr>
          </w:p>
        </w:tc>
        <w:tc>
          <w:tcPr>
            <w:tcW w:w="1095" w:type="dxa"/>
            <w:vMerge w:val="continue"/>
            <w:vAlign w:val="center"/>
          </w:tcPr>
          <w:p w14:paraId="36319229">
            <w:pPr>
              <w:keepNext w:val="0"/>
              <w:keepLines w:val="0"/>
              <w:pageBreakBefore w:val="0"/>
              <w:kinsoku/>
              <w:wordWrap/>
              <w:overflowPunct/>
              <w:bidi w:val="0"/>
              <w:adjustRightInd w:val="0"/>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p>
        </w:tc>
      </w:tr>
      <w:tr w14:paraId="347E5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14:paraId="176573EB">
            <w:pPr>
              <w:keepNext w:val="0"/>
              <w:keepLines w:val="0"/>
              <w:pageBreakBefore w:val="0"/>
              <w:kinsoku/>
              <w:wordWrap/>
              <w:overflowPunct/>
              <w:autoSpaceDE/>
              <w:autoSpaceDN/>
              <w:bidi w:val="0"/>
              <w:adjustRightInd w:val="0"/>
              <w:snapToGrid w:val="0"/>
              <w:spacing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6974" w:type="dxa"/>
            <w:shd w:val="clear" w:color="auto" w:fill="auto"/>
            <w:vAlign w:val="center"/>
          </w:tcPr>
          <w:p w14:paraId="5943B2F2">
            <w:pPr>
              <w:keepNext w:val="0"/>
              <w:keepLines w:val="0"/>
              <w:pageBreakBefore w:val="0"/>
              <w:kinsoku/>
              <w:wordWrap/>
              <w:overflowPunct/>
              <w:bidi w:val="0"/>
              <w:adjustRightInd w:val="0"/>
              <w:spacing w:line="440" w:lineRule="exact"/>
              <w:jc w:val="left"/>
              <w:textAlignment w:val="auto"/>
              <w:outlineLvl w:val="0"/>
              <w:rPr>
                <w:rFonts w:hint="eastAsia" w:ascii="宋体" w:hAnsi="宋体" w:eastAsia="宋体" w:cs="宋体"/>
                <w:sz w:val="24"/>
                <w:szCs w:val="24"/>
                <w:lang w:val="en-US" w:eastAsia="zh-CN"/>
              </w:rPr>
            </w:pPr>
            <w:r>
              <w:rPr>
                <w:rFonts w:hint="eastAsia" w:ascii="宋体" w:hAnsi="宋体" w:eastAsia="宋体" w:cs="宋体"/>
                <w:sz w:val="24"/>
              </w:rPr>
              <w:t>项目进度安排的合理性、完整性、可操作性，保障措施明确性、可靠性等角度进行打分。</w:t>
            </w:r>
            <w:r>
              <w:rPr>
                <w:rFonts w:hint="eastAsia" w:ascii="宋体" w:hAnsi="宋体" w:eastAsia="宋体" w:cs="宋体"/>
                <w:b w:val="0"/>
                <w:bCs w:val="0"/>
                <w:sz w:val="24"/>
                <w:szCs w:val="24"/>
              </w:rPr>
              <w:t>方案完整且符合采购需求要求的得</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rPr>
              <w:t>分，部分符合或方案不完整的得2-</w:t>
            </w: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rPr>
              <w:t>.9分，方案内容严重不足或不符的得0-1.9分。</w:t>
            </w:r>
          </w:p>
        </w:tc>
        <w:tc>
          <w:tcPr>
            <w:tcW w:w="810" w:type="dxa"/>
            <w:shd w:val="clear" w:color="auto" w:fill="auto"/>
            <w:vAlign w:val="center"/>
          </w:tcPr>
          <w:p w14:paraId="7EDCEE01">
            <w:pPr>
              <w:keepNext w:val="0"/>
              <w:keepLines w:val="0"/>
              <w:pageBreakBefore w:val="0"/>
              <w:widowControl/>
              <w:kinsoku/>
              <w:wordWrap/>
              <w:overflowPunct/>
              <w:bidi w:val="0"/>
              <w:adjustRightInd w:val="0"/>
              <w:spacing w:line="440" w:lineRule="exact"/>
              <w:jc w:val="center"/>
              <w:textAlignment w:val="auto"/>
              <w:rPr>
                <w:rFonts w:hint="eastAsia" w:ascii="宋体" w:hAnsi="宋体" w:eastAsia="宋体" w:cs="宋体"/>
                <w:bCs/>
                <w:kern w:val="2"/>
                <w:sz w:val="24"/>
                <w:szCs w:val="24"/>
                <w:lang w:val="en-US" w:eastAsia="zh-CN" w:bidi="ar-SA"/>
              </w:rPr>
            </w:pPr>
            <w:r>
              <w:rPr>
                <w:rFonts w:hint="eastAsia" w:ascii="宋体" w:hAnsi="宋体" w:eastAsia="宋体" w:cs="宋体"/>
                <w:kern w:val="3"/>
                <w:sz w:val="24"/>
                <w:szCs w:val="24"/>
                <w:vertAlign w:val="baseline"/>
                <w:lang w:val="en-US" w:eastAsia="zh-CN" w:bidi="ar-SA"/>
              </w:rPr>
              <w:t>6</w:t>
            </w:r>
          </w:p>
        </w:tc>
        <w:tc>
          <w:tcPr>
            <w:tcW w:w="1050" w:type="dxa"/>
            <w:vMerge w:val="continue"/>
            <w:vAlign w:val="center"/>
          </w:tcPr>
          <w:p w14:paraId="202720F5">
            <w:pPr>
              <w:keepNext w:val="0"/>
              <w:keepLines w:val="0"/>
              <w:pageBreakBefore w:val="0"/>
              <w:widowControl/>
              <w:kinsoku/>
              <w:wordWrap/>
              <w:overflowPunct/>
              <w:bidi w:val="0"/>
              <w:adjustRightInd w:val="0"/>
              <w:spacing w:line="440" w:lineRule="exact"/>
              <w:jc w:val="center"/>
              <w:textAlignment w:val="auto"/>
              <w:rPr>
                <w:rFonts w:hint="eastAsia" w:ascii="宋体" w:hAnsi="宋体" w:eastAsia="宋体" w:cs="宋体"/>
                <w:color w:val="auto"/>
                <w:sz w:val="24"/>
                <w:szCs w:val="24"/>
                <w:highlight w:val="none"/>
              </w:rPr>
            </w:pPr>
          </w:p>
        </w:tc>
        <w:tc>
          <w:tcPr>
            <w:tcW w:w="1095" w:type="dxa"/>
            <w:vMerge w:val="continue"/>
            <w:vAlign w:val="center"/>
          </w:tcPr>
          <w:p w14:paraId="4658DC63">
            <w:pPr>
              <w:keepNext w:val="0"/>
              <w:keepLines w:val="0"/>
              <w:pageBreakBefore w:val="0"/>
              <w:kinsoku/>
              <w:wordWrap/>
              <w:overflowPunct/>
              <w:bidi w:val="0"/>
              <w:adjustRightInd w:val="0"/>
              <w:spacing w:line="440" w:lineRule="exact"/>
              <w:ind w:left="0" w:leftChars="0" w:firstLine="0" w:firstLineChars="0"/>
              <w:jc w:val="center"/>
              <w:textAlignment w:val="auto"/>
              <w:rPr>
                <w:rFonts w:hint="eastAsia" w:ascii="宋体" w:hAnsi="宋体" w:eastAsia="宋体" w:cs="宋体"/>
                <w:bCs/>
                <w:color w:val="auto"/>
                <w:sz w:val="24"/>
                <w:szCs w:val="24"/>
                <w:highlight w:val="none"/>
                <w:lang w:val="en-US" w:eastAsia="zh-CN"/>
              </w:rPr>
            </w:pPr>
          </w:p>
        </w:tc>
      </w:tr>
      <w:tr w14:paraId="6CAE3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14:paraId="4CFA8371">
            <w:pPr>
              <w:keepNext w:val="0"/>
              <w:keepLines w:val="0"/>
              <w:pageBreakBefore w:val="0"/>
              <w:kinsoku/>
              <w:wordWrap/>
              <w:overflowPunct/>
              <w:autoSpaceDE/>
              <w:autoSpaceDN/>
              <w:bidi w:val="0"/>
              <w:adjustRightInd w:val="0"/>
              <w:snapToGrid w:val="0"/>
              <w:spacing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6974" w:type="dxa"/>
            <w:shd w:val="clear" w:color="auto" w:fill="auto"/>
            <w:vAlign w:val="center"/>
          </w:tcPr>
          <w:p w14:paraId="442C48F0">
            <w:pPr>
              <w:keepNext w:val="0"/>
              <w:keepLines w:val="0"/>
              <w:pageBreakBefore w:val="0"/>
              <w:kinsoku/>
              <w:wordWrap/>
              <w:overflowPunct/>
              <w:bidi w:val="0"/>
              <w:adjustRightInd w:val="0"/>
              <w:spacing w:line="440" w:lineRule="exact"/>
              <w:jc w:val="left"/>
              <w:textAlignment w:val="auto"/>
              <w:outlineLvl w:val="0"/>
              <w:rPr>
                <w:rFonts w:hint="eastAsia" w:ascii="宋体" w:hAnsi="宋体" w:eastAsia="宋体" w:cs="宋体"/>
                <w:bCs/>
                <w:sz w:val="24"/>
                <w:szCs w:val="24"/>
                <w:lang w:val="en-US" w:eastAsia="zh-CN"/>
              </w:rPr>
            </w:pPr>
            <w:r>
              <w:rPr>
                <w:rFonts w:hint="eastAsia" w:ascii="宋体" w:hAnsi="宋体" w:eastAsia="宋体" w:cs="宋体"/>
                <w:sz w:val="24"/>
              </w:rPr>
              <w:t>服务质量保证制度建设情况的完备性、保障性、可行性等角度进行打分。</w:t>
            </w:r>
            <w:r>
              <w:rPr>
                <w:rFonts w:hint="eastAsia" w:ascii="宋体" w:hAnsi="宋体" w:eastAsia="宋体" w:cs="宋体"/>
                <w:b w:val="0"/>
                <w:bCs w:val="0"/>
                <w:sz w:val="24"/>
                <w:szCs w:val="24"/>
              </w:rPr>
              <w:t>方案完整且符合采购需求要求的得</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7</w:t>
            </w:r>
            <w:r>
              <w:rPr>
                <w:rFonts w:hint="eastAsia" w:ascii="宋体" w:hAnsi="宋体" w:eastAsia="宋体" w:cs="宋体"/>
                <w:b w:val="0"/>
                <w:bCs w:val="0"/>
                <w:sz w:val="24"/>
                <w:szCs w:val="24"/>
              </w:rPr>
              <w:t>分，部分符合或方案不完整的得2-</w:t>
            </w: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rPr>
              <w:t>.9分，方案内容严重不足或不符的得0-1.9分。</w:t>
            </w:r>
          </w:p>
        </w:tc>
        <w:tc>
          <w:tcPr>
            <w:tcW w:w="810" w:type="dxa"/>
            <w:shd w:val="clear" w:color="auto" w:fill="auto"/>
            <w:vAlign w:val="center"/>
          </w:tcPr>
          <w:p w14:paraId="59DDA77F">
            <w:pPr>
              <w:keepNext w:val="0"/>
              <w:keepLines w:val="0"/>
              <w:pageBreakBefore w:val="0"/>
              <w:widowControl/>
              <w:kinsoku/>
              <w:wordWrap/>
              <w:overflowPunct/>
              <w:bidi w:val="0"/>
              <w:adjustRightInd w:val="0"/>
              <w:spacing w:line="440" w:lineRule="exact"/>
              <w:jc w:val="center"/>
              <w:textAlignment w:val="auto"/>
              <w:rPr>
                <w:rFonts w:hint="eastAsia" w:ascii="宋体" w:hAnsi="宋体" w:eastAsia="宋体" w:cs="宋体"/>
                <w:bCs/>
                <w:sz w:val="24"/>
                <w:szCs w:val="24"/>
                <w:lang w:val="en-US" w:eastAsia="zh-CN"/>
              </w:rPr>
            </w:pPr>
            <w:r>
              <w:rPr>
                <w:rFonts w:hint="eastAsia" w:ascii="宋体" w:hAnsi="宋体" w:eastAsia="宋体" w:cs="宋体"/>
                <w:color w:val="auto"/>
                <w:kern w:val="3"/>
                <w:sz w:val="24"/>
                <w:szCs w:val="24"/>
                <w:highlight w:val="none"/>
                <w:vertAlign w:val="baseline"/>
                <w:lang w:val="en-US" w:eastAsia="zh-CN" w:bidi="ar-SA"/>
              </w:rPr>
              <w:t>7</w:t>
            </w:r>
          </w:p>
        </w:tc>
        <w:tc>
          <w:tcPr>
            <w:tcW w:w="1050" w:type="dxa"/>
            <w:vMerge w:val="restart"/>
            <w:vAlign w:val="center"/>
          </w:tcPr>
          <w:p w14:paraId="17F920B0">
            <w:pPr>
              <w:keepNext w:val="0"/>
              <w:keepLines w:val="0"/>
              <w:pageBreakBefore w:val="0"/>
              <w:widowControl/>
              <w:kinsoku/>
              <w:wordWrap/>
              <w:overflowPunct/>
              <w:bidi w:val="0"/>
              <w:adjustRightIn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highlight w:val="none"/>
              </w:rPr>
              <w:t>主观分</w:t>
            </w:r>
          </w:p>
        </w:tc>
        <w:tc>
          <w:tcPr>
            <w:tcW w:w="1095" w:type="dxa"/>
            <w:vMerge w:val="restart"/>
            <w:vAlign w:val="center"/>
          </w:tcPr>
          <w:p w14:paraId="55D1F2BE">
            <w:pPr>
              <w:keepNext w:val="0"/>
              <w:keepLines w:val="0"/>
              <w:pageBreakBefore w:val="0"/>
              <w:kinsoku/>
              <w:wordWrap/>
              <w:overflowPunct/>
              <w:bidi w:val="0"/>
              <w:adjustRightInd w:val="0"/>
              <w:spacing w:line="440" w:lineRule="exact"/>
              <w:ind w:left="0" w:leftChars="0" w:firstLine="0" w:firstLineChars="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sz w:val="24"/>
              </w:rPr>
              <w:t>服务质量保证措施</w:t>
            </w:r>
          </w:p>
        </w:tc>
      </w:tr>
      <w:tr w14:paraId="5CB47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shd w:val="clear" w:color="auto" w:fill="auto"/>
            <w:vAlign w:val="center"/>
          </w:tcPr>
          <w:p w14:paraId="55C88D6A">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p>
        </w:tc>
        <w:tc>
          <w:tcPr>
            <w:tcW w:w="6974" w:type="dxa"/>
            <w:shd w:val="clear" w:color="auto" w:fill="auto"/>
            <w:vAlign w:val="center"/>
          </w:tcPr>
          <w:p w14:paraId="435F8B25">
            <w:pPr>
              <w:keepNext w:val="0"/>
              <w:keepLines w:val="0"/>
              <w:pageBreakBefore w:val="0"/>
              <w:kinsoku/>
              <w:wordWrap/>
              <w:overflowPunct/>
              <w:bidi w:val="0"/>
              <w:adjustRightInd w:val="0"/>
              <w:spacing w:line="440" w:lineRule="exact"/>
              <w:jc w:val="left"/>
              <w:textAlignment w:val="auto"/>
              <w:outlineLvl w:val="0"/>
              <w:rPr>
                <w:rFonts w:hint="eastAsia" w:ascii="宋体" w:hAnsi="宋体" w:eastAsia="宋体" w:cs="宋体"/>
                <w:sz w:val="24"/>
              </w:rPr>
            </w:pPr>
            <w:r>
              <w:rPr>
                <w:rFonts w:hint="eastAsia" w:ascii="宋体" w:hAnsi="宋体" w:eastAsia="宋体" w:cs="宋体"/>
                <w:sz w:val="24"/>
              </w:rPr>
              <w:t>根据层级管理以及组织架构的科学、合理、稳定性，是否有管理、指挥、质量控制专业部门，并有相应的岗位描述等情况进行打分。</w:t>
            </w:r>
          </w:p>
          <w:p w14:paraId="70658D5A">
            <w:pPr>
              <w:keepNext w:val="0"/>
              <w:keepLines w:val="0"/>
              <w:pageBreakBefore w:val="0"/>
              <w:kinsoku/>
              <w:wordWrap/>
              <w:overflowPunct/>
              <w:bidi w:val="0"/>
              <w:adjustRightInd w:val="0"/>
              <w:spacing w:line="440" w:lineRule="exact"/>
              <w:jc w:val="left"/>
              <w:textAlignment w:val="auto"/>
              <w:outlineLvl w:val="0"/>
              <w:rPr>
                <w:rFonts w:hint="eastAsia" w:ascii="宋体" w:hAnsi="宋体" w:eastAsia="宋体" w:cs="宋体"/>
                <w:bCs/>
                <w:sz w:val="24"/>
                <w:szCs w:val="24"/>
                <w:lang w:val="en-US" w:eastAsia="zh-CN"/>
              </w:rPr>
            </w:pPr>
            <w:r>
              <w:rPr>
                <w:rFonts w:hint="eastAsia" w:ascii="宋体" w:hAnsi="宋体" w:eastAsia="宋体" w:cs="宋体"/>
                <w:b w:val="0"/>
                <w:bCs w:val="0"/>
                <w:sz w:val="24"/>
                <w:szCs w:val="24"/>
              </w:rPr>
              <w:t>方案完整且符合采购需求要求的得</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7</w:t>
            </w:r>
            <w:r>
              <w:rPr>
                <w:rFonts w:hint="eastAsia" w:ascii="宋体" w:hAnsi="宋体" w:eastAsia="宋体" w:cs="宋体"/>
                <w:b w:val="0"/>
                <w:bCs w:val="0"/>
                <w:sz w:val="24"/>
                <w:szCs w:val="24"/>
              </w:rPr>
              <w:t>分，部分符合或方案不完整的得2-</w:t>
            </w: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rPr>
              <w:t>.9分，方案内容严重不足或不符的得0-1.9分。</w:t>
            </w:r>
          </w:p>
        </w:tc>
        <w:tc>
          <w:tcPr>
            <w:tcW w:w="810" w:type="dxa"/>
            <w:shd w:val="clear" w:color="auto" w:fill="auto"/>
            <w:vAlign w:val="center"/>
          </w:tcPr>
          <w:p w14:paraId="4BC395A8">
            <w:pPr>
              <w:keepNext w:val="0"/>
              <w:keepLines w:val="0"/>
              <w:pageBreakBefore w:val="0"/>
              <w:widowControl/>
              <w:kinsoku/>
              <w:wordWrap/>
              <w:overflowPunct/>
              <w:bidi w:val="0"/>
              <w:adjustRightInd w:val="0"/>
              <w:spacing w:line="440" w:lineRule="exact"/>
              <w:jc w:val="center"/>
              <w:textAlignment w:val="auto"/>
              <w:rPr>
                <w:rFonts w:hint="eastAsia" w:ascii="宋体" w:hAnsi="宋体" w:eastAsia="宋体" w:cs="宋体"/>
                <w:bCs/>
                <w:sz w:val="24"/>
                <w:szCs w:val="24"/>
                <w:lang w:val="en-US" w:eastAsia="zh-CN"/>
              </w:rPr>
            </w:pPr>
            <w:r>
              <w:rPr>
                <w:rFonts w:hint="eastAsia" w:ascii="宋体" w:hAnsi="宋体" w:eastAsia="宋体" w:cs="宋体"/>
                <w:color w:val="auto"/>
                <w:kern w:val="3"/>
                <w:sz w:val="24"/>
                <w:szCs w:val="24"/>
                <w:highlight w:val="none"/>
                <w:vertAlign w:val="baseline"/>
                <w:lang w:val="en-US" w:eastAsia="zh-CN" w:bidi="ar-SA"/>
              </w:rPr>
              <w:t>7</w:t>
            </w:r>
          </w:p>
        </w:tc>
        <w:tc>
          <w:tcPr>
            <w:tcW w:w="1050" w:type="dxa"/>
            <w:vMerge w:val="continue"/>
            <w:vAlign w:val="center"/>
          </w:tcPr>
          <w:p w14:paraId="49D64B6A">
            <w:pPr>
              <w:keepNext w:val="0"/>
              <w:keepLines w:val="0"/>
              <w:pageBreakBefore w:val="0"/>
              <w:widowControl/>
              <w:kinsoku/>
              <w:wordWrap/>
              <w:overflowPunct/>
              <w:bidi w:val="0"/>
              <w:adjustRightInd w:val="0"/>
              <w:spacing w:line="440" w:lineRule="exact"/>
              <w:jc w:val="center"/>
              <w:textAlignment w:val="auto"/>
              <w:rPr>
                <w:rFonts w:hint="eastAsia" w:ascii="宋体" w:hAnsi="宋体" w:eastAsia="宋体" w:cs="宋体"/>
                <w:color w:val="auto"/>
                <w:sz w:val="24"/>
                <w:szCs w:val="24"/>
                <w:highlight w:val="none"/>
              </w:rPr>
            </w:pPr>
          </w:p>
        </w:tc>
        <w:tc>
          <w:tcPr>
            <w:tcW w:w="1095" w:type="dxa"/>
            <w:vMerge w:val="continue"/>
            <w:vAlign w:val="center"/>
          </w:tcPr>
          <w:p w14:paraId="59CD511B">
            <w:pPr>
              <w:keepNext w:val="0"/>
              <w:keepLines w:val="0"/>
              <w:pageBreakBefore w:val="0"/>
              <w:kinsoku/>
              <w:wordWrap/>
              <w:overflowPunct/>
              <w:bidi w:val="0"/>
              <w:adjustRightInd w:val="0"/>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p>
        </w:tc>
      </w:tr>
      <w:tr w14:paraId="6CF71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shd w:val="clear" w:color="auto" w:fill="auto"/>
            <w:vAlign w:val="center"/>
          </w:tcPr>
          <w:p w14:paraId="643EAC3A">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p>
        </w:tc>
        <w:tc>
          <w:tcPr>
            <w:tcW w:w="6974" w:type="dxa"/>
            <w:shd w:val="clear" w:color="auto" w:fill="auto"/>
            <w:vAlign w:val="center"/>
          </w:tcPr>
          <w:p w14:paraId="3B95D78C">
            <w:pPr>
              <w:pStyle w:val="2"/>
              <w:keepNext w:val="0"/>
              <w:keepLines w:val="0"/>
              <w:pageBreakBefore w:val="0"/>
              <w:widowControl w:val="0"/>
              <w:kinsoku/>
              <w:wordWrap/>
              <w:overflowPunct/>
              <w:bidi w:val="0"/>
              <w:adjustRightInd w:val="0"/>
              <w:spacing w:line="440" w:lineRule="exact"/>
              <w:ind w:left="0" w:leftChars="0" w:firstLine="0" w:firstLineChars="0"/>
              <w:jc w:val="both"/>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rPr>
              <w:t>根据投标供应商针对本项目制定的应急方案及措施内容的完善性、可行性等情况进行打分。</w:t>
            </w:r>
            <w:r>
              <w:rPr>
                <w:rFonts w:hint="eastAsia" w:ascii="宋体" w:hAnsi="宋体" w:eastAsia="宋体" w:cs="宋体"/>
                <w:b w:val="0"/>
                <w:bCs w:val="0"/>
                <w:sz w:val="24"/>
                <w:szCs w:val="24"/>
              </w:rPr>
              <w:t>方案完整且符合采购需求要求的得</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7</w:t>
            </w:r>
            <w:r>
              <w:rPr>
                <w:rFonts w:hint="eastAsia" w:ascii="宋体" w:hAnsi="宋体" w:eastAsia="宋体" w:cs="宋体"/>
                <w:b w:val="0"/>
                <w:bCs w:val="0"/>
                <w:sz w:val="24"/>
                <w:szCs w:val="24"/>
              </w:rPr>
              <w:t>分，部分符合或方案不完整的得2-</w:t>
            </w: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rPr>
              <w:t>.9分，方案内容严重不足或不符的得0-1.9分。</w:t>
            </w:r>
          </w:p>
        </w:tc>
        <w:tc>
          <w:tcPr>
            <w:tcW w:w="810" w:type="dxa"/>
            <w:shd w:val="clear" w:color="auto" w:fill="auto"/>
            <w:vAlign w:val="center"/>
          </w:tcPr>
          <w:p w14:paraId="6D554D26">
            <w:pPr>
              <w:keepNext w:val="0"/>
              <w:keepLines w:val="0"/>
              <w:pageBreakBefore w:val="0"/>
              <w:widowControl/>
              <w:kinsoku/>
              <w:wordWrap/>
              <w:overflowPunct/>
              <w:bidi w:val="0"/>
              <w:adjustRightInd w:val="0"/>
              <w:spacing w:line="440" w:lineRule="exact"/>
              <w:jc w:val="center"/>
              <w:textAlignment w:val="auto"/>
              <w:rPr>
                <w:rFonts w:hint="eastAsia" w:ascii="宋体" w:hAnsi="宋体" w:eastAsia="宋体" w:cs="宋体"/>
                <w:bCs/>
                <w:kern w:val="2"/>
                <w:sz w:val="24"/>
                <w:szCs w:val="24"/>
                <w:lang w:val="en-US" w:eastAsia="zh-CN" w:bidi="ar-SA"/>
              </w:rPr>
            </w:pPr>
            <w:r>
              <w:rPr>
                <w:rFonts w:hint="eastAsia" w:ascii="宋体" w:hAnsi="宋体" w:eastAsia="宋体" w:cs="宋体"/>
                <w:color w:val="auto"/>
                <w:kern w:val="3"/>
                <w:sz w:val="24"/>
                <w:szCs w:val="24"/>
                <w:highlight w:val="none"/>
                <w:vertAlign w:val="baseline"/>
                <w:lang w:val="en-US" w:eastAsia="zh-CN" w:bidi="ar-SA"/>
              </w:rPr>
              <w:t>7</w:t>
            </w:r>
          </w:p>
        </w:tc>
        <w:tc>
          <w:tcPr>
            <w:tcW w:w="1050" w:type="dxa"/>
            <w:vMerge w:val="continue"/>
            <w:shd w:val="clear" w:color="auto" w:fill="auto"/>
            <w:vAlign w:val="center"/>
          </w:tcPr>
          <w:p w14:paraId="26E39337">
            <w:pPr>
              <w:keepNext w:val="0"/>
              <w:keepLines w:val="0"/>
              <w:pageBreakBefore w:val="0"/>
              <w:widowControl/>
              <w:kinsoku/>
              <w:wordWrap/>
              <w:overflowPunct/>
              <w:bidi w:val="0"/>
              <w:adjustRightInd w:val="0"/>
              <w:spacing w:line="440" w:lineRule="exact"/>
              <w:jc w:val="center"/>
              <w:textAlignment w:val="auto"/>
              <w:rPr>
                <w:rFonts w:hint="eastAsia" w:ascii="宋体" w:hAnsi="宋体" w:eastAsia="宋体" w:cs="宋体"/>
                <w:bCs/>
                <w:color w:val="auto"/>
                <w:kern w:val="2"/>
                <w:sz w:val="24"/>
                <w:szCs w:val="24"/>
                <w:highlight w:val="none"/>
                <w:lang w:val="en-US" w:eastAsia="zh-CN" w:bidi="ar-SA"/>
              </w:rPr>
            </w:pPr>
          </w:p>
        </w:tc>
        <w:tc>
          <w:tcPr>
            <w:tcW w:w="1095" w:type="dxa"/>
            <w:vMerge w:val="continue"/>
            <w:shd w:val="clear" w:color="auto" w:fill="auto"/>
            <w:vAlign w:val="center"/>
          </w:tcPr>
          <w:p w14:paraId="1FF12150">
            <w:pPr>
              <w:keepNext w:val="0"/>
              <w:keepLines w:val="0"/>
              <w:pageBreakBefore w:val="0"/>
              <w:kinsoku/>
              <w:wordWrap/>
              <w:overflowPunct/>
              <w:bidi w:val="0"/>
              <w:adjustRightInd w:val="0"/>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p>
        </w:tc>
      </w:tr>
      <w:tr w14:paraId="2F2B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shd w:val="clear" w:color="auto" w:fill="auto"/>
            <w:vAlign w:val="center"/>
          </w:tcPr>
          <w:p w14:paraId="2EE8A208">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14</w:t>
            </w:r>
          </w:p>
        </w:tc>
        <w:tc>
          <w:tcPr>
            <w:tcW w:w="6974" w:type="dxa"/>
            <w:shd w:val="clear" w:color="auto" w:fill="auto"/>
            <w:vAlign w:val="center"/>
          </w:tcPr>
          <w:p w14:paraId="0B8E5CC0">
            <w:pPr>
              <w:keepNext w:val="0"/>
              <w:keepLines w:val="0"/>
              <w:pageBreakBefore w:val="0"/>
              <w:kinsoku/>
              <w:wordWrap/>
              <w:overflowPunct/>
              <w:bidi w:val="0"/>
              <w:adjustRightInd w:val="0"/>
              <w:spacing w:line="440" w:lineRule="exact"/>
              <w:jc w:val="left"/>
              <w:textAlignment w:val="auto"/>
              <w:outlineLvl w:val="0"/>
              <w:rPr>
                <w:rFonts w:hint="eastAsia" w:ascii="宋体" w:hAnsi="宋体" w:eastAsia="宋体" w:cs="宋体"/>
                <w:sz w:val="24"/>
                <w:lang w:val="en-US" w:eastAsia="zh-CN"/>
              </w:rPr>
            </w:pPr>
            <w:r>
              <w:rPr>
                <w:rFonts w:hint="eastAsia" w:ascii="宋体" w:hAnsi="宋体" w:eastAsia="宋体" w:cs="宋体"/>
                <w:sz w:val="24"/>
              </w:rPr>
              <w:t>实施意见、实施计划和实施流程安排、拆迁推进的合理化建议</w:t>
            </w:r>
            <w:r>
              <w:rPr>
                <w:rFonts w:hint="eastAsia" w:ascii="宋体" w:hAnsi="宋体" w:eastAsia="宋体" w:cs="宋体"/>
                <w:sz w:val="24"/>
                <w:lang w:eastAsia="zh-CN"/>
              </w:rPr>
              <w:t>。</w:t>
            </w:r>
            <w:r>
              <w:rPr>
                <w:rFonts w:hint="eastAsia" w:ascii="宋体" w:hAnsi="宋体" w:eastAsia="宋体" w:cs="宋体"/>
                <w:sz w:val="24"/>
              </w:rPr>
              <w:t>方案完整且符合采购需求要求的得</w:t>
            </w:r>
            <w:r>
              <w:rPr>
                <w:rFonts w:hint="eastAsia" w:ascii="宋体" w:hAnsi="宋体" w:eastAsia="宋体" w:cs="宋体"/>
                <w:sz w:val="24"/>
                <w:lang w:val="en-US" w:eastAsia="zh-CN"/>
              </w:rPr>
              <w:t>5</w:t>
            </w: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分，部分符合或方案不完整的得2-</w:t>
            </w:r>
            <w:r>
              <w:rPr>
                <w:rFonts w:hint="eastAsia" w:ascii="宋体" w:hAnsi="宋体" w:eastAsia="宋体" w:cs="宋体"/>
                <w:sz w:val="24"/>
                <w:lang w:val="en-US" w:eastAsia="zh-CN"/>
              </w:rPr>
              <w:t>4</w:t>
            </w:r>
            <w:r>
              <w:rPr>
                <w:rFonts w:hint="eastAsia" w:ascii="宋体" w:hAnsi="宋体" w:eastAsia="宋体" w:cs="宋体"/>
                <w:sz w:val="24"/>
              </w:rPr>
              <w:t>.9分，方案内容严重不足或不符的得0-1.9分。</w:t>
            </w:r>
          </w:p>
        </w:tc>
        <w:tc>
          <w:tcPr>
            <w:tcW w:w="810" w:type="dxa"/>
            <w:shd w:val="clear" w:color="auto" w:fill="auto"/>
            <w:vAlign w:val="center"/>
          </w:tcPr>
          <w:p w14:paraId="11E8E81B">
            <w:pPr>
              <w:keepNext w:val="0"/>
              <w:keepLines w:val="0"/>
              <w:pageBreakBefore w:val="0"/>
              <w:widowControl/>
              <w:kinsoku/>
              <w:wordWrap/>
              <w:overflowPunct/>
              <w:bidi w:val="0"/>
              <w:adjustRightInd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3"/>
                <w:sz w:val="24"/>
                <w:szCs w:val="24"/>
                <w:highlight w:val="none"/>
                <w:vertAlign w:val="baseline"/>
                <w:lang w:val="en-US" w:eastAsia="zh-CN" w:bidi="ar-SA"/>
              </w:rPr>
              <w:t>6</w:t>
            </w:r>
          </w:p>
        </w:tc>
        <w:tc>
          <w:tcPr>
            <w:tcW w:w="1050" w:type="dxa"/>
            <w:shd w:val="clear" w:color="auto" w:fill="auto"/>
            <w:vAlign w:val="center"/>
          </w:tcPr>
          <w:p w14:paraId="5DD9C260">
            <w:pPr>
              <w:keepNext w:val="0"/>
              <w:keepLines w:val="0"/>
              <w:pageBreakBefore w:val="0"/>
              <w:widowControl/>
              <w:kinsoku/>
              <w:wordWrap/>
              <w:overflowPunct/>
              <w:bidi w:val="0"/>
              <w:adjustRightInd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主观分</w:t>
            </w:r>
          </w:p>
        </w:tc>
        <w:tc>
          <w:tcPr>
            <w:tcW w:w="1095" w:type="dxa"/>
            <w:shd w:val="clear" w:color="auto" w:fill="auto"/>
            <w:vAlign w:val="center"/>
          </w:tcPr>
          <w:p w14:paraId="5B150044">
            <w:pPr>
              <w:keepNext w:val="0"/>
              <w:keepLines w:val="0"/>
              <w:pageBreakBefore w:val="0"/>
              <w:kinsoku/>
              <w:wordWrap/>
              <w:overflowPunct/>
              <w:bidi w:val="0"/>
              <w:adjustRightInd w:val="0"/>
              <w:spacing w:line="440" w:lineRule="exact"/>
              <w:jc w:val="center"/>
              <w:textAlignment w:val="auto"/>
              <w:rPr>
                <w:rFonts w:hint="eastAsia" w:ascii="宋体" w:hAnsi="宋体" w:eastAsia="宋体" w:cs="宋体"/>
                <w:sz w:val="24"/>
              </w:rPr>
            </w:pPr>
            <w:r>
              <w:rPr>
                <w:rFonts w:hint="eastAsia" w:ascii="宋体" w:hAnsi="宋体" w:eastAsia="宋体" w:cs="宋体"/>
                <w:sz w:val="24"/>
              </w:rPr>
              <w:t>合理化</w:t>
            </w:r>
          </w:p>
          <w:p w14:paraId="103BE7D8">
            <w:pPr>
              <w:keepNext w:val="0"/>
              <w:keepLines w:val="0"/>
              <w:pageBreakBefore w:val="0"/>
              <w:kinsoku/>
              <w:wordWrap/>
              <w:overflowPunct/>
              <w:bidi w:val="0"/>
              <w:adjustRightInd w:val="0"/>
              <w:spacing w:line="440" w:lineRule="exact"/>
              <w:jc w:val="center"/>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sz w:val="24"/>
              </w:rPr>
              <w:t>建议</w:t>
            </w:r>
          </w:p>
        </w:tc>
      </w:tr>
      <w:tr w14:paraId="6785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shd w:val="clear" w:color="auto" w:fill="auto"/>
            <w:vAlign w:val="center"/>
          </w:tcPr>
          <w:p w14:paraId="01116BDC">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6974" w:type="dxa"/>
            <w:shd w:val="clear" w:color="auto" w:fill="auto"/>
            <w:vAlign w:val="center"/>
          </w:tcPr>
          <w:p w14:paraId="20738E5A">
            <w:pPr>
              <w:keepNext w:val="0"/>
              <w:keepLines w:val="0"/>
              <w:pageBreakBefore w:val="0"/>
              <w:kinsoku/>
              <w:wordWrap/>
              <w:overflowPunct/>
              <w:bidi w:val="0"/>
              <w:adjustRightInd w:val="0"/>
              <w:spacing w:line="440" w:lineRule="exact"/>
              <w:jc w:val="left"/>
              <w:textAlignment w:val="auto"/>
              <w:outlineLvl w:val="0"/>
              <w:rPr>
                <w:rFonts w:hint="eastAsia" w:ascii="宋体" w:hAnsi="宋体" w:eastAsia="宋体" w:cs="宋体"/>
                <w:sz w:val="24"/>
                <w:lang w:val="en-US" w:eastAsia="zh-CN"/>
              </w:rPr>
            </w:pPr>
            <w:r>
              <w:rPr>
                <w:rFonts w:hint="eastAsia" w:ascii="宋体" w:hAnsi="宋体" w:eastAsia="宋体" w:cs="宋体"/>
                <w:sz w:val="24"/>
              </w:rPr>
              <w:t>是否给出优惠和承诺，程度如何；对后续服务等方面的优惠承诺，以及针对本次采购的其他特殊优惠承诺等情况。方案完整且符合采购需求要求的得</w:t>
            </w:r>
            <w:r>
              <w:rPr>
                <w:rFonts w:hint="eastAsia" w:ascii="宋体" w:hAnsi="宋体" w:eastAsia="宋体" w:cs="宋体"/>
                <w:sz w:val="24"/>
                <w:lang w:val="en-US" w:eastAsia="zh-CN"/>
              </w:rPr>
              <w:t>5</w:t>
            </w: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分，部分符合或方案不完整的得2-</w:t>
            </w:r>
            <w:r>
              <w:rPr>
                <w:rFonts w:hint="eastAsia" w:ascii="宋体" w:hAnsi="宋体" w:eastAsia="宋体" w:cs="宋体"/>
                <w:sz w:val="24"/>
                <w:lang w:val="en-US" w:eastAsia="zh-CN"/>
              </w:rPr>
              <w:t>4</w:t>
            </w:r>
            <w:r>
              <w:rPr>
                <w:rFonts w:hint="eastAsia" w:ascii="宋体" w:hAnsi="宋体" w:eastAsia="宋体" w:cs="宋体"/>
                <w:sz w:val="24"/>
              </w:rPr>
              <w:t>.9分，方案内容严重不足或不符的得0-1.9分。</w:t>
            </w:r>
          </w:p>
        </w:tc>
        <w:tc>
          <w:tcPr>
            <w:tcW w:w="810" w:type="dxa"/>
            <w:shd w:val="clear" w:color="auto" w:fill="auto"/>
            <w:vAlign w:val="center"/>
          </w:tcPr>
          <w:p w14:paraId="76B5926D">
            <w:pPr>
              <w:widowControl/>
              <w:spacing w:line="240" w:lineRule="auto"/>
              <w:jc w:val="center"/>
              <w:rPr>
                <w:rFonts w:hint="eastAsia" w:ascii="宋体" w:hAnsi="宋体" w:eastAsia="宋体" w:cs="宋体"/>
                <w:color w:val="auto"/>
                <w:kern w:val="3"/>
                <w:sz w:val="24"/>
                <w:szCs w:val="24"/>
                <w:highlight w:val="none"/>
                <w:vertAlign w:val="baseline"/>
                <w:lang w:val="en-US" w:eastAsia="zh-CN" w:bidi="ar-SA"/>
              </w:rPr>
            </w:pPr>
            <w:r>
              <w:rPr>
                <w:rFonts w:hint="eastAsia" w:ascii="宋体" w:hAnsi="宋体" w:eastAsia="宋体" w:cs="宋体"/>
                <w:color w:val="auto"/>
                <w:kern w:val="3"/>
                <w:sz w:val="24"/>
                <w:szCs w:val="24"/>
                <w:highlight w:val="none"/>
                <w:vertAlign w:val="baseline"/>
                <w:lang w:val="en-US" w:eastAsia="zh-CN" w:bidi="ar-SA"/>
              </w:rPr>
              <w:t>6</w:t>
            </w:r>
          </w:p>
        </w:tc>
        <w:tc>
          <w:tcPr>
            <w:tcW w:w="1050" w:type="dxa"/>
            <w:shd w:val="clear" w:color="auto" w:fill="auto"/>
            <w:vAlign w:val="center"/>
          </w:tcPr>
          <w:p w14:paraId="0E53670E">
            <w:pPr>
              <w:widowControl/>
              <w:spacing w:line="240" w:lineRule="auto"/>
              <w:jc w:val="center"/>
              <w:rPr>
                <w:rFonts w:hint="eastAsia" w:ascii="宋体" w:hAnsi="宋体" w:eastAsia="宋体" w:cs="宋体"/>
                <w:color w:val="auto"/>
                <w:kern w:val="3"/>
                <w:sz w:val="24"/>
                <w:szCs w:val="24"/>
                <w:highlight w:val="none"/>
                <w:vertAlign w:val="baseline"/>
                <w:lang w:val="en-US" w:eastAsia="zh-CN" w:bidi="ar-SA"/>
              </w:rPr>
            </w:pPr>
            <w:r>
              <w:rPr>
                <w:rFonts w:hint="eastAsia" w:cs="仿宋_GB2312" w:asciiTheme="minorEastAsia" w:hAnsiTheme="minorEastAsia" w:eastAsiaTheme="minorEastAsia"/>
                <w:bCs/>
                <w:color w:val="auto"/>
                <w:sz w:val="24"/>
                <w:highlight w:val="none"/>
              </w:rPr>
              <w:t>主观分</w:t>
            </w:r>
          </w:p>
        </w:tc>
        <w:tc>
          <w:tcPr>
            <w:tcW w:w="1095" w:type="dxa"/>
            <w:shd w:val="clear" w:color="auto" w:fill="auto"/>
            <w:vAlign w:val="center"/>
          </w:tcPr>
          <w:p w14:paraId="5ABA541A">
            <w:pPr>
              <w:spacing w:line="240" w:lineRule="auto"/>
              <w:ind w:left="0" w:leftChars="0" w:firstLine="0" w:firstLineChars="0"/>
              <w:jc w:val="center"/>
              <w:rPr>
                <w:rFonts w:hint="eastAsia" w:ascii="宋体" w:hAnsi="宋体" w:eastAsia="宋体" w:cs="宋体"/>
                <w:color w:val="auto"/>
                <w:kern w:val="3"/>
                <w:sz w:val="24"/>
                <w:szCs w:val="24"/>
                <w:highlight w:val="none"/>
                <w:vertAlign w:val="baseline"/>
                <w:lang w:val="en-US" w:eastAsia="zh-CN" w:bidi="ar-SA"/>
              </w:rPr>
            </w:pPr>
            <w:r>
              <w:rPr>
                <w:rFonts w:hint="eastAsia" w:ascii="宋体" w:hAnsi="宋体" w:eastAsia="宋体" w:cs="宋体"/>
                <w:sz w:val="24"/>
              </w:rPr>
              <w:t>承诺和优惠情况</w:t>
            </w:r>
          </w:p>
        </w:tc>
      </w:tr>
      <w:tr w14:paraId="28FD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shd w:val="clear" w:color="auto" w:fill="auto"/>
            <w:vAlign w:val="center"/>
          </w:tcPr>
          <w:p w14:paraId="31172D63">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6</w:t>
            </w:r>
          </w:p>
        </w:tc>
        <w:tc>
          <w:tcPr>
            <w:tcW w:w="6974" w:type="dxa"/>
            <w:shd w:val="clear" w:color="auto" w:fill="auto"/>
            <w:vAlign w:val="top"/>
          </w:tcPr>
          <w:p w14:paraId="27A5A209">
            <w:pPr>
              <w:keepNext w:val="0"/>
              <w:keepLines w:val="0"/>
              <w:pageBreakBefore w:val="0"/>
              <w:widowControl w:val="0"/>
              <w:kinsoku/>
              <w:wordWrap/>
              <w:overflowPunct/>
              <w:topLinePunct w:val="0"/>
              <w:autoSpaceDE/>
              <w:autoSpaceDN/>
              <w:bidi w:val="0"/>
              <w:adjustRightInd w:val="0"/>
              <w:snapToGrid/>
              <w:spacing w:line="44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有效投标报价</w:t>
            </w:r>
            <w:r>
              <w:rPr>
                <w:rFonts w:hint="eastAsia" w:ascii="宋体" w:hAnsi="宋体" w:eastAsia="宋体" w:cs="宋体"/>
                <w:sz w:val="24"/>
                <w:szCs w:val="24"/>
                <w:highlight w:val="none"/>
              </w:rPr>
              <w:t>的最低价作为评标基</w:t>
            </w:r>
            <w:r>
              <w:rPr>
                <w:rFonts w:hint="eastAsia" w:ascii="宋体" w:hAnsi="宋体" w:eastAsia="宋体" w:cs="宋体"/>
                <w:sz w:val="24"/>
                <w:szCs w:val="24"/>
              </w:rPr>
              <w:t>准价，其最低报价为满分；按［投标报价得分=（评标基准价/投标报价）*</w:t>
            </w:r>
            <w:r>
              <w:rPr>
                <w:rFonts w:hint="eastAsia" w:ascii="宋体" w:hAnsi="宋体" w:eastAsia="宋体" w:cs="宋体"/>
                <w:sz w:val="24"/>
                <w:szCs w:val="24"/>
                <w:lang w:val="en-US" w:eastAsia="zh-CN"/>
              </w:rPr>
              <w:t>1</w:t>
            </w:r>
            <w:r>
              <w:rPr>
                <w:rFonts w:hint="eastAsia" w:ascii="宋体" w:hAnsi="宋体" w:eastAsia="宋体" w:cs="宋体"/>
                <w:sz w:val="24"/>
                <w:szCs w:val="24"/>
              </w:rPr>
              <w:t>0］的计算公式计算。</w:t>
            </w:r>
          </w:p>
          <w:p w14:paraId="1AD2384F">
            <w:pPr>
              <w:keepNext w:val="0"/>
              <w:keepLines w:val="0"/>
              <w:pageBreakBefore w:val="0"/>
              <w:widowControl w:val="0"/>
              <w:kinsoku/>
              <w:wordWrap/>
              <w:overflowPunct/>
              <w:topLinePunct w:val="0"/>
              <w:autoSpaceDE/>
              <w:autoSpaceDN/>
              <w:bidi w:val="0"/>
              <w:adjustRightInd w:val="0"/>
              <w:snapToGrid/>
              <w:spacing w:line="44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评标过程中，不得去掉报价中的最高报价和最低报价。</w:t>
            </w:r>
          </w:p>
          <w:p w14:paraId="2A9E7E5B">
            <w:pPr>
              <w:keepNext w:val="0"/>
              <w:keepLines w:val="0"/>
              <w:pageBreakBefore w:val="0"/>
              <w:widowControl w:val="0"/>
              <w:kinsoku/>
              <w:wordWrap/>
              <w:overflowPunct/>
              <w:topLinePunct w:val="0"/>
              <w:autoSpaceDE/>
              <w:autoSpaceDN/>
              <w:bidi w:val="0"/>
              <w:adjustRightInd w:val="0"/>
              <w:snapToGrid/>
              <w:spacing w:line="440" w:lineRule="exact"/>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报价是中标的一个重要因素，但最低报价不是中标的唯一依据。</w:t>
            </w:r>
          </w:p>
        </w:tc>
        <w:tc>
          <w:tcPr>
            <w:tcW w:w="810" w:type="dxa"/>
            <w:shd w:val="clear" w:color="auto" w:fill="auto"/>
            <w:vAlign w:val="center"/>
          </w:tcPr>
          <w:p w14:paraId="0A2C6870">
            <w:pPr>
              <w:keepNext w:val="0"/>
              <w:keepLines w:val="0"/>
              <w:pageBreakBefore w:val="0"/>
              <w:widowControl w:val="0"/>
              <w:kinsoku/>
              <w:wordWrap/>
              <w:overflowPunct/>
              <w:topLinePunct w:val="0"/>
              <w:autoSpaceDE/>
              <w:autoSpaceDN/>
              <w:bidi w:val="0"/>
              <w:adjustRightInd w:val="0"/>
              <w:snapToGrid/>
              <w:spacing w:line="440" w:lineRule="exact"/>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1050" w:type="dxa"/>
            <w:shd w:val="clear" w:color="auto" w:fill="auto"/>
            <w:vAlign w:val="center"/>
          </w:tcPr>
          <w:p w14:paraId="7F84FDBD">
            <w:pPr>
              <w:keepNext w:val="0"/>
              <w:keepLines w:val="0"/>
              <w:pageBreakBefore w:val="0"/>
              <w:widowControl w:val="0"/>
              <w:kinsoku/>
              <w:wordWrap/>
              <w:overflowPunct/>
              <w:topLinePunct w:val="0"/>
              <w:autoSpaceDE/>
              <w:autoSpaceDN/>
              <w:bidi w:val="0"/>
              <w:adjustRightInd w:val="0"/>
              <w:snapToGrid/>
              <w:spacing w:line="440" w:lineRule="exact"/>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095" w:type="dxa"/>
            <w:shd w:val="clear" w:color="auto" w:fill="auto"/>
            <w:vAlign w:val="center"/>
          </w:tcPr>
          <w:p w14:paraId="6112B08B">
            <w:pPr>
              <w:keepNext w:val="0"/>
              <w:keepLines w:val="0"/>
              <w:pageBreakBefore w:val="0"/>
              <w:widowControl w:val="0"/>
              <w:kinsoku/>
              <w:wordWrap/>
              <w:overflowPunct/>
              <w:topLinePunct w:val="0"/>
              <w:autoSpaceDE/>
              <w:autoSpaceDN/>
              <w:bidi w:val="0"/>
              <w:adjustRightInd w:val="0"/>
              <w:snapToGrid/>
              <w:spacing w:line="440" w:lineRule="exact"/>
              <w:ind w:firstLine="0" w:firstLineChars="0"/>
              <w:jc w:val="center"/>
              <w:textAlignment w:val="auto"/>
              <w:rPr>
                <w:rFonts w:hint="eastAsia" w:ascii="宋体" w:hAnsi="宋体" w:eastAsia="宋体" w:cs="宋体"/>
                <w:kern w:val="2"/>
                <w:sz w:val="24"/>
                <w:szCs w:val="24"/>
                <w:lang w:val="en-US" w:eastAsia="zh-CN" w:bidi="ar-SA"/>
              </w:rPr>
            </w:pPr>
          </w:p>
        </w:tc>
      </w:tr>
    </w:tbl>
    <w:p w14:paraId="40DCE775">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1名</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7"/>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7"/>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7"/>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7"/>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7"/>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7"/>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7"/>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7"/>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7"/>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7"/>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7"/>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7"/>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7"/>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7"/>
        <w:snapToGrid w:val="0"/>
        <w:spacing w:line="360" w:lineRule="auto"/>
        <w:ind w:firstLine="0" w:firstLineChars="0"/>
        <w:rPr>
          <w:rFonts w:cs="宋体"/>
          <w:color w:val="auto"/>
          <w:highlight w:val="none"/>
        </w:rPr>
      </w:pPr>
    </w:p>
    <w:bookmarkEnd w:id="27"/>
    <w:p w14:paraId="414513D2">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5F8611A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436DE59">
      <w:pPr>
        <w:spacing w:line="360" w:lineRule="auto"/>
        <w:ind w:left="720" w:leftChars="343" w:firstLine="1084" w:firstLineChars="300"/>
        <w:outlineLvl w:val="0"/>
        <w:rPr>
          <w:rFonts w:ascii="宋体" w:hAnsi="宋体" w:cs="宋体"/>
          <w:b/>
          <w:color w:val="auto"/>
          <w:sz w:val="36"/>
          <w:szCs w:val="36"/>
          <w:highlight w:val="none"/>
        </w:rPr>
      </w:pPr>
    </w:p>
    <w:p w14:paraId="6D25ECCD">
      <w:pPr>
        <w:spacing w:line="360" w:lineRule="auto"/>
        <w:ind w:left="720" w:leftChars="343" w:firstLine="1084" w:firstLineChars="300"/>
        <w:outlineLvl w:val="0"/>
        <w:rPr>
          <w:rFonts w:ascii="宋体" w:hAnsi="宋体" w:cs="宋体"/>
          <w:b/>
          <w:color w:val="auto"/>
          <w:sz w:val="36"/>
          <w:szCs w:val="36"/>
          <w:highlight w:val="none"/>
        </w:rPr>
      </w:pPr>
    </w:p>
    <w:p w14:paraId="2CC431D9">
      <w:pPr>
        <w:spacing w:line="360" w:lineRule="auto"/>
        <w:ind w:left="720" w:leftChars="343" w:firstLine="1084" w:firstLineChars="300"/>
        <w:outlineLvl w:val="0"/>
        <w:rPr>
          <w:rFonts w:ascii="宋体" w:hAnsi="宋体" w:cs="宋体"/>
          <w:b/>
          <w:color w:val="auto"/>
          <w:sz w:val="36"/>
          <w:szCs w:val="36"/>
          <w:highlight w:val="none"/>
        </w:rPr>
      </w:pPr>
    </w:p>
    <w:p w14:paraId="027BB869">
      <w:pPr>
        <w:spacing w:line="360" w:lineRule="auto"/>
        <w:ind w:left="720" w:leftChars="343" w:firstLine="1084" w:firstLineChars="300"/>
        <w:outlineLvl w:val="0"/>
        <w:rPr>
          <w:rFonts w:ascii="宋体" w:hAnsi="宋体" w:cs="宋体"/>
          <w:b/>
          <w:color w:val="auto"/>
          <w:sz w:val="36"/>
          <w:szCs w:val="36"/>
          <w:highlight w:val="none"/>
        </w:rPr>
      </w:pPr>
    </w:p>
    <w:p w14:paraId="6D191506">
      <w:pPr>
        <w:spacing w:line="360" w:lineRule="auto"/>
        <w:ind w:left="720" w:leftChars="343" w:firstLine="1084" w:firstLineChars="300"/>
        <w:outlineLvl w:val="0"/>
        <w:rPr>
          <w:rFonts w:ascii="宋体" w:hAnsi="宋体" w:cs="宋体"/>
          <w:b/>
          <w:color w:val="auto"/>
          <w:sz w:val="36"/>
          <w:szCs w:val="36"/>
          <w:highlight w:val="none"/>
        </w:rPr>
      </w:pPr>
    </w:p>
    <w:p w14:paraId="1100B8C1">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703"/>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4"/>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600"/>
        <w:spacing w:before="120" w:line="22" w:lineRule="atLeast"/>
        <w:rPr>
          <w:rFonts w:ascii="宋体" w:hAnsi="宋体" w:eastAsia="宋体" w:cs="宋体"/>
          <w:color w:val="auto"/>
          <w:szCs w:val="24"/>
          <w:highlight w:val="none"/>
        </w:rPr>
      </w:pPr>
    </w:p>
    <w:p w14:paraId="5912128F">
      <w:pPr>
        <w:pStyle w:val="600"/>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桐庐县江南镇人民政府</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公开招标</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桐庐县高新区(江南园区)集体土地征收及搬迁项目(一期)评估服务项目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桐庐县江南镇人民政府</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395" w:name="_Toc28855"/>
      <w:bookmarkStart w:id="396" w:name="_Toc20421"/>
      <w:bookmarkStart w:id="397" w:name="_Toc22967"/>
      <w:bookmarkStart w:id="398" w:name="_Toc19273"/>
      <w:bookmarkStart w:id="399"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400" w:name="_Toc6773"/>
      <w:bookmarkStart w:id="401" w:name="_Toc6311"/>
      <w:bookmarkStart w:id="402" w:name="_Toc22185"/>
      <w:bookmarkStart w:id="403" w:name="_Toc18585"/>
      <w:bookmarkStart w:id="404"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bookmarkStart w:id="405" w:name="_Toc5635"/>
      <w:bookmarkStart w:id="406" w:name="_Toc1386"/>
      <w:bookmarkStart w:id="407" w:name="_Toc4929"/>
      <w:bookmarkStart w:id="408" w:name="_Toc13918"/>
      <w:bookmarkStart w:id="409" w:name="_Toc21124"/>
      <w:r>
        <w:rPr>
          <w:rFonts w:ascii="宋体" w:hAnsi="宋体"/>
          <w:b/>
          <w:color w:val="auto"/>
          <w:sz w:val="24"/>
          <w:highlight w:val="none"/>
        </w:rPr>
        <w:t>1.3 价款</w:t>
      </w:r>
      <w:bookmarkEnd w:id="405"/>
      <w:bookmarkEnd w:id="406"/>
      <w:bookmarkEnd w:id="407"/>
      <w:bookmarkEnd w:id="408"/>
      <w:bookmarkEnd w:id="409"/>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2"/>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322"/>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322"/>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2"/>
              <w:spacing w:line="560" w:lineRule="exact"/>
              <w:ind w:firstLine="200"/>
              <w:jc w:val="center"/>
              <w:rPr>
                <w:rFonts w:hAnsi="宋体"/>
                <w:color w:val="auto"/>
                <w:sz w:val="24"/>
                <w:szCs w:val="24"/>
                <w:highlight w:val="none"/>
              </w:rPr>
            </w:pPr>
          </w:p>
        </w:tc>
        <w:tc>
          <w:tcPr>
            <w:tcW w:w="3402" w:type="dxa"/>
            <w:vAlign w:val="center"/>
          </w:tcPr>
          <w:p w14:paraId="66BDB431">
            <w:pPr>
              <w:pStyle w:val="322"/>
              <w:spacing w:line="560" w:lineRule="exact"/>
              <w:ind w:firstLine="200"/>
              <w:jc w:val="center"/>
              <w:rPr>
                <w:rFonts w:hAnsi="宋体"/>
                <w:color w:val="auto"/>
                <w:sz w:val="24"/>
                <w:szCs w:val="24"/>
                <w:highlight w:val="none"/>
              </w:rPr>
            </w:pPr>
          </w:p>
        </w:tc>
        <w:tc>
          <w:tcPr>
            <w:tcW w:w="2552" w:type="dxa"/>
            <w:vAlign w:val="center"/>
          </w:tcPr>
          <w:p w14:paraId="0EC443E3">
            <w:pPr>
              <w:pStyle w:val="322"/>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2"/>
              <w:spacing w:line="560" w:lineRule="exact"/>
              <w:ind w:firstLine="200"/>
              <w:jc w:val="center"/>
              <w:rPr>
                <w:rFonts w:hAnsi="宋体"/>
                <w:color w:val="auto"/>
                <w:sz w:val="24"/>
                <w:szCs w:val="24"/>
                <w:highlight w:val="none"/>
              </w:rPr>
            </w:pPr>
          </w:p>
        </w:tc>
        <w:tc>
          <w:tcPr>
            <w:tcW w:w="3402" w:type="dxa"/>
            <w:vAlign w:val="center"/>
          </w:tcPr>
          <w:p w14:paraId="26CA5BD6">
            <w:pPr>
              <w:pStyle w:val="322"/>
              <w:spacing w:line="560" w:lineRule="exact"/>
              <w:ind w:firstLine="200"/>
              <w:jc w:val="center"/>
              <w:rPr>
                <w:rFonts w:hAnsi="宋体"/>
                <w:color w:val="auto"/>
                <w:sz w:val="24"/>
                <w:szCs w:val="24"/>
                <w:highlight w:val="none"/>
              </w:rPr>
            </w:pPr>
          </w:p>
        </w:tc>
        <w:tc>
          <w:tcPr>
            <w:tcW w:w="2552" w:type="dxa"/>
            <w:vAlign w:val="center"/>
          </w:tcPr>
          <w:p w14:paraId="0258EB1E">
            <w:pPr>
              <w:pStyle w:val="322"/>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2"/>
              <w:spacing w:line="560" w:lineRule="exact"/>
              <w:ind w:firstLine="200"/>
              <w:jc w:val="center"/>
              <w:rPr>
                <w:rFonts w:hAnsi="宋体"/>
                <w:color w:val="auto"/>
                <w:sz w:val="24"/>
                <w:szCs w:val="24"/>
                <w:highlight w:val="none"/>
              </w:rPr>
            </w:pPr>
          </w:p>
        </w:tc>
        <w:tc>
          <w:tcPr>
            <w:tcW w:w="3402" w:type="dxa"/>
            <w:vAlign w:val="center"/>
          </w:tcPr>
          <w:p w14:paraId="637D5711">
            <w:pPr>
              <w:pStyle w:val="322"/>
              <w:spacing w:line="560" w:lineRule="exact"/>
              <w:ind w:firstLine="200"/>
              <w:jc w:val="center"/>
              <w:rPr>
                <w:rFonts w:hAnsi="宋体"/>
                <w:color w:val="auto"/>
                <w:sz w:val="24"/>
                <w:szCs w:val="24"/>
                <w:highlight w:val="none"/>
              </w:rPr>
            </w:pPr>
          </w:p>
        </w:tc>
        <w:tc>
          <w:tcPr>
            <w:tcW w:w="2552" w:type="dxa"/>
            <w:vAlign w:val="center"/>
          </w:tcPr>
          <w:p w14:paraId="42D0E712">
            <w:pPr>
              <w:pStyle w:val="322"/>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2"/>
              <w:spacing w:line="560" w:lineRule="exact"/>
              <w:ind w:firstLine="200"/>
              <w:jc w:val="center"/>
              <w:rPr>
                <w:rFonts w:hAnsi="宋体"/>
                <w:color w:val="auto"/>
                <w:sz w:val="24"/>
                <w:szCs w:val="24"/>
                <w:highlight w:val="none"/>
              </w:rPr>
            </w:pPr>
          </w:p>
        </w:tc>
        <w:tc>
          <w:tcPr>
            <w:tcW w:w="3402" w:type="dxa"/>
            <w:vAlign w:val="center"/>
          </w:tcPr>
          <w:p w14:paraId="14D192BB">
            <w:pPr>
              <w:pStyle w:val="322"/>
              <w:spacing w:line="560" w:lineRule="exact"/>
              <w:ind w:firstLine="200"/>
              <w:jc w:val="center"/>
              <w:rPr>
                <w:rFonts w:hAnsi="宋体"/>
                <w:color w:val="auto"/>
                <w:sz w:val="24"/>
                <w:szCs w:val="24"/>
                <w:highlight w:val="none"/>
              </w:rPr>
            </w:pPr>
          </w:p>
        </w:tc>
        <w:tc>
          <w:tcPr>
            <w:tcW w:w="2552" w:type="dxa"/>
            <w:vAlign w:val="center"/>
          </w:tcPr>
          <w:p w14:paraId="0E5769EB">
            <w:pPr>
              <w:pStyle w:val="322"/>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2"/>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322"/>
              <w:spacing w:line="560" w:lineRule="exact"/>
              <w:ind w:firstLine="200"/>
              <w:jc w:val="center"/>
              <w:rPr>
                <w:rFonts w:hAnsi="宋体"/>
                <w:color w:val="auto"/>
                <w:sz w:val="24"/>
                <w:szCs w:val="24"/>
                <w:highlight w:val="none"/>
              </w:rPr>
            </w:pPr>
          </w:p>
        </w:tc>
      </w:tr>
    </w:tbl>
    <w:p w14:paraId="7B981D6D">
      <w:pPr>
        <w:spacing w:line="560" w:lineRule="exact"/>
        <w:ind w:firstLine="480" w:firstLineChars="200"/>
        <w:rPr>
          <w:rFonts w:ascii="宋体" w:hAnsi="宋体"/>
          <w:sz w:val="24"/>
        </w:rPr>
      </w:pPr>
      <w:bookmarkStart w:id="410" w:name="_Toc30506"/>
      <w:bookmarkStart w:id="411" w:name="_Toc26916"/>
      <w:bookmarkStart w:id="412" w:name="_Toc3654"/>
      <w:bookmarkStart w:id="413" w:name="_Toc30158"/>
      <w:bookmarkStart w:id="414" w:name="_Toc14993"/>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1D43D79A">
      <w:pPr>
        <w:pStyle w:val="4"/>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0"/>
    <w:bookmarkEnd w:id="411"/>
    <w:bookmarkEnd w:id="412"/>
    <w:bookmarkEnd w:id="413"/>
    <w:bookmarkEnd w:id="414"/>
    <w:p w14:paraId="6B643519">
      <w:pPr>
        <w:pStyle w:val="961"/>
        <w:spacing w:before="0" w:beforeAutospacing="0" w:after="0" w:afterAutospacing="0" w:line="360" w:lineRule="auto"/>
        <w:ind w:firstLine="480"/>
        <w:rPr>
          <w:b/>
        </w:rPr>
      </w:pPr>
      <w:bookmarkStart w:id="415" w:name="_Toc10340"/>
      <w:bookmarkStart w:id="416" w:name="_Toc22618"/>
      <w:bookmarkStart w:id="417" w:name="_Toc1814"/>
      <w:bookmarkStart w:id="418" w:name="_Toc8772"/>
      <w:bookmarkStart w:id="419" w:name="_Toc3625"/>
      <w:bookmarkStart w:id="420" w:name="_Toc31421"/>
      <w:bookmarkStart w:id="421" w:name="_Toc11108"/>
      <w:bookmarkStart w:id="422" w:name="_Toc4760"/>
      <w:r>
        <w:rPr>
          <w:rFonts w:hint="eastAsia"/>
          <w:b/>
        </w:rPr>
        <w:t>1.4履约保证金</w:t>
      </w:r>
    </w:p>
    <w:p w14:paraId="579E3160">
      <w:pPr>
        <w:pStyle w:val="961"/>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561DA983">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1A192461">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39B77269">
      <w:pPr>
        <w:spacing w:line="560" w:lineRule="exact"/>
        <w:ind w:firstLine="480" w:firstLineChars="200"/>
        <w:outlineLvl w:val="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4F3C262">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6D0C86CF">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5"/>
      <w:bookmarkEnd w:id="416"/>
      <w:bookmarkEnd w:id="417"/>
      <w:r>
        <w:rPr>
          <w:rFonts w:hint="eastAsia" w:ascii="宋体" w:hAnsi="宋体" w:cs="宋体"/>
          <w:b/>
          <w:sz w:val="24"/>
        </w:rPr>
        <w:t>预付款</w:t>
      </w:r>
    </w:p>
    <w:p w14:paraId="3A52066E">
      <w:pPr>
        <w:pStyle w:val="961"/>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5A5DB25B">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46FFD0E2">
      <w:pPr>
        <w:pStyle w:val="961"/>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4F022A27">
      <w:pPr>
        <w:pStyle w:val="961"/>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4ABCFC16">
      <w:pPr>
        <w:pStyle w:val="961"/>
        <w:spacing w:before="0" w:beforeAutospacing="0" w:after="0" w:afterAutospacing="0" w:line="360" w:lineRule="auto"/>
        <w:ind w:firstLine="480"/>
        <w:rPr>
          <w:b/>
          <w:bCs/>
        </w:rPr>
      </w:pPr>
      <w:r>
        <w:rPr>
          <w:rFonts w:hint="eastAsia"/>
          <w:b/>
          <w:bCs/>
        </w:rPr>
        <w:t>1.6资金支付</w:t>
      </w:r>
    </w:p>
    <w:p w14:paraId="75856C66">
      <w:pPr>
        <w:pStyle w:val="961"/>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E559783">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3AEEBDED">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8"/>
      <w:bookmarkEnd w:id="419"/>
      <w:bookmarkEnd w:id="420"/>
      <w:bookmarkEnd w:id="421"/>
      <w:bookmarkEnd w:id="422"/>
    </w:p>
    <w:p w14:paraId="418398AC">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64368E11">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55C0AFA6">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4F308455">
      <w:pPr>
        <w:spacing w:line="560" w:lineRule="exact"/>
        <w:ind w:firstLine="482" w:firstLineChars="200"/>
        <w:outlineLvl w:val="0"/>
        <w:rPr>
          <w:rFonts w:ascii="宋体" w:hAnsi="宋体"/>
          <w:sz w:val="24"/>
          <w:u w:val="single"/>
        </w:rPr>
      </w:pPr>
      <w:bookmarkStart w:id="423" w:name="_Toc3079"/>
      <w:bookmarkStart w:id="424" w:name="_Toc24662"/>
      <w:bookmarkStart w:id="425" w:name="_Toc5698"/>
      <w:bookmarkStart w:id="426" w:name="_Toc2375"/>
      <w:bookmarkStart w:id="427" w:name="_Toc8586"/>
      <w:r>
        <w:rPr>
          <w:rFonts w:ascii="宋体" w:hAnsi="宋体"/>
          <w:b/>
          <w:sz w:val="24"/>
        </w:rPr>
        <w:t>1.</w:t>
      </w:r>
      <w:r>
        <w:rPr>
          <w:rFonts w:hint="eastAsia" w:ascii="宋体" w:hAnsi="宋体"/>
          <w:b/>
          <w:sz w:val="24"/>
        </w:rPr>
        <w:t>8违约责任</w:t>
      </w:r>
      <w:bookmarkEnd w:id="423"/>
      <w:bookmarkEnd w:id="424"/>
      <w:bookmarkEnd w:id="425"/>
      <w:bookmarkEnd w:id="426"/>
      <w:bookmarkEnd w:id="427"/>
    </w:p>
    <w:p w14:paraId="16B5DC94">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50C8525D">
      <w:pPr>
        <w:pStyle w:val="4"/>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6A94BC86">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7A9E374C">
      <w:pPr>
        <w:spacing w:line="560" w:lineRule="exact"/>
        <w:ind w:firstLine="480" w:firstLineChars="200"/>
        <w:rPr>
          <w:rFonts w:ascii="宋体" w:hAnsi="宋体" w:cs="宋体"/>
          <w:sz w:val="24"/>
        </w:rPr>
      </w:pPr>
      <w:bookmarkStart w:id="428" w:name="_Toc18683"/>
      <w:bookmarkStart w:id="429" w:name="_Toc30329"/>
      <w:bookmarkStart w:id="430" w:name="_Toc26807"/>
      <w:bookmarkStart w:id="431" w:name="_Toc32454"/>
      <w:bookmarkStart w:id="432" w:name="_Toc949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2B912FC">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C9E1461">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939ADB0">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8"/>
    <w:bookmarkEnd w:id="429"/>
    <w:bookmarkEnd w:id="430"/>
    <w:bookmarkEnd w:id="431"/>
    <w:bookmarkEnd w:id="432"/>
    <w:p w14:paraId="59DB61F2">
      <w:pPr>
        <w:spacing w:line="560" w:lineRule="exact"/>
        <w:ind w:firstLine="482" w:firstLineChars="200"/>
        <w:outlineLvl w:val="0"/>
        <w:rPr>
          <w:rFonts w:ascii="宋体" w:hAnsi="宋体" w:cs="宋体"/>
          <w:b/>
          <w:sz w:val="24"/>
        </w:rPr>
      </w:pPr>
      <w:bookmarkStart w:id="433" w:name="_Toc15583"/>
      <w:bookmarkStart w:id="434" w:name="_Toc28375"/>
      <w:bookmarkStart w:id="435" w:name="_Toc16021"/>
      <w:r>
        <w:rPr>
          <w:rFonts w:hint="eastAsia" w:ascii="宋体" w:hAnsi="宋体" w:cs="宋体"/>
          <w:b/>
          <w:sz w:val="24"/>
        </w:rPr>
        <w:t>1.9合同争议的解决</w:t>
      </w:r>
      <w:bookmarkEnd w:id="433"/>
      <w:bookmarkEnd w:id="434"/>
      <w:bookmarkEnd w:id="435"/>
    </w:p>
    <w:p w14:paraId="7493B604">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01E1E925">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34462EED">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3C56CCDE">
      <w:pPr>
        <w:spacing w:line="560" w:lineRule="exact"/>
        <w:ind w:firstLine="482" w:firstLineChars="200"/>
        <w:outlineLvl w:val="0"/>
        <w:rPr>
          <w:rFonts w:ascii="宋体" w:hAnsi="宋体" w:cs="宋体"/>
          <w:b/>
          <w:sz w:val="24"/>
        </w:rPr>
      </w:pPr>
      <w:bookmarkStart w:id="436" w:name="_Toc15322"/>
      <w:bookmarkStart w:id="437" w:name="_Toc7245"/>
      <w:bookmarkStart w:id="438" w:name="_Toc11173"/>
      <w:r>
        <w:rPr>
          <w:rFonts w:hint="eastAsia" w:ascii="宋体" w:hAnsi="宋体" w:cs="宋体"/>
          <w:b/>
          <w:sz w:val="24"/>
        </w:rPr>
        <w:t>2.0 合同生效</w:t>
      </w:r>
      <w:bookmarkEnd w:id="436"/>
      <w:bookmarkEnd w:id="437"/>
      <w:bookmarkEnd w:id="438"/>
    </w:p>
    <w:p w14:paraId="25984C37">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4B26FF30">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703"/>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39" w:name="_Toc5228"/>
      <w:bookmarkStart w:id="440" w:name="_Toc19680"/>
      <w:bookmarkStart w:id="441" w:name="_Toc31297"/>
      <w:bookmarkStart w:id="442" w:name="_Toc14021"/>
      <w:bookmarkStart w:id="443" w:name="_Toc25079"/>
      <w:r>
        <w:rPr>
          <w:rFonts w:ascii="宋体" w:hAnsi="宋体"/>
          <w:b/>
          <w:color w:val="auto"/>
          <w:sz w:val="24"/>
          <w:highlight w:val="none"/>
        </w:rPr>
        <w:t>2.1 定义</w:t>
      </w:r>
      <w:bookmarkEnd w:id="439"/>
      <w:bookmarkEnd w:id="440"/>
      <w:bookmarkEnd w:id="441"/>
      <w:bookmarkEnd w:id="442"/>
      <w:bookmarkEnd w:id="443"/>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44" w:name="_Toc16752"/>
      <w:bookmarkStart w:id="445" w:name="_Toc19539"/>
      <w:bookmarkStart w:id="446" w:name="_Toc23289"/>
      <w:bookmarkStart w:id="447" w:name="_Toc3769"/>
      <w:bookmarkStart w:id="448" w:name="_Toc31402"/>
      <w:r>
        <w:rPr>
          <w:rFonts w:ascii="宋体" w:hAnsi="宋体"/>
          <w:b/>
          <w:color w:val="auto"/>
          <w:sz w:val="24"/>
          <w:highlight w:val="none"/>
        </w:rPr>
        <w:t>2.2 技术规范</w:t>
      </w:r>
      <w:bookmarkEnd w:id="444"/>
      <w:bookmarkEnd w:id="445"/>
      <w:bookmarkEnd w:id="446"/>
      <w:bookmarkEnd w:id="447"/>
      <w:bookmarkEnd w:id="448"/>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49" w:name="_Toc13673"/>
      <w:bookmarkStart w:id="450" w:name="_Toc4133"/>
      <w:bookmarkStart w:id="451" w:name="_Toc9161"/>
      <w:bookmarkStart w:id="452" w:name="_Toc12412"/>
      <w:bookmarkStart w:id="453" w:name="_Toc27945"/>
      <w:r>
        <w:rPr>
          <w:rFonts w:ascii="宋体" w:hAnsi="宋体"/>
          <w:b/>
          <w:color w:val="auto"/>
          <w:sz w:val="24"/>
          <w:highlight w:val="none"/>
        </w:rPr>
        <w:t>2.3 知识产权</w:t>
      </w:r>
      <w:bookmarkEnd w:id="449"/>
      <w:bookmarkEnd w:id="450"/>
      <w:bookmarkEnd w:id="451"/>
      <w:bookmarkEnd w:id="452"/>
      <w:bookmarkEnd w:id="453"/>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54" w:name="_Toc31233"/>
      <w:bookmarkStart w:id="455" w:name="_Toc26555"/>
      <w:bookmarkStart w:id="456" w:name="_Toc32670"/>
      <w:bookmarkStart w:id="457" w:name="_Toc22011"/>
      <w:bookmarkStart w:id="458" w:name="_Toc15447"/>
      <w:r>
        <w:rPr>
          <w:rFonts w:ascii="宋体" w:hAnsi="宋体"/>
          <w:b/>
          <w:color w:val="auto"/>
          <w:sz w:val="24"/>
          <w:highlight w:val="none"/>
        </w:rPr>
        <w:t>2.5 结算方式和付款条件</w:t>
      </w:r>
      <w:bookmarkEnd w:id="454"/>
      <w:bookmarkEnd w:id="455"/>
      <w:bookmarkEnd w:id="456"/>
      <w:bookmarkEnd w:id="457"/>
      <w:bookmarkEnd w:id="458"/>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59" w:name="_Toc13154"/>
      <w:bookmarkStart w:id="460" w:name="_Toc30507"/>
      <w:bookmarkStart w:id="461" w:name="_Toc18990"/>
      <w:bookmarkStart w:id="462" w:name="_Toc16163"/>
      <w:bookmarkStart w:id="463" w:name="_Toc13467"/>
      <w:r>
        <w:rPr>
          <w:rFonts w:ascii="宋体" w:hAnsi="宋体"/>
          <w:b/>
          <w:color w:val="auto"/>
          <w:sz w:val="24"/>
          <w:highlight w:val="none"/>
        </w:rPr>
        <w:t>2.6 技术资料和保密义务</w:t>
      </w:r>
      <w:bookmarkEnd w:id="459"/>
      <w:bookmarkEnd w:id="460"/>
      <w:bookmarkEnd w:id="461"/>
      <w:bookmarkEnd w:id="462"/>
      <w:bookmarkEnd w:id="463"/>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67" w:name="_Toc23368"/>
      <w:bookmarkStart w:id="468" w:name="_Toc10663"/>
      <w:bookmarkStart w:id="469" w:name="_Toc42"/>
      <w:bookmarkStart w:id="470" w:name="_Toc21830"/>
      <w:bookmarkStart w:id="471" w:name="_Toc26689"/>
      <w:r>
        <w:rPr>
          <w:rFonts w:ascii="宋体" w:hAnsi="宋体"/>
          <w:b/>
          <w:color w:val="auto"/>
          <w:sz w:val="24"/>
          <w:highlight w:val="none"/>
        </w:rPr>
        <w:t>2.10 合同转让和分包</w:t>
      </w:r>
      <w:bookmarkEnd w:id="467"/>
      <w:bookmarkEnd w:id="468"/>
      <w:bookmarkEnd w:id="469"/>
      <w:bookmarkEnd w:id="470"/>
      <w:bookmarkEnd w:id="471"/>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72" w:name="_Toc26633"/>
      <w:bookmarkStart w:id="473" w:name="_Toc32494"/>
      <w:bookmarkStart w:id="474" w:name="_Toc25571"/>
      <w:bookmarkStart w:id="475" w:name="_Toc14371"/>
      <w:bookmarkStart w:id="476" w:name="_Toc4720"/>
      <w:r>
        <w:rPr>
          <w:rFonts w:ascii="宋体" w:hAnsi="宋体"/>
          <w:b/>
          <w:color w:val="auto"/>
          <w:sz w:val="24"/>
          <w:highlight w:val="none"/>
        </w:rPr>
        <w:t>2.11 不可抗力</w:t>
      </w:r>
      <w:bookmarkEnd w:id="472"/>
      <w:bookmarkEnd w:id="473"/>
      <w:bookmarkEnd w:id="474"/>
      <w:bookmarkEnd w:id="475"/>
      <w:bookmarkEnd w:id="476"/>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77" w:name="_Toc25783"/>
      <w:bookmarkStart w:id="478" w:name="_Toc3638"/>
      <w:bookmarkStart w:id="479" w:name="_Toc14115"/>
      <w:bookmarkStart w:id="480" w:name="_Toc23854"/>
      <w:bookmarkStart w:id="481" w:name="_Toc24465"/>
      <w:r>
        <w:rPr>
          <w:rFonts w:ascii="宋体" w:hAnsi="宋体"/>
          <w:b/>
          <w:color w:val="auto"/>
          <w:sz w:val="24"/>
          <w:highlight w:val="none"/>
        </w:rPr>
        <w:t>2.12 税费</w:t>
      </w:r>
      <w:bookmarkEnd w:id="477"/>
      <w:bookmarkEnd w:id="478"/>
      <w:bookmarkEnd w:id="479"/>
      <w:bookmarkEnd w:id="480"/>
      <w:bookmarkEnd w:id="481"/>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82" w:name="_Toc14814"/>
      <w:bookmarkStart w:id="483" w:name="_Toc25525"/>
      <w:bookmarkStart w:id="484" w:name="_Toc26883"/>
      <w:bookmarkStart w:id="485" w:name="_Toc7315"/>
      <w:bookmarkStart w:id="486" w:name="_Toc30105"/>
      <w:r>
        <w:rPr>
          <w:rFonts w:ascii="宋体" w:hAnsi="宋体"/>
          <w:b/>
          <w:color w:val="auto"/>
          <w:sz w:val="24"/>
          <w:highlight w:val="none"/>
        </w:rPr>
        <w:t>2.13 乙方破产</w:t>
      </w:r>
      <w:bookmarkEnd w:id="482"/>
      <w:bookmarkEnd w:id="483"/>
      <w:bookmarkEnd w:id="484"/>
      <w:bookmarkEnd w:id="485"/>
      <w:bookmarkEnd w:id="486"/>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87" w:name="_Toc23323"/>
      <w:bookmarkStart w:id="488" w:name="_Toc1123"/>
      <w:bookmarkStart w:id="489" w:name="_Toc2016"/>
      <w:r>
        <w:rPr>
          <w:rFonts w:ascii="宋体" w:hAnsi="宋体"/>
          <w:b/>
          <w:color w:val="auto"/>
          <w:sz w:val="24"/>
          <w:highlight w:val="none"/>
        </w:rPr>
        <w:t>2.14 合同中止、终止</w:t>
      </w:r>
      <w:bookmarkEnd w:id="487"/>
      <w:bookmarkEnd w:id="488"/>
      <w:bookmarkEnd w:id="489"/>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90" w:name="_Toc17363"/>
      <w:bookmarkStart w:id="491" w:name="_Toc14525"/>
      <w:bookmarkStart w:id="492" w:name="_Toc1969"/>
      <w:r>
        <w:rPr>
          <w:rFonts w:ascii="宋体" w:hAnsi="宋体"/>
          <w:b/>
          <w:color w:val="auto"/>
          <w:sz w:val="24"/>
          <w:highlight w:val="none"/>
        </w:rPr>
        <w:t>2.15 检验和验收</w:t>
      </w:r>
      <w:bookmarkEnd w:id="490"/>
      <w:bookmarkEnd w:id="491"/>
      <w:bookmarkEnd w:id="492"/>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493" w:name="_Toc9808"/>
      <w:bookmarkStart w:id="494" w:name="_Toc31892"/>
      <w:bookmarkStart w:id="495" w:name="_Toc2308"/>
      <w:bookmarkStart w:id="496" w:name="_Toc12666"/>
      <w:bookmarkStart w:id="497" w:name="_Toc25198"/>
      <w:r>
        <w:rPr>
          <w:rFonts w:ascii="宋体" w:hAnsi="宋体"/>
          <w:b/>
          <w:color w:val="auto"/>
          <w:sz w:val="24"/>
          <w:highlight w:val="none"/>
        </w:rPr>
        <w:t>2.16 通知和送达</w:t>
      </w:r>
      <w:bookmarkEnd w:id="493"/>
      <w:bookmarkEnd w:id="494"/>
      <w:bookmarkEnd w:id="495"/>
      <w:bookmarkEnd w:id="496"/>
      <w:bookmarkEnd w:id="497"/>
    </w:p>
    <w:p w14:paraId="2D57AD58">
      <w:pPr>
        <w:spacing w:line="560" w:lineRule="exact"/>
        <w:ind w:firstLine="480" w:firstLineChars="200"/>
        <w:rPr>
          <w:rFonts w:ascii="宋体" w:hAnsi="宋体"/>
          <w:color w:val="auto"/>
          <w:sz w:val="24"/>
          <w:highlight w:val="none"/>
        </w:rPr>
      </w:pPr>
      <w:bookmarkStart w:id="498" w:name="_Toc27674"/>
      <w:bookmarkStart w:id="499"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79494EF1">
      <w:pPr>
        <w:spacing w:line="560" w:lineRule="exact"/>
        <w:ind w:firstLine="482" w:firstLineChars="200"/>
        <w:outlineLvl w:val="0"/>
        <w:rPr>
          <w:rFonts w:ascii="宋体" w:hAnsi="宋体"/>
          <w:b/>
          <w:color w:val="auto"/>
          <w:sz w:val="24"/>
          <w:highlight w:val="none"/>
        </w:rPr>
      </w:pPr>
      <w:bookmarkStart w:id="500" w:name="_Toc12254"/>
      <w:bookmarkStart w:id="501" w:name="_Toc28906"/>
      <w:bookmarkStart w:id="502" w:name="_Toc5063"/>
      <w:bookmarkStart w:id="503" w:name="_Toc20808"/>
      <w:bookmarkStart w:id="504"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505" w:name="_Toc30599"/>
      <w:bookmarkStart w:id="506" w:name="_Toc4355"/>
      <w:bookmarkStart w:id="507" w:name="_Toc18540"/>
      <w:r>
        <w:rPr>
          <w:rFonts w:hint="eastAsia" w:ascii="宋体" w:hAnsi="宋体" w:cs="宋体"/>
          <w:b/>
          <w:color w:val="auto"/>
          <w:sz w:val="24"/>
          <w:highlight w:val="none"/>
        </w:rPr>
        <w:t>2.18 计量单位</w:t>
      </w:r>
      <w:bookmarkEnd w:id="505"/>
      <w:bookmarkEnd w:id="506"/>
      <w:bookmarkEnd w:id="507"/>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spacing w:line="360" w:lineRule="auto"/>
              <w:rPr>
                <w:rFonts w:ascii="宋体" w:hAnsi="宋体" w:cs="宋体"/>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ascii="宋体" w:hAnsi="宋体" w:cs="宋体"/>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ascii="宋体" w:hAnsi="宋体" w:cs="宋体"/>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ascii="宋体" w:hAnsi="宋体" w:cs="宋体"/>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ascii="宋体" w:hAnsi="宋体" w:cs="宋体"/>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spacing w:line="360" w:lineRule="auto"/>
              <w:rPr>
                <w:rFonts w:ascii="宋体" w:hAnsi="宋体" w:cs="宋体"/>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spacing w:line="360" w:lineRule="auto"/>
              <w:rPr>
                <w:rFonts w:ascii="宋体" w:hAnsi="宋体" w:cs="宋体"/>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spacing w:line="360" w:lineRule="auto"/>
              <w:rPr>
                <w:rFonts w:ascii="宋体" w:hAnsi="宋体" w:cs="宋体"/>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5F6F49">
            <w:pPr>
              <w:spacing w:line="360" w:lineRule="auto"/>
              <w:rPr>
                <w:rFonts w:ascii="宋体" w:hAnsi="宋体" w:cs="宋体"/>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ascii="宋体" w:hAnsi="宋体" w:cs="宋体"/>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ascii="宋体" w:hAnsi="宋体" w:cs="宋体"/>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ascii="宋体" w:hAnsi="宋体" w:cs="宋体"/>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ascii="宋体" w:hAnsi="宋体" w:cs="宋体"/>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ascii="宋体" w:hAnsi="宋体" w:cs="宋体"/>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ascii="宋体" w:hAnsi="宋体" w:cs="宋体"/>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spacing w:line="360" w:lineRule="auto"/>
              <w:rPr>
                <w:rFonts w:ascii="宋体" w:hAnsi="宋体" w:cs="宋体"/>
                <w:color w:val="auto"/>
                <w:sz w:val="24"/>
                <w:highlight w:val="none"/>
              </w:rPr>
            </w:pPr>
          </w:p>
        </w:tc>
      </w:tr>
    </w:tbl>
    <w:p w14:paraId="408D6C86">
      <w:pPr>
        <w:spacing w:line="360" w:lineRule="auto"/>
        <w:ind w:left="-420" w:leftChars="-200" w:right="-420" w:rightChars="-200" w:firstLine="480" w:firstLineChars="200"/>
        <w:rPr>
          <w:rFonts w:ascii="宋体" w:hAnsi="宋体" w:cs="宋体"/>
          <w:color w:val="auto"/>
          <w:sz w:val="24"/>
          <w:highlight w:val="none"/>
        </w:rPr>
      </w:pPr>
    </w:p>
    <w:p w14:paraId="265D86DB">
      <w:pPr>
        <w:spacing w:line="360" w:lineRule="auto"/>
        <w:ind w:left="-420" w:leftChars="-200" w:right="-420" w:rightChars="-200" w:firstLine="480" w:firstLineChars="200"/>
        <w:jc w:val="center"/>
        <w:outlineLvl w:val="0"/>
        <w:rPr>
          <w:rFonts w:ascii="宋体" w:hAnsi="宋体" w:cs="宋体"/>
          <w:color w:val="auto"/>
          <w:sz w:val="24"/>
          <w:highlight w:val="none"/>
        </w:rPr>
      </w:pPr>
    </w:p>
    <w:p w14:paraId="1C9D7740">
      <w:pPr>
        <w:rPr>
          <w:rFonts w:hint="eastAsia" w:ascii="宋体" w:hAnsi="宋体" w:cs="宋体"/>
          <w:b/>
          <w:color w:val="auto"/>
          <w:sz w:val="36"/>
          <w:szCs w:val="20"/>
          <w:highlight w:val="none"/>
        </w:rPr>
      </w:pP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桐庐县江南镇人民政府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sz w:val="24"/>
          <w:highlight w:val="none"/>
        </w:rPr>
        <w:t>：</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桐庐县高新区(江南园区)集体土地征收及搬迁项目(一期)评估服务项目</w:t>
      </w:r>
      <w:r>
        <w:rPr>
          <w:rFonts w:hint="eastAsia" w:ascii="宋体" w:hAnsi="宋体" w:cs="宋体"/>
          <w:color w:val="auto"/>
          <w:sz w:val="24"/>
          <w:highlight w:val="none"/>
        </w:rPr>
        <w:t>【招标编号：（采购编号）】政府采购活动，郑重承诺：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9）代理服务费的承诺书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桐庐县江南镇人民政府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sz w:val="24"/>
          <w:highlight w:val="none"/>
        </w:rPr>
        <w:t>：</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桐庐县高新区(江南园区)集体土地征收及搬迁项目(一期)评估服务项目</w:t>
      </w:r>
      <w:r>
        <w:rPr>
          <w:rFonts w:hint="eastAsia" w:ascii="宋体" w:hAnsi="宋体" w:cs="宋体"/>
          <w:color w:val="auto"/>
          <w:sz w:val="24"/>
          <w:highlight w:val="none"/>
        </w:rPr>
        <w:t>【招标编号：（采购编号）】招标的有关活动，并对此项目进行投标。为此：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90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1F05ADBF">
      <w:pPr>
        <w:jc w:val="center"/>
        <w:rPr>
          <w:rFonts w:hint="eastAsia" w:ascii="宋体" w:hAnsi="宋体" w:cs="宋体"/>
          <w:b/>
          <w:color w:val="auto"/>
          <w:kern w:val="0"/>
          <w:sz w:val="32"/>
          <w:szCs w:val="32"/>
          <w:highlight w:val="none"/>
          <w:lang w:val="zh-CN"/>
        </w:rPr>
      </w:pPr>
    </w:p>
    <w:p w14:paraId="640D43BD">
      <w:pPr>
        <w:jc w:val="center"/>
        <w:rPr>
          <w:rFonts w:hint="eastAsia" w:ascii="宋体" w:hAnsi="宋体" w:cs="宋体"/>
          <w:b/>
          <w:color w:val="auto"/>
          <w:kern w:val="0"/>
          <w:sz w:val="32"/>
          <w:szCs w:val="32"/>
          <w:highlight w:val="none"/>
          <w:lang w:val="zh-CN"/>
        </w:rPr>
      </w:pPr>
    </w:p>
    <w:p w14:paraId="0B577383">
      <w:pPr>
        <w:jc w:val="center"/>
        <w:rPr>
          <w:rFonts w:hint="eastAsia" w:ascii="宋体" w:hAnsi="宋体" w:cs="宋体"/>
          <w:b/>
          <w:color w:val="auto"/>
          <w:kern w:val="0"/>
          <w:sz w:val="32"/>
          <w:szCs w:val="32"/>
          <w:highlight w:val="none"/>
          <w:lang w:val="zh-CN"/>
        </w:rPr>
      </w:pPr>
    </w:p>
    <w:p w14:paraId="45BC99ED">
      <w:pPr>
        <w:jc w:val="center"/>
        <w:rPr>
          <w:rFonts w:hint="eastAsia" w:ascii="宋体" w:hAnsi="宋体" w:cs="宋体"/>
          <w:b/>
          <w:color w:val="auto"/>
          <w:kern w:val="0"/>
          <w:sz w:val="32"/>
          <w:szCs w:val="32"/>
          <w:highlight w:val="none"/>
          <w:lang w:val="zh-CN"/>
        </w:rPr>
      </w:pPr>
    </w:p>
    <w:p w14:paraId="71390A9A">
      <w:pPr>
        <w:jc w:val="center"/>
        <w:rPr>
          <w:rFonts w:hint="eastAsia" w:ascii="宋体" w:hAnsi="宋体" w:cs="宋体"/>
          <w:b/>
          <w:color w:val="auto"/>
          <w:kern w:val="0"/>
          <w:sz w:val="32"/>
          <w:szCs w:val="32"/>
          <w:highlight w:val="none"/>
          <w:lang w:val="zh-CN"/>
        </w:rPr>
      </w:pPr>
    </w:p>
    <w:p w14:paraId="43453765">
      <w:pPr>
        <w:jc w:val="center"/>
        <w:rPr>
          <w:rFonts w:hint="eastAsia" w:ascii="宋体" w:hAnsi="宋体" w:cs="宋体"/>
          <w:b/>
          <w:color w:val="auto"/>
          <w:kern w:val="0"/>
          <w:sz w:val="32"/>
          <w:szCs w:val="32"/>
          <w:highlight w:val="none"/>
          <w:lang w:val="zh-CN"/>
        </w:rPr>
      </w:pPr>
    </w:p>
    <w:p w14:paraId="65D6D6F5">
      <w:pPr>
        <w:jc w:val="center"/>
        <w:rPr>
          <w:rFonts w:hint="eastAsia" w:ascii="宋体" w:hAnsi="宋体" w:cs="宋体"/>
          <w:b/>
          <w:color w:val="auto"/>
          <w:kern w:val="0"/>
          <w:sz w:val="32"/>
          <w:szCs w:val="32"/>
          <w:highlight w:val="none"/>
          <w:lang w:val="zh-CN"/>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桐庐县江南镇人民政府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桐庐县高新区(江南园区)集体土地征收及搬迁项目(一期)评估服务项目</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桐庐县江南镇人民政府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桐庐县高新区(江南园区)集体土地征收及搬迁项目(一期)评估服务项目</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C270E62">
      <w:pPr>
        <w:autoSpaceDE w:val="0"/>
        <w:autoSpaceDN w:val="0"/>
        <w:spacing w:line="360" w:lineRule="auto"/>
        <w:jc w:val="center"/>
        <w:rPr>
          <w:rFonts w:hint="eastAsia"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51"/>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13ABC831">
      <w:pPr>
        <w:jc w:val="center"/>
        <w:rPr>
          <w:rFonts w:hint="eastAsia" w:ascii="宋体" w:hAnsi="宋体" w:cs="宋体"/>
          <w:b/>
          <w:color w:val="auto"/>
          <w:kern w:val="0"/>
          <w:sz w:val="32"/>
          <w:szCs w:val="32"/>
          <w:highlight w:val="none"/>
        </w:rPr>
      </w:pPr>
    </w:p>
    <w:p w14:paraId="20865816">
      <w:pPr>
        <w:jc w:val="center"/>
        <w:rPr>
          <w:rFonts w:hint="eastAsia"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2"/>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4"/>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桐庐县江南镇人民政府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3B3C379">
      <w:pPr>
        <w:ind w:firstLine="1911" w:firstLineChars="595"/>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lang w:val="zh-CN"/>
        </w:rPr>
        <w:t>关于代理服务费的承诺书</w:t>
      </w:r>
    </w:p>
    <w:p w14:paraId="645B3DE2">
      <w:pPr>
        <w:spacing w:line="440" w:lineRule="exact"/>
      </w:pPr>
    </w:p>
    <w:p w14:paraId="764D3839">
      <w:pPr>
        <w:spacing w:line="440" w:lineRule="exact"/>
        <w:rPr>
          <w:sz w:val="24"/>
          <w:szCs w:val="24"/>
          <w:lang w:val="zh-CN"/>
        </w:rPr>
      </w:pPr>
      <w:r>
        <w:rPr>
          <w:rFonts w:hint="eastAsia"/>
          <w:sz w:val="24"/>
          <w:szCs w:val="24"/>
        </w:rPr>
        <w:t>华诚工程咨询集团有限公司：</w:t>
      </w:r>
      <w:r>
        <w:rPr>
          <w:rFonts w:hint="eastAsia"/>
          <w:sz w:val="24"/>
          <w:szCs w:val="24"/>
          <w:lang w:val="zh-CN"/>
        </w:rPr>
        <w:t xml:space="preserve">    </w:t>
      </w:r>
    </w:p>
    <w:p w14:paraId="5E0D941B">
      <w:pPr>
        <w:snapToGrid w:val="0"/>
        <w:spacing w:line="440" w:lineRule="exact"/>
        <w:ind w:firstLine="720" w:firstLineChars="300"/>
        <w:rPr>
          <w:sz w:val="24"/>
          <w:szCs w:val="24"/>
          <w:lang w:val="zh-CN"/>
        </w:rPr>
      </w:pPr>
      <w:r>
        <w:rPr>
          <w:rFonts w:hint="eastAsia"/>
          <w:sz w:val="24"/>
          <w:szCs w:val="24"/>
          <w:lang w:val="zh-CN"/>
        </w:rPr>
        <w:t>我单位响应你</w:t>
      </w:r>
      <w:r>
        <w:rPr>
          <w:rFonts w:hint="eastAsia"/>
          <w:sz w:val="24"/>
          <w:szCs w:val="24"/>
        </w:rPr>
        <w:t>单位</w:t>
      </w:r>
      <w:r>
        <w:rPr>
          <w:rFonts w:hint="eastAsia"/>
          <w:sz w:val="24"/>
          <w:szCs w:val="24"/>
          <w:u w:val="single"/>
        </w:rPr>
        <w:t xml:space="preserve">                       </w:t>
      </w:r>
      <w:r>
        <w:rPr>
          <w:rFonts w:hint="eastAsia"/>
          <w:sz w:val="24"/>
          <w:szCs w:val="24"/>
          <w:lang w:val="zh-CN"/>
        </w:rPr>
        <w:t>项目</w:t>
      </w:r>
      <w:r>
        <w:rPr>
          <w:rFonts w:hint="eastAsia"/>
          <w:sz w:val="24"/>
          <w:szCs w:val="24"/>
        </w:rPr>
        <w:t>（项目编号：</w:t>
      </w:r>
      <w:r>
        <w:rPr>
          <w:rFonts w:hint="eastAsia"/>
          <w:sz w:val="24"/>
          <w:szCs w:val="24"/>
          <w:u w:val="single"/>
        </w:rPr>
        <w:t xml:space="preserve">        </w:t>
      </w:r>
      <w:r>
        <w:rPr>
          <w:rFonts w:hint="eastAsia"/>
          <w:sz w:val="24"/>
          <w:szCs w:val="24"/>
          <w:lang w:eastAsia="zh-CN"/>
        </w:rPr>
        <w:t>，</w:t>
      </w:r>
      <w:r>
        <w:rPr>
          <w:rFonts w:hint="eastAsia" w:ascii="仿宋" w:hAnsi="仿宋"/>
          <w:sz w:val="24"/>
          <w:szCs w:val="24"/>
          <w:u w:val="none"/>
          <w:lang w:val="en-US" w:eastAsia="zh-CN"/>
        </w:rPr>
        <w:t>标项号</w:t>
      </w:r>
      <w:r>
        <w:rPr>
          <w:rFonts w:hint="eastAsia"/>
          <w:sz w:val="24"/>
          <w:szCs w:val="24"/>
          <w:u w:val="none"/>
          <w:lang w:val="en-US" w:eastAsia="zh-CN"/>
        </w:rPr>
        <w:t>：</w:t>
      </w:r>
      <w:r>
        <w:rPr>
          <w:rFonts w:hint="eastAsia"/>
          <w:sz w:val="24"/>
          <w:szCs w:val="24"/>
          <w:u w:val="single"/>
          <w:lang w:val="en-US" w:eastAsia="zh-CN"/>
        </w:rPr>
        <w:t xml:space="preserve">      </w:t>
      </w:r>
      <w:r>
        <w:rPr>
          <w:rFonts w:hint="eastAsia"/>
          <w:color w:val="000000"/>
          <w:sz w:val="24"/>
          <w:szCs w:val="24"/>
        </w:rPr>
        <w:t xml:space="preserve"> </w:t>
      </w:r>
      <w:r>
        <w:rPr>
          <w:rFonts w:hint="eastAsia"/>
          <w:sz w:val="24"/>
          <w:szCs w:val="24"/>
        </w:rPr>
        <w:t>）</w:t>
      </w:r>
      <w:r>
        <w:rPr>
          <w:rFonts w:hint="eastAsia"/>
          <w:sz w:val="24"/>
          <w:szCs w:val="24"/>
          <w:lang w:val="zh-CN"/>
        </w:rPr>
        <w:t>招标要求参加投标。在这次投标过程中和中标后，我们将严格遵守国家法律法规要求，并郑重承诺：</w:t>
      </w:r>
    </w:p>
    <w:p w14:paraId="3A00F8E3">
      <w:pPr>
        <w:snapToGrid w:val="0"/>
        <w:spacing w:line="440" w:lineRule="exact"/>
        <w:ind w:firstLine="720" w:firstLineChars="300"/>
        <w:rPr>
          <w:sz w:val="24"/>
          <w:szCs w:val="24"/>
        </w:rPr>
      </w:pPr>
      <w:r>
        <w:rPr>
          <w:rFonts w:hint="eastAsia"/>
          <w:sz w:val="24"/>
          <w:szCs w:val="24"/>
        </w:rPr>
        <w:t>根据采购文件的约定在领取中标通知书时缴纳代理服务费。</w:t>
      </w:r>
    </w:p>
    <w:p w14:paraId="0750DCAD">
      <w:pPr>
        <w:snapToGrid w:val="0"/>
        <w:spacing w:line="440" w:lineRule="exact"/>
        <w:ind w:firstLine="720" w:firstLineChars="300"/>
        <w:rPr>
          <w:sz w:val="24"/>
          <w:szCs w:val="24"/>
          <w:lang w:val="zh-CN"/>
        </w:rPr>
      </w:pPr>
    </w:p>
    <w:p w14:paraId="69236A2D">
      <w:pPr>
        <w:pStyle w:val="812"/>
        <w:snapToGrid w:val="0"/>
        <w:spacing w:line="440" w:lineRule="exact"/>
        <w:rPr>
          <w:rFonts w:ascii="仿宋" w:hAnsi="仿宋"/>
          <w:sz w:val="24"/>
          <w:szCs w:val="24"/>
        </w:rPr>
      </w:pPr>
      <w:r>
        <w:rPr>
          <w:rFonts w:hint="eastAsia" w:ascii="仿宋" w:hAnsi="仿宋"/>
          <w:sz w:val="24"/>
          <w:szCs w:val="24"/>
        </w:rPr>
        <w:t>投标人全称（</w:t>
      </w:r>
      <w:r>
        <w:rPr>
          <w:rFonts w:hint="eastAsia" w:ascii="仿宋" w:hAnsi="仿宋"/>
          <w:kern w:val="0"/>
          <w:sz w:val="24"/>
          <w:szCs w:val="24"/>
          <w:lang w:val="zh-CN"/>
        </w:rPr>
        <w:t>电子签章</w:t>
      </w:r>
      <w:r>
        <w:rPr>
          <w:rFonts w:hint="eastAsia" w:ascii="仿宋" w:hAnsi="仿宋"/>
          <w:sz w:val="24"/>
          <w:szCs w:val="24"/>
        </w:rPr>
        <w:t>）：</w:t>
      </w:r>
      <w:r>
        <w:rPr>
          <w:rFonts w:hint="eastAsia" w:ascii="仿宋" w:hAnsi="仿宋"/>
          <w:sz w:val="24"/>
          <w:szCs w:val="24"/>
          <w:u w:val="single"/>
        </w:rPr>
        <w:t xml:space="preserve">                      </w:t>
      </w:r>
    </w:p>
    <w:p w14:paraId="39AD8B41">
      <w:pPr>
        <w:snapToGrid w:val="0"/>
        <w:spacing w:line="440" w:lineRule="exact"/>
        <w:ind w:right="600"/>
        <w:rPr>
          <w:sz w:val="24"/>
          <w:szCs w:val="24"/>
        </w:rPr>
      </w:pPr>
    </w:p>
    <w:p w14:paraId="4531970D">
      <w:pPr>
        <w:snapToGrid w:val="0"/>
        <w:spacing w:line="440" w:lineRule="exact"/>
        <w:rPr>
          <w:b/>
          <w:sz w:val="24"/>
          <w:szCs w:val="24"/>
        </w:rPr>
      </w:pPr>
      <w:r>
        <w:rPr>
          <w:rFonts w:hint="eastAsia"/>
          <w:sz w:val="24"/>
          <w:szCs w:val="24"/>
        </w:rPr>
        <w:t>日期：</w:t>
      </w:r>
      <w:r>
        <w:rPr>
          <w:rFonts w:hint="eastAsia"/>
          <w:sz w:val="24"/>
          <w:szCs w:val="24"/>
          <w:u w:val="single"/>
        </w:rPr>
        <w:t xml:space="preserve">       年     月     日</w:t>
      </w:r>
    </w:p>
    <w:p w14:paraId="0B27E3A5">
      <w:pPr>
        <w:snapToGrid w:val="0"/>
        <w:spacing w:line="440" w:lineRule="exact"/>
        <w:rPr>
          <w:b/>
        </w:rPr>
      </w:pPr>
    </w:p>
    <w:p w14:paraId="35F44033">
      <w:pPr>
        <w:spacing w:line="440" w:lineRule="exact"/>
        <w:jc w:val="center"/>
        <w:rPr>
          <w:b/>
          <w:bCs/>
        </w:rPr>
        <w:sectPr>
          <w:pgSz w:w="11906" w:h="16838"/>
          <w:pgMar w:top="1418" w:right="1418" w:bottom="1418" w:left="158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2"/>
        <w:rPr>
          <w:rFonts w:hint="eastAsia"/>
          <w:color w:val="auto"/>
          <w:highlight w:val="none"/>
        </w:rPr>
      </w:pPr>
    </w:p>
    <w:p w14:paraId="4DA9F2CD">
      <w:pPr>
        <w:pStyle w:val="82"/>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桐庐县江南镇人民政府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桐庐县高新区(江南园区)集体土地征收及搬迁项目(一期)评估服务项目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3543"/>
        <w:gridCol w:w="3119"/>
      </w:tblGrid>
      <w:tr w14:paraId="43DDA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22458C6">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417" w:type="dxa"/>
            <w:vAlign w:val="center"/>
          </w:tcPr>
          <w:p w14:paraId="0A7BAE31">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名称</w:t>
            </w:r>
          </w:p>
        </w:tc>
        <w:tc>
          <w:tcPr>
            <w:tcW w:w="1843" w:type="dxa"/>
          </w:tcPr>
          <w:p w14:paraId="1AF70502">
            <w:pPr>
              <w:spacing w:line="360" w:lineRule="auto"/>
              <w:jc w:val="center"/>
              <w:rPr>
                <w:rFonts w:hint="eastAsia" w:ascii="宋体" w:hAnsi="宋体" w:eastAsia="宋体" w:cs="宋体"/>
                <w:b/>
                <w:sz w:val="24"/>
                <w:szCs w:val="24"/>
              </w:rPr>
            </w:pPr>
          </w:p>
          <w:p w14:paraId="4EC25290">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品牌（如果有）</w:t>
            </w:r>
          </w:p>
        </w:tc>
        <w:tc>
          <w:tcPr>
            <w:tcW w:w="3118" w:type="dxa"/>
            <w:vAlign w:val="center"/>
          </w:tcPr>
          <w:p w14:paraId="6BA2A3AE">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规格型号（或具体服务）</w:t>
            </w:r>
          </w:p>
        </w:tc>
        <w:tc>
          <w:tcPr>
            <w:tcW w:w="993" w:type="dxa"/>
            <w:vAlign w:val="center"/>
          </w:tcPr>
          <w:p w14:paraId="6E20C1BE">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3543" w:type="dxa"/>
            <w:vAlign w:val="center"/>
          </w:tcPr>
          <w:p w14:paraId="17A25DA3">
            <w:pPr>
              <w:spacing w:line="360" w:lineRule="auto"/>
              <w:jc w:val="center"/>
              <w:rPr>
                <w:rFonts w:hint="eastAsia" w:ascii="宋体" w:hAnsi="宋体" w:eastAsia="宋体" w:cs="宋体"/>
                <w:b/>
                <w:sz w:val="24"/>
                <w:szCs w:val="24"/>
                <w:lang w:eastAsia="zh-CN"/>
              </w:rPr>
            </w:pPr>
            <w:r>
              <w:rPr>
                <w:rFonts w:hint="eastAsia" w:ascii="宋体" w:hAnsi="宋体" w:eastAsia="宋体" w:cs="宋体"/>
                <w:b/>
                <w:sz w:val="24"/>
                <w:szCs w:val="24"/>
              </w:rPr>
              <w:t>单价</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元/平方米</w:t>
            </w:r>
            <w:r>
              <w:rPr>
                <w:rFonts w:hint="eastAsia" w:ascii="宋体" w:hAnsi="宋体" w:eastAsia="宋体" w:cs="宋体"/>
                <w:b/>
                <w:sz w:val="24"/>
                <w:szCs w:val="24"/>
                <w:lang w:eastAsia="zh-CN"/>
              </w:rPr>
              <w:t>）</w:t>
            </w:r>
          </w:p>
        </w:tc>
        <w:tc>
          <w:tcPr>
            <w:tcW w:w="3119" w:type="dxa"/>
            <w:vAlign w:val="center"/>
          </w:tcPr>
          <w:p w14:paraId="7226531F">
            <w:pPr>
              <w:spacing w:line="360" w:lineRule="auto"/>
              <w:jc w:val="center"/>
              <w:rPr>
                <w:rFonts w:hint="eastAsia" w:ascii="宋体" w:hAnsi="宋体" w:eastAsia="宋体" w:cs="宋体"/>
                <w:b/>
                <w:sz w:val="24"/>
                <w:szCs w:val="24"/>
              </w:rPr>
            </w:pPr>
          </w:p>
          <w:p w14:paraId="26BC479E">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服务要求（年限）</w:t>
            </w:r>
          </w:p>
          <w:p w14:paraId="5ECFD8CA">
            <w:pPr>
              <w:spacing w:line="360" w:lineRule="auto"/>
              <w:jc w:val="center"/>
              <w:rPr>
                <w:rFonts w:hint="eastAsia" w:ascii="宋体" w:hAnsi="宋体" w:eastAsia="宋体" w:cs="宋体"/>
                <w:b/>
                <w:sz w:val="24"/>
                <w:szCs w:val="24"/>
              </w:rPr>
            </w:pPr>
          </w:p>
        </w:tc>
      </w:tr>
      <w:tr w14:paraId="39CE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1AB05C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417" w:type="dxa"/>
            <w:vAlign w:val="center"/>
          </w:tcPr>
          <w:p w14:paraId="07A1463D">
            <w:pPr>
              <w:snapToGrid w:val="0"/>
              <w:spacing w:line="360" w:lineRule="auto"/>
              <w:jc w:val="center"/>
              <w:rPr>
                <w:rFonts w:hint="eastAsia" w:ascii="宋体" w:hAnsi="宋体" w:eastAsia="宋体" w:cs="宋体"/>
                <w:sz w:val="24"/>
                <w:szCs w:val="24"/>
              </w:rPr>
            </w:pPr>
          </w:p>
        </w:tc>
        <w:tc>
          <w:tcPr>
            <w:tcW w:w="1843" w:type="dxa"/>
            <w:vAlign w:val="center"/>
          </w:tcPr>
          <w:p w14:paraId="55D1E64B">
            <w:pPr>
              <w:snapToGrid w:val="0"/>
              <w:spacing w:line="360" w:lineRule="auto"/>
              <w:jc w:val="center"/>
              <w:rPr>
                <w:rFonts w:hint="eastAsia" w:ascii="宋体" w:hAnsi="宋体" w:eastAsia="宋体" w:cs="宋体"/>
                <w:sz w:val="24"/>
                <w:szCs w:val="24"/>
              </w:rPr>
            </w:pPr>
          </w:p>
        </w:tc>
        <w:tc>
          <w:tcPr>
            <w:tcW w:w="3118" w:type="dxa"/>
            <w:vAlign w:val="center"/>
          </w:tcPr>
          <w:p w14:paraId="2637ABDC">
            <w:pPr>
              <w:snapToGrid w:val="0"/>
              <w:spacing w:line="360" w:lineRule="auto"/>
              <w:jc w:val="center"/>
              <w:rPr>
                <w:rFonts w:hint="eastAsia" w:ascii="宋体" w:hAnsi="宋体" w:eastAsia="宋体" w:cs="宋体"/>
                <w:sz w:val="24"/>
                <w:szCs w:val="24"/>
              </w:rPr>
            </w:pPr>
          </w:p>
        </w:tc>
        <w:tc>
          <w:tcPr>
            <w:tcW w:w="993" w:type="dxa"/>
            <w:vAlign w:val="center"/>
          </w:tcPr>
          <w:p w14:paraId="1BAB7910">
            <w:pPr>
              <w:snapToGrid w:val="0"/>
              <w:spacing w:line="360" w:lineRule="auto"/>
              <w:jc w:val="center"/>
              <w:rPr>
                <w:rFonts w:hint="eastAsia" w:ascii="宋体" w:hAnsi="宋体" w:eastAsia="宋体" w:cs="宋体"/>
                <w:sz w:val="24"/>
                <w:szCs w:val="24"/>
              </w:rPr>
            </w:pPr>
          </w:p>
        </w:tc>
        <w:tc>
          <w:tcPr>
            <w:tcW w:w="3543" w:type="dxa"/>
            <w:vAlign w:val="center"/>
          </w:tcPr>
          <w:p w14:paraId="5474556B">
            <w:pPr>
              <w:spacing w:line="360" w:lineRule="auto"/>
              <w:jc w:val="center"/>
              <w:rPr>
                <w:rFonts w:hint="eastAsia" w:ascii="宋体" w:hAnsi="宋体" w:eastAsia="宋体" w:cs="宋体"/>
                <w:sz w:val="24"/>
                <w:szCs w:val="24"/>
              </w:rPr>
            </w:pPr>
          </w:p>
        </w:tc>
        <w:tc>
          <w:tcPr>
            <w:tcW w:w="3119" w:type="dxa"/>
            <w:vAlign w:val="center"/>
          </w:tcPr>
          <w:p w14:paraId="464AA05C">
            <w:pPr>
              <w:spacing w:line="360" w:lineRule="auto"/>
              <w:jc w:val="center"/>
              <w:rPr>
                <w:rFonts w:hint="eastAsia" w:ascii="宋体" w:hAnsi="宋体" w:eastAsia="宋体" w:cs="宋体"/>
                <w:sz w:val="24"/>
                <w:szCs w:val="24"/>
              </w:rPr>
            </w:pPr>
          </w:p>
        </w:tc>
      </w:tr>
      <w:tr w14:paraId="5C3F6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D67D2F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417" w:type="dxa"/>
            <w:vAlign w:val="center"/>
          </w:tcPr>
          <w:p w14:paraId="74F534BE">
            <w:pPr>
              <w:snapToGrid w:val="0"/>
              <w:spacing w:line="360" w:lineRule="auto"/>
              <w:jc w:val="center"/>
              <w:rPr>
                <w:rFonts w:hint="eastAsia" w:ascii="宋体" w:hAnsi="宋体" w:eastAsia="宋体" w:cs="宋体"/>
                <w:sz w:val="24"/>
                <w:szCs w:val="24"/>
              </w:rPr>
            </w:pPr>
          </w:p>
        </w:tc>
        <w:tc>
          <w:tcPr>
            <w:tcW w:w="1843" w:type="dxa"/>
            <w:vAlign w:val="center"/>
          </w:tcPr>
          <w:p w14:paraId="1541844B">
            <w:pPr>
              <w:snapToGrid w:val="0"/>
              <w:spacing w:line="360" w:lineRule="auto"/>
              <w:jc w:val="center"/>
              <w:rPr>
                <w:rFonts w:hint="eastAsia" w:ascii="宋体" w:hAnsi="宋体" w:eastAsia="宋体" w:cs="宋体"/>
                <w:sz w:val="24"/>
                <w:szCs w:val="24"/>
              </w:rPr>
            </w:pPr>
          </w:p>
        </w:tc>
        <w:tc>
          <w:tcPr>
            <w:tcW w:w="3118" w:type="dxa"/>
            <w:vAlign w:val="center"/>
          </w:tcPr>
          <w:p w14:paraId="640493DD">
            <w:pPr>
              <w:snapToGrid w:val="0"/>
              <w:spacing w:line="360" w:lineRule="auto"/>
              <w:jc w:val="center"/>
              <w:rPr>
                <w:rFonts w:hint="eastAsia" w:ascii="宋体" w:hAnsi="宋体" w:eastAsia="宋体" w:cs="宋体"/>
                <w:sz w:val="24"/>
                <w:szCs w:val="24"/>
              </w:rPr>
            </w:pPr>
          </w:p>
        </w:tc>
        <w:tc>
          <w:tcPr>
            <w:tcW w:w="993" w:type="dxa"/>
            <w:vAlign w:val="center"/>
          </w:tcPr>
          <w:p w14:paraId="106FBAD0">
            <w:pPr>
              <w:snapToGrid w:val="0"/>
              <w:spacing w:line="360" w:lineRule="auto"/>
              <w:jc w:val="center"/>
              <w:rPr>
                <w:rFonts w:hint="eastAsia" w:ascii="宋体" w:hAnsi="宋体" w:eastAsia="宋体" w:cs="宋体"/>
                <w:sz w:val="24"/>
                <w:szCs w:val="24"/>
              </w:rPr>
            </w:pPr>
          </w:p>
        </w:tc>
        <w:tc>
          <w:tcPr>
            <w:tcW w:w="3543" w:type="dxa"/>
            <w:vAlign w:val="center"/>
          </w:tcPr>
          <w:p w14:paraId="6F835706">
            <w:pPr>
              <w:spacing w:line="360" w:lineRule="auto"/>
              <w:jc w:val="center"/>
              <w:rPr>
                <w:rFonts w:hint="eastAsia" w:ascii="宋体" w:hAnsi="宋体" w:eastAsia="宋体" w:cs="宋体"/>
                <w:sz w:val="24"/>
                <w:szCs w:val="24"/>
              </w:rPr>
            </w:pPr>
          </w:p>
        </w:tc>
        <w:tc>
          <w:tcPr>
            <w:tcW w:w="3119" w:type="dxa"/>
            <w:vAlign w:val="center"/>
          </w:tcPr>
          <w:p w14:paraId="022CEF4F">
            <w:pPr>
              <w:spacing w:line="360" w:lineRule="auto"/>
              <w:jc w:val="center"/>
              <w:rPr>
                <w:rFonts w:hint="eastAsia" w:ascii="宋体" w:hAnsi="宋体" w:eastAsia="宋体" w:cs="宋体"/>
                <w:sz w:val="24"/>
                <w:szCs w:val="24"/>
              </w:rPr>
            </w:pPr>
          </w:p>
        </w:tc>
      </w:tr>
      <w:tr w14:paraId="5F18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F4099D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417" w:type="dxa"/>
            <w:vAlign w:val="center"/>
          </w:tcPr>
          <w:p w14:paraId="61044079">
            <w:pPr>
              <w:snapToGrid w:val="0"/>
              <w:spacing w:line="360" w:lineRule="auto"/>
              <w:jc w:val="center"/>
              <w:rPr>
                <w:rFonts w:hint="eastAsia" w:ascii="宋体" w:hAnsi="宋体" w:eastAsia="宋体" w:cs="宋体"/>
                <w:sz w:val="24"/>
                <w:szCs w:val="24"/>
              </w:rPr>
            </w:pPr>
          </w:p>
        </w:tc>
        <w:tc>
          <w:tcPr>
            <w:tcW w:w="1843" w:type="dxa"/>
            <w:vAlign w:val="center"/>
          </w:tcPr>
          <w:p w14:paraId="66C258BE">
            <w:pPr>
              <w:snapToGrid w:val="0"/>
              <w:spacing w:line="360" w:lineRule="auto"/>
              <w:jc w:val="center"/>
              <w:rPr>
                <w:rFonts w:hint="eastAsia" w:ascii="宋体" w:hAnsi="宋体" w:eastAsia="宋体" w:cs="宋体"/>
                <w:sz w:val="24"/>
                <w:szCs w:val="24"/>
              </w:rPr>
            </w:pPr>
          </w:p>
        </w:tc>
        <w:tc>
          <w:tcPr>
            <w:tcW w:w="3118" w:type="dxa"/>
            <w:vAlign w:val="center"/>
          </w:tcPr>
          <w:p w14:paraId="25AF2A93">
            <w:pPr>
              <w:snapToGrid w:val="0"/>
              <w:spacing w:line="360" w:lineRule="auto"/>
              <w:jc w:val="center"/>
              <w:rPr>
                <w:rFonts w:hint="eastAsia" w:ascii="宋体" w:hAnsi="宋体" w:eastAsia="宋体" w:cs="宋体"/>
                <w:sz w:val="24"/>
                <w:szCs w:val="24"/>
              </w:rPr>
            </w:pPr>
          </w:p>
        </w:tc>
        <w:tc>
          <w:tcPr>
            <w:tcW w:w="993" w:type="dxa"/>
            <w:vAlign w:val="center"/>
          </w:tcPr>
          <w:p w14:paraId="3BAEDBF8">
            <w:pPr>
              <w:snapToGrid w:val="0"/>
              <w:spacing w:line="360" w:lineRule="auto"/>
              <w:jc w:val="center"/>
              <w:rPr>
                <w:rFonts w:hint="eastAsia" w:ascii="宋体" w:hAnsi="宋体" w:eastAsia="宋体" w:cs="宋体"/>
                <w:sz w:val="24"/>
                <w:szCs w:val="24"/>
              </w:rPr>
            </w:pPr>
          </w:p>
        </w:tc>
        <w:tc>
          <w:tcPr>
            <w:tcW w:w="3543" w:type="dxa"/>
            <w:vAlign w:val="center"/>
          </w:tcPr>
          <w:p w14:paraId="68EB6DAB">
            <w:pPr>
              <w:spacing w:line="360" w:lineRule="auto"/>
              <w:jc w:val="center"/>
              <w:rPr>
                <w:rFonts w:hint="eastAsia" w:ascii="宋体" w:hAnsi="宋体" w:eastAsia="宋体" w:cs="宋体"/>
                <w:sz w:val="24"/>
                <w:szCs w:val="24"/>
              </w:rPr>
            </w:pPr>
          </w:p>
        </w:tc>
        <w:tc>
          <w:tcPr>
            <w:tcW w:w="3119" w:type="dxa"/>
            <w:vAlign w:val="center"/>
          </w:tcPr>
          <w:p w14:paraId="100DFE46">
            <w:pPr>
              <w:spacing w:line="360" w:lineRule="auto"/>
              <w:jc w:val="center"/>
              <w:rPr>
                <w:rFonts w:hint="eastAsia" w:ascii="宋体" w:hAnsi="宋体" w:eastAsia="宋体" w:cs="宋体"/>
                <w:sz w:val="24"/>
                <w:szCs w:val="24"/>
              </w:rPr>
            </w:pPr>
          </w:p>
        </w:tc>
      </w:tr>
      <w:tr w14:paraId="20C9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35308C9">
            <w:pPr>
              <w:spacing w:line="360" w:lineRule="auto"/>
              <w:jc w:val="center"/>
              <w:rPr>
                <w:rFonts w:hint="eastAsia" w:ascii="宋体" w:hAnsi="宋体" w:eastAsia="宋体" w:cs="宋体"/>
                <w:sz w:val="24"/>
                <w:szCs w:val="24"/>
              </w:rPr>
            </w:pPr>
          </w:p>
        </w:tc>
        <w:tc>
          <w:tcPr>
            <w:tcW w:w="1417" w:type="dxa"/>
            <w:vAlign w:val="center"/>
          </w:tcPr>
          <w:p w14:paraId="4C556BFD">
            <w:pPr>
              <w:snapToGrid w:val="0"/>
              <w:spacing w:line="360" w:lineRule="auto"/>
              <w:jc w:val="center"/>
              <w:rPr>
                <w:rFonts w:hint="eastAsia" w:ascii="宋体" w:hAnsi="宋体" w:eastAsia="宋体" w:cs="宋体"/>
                <w:sz w:val="24"/>
                <w:szCs w:val="24"/>
              </w:rPr>
            </w:pPr>
          </w:p>
        </w:tc>
        <w:tc>
          <w:tcPr>
            <w:tcW w:w="1843" w:type="dxa"/>
            <w:vAlign w:val="center"/>
          </w:tcPr>
          <w:p w14:paraId="156306D0">
            <w:pPr>
              <w:snapToGrid w:val="0"/>
              <w:spacing w:line="360" w:lineRule="auto"/>
              <w:jc w:val="center"/>
              <w:rPr>
                <w:rFonts w:hint="eastAsia" w:ascii="宋体" w:hAnsi="宋体" w:eastAsia="宋体" w:cs="宋体"/>
                <w:sz w:val="24"/>
                <w:szCs w:val="24"/>
              </w:rPr>
            </w:pPr>
          </w:p>
        </w:tc>
        <w:tc>
          <w:tcPr>
            <w:tcW w:w="3118" w:type="dxa"/>
            <w:vAlign w:val="center"/>
          </w:tcPr>
          <w:p w14:paraId="41C9414E">
            <w:pPr>
              <w:snapToGrid w:val="0"/>
              <w:spacing w:line="360" w:lineRule="auto"/>
              <w:jc w:val="center"/>
              <w:rPr>
                <w:rFonts w:hint="eastAsia" w:ascii="宋体" w:hAnsi="宋体" w:eastAsia="宋体" w:cs="宋体"/>
                <w:sz w:val="24"/>
                <w:szCs w:val="24"/>
              </w:rPr>
            </w:pPr>
          </w:p>
        </w:tc>
        <w:tc>
          <w:tcPr>
            <w:tcW w:w="993" w:type="dxa"/>
            <w:vAlign w:val="center"/>
          </w:tcPr>
          <w:p w14:paraId="0354D1E9">
            <w:pPr>
              <w:snapToGrid w:val="0"/>
              <w:spacing w:line="360" w:lineRule="auto"/>
              <w:jc w:val="center"/>
              <w:rPr>
                <w:rFonts w:hint="eastAsia" w:ascii="宋体" w:hAnsi="宋体" w:eastAsia="宋体" w:cs="宋体"/>
                <w:sz w:val="24"/>
                <w:szCs w:val="24"/>
              </w:rPr>
            </w:pPr>
          </w:p>
        </w:tc>
        <w:tc>
          <w:tcPr>
            <w:tcW w:w="3543" w:type="dxa"/>
            <w:vAlign w:val="center"/>
          </w:tcPr>
          <w:p w14:paraId="70F7D8F5">
            <w:pPr>
              <w:spacing w:line="360" w:lineRule="auto"/>
              <w:jc w:val="center"/>
              <w:rPr>
                <w:rFonts w:hint="eastAsia" w:ascii="宋体" w:hAnsi="宋体" w:eastAsia="宋体" w:cs="宋体"/>
                <w:sz w:val="24"/>
                <w:szCs w:val="24"/>
              </w:rPr>
            </w:pPr>
          </w:p>
        </w:tc>
        <w:tc>
          <w:tcPr>
            <w:tcW w:w="3119" w:type="dxa"/>
            <w:vAlign w:val="center"/>
          </w:tcPr>
          <w:p w14:paraId="39B04A8B">
            <w:pPr>
              <w:spacing w:line="360" w:lineRule="auto"/>
              <w:jc w:val="center"/>
              <w:rPr>
                <w:rFonts w:hint="eastAsia" w:ascii="宋体" w:hAnsi="宋体" w:eastAsia="宋体" w:cs="宋体"/>
                <w:sz w:val="24"/>
                <w:szCs w:val="24"/>
              </w:rPr>
            </w:pPr>
          </w:p>
        </w:tc>
      </w:tr>
      <w:tr w14:paraId="623BB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7D953D1">
            <w:pPr>
              <w:spacing w:line="360" w:lineRule="auto"/>
              <w:jc w:val="center"/>
              <w:rPr>
                <w:rFonts w:hint="eastAsia" w:ascii="宋体" w:hAnsi="宋体" w:eastAsia="宋体" w:cs="宋体"/>
                <w:sz w:val="24"/>
                <w:szCs w:val="24"/>
              </w:rPr>
            </w:pPr>
          </w:p>
        </w:tc>
        <w:tc>
          <w:tcPr>
            <w:tcW w:w="1417" w:type="dxa"/>
            <w:vAlign w:val="center"/>
          </w:tcPr>
          <w:p w14:paraId="220E8A93">
            <w:pPr>
              <w:snapToGrid w:val="0"/>
              <w:spacing w:line="360" w:lineRule="auto"/>
              <w:jc w:val="center"/>
              <w:rPr>
                <w:rFonts w:hint="eastAsia" w:ascii="宋体" w:hAnsi="宋体" w:eastAsia="宋体" w:cs="宋体"/>
                <w:sz w:val="24"/>
                <w:szCs w:val="24"/>
              </w:rPr>
            </w:pPr>
          </w:p>
        </w:tc>
        <w:tc>
          <w:tcPr>
            <w:tcW w:w="1843" w:type="dxa"/>
            <w:vAlign w:val="center"/>
          </w:tcPr>
          <w:p w14:paraId="21AFB983">
            <w:pPr>
              <w:snapToGrid w:val="0"/>
              <w:spacing w:line="360" w:lineRule="auto"/>
              <w:jc w:val="center"/>
              <w:rPr>
                <w:rFonts w:hint="eastAsia" w:ascii="宋体" w:hAnsi="宋体" w:eastAsia="宋体" w:cs="宋体"/>
                <w:sz w:val="24"/>
                <w:szCs w:val="24"/>
              </w:rPr>
            </w:pPr>
          </w:p>
        </w:tc>
        <w:tc>
          <w:tcPr>
            <w:tcW w:w="3118" w:type="dxa"/>
            <w:vAlign w:val="center"/>
          </w:tcPr>
          <w:p w14:paraId="5FC641C3">
            <w:pPr>
              <w:snapToGrid w:val="0"/>
              <w:spacing w:line="360" w:lineRule="auto"/>
              <w:jc w:val="center"/>
              <w:rPr>
                <w:rFonts w:hint="eastAsia" w:ascii="宋体" w:hAnsi="宋体" w:eastAsia="宋体" w:cs="宋体"/>
                <w:sz w:val="24"/>
                <w:szCs w:val="24"/>
              </w:rPr>
            </w:pPr>
          </w:p>
        </w:tc>
        <w:tc>
          <w:tcPr>
            <w:tcW w:w="993" w:type="dxa"/>
            <w:vAlign w:val="center"/>
          </w:tcPr>
          <w:p w14:paraId="6F695B62">
            <w:pPr>
              <w:snapToGrid w:val="0"/>
              <w:spacing w:line="360" w:lineRule="auto"/>
              <w:jc w:val="center"/>
              <w:rPr>
                <w:rFonts w:hint="eastAsia" w:ascii="宋体" w:hAnsi="宋体" w:eastAsia="宋体" w:cs="宋体"/>
                <w:sz w:val="24"/>
                <w:szCs w:val="24"/>
              </w:rPr>
            </w:pPr>
          </w:p>
        </w:tc>
        <w:tc>
          <w:tcPr>
            <w:tcW w:w="3543" w:type="dxa"/>
            <w:vAlign w:val="center"/>
          </w:tcPr>
          <w:p w14:paraId="32419E57">
            <w:pPr>
              <w:spacing w:line="360" w:lineRule="auto"/>
              <w:jc w:val="center"/>
              <w:rPr>
                <w:rFonts w:hint="eastAsia" w:ascii="宋体" w:hAnsi="宋体" w:eastAsia="宋体" w:cs="宋体"/>
                <w:sz w:val="24"/>
                <w:szCs w:val="24"/>
              </w:rPr>
            </w:pPr>
          </w:p>
        </w:tc>
        <w:tc>
          <w:tcPr>
            <w:tcW w:w="3119" w:type="dxa"/>
            <w:vAlign w:val="center"/>
          </w:tcPr>
          <w:p w14:paraId="4E73FED1">
            <w:pPr>
              <w:spacing w:line="360" w:lineRule="auto"/>
              <w:jc w:val="center"/>
              <w:rPr>
                <w:rFonts w:hint="eastAsia" w:ascii="宋体" w:hAnsi="宋体" w:eastAsia="宋体" w:cs="宋体"/>
                <w:sz w:val="24"/>
                <w:szCs w:val="24"/>
              </w:rPr>
            </w:pPr>
          </w:p>
        </w:tc>
      </w:tr>
      <w:tr w14:paraId="68F6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BE5A2A4">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投标报价</w:t>
            </w:r>
            <w:r>
              <w:rPr>
                <w:rFonts w:hint="eastAsia" w:ascii="宋体" w:hAnsi="宋体" w:eastAsia="宋体" w:cs="宋体"/>
                <w:b/>
                <w:sz w:val="24"/>
                <w:szCs w:val="24"/>
                <w:lang w:val="en-US" w:eastAsia="zh-CN"/>
              </w:rPr>
              <w:t>单价</w:t>
            </w:r>
            <w:r>
              <w:rPr>
                <w:rFonts w:hint="eastAsia" w:ascii="宋体" w:hAnsi="宋体" w:eastAsia="宋体" w:cs="宋体"/>
                <w:b/>
                <w:sz w:val="24"/>
                <w:szCs w:val="24"/>
              </w:rPr>
              <w:t>（小写）</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元/平方米</w:t>
            </w:r>
            <w:r>
              <w:rPr>
                <w:rFonts w:hint="eastAsia" w:ascii="宋体" w:hAnsi="宋体" w:eastAsia="宋体" w:cs="宋体"/>
                <w:b/>
                <w:sz w:val="24"/>
                <w:szCs w:val="24"/>
                <w:lang w:eastAsia="zh-CN"/>
              </w:rPr>
              <w:t>）</w:t>
            </w:r>
          </w:p>
        </w:tc>
        <w:tc>
          <w:tcPr>
            <w:tcW w:w="7655" w:type="dxa"/>
            <w:gridSpan w:val="3"/>
            <w:vAlign w:val="center"/>
          </w:tcPr>
          <w:p w14:paraId="32A80F1D">
            <w:pPr>
              <w:spacing w:line="360" w:lineRule="auto"/>
              <w:jc w:val="center"/>
              <w:rPr>
                <w:rFonts w:hint="eastAsia" w:ascii="宋体" w:hAnsi="宋体" w:eastAsia="宋体" w:cs="宋体"/>
                <w:sz w:val="24"/>
                <w:szCs w:val="24"/>
              </w:rPr>
            </w:pPr>
          </w:p>
        </w:tc>
      </w:tr>
      <w:tr w14:paraId="13A2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6F71B24">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投标报价</w:t>
            </w:r>
            <w:r>
              <w:rPr>
                <w:rFonts w:hint="eastAsia" w:ascii="宋体" w:hAnsi="宋体" w:eastAsia="宋体" w:cs="宋体"/>
                <w:b/>
                <w:sz w:val="24"/>
                <w:szCs w:val="24"/>
                <w:lang w:val="en-US" w:eastAsia="zh-CN"/>
              </w:rPr>
              <w:t>单价</w:t>
            </w:r>
            <w:r>
              <w:rPr>
                <w:rFonts w:hint="eastAsia" w:ascii="宋体" w:hAnsi="宋体" w:eastAsia="宋体" w:cs="宋体"/>
                <w:b/>
                <w:sz w:val="24"/>
                <w:szCs w:val="24"/>
              </w:rPr>
              <w:t>（大写）</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元/平方米</w:t>
            </w:r>
            <w:r>
              <w:rPr>
                <w:rFonts w:hint="eastAsia" w:ascii="宋体" w:hAnsi="宋体" w:eastAsia="宋体" w:cs="宋体"/>
                <w:b/>
                <w:sz w:val="24"/>
                <w:szCs w:val="24"/>
                <w:lang w:eastAsia="zh-CN"/>
              </w:rPr>
              <w:t>）</w:t>
            </w:r>
          </w:p>
        </w:tc>
        <w:tc>
          <w:tcPr>
            <w:tcW w:w="7655" w:type="dxa"/>
            <w:gridSpan w:val="3"/>
            <w:vAlign w:val="center"/>
          </w:tcPr>
          <w:p w14:paraId="0AB89D07">
            <w:pPr>
              <w:spacing w:line="360" w:lineRule="auto"/>
              <w:jc w:val="center"/>
              <w:rPr>
                <w:rFonts w:hint="eastAsia" w:ascii="宋体" w:hAnsi="宋体" w:eastAsia="宋体" w:cs="宋体"/>
                <w:sz w:val="24"/>
                <w:szCs w:val="24"/>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2"/>
        <w:rPr>
          <w:rFonts w:hint="eastAsia" w:ascii="宋体" w:hAnsi="宋体" w:cs="宋体"/>
          <w:b/>
          <w:color w:val="auto"/>
          <w:sz w:val="24"/>
          <w:highlight w:val="none"/>
        </w:rPr>
      </w:pPr>
    </w:p>
    <w:p w14:paraId="1AA2EA6C">
      <w:pPr>
        <w:pStyle w:val="82"/>
        <w:rPr>
          <w:rFonts w:hint="eastAsia" w:ascii="宋体" w:hAnsi="宋体" w:cs="宋体"/>
          <w:b/>
          <w:color w:val="auto"/>
          <w:sz w:val="24"/>
          <w:highlight w:val="none"/>
        </w:rPr>
      </w:pPr>
    </w:p>
    <w:p w14:paraId="4AF87534">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10" w:name="OLE_LINK14"/>
      <w:bookmarkStart w:id="511" w:name="OLE_LINK13"/>
      <w:r>
        <w:rPr>
          <w:rFonts w:hint="eastAsia" w:ascii="宋体" w:hAnsi="宋体" w:cs="宋体"/>
          <w:b/>
          <w:color w:val="auto"/>
          <w:spacing w:val="6"/>
          <w:sz w:val="32"/>
          <w:szCs w:val="32"/>
          <w:highlight w:val="none"/>
        </w:rPr>
        <w:t>残疾人福利性单位声明函</w:t>
      </w:r>
    </w:p>
    <w:bookmarkEnd w:id="510"/>
    <w:bookmarkEnd w:id="511"/>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桐庐县高新区(江南园区)集体土地征收及搬迁项目(一期)评估服务项目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7F0C0D1E">
      <w:pPr>
        <w:spacing w:line="360" w:lineRule="auto"/>
        <w:jc w:val="left"/>
        <w:rPr>
          <w:rFonts w:hint="eastAsia" w:ascii="宋体" w:hAnsi="宋体" w:cs="宋体"/>
          <w:b/>
          <w:color w:val="auto"/>
          <w:spacing w:val="6"/>
          <w:sz w:val="32"/>
          <w:szCs w:val="32"/>
          <w:highlight w:val="none"/>
        </w:rPr>
      </w:pPr>
    </w:p>
    <w:p w14:paraId="46F13413">
      <w:pPr>
        <w:spacing w:line="360" w:lineRule="auto"/>
        <w:jc w:val="left"/>
        <w:rPr>
          <w:rFonts w:hint="eastAsia" w:ascii="宋体" w:hAnsi="宋体" w:cs="宋体"/>
          <w:b/>
          <w:color w:val="auto"/>
          <w:spacing w:val="6"/>
          <w:sz w:val="32"/>
          <w:szCs w:val="32"/>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33D10361">
      <w:pPr>
        <w:spacing w:line="360" w:lineRule="auto"/>
        <w:jc w:val="left"/>
        <w:rPr>
          <w:rFonts w:hint="eastAsia" w:ascii="宋体" w:hAnsi="宋体" w:cs="宋体"/>
          <w:b/>
          <w:color w:val="auto"/>
          <w:spacing w:val="6"/>
          <w:sz w:val="32"/>
          <w:szCs w:val="32"/>
          <w:highlight w:val="none"/>
        </w:rPr>
      </w:pPr>
    </w:p>
    <w:p w14:paraId="1A111F55">
      <w:pPr>
        <w:spacing w:line="360" w:lineRule="auto"/>
        <w:jc w:val="left"/>
        <w:rPr>
          <w:rFonts w:hint="eastAsia" w:ascii="宋体" w:hAnsi="宋体" w:cs="宋体"/>
          <w:b/>
          <w:color w:val="auto"/>
          <w:spacing w:val="6"/>
          <w:sz w:val="32"/>
          <w:szCs w:val="32"/>
          <w:highlight w:val="none"/>
        </w:rPr>
      </w:pPr>
    </w:p>
    <w:p w14:paraId="01240649">
      <w:pPr>
        <w:spacing w:line="360" w:lineRule="auto"/>
        <w:jc w:val="left"/>
        <w:rPr>
          <w:rFonts w:hint="eastAsia" w:ascii="宋体" w:hAnsi="宋体" w:cs="宋体"/>
          <w:b/>
          <w:color w:val="auto"/>
          <w:spacing w:val="6"/>
          <w:sz w:val="32"/>
          <w:szCs w:val="32"/>
          <w:highlight w:val="none"/>
        </w:rPr>
      </w:pPr>
    </w:p>
    <w:p w14:paraId="267B3053">
      <w:pPr>
        <w:spacing w:line="360" w:lineRule="auto"/>
        <w:jc w:val="left"/>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40C5B805">
      <w:pPr>
        <w:autoSpaceDE w:val="0"/>
        <w:autoSpaceDN w:val="0"/>
        <w:jc w:val="center"/>
        <w:rPr>
          <w:rFonts w:hint="eastAsia" w:ascii="宋体" w:hAnsi="宋体" w:cs="宋体"/>
          <w:b/>
          <w:color w:val="auto"/>
          <w:spacing w:val="6"/>
          <w:sz w:val="32"/>
          <w:szCs w:val="32"/>
          <w:highlight w:val="none"/>
        </w:rPr>
      </w:pPr>
    </w:p>
    <w:p w14:paraId="4690F76B">
      <w:pPr>
        <w:autoSpaceDE w:val="0"/>
        <w:autoSpaceDN w:val="0"/>
        <w:jc w:val="center"/>
        <w:rPr>
          <w:rFonts w:hint="eastAsia" w:ascii="宋体" w:hAnsi="宋体" w:cs="宋体"/>
          <w:b/>
          <w:color w:val="auto"/>
          <w:spacing w:val="6"/>
          <w:sz w:val="32"/>
          <w:szCs w:val="32"/>
          <w:highlight w:val="none"/>
        </w:rPr>
      </w:pPr>
    </w:p>
    <w:p w14:paraId="2B14B941">
      <w:pPr>
        <w:autoSpaceDE w:val="0"/>
        <w:autoSpaceDN w:val="0"/>
        <w:jc w:val="center"/>
        <w:rPr>
          <w:rFonts w:hint="eastAsia" w:ascii="宋体" w:hAnsi="宋体" w:cs="宋体"/>
          <w:b/>
          <w:color w:val="auto"/>
          <w:spacing w:val="6"/>
          <w:sz w:val="32"/>
          <w:szCs w:val="32"/>
          <w:highlight w:val="none"/>
        </w:rPr>
      </w:pPr>
    </w:p>
    <w:p w14:paraId="7DD1AF12">
      <w:pPr>
        <w:autoSpaceDE w:val="0"/>
        <w:autoSpaceDN w:val="0"/>
        <w:jc w:val="center"/>
        <w:rPr>
          <w:rFonts w:hint="eastAsia" w:ascii="宋体" w:hAnsi="宋体" w:cs="宋体"/>
          <w:b/>
          <w:color w:val="auto"/>
          <w:spacing w:val="6"/>
          <w:sz w:val="32"/>
          <w:szCs w:val="32"/>
          <w:highlight w:val="none"/>
        </w:rPr>
      </w:pPr>
    </w:p>
    <w:p w14:paraId="1CC15E3D">
      <w:pPr>
        <w:autoSpaceDE w:val="0"/>
        <w:autoSpaceDN w:val="0"/>
        <w:jc w:val="center"/>
        <w:rPr>
          <w:rFonts w:hint="eastAsia" w:ascii="宋体" w:hAnsi="宋体" w:cs="宋体"/>
          <w:b/>
          <w:color w:val="auto"/>
          <w:spacing w:val="6"/>
          <w:sz w:val="32"/>
          <w:szCs w:val="32"/>
          <w:highlight w:val="none"/>
        </w:rPr>
      </w:pPr>
    </w:p>
    <w:p w14:paraId="6525897E">
      <w:pPr>
        <w:autoSpaceDE w:val="0"/>
        <w:autoSpaceDN w:val="0"/>
        <w:jc w:val="center"/>
        <w:rPr>
          <w:rFonts w:hint="eastAsia"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桐庐县江南镇人民政府</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华诚工程咨询集团有限公司</w:t>
      </w:r>
      <w:r>
        <w:rPr>
          <w:rFonts w:hint="eastAsia" w:ascii="宋体" w:hAnsi="宋体" w:cs="宋体"/>
          <w:color w:val="auto"/>
          <w:sz w:val="24"/>
          <w:highlight w:val="none"/>
          <w:u w:val="single"/>
        </w:rPr>
        <w:t>：</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桐庐县高新区(江南园区)集体土地征收及搬迁项目(一期)评估服务项目</w:t>
      </w:r>
      <w:r>
        <w:rPr>
          <w:rFonts w:hint="eastAsia" w:ascii="宋体" w:hAnsi="宋体" w:cs="宋体"/>
          <w:color w:val="auto"/>
          <w:sz w:val="24"/>
          <w:highlight w:val="none"/>
        </w:rPr>
        <w:t>【招标编号：（采购编号）】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054D5632">
      <w:pPr>
        <w:autoSpaceDE w:val="0"/>
        <w:autoSpaceDN w:val="0"/>
        <w:jc w:val="center"/>
        <w:rPr>
          <w:rFonts w:hint="eastAsia" w:ascii="宋体" w:hAnsi="宋体" w:cs="宋体"/>
          <w:b/>
          <w:color w:val="auto"/>
          <w:spacing w:val="6"/>
          <w:sz w:val="32"/>
          <w:szCs w:val="32"/>
          <w:highlight w:val="none"/>
        </w:rPr>
      </w:pPr>
    </w:p>
    <w:p w14:paraId="4267DC98">
      <w:pPr>
        <w:autoSpaceDE w:val="0"/>
        <w:autoSpaceDN w:val="0"/>
        <w:jc w:val="center"/>
        <w:rPr>
          <w:rFonts w:hint="eastAsia" w:ascii="宋体" w:hAnsi="宋体" w:cs="宋体"/>
          <w:b/>
          <w:color w:val="auto"/>
          <w:spacing w:val="6"/>
          <w:sz w:val="32"/>
          <w:szCs w:val="32"/>
          <w:highlight w:val="none"/>
        </w:rPr>
      </w:pPr>
    </w:p>
    <w:p w14:paraId="4F2A6C93">
      <w:pPr>
        <w:autoSpaceDE w:val="0"/>
        <w:autoSpaceDN w:val="0"/>
        <w:jc w:val="center"/>
        <w:rPr>
          <w:rFonts w:hint="eastAsia" w:ascii="宋体" w:hAnsi="宋体" w:cs="宋体"/>
          <w:b/>
          <w:color w:val="auto"/>
          <w:spacing w:val="6"/>
          <w:sz w:val="32"/>
          <w:szCs w:val="32"/>
          <w:highlight w:val="none"/>
        </w:rPr>
      </w:pPr>
    </w:p>
    <w:p w14:paraId="3365A92B">
      <w:pPr>
        <w:autoSpaceDE w:val="0"/>
        <w:autoSpaceDN w:val="0"/>
        <w:jc w:val="center"/>
        <w:rPr>
          <w:rFonts w:hint="eastAsia" w:ascii="宋体" w:hAnsi="宋体" w:cs="宋体"/>
          <w:b/>
          <w:color w:val="auto"/>
          <w:spacing w:val="6"/>
          <w:sz w:val="32"/>
          <w:szCs w:val="32"/>
          <w:highlight w:val="none"/>
        </w:rPr>
      </w:pPr>
    </w:p>
    <w:p w14:paraId="4CCCF1E2">
      <w:pPr>
        <w:autoSpaceDE w:val="0"/>
        <w:autoSpaceDN w:val="0"/>
        <w:jc w:val="center"/>
        <w:rPr>
          <w:rFonts w:hint="eastAsia" w:ascii="宋体" w:hAnsi="宋体" w:cs="宋体"/>
          <w:b/>
          <w:color w:val="auto"/>
          <w:spacing w:val="6"/>
          <w:sz w:val="32"/>
          <w:szCs w:val="32"/>
          <w:highlight w:val="none"/>
        </w:rPr>
      </w:pPr>
    </w:p>
    <w:p w14:paraId="52240EAC">
      <w:pPr>
        <w:autoSpaceDE w:val="0"/>
        <w:autoSpaceDN w:val="0"/>
        <w:jc w:val="center"/>
        <w:rPr>
          <w:rFonts w:hint="eastAsia" w:ascii="宋体" w:hAnsi="宋体" w:cs="宋体"/>
          <w:b/>
          <w:color w:val="auto"/>
          <w:spacing w:val="6"/>
          <w:sz w:val="32"/>
          <w:szCs w:val="32"/>
          <w:highlight w:val="none"/>
        </w:rPr>
      </w:pPr>
    </w:p>
    <w:p w14:paraId="33D78E51">
      <w:pPr>
        <w:autoSpaceDE w:val="0"/>
        <w:autoSpaceDN w:val="0"/>
        <w:jc w:val="center"/>
        <w:rPr>
          <w:rFonts w:hint="eastAsia"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桐庐县高新区(江南园区)集体土地征收及搬迁项目(一期)评估服务项目</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4B6EB97B">
      <w:pPr>
        <w:snapToGrid w:val="0"/>
        <w:spacing w:line="360" w:lineRule="auto"/>
        <w:ind w:firstLine="3666" w:firstLineChars="1100"/>
        <w:rPr>
          <w:rFonts w:hint="eastAsia" w:ascii="宋体" w:hAnsi="宋体" w:cs="宋体"/>
          <w:b/>
          <w:color w:val="auto"/>
          <w:spacing w:val="6"/>
          <w:sz w:val="32"/>
          <w:szCs w:val="32"/>
          <w:highlight w:val="none"/>
        </w:rPr>
      </w:pPr>
    </w:p>
    <w:p w14:paraId="5D51FC37">
      <w:pPr>
        <w:snapToGrid w:val="0"/>
        <w:spacing w:line="360" w:lineRule="auto"/>
        <w:ind w:firstLine="3666" w:firstLineChars="1100"/>
        <w:rPr>
          <w:rFonts w:hint="eastAsia" w:ascii="宋体" w:hAnsi="宋体" w:cs="宋体"/>
          <w:b/>
          <w:color w:val="auto"/>
          <w:spacing w:val="6"/>
          <w:sz w:val="32"/>
          <w:szCs w:val="32"/>
          <w:highlight w:val="none"/>
        </w:rPr>
      </w:pPr>
    </w:p>
    <w:p w14:paraId="6ABD6BCC">
      <w:pPr>
        <w:snapToGrid w:val="0"/>
        <w:spacing w:line="360" w:lineRule="auto"/>
        <w:rPr>
          <w:rFonts w:hint="eastAsia" w:ascii="宋体" w:hAnsi="宋体" w:cs="宋体"/>
          <w:b/>
          <w:color w:val="auto"/>
          <w:spacing w:val="6"/>
          <w:sz w:val="32"/>
          <w:szCs w:val="32"/>
          <w:highlight w:val="none"/>
        </w:rPr>
      </w:pP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桐庐县高新区(江南园区)集体土地征收及搬迁项目(一期)评估服务项目</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73DA02A9">
      <w:pPr>
        <w:spacing w:line="360" w:lineRule="auto"/>
        <w:jc w:val="left"/>
        <w:outlineLvl w:val="0"/>
        <w:rPr>
          <w:rFonts w:hint="eastAsia" w:ascii="宋体" w:hAnsi="宋体" w:cs="宋体"/>
          <w:b/>
          <w:color w:val="auto"/>
          <w:sz w:val="36"/>
          <w:szCs w:val="20"/>
          <w:highlight w:val="none"/>
        </w:rPr>
      </w:pPr>
    </w:p>
    <w:p w14:paraId="11A60767">
      <w:pPr>
        <w:spacing w:line="360" w:lineRule="auto"/>
        <w:jc w:val="left"/>
        <w:outlineLvl w:val="0"/>
        <w:rPr>
          <w:rFonts w:hint="eastAsia" w:ascii="宋体" w:hAnsi="宋体" w:cs="宋体"/>
          <w:b/>
          <w:color w:val="auto"/>
          <w:sz w:val="36"/>
          <w:szCs w:val="20"/>
          <w:highlight w:val="none"/>
        </w:rPr>
      </w:pPr>
    </w:p>
    <w:p w14:paraId="010587A1">
      <w:pPr>
        <w:spacing w:line="360" w:lineRule="auto"/>
        <w:jc w:val="left"/>
        <w:outlineLvl w:val="0"/>
        <w:rPr>
          <w:rFonts w:hint="eastAsia" w:ascii="宋体" w:hAnsi="宋体" w:cs="宋体"/>
          <w:b/>
          <w:color w:val="auto"/>
          <w:sz w:val="36"/>
          <w:szCs w:val="20"/>
          <w:highlight w:val="none"/>
        </w:rPr>
      </w:pPr>
    </w:p>
    <w:p w14:paraId="6B25DA90">
      <w:pPr>
        <w:spacing w:line="360" w:lineRule="auto"/>
        <w:jc w:val="left"/>
        <w:outlineLvl w:val="0"/>
        <w:rPr>
          <w:rFonts w:hint="eastAsia" w:ascii="宋体" w:hAnsi="宋体" w:cs="宋体"/>
          <w:b/>
          <w:color w:val="auto"/>
          <w:sz w:val="36"/>
          <w:szCs w:val="20"/>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桐庐县江南镇人民政府</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桐庐县高新区(江南园区)集体土地征收及搬迁项目(一期)评估服务项目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桐庐县高新区(江南园区)集体土地征收及搬迁项目(一期)评估服务项目</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4D9952A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黑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2"/>
      <w:framePr w:wrap="around" w:vAnchor="text" w:hAnchor="margin" w:xAlign="right" w:y="1"/>
      <w:rPr>
        <w:rStyle w:val="73"/>
      </w:rPr>
    </w:pPr>
    <w:r>
      <w:fldChar w:fldCharType="begin"/>
    </w:r>
    <w:r>
      <w:rPr>
        <w:rStyle w:val="73"/>
      </w:rPr>
      <w:instrText xml:space="preserve">PAGE  </w:instrText>
    </w:r>
    <w:r>
      <w:fldChar w:fldCharType="end"/>
    </w:r>
  </w:p>
  <w:p w14:paraId="65FC6C0A">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64085800"/>
    <w:bookmarkStart w:id="516" w:name="_Toc36110187"/>
    <w:bookmarkStart w:id="517" w:name="_Toc131845147"/>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2"/>
      <w:framePr w:wrap="around" w:vAnchor="text" w:hAnchor="margin" w:xAlign="right" w:y="1"/>
      <w:rPr>
        <w:rStyle w:val="73"/>
      </w:rPr>
    </w:pPr>
    <w:r>
      <w:fldChar w:fldCharType="begin"/>
    </w:r>
    <w:r>
      <w:rPr>
        <w:rStyle w:val="73"/>
      </w:rPr>
      <w:instrText xml:space="preserve">PAGE  </w:instrText>
    </w:r>
    <w:r>
      <w:fldChar w:fldCharType="end"/>
    </w:r>
  </w:p>
  <w:p w14:paraId="5E0900AF">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3"/>
      <w:pBdr>
        <w:bottom w:val="single" w:color="auto" w:sz="6" w:space="4"/>
      </w:pBdr>
      <w:jc w:val="right"/>
    </w:pPr>
    <w:r>
      <w:t></w:t>
    </w:r>
    <w:r>
      <w:rPr>
        <w:rFonts w:hint="eastAsia"/>
      </w:rPr>
      <w:t xml:space="preserve">             </w:t>
    </w:r>
    <w:r>
      <w:t>杭州市政府采购公开招标文件</w:t>
    </w:r>
  </w:p>
  <w:p w14:paraId="5E97806E">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3"/>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3"/>
    </w:pPr>
    <w:r>
      <w:t></w:t>
    </w:r>
    <w:r>
      <w:rPr>
        <w:rFonts w:hint="eastAsia"/>
      </w:rPr>
      <w:t xml:space="preserve">         </w:t>
    </w:r>
  </w:p>
  <w:p w14:paraId="6F97612A">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3"/>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3"/>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9D8"/>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59B"/>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1E2A"/>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D01805"/>
    <w:rsid w:val="060E5941"/>
    <w:rsid w:val="06110FAF"/>
    <w:rsid w:val="06383B48"/>
    <w:rsid w:val="06493CA7"/>
    <w:rsid w:val="065A6178"/>
    <w:rsid w:val="065C5DA3"/>
    <w:rsid w:val="066F1CF3"/>
    <w:rsid w:val="06930BB8"/>
    <w:rsid w:val="07245D42"/>
    <w:rsid w:val="07264C62"/>
    <w:rsid w:val="0779354C"/>
    <w:rsid w:val="08061376"/>
    <w:rsid w:val="080F4957"/>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8B368D"/>
    <w:rsid w:val="0BF6188C"/>
    <w:rsid w:val="0BF73C91"/>
    <w:rsid w:val="0C170175"/>
    <w:rsid w:val="0C571A41"/>
    <w:rsid w:val="0C5C1171"/>
    <w:rsid w:val="0C5E1CBC"/>
    <w:rsid w:val="0C615B50"/>
    <w:rsid w:val="0C8445DA"/>
    <w:rsid w:val="0C87121B"/>
    <w:rsid w:val="0CC007F7"/>
    <w:rsid w:val="0CC617AC"/>
    <w:rsid w:val="0CCE2B10"/>
    <w:rsid w:val="0CE618DF"/>
    <w:rsid w:val="0CFE707A"/>
    <w:rsid w:val="0D063BDA"/>
    <w:rsid w:val="0D08375F"/>
    <w:rsid w:val="0D184CFB"/>
    <w:rsid w:val="0D4A7419"/>
    <w:rsid w:val="0D6C40D7"/>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354B5"/>
    <w:rsid w:val="146D271E"/>
    <w:rsid w:val="148F4AFF"/>
    <w:rsid w:val="14982588"/>
    <w:rsid w:val="149A5AD9"/>
    <w:rsid w:val="14A7619D"/>
    <w:rsid w:val="150536C3"/>
    <w:rsid w:val="150C1963"/>
    <w:rsid w:val="151447A0"/>
    <w:rsid w:val="154A6454"/>
    <w:rsid w:val="15762120"/>
    <w:rsid w:val="15C471A6"/>
    <w:rsid w:val="16134573"/>
    <w:rsid w:val="163634D4"/>
    <w:rsid w:val="16A8729C"/>
    <w:rsid w:val="16B33777"/>
    <w:rsid w:val="16BC70A7"/>
    <w:rsid w:val="16C6339E"/>
    <w:rsid w:val="172F2D79"/>
    <w:rsid w:val="17557BEF"/>
    <w:rsid w:val="17D349C1"/>
    <w:rsid w:val="1830729E"/>
    <w:rsid w:val="1870062C"/>
    <w:rsid w:val="18817102"/>
    <w:rsid w:val="18830A15"/>
    <w:rsid w:val="18852B28"/>
    <w:rsid w:val="188B5321"/>
    <w:rsid w:val="190134B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883FAA"/>
    <w:rsid w:val="1D9247AE"/>
    <w:rsid w:val="1DB567EC"/>
    <w:rsid w:val="1DF51A98"/>
    <w:rsid w:val="1E036392"/>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0C0056A"/>
    <w:rsid w:val="211116EB"/>
    <w:rsid w:val="21470C8B"/>
    <w:rsid w:val="216133FC"/>
    <w:rsid w:val="21D56769"/>
    <w:rsid w:val="21E52EF3"/>
    <w:rsid w:val="21FB5D7B"/>
    <w:rsid w:val="22015E94"/>
    <w:rsid w:val="220B1C3D"/>
    <w:rsid w:val="221D1D20"/>
    <w:rsid w:val="22334A87"/>
    <w:rsid w:val="223D47BB"/>
    <w:rsid w:val="226D06CE"/>
    <w:rsid w:val="22BE6801"/>
    <w:rsid w:val="22C02BA0"/>
    <w:rsid w:val="232956BD"/>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465A38"/>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A04C51"/>
    <w:rsid w:val="28153891"/>
    <w:rsid w:val="28333E1D"/>
    <w:rsid w:val="28454BD6"/>
    <w:rsid w:val="28455253"/>
    <w:rsid w:val="28551971"/>
    <w:rsid w:val="285B1C53"/>
    <w:rsid w:val="289F7086"/>
    <w:rsid w:val="28C32028"/>
    <w:rsid w:val="28CC490F"/>
    <w:rsid w:val="28DE40AA"/>
    <w:rsid w:val="291E22D1"/>
    <w:rsid w:val="29345E77"/>
    <w:rsid w:val="294C65AD"/>
    <w:rsid w:val="29806583"/>
    <w:rsid w:val="298B3C4C"/>
    <w:rsid w:val="29F26D24"/>
    <w:rsid w:val="2A15033F"/>
    <w:rsid w:val="2A1662C1"/>
    <w:rsid w:val="2A1C7367"/>
    <w:rsid w:val="2A2815FA"/>
    <w:rsid w:val="2A6D6092"/>
    <w:rsid w:val="2A7D76B4"/>
    <w:rsid w:val="2A884AD4"/>
    <w:rsid w:val="2AB949A8"/>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0B3C17"/>
    <w:rsid w:val="2E4B082A"/>
    <w:rsid w:val="2E5D4E86"/>
    <w:rsid w:val="2E5D790B"/>
    <w:rsid w:val="2E9A3C18"/>
    <w:rsid w:val="2EBB0FEE"/>
    <w:rsid w:val="2EC63002"/>
    <w:rsid w:val="2F0A6B38"/>
    <w:rsid w:val="2F1C04D2"/>
    <w:rsid w:val="2F946CCB"/>
    <w:rsid w:val="2FD25781"/>
    <w:rsid w:val="2FDC745C"/>
    <w:rsid w:val="2FFD7934"/>
    <w:rsid w:val="30733ACD"/>
    <w:rsid w:val="308C3862"/>
    <w:rsid w:val="309379D8"/>
    <w:rsid w:val="30A270F7"/>
    <w:rsid w:val="30DF1478"/>
    <w:rsid w:val="30EC586F"/>
    <w:rsid w:val="30EF31D8"/>
    <w:rsid w:val="310402C4"/>
    <w:rsid w:val="314550B7"/>
    <w:rsid w:val="319C6071"/>
    <w:rsid w:val="31A87135"/>
    <w:rsid w:val="31AC537E"/>
    <w:rsid w:val="31E3679B"/>
    <w:rsid w:val="31E732FD"/>
    <w:rsid w:val="32517576"/>
    <w:rsid w:val="32BE5C2C"/>
    <w:rsid w:val="32D33F02"/>
    <w:rsid w:val="32FB6478"/>
    <w:rsid w:val="33263B3F"/>
    <w:rsid w:val="33381316"/>
    <w:rsid w:val="336963EB"/>
    <w:rsid w:val="336A3155"/>
    <w:rsid w:val="33816EEB"/>
    <w:rsid w:val="33EB55CD"/>
    <w:rsid w:val="33EC4C02"/>
    <w:rsid w:val="340D2360"/>
    <w:rsid w:val="3410665D"/>
    <w:rsid w:val="34211214"/>
    <w:rsid w:val="342E63AB"/>
    <w:rsid w:val="34433534"/>
    <w:rsid w:val="34950E68"/>
    <w:rsid w:val="34986E94"/>
    <w:rsid w:val="34AF62C9"/>
    <w:rsid w:val="34CB4388"/>
    <w:rsid w:val="34FA6E12"/>
    <w:rsid w:val="354D7158"/>
    <w:rsid w:val="358D5588"/>
    <w:rsid w:val="35BC70FA"/>
    <w:rsid w:val="35FB595F"/>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8A1C1A"/>
    <w:rsid w:val="38BC0149"/>
    <w:rsid w:val="38D87D1C"/>
    <w:rsid w:val="39636459"/>
    <w:rsid w:val="396B7F6C"/>
    <w:rsid w:val="39B417A9"/>
    <w:rsid w:val="39FC5695"/>
    <w:rsid w:val="3A006D8E"/>
    <w:rsid w:val="3A0D43C8"/>
    <w:rsid w:val="3A3651E5"/>
    <w:rsid w:val="3A744481"/>
    <w:rsid w:val="3A8C7BEF"/>
    <w:rsid w:val="3A906246"/>
    <w:rsid w:val="3B1F0ECF"/>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255C6"/>
    <w:rsid w:val="3D8734BB"/>
    <w:rsid w:val="3D9A11D4"/>
    <w:rsid w:val="3DA16D89"/>
    <w:rsid w:val="3DA364BE"/>
    <w:rsid w:val="3DE041CB"/>
    <w:rsid w:val="3E0D48F6"/>
    <w:rsid w:val="3E1868B4"/>
    <w:rsid w:val="3E263CAA"/>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53528A"/>
    <w:rsid w:val="42613FF3"/>
    <w:rsid w:val="42660D96"/>
    <w:rsid w:val="428667D2"/>
    <w:rsid w:val="42CD1CE0"/>
    <w:rsid w:val="42E1381E"/>
    <w:rsid w:val="42ED6459"/>
    <w:rsid w:val="42FE58DD"/>
    <w:rsid w:val="43174B3D"/>
    <w:rsid w:val="43202234"/>
    <w:rsid w:val="4340580E"/>
    <w:rsid w:val="434B790E"/>
    <w:rsid w:val="4360274F"/>
    <w:rsid w:val="43977AB6"/>
    <w:rsid w:val="43A3342B"/>
    <w:rsid w:val="43C77C27"/>
    <w:rsid w:val="43DE09EE"/>
    <w:rsid w:val="44002FAD"/>
    <w:rsid w:val="449101DD"/>
    <w:rsid w:val="44D16FF4"/>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5632A7"/>
    <w:rsid w:val="477B778F"/>
    <w:rsid w:val="478203EC"/>
    <w:rsid w:val="47B025FA"/>
    <w:rsid w:val="47F161DD"/>
    <w:rsid w:val="4809698F"/>
    <w:rsid w:val="4811697D"/>
    <w:rsid w:val="487A3E25"/>
    <w:rsid w:val="488B5503"/>
    <w:rsid w:val="48937E21"/>
    <w:rsid w:val="489A0361"/>
    <w:rsid w:val="48B94FF3"/>
    <w:rsid w:val="48E37AAB"/>
    <w:rsid w:val="48FD4B4C"/>
    <w:rsid w:val="490A68E0"/>
    <w:rsid w:val="491055FE"/>
    <w:rsid w:val="4922522C"/>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6B71A0"/>
    <w:rsid w:val="4B707271"/>
    <w:rsid w:val="4B9739F7"/>
    <w:rsid w:val="4BEE2503"/>
    <w:rsid w:val="4C245A30"/>
    <w:rsid w:val="4CB6685F"/>
    <w:rsid w:val="4CC367FE"/>
    <w:rsid w:val="4D077F3C"/>
    <w:rsid w:val="4D123355"/>
    <w:rsid w:val="4D2A3B31"/>
    <w:rsid w:val="4D312C52"/>
    <w:rsid w:val="4D905305"/>
    <w:rsid w:val="4D964A72"/>
    <w:rsid w:val="4D9C1254"/>
    <w:rsid w:val="4DE03227"/>
    <w:rsid w:val="4E793892"/>
    <w:rsid w:val="4E800872"/>
    <w:rsid w:val="4EC569ED"/>
    <w:rsid w:val="4ECB50D3"/>
    <w:rsid w:val="4ED50EA1"/>
    <w:rsid w:val="4EEC050C"/>
    <w:rsid w:val="4F104EC3"/>
    <w:rsid w:val="4F47354A"/>
    <w:rsid w:val="4F6D4A83"/>
    <w:rsid w:val="4F911C54"/>
    <w:rsid w:val="4FE625E0"/>
    <w:rsid w:val="4FF727BF"/>
    <w:rsid w:val="5021480F"/>
    <w:rsid w:val="50962ECB"/>
    <w:rsid w:val="50A050F7"/>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E53868"/>
    <w:rsid w:val="54013861"/>
    <w:rsid w:val="54487265"/>
    <w:rsid w:val="544D6070"/>
    <w:rsid w:val="54605E1E"/>
    <w:rsid w:val="549F7EBB"/>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262642"/>
    <w:rsid w:val="566B6D1E"/>
    <w:rsid w:val="57032A2C"/>
    <w:rsid w:val="570F5219"/>
    <w:rsid w:val="575D12B5"/>
    <w:rsid w:val="57610A87"/>
    <w:rsid w:val="577B1140"/>
    <w:rsid w:val="577B7F21"/>
    <w:rsid w:val="577E64AD"/>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6466FE"/>
    <w:rsid w:val="5B843A1C"/>
    <w:rsid w:val="5B873E3F"/>
    <w:rsid w:val="5C02690E"/>
    <w:rsid w:val="5C196DA7"/>
    <w:rsid w:val="5C2A048C"/>
    <w:rsid w:val="5C80234E"/>
    <w:rsid w:val="5C8A680C"/>
    <w:rsid w:val="5CF35D1E"/>
    <w:rsid w:val="5D0C4701"/>
    <w:rsid w:val="5D0F0395"/>
    <w:rsid w:val="5D211DB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7E1FF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514C9"/>
    <w:rsid w:val="611D2366"/>
    <w:rsid w:val="61421856"/>
    <w:rsid w:val="615227C4"/>
    <w:rsid w:val="61654E3F"/>
    <w:rsid w:val="6182292A"/>
    <w:rsid w:val="619F7F92"/>
    <w:rsid w:val="61F94C26"/>
    <w:rsid w:val="62000E56"/>
    <w:rsid w:val="624F3E49"/>
    <w:rsid w:val="62632286"/>
    <w:rsid w:val="6268653A"/>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F34C88"/>
    <w:rsid w:val="66FC25F4"/>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EE006C"/>
    <w:rsid w:val="69FD55B8"/>
    <w:rsid w:val="6A0B1C62"/>
    <w:rsid w:val="6A2406C8"/>
    <w:rsid w:val="6A4A3D1A"/>
    <w:rsid w:val="6ADE0BD1"/>
    <w:rsid w:val="6AE96859"/>
    <w:rsid w:val="6B147746"/>
    <w:rsid w:val="6B24787C"/>
    <w:rsid w:val="6B573233"/>
    <w:rsid w:val="6B5B6274"/>
    <w:rsid w:val="6B935D53"/>
    <w:rsid w:val="6C196F71"/>
    <w:rsid w:val="6C226FCB"/>
    <w:rsid w:val="6C31226F"/>
    <w:rsid w:val="6C552F0B"/>
    <w:rsid w:val="6C8C67B7"/>
    <w:rsid w:val="6C9D744C"/>
    <w:rsid w:val="6CB542C8"/>
    <w:rsid w:val="6D167928"/>
    <w:rsid w:val="6D26299B"/>
    <w:rsid w:val="6D4772EC"/>
    <w:rsid w:val="6D9078AF"/>
    <w:rsid w:val="6DAA3FEF"/>
    <w:rsid w:val="6DC0172B"/>
    <w:rsid w:val="6DCB690C"/>
    <w:rsid w:val="6DD41A5B"/>
    <w:rsid w:val="6DF43C2E"/>
    <w:rsid w:val="6DF51CA3"/>
    <w:rsid w:val="6E5C1EBF"/>
    <w:rsid w:val="6E8335BD"/>
    <w:rsid w:val="6E8E12EF"/>
    <w:rsid w:val="6E972936"/>
    <w:rsid w:val="6ED446C5"/>
    <w:rsid w:val="6F2A7D94"/>
    <w:rsid w:val="6F8331F1"/>
    <w:rsid w:val="6FAE1A09"/>
    <w:rsid w:val="6FD75BF8"/>
    <w:rsid w:val="704B4683"/>
    <w:rsid w:val="7056191E"/>
    <w:rsid w:val="707723D0"/>
    <w:rsid w:val="70F5661B"/>
    <w:rsid w:val="71360107"/>
    <w:rsid w:val="713B688E"/>
    <w:rsid w:val="71D43752"/>
    <w:rsid w:val="71F1796A"/>
    <w:rsid w:val="72154626"/>
    <w:rsid w:val="72262B5D"/>
    <w:rsid w:val="72283FF7"/>
    <w:rsid w:val="722E7212"/>
    <w:rsid w:val="723A0474"/>
    <w:rsid w:val="725923E4"/>
    <w:rsid w:val="726A16B0"/>
    <w:rsid w:val="72864BF7"/>
    <w:rsid w:val="729023FC"/>
    <w:rsid w:val="72ED5B8D"/>
    <w:rsid w:val="73C0646E"/>
    <w:rsid w:val="73E7CF11"/>
    <w:rsid w:val="742222F5"/>
    <w:rsid w:val="742D1B02"/>
    <w:rsid w:val="74476126"/>
    <w:rsid w:val="74706664"/>
    <w:rsid w:val="747F3682"/>
    <w:rsid w:val="749C4185"/>
    <w:rsid w:val="75067759"/>
    <w:rsid w:val="752E6DCD"/>
    <w:rsid w:val="7551380D"/>
    <w:rsid w:val="75600BE5"/>
    <w:rsid w:val="7564475C"/>
    <w:rsid w:val="7583797F"/>
    <w:rsid w:val="759A405B"/>
    <w:rsid w:val="75D20F1D"/>
    <w:rsid w:val="75DA2C18"/>
    <w:rsid w:val="75F54412"/>
    <w:rsid w:val="761D08E0"/>
    <w:rsid w:val="761E748A"/>
    <w:rsid w:val="76540C31"/>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8F960DA"/>
    <w:rsid w:val="78FC7A39"/>
    <w:rsid w:val="7904172F"/>
    <w:rsid w:val="790F7E27"/>
    <w:rsid w:val="791F3EF0"/>
    <w:rsid w:val="792A231A"/>
    <w:rsid w:val="79316829"/>
    <w:rsid w:val="7961368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BA1ABF"/>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2"/>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3"/>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1"/>
    <w:link w:val="267"/>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3"/>
    <w:qFormat/>
    <w:uiPriority w:val="0"/>
    <w:pPr>
      <w:ind w:left="100" w:leftChars="2500"/>
    </w:pPr>
    <w:rPr>
      <w:rFonts w:ascii="宋体"/>
      <w:sz w:val="24"/>
      <w:szCs w:val="21"/>
      <w:lang w:val="zh-CN"/>
    </w:rPr>
  </w:style>
  <w:style w:type="paragraph" w:styleId="39">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90"/>
    <w:qFormat/>
    <w:uiPriority w:val="0"/>
    <w:rPr>
      <w:sz w:val="18"/>
      <w:szCs w:val="18"/>
    </w:rPr>
  </w:style>
  <w:style w:type="paragraph" w:styleId="42">
    <w:name w:val="footer"/>
    <w:basedOn w:val="1"/>
    <w:link w:val="385"/>
    <w:qFormat/>
    <w:uiPriority w:val="99"/>
    <w:pPr>
      <w:tabs>
        <w:tab w:val="center" w:pos="4153"/>
        <w:tab w:val="right" w:pos="8306"/>
      </w:tabs>
      <w:snapToGrid w:val="0"/>
      <w:jc w:val="left"/>
    </w:pPr>
    <w:rPr>
      <w:sz w:val="18"/>
      <w:szCs w:val="18"/>
    </w:rPr>
  </w:style>
  <w:style w:type="paragraph" w:styleId="43">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312"/>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8"/>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8"/>
    <w:qFormat/>
    <w:uiPriority w:val="0"/>
    <w:rPr>
      <w:b/>
      <w:bCs/>
    </w:rPr>
  </w:style>
  <w:style w:type="paragraph" w:styleId="62">
    <w:name w:val="Body Text First Indent 2"/>
    <w:basedOn w:val="27"/>
    <w:link w:val="12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文字"/>
    <w:basedOn w:val="81"/>
    <w:next w:val="24"/>
    <w:qFormat/>
    <w:uiPriority w:val="0"/>
    <w:pPr>
      <w:adjustRightInd/>
      <w:ind w:firstLine="200" w:firstLineChars="200"/>
    </w:pPr>
    <w:rPr>
      <w:rFonts w:ascii="Arial" w:hAnsi="Arial"/>
      <w:spacing w:val="-5"/>
      <w:kern w:val="0"/>
      <w:sz w:val="24"/>
      <w:szCs w:val="20"/>
    </w:rPr>
  </w:style>
  <w:style w:type="paragraph" w:customStyle="1" w:styleId="81">
    <w:name w:val="表格文字（两侧对齐）"/>
    <w:basedOn w:val="1"/>
    <w:qFormat/>
    <w:uiPriority w:val="0"/>
    <w:pPr>
      <w:snapToGrid w:val="0"/>
    </w:pPr>
    <w:rPr>
      <w:sz w:val="20"/>
      <w:szCs w:val="24"/>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9"/>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9"/>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8"/>
    <w:qFormat/>
    <w:uiPriority w:val="0"/>
    <w:rPr>
      <w:rFonts w:ascii="宋体"/>
      <w:kern w:val="2"/>
      <w:sz w:val="24"/>
      <w:szCs w:val="21"/>
      <w:lang w:val="zh-CN"/>
    </w:rPr>
  </w:style>
  <w:style w:type="character" w:customStyle="1" w:styleId="184">
    <w:name w:val="标题 9 Char"/>
    <w:link w:val="12"/>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1"/>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2"/>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7"/>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7"/>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0"/>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8"/>
    <w:qFormat/>
    <w:uiPriority w:val="0"/>
    <w:rPr>
      <w:rFonts w:ascii="黑体" w:hAnsi="Courier New" w:eastAsia="黑体"/>
    </w:rPr>
  </w:style>
  <w:style w:type="character" w:customStyle="1" w:styleId="304">
    <w:name w:val="正文文本 2 Char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0"/>
    <w:qFormat/>
    <w:uiPriority w:val="0"/>
    <w:rPr>
      <w:b/>
      <w:bCs/>
      <w:kern w:val="2"/>
      <w:sz w:val="24"/>
      <w:szCs w:val="24"/>
    </w:rPr>
  </w:style>
  <w:style w:type="character" w:customStyle="1" w:styleId="310">
    <w:name w:val="正文文本缩进 2 Char"/>
    <w:link w:val="39"/>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2"/>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25"/>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7"/>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0"/>
    <w:qFormat/>
    <w:uiPriority w:val="99"/>
    <w:rPr>
      <w:kern w:val="2"/>
      <w:sz w:val="21"/>
      <w:szCs w:val="24"/>
    </w:rPr>
  </w:style>
  <w:style w:type="character" w:customStyle="1" w:styleId="347">
    <w:name w:val="签名 Char"/>
    <w:link w:val="44"/>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1"/>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2"/>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3"/>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8"/>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7"/>
    <w:next w:val="237"/>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7"/>
    <w:next w:val="237"/>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0"/>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20713</Words>
  <Characters>21832</Characters>
  <Lines>281</Lines>
  <Paragraphs>79</Paragraphs>
  <TotalTime>10</TotalTime>
  <ScaleCrop>false</ScaleCrop>
  <LinksUpToDate>false</LinksUpToDate>
  <CharactersWithSpaces>22336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CHEN</cp:lastModifiedBy>
  <cp:lastPrinted>2025-04-11T06:25:00Z</cp:lastPrinted>
  <dcterms:modified xsi:type="dcterms:W3CDTF">2025-07-17T08:13:36Z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8023C99B1CEF4D02962DBD7CE9432DC0_13</vt:lpwstr>
  </property>
  <property fmtid="{D5CDD505-2E9C-101B-9397-08002B2CF9AE}" pid="5" name="KSOTemplateDocerSaveRecord">
    <vt:lpwstr>eyJoZGlkIjoiNDcyYWUyYzgzYTkwNTU4MGQ3YWRhMzk4NjJmMDgwZGEiLCJ1c2VySWQiOiIxMTM0NzAzMzU1In0=</vt:lpwstr>
  </property>
</Properties>
</file>