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4D54848C">
      <w:pPr>
        <w:spacing w:line="360" w:lineRule="auto"/>
        <w:jc w:val="both"/>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桐庐县妇幼保健院安保服务项目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HCCGTL2025-038</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桐庐县妇幼保健院（桐庐县城南街道社区卫生服务中心）</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华诚工程咨询集团有限公司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桐庐县妇幼保健院安保服务项目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项目编号：HCCGTL2025-038</w:t>
      </w:r>
      <w:r>
        <w:rPr>
          <w:rFonts w:hint="eastAsia" w:ascii="宋体" w:hAnsi="宋体" w:cs="宋体"/>
          <w:b/>
          <w:color w:val="auto"/>
          <w:sz w:val="24"/>
          <w:highlight w:val="none"/>
          <w:lang w:val="en-US" w:eastAsia="zh-CN"/>
        </w:rPr>
        <w:t xml:space="preserve"> </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桐庐县妇幼保健院安保服务项目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w:t>
      </w:r>
      <w:r>
        <w:rPr>
          <w:rFonts w:hint="eastAsia" w:ascii="宋体" w:hAnsi="宋体" w:cs="宋体"/>
          <w:b/>
          <w:color w:val="auto"/>
          <w:sz w:val="24"/>
          <w:highlight w:val="none"/>
          <w:lang w:val="en-US" w:eastAsia="zh-CN"/>
        </w:rPr>
        <w:t>44</w:t>
      </w:r>
      <w:r>
        <w:rPr>
          <w:rFonts w:hint="eastAsia" w:ascii="宋体" w:hAnsi="宋体" w:cs="宋体"/>
          <w:b/>
          <w:color w:val="auto"/>
          <w:sz w:val="24"/>
          <w:highlight w:val="none"/>
        </w:rPr>
        <w:t>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27</w:t>
      </w:r>
      <w:r>
        <w:rPr>
          <w:rFonts w:hint="eastAsia" w:ascii="宋体" w:hAnsi="宋体" w:cs="宋体"/>
          <w:b/>
          <w:color w:val="auto"/>
          <w:sz w:val="24"/>
          <w:highlight w:val="none"/>
        </w:rPr>
        <w:t>0000</w:t>
      </w:r>
      <w:r>
        <w:rPr>
          <w:rFonts w:ascii="宋体" w:hAnsi="宋体" w:cs="宋体"/>
          <w:color w:val="auto"/>
          <w:sz w:val="24"/>
          <w:highlight w:val="none"/>
        </w:rPr>
        <w:t xml:space="preserve"> </w:t>
      </w:r>
    </w:p>
    <w:p w14:paraId="6EC5DB8E">
      <w:pPr>
        <w:pStyle w:val="1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桐庐县妇幼保健院安保服务项目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合同履约期限：自合同签订之日起至服务期满一年。</w:t>
      </w:r>
    </w:p>
    <w:p w14:paraId="07281B02">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公安厅颁发的《保安服务许可证》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保安服务管理条例（国务院令第 564 号）》、《公安机关实施 保安服务管理条例办法》中华人民共和国公安部令第 112 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24</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24</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bookmarkStart w:id="551" w:name="_GoBack"/>
      <w:bookmarkEnd w:id="551"/>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 xml:space="preserve"> </w:t>
      </w:r>
    </w:p>
    <w:p w14:paraId="7D153C9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地  址：杭州市桐庐县城南街道白云源西路168号</w:t>
      </w:r>
    </w:p>
    <w:p w14:paraId="6A43F34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eastAsia="宋体" w:cs="宋体"/>
          <w:color w:val="auto"/>
          <w:sz w:val="24"/>
          <w:highlight w:val="none"/>
          <w:lang w:val="en-US" w:eastAsia="zh-CN"/>
        </w:rPr>
        <w:t xml:space="preserve">吴中琴  </w:t>
      </w:r>
    </w:p>
    <w:p w14:paraId="1D56031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eastAsia="宋体" w:cs="宋体"/>
          <w:color w:val="auto"/>
          <w:sz w:val="24"/>
          <w:highlight w:val="none"/>
          <w:lang w:val="en-US" w:eastAsia="zh-CN"/>
        </w:rPr>
        <w:t>0571-64651193</w:t>
      </w:r>
    </w:p>
    <w:p w14:paraId="7601863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eastAsia="宋体" w:cs="宋体"/>
          <w:color w:val="auto"/>
          <w:sz w:val="24"/>
          <w:highlight w:val="none"/>
          <w:lang w:val="en-US" w:eastAsia="zh-CN"/>
        </w:rPr>
        <w:t>陈校滨</w:t>
      </w:r>
    </w:p>
    <w:p w14:paraId="09964C4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w:t>
      </w:r>
      <w:r>
        <w:rPr>
          <w:rFonts w:hint="eastAsia" w:ascii="宋体" w:hAnsi="宋体" w:eastAsia="宋体" w:cs="宋体"/>
          <w:color w:val="auto"/>
          <w:sz w:val="24"/>
          <w:highlight w:val="none"/>
          <w:lang w:val="en-US" w:eastAsia="zh-CN"/>
        </w:rPr>
        <w:t xml:space="preserve"> 0571-64602406</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址：杭州市桐庐县云栖中路619号东方君兰中心28楼</w:t>
      </w:r>
    </w:p>
    <w:p w14:paraId="53F52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真：0571-61772183</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项目联系人（询问）：陈婧 </w:t>
      </w:r>
    </w:p>
    <w:p w14:paraId="6D1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项目联系方式（询问）：0571-64251926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质疑联系人：叶敏露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质疑联系方式：0571-64251926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5B5B622">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198722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政策咨询电话：张先生，0571-89545850 桐庐县政府采购监管部门工作人员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257277">
            <w:pPr>
              <w:pageBreakBefore w:val="0"/>
              <w:widowControl w:val="0"/>
              <w:kinsoku/>
              <w:wordWrap/>
              <w:overflowPunct/>
              <w:topLinePunct w:val="0"/>
              <w:autoSpaceDE/>
              <w:autoSpaceDN/>
              <w:bidi w:val="0"/>
              <w:snapToGrid w:val="0"/>
              <w:spacing w:line="440" w:lineRule="exact"/>
              <w:textAlignment w:val="auto"/>
              <w:rPr>
                <w:rFonts w:hint="eastAsia" w:ascii="宋体" w:hAnsi="宋体" w:cs="宋体"/>
                <w:color w:val="auto"/>
                <w:kern w:val="0"/>
                <w:sz w:val="24"/>
                <w:highlight w:val="none"/>
              </w:rPr>
            </w:pPr>
            <w:r>
              <w:rPr>
                <w:rFonts w:hint="eastAsia" w:ascii="宋体" w:hAnsi="宋体" w:cs="宋体"/>
                <w:color w:val="auto"/>
                <w:kern w:val="0"/>
                <w:sz w:val="24"/>
              </w:rPr>
              <w:t>（1）</w:t>
            </w:r>
            <w:r>
              <w:rPr>
                <w:rFonts w:hint="eastAsia" w:ascii="宋体" w:hAnsi="宋体" w:cs="宋体"/>
                <w:color w:val="auto"/>
                <w:sz w:val="24"/>
                <w:highlight w:val="none"/>
                <w:u w:val="single"/>
                <w:lang w:eastAsia="zh-CN"/>
              </w:rPr>
              <w:t>桐庐县妇幼保健院安保服务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4F154A2">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sz w:val="24"/>
                <w:highlight w:val="none"/>
                <w:u w:val="single"/>
              </w:rPr>
              <w:t>租赁和商务服务业</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i w:val="0"/>
                <w:iCs w:val="0"/>
                <w:caps w:val="0"/>
                <w:color w:val="000000"/>
                <w:spacing w:val="0"/>
                <w:sz w:val="24"/>
                <w:szCs w:val="24"/>
                <w:shd w:val="clear"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杭州市桐庐县云栖中路619号东方君兰中心28楼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陈婧（收），15715771169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采购代理服务费由中标供应商支付，本项目为服务类采购项目，采购代理服务费依据浙价服[2003]77号文件，按预算金额计算后收取，采购代理服务费包含在投标总价中，由中标供应商在接到中标通知书时以人民币方式向采购代理机构一次性支付。</w:t>
            </w:r>
          </w:p>
        </w:tc>
      </w:tr>
    </w:tbl>
    <w:p w14:paraId="1969C939">
      <w:pPr>
        <w:snapToGrid w:val="0"/>
        <w:spacing w:line="360" w:lineRule="auto"/>
        <w:jc w:val="center"/>
        <w:rPr>
          <w:rFonts w:ascii="宋体" w:hAnsi="宋体" w:cs="宋体"/>
          <w:b/>
          <w:color w:val="auto"/>
          <w:sz w:val="32"/>
          <w:szCs w:val="20"/>
          <w:highlight w:val="none"/>
        </w:rPr>
      </w:pPr>
    </w:p>
    <w:bookmarkEnd w:id="10"/>
    <w:p w14:paraId="04DA880E">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2B0C2E48">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3"/>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3"/>
        <w:spacing w:before="0"/>
        <w:ind w:firstLine="643"/>
        <w:rPr>
          <w:rFonts w:ascii="宋体" w:hAnsi="宋体" w:cs="宋体"/>
          <w:b/>
          <w:color w:val="auto"/>
          <w:sz w:val="32"/>
          <w:highlight w:val="none"/>
        </w:rPr>
      </w:pPr>
    </w:p>
    <w:p w14:paraId="25870E80">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3"/>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3"/>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2"/>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68403820"/>
      <w:bookmarkEnd w:id="16"/>
      <w:bookmarkStart w:id="17" w:name="_Hlt68072998"/>
      <w:bookmarkEnd w:id="17"/>
      <w:bookmarkStart w:id="18" w:name="_Hlt74714665"/>
      <w:bookmarkEnd w:id="18"/>
      <w:bookmarkStart w:id="19" w:name="_Hlt75236011"/>
      <w:bookmarkEnd w:id="19"/>
      <w:bookmarkStart w:id="20" w:name="_Hlt68057669"/>
      <w:bookmarkEnd w:id="20"/>
      <w:bookmarkStart w:id="21" w:name="_Hlt75236290"/>
      <w:bookmarkEnd w:id="21"/>
      <w:bookmarkStart w:id="22" w:name="_Hlt68072990"/>
      <w:bookmarkEnd w:id="22"/>
      <w:bookmarkStart w:id="23" w:name="_Hlt74730295"/>
      <w:bookmarkEnd w:id="23"/>
      <w:bookmarkStart w:id="24" w:name="_Hlt74729768"/>
      <w:bookmarkEnd w:id="24"/>
      <w:bookmarkStart w:id="25" w:name="_Hlt75236101"/>
      <w:bookmarkEnd w:id="25"/>
      <w:bookmarkStart w:id="26" w:name="_Hlt747074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C99AC4F">
      <w:pPr>
        <w:pStyle w:val="59"/>
        <w:keepNext w:val="0"/>
        <w:keepLines w:val="0"/>
        <w:pageBreakBefore w:val="0"/>
        <w:kinsoku/>
        <w:wordWrap w:val="0"/>
        <w:topLinePunct/>
        <w:autoSpaceDE/>
        <w:autoSpaceDN/>
        <w:bidi w:val="0"/>
        <w:spacing w:beforeLines="0" w:afterLines="0" w:line="440" w:lineRule="exact"/>
        <w:ind w:firstLine="482" w:firstLineChars="200"/>
        <w:jc w:val="both"/>
        <w:rPr>
          <w:rFonts w:hint="eastAsia" w:ascii="宋体" w:hAnsi="宋体" w:eastAsia="宋体" w:cs="宋体"/>
          <w:b/>
          <w:kern w:val="0"/>
          <w:sz w:val="24"/>
          <w:szCs w:val="24"/>
        </w:rPr>
      </w:pPr>
      <w:r>
        <w:rPr>
          <w:rFonts w:hint="eastAsia" w:ascii="宋体" w:hAnsi="宋体" w:eastAsia="宋体" w:cs="宋体"/>
          <w:b/>
          <w:kern w:val="0"/>
          <w:sz w:val="24"/>
          <w:szCs w:val="24"/>
        </w:rPr>
        <w:t>一、项目概况</w:t>
      </w:r>
    </w:p>
    <w:p w14:paraId="25035FD0">
      <w:pPr>
        <w:keepNext w:val="0"/>
        <w:keepLines w:val="0"/>
        <w:pageBreakBefore w:val="0"/>
        <w:kinsoku/>
        <w:bidi w:val="0"/>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项目名称：桐庐县妇幼保健院安保服务项目</w:t>
      </w:r>
    </w:p>
    <w:p w14:paraId="7698A63F">
      <w:pPr>
        <w:keepNext w:val="0"/>
        <w:keepLines w:val="0"/>
        <w:pageBreakBefore w:val="0"/>
        <w:kinsoku/>
        <w:bidi w:val="0"/>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采购内容：安保服务项目</w:t>
      </w:r>
    </w:p>
    <w:p w14:paraId="01C0B2B3">
      <w:pPr>
        <w:keepNext w:val="0"/>
        <w:keepLines w:val="0"/>
        <w:pageBreakBefore w:val="0"/>
        <w:kinsoku/>
        <w:bidi w:val="0"/>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预算金额（元）：1</w:t>
      </w: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0000元</w:t>
      </w:r>
    </w:p>
    <w:p w14:paraId="2E5B56D4">
      <w:pPr>
        <w:keepNext w:val="0"/>
        <w:keepLines w:val="0"/>
        <w:pageBreakBefore w:val="0"/>
        <w:kinsoku/>
        <w:bidi w:val="0"/>
        <w:snapToGrid w:val="0"/>
        <w:spacing w:beforeLines="0" w:afterLines="0" w:line="440" w:lineRule="exact"/>
        <w:ind w:firstLine="480" w:firstLineChars="200"/>
        <w:rPr>
          <w:rFonts w:hint="eastAsia" w:ascii="宋体" w:hAnsi="宋体" w:eastAsia="宋体" w:cs="宋体"/>
          <w:color w:val="FF0000"/>
          <w:sz w:val="24"/>
          <w:szCs w:val="24"/>
          <w:highlight w:val="yellow"/>
          <w:lang w:eastAsia="zh-CN"/>
        </w:rPr>
      </w:pPr>
      <w:r>
        <w:rPr>
          <w:rFonts w:hint="eastAsia" w:ascii="宋体" w:hAnsi="宋体" w:eastAsia="宋体" w:cs="宋体"/>
          <w:color w:val="000000"/>
          <w:sz w:val="24"/>
          <w:szCs w:val="24"/>
        </w:rPr>
        <w:t>最高限价（元）：1</w:t>
      </w:r>
      <w:r>
        <w:rPr>
          <w:rFonts w:hint="eastAsia" w:ascii="宋体" w:hAnsi="宋体" w:eastAsia="宋体" w:cs="宋体"/>
          <w:color w:val="000000"/>
          <w:sz w:val="24"/>
          <w:szCs w:val="24"/>
          <w:lang w:val="en-US" w:eastAsia="zh-CN"/>
        </w:rPr>
        <w:t>27</w:t>
      </w:r>
      <w:r>
        <w:rPr>
          <w:rFonts w:hint="eastAsia" w:ascii="宋体" w:hAnsi="宋体" w:eastAsia="宋体" w:cs="宋体"/>
          <w:color w:val="000000"/>
          <w:sz w:val="24"/>
          <w:szCs w:val="24"/>
        </w:rPr>
        <w:t>0000元</w:t>
      </w:r>
    </w:p>
    <w:p w14:paraId="1EB8A89C">
      <w:pPr>
        <w:pStyle w:val="59"/>
        <w:keepNext w:val="0"/>
        <w:keepLines w:val="0"/>
        <w:pageBreakBefore w:val="0"/>
        <w:numPr>
          <w:ilvl w:val="0"/>
          <w:numId w:val="1"/>
        </w:numPr>
        <w:kinsoku/>
        <w:topLinePunct/>
        <w:bidi w:val="0"/>
        <w:spacing w:beforeLines="0" w:afterLines="0" w:line="440" w:lineRule="exact"/>
        <w:ind w:firstLine="482" w:firstLineChars="200"/>
        <w:jc w:val="both"/>
        <w:rPr>
          <w:rFonts w:hint="eastAsia" w:ascii="宋体" w:hAnsi="宋体" w:eastAsia="宋体" w:cs="宋体"/>
          <w:b/>
          <w:kern w:val="0"/>
          <w:sz w:val="24"/>
          <w:szCs w:val="24"/>
          <w:lang w:val="zh-CN"/>
        </w:rPr>
      </w:pPr>
      <w:r>
        <w:rPr>
          <w:rFonts w:hint="eastAsia" w:ascii="宋体" w:hAnsi="宋体" w:eastAsia="宋体" w:cs="宋体"/>
          <w:b/>
          <w:kern w:val="0"/>
          <w:sz w:val="24"/>
          <w:szCs w:val="24"/>
        </w:rPr>
        <w:t>项目内容</w:t>
      </w:r>
    </w:p>
    <w:p w14:paraId="78E45848">
      <w:pPr>
        <w:pStyle w:val="59"/>
        <w:keepNext w:val="0"/>
        <w:keepLines w:val="0"/>
        <w:pageBreakBefore w:val="0"/>
        <w:numPr>
          <w:ilvl w:val="0"/>
          <w:numId w:val="0"/>
        </w:numPr>
        <w:kinsoku/>
        <w:topLinePunct/>
        <w:bidi w:val="0"/>
        <w:spacing w:beforeLines="0" w:afterLines="0" w:line="440" w:lineRule="exact"/>
        <w:ind w:firstLine="482" w:firstLineChars="200"/>
        <w:jc w:val="both"/>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eastAsia="zh-CN" w:bidi="ar-SA"/>
        </w:rPr>
        <w:t>（</w:t>
      </w:r>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4"/>
          <w:szCs w:val="24"/>
          <w:lang w:val="zh-CN" w:eastAsia="zh-CN" w:bidi="ar-SA"/>
        </w:rPr>
        <w:t>）</w:t>
      </w:r>
      <w:r>
        <w:rPr>
          <w:rFonts w:hint="eastAsia" w:ascii="宋体" w:hAnsi="宋体" w:eastAsia="宋体" w:cs="宋体"/>
          <w:b/>
          <w:bCs/>
          <w:kern w:val="0"/>
          <w:sz w:val="24"/>
          <w:szCs w:val="24"/>
          <w:lang w:val="zh-CN" w:eastAsia="zh-CN" w:bidi="ar-SA"/>
        </w:rPr>
        <w:tab/>
      </w:r>
      <w:r>
        <w:rPr>
          <w:rFonts w:hint="eastAsia" w:ascii="宋体" w:hAnsi="宋体" w:eastAsia="宋体" w:cs="宋体"/>
          <w:b/>
          <w:bCs/>
          <w:kern w:val="0"/>
          <w:sz w:val="24"/>
          <w:szCs w:val="24"/>
          <w:lang w:val="zh-CN" w:eastAsia="zh-CN" w:bidi="ar-SA"/>
        </w:rPr>
        <w:t>保安服务内容</w:t>
      </w:r>
    </w:p>
    <w:p w14:paraId="34890EE6">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1、认真执行医院安全管理等方面的规章制度，确保医院医疗、教学、科研和生活的正常有序进行。</w:t>
      </w:r>
    </w:p>
    <w:p w14:paraId="2CF08CB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2、做好医院门卫的日常管理和服务，执行医院门卫管理制度，保证医院门口交通安全、畅通、有序，维护正常的交通秩序，做好医院的交通管理、物资出入管理、院内废弃品管理。</w:t>
      </w:r>
    </w:p>
    <w:p w14:paraId="3A7681FC">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3、车辆疏导和停放管理，车辆停放整齐有序，保证消防通道、急救通道畅通。</w:t>
      </w:r>
    </w:p>
    <w:p w14:paraId="079244A3">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4、执行医院守卫、巡逻等任务。保安员应熟悉医院内各科室、部门的所在位置分布情况；正确回答来院就诊人员的询问。管理区域内重点部位治安巡逻、检查；协助医院作好节能工作。</w:t>
      </w:r>
    </w:p>
    <w:p w14:paraId="6162F0B7">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预防违法犯罪案件的发生，及时发现安全隐患和制止医院内的各种违法犯罪活动及治安灾害事故的发生；执勤过程中，发现不安全因素或隐患，要及时向保卫科报告，在条件许可的情况下，要及时采取临时性措施，以确保安全。</w:t>
      </w:r>
    </w:p>
    <w:p w14:paraId="51B01047">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6、维护医院良好的医疗服务秩序（防小偷、医托、票贩子、黄鱼车等），驱赶进入医院张贴广告、发放资料的人员，驱赶小贩；协助护理部作好陪护管理。</w:t>
      </w:r>
    </w:p>
    <w:p w14:paraId="4EC3AF71">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7、配合公安部门作好安全防范工作，做好医院重点要害部位的守护工作，及时发现或抓获违法、犯罪嫌疑人员。</w:t>
      </w:r>
    </w:p>
    <w:p w14:paraId="2E1133E3">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8、消防监控中心执勤监视及消防报警时赶到现场查看和应急处理，双岗24小时执勤，其中一岗为全院防火防盗巡逻（每2小时对换岗位，巡逻间隔不超过2小时）。</w:t>
      </w:r>
      <w:r>
        <w:rPr>
          <w:rFonts w:hint="eastAsia" w:ascii="宋体" w:hAnsi="宋体" w:eastAsia="宋体" w:cs="宋体"/>
          <w:kern w:val="0"/>
          <w:sz w:val="24"/>
          <w:szCs w:val="24"/>
        </w:rPr>
        <w:t xml:space="preserve">  </w:t>
      </w:r>
    </w:p>
    <w:p w14:paraId="72B6B4BB">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9、做好医院各项大型活动的警卫和现场秩序维护等安全保卫工作，及时妥善处置医疗纠纷及医疗安全等突发事件，保护医护人员的人身安全和医院的财产安全，完成采购人交办的其他任务。</w:t>
      </w:r>
    </w:p>
    <w:p w14:paraId="6ADC9FBE">
      <w:pPr>
        <w:keepNext w:val="0"/>
        <w:keepLines w:val="0"/>
        <w:pageBreakBefore w:val="0"/>
        <w:widowControl w:val="0"/>
        <w:kinsoku/>
        <w:wordWrap/>
        <w:overflowPunct/>
        <w:topLinePunct w:val="0"/>
        <w:autoSpaceDE w:val="0"/>
        <w:autoSpaceDN w:val="0"/>
        <w:bidi w:val="0"/>
        <w:adjustRightInd/>
        <w:snapToGrid/>
        <w:spacing w:beforeLines="0" w:afterLines="0" w:line="440" w:lineRule="exact"/>
        <w:ind w:right="-6"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10、做好医院临时性安排的应急保卫工作。</w:t>
      </w:r>
    </w:p>
    <w:p w14:paraId="1B07F9B9">
      <w:pPr>
        <w:pStyle w:val="59"/>
        <w:keepNext w:val="0"/>
        <w:keepLines w:val="0"/>
        <w:pageBreakBefore w:val="0"/>
        <w:numPr>
          <w:ilvl w:val="0"/>
          <w:numId w:val="0"/>
        </w:numPr>
        <w:kinsoku/>
        <w:topLinePunct/>
        <w:bidi w:val="0"/>
        <w:spacing w:beforeLines="0" w:afterLines="0" w:line="440" w:lineRule="exact"/>
        <w:ind w:firstLine="482" w:firstLineChars="200"/>
        <w:jc w:val="both"/>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zh-CN" w:eastAsia="zh-CN" w:bidi="ar-SA"/>
        </w:rPr>
        <w:t>（</w:t>
      </w:r>
      <w:r>
        <w:rPr>
          <w:rFonts w:hint="eastAsia" w:ascii="宋体" w:hAnsi="宋体" w:eastAsia="宋体" w:cs="宋体"/>
          <w:b/>
          <w:bCs/>
          <w:kern w:val="0"/>
          <w:sz w:val="24"/>
          <w:szCs w:val="24"/>
          <w:lang w:val="en-US" w:eastAsia="zh-CN" w:bidi="ar-SA"/>
        </w:rPr>
        <w:t>二</w:t>
      </w:r>
      <w:r>
        <w:rPr>
          <w:rFonts w:hint="eastAsia" w:ascii="宋体" w:hAnsi="宋体" w:eastAsia="宋体" w:cs="宋体"/>
          <w:b/>
          <w:bCs/>
          <w:kern w:val="0"/>
          <w:sz w:val="24"/>
          <w:szCs w:val="24"/>
          <w:lang w:val="zh-CN" w:eastAsia="zh-CN" w:bidi="ar-SA"/>
        </w:rPr>
        <w:t>）</w:t>
      </w:r>
      <w:r>
        <w:rPr>
          <w:rFonts w:hint="eastAsia" w:ascii="宋体" w:hAnsi="宋体" w:eastAsia="宋体" w:cs="宋体"/>
          <w:b/>
          <w:bCs/>
          <w:kern w:val="0"/>
          <w:sz w:val="24"/>
          <w:szCs w:val="24"/>
          <w:lang w:val="en-US" w:eastAsia="zh-CN" w:bidi="ar-SA"/>
        </w:rPr>
        <w:t>停车管理内容：</w:t>
      </w:r>
    </w:p>
    <w:p w14:paraId="63CE76A3">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lang w:val="en-US" w:eastAsia="zh-CN"/>
        </w:rPr>
        <w:t>1、定人定岗安保人员</w:t>
      </w:r>
      <w:r>
        <w:rPr>
          <w:rFonts w:hint="eastAsia" w:ascii="宋体" w:hAnsi="宋体" w:eastAsia="宋体" w:cs="宋体"/>
          <w:sz w:val="24"/>
          <w:szCs w:val="24"/>
        </w:rPr>
        <w:t>负责指挥院区内车辆行驶和停放，维持停车秩序。</w:t>
      </w:r>
    </w:p>
    <w:p w14:paraId="15B362FA">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对进入院区的车辆及时进行引导，便于驾驶员能够方便快捷的停入（驶离）车位。</w:t>
      </w:r>
    </w:p>
    <w:p w14:paraId="715CD8E5">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特殊情况下，指挥协助驾驶员停车入库（出库），以免发生磕碰。</w:t>
      </w:r>
    </w:p>
    <w:p w14:paraId="5DDDA859">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加强</w:t>
      </w:r>
      <w:r>
        <w:rPr>
          <w:rFonts w:hint="eastAsia" w:ascii="宋体" w:hAnsi="宋体" w:eastAsia="宋体" w:cs="宋体"/>
          <w:sz w:val="24"/>
          <w:szCs w:val="24"/>
        </w:rPr>
        <w:t>对停车场内车辆进行巡视查看，保证车辆安全。</w:t>
      </w:r>
    </w:p>
    <w:p w14:paraId="5DA797EA">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、对违停车辆及时制止并加以纠正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贴温馨卡片</w:t>
      </w:r>
      <w:r>
        <w:rPr>
          <w:rFonts w:hint="eastAsia" w:ascii="宋体" w:hAnsi="宋体" w:eastAsia="宋体" w:cs="宋体"/>
          <w:sz w:val="24"/>
          <w:szCs w:val="24"/>
          <w:lang w:eastAsia="zh-CN"/>
        </w:rPr>
        <w:t>）</w:t>
      </w:r>
      <w:r>
        <w:rPr>
          <w:rFonts w:hint="eastAsia" w:ascii="宋体" w:hAnsi="宋体" w:eastAsia="宋体" w:cs="宋体"/>
          <w:sz w:val="24"/>
          <w:szCs w:val="24"/>
        </w:rPr>
        <w:t>，主通道口和消防通道严禁停放车辆。</w:t>
      </w:r>
    </w:p>
    <w:p w14:paraId="0A35BEEB">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、检查车辆停放情况，发现漏水、漏油、车窗未关等及时通知车主。</w:t>
      </w:r>
    </w:p>
    <w:p w14:paraId="54F6FAA5">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、上下班高峰期，进行交通指挥，疏导车辆交替通行，以免发生长时间拥堵情况。</w:t>
      </w:r>
    </w:p>
    <w:p w14:paraId="544FD3E1">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、医院急救车辆驶入时，立即开启便捷通道。</w:t>
      </w:r>
    </w:p>
    <w:p w14:paraId="1D99BB4F">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、做好停车场内车位划分，出入口标识标志及停车导向牌的设置</w:t>
      </w:r>
      <w:r>
        <w:rPr>
          <w:rFonts w:hint="eastAsia" w:ascii="宋体" w:hAnsi="宋体" w:eastAsia="宋体" w:cs="宋体"/>
          <w:sz w:val="24"/>
          <w:szCs w:val="24"/>
          <w:lang w:val="en-US" w:eastAsia="zh-CN"/>
        </w:rPr>
        <w:t>并</w:t>
      </w:r>
      <w:r>
        <w:rPr>
          <w:rFonts w:hint="eastAsia" w:ascii="宋体" w:hAnsi="宋体" w:eastAsia="宋体" w:cs="宋体"/>
          <w:sz w:val="24"/>
          <w:szCs w:val="24"/>
        </w:rPr>
        <w:t>做好停车场设施设备标识标牌的日常维护保养，发现破损遗失及时汇报。</w:t>
      </w:r>
    </w:p>
    <w:p w14:paraId="6E56051B">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、不同类别的车辆进行分类停放，摩托车、电动车、三轮车等车辆一律停放到指定区域。</w:t>
      </w:r>
    </w:p>
    <w:p w14:paraId="6081D719">
      <w:pPr>
        <w:keepNext w:val="0"/>
        <w:keepLines w:val="0"/>
        <w:pageBreakBefore w:val="0"/>
        <w:kinsoku/>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、停车场每天24小时进行不间断巡逻，发现异常情况及时上报。</w:t>
      </w:r>
    </w:p>
    <w:p w14:paraId="4F1C787E">
      <w:pPr>
        <w:keepNext w:val="0"/>
        <w:keepLines w:val="0"/>
        <w:pageBreakBefore w:val="0"/>
        <w:kinsoku/>
        <w:bidi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b w:val="0"/>
          <w:bCs w:val="0"/>
          <w:sz w:val="24"/>
          <w:szCs w:val="24"/>
          <w:lang w:val="en-US" w:eastAsia="zh-CN"/>
        </w:rPr>
        <w:t>12、医院进出口智慧收费处不得脱人，发现问题及时处理上报反馈。</w:t>
      </w:r>
    </w:p>
    <w:p w14:paraId="31AC80F7">
      <w:pPr>
        <w:keepNext w:val="0"/>
        <w:keepLines w:val="0"/>
        <w:pageBreakBefore w:val="0"/>
        <w:kinsoku/>
        <w:autoSpaceDE w:val="0"/>
        <w:autoSpaceDN w:val="0"/>
        <w:bidi w:val="0"/>
        <w:spacing w:line="440" w:lineRule="exact"/>
        <w:ind w:right="-7" w:firstLine="482" w:firstLineChars="200"/>
        <w:jc w:val="left"/>
        <w:rPr>
          <w:rFonts w:hint="eastAsia" w:ascii="宋体" w:hAnsi="宋体" w:eastAsia="宋体" w:cs="宋体"/>
          <w:sz w:val="24"/>
          <w:szCs w:val="24"/>
          <w:lang w:val="zh-CN"/>
        </w:rPr>
      </w:pPr>
      <w:r>
        <w:rPr>
          <w:rFonts w:hint="eastAsia" w:ascii="宋体" w:hAnsi="宋体" w:eastAsia="宋体" w:cs="宋体"/>
          <w:b/>
          <w:bCs w:val="0"/>
          <w:kern w:val="0"/>
          <w:sz w:val="24"/>
          <w:szCs w:val="24"/>
          <w:lang w:val="zh-CN"/>
        </w:rPr>
        <w:t>（</w:t>
      </w:r>
      <w:r>
        <w:rPr>
          <w:rFonts w:hint="eastAsia" w:ascii="宋体" w:hAnsi="宋体" w:eastAsia="宋体" w:cs="宋体"/>
          <w:b/>
          <w:bCs w:val="0"/>
          <w:kern w:val="0"/>
          <w:sz w:val="24"/>
          <w:szCs w:val="24"/>
          <w:lang w:val="en-US" w:eastAsia="zh-CN"/>
        </w:rPr>
        <w:t>三</w:t>
      </w:r>
      <w:r>
        <w:rPr>
          <w:rFonts w:hint="eastAsia" w:ascii="宋体" w:hAnsi="宋体" w:eastAsia="宋体" w:cs="宋体"/>
          <w:b/>
          <w:bCs w:val="0"/>
          <w:kern w:val="0"/>
          <w:sz w:val="24"/>
          <w:szCs w:val="24"/>
          <w:lang w:val="zh-CN"/>
        </w:rPr>
        <w:t>）人员基本条件</w:t>
      </w:r>
    </w:p>
    <w:p w14:paraId="0D394F15">
      <w:pPr>
        <w:keepNext w:val="0"/>
        <w:keepLines w:val="0"/>
        <w:pageBreakBefore w:val="0"/>
        <w:kinsoku/>
        <w:autoSpaceDE w:val="0"/>
        <w:autoSpaceDN w:val="0"/>
        <w:bidi w:val="0"/>
        <w:spacing w:line="440" w:lineRule="exact"/>
        <w:ind w:right="-7" w:firstLine="480" w:firstLineChars="200"/>
        <w:jc w:val="left"/>
        <w:rPr>
          <w:rFonts w:hint="eastAsia" w:ascii="宋体" w:hAnsi="宋体" w:eastAsia="宋体" w:cs="宋体"/>
          <w:b w:val="0"/>
          <w:bCs/>
          <w:kern w:val="0"/>
          <w:sz w:val="24"/>
          <w:szCs w:val="24"/>
          <w:lang w:val="zh-CN"/>
        </w:rPr>
      </w:pPr>
      <w:r>
        <w:rPr>
          <w:rFonts w:hint="eastAsia" w:ascii="宋体" w:hAnsi="宋体" w:eastAsia="宋体" w:cs="宋体"/>
          <w:b w:val="0"/>
          <w:bCs/>
          <w:kern w:val="0"/>
          <w:sz w:val="24"/>
          <w:szCs w:val="24"/>
          <w:lang w:val="zh-CN"/>
        </w:rPr>
        <w:t>1、热爱中国共产党，拥护社会主义制度。遵纪守法，有较强的法制观念。</w:t>
      </w:r>
    </w:p>
    <w:p w14:paraId="031EDED2">
      <w:pPr>
        <w:keepNext w:val="0"/>
        <w:keepLines w:val="0"/>
        <w:pageBreakBefore w:val="0"/>
        <w:kinsoku/>
        <w:autoSpaceDE w:val="0"/>
        <w:autoSpaceDN w:val="0"/>
        <w:bidi w:val="0"/>
        <w:spacing w:line="440" w:lineRule="exact"/>
        <w:ind w:right="-7" w:firstLine="480" w:firstLineChars="200"/>
        <w:jc w:val="left"/>
        <w:rPr>
          <w:rFonts w:hint="eastAsia" w:ascii="宋体" w:hAnsi="宋体" w:eastAsia="宋体" w:cs="宋体"/>
          <w:b w:val="0"/>
          <w:bCs/>
          <w:color w:val="000000"/>
          <w:kern w:val="0"/>
          <w:sz w:val="24"/>
          <w:szCs w:val="24"/>
          <w:lang w:val="zh-CN"/>
        </w:rPr>
      </w:pPr>
      <w:r>
        <w:rPr>
          <w:rFonts w:hint="eastAsia" w:ascii="宋体" w:hAnsi="宋体" w:eastAsia="宋体" w:cs="宋体"/>
          <w:b w:val="0"/>
          <w:bCs/>
          <w:kern w:val="0"/>
          <w:sz w:val="24"/>
          <w:szCs w:val="24"/>
          <w:lang w:val="zh-CN"/>
        </w:rPr>
        <w:t>2、招聘的保安要品行端正，作风正派，初中以上文化水平，身体健康，五官端正，裸眼视力0.8以上，</w:t>
      </w:r>
      <w:r>
        <w:rPr>
          <w:rFonts w:hint="eastAsia" w:ascii="宋体" w:hAnsi="宋体" w:eastAsia="宋体" w:cs="宋体"/>
          <w:b w:val="0"/>
          <w:bCs/>
          <w:color w:val="000000"/>
          <w:kern w:val="0"/>
          <w:sz w:val="24"/>
          <w:szCs w:val="24"/>
          <w:lang w:val="zh-CN"/>
        </w:rPr>
        <w:t>身高1.6</w:t>
      </w:r>
      <w:r>
        <w:rPr>
          <w:rFonts w:hint="eastAsia" w:ascii="宋体" w:hAnsi="宋体" w:eastAsia="宋体" w:cs="宋体"/>
          <w:b w:val="0"/>
          <w:bCs/>
          <w:color w:val="000000"/>
          <w:kern w:val="0"/>
          <w:sz w:val="24"/>
          <w:szCs w:val="24"/>
        </w:rPr>
        <w:t>5</w:t>
      </w:r>
      <w:r>
        <w:rPr>
          <w:rFonts w:hint="eastAsia" w:ascii="宋体" w:hAnsi="宋体" w:eastAsia="宋体" w:cs="宋体"/>
          <w:b w:val="0"/>
          <w:bCs/>
          <w:color w:val="000000"/>
          <w:kern w:val="0"/>
          <w:sz w:val="24"/>
          <w:szCs w:val="24"/>
          <w:lang w:val="zh-CN"/>
        </w:rPr>
        <w:t>以上，年龄18—</w:t>
      </w:r>
      <w:r>
        <w:rPr>
          <w:rFonts w:hint="eastAsia" w:ascii="宋体" w:hAnsi="宋体" w:eastAsia="宋体" w:cs="宋体"/>
          <w:b w:val="0"/>
          <w:bCs/>
          <w:color w:val="000000"/>
          <w:kern w:val="0"/>
          <w:sz w:val="24"/>
          <w:szCs w:val="24"/>
        </w:rPr>
        <w:t>60</w:t>
      </w:r>
      <w:r>
        <w:rPr>
          <w:rFonts w:hint="eastAsia" w:ascii="宋体" w:hAnsi="宋体" w:eastAsia="宋体" w:cs="宋体"/>
          <w:b w:val="0"/>
          <w:bCs/>
          <w:color w:val="000000"/>
          <w:kern w:val="0"/>
          <w:sz w:val="24"/>
          <w:szCs w:val="24"/>
          <w:lang w:val="zh-CN"/>
        </w:rPr>
        <w:t>周岁，并具有保安的专业气质，无犯罪记录的。</w:t>
      </w:r>
    </w:p>
    <w:p w14:paraId="57C2912F">
      <w:pPr>
        <w:keepNext w:val="0"/>
        <w:keepLines w:val="0"/>
        <w:pageBreakBefore w:val="0"/>
        <w:kinsoku/>
        <w:autoSpaceDE w:val="0"/>
        <w:autoSpaceDN w:val="0"/>
        <w:bidi w:val="0"/>
        <w:spacing w:line="440" w:lineRule="exact"/>
        <w:ind w:right="-7" w:firstLine="480" w:firstLineChars="200"/>
        <w:jc w:val="left"/>
        <w:rPr>
          <w:rFonts w:hint="eastAsia" w:ascii="宋体" w:hAnsi="宋体" w:eastAsia="宋体" w:cs="宋体"/>
          <w:b w:val="0"/>
          <w:bCs/>
          <w:color w:val="00B050"/>
          <w:kern w:val="0"/>
          <w:sz w:val="24"/>
          <w:szCs w:val="24"/>
          <w:lang w:val="zh-CN"/>
        </w:rPr>
      </w:pPr>
      <w:r>
        <w:rPr>
          <w:rFonts w:hint="eastAsia" w:ascii="宋体" w:hAnsi="宋体" w:eastAsia="宋体" w:cs="宋体"/>
          <w:b w:val="0"/>
          <w:bCs/>
          <w:color w:val="000000"/>
          <w:kern w:val="0"/>
          <w:sz w:val="24"/>
          <w:szCs w:val="24"/>
          <w:lang w:val="zh-CN"/>
        </w:rPr>
        <w:t>3、派驻采购人之前必须经过军训，培训，有保安资格证、</w:t>
      </w:r>
      <w:r>
        <w:rPr>
          <w:rFonts w:hint="eastAsia" w:ascii="宋体" w:hAnsi="宋体" w:eastAsia="宋体" w:cs="宋体"/>
          <w:b w:val="0"/>
          <w:bCs/>
          <w:color w:val="000000"/>
          <w:kern w:val="0"/>
          <w:sz w:val="24"/>
          <w:szCs w:val="24"/>
        </w:rPr>
        <w:t>按国家有关规定</w:t>
      </w:r>
      <w:r>
        <w:rPr>
          <w:rFonts w:hint="eastAsia" w:ascii="宋体" w:hAnsi="宋体" w:eastAsia="宋体" w:cs="宋体"/>
          <w:b w:val="0"/>
          <w:bCs/>
          <w:color w:val="000000"/>
          <w:kern w:val="0"/>
          <w:sz w:val="24"/>
          <w:szCs w:val="24"/>
          <w:lang w:val="zh-CN"/>
        </w:rPr>
        <w:t>缴纳社保。</w:t>
      </w:r>
    </w:p>
    <w:p w14:paraId="523E75E1">
      <w:pPr>
        <w:keepNext w:val="0"/>
        <w:keepLines w:val="0"/>
        <w:pageBreakBefore w:val="0"/>
        <w:kinsoku/>
        <w:autoSpaceDE w:val="0"/>
        <w:autoSpaceDN w:val="0"/>
        <w:bidi w:val="0"/>
        <w:spacing w:line="440" w:lineRule="exact"/>
        <w:ind w:right="-7" w:firstLine="480" w:firstLineChars="200"/>
        <w:jc w:val="left"/>
        <w:rPr>
          <w:rFonts w:hint="eastAsia" w:ascii="宋体" w:hAnsi="宋体" w:eastAsia="宋体" w:cs="宋体"/>
          <w:b w:val="0"/>
          <w:bCs/>
          <w:kern w:val="0"/>
          <w:sz w:val="24"/>
          <w:szCs w:val="24"/>
          <w:lang w:val="zh-CN"/>
        </w:rPr>
      </w:pPr>
      <w:r>
        <w:rPr>
          <w:rFonts w:hint="eastAsia" w:ascii="宋体" w:hAnsi="宋体" w:eastAsia="宋体" w:cs="宋体"/>
          <w:b w:val="0"/>
          <w:bCs/>
          <w:kern w:val="0"/>
          <w:sz w:val="24"/>
          <w:szCs w:val="24"/>
          <w:lang w:val="zh-CN"/>
        </w:rPr>
        <w:t>4、认真执行安保公司的有关规定和采购人有关规章制度。</w:t>
      </w:r>
    </w:p>
    <w:p w14:paraId="380FAA97">
      <w:pPr>
        <w:pStyle w:val="33"/>
        <w:keepNext w:val="0"/>
        <w:keepLines w:val="0"/>
        <w:pageBreakBefore w:val="0"/>
        <w:kinsoku/>
        <w:bidi w:val="0"/>
        <w:spacing w:line="440" w:lineRule="exact"/>
        <w:ind w:firstLine="456" w:firstLineChars="200"/>
        <w:rPr>
          <w:rFonts w:hint="eastAsia" w:ascii="宋体" w:hAnsi="宋体" w:eastAsia="宋体" w:cs="宋体"/>
          <w:b w:val="0"/>
          <w:bCs/>
          <w:spacing w:val="-6"/>
          <w:sz w:val="24"/>
          <w:szCs w:val="24"/>
          <w:u w:val="none"/>
        </w:rPr>
      </w:pPr>
      <w:r>
        <w:rPr>
          <w:rFonts w:hint="eastAsia" w:ascii="宋体" w:hAnsi="宋体" w:eastAsia="宋体" w:cs="宋体"/>
          <w:b w:val="0"/>
          <w:bCs/>
          <w:spacing w:val="-6"/>
          <w:sz w:val="24"/>
          <w:szCs w:val="24"/>
          <w:u w:val="none"/>
        </w:rPr>
        <w:t xml:space="preserve">5、保安队长要求年龄55周岁以下。 </w:t>
      </w:r>
    </w:p>
    <w:p w14:paraId="4EE9E993">
      <w:pPr>
        <w:pStyle w:val="33"/>
        <w:keepNext w:val="0"/>
        <w:keepLines w:val="0"/>
        <w:pageBreakBefore w:val="0"/>
        <w:kinsoku/>
        <w:bidi w:val="0"/>
        <w:spacing w:line="440" w:lineRule="exact"/>
        <w:ind w:firstLine="456" w:firstLineChars="200"/>
        <w:rPr>
          <w:rFonts w:hint="eastAsia" w:ascii="宋体" w:hAnsi="宋体" w:eastAsia="宋体" w:cs="宋体"/>
          <w:b w:val="0"/>
          <w:bCs/>
          <w:spacing w:val="-6"/>
          <w:sz w:val="24"/>
          <w:szCs w:val="24"/>
          <w:u w:val="none"/>
        </w:rPr>
      </w:pPr>
      <w:r>
        <w:rPr>
          <w:rFonts w:hint="eastAsia" w:ascii="宋体" w:hAnsi="宋体" w:eastAsia="宋体" w:cs="宋体"/>
          <w:b w:val="0"/>
          <w:bCs/>
          <w:spacing w:val="-6"/>
          <w:sz w:val="24"/>
          <w:szCs w:val="24"/>
          <w:u w:val="none"/>
        </w:rPr>
        <w:t>6、保安队伍中退伍军人比例占10%。</w:t>
      </w:r>
    </w:p>
    <w:p w14:paraId="2270FAE7">
      <w:pPr>
        <w:pStyle w:val="33"/>
        <w:keepNext w:val="0"/>
        <w:keepLines w:val="0"/>
        <w:pageBreakBefore w:val="0"/>
        <w:kinsoku/>
        <w:bidi w:val="0"/>
        <w:spacing w:line="440" w:lineRule="exact"/>
        <w:ind w:firstLine="456" w:firstLineChars="200"/>
        <w:rPr>
          <w:rFonts w:hint="eastAsia" w:ascii="宋体" w:hAnsi="宋体" w:eastAsia="宋体" w:cs="宋体"/>
          <w:b w:val="0"/>
          <w:bCs/>
          <w:spacing w:val="-6"/>
          <w:sz w:val="24"/>
          <w:szCs w:val="24"/>
          <w:u w:val="none"/>
        </w:rPr>
      </w:pPr>
      <w:r>
        <w:rPr>
          <w:rFonts w:hint="eastAsia" w:ascii="宋体" w:hAnsi="宋体" w:eastAsia="宋体" w:cs="宋体"/>
          <w:b w:val="0"/>
          <w:bCs/>
          <w:spacing w:val="-6"/>
          <w:sz w:val="24"/>
          <w:szCs w:val="24"/>
          <w:u w:val="none"/>
        </w:rPr>
        <w:t>7、必须有一名队员有一定写作的能力。</w:t>
      </w:r>
    </w:p>
    <w:p w14:paraId="7E146128">
      <w:pPr>
        <w:pStyle w:val="33"/>
        <w:keepNext w:val="0"/>
        <w:keepLines w:val="0"/>
        <w:pageBreakBefore w:val="0"/>
        <w:kinsoku/>
        <w:bidi w:val="0"/>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 w:val="0"/>
          <w:bCs/>
          <w:sz w:val="24"/>
          <w:szCs w:val="24"/>
          <w:u w:val="none"/>
        </w:rPr>
        <w:t>8、</w:t>
      </w:r>
      <w:r>
        <w:rPr>
          <w:rFonts w:hint="eastAsia" w:ascii="宋体" w:hAnsi="宋体" w:eastAsia="宋体" w:cs="宋体"/>
          <w:sz w:val="24"/>
          <w:szCs w:val="24"/>
          <w:lang w:val="en-US" w:eastAsia="zh-CN"/>
        </w:rPr>
        <w:t>队员年龄50周岁以下比例不得低于20%。</w:t>
      </w:r>
    </w:p>
    <w:p w14:paraId="74DEC427">
      <w:pPr>
        <w:pStyle w:val="33"/>
        <w:keepNext w:val="0"/>
        <w:keepLines w:val="0"/>
        <w:pageBreakBefore w:val="0"/>
        <w:kinsoku/>
        <w:bidi w:val="0"/>
        <w:spacing w:line="440" w:lineRule="exact"/>
        <w:ind w:firstLine="480" w:firstLineChars="20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9、消防管理人员中必须有3名或以上人员通过培训，取得国家级有关部门颁发的《建（构）筑消防员培训合格》或以上资格证书。</w:t>
      </w:r>
    </w:p>
    <w:p w14:paraId="782CAC50">
      <w:pPr>
        <w:pStyle w:val="33"/>
        <w:keepNext w:val="0"/>
        <w:keepLines w:val="0"/>
        <w:pageBreakBefore w:val="0"/>
        <w:kinsoku/>
        <w:bidi w:val="0"/>
        <w:spacing w:line="440" w:lineRule="exact"/>
        <w:ind w:firstLine="480" w:firstLineChars="200"/>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10、门岗要求立岗。</w:t>
      </w:r>
      <w:r>
        <w:rPr>
          <w:rFonts w:hint="eastAsia" w:ascii="宋体" w:hAnsi="宋体" w:eastAsia="宋体" w:cs="宋体"/>
          <w:b w:val="0"/>
          <w:bCs/>
          <w:sz w:val="24"/>
          <w:szCs w:val="24"/>
          <w:u w:val="none"/>
          <w:lang w:val="en-US" w:eastAsia="zh-CN"/>
        </w:rPr>
        <w:t xml:space="preserve">    </w:t>
      </w:r>
    </w:p>
    <w:p w14:paraId="3D68D473">
      <w:pPr>
        <w:pStyle w:val="33"/>
        <w:keepNext w:val="0"/>
        <w:keepLines w:val="0"/>
        <w:pageBreakBefore w:val="0"/>
        <w:kinsoku/>
        <w:bidi w:val="0"/>
        <w:spacing w:line="440" w:lineRule="exact"/>
        <w:ind w:firstLine="482" w:firstLineChars="200"/>
        <w:rPr>
          <w:rFonts w:hint="eastAsia" w:ascii="宋体" w:hAnsi="宋体" w:eastAsia="宋体" w:cs="宋体"/>
          <w:b w:val="0"/>
          <w:bCs/>
          <w:sz w:val="24"/>
          <w:szCs w:val="24"/>
          <w:u w:val="none"/>
        </w:rPr>
      </w:pPr>
      <w:r>
        <w:rPr>
          <w:rFonts w:hint="eastAsia" w:ascii="宋体" w:hAnsi="宋体" w:eastAsia="宋体" w:cs="宋体"/>
          <w:b/>
          <w:bCs w:val="0"/>
          <w:sz w:val="24"/>
          <w:szCs w:val="24"/>
          <w:u w:val="none"/>
          <w:lang w:val="en-US" w:eastAsia="zh-CN"/>
        </w:rPr>
        <w:t>（四）</w:t>
      </w:r>
      <w:r>
        <w:rPr>
          <w:rFonts w:hint="eastAsia" w:ascii="宋体" w:hAnsi="宋体" w:eastAsia="宋体" w:cs="宋体"/>
          <w:b/>
          <w:bCs w:val="0"/>
          <w:sz w:val="24"/>
          <w:szCs w:val="24"/>
          <w:lang w:val="en-US" w:eastAsia="zh-CN"/>
        </w:rPr>
        <w:t>人员岗位分配</w:t>
      </w:r>
    </w:p>
    <w:tbl>
      <w:tblPr>
        <w:tblStyle w:val="62"/>
        <w:tblpPr w:leftFromText="180" w:rightFromText="180" w:vertAnchor="page" w:horzAnchor="page" w:tblpX="1524" w:tblpY="4528"/>
        <w:tblOverlap w:val="never"/>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50"/>
        <w:gridCol w:w="955"/>
        <w:gridCol w:w="2107"/>
        <w:gridCol w:w="4240"/>
      </w:tblGrid>
      <w:tr w14:paraId="356E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4B36FC26">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FCC05F2">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岗位设置</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202E6F10">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岗位</w:t>
            </w:r>
          </w:p>
          <w:p w14:paraId="10955C32">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napToGrid w:val="0"/>
                <w:sz w:val="24"/>
                <w:szCs w:val="24"/>
              </w:rPr>
              <w:t>（人数）</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6D15AD67">
            <w:pPr>
              <w:keepNext w:val="0"/>
              <w:keepLines w:val="0"/>
              <w:pageBreakBefore w:val="0"/>
              <w:tabs>
                <w:tab w:val="left" w:pos="4305"/>
              </w:tabs>
              <w:kinsoku/>
              <w:bidi w:val="0"/>
              <w:spacing w:line="440" w:lineRule="exact"/>
              <w:jc w:val="center"/>
              <w:rPr>
                <w:rFonts w:hint="eastAsia" w:ascii="宋体" w:hAnsi="宋体" w:eastAsia="宋体" w:cs="宋体"/>
                <w:snapToGrid w:val="0"/>
                <w:sz w:val="24"/>
                <w:szCs w:val="24"/>
              </w:rPr>
            </w:pPr>
            <w:r>
              <w:rPr>
                <w:rFonts w:hint="eastAsia" w:ascii="宋体" w:hAnsi="宋体" w:eastAsia="宋体" w:cs="宋体"/>
                <w:snapToGrid w:val="0"/>
                <w:sz w:val="24"/>
                <w:szCs w:val="24"/>
              </w:rPr>
              <w:t>8小时排班</w:t>
            </w:r>
          </w:p>
          <w:p w14:paraId="0DA23824">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napToGrid w:val="0"/>
                <w:sz w:val="24"/>
                <w:szCs w:val="24"/>
              </w:rPr>
              <w:t>（人数）</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519A21A1">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主要职责</w:t>
            </w:r>
          </w:p>
        </w:tc>
      </w:tr>
      <w:tr w14:paraId="3B04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1C70809C">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6E16D9A">
            <w:pPr>
              <w:keepNext w:val="0"/>
              <w:keepLines w:val="0"/>
              <w:pageBreakBefore w:val="0"/>
              <w:tabs>
                <w:tab w:val="left" w:pos="4305"/>
              </w:tabs>
              <w:kinsoku/>
              <w:bidi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中队长</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1892651">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06E1C5AB">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11FC53EC">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负责全队的日常工作开展</w:t>
            </w:r>
            <w:r>
              <w:rPr>
                <w:rFonts w:hint="eastAsia" w:ascii="宋体" w:hAnsi="宋体" w:eastAsia="宋体" w:cs="宋体"/>
                <w:sz w:val="24"/>
                <w:szCs w:val="24"/>
                <w:lang w:val="en-US" w:eastAsia="zh-CN"/>
              </w:rPr>
              <w:t>并配合保卫科做好各类台账资料</w:t>
            </w:r>
          </w:p>
        </w:tc>
      </w:tr>
      <w:tr w14:paraId="6C0C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5646F820">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78D5E9">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小队长</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9B5CF5A">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53ED7AAD">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2C6B5443">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配合项目经理，</w:t>
            </w:r>
            <w:r>
              <w:rPr>
                <w:rFonts w:hint="eastAsia" w:ascii="宋体" w:hAnsi="宋体" w:eastAsia="宋体" w:cs="宋体"/>
                <w:sz w:val="24"/>
                <w:szCs w:val="24"/>
              </w:rPr>
              <w:t>负责</w:t>
            </w:r>
            <w:r>
              <w:rPr>
                <w:rFonts w:hint="eastAsia" w:ascii="宋体" w:hAnsi="宋体" w:eastAsia="宋体" w:cs="宋体"/>
                <w:sz w:val="24"/>
                <w:szCs w:val="24"/>
                <w:lang w:val="en-US" w:eastAsia="zh-CN"/>
              </w:rPr>
              <w:t>小</w:t>
            </w:r>
            <w:r>
              <w:rPr>
                <w:rFonts w:hint="eastAsia" w:ascii="宋体" w:hAnsi="宋体" w:eastAsia="宋体" w:cs="宋体"/>
                <w:sz w:val="24"/>
                <w:szCs w:val="24"/>
              </w:rPr>
              <w:t>队的日常工作开展</w:t>
            </w:r>
            <w:r>
              <w:rPr>
                <w:rFonts w:hint="eastAsia" w:ascii="宋体" w:hAnsi="宋体" w:eastAsia="宋体" w:cs="宋体"/>
                <w:sz w:val="24"/>
                <w:szCs w:val="24"/>
                <w:lang w:val="en-US" w:eastAsia="zh-CN"/>
              </w:rPr>
              <w:t>及车辆秩序管理</w:t>
            </w:r>
            <w:r>
              <w:rPr>
                <w:rFonts w:hint="eastAsia" w:ascii="宋体" w:hAnsi="宋体" w:eastAsia="宋体" w:cs="宋体"/>
                <w:sz w:val="24"/>
                <w:szCs w:val="24"/>
              </w:rPr>
              <w:t>等</w:t>
            </w:r>
          </w:p>
        </w:tc>
      </w:tr>
      <w:tr w14:paraId="31C1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B0FFDB3">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AC9017D">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门诊楼</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6676587">
            <w:pPr>
              <w:keepNext w:val="0"/>
              <w:keepLines w:val="0"/>
              <w:pageBreakBefore w:val="0"/>
              <w:tabs>
                <w:tab w:val="left" w:pos="4305"/>
              </w:tabs>
              <w:kinsoku/>
              <w:bidi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34229856">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早：1中：1夜：1</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1859FE76">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观察进入院区内人员动向，禁止携带危险品进入院区</w:t>
            </w:r>
            <w:r>
              <w:rPr>
                <w:rFonts w:hint="eastAsia" w:ascii="宋体" w:hAnsi="宋体" w:eastAsia="宋体" w:cs="宋体"/>
                <w:sz w:val="24"/>
                <w:szCs w:val="24"/>
                <w:lang w:val="en-US" w:eastAsia="zh-CN"/>
              </w:rPr>
              <w:t>及车辆秩序管理</w:t>
            </w:r>
          </w:p>
        </w:tc>
      </w:tr>
      <w:tr w14:paraId="05E4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ED406B5">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0E887C7">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急诊</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8534F81">
            <w:pPr>
              <w:keepNext w:val="0"/>
              <w:keepLines w:val="0"/>
              <w:pageBreakBefore w:val="0"/>
              <w:tabs>
                <w:tab w:val="left" w:pos="4305"/>
              </w:tabs>
              <w:kinsoku/>
              <w:bidi w:val="0"/>
              <w:spacing w:line="4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40F0186B">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早：1中：1夜：1</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7AFF1C8C">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治安管理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安全防范及车辆秩序管理</w:t>
            </w:r>
            <w:r>
              <w:rPr>
                <w:rFonts w:hint="eastAsia" w:ascii="宋体" w:hAnsi="宋体" w:eastAsia="宋体" w:cs="宋体"/>
                <w:sz w:val="24"/>
                <w:szCs w:val="24"/>
              </w:rPr>
              <w:t>等</w:t>
            </w:r>
          </w:p>
        </w:tc>
      </w:tr>
      <w:tr w14:paraId="6881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2A889282">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264291D">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住院楼</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F4A8344">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1164ED">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早：1中：1夜：1</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582D461B">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治安管理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安全防范及车辆秩序管理</w:t>
            </w:r>
            <w:r>
              <w:rPr>
                <w:rFonts w:hint="eastAsia" w:ascii="宋体" w:hAnsi="宋体" w:eastAsia="宋体" w:cs="宋体"/>
                <w:sz w:val="24"/>
                <w:szCs w:val="24"/>
              </w:rPr>
              <w:t>等</w:t>
            </w:r>
          </w:p>
        </w:tc>
      </w:tr>
      <w:tr w14:paraId="3469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F529DFA">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5764F09">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消控中心</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B5CC633">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7C110E37">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早：2 中：1夜：1</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36B24747">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消、监控值班等</w:t>
            </w:r>
          </w:p>
        </w:tc>
      </w:tr>
      <w:tr w14:paraId="4293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66A59E72">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5C39257">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门办1人</w:t>
            </w:r>
          </w:p>
          <w:p w14:paraId="78612131">
            <w:pPr>
              <w:pStyle w:val="801"/>
              <w:keepNext w:val="0"/>
              <w:keepLines w:val="0"/>
              <w:pageBreakBefore w:val="0"/>
              <w:tabs>
                <w:tab w:val="left" w:pos="822"/>
              </w:tabs>
              <w:kinsoku/>
              <w:bidi w:val="0"/>
              <w:spacing w:line="44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儿保科1人</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073FBBE">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76607F6A">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7:00-1</w:t>
            </w:r>
            <w:r>
              <w:rPr>
                <w:rFonts w:hint="eastAsia" w:ascii="宋体" w:hAnsi="宋体" w:eastAsia="宋体" w:cs="宋体"/>
                <w:sz w:val="24"/>
                <w:szCs w:val="24"/>
                <w:lang w:val="en-US" w:eastAsia="zh-CN"/>
              </w:rPr>
              <w:t>7</w:t>
            </w:r>
            <w:r>
              <w:rPr>
                <w:rFonts w:hint="eastAsia" w:ascii="宋体" w:hAnsi="宋体" w:eastAsia="宋体" w:cs="宋体"/>
                <w:sz w:val="24"/>
                <w:szCs w:val="24"/>
              </w:rPr>
              <w:t>:00（</w:t>
            </w:r>
            <w:r>
              <w:rPr>
                <w:rFonts w:hint="eastAsia" w:ascii="宋体" w:hAnsi="宋体" w:eastAsia="宋体" w:cs="宋体"/>
                <w:sz w:val="24"/>
                <w:szCs w:val="24"/>
                <w:lang w:val="en-US" w:eastAsia="zh-CN"/>
              </w:rPr>
              <w:t>2</w:t>
            </w:r>
            <w:r>
              <w:rPr>
                <w:rFonts w:hint="eastAsia" w:ascii="宋体" w:hAnsi="宋体" w:eastAsia="宋体" w:cs="宋体"/>
                <w:sz w:val="24"/>
                <w:szCs w:val="24"/>
              </w:rPr>
              <w:t>人）</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37C88D09">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（门办1人，儿保科1人</w:t>
            </w:r>
            <w:r>
              <w:rPr>
                <w:rFonts w:hint="eastAsia" w:ascii="宋体" w:hAnsi="宋体" w:eastAsia="宋体" w:cs="宋体"/>
                <w:sz w:val="24"/>
                <w:szCs w:val="24"/>
                <w:lang w:val="en-US" w:eastAsia="zh-CN"/>
              </w:rPr>
              <w:t>具体职责按岗位要求执行</w:t>
            </w:r>
            <w:r>
              <w:rPr>
                <w:rFonts w:hint="eastAsia" w:ascii="宋体" w:hAnsi="宋体" w:eastAsia="宋体" w:cs="宋体"/>
                <w:sz w:val="24"/>
                <w:szCs w:val="24"/>
              </w:rPr>
              <w:t>）</w:t>
            </w:r>
          </w:p>
        </w:tc>
      </w:tr>
      <w:tr w14:paraId="39AF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8678234">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D541F9E">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南门岗</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9091AC9">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02B8B500">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12小时做六休一</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60F00B13">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负责进出车辆指挥引导（包括机动车和非机动车）</w:t>
            </w:r>
          </w:p>
        </w:tc>
      </w:tr>
      <w:tr w14:paraId="667A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D166E39">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8F7E14">
            <w:pPr>
              <w:keepNext w:val="0"/>
              <w:keepLines w:val="0"/>
              <w:pageBreakBefore w:val="0"/>
              <w:tabs>
                <w:tab w:val="left" w:pos="4305"/>
              </w:tabs>
              <w:kinsoku/>
              <w:bidi w:val="0"/>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机动巡查</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3C31AA7">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14774DEE">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12小时做六休一</w:t>
            </w:r>
          </w:p>
        </w:tc>
        <w:tc>
          <w:tcPr>
            <w:tcW w:w="4240" w:type="dxa"/>
            <w:tcBorders>
              <w:top w:val="single" w:color="auto" w:sz="4" w:space="0"/>
              <w:left w:val="single" w:color="auto" w:sz="4" w:space="0"/>
              <w:bottom w:val="single" w:color="auto" w:sz="4" w:space="0"/>
              <w:right w:val="single" w:color="auto" w:sz="4" w:space="0"/>
            </w:tcBorders>
            <w:noWrap w:val="0"/>
            <w:vAlign w:val="center"/>
          </w:tcPr>
          <w:p w14:paraId="57C875FC">
            <w:pPr>
              <w:keepNext w:val="0"/>
              <w:keepLines w:val="0"/>
              <w:pageBreakBefore w:val="0"/>
              <w:tabs>
                <w:tab w:val="left" w:pos="4305"/>
              </w:tabs>
              <w:kinsoku/>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负责停车场巡查（机动车和非机动车、重点等地下停车场</w:t>
            </w:r>
          </w:p>
        </w:tc>
      </w:tr>
      <w:tr w14:paraId="4709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02431D26">
            <w:pPr>
              <w:keepNext w:val="0"/>
              <w:keepLines w:val="0"/>
              <w:pageBreakBefore w:val="0"/>
              <w:tabs>
                <w:tab w:val="left" w:pos="4305"/>
              </w:tabs>
              <w:kinsoku/>
              <w:bidi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5E4E3E1">
            <w:pPr>
              <w:keepNext w:val="0"/>
              <w:keepLines w:val="0"/>
              <w:pageBreakBefore w:val="0"/>
              <w:tabs>
                <w:tab w:val="left" w:pos="4305"/>
              </w:tabs>
              <w:kinsoku/>
              <w:bidi w:val="0"/>
              <w:spacing w:line="44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西门岗</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2554035">
            <w:pPr>
              <w:keepNext w:val="0"/>
              <w:keepLines w:val="0"/>
              <w:pageBreakBefore w:val="0"/>
              <w:tabs>
                <w:tab w:val="left" w:pos="4305"/>
              </w:tabs>
              <w:kinsoku/>
              <w:bidi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9AD0D">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12小时做六休一</w:t>
            </w:r>
          </w:p>
        </w:tc>
        <w:tc>
          <w:tcPr>
            <w:tcW w:w="42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05F672">
            <w:pPr>
              <w:keepNext w:val="0"/>
              <w:keepLines w:val="0"/>
              <w:pageBreakBefore w:val="0"/>
              <w:tabs>
                <w:tab w:val="left" w:pos="4305"/>
              </w:tabs>
              <w:kinsoku/>
              <w:bidi w:val="0"/>
              <w:spacing w:line="44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负责进出车辆指挥引导（包括机动车和非机动车）</w:t>
            </w:r>
          </w:p>
        </w:tc>
      </w:tr>
      <w:tr w14:paraId="577C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2E231B4F">
            <w:pPr>
              <w:keepNext w:val="0"/>
              <w:keepLines w:val="0"/>
              <w:pageBreakBefore w:val="0"/>
              <w:tabs>
                <w:tab w:val="left" w:pos="4305"/>
              </w:tabs>
              <w:kinsoku/>
              <w:bidi w:val="0"/>
              <w:spacing w:line="44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1C4FBDF">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合计</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BFDA1C5">
            <w:pPr>
              <w:keepNext w:val="0"/>
              <w:keepLines w:val="0"/>
              <w:pageBreakBefore w:val="0"/>
              <w:tabs>
                <w:tab w:val="left" w:pos="4305"/>
              </w:tabs>
              <w:kinsoku/>
              <w:bidi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p>
        </w:tc>
        <w:tc>
          <w:tcPr>
            <w:tcW w:w="6347" w:type="dxa"/>
            <w:gridSpan w:val="2"/>
            <w:tcBorders>
              <w:top w:val="single" w:color="auto" w:sz="4" w:space="0"/>
              <w:left w:val="single" w:color="auto" w:sz="4" w:space="0"/>
              <w:bottom w:val="single" w:color="auto" w:sz="4" w:space="0"/>
              <w:right w:val="single" w:color="auto" w:sz="4" w:space="0"/>
            </w:tcBorders>
            <w:noWrap w:val="0"/>
            <w:vAlign w:val="center"/>
          </w:tcPr>
          <w:p w14:paraId="1A4428E8">
            <w:pPr>
              <w:keepNext w:val="0"/>
              <w:keepLines w:val="0"/>
              <w:pageBreakBefore w:val="0"/>
              <w:tabs>
                <w:tab w:val="left" w:pos="4305"/>
              </w:tabs>
              <w:kinsoku/>
              <w:bidi w:val="0"/>
              <w:spacing w:line="440" w:lineRule="exact"/>
              <w:jc w:val="center"/>
              <w:rPr>
                <w:rFonts w:hint="eastAsia" w:ascii="宋体" w:hAnsi="宋体" w:eastAsia="宋体" w:cs="宋体"/>
                <w:sz w:val="24"/>
                <w:szCs w:val="24"/>
              </w:rPr>
            </w:pPr>
          </w:p>
        </w:tc>
      </w:tr>
      <w:tr w14:paraId="4E84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7C8A5028">
            <w:pPr>
              <w:keepNext w:val="0"/>
              <w:keepLines w:val="0"/>
              <w:pageBreakBefore w:val="0"/>
              <w:tabs>
                <w:tab w:val="left" w:pos="4305"/>
              </w:tabs>
              <w:kinsoku/>
              <w:bidi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tc>
        <w:tc>
          <w:tcPr>
            <w:tcW w:w="8452" w:type="dxa"/>
            <w:gridSpan w:val="4"/>
            <w:tcBorders>
              <w:top w:val="single" w:color="auto" w:sz="4" w:space="0"/>
              <w:left w:val="single" w:color="auto" w:sz="4" w:space="0"/>
              <w:bottom w:val="single" w:color="auto" w:sz="4" w:space="0"/>
              <w:right w:val="single" w:color="auto" w:sz="4" w:space="0"/>
            </w:tcBorders>
            <w:noWrap w:val="0"/>
            <w:vAlign w:val="center"/>
          </w:tcPr>
          <w:p w14:paraId="6CCBC3A3">
            <w:pPr>
              <w:keepNext w:val="0"/>
              <w:keepLines w:val="0"/>
              <w:pageBreakBefore w:val="0"/>
              <w:tabs>
                <w:tab w:val="left" w:pos="4305"/>
              </w:tabs>
              <w:kinsoku/>
              <w:bidi w:val="0"/>
              <w:spacing w:line="440" w:lineRule="exact"/>
              <w:jc w:val="both"/>
              <w:rPr>
                <w:rFonts w:hint="default" w:ascii="宋体" w:hAnsi="宋体" w:eastAsia="宋体" w:cs="宋体"/>
                <w:sz w:val="24"/>
                <w:szCs w:val="24"/>
                <w:lang w:val="en-US"/>
              </w:rPr>
            </w:pPr>
            <w:r>
              <w:rPr>
                <w:rFonts w:hint="eastAsia" w:ascii="宋体" w:hAnsi="宋体" w:cs="宋体"/>
                <w:sz w:val="24"/>
                <w:szCs w:val="24"/>
                <w:lang w:val="en-US" w:eastAsia="zh-CN"/>
              </w:rPr>
              <w:t>备注：根据</w:t>
            </w:r>
            <w:r>
              <w:rPr>
                <w:rFonts w:hint="eastAsia" w:ascii="宋体" w:hAnsi="宋体" w:eastAsia="宋体" w:cs="宋体"/>
                <w:sz w:val="24"/>
                <w:szCs w:val="24"/>
                <w:lang w:val="en-US" w:eastAsia="zh-CN"/>
              </w:rPr>
              <w:t>西门</w:t>
            </w:r>
            <w:r>
              <w:rPr>
                <w:rFonts w:hint="eastAsia" w:ascii="宋体" w:hAnsi="宋体" w:cs="宋体"/>
                <w:sz w:val="24"/>
                <w:szCs w:val="24"/>
                <w:lang w:val="en-US" w:eastAsia="zh-CN"/>
              </w:rPr>
              <w:t>岗</w:t>
            </w:r>
            <w:r>
              <w:rPr>
                <w:rFonts w:hint="eastAsia" w:ascii="宋体" w:hAnsi="宋体" w:eastAsia="宋体" w:cs="宋体"/>
                <w:sz w:val="24"/>
                <w:szCs w:val="24"/>
                <w:lang w:val="en-US" w:eastAsia="zh-CN"/>
              </w:rPr>
              <w:t>是否开放</w:t>
            </w:r>
            <w:r>
              <w:rPr>
                <w:rFonts w:hint="eastAsia" w:ascii="宋体" w:hAnsi="宋体" w:cs="宋体"/>
                <w:sz w:val="24"/>
                <w:szCs w:val="24"/>
                <w:lang w:val="en-US" w:eastAsia="zh-CN"/>
              </w:rPr>
              <w:t>增减该岗人员费用</w:t>
            </w:r>
          </w:p>
        </w:tc>
      </w:tr>
    </w:tbl>
    <w:p w14:paraId="34B0394C">
      <w:pPr>
        <w:pStyle w:val="33"/>
        <w:keepNext w:val="0"/>
        <w:keepLines w:val="0"/>
        <w:pageBreakBefore w:val="0"/>
        <w:kinsoku/>
        <w:bidi w:val="0"/>
        <w:spacing w:line="240" w:lineRule="auto"/>
        <w:rPr>
          <w:rFonts w:hint="eastAsia" w:ascii="宋体" w:hAnsi="宋体" w:eastAsia="宋体" w:cs="宋体"/>
          <w:sz w:val="24"/>
          <w:szCs w:val="24"/>
          <w:lang w:eastAsia="zh-CN"/>
        </w:rPr>
      </w:pPr>
    </w:p>
    <w:p w14:paraId="120429F9">
      <w:pPr>
        <w:keepNext w:val="0"/>
        <w:keepLines w:val="0"/>
        <w:pageBreakBefore w:val="0"/>
        <w:kinsoku/>
        <w:overflowPunct/>
        <w:autoSpaceDE/>
        <w:autoSpaceDN/>
        <w:bidi w:val="0"/>
        <w:snapToGrid/>
        <w:spacing w:beforeLines="0" w:afterLines="0" w:line="440" w:lineRule="exact"/>
        <w:rPr>
          <w:rFonts w:hint="eastAsia" w:ascii="宋体" w:hAnsi="宋体" w:eastAsia="宋体" w:cs="宋体"/>
          <w:b/>
          <w:sz w:val="24"/>
          <w:szCs w:val="24"/>
        </w:rPr>
      </w:pPr>
      <w:r>
        <w:rPr>
          <w:rFonts w:hint="eastAsia" w:ascii="宋体" w:hAnsi="宋体" w:eastAsia="宋体" w:cs="宋体"/>
          <w:b/>
          <w:sz w:val="24"/>
          <w:szCs w:val="24"/>
        </w:rPr>
        <w:t>（1）管理人员岗位职责要求</w:t>
      </w:r>
    </w:p>
    <w:p w14:paraId="7EC21A3B">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 xml:space="preserve"> 1.中队长、内勤</w:t>
      </w:r>
      <w:r>
        <w:rPr>
          <w:rFonts w:hint="eastAsia" w:ascii="宋体" w:hAnsi="宋体" w:eastAsia="宋体" w:cs="宋体"/>
          <w:sz w:val="24"/>
          <w:szCs w:val="24"/>
        </w:rPr>
        <w:t>：代表公司全面负责保安队伍的日常管理事务，严格保安队伍纪律管理，奖优罚劣；承担保安违规违纪的连带责任；实行人性化管理，关心队员疾苦，掌握队员的思想动态，充分调动队员的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定院内重大活动的安全保卫方案；建立健全录用保安人员档案资料。</w:t>
      </w:r>
    </w:p>
    <w:p w14:paraId="1C3E0415">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 xml:space="preserve"> 2.保安小队长：</w:t>
      </w:r>
      <w:r>
        <w:rPr>
          <w:rFonts w:hint="eastAsia" w:ascii="宋体" w:hAnsi="宋体" w:eastAsia="宋体" w:cs="宋体"/>
          <w:sz w:val="24"/>
          <w:szCs w:val="24"/>
        </w:rPr>
        <w:t>以身作则，吃苦在先，讲求奉献；贯彻落实医院任务要求与保安队长（项目经理）的安全工作，组织实施医院安全保卫整体方案;负责安排保安的日常工作，参与保安执勤，增援重点岗位；督促检查在岗人员履行岗位职责情况，纠正队员违规违纪行为；坚持讲评，不流于形式，形成良好的队风；处理各岗位的突发事件，重大情况及时报告医院保卫科；妥善保管好医院提供的设备器材，严格做好设备交接班制度；组织指挥保安队员做好医院重大活动的安全保卫与秩序保障工作；将各岗位的执勤情况汇总记录。</w:t>
      </w:r>
    </w:p>
    <w:p w14:paraId="3F73C658">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b/>
          <w:sz w:val="24"/>
          <w:szCs w:val="24"/>
        </w:rPr>
        <w:t>（2）保安人员岗位职责要求</w:t>
      </w:r>
    </w:p>
    <w:p w14:paraId="3359DE0E">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1.治安管理</w:t>
      </w:r>
      <w:r>
        <w:rPr>
          <w:rFonts w:hint="eastAsia" w:ascii="宋体" w:hAnsi="宋体" w:eastAsia="宋体" w:cs="宋体"/>
          <w:sz w:val="24"/>
          <w:szCs w:val="24"/>
        </w:rPr>
        <w:t>：</w:t>
      </w:r>
    </w:p>
    <w:p w14:paraId="7225366D">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（1）综合管理：保安负责院内的各项治安管理工作，24小时不间断在全院范围进行巡逻、制定24小时定线和变线巡逻路线，保证巡逻到位，确保安全。对院内治安监控设备全面监视，发现问题及时处理。</w:t>
      </w:r>
    </w:p>
    <w:p w14:paraId="4596C2B2">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（2）医疗秩序维护：保持良好的秩序，医院对就医环境有较高要求，特别是就诊高峰期，维持各个窗口、候诊区域、就诊区域的秩序，让病员自觉遵守先来后到，按次序排队，保证秩序井然。</w:t>
      </w:r>
    </w:p>
    <w:p w14:paraId="448A75C3">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3）安全防范工作：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14:paraId="72F3943B">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4）保护医院财产和医护人员的人身安全：随着人们对生命越来越重视，各种医患纠纷经常发生，个别不理智的患者家属，甚至对医护人员进行人身攻击，因此必须保护医护人员的安全，将事态发生的火苗熄灭在萌芽状态，做好必要的劝解说服工作。</w:t>
      </w:r>
    </w:p>
    <w:p w14:paraId="77784CB3">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5）发现潜在隐患：发现和排除各种不安全因素，及时处置各种违法犯罪行为；听从班长工作安排与指挥调度，善于发现，分析处理各种事故隐患和突发事件；配合医院保卫科和相关科室处理各类纠纷和治安案件，配合医院对违规事件的调查，协助公安机关对案件的排查。</w:t>
      </w:r>
    </w:p>
    <w:p w14:paraId="555DDF52">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2.门卫管理：</w:t>
      </w:r>
      <w:r>
        <w:rPr>
          <w:rFonts w:hint="eastAsia" w:ascii="宋体" w:hAnsi="宋体" w:eastAsia="宋体" w:cs="宋体"/>
          <w:sz w:val="24"/>
          <w:szCs w:val="24"/>
        </w:rPr>
        <w:t>严格人员，车辆，物资进出管理；按时立岗，礼貌待人，树立良好的窗口形象；对携物出门实行出门证验审制度，防止财务流失；与各岗位互通信息；值班室无闲杂人员滞留，保持室内外环境整洁卫生，门前卫生三包；完成医院交办的其他事项。</w:t>
      </w:r>
    </w:p>
    <w:p w14:paraId="3FAD7BA2">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3.车辆管理：</w:t>
      </w:r>
    </w:p>
    <w:p w14:paraId="34ABF68F">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b/>
          <w:sz w:val="24"/>
          <w:szCs w:val="24"/>
        </w:rPr>
        <w:t>（1）医院自备车辆及医护人员私家车辆管理</w:t>
      </w:r>
    </w:p>
    <w:p w14:paraId="22A485A5">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a．医院自备车辆主要是120急救车，医院公务车辆、员工班车和医院物品运送车辆，保安人员要加强管理，确保车辆进出畅通，确保车位不被无故占用。</w:t>
      </w:r>
    </w:p>
    <w:p w14:paraId="6DA9F508">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b．医护人员私家车辆，根据院方提供的车辆停车证，按规定车位停放。</w:t>
      </w:r>
    </w:p>
    <w:p w14:paraId="4482633D">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c．当班保安人员要坚守岗位，按规定巡视，保证车辆不被损坏，车内物品安全。</w:t>
      </w:r>
    </w:p>
    <w:p w14:paraId="696A8814">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b/>
          <w:sz w:val="24"/>
          <w:szCs w:val="24"/>
        </w:rPr>
        <w:t>（2）外来车辆管理</w:t>
      </w:r>
    </w:p>
    <w:p w14:paraId="07471EB2">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a． 未经医院备案及许可的，装有易燃、易爆、剧毒物品或有污染性物品的车辆严禁驶入医院内。</w:t>
      </w:r>
    </w:p>
    <w:p w14:paraId="6FA792ED">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b．保证消防通道、车辆通道、120急救通道24小时畅通无阻。</w:t>
      </w:r>
    </w:p>
    <w:p w14:paraId="6622DC6E">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C、协助相关部门进行交通管理</w:t>
      </w:r>
    </w:p>
    <w:p w14:paraId="56260499">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b/>
          <w:sz w:val="24"/>
          <w:szCs w:val="24"/>
        </w:rPr>
        <w:t>（3）摩托车及非机动车管理</w:t>
      </w:r>
    </w:p>
    <w:p w14:paraId="79A08A7D">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a． 摩托车及非机动车在医院规定范围内有序停放，确保院内道路畅通。</w:t>
      </w:r>
    </w:p>
    <w:p w14:paraId="0F6F1CEE">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b． 监控岗位要进行实时监视，发现可疑人员通知巡逻岗进行布控，并加强防范巡视，减少或避免车辆被盗事件的发生。</w:t>
      </w:r>
    </w:p>
    <w:p w14:paraId="39EFDEE2">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 xml:space="preserve"> 4.区域守护：</w:t>
      </w:r>
      <w:r>
        <w:rPr>
          <w:rFonts w:hint="eastAsia" w:ascii="宋体" w:hAnsi="宋体" w:eastAsia="宋体" w:cs="宋体"/>
          <w:sz w:val="24"/>
          <w:szCs w:val="24"/>
        </w:rPr>
        <w:t>熟悉守护区域的情况特点，定点守卫与区域巡查相结合；掌握消防栓，灭火器等安全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14:paraId="7B7AFA0C">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 xml:space="preserve"> 5.机动巡逻：</w:t>
      </w:r>
      <w:r>
        <w:rPr>
          <w:rFonts w:hint="eastAsia" w:ascii="宋体" w:hAnsi="宋体" w:eastAsia="宋体" w:cs="宋体"/>
          <w:sz w:val="24"/>
          <w:szCs w:val="24"/>
        </w:rPr>
        <w:t>根据不同情况，灵活执行相应的巡逻方案；加强对重点区域，要害部位安全巡查，巡更采点不流于形式，并与监控室保持联动；协助各岗位开展医院秩序维护和交通秩序管理工作；开展安全防范；如实记录汇报巡逻记录。</w:t>
      </w:r>
    </w:p>
    <w:p w14:paraId="40B29B41">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b/>
          <w:sz w:val="24"/>
          <w:szCs w:val="24"/>
        </w:rPr>
        <w:t xml:space="preserve"> 6.消防管理：</w:t>
      </w:r>
    </w:p>
    <w:p w14:paraId="0A1CFFD7">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a．消控岗位人员必须具备《消防控制室人员培训资格证》，持证上岗。</w:t>
      </w:r>
    </w:p>
    <w:p w14:paraId="4D314860">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b．消防监控联动中心实行24小时双岗值班制，有详细的值班记录和消防设施巡查记录。</w:t>
      </w:r>
    </w:p>
    <w:p w14:paraId="142731C0">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c． 平时实行不间断巡视，对防火重点部位，消防通道等进行重点检查，发现火灾隐患，立即报告医院保卫科并设法消除。</w:t>
      </w:r>
    </w:p>
    <w:p w14:paraId="07D909B0">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d． 定期对消防灭火设施设备进行检查，每周一次，有记录，检查灭火器是否过期失效，压力等是否有效，灭火器过期前2个月及时上报保卫科。消防栓、应急指示灯等消防设施是否完好。如有损坏或过期失效立即通知医院总务科修理、调换。</w:t>
      </w:r>
    </w:p>
    <w:p w14:paraId="7BA08BCD">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e． 作好所有安保、消防设施的日常清洁、保养、保管工作，发现有人擅自动用消防设施的，应及时制止并报告。</w:t>
      </w:r>
    </w:p>
    <w:p w14:paraId="39833143">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f． 积极开展防火宣传教育</w:t>
      </w:r>
      <w:r>
        <w:rPr>
          <w:rFonts w:hint="eastAsia" w:ascii="宋体" w:hAnsi="宋体" w:eastAsia="宋体" w:cs="宋体"/>
          <w:sz w:val="24"/>
          <w:szCs w:val="24"/>
          <w:u w:val="none" w:color="auto"/>
        </w:rPr>
        <w:t>，原则上每天必须有一次进入每一个病房，对违规用电、用火现象及时阻止，建立健全防火责任制和岗位责任制，制定消防应急预案。</w:t>
      </w:r>
    </w:p>
    <w:p w14:paraId="49C1E48B">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g． 加强消防演练，积极组织保安人员参加消防演练，正确使用消防器材，熟知医院突发事件应急预案，一旦发生火灾，能冷静处理，按预案进行火灾报警，人员疏散，组织扑救，抢救物资等工作。</w:t>
      </w:r>
    </w:p>
    <w:p w14:paraId="40B30119">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r>
        <w:rPr>
          <w:rFonts w:hint="eastAsia" w:ascii="宋体" w:hAnsi="宋体" w:eastAsia="宋体" w:cs="宋体"/>
          <w:sz w:val="24"/>
          <w:szCs w:val="24"/>
        </w:rPr>
        <w:t>h． 保安人员兼任医院的义务消防队员，所有队员有参加灭火抢险的义务。</w:t>
      </w:r>
    </w:p>
    <w:p w14:paraId="0F16A4FB">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7.政治保卫：</w:t>
      </w:r>
      <w:r>
        <w:rPr>
          <w:rFonts w:hint="eastAsia" w:ascii="宋体" w:hAnsi="宋体" w:eastAsia="宋体" w:cs="宋体"/>
          <w:sz w:val="24"/>
          <w:szCs w:val="24"/>
        </w:rPr>
        <w:t xml:space="preserve">医院重大活动安全警戒与秩序保障；配合做好重大事件的政治保卫工作。 </w:t>
      </w:r>
    </w:p>
    <w:p w14:paraId="64C0DA38">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8.突发事件处理：</w:t>
      </w:r>
      <w:r>
        <w:rPr>
          <w:rFonts w:hint="eastAsia" w:ascii="宋体" w:hAnsi="宋体" w:eastAsia="宋体" w:cs="宋体"/>
          <w:sz w:val="24"/>
          <w:szCs w:val="24"/>
        </w:rPr>
        <w:t>医院突发事件处置，灾害预防，火灾扑救，发现和制止医院暴力事件，随时准备提供紧急救助。</w:t>
      </w:r>
    </w:p>
    <w:p w14:paraId="41AF1098">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b/>
          <w:sz w:val="24"/>
          <w:szCs w:val="24"/>
        </w:rPr>
        <w:t>9.安全教育：</w:t>
      </w:r>
      <w:r>
        <w:rPr>
          <w:rFonts w:hint="eastAsia" w:ascii="宋体" w:hAnsi="宋体" w:eastAsia="宋体" w:cs="宋体"/>
          <w:sz w:val="24"/>
          <w:szCs w:val="24"/>
        </w:rPr>
        <w:t>医院内部安全隐患检查，排除及上报；违规纠正；有针对性地开展安全教育和提示。</w:t>
      </w:r>
    </w:p>
    <w:p w14:paraId="091B3859">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10.临时替换人员到岗要求：保安人员工作不到位，被辞退后，替换保安人员须保证在3个工作日内上岗。</w:t>
      </w:r>
    </w:p>
    <w:p w14:paraId="2655416F">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sz w:val="24"/>
          <w:szCs w:val="24"/>
        </w:rPr>
      </w:pPr>
      <w:r>
        <w:rPr>
          <w:rFonts w:hint="eastAsia" w:ascii="宋体" w:hAnsi="宋体" w:eastAsia="宋体" w:cs="宋体"/>
          <w:sz w:val="24"/>
          <w:szCs w:val="24"/>
        </w:rPr>
        <w:t>11.其他应由保安人员完成的职责。</w:t>
      </w:r>
    </w:p>
    <w:p w14:paraId="24B7F102">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bookmarkStart w:id="28" w:name="_Toc377588316"/>
      <w:bookmarkStart w:id="29" w:name="_Toc380592951"/>
      <w:bookmarkStart w:id="30" w:name="_Toc441493111"/>
      <w:r>
        <w:rPr>
          <w:rFonts w:hint="eastAsia" w:ascii="宋体" w:hAnsi="宋体" w:eastAsia="宋体" w:cs="宋体"/>
          <w:b/>
          <w:sz w:val="24"/>
          <w:szCs w:val="24"/>
        </w:rPr>
        <w:t>三、投标人内部管理体系要求</w:t>
      </w:r>
      <w:bookmarkEnd w:id="28"/>
      <w:bookmarkEnd w:id="29"/>
      <w:bookmarkEnd w:id="30"/>
    </w:p>
    <w:p w14:paraId="6815C6C2">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b/>
          <w:sz w:val="24"/>
          <w:szCs w:val="24"/>
        </w:rPr>
      </w:pPr>
      <w:r>
        <w:rPr>
          <w:rFonts w:hint="eastAsia" w:ascii="宋体" w:hAnsi="宋体" w:eastAsia="宋体" w:cs="宋体"/>
          <w:b/>
          <w:sz w:val="24"/>
          <w:szCs w:val="24"/>
        </w:rPr>
        <w:t>（1）服务标准</w:t>
      </w:r>
    </w:p>
    <w:p w14:paraId="330C1826">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1.《保安工作人员职责》《保安交接班制度》《保安队伍例会制度》《队伍常态化管理》《保安员义务消防队方案》《保安员突发事件预案》《队伍培训管理方案》《队伍绩效考核管理》《保安员等级考核管理制度》等；</w:t>
      </w:r>
    </w:p>
    <w:p w14:paraId="75BAFD7E">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2.《医院保安考核细则》</w:t>
      </w:r>
    </w:p>
    <w:p w14:paraId="0EFD8C8A">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3.桐庐县政府有关保安文明服务要求的规定</w:t>
      </w:r>
    </w:p>
    <w:p w14:paraId="20BC327B">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b/>
          <w:sz w:val="24"/>
          <w:szCs w:val="24"/>
        </w:rPr>
      </w:pPr>
      <w:r>
        <w:rPr>
          <w:rFonts w:hint="eastAsia" w:ascii="宋体" w:hAnsi="宋体" w:eastAsia="宋体" w:cs="宋体"/>
          <w:b/>
          <w:sz w:val="24"/>
          <w:szCs w:val="24"/>
        </w:rPr>
        <w:t>（2）服务目标</w:t>
      </w:r>
    </w:p>
    <w:p w14:paraId="76A14FF1">
      <w:pPr>
        <w:keepNext w:val="0"/>
        <w:keepLines w:val="0"/>
        <w:pageBreakBefore w:val="0"/>
        <w:kinsoku/>
        <w:overflowPunct/>
        <w:autoSpaceDE/>
        <w:autoSpaceDN/>
        <w:bidi w:val="0"/>
        <w:snapToGrid/>
        <w:spacing w:beforeLines="0" w:afterLines="0" w:line="440" w:lineRule="exact"/>
        <w:ind w:firstLine="420"/>
        <w:outlineLvl w:val="0"/>
        <w:rPr>
          <w:rFonts w:hint="eastAsia" w:ascii="宋体" w:hAnsi="宋体" w:eastAsia="宋体" w:cs="宋体"/>
          <w:sz w:val="24"/>
          <w:szCs w:val="24"/>
        </w:rPr>
      </w:pPr>
      <w:r>
        <w:rPr>
          <w:rFonts w:hint="eastAsia" w:ascii="宋体" w:hAnsi="宋体" w:eastAsia="宋体" w:cs="宋体"/>
          <w:b/>
          <w:sz w:val="24"/>
          <w:szCs w:val="24"/>
        </w:rPr>
        <w:t xml:space="preserve"> </w:t>
      </w:r>
      <w:bookmarkStart w:id="31" w:name="_Toc377916665"/>
      <w:bookmarkStart w:id="32" w:name="_Toc441493112"/>
      <w:bookmarkStart w:id="33" w:name="_Toc380592952"/>
      <w:bookmarkStart w:id="34" w:name="_Toc377588317"/>
      <w:bookmarkStart w:id="35" w:name="_Toc377915722"/>
      <w:bookmarkStart w:id="36" w:name="_Toc377595893"/>
      <w:r>
        <w:rPr>
          <w:rFonts w:hint="eastAsia" w:ascii="宋体" w:hAnsi="宋体" w:eastAsia="宋体" w:cs="宋体"/>
          <w:sz w:val="24"/>
          <w:szCs w:val="24"/>
        </w:rPr>
        <w:t>1.达到《医院保安考核细则》</w:t>
      </w:r>
      <w:bookmarkEnd w:id="31"/>
      <w:bookmarkEnd w:id="32"/>
      <w:bookmarkEnd w:id="33"/>
      <w:bookmarkEnd w:id="34"/>
      <w:bookmarkEnd w:id="35"/>
      <w:bookmarkEnd w:id="36"/>
    </w:p>
    <w:p w14:paraId="1AA0C3F3">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2.达到桐庐县政府有关保安文明服务要求的规定要求</w:t>
      </w:r>
    </w:p>
    <w:p w14:paraId="5811060E">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w:t>
      </w:r>
      <w:bookmarkStart w:id="37" w:name="_Toc377588318"/>
      <w:bookmarkStart w:id="38" w:name="_Toc441493113"/>
      <w:bookmarkStart w:id="39" w:name="_Toc377916666"/>
      <w:bookmarkStart w:id="40" w:name="_Toc377595894"/>
      <w:bookmarkStart w:id="41" w:name="_Toc377915723"/>
      <w:bookmarkStart w:id="42" w:name="_Toc380592953"/>
      <w:r>
        <w:rPr>
          <w:rFonts w:hint="eastAsia" w:ascii="宋体" w:hAnsi="宋体" w:eastAsia="宋体" w:cs="宋体"/>
          <w:sz w:val="24"/>
          <w:szCs w:val="24"/>
        </w:rPr>
        <w:t>3.达到二级</w:t>
      </w:r>
      <w:r>
        <w:rPr>
          <w:rFonts w:hint="eastAsia" w:ascii="宋体" w:hAnsi="宋体" w:eastAsia="宋体" w:cs="宋体"/>
          <w:sz w:val="24"/>
          <w:szCs w:val="24"/>
          <w:lang w:val="en-US" w:eastAsia="zh-CN"/>
        </w:rPr>
        <w:t>甲</w:t>
      </w:r>
      <w:r>
        <w:rPr>
          <w:rFonts w:hint="eastAsia" w:ascii="宋体" w:hAnsi="宋体" w:eastAsia="宋体" w:cs="宋体"/>
          <w:sz w:val="24"/>
          <w:szCs w:val="24"/>
        </w:rPr>
        <w:t>等以上医院的保安服务标准</w:t>
      </w:r>
      <w:bookmarkEnd w:id="37"/>
      <w:bookmarkEnd w:id="38"/>
      <w:bookmarkEnd w:id="39"/>
      <w:bookmarkEnd w:id="40"/>
      <w:bookmarkEnd w:id="41"/>
      <w:bookmarkEnd w:id="42"/>
    </w:p>
    <w:p w14:paraId="1136AC32">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b/>
          <w:sz w:val="24"/>
          <w:szCs w:val="24"/>
        </w:rPr>
      </w:pPr>
      <w:r>
        <w:rPr>
          <w:rFonts w:hint="eastAsia" w:ascii="宋体" w:hAnsi="宋体" w:eastAsia="宋体" w:cs="宋体"/>
          <w:b/>
          <w:sz w:val="24"/>
          <w:szCs w:val="24"/>
        </w:rPr>
        <w:t>（3）队伍内部建设与管理</w:t>
      </w:r>
    </w:p>
    <w:p w14:paraId="635CA1E9">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1.投标人负责提供进驻保安人员执勤所需的装备，器材，通讯设备，常用办公耗材；</w:t>
      </w:r>
    </w:p>
    <w:p w14:paraId="10E25060">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2.投标人必须采取切实有效措施保持保安队伍的稳定，严格控制非违纪人员轮换岗比例，</w:t>
      </w:r>
      <w:r>
        <w:rPr>
          <w:rFonts w:hint="eastAsia" w:ascii="宋体" w:hAnsi="宋体" w:eastAsia="宋体" w:cs="宋体"/>
          <w:sz w:val="24"/>
          <w:szCs w:val="24"/>
          <w:u w:val="single"/>
        </w:rPr>
        <w:t>合同期限内轮换岗保安人数不得超过合同编制的50%</w:t>
      </w:r>
      <w:r>
        <w:rPr>
          <w:rFonts w:hint="eastAsia" w:ascii="宋体" w:hAnsi="宋体" w:eastAsia="宋体" w:cs="宋体"/>
          <w:sz w:val="24"/>
          <w:szCs w:val="24"/>
        </w:rPr>
        <w:t xml:space="preserve">；保安队伍主要管理员更换，应提前一个月以书面形式通知招标人，其他队员更换要提前三天告知招标人；确保服务质量不因人员变动而受影响； </w:t>
      </w:r>
    </w:p>
    <w:p w14:paraId="34FD71C9">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3.保安应聘，录用，离职等管理档案规范，手续齐全。</w:t>
      </w:r>
    </w:p>
    <w:p w14:paraId="0EE0EAD8">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4.投标人必须信守承包承诺，认真落实具有相应的固定服务人员，服务人员必须统一穿着工作服，挂牌上岗，并建立健全管理制度。</w:t>
      </w:r>
    </w:p>
    <w:p w14:paraId="2C791D0F">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u w:val="single"/>
        </w:rPr>
      </w:pPr>
      <w:r>
        <w:rPr>
          <w:rFonts w:hint="eastAsia" w:ascii="宋体" w:hAnsi="宋体" w:eastAsia="宋体" w:cs="宋体"/>
          <w:sz w:val="24"/>
          <w:szCs w:val="24"/>
          <w:u w:val="single"/>
        </w:rPr>
        <w:t xml:space="preserve"> 5.在服务期内承包人员遇到医院各类检查（如上级部门来院检查等）及突发事件时，中标人应无条件加班服从招标人安排，费用</w:t>
      </w:r>
      <w:r>
        <w:rPr>
          <w:rFonts w:hint="eastAsia" w:ascii="宋体" w:hAnsi="宋体" w:eastAsia="宋体" w:cs="宋体"/>
          <w:spacing w:val="-6"/>
          <w:sz w:val="24"/>
          <w:szCs w:val="24"/>
          <w:u w:val="single"/>
        </w:rPr>
        <w:t>由中标人与甲方另行协商处理。</w:t>
      </w:r>
    </w:p>
    <w:p w14:paraId="50A22C39">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6.中标人必须对员工发生的事故责任以及员工身体健康等承担责任；同时对员工在院内做出不良行为给医院造成影响承担责任。</w:t>
      </w:r>
    </w:p>
    <w:p w14:paraId="288920EC">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7.中标人须缴纳员工必要的社会保险</w:t>
      </w:r>
      <w:r>
        <w:rPr>
          <w:rFonts w:hint="eastAsia" w:ascii="宋体" w:hAnsi="宋体" w:eastAsia="宋体" w:cs="宋体"/>
          <w:spacing w:val="-6"/>
          <w:sz w:val="24"/>
          <w:szCs w:val="24"/>
          <w:u w:val="single"/>
        </w:rPr>
        <w:t>（包括养老、医疗、工伤、生育险、失业保险等）</w:t>
      </w:r>
      <w:r>
        <w:rPr>
          <w:rFonts w:hint="eastAsia" w:ascii="宋体" w:hAnsi="宋体" w:eastAsia="宋体" w:cs="宋体"/>
          <w:sz w:val="24"/>
          <w:szCs w:val="24"/>
        </w:rPr>
        <w:t>。</w:t>
      </w:r>
    </w:p>
    <w:p w14:paraId="036F3F09">
      <w:pPr>
        <w:keepNext w:val="0"/>
        <w:keepLines w:val="0"/>
        <w:pageBreakBefore w:val="0"/>
        <w:kinsoku/>
        <w:overflowPunct/>
        <w:autoSpaceDE/>
        <w:autoSpaceDN/>
        <w:bidi w:val="0"/>
        <w:snapToGrid/>
        <w:spacing w:beforeLines="0" w:afterLines="0" w:line="440" w:lineRule="exact"/>
        <w:ind w:firstLine="420"/>
        <w:outlineLvl w:val="0"/>
        <w:rPr>
          <w:rFonts w:hint="eastAsia" w:ascii="宋体" w:hAnsi="宋体" w:eastAsia="宋体" w:cs="宋体"/>
          <w:b/>
          <w:sz w:val="24"/>
          <w:szCs w:val="24"/>
        </w:rPr>
      </w:pPr>
      <w:bookmarkStart w:id="43" w:name="_Toc377588319"/>
      <w:bookmarkStart w:id="44" w:name="_Toc377915724"/>
      <w:bookmarkStart w:id="45" w:name="_Toc441493114"/>
      <w:bookmarkStart w:id="46" w:name="_Toc380592954"/>
      <w:bookmarkStart w:id="47" w:name="_Toc377595895"/>
      <w:bookmarkStart w:id="48" w:name="_Toc377916667"/>
      <w:r>
        <w:rPr>
          <w:rFonts w:hint="eastAsia" w:ascii="宋体" w:hAnsi="宋体" w:eastAsia="宋体" w:cs="宋体"/>
          <w:b/>
          <w:sz w:val="24"/>
          <w:szCs w:val="24"/>
        </w:rPr>
        <w:t>（4）工作衔接要求</w:t>
      </w:r>
      <w:bookmarkEnd w:id="43"/>
      <w:bookmarkEnd w:id="44"/>
      <w:bookmarkEnd w:id="45"/>
      <w:bookmarkEnd w:id="46"/>
      <w:bookmarkEnd w:id="47"/>
      <w:bookmarkEnd w:id="48"/>
    </w:p>
    <w:p w14:paraId="52996ECD">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1.根据行业服务标准与医院规定要求，独立运作，落实医院安全保卫整体方案，并结合医院实际在实践中不断完善；</w:t>
      </w:r>
    </w:p>
    <w:p w14:paraId="6F9BCC5C">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2保安队长（项目经理）须与医院保卫科保持必要的工作交流，每星期一次向医院保卫科汇报保安工作开展情况及信息反馈，重大情况需及时报告；</w:t>
      </w:r>
    </w:p>
    <w:p w14:paraId="4362ED02">
      <w:pPr>
        <w:keepNext w:val="0"/>
        <w:keepLines w:val="0"/>
        <w:pageBreakBefore w:val="0"/>
        <w:kinsoku/>
        <w:overflowPunct/>
        <w:autoSpaceDE/>
        <w:autoSpaceDN/>
        <w:bidi w:val="0"/>
        <w:snapToGrid/>
        <w:spacing w:beforeLines="0" w:afterLines="0" w:line="440" w:lineRule="exact"/>
        <w:ind w:firstLine="420"/>
        <w:outlineLvl w:val="0"/>
        <w:rPr>
          <w:rFonts w:hint="eastAsia" w:ascii="宋体" w:hAnsi="宋体" w:eastAsia="宋体" w:cs="宋体"/>
          <w:sz w:val="24"/>
          <w:szCs w:val="24"/>
        </w:rPr>
      </w:pPr>
      <w:r>
        <w:rPr>
          <w:rFonts w:hint="eastAsia" w:ascii="宋体" w:hAnsi="宋体" w:eastAsia="宋体" w:cs="宋体"/>
          <w:sz w:val="24"/>
          <w:szCs w:val="24"/>
        </w:rPr>
        <w:t xml:space="preserve">  </w:t>
      </w:r>
      <w:bookmarkStart w:id="49" w:name="_Toc377595896"/>
      <w:bookmarkStart w:id="50" w:name="_Toc377916668"/>
      <w:bookmarkStart w:id="51" w:name="_Toc377915725"/>
      <w:bookmarkStart w:id="52" w:name="_Toc441493115"/>
      <w:bookmarkStart w:id="53" w:name="_Toc377588320"/>
      <w:bookmarkStart w:id="54" w:name="_Toc380592955"/>
      <w:r>
        <w:rPr>
          <w:rFonts w:hint="eastAsia" w:ascii="宋体" w:hAnsi="宋体" w:eastAsia="宋体" w:cs="宋体"/>
          <w:sz w:val="24"/>
          <w:szCs w:val="24"/>
        </w:rPr>
        <w:t>3.做好详细的执勤记录，原始台账保存完好，以备核查；</w:t>
      </w:r>
      <w:bookmarkEnd w:id="49"/>
      <w:bookmarkEnd w:id="50"/>
      <w:bookmarkEnd w:id="51"/>
      <w:bookmarkEnd w:id="52"/>
      <w:bookmarkEnd w:id="53"/>
      <w:bookmarkEnd w:id="54"/>
    </w:p>
    <w:p w14:paraId="05E63B42">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4.协同医院治安协防组织，形成群防群治体系；</w:t>
      </w:r>
    </w:p>
    <w:p w14:paraId="54446F74">
      <w:pPr>
        <w:keepNext w:val="0"/>
        <w:keepLines w:val="0"/>
        <w:pageBreakBefore w:val="0"/>
        <w:kinsoku/>
        <w:overflowPunct/>
        <w:autoSpaceDE/>
        <w:autoSpaceDN/>
        <w:bidi w:val="0"/>
        <w:snapToGrid/>
        <w:spacing w:beforeLines="0" w:afterLines="0" w:line="440" w:lineRule="exact"/>
        <w:ind w:firstLine="420"/>
        <w:rPr>
          <w:rFonts w:hint="eastAsia" w:ascii="宋体" w:hAnsi="宋体" w:eastAsia="宋体" w:cs="宋体"/>
          <w:sz w:val="24"/>
          <w:szCs w:val="24"/>
        </w:rPr>
      </w:pPr>
      <w:r>
        <w:rPr>
          <w:rFonts w:hint="eastAsia" w:ascii="宋体" w:hAnsi="宋体" w:eastAsia="宋体" w:cs="宋体"/>
          <w:sz w:val="24"/>
          <w:szCs w:val="24"/>
        </w:rPr>
        <w:t xml:space="preserve">  5.与当地派出所，综治办加强合作与交流。 </w:t>
      </w:r>
    </w:p>
    <w:p w14:paraId="354030EA">
      <w:pPr>
        <w:keepNext w:val="0"/>
        <w:keepLines w:val="0"/>
        <w:pageBreakBefore w:val="0"/>
        <w:kinsoku/>
        <w:overflowPunct/>
        <w:autoSpaceDE/>
        <w:autoSpaceDN/>
        <w:bidi w:val="0"/>
        <w:snapToGrid/>
        <w:spacing w:beforeLines="0" w:afterLines="0" w:line="440" w:lineRule="exact"/>
        <w:ind w:firstLine="435"/>
        <w:rPr>
          <w:rFonts w:hint="eastAsia" w:ascii="宋体" w:hAnsi="宋体" w:eastAsia="宋体" w:cs="宋体"/>
          <w:b/>
          <w:sz w:val="24"/>
          <w:szCs w:val="24"/>
        </w:rPr>
      </w:pPr>
      <w:bookmarkStart w:id="55" w:name="_Toc380592956"/>
      <w:bookmarkStart w:id="56" w:name="_Toc377588321"/>
      <w:bookmarkStart w:id="57" w:name="_Toc441493116"/>
      <w:r>
        <w:rPr>
          <w:rFonts w:hint="eastAsia" w:ascii="宋体" w:hAnsi="宋体" w:eastAsia="宋体" w:cs="宋体"/>
          <w:b/>
          <w:sz w:val="24"/>
          <w:szCs w:val="24"/>
        </w:rPr>
        <w:t>四、招标人对保安服务的考核</w:t>
      </w:r>
      <w:bookmarkEnd w:id="55"/>
      <w:bookmarkEnd w:id="56"/>
      <w:bookmarkEnd w:id="57"/>
    </w:p>
    <w:p w14:paraId="37A6FD1F">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（1）日常督查考核由医院将对保安服务质量进行不定期检查，中标人日常不到位，不达标，或有违约现象，将依据合同约定，在下次结算承包款时做出相应的违约处理与处罚。 </w:t>
      </w:r>
    </w:p>
    <w:p w14:paraId="33FEDC43">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（2）医院每月对保安服务质量征求医院员工和病员的意见，并由医院派二人以上参加考核，考核前通知乙方(保安方)，并由保安方派一人共同参加考核。通过现场抽签决定本次考核地点。 </w:t>
      </w:r>
    </w:p>
    <w:p w14:paraId="61BE8B37">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（3）中标人违反国家相关法规，与聘用人员发生纠纷，均由中标人负责调解与处理，招标人不承担责任。</w:t>
      </w:r>
    </w:p>
    <w:p w14:paraId="66301A7F">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（4）通过上级部门的有关保安考核或上级部门有关保安方面的嘉奖，在值班期间抓获违法犯罪人员，发生突发事件保安人员处理得当，次月给予保安奖励。</w:t>
      </w:r>
    </w:p>
    <w:p w14:paraId="0D8F629B">
      <w:pPr>
        <w:keepNext w:val="0"/>
        <w:keepLines w:val="0"/>
        <w:pageBreakBefore w:val="0"/>
        <w:kinsoku/>
        <w:overflowPunct/>
        <w:autoSpaceDE/>
        <w:autoSpaceDN/>
        <w:bidi w:val="0"/>
        <w:snapToGrid/>
        <w:spacing w:beforeLines="0" w:afterLines="0" w:line="440" w:lineRule="exact"/>
        <w:rPr>
          <w:rFonts w:hint="eastAsia" w:ascii="宋体" w:hAnsi="宋体" w:eastAsia="宋体" w:cs="宋体"/>
          <w:b/>
          <w:sz w:val="24"/>
          <w:szCs w:val="24"/>
        </w:rPr>
      </w:pPr>
      <w:bookmarkStart w:id="58" w:name="_Toc380592957"/>
      <w:bookmarkStart w:id="59" w:name="_Toc441493117"/>
      <w:r>
        <w:rPr>
          <w:rFonts w:hint="eastAsia" w:ascii="宋体" w:hAnsi="宋体" w:eastAsia="宋体" w:cs="宋体"/>
          <w:b/>
          <w:sz w:val="24"/>
          <w:szCs w:val="24"/>
        </w:rPr>
        <w:t>五、总体管理要求</w:t>
      </w:r>
      <w:bookmarkEnd w:id="58"/>
      <w:bookmarkEnd w:id="59"/>
      <w:r>
        <w:rPr>
          <w:rFonts w:hint="eastAsia" w:ascii="宋体" w:hAnsi="宋体" w:eastAsia="宋体" w:cs="宋体"/>
          <w:b/>
          <w:sz w:val="24"/>
          <w:szCs w:val="24"/>
        </w:rPr>
        <w:t xml:space="preserve"> </w:t>
      </w:r>
    </w:p>
    <w:p w14:paraId="0FA94B7C">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1、中标方须认真履行职责，严格按标书要求及承包协议中的质量保证体系做好院内的保安服务工作。确保保安人员在岗在位，各尽其职，保证符合各项服务的质量标准，确保在岗人数和服务时间，各岗位班次及人数符合招投标及合同规定，班次及人数不得随意更改，如特殊情况需要更改时，须征得院方同意。如安排不当，人员不能到位影响医院正常工作的，每发现一次，按次扣除每人200元，如无证上岗，每发现一次，按次扣除每人500元，在次月初支付月合同费时结清。</w:t>
      </w:r>
    </w:p>
    <w:p w14:paraId="3068A3F2">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考核标准：医院制定详细的考核细则，每月对保安服务进行考核，主要从服务态度、工作效果、在职在岗情况、制度执行情况、病员及医务人员的满意度、服务质量等几方面进行考核；考核满分为100分，90分以上视为合格，低于90分，每下降一分扣除当月服务费100元，以此类推。</w:t>
      </w:r>
    </w:p>
    <w:p w14:paraId="3E5B9C95">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3、中标方必须对上岗人员按规定进行体检、岗位培训等，并对上岗人员定期进行职业道德教育，教育其端正服务态度、提高服务质量、遵守院方的各项规章制度及工作规范，维护医院形象，服从所在科室主任、护士长领导。对不遵守劳动纪律、有病人投诉、收受病人钱物、索取护工介绍费的员工，经查实后酌情处罚，情节严重的院方有权辞退或移交司法机关处理。</w:t>
      </w:r>
    </w:p>
    <w:p w14:paraId="2BBBC68C">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4、中标方须在医院内设立专职行政管理处，根据招标要求，制定各项行政管理制度和岗位职责，由公司派专职督导人员每日进行现场管理，落实好各项制度和职责。</w:t>
      </w:r>
    </w:p>
    <w:p w14:paraId="61C894A5">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5、公司员工不谈论与病人隐私、病情、治疗相关话题。上班时间不得私自对病人提供有偿服务，严禁向病人索要、收受礼物及小费，对病人遗忘的物品发现后须及时上交或归还失主(有详细登记及院方证明人)。不得与病人及家属吵架，严禁在院内大声喧哗、聚众聊天。不得在院内干私活，晾晒私人衣服等。严禁在院内吸烟、喝酒。</w:t>
      </w:r>
    </w:p>
    <w:p w14:paraId="013A3FC8">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6、中标方所有员工上班期间必须统一着装，自用车辆须按指定地点停放。各种保安用具规范放置，正确使用，符合院感要求。公共走廊、大厅及管理区域内不得有长明灯(特殊区域除外)、长流水现象。</w:t>
      </w:r>
    </w:p>
    <w:p w14:paraId="24D0BF6D">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7、中标方所有员工必须严格遵守医院的各项规章制度,对各病区科室各种纸箱等各类回收物品，按院方规定进行处理,不得私自出卖或各处存放。未经院方同意,不得私自使用大功率的电器用品。</w:t>
      </w:r>
    </w:p>
    <w:p w14:paraId="653391AF">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8、各项工作严格按《浙江省等级医院评审标准》（三级医院管理标准）及《全省治安保卫重点单位安全防范量化评估标准》的相关条款执行，视执行情况纳入考核评分；做好台账资料准备工作。</w:t>
      </w:r>
    </w:p>
    <w:p w14:paraId="4E0CB17A">
      <w:pPr>
        <w:keepNext w:val="0"/>
        <w:keepLines w:val="0"/>
        <w:pageBreakBefore w:val="0"/>
        <w:kinsoku/>
        <w:overflowPunct/>
        <w:autoSpaceDE/>
        <w:autoSpaceDN/>
        <w:bidi w:val="0"/>
        <w:snapToGrid/>
        <w:spacing w:beforeLines="0" w:afterLines="0" w:line="440" w:lineRule="exact"/>
        <w:ind w:firstLine="720" w:firstLineChars="300"/>
        <w:rPr>
          <w:rFonts w:hint="eastAsia" w:ascii="宋体" w:hAnsi="宋体" w:eastAsia="宋体" w:cs="宋体"/>
          <w:sz w:val="24"/>
          <w:szCs w:val="24"/>
        </w:rPr>
      </w:pPr>
      <w:r>
        <w:rPr>
          <w:rFonts w:hint="eastAsia" w:ascii="宋体" w:hAnsi="宋体" w:eastAsia="宋体" w:cs="宋体"/>
          <w:sz w:val="24"/>
          <w:szCs w:val="24"/>
          <w:u w:val="single"/>
        </w:rPr>
        <w:t>9、日常保卫过程中如发现医院的设施设备等存在故障或安全隐患等情况时应及时上报。</w:t>
      </w:r>
    </w:p>
    <w:p w14:paraId="763D9705">
      <w:pPr>
        <w:keepNext w:val="0"/>
        <w:keepLines w:val="0"/>
        <w:pageBreakBefore w:val="0"/>
        <w:kinsoku/>
        <w:overflowPunct/>
        <w:autoSpaceDE/>
        <w:autoSpaceDN/>
        <w:bidi w:val="0"/>
        <w:snapToGrid/>
        <w:spacing w:beforeLines="0" w:afterLines="0" w:line="440" w:lineRule="exact"/>
        <w:rPr>
          <w:rFonts w:hint="eastAsia" w:ascii="宋体" w:hAnsi="宋体" w:eastAsia="宋体" w:cs="宋体"/>
          <w:b/>
          <w:sz w:val="24"/>
          <w:szCs w:val="24"/>
        </w:rPr>
      </w:pPr>
      <w:r>
        <w:rPr>
          <w:rFonts w:hint="eastAsia" w:ascii="宋体" w:hAnsi="宋体" w:eastAsia="宋体" w:cs="宋体"/>
          <w:b/>
          <w:sz w:val="24"/>
          <w:szCs w:val="24"/>
        </w:rPr>
        <w:t>六、报价要求</w:t>
      </w:r>
    </w:p>
    <w:p w14:paraId="4A69CC88">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供应商应根据采购项目内容要求确定投标报价。包括安全生产费、公告费、评审费、税费及其他等一切费用，如有漏项，视同已包含在项目中，费用不调整。</w:t>
      </w:r>
    </w:p>
    <w:p w14:paraId="2379AC1B">
      <w:pPr>
        <w:keepNext w:val="0"/>
        <w:keepLines w:val="0"/>
        <w:pageBreakBefore w:val="0"/>
        <w:kinsoku/>
        <w:overflowPunct/>
        <w:autoSpaceDE/>
        <w:autoSpaceDN/>
        <w:bidi w:val="0"/>
        <w:snapToGrid/>
        <w:spacing w:beforeLines="0" w:afterLines="0" w:line="440" w:lineRule="exact"/>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、服务期</w:t>
      </w:r>
    </w:p>
    <w:p w14:paraId="147BFFCB">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自合同签订之日起至服务期满一年。</w:t>
      </w:r>
    </w:p>
    <w:p w14:paraId="48487DA3">
      <w:pPr>
        <w:keepNext w:val="0"/>
        <w:keepLines w:val="0"/>
        <w:pageBreakBefore w:val="0"/>
        <w:kinsoku/>
        <w:overflowPunct/>
        <w:autoSpaceDE/>
        <w:autoSpaceDN/>
        <w:bidi w:val="0"/>
        <w:snapToGrid/>
        <w:spacing w:beforeLines="0" w:afterLines="0"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付款方式</w:t>
      </w:r>
    </w:p>
    <w:p w14:paraId="7D856E5B">
      <w:pPr>
        <w:keepNext w:val="0"/>
        <w:keepLines w:val="0"/>
        <w:pageBreakBefore w:val="0"/>
        <w:kinsoku/>
        <w:overflowPunct/>
        <w:autoSpaceDE/>
        <w:autoSpaceDN/>
        <w:bidi w:val="0"/>
        <w:snapToGrid/>
        <w:spacing w:beforeLines="0" w:afterLines="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分期支付、按季度结算。</w:t>
      </w:r>
    </w:p>
    <w:p w14:paraId="4A0E2524">
      <w:pPr>
        <w:keepNext w:val="0"/>
        <w:keepLines w:val="0"/>
        <w:pageBreakBefore w:val="0"/>
        <w:kinsoku/>
        <w:overflowPunct/>
        <w:autoSpaceDE/>
        <w:autoSpaceDN/>
        <w:bidi w:val="0"/>
        <w:snapToGrid/>
        <w:spacing w:beforeLines="0" w:afterLines="0" w:line="440" w:lineRule="exact"/>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w:t>
      </w:r>
      <w:r>
        <w:rPr>
          <w:rFonts w:hint="eastAsia" w:ascii="宋体" w:hAnsi="宋体" w:eastAsia="宋体" w:cs="宋体"/>
          <w:b/>
          <w:color w:val="auto"/>
          <w:sz w:val="24"/>
          <w:szCs w:val="24"/>
          <w:highlight w:val="none"/>
        </w:rPr>
        <w:t>履约保证金</w:t>
      </w:r>
    </w:p>
    <w:p w14:paraId="38D381E7">
      <w:pPr>
        <w:keepNext w:val="0"/>
        <w:keepLines w:val="0"/>
        <w:pageBreakBefore w:val="0"/>
        <w:kinsoku/>
        <w:overflowPunct/>
        <w:autoSpaceDE/>
        <w:autoSpaceDN/>
        <w:bidi w:val="0"/>
        <w:snapToGrid/>
        <w:spacing w:beforeLines="0" w:afterLines="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本项目无需缴纳履约保证金。</w:t>
      </w:r>
    </w:p>
    <w:p w14:paraId="0A65C0FD">
      <w:pPr>
        <w:keepNext w:val="0"/>
        <w:keepLines w:val="0"/>
        <w:pageBreakBefore w:val="0"/>
        <w:kinsoku/>
        <w:overflowPunct/>
        <w:autoSpaceDE/>
        <w:autoSpaceDN/>
        <w:bidi w:val="0"/>
        <w:snapToGrid/>
        <w:spacing w:beforeLines="0" w:afterLines="0" w:line="440" w:lineRule="exact"/>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、转让和分包</w:t>
      </w:r>
    </w:p>
    <w:p w14:paraId="02841679">
      <w:pPr>
        <w:keepNext w:val="0"/>
        <w:keepLines w:val="0"/>
        <w:pageBreakBefore w:val="0"/>
        <w:kinsoku/>
        <w:overflowPunct/>
        <w:autoSpaceDE/>
        <w:autoSpaceDN/>
        <w:bidi w:val="0"/>
        <w:snapToGrid/>
        <w:spacing w:beforeLines="0" w:afterLines="0" w:line="440" w:lineRule="exact"/>
        <w:rPr>
          <w:rFonts w:hint="eastAsia" w:ascii="宋体" w:hAnsi="宋体" w:eastAsia="宋体" w:cs="宋体"/>
          <w:sz w:val="24"/>
          <w:szCs w:val="24"/>
          <w:lang w:val="en-US" w:eastAsia="zh-CN"/>
        </w:rPr>
        <w:sectPr>
          <w:headerReference r:id="rId8" w:type="default"/>
          <w:footerReference r:id="rId9" w:type="default"/>
          <w:pgSz w:w="11906" w:h="16838"/>
          <w:pgMar w:top="1418" w:right="1418" w:bottom="1418" w:left="1588" w:header="851" w:footer="992" w:gutter="0"/>
          <w:cols w:space="0" w:num="1"/>
          <w:docGrid w:linePitch="312" w:charSpace="0"/>
        </w:sectPr>
      </w:pPr>
      <w:r>
        <w:rPr>
          <w:rFonts w:hint="eastAsia" w:ascii="宋体" w:hAnsi="宋体" w:eastAsia="宋体" w:cs="宋体"/>
          <w:sz w:val="24"/>
          <w:szCs w:val="24"/>
        </w:rPr>
        <w:t>本项目不得以任何形式进行转包及分包。</w:t>
      </w:r>
    </w:p>
    <w:p w14:paraId="7D18B210">
      <w:pPr>
        <w:keepNext w:val="0"/>
        <w:keepLines w:val="0"/>
        <w:pageBreakBefore w:val="0"/>
        <w:widowControl w:val="0"/>
        <w:kinsoku/>
        <w:wordWrap w:val="0"/>
        <w:overflowPunct/>
        <w:topLinePunct/>
        <w:autoSpaceDE/>
        <w:autoSpaceDN/>
        <w:bidi w:val="0"/>
        <w:spacing w:line="440" w:lineRule="exact"/>
        <w:ind w:firstLine="723" w:firstLineChars="200"/>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0" w:name="_Toc184314462"/>
      <w:bookmarkEnd w:id="60"/>
      <w:bookmarkStart w:id="61" w:name="_Toc184310287"/>
      <w:bookmarkEnd w:id="61"/>
      <w:bookmarkStart w:id="62" w:name="_Toc184308071"/>
      <w:bookmarkEnd w:id="62"/>
      <w:bookmarkStart w:id="63" w:name="_Toc184308075"/>
      <w:bookmarkEnd w:id="63"/>
      <w:bookmarkStart w:id="64" w:name="_Toc184312084"/>
      <w:bookmarkEnd w:id="64"/>
      <w:bookmarkStart w:id="65" w:name="_Toc184314447"/>
      <w:bookmarkEnd w:id="65"/>
      <w:bookmarkStart w:id="66" w:name="_Toc184308061"/>
      <w:bookmarkEnd w:id="66"/>
      <w:bookmarkStart w:id="67" w:name="_Toc184312115"/>
      <w:bookmarkEnd w:id="67"/>
      <w:bookmarkStart w:id="68" w:name="_Toc184313263"/>
      <w:bookmarkEnd w:id="68"/>
      <w:bookmarkStart w:id="69" w:name="_Toc184314437"/>
      <w:bookmarkEnd w:id="69"/>
      <w:bookmarkStart w:id="70" w:name="_Toc184310278"/>
      <w:bookmarkEnd w:id="70"/>
      <w:bookmarkStart w:id="71" w:name="_Toc184313291"/>
      <w:bookmarkEnd w:id="71"/>
      <w:bookmarkStart w:id="72" w:name="_Toc184308085"/>
      <w:bookmarkEnd w:id="72"/>
      <w:bookmarkStart w:id="73" w:name="_Toc184308039"/>
      <w:bookmarkEnd w:id="73"/>
      <w:bookmarkStart w:id="74" w:name="_Toc184313273"/>
      <w:bookmarkEnd w:id="74"/>
      <w:bookmarkStart w:id="75" w:name="_Toc184313256"/>
      <w:bookmarkEnd w:id="75"/>
      <w:bookmarkStart w:id="76" w:name="_Toc184314422"/>
      <w:bookmarkEnd w:id="76"/>
      <w:bookmarkStart w:id="77" w:name="_Toc184313262"/>
      <w:bookmarkEnd w:id="77"/>
      <w:bookmarkStart w:id="78" w:name="_Toc184310330"/>
      <w:bookmarkEnd w:id="78"/>
      <w:bookmarkStart w:id="79" w:name="_Toc184308094"/>
      <w:bookmarkEnd w:id="79"/>
      <w:bookmarkStart w:id="80" w:name="_Toc184310313"/>
      <w:bookmarkEnd w:id="80"/>
      <w:bookmarkStart w:id="81" w:name="_Toc184314445"/>
      <w:bookmarkEnd w:id="81"/>
      <w:bookmarkStart w:id="82" w:name="_Toc184308073"/>
      <w:bookmarkEnd w:id="82"/>
      <w:bookmarkStart w:id="83" w:name="_Toc184314482"/>
      <w:bookmarkEnd w:id="83"/>
      <w:bookmarkStart w:id="84" w:name="_Toc184308098"/>
      <w:bookmarkEnd w:id="84"/>
      <w:bookmarkStart w:id="85" w:name="_Toc184310326"/>
      <w:bookmarkEnd w:id="85"/>
      <w:bookmarkStart w:id="86" w:name="_Toc184314481"/>
      <w:bookmarkEnd w:id="86"/>
      <w:bookmarkStart w:id="87" w:name="_Toc184312072"/>
      <w:bookmarkEnd w:id="87"/>
      <w:bookmarkStart w:id="88" w:name="_Toc184313238"/>
      <w:bookmarkEnd w:id="88"/>
      <w:bookmarkStart w:id="89" w:name="_Toc184313306"/>
      <w:bookmarkEnd w:id="89"/>
      <w:bookmarkStart w:id="90" w:name="_Toc184308053"/>
      <w:bookmarkEnd w:id="90"/>
      <w:bookmarkStart w:id="91" w:name="_Toc184313259"/>
      <w:bookmarkEnd w:id="91"/>
      <w:bookmarkStart w:id="92" w:name="_Toc184314459"/>
      <w:bookmarkEnd w:id="92"/>
      <w:bookmarkStart w:id="93" w:name="_Toc184310276"/>
      <w:bookmarkEnd w:id="93"/>
      <w:bookmarkStart w:id="94" w:name="_Toc184308046"/>
      <w:bookmarkEnd w:id="94"/>
      <w:bookmarkStart w:id="95" w:name="_Toc184312129"/>
      <w:bookmarkEnd w:id="95"/>
      <w:bookmarkStart w:id="96" w:name="_Toc184313264"/>
      <w:bookmarkEnd w:id="96"/>
      <w:bookmarkStart w:id="97" w:name="_Toc184308084"/>
      <w:bookmarkEnd w:id="97"/>
      <w:bookmarkStart w:id="98" w:name="_Toc184313290"/>
      <w:bookmarkEnd w:id="98"/>
      <w:bookmarkStart w:id="99" w:name="_Toc184312095"/>
      <w:bookmarkEnd w:id="99"/>
      <w:bookmarkStart w:id="100" w:name="_Toc184314419"/>
      <w:bookmarkEnd w:id="100"/>
      <w:bookmarkStart w:id="101" w:name="_Toc184314478"/>
      <w:bookmarkEnd w:id="101"/>
      <w:bookmarkStart w:id="102" w:name="_Toc184310334"/>
      <w:bookmarkEnd w:id="102"/>
      <w:bookmarkStart w:id="103" w:name="_Toc184313285"/>
      <w:bookmarkEnd w:id="103"/>
      <w:bookmarkStart w:id="104" w:name="_Toc184310320"/>
      <w:bookmarkEnd w:id="104"/>
      <w:bookmarkStart w:id="105" w:name="_Toc184312078"/>
      <w:bookmarkEnd w:id="105"/>
      <w:bookmarkStart w:id="106" w:name="_Toc184308096"/>
      <w:bookmarkEnd w:id="106"/>
      <w:bookmarkStart w:id="107" w:name="_Toc184308054"/>
      <w:bookmarkEnd w:id="107"/>
      <w:bookmarkStart w:id="108" w:name="_Toc184308067"/>
      <w:bookmarkEnd w:id="108"/>
      <w:bookmarkStart w:id="109" w:name="_Toc184312096"/>
      <w:bookmarkEnd w:id="109"/>
      <w:bookmarkStart w:id="110" w:name="_Toc184308045"/>
      <w:bookmarkEnd w:id="110"/>
      <w:bookmarkStart w:id="111" w:name="_Toc184312090"/>
      <w:bookmarkEnd w:id="111"/>
      <w:bookmarkStart w:id="112" w:name="_Toc184313297"/>
      <w:bookmarkEnd w:id="112"/>
      <w:bookmarkStart w:id="113" w:name="_Toc184313267"/>
      <w:bookmarkEnd w:id="113"/>
      <w:bookmarkStart w:id="114" w:name="_Toc184310301"/>
      <w:bookmarkEnd w:id="114"/>
      <w:bookmarkStart w:id="115" w:name="_Toc184308106"/>
      <w:bookmarkEnd w:id="115"/>
      <w:bookmarkStart w:id="116" w:name="_Toc184308081"/>
      <w:bookmarkEnd w:id="116"/>
      <w:bookmarkStart w:id="117" w:name="_Toc184313270"/>
      <w:bookmarkEnd w:id="117"/>
      <w:bookmarkStart w:id="118" w:name="_Toc184312126"/>
      <w:bookmarkEnd w:id="118"/>
      <w:bookmarkStart w:id="119" w:name="_Toc184313292"/>
      <w:bookmarkEnd w:id="119"/>
      <w:bookmarkStart w:id="120" w:name="_Toc184312121"/>
      <w:bookmarkEnd w:id="120"/>
      <w:bookmarkStart w:id="121" w:name="_Toc184312107"/>
      <w:bookmarkEnd w:id="121"/>
      <w:bookmarkStart w:id="122" w:name="_Toc184312067"/>
      <w:bookmarkEnd w:id="122"/>
      <w:bookmarkStart w:id="123" w:name="_Toc184310332"/>
      <w:bookmarkEnd w:id="123"/>
      <w:bookmarkStart w:id="124" w:name="_Toc184313295"/>
      <w:bookmarkEnd w:id="124"/>
      <w:bookmarkStart w:id="125" w:name="_Toc184310294"/>
      <w:bookmarkEnd w:id="125"/>
      <w:bookmarkStart w:id="126" w:name="_Toc184310274"/>
      <w:bookmarkEnd w:id="126"/>
      <w:bookmarkStart w:id="127" w:name="_Toc184313281"/>
      <w:bookmarkEnd w:id="127"/>
      <w:bookmarkStart w:id="128" w:name="_Toc184312081"/>
      <w:bookmarkEnd w:id="128"/>
      <w:bookmarkStart w:id="129" w:name="_Toc184310306"/>
      <w:bookmarkEnd w:id="129"/>
      <w:bookmarkStart w:id="130" w:name="_Toc184310284"/>
      <w:bookmarkEnd w:id="130"/>
      <w:bookmarkStart w:id="131" w:name="_Toc184310307"/>
      <w:bookmarkEnd w:id="131"/>
      <w:bookmarkStart w:id="132" w:name="_Toc184313248"/>
      <w:bookmarkEnd w:id="132"/>
      <w:bookmarkStart w:id="133" w:name="_Toc184313305"/>
      <w:bookmarkEnd w:id="133"/>
      <w:bookmarkStart w:id="134" w:name="_Toc184312105"/>
      <w:bookmarkEnd w:id="134"/>
      <w:bookmarkStart w:id="135" w:name="_Toc184313280"/>
      <w:bookmarkEnd w:id="135"/>
      <w:bookmarkStart w:id="136" w:name="_Toc184313272"/>
      <w:bookmarkEnd w:id="136"/>
      <w:bookmarkStart w:id="137" w:name="_Toc184314463"/>
      <w:bookmarkEnd w:id="137"/>
      <w:bookmarkStart w:id="138" w:name="_Toc184312104"/>
      <w:bookmarkEnd w:id="138"/>
      <w:bookmarkStart w:id="139" w:name="_Toc184308077"/>
      <w:bookmarkEnd w:id="139"/>
      <w:bookmarkStart w:id="140" w:name="_Toc184312093"/>
      <w:bookmarkEnd w:id="140"/>
      <w:bookmarkStart w:id="141" w:name="_Toc184314415"/>
      <w:bookmarkEnd w:id="141"/>
      <w:bookmarkStart w:id="142" w:name="_Toc184313309"/>
      <w:bookmarkEnd w:id="142"/>
      <w:bookmarkStart w:id="143" w:name="_Toc184308099"/>
      <w:bookmarkEnd w:id="143"/>
      <w:bookmarkStart w:id="144" w:name="_Toc184313278"/>
      <w:bookmarkEnd w:id="144"/>
      <w:bookmarkStart w:id="145" w:name="_Toc184314467"/>
      <w:bookmarkEnd w:id="145"/>
      <w:bookmarkStart w:id="146" w:name="_Toc184312082"/>
      <w:bookmarkEnd w:id="146"/>
      <w:bookmarkStart w:id="147" w:name="_Toc184312097"/>
      <w:bookmarkEnd w:id="147"/>
      <w:bookmarkStart w:id="148" w:name="_Toc184310322"/>
      <w:bookmarkEnd w:id="148"/>
      <w:bookmarkStart w:id="149" w:name="_Toc184314421"/>
      <w:bookmarkEnd w:id="149"/>
      <w:bookmarkStart w:id="150" w:name="_Toc184314451"/>
      <w:bookmarkEnd w:id="150"/>
      <w:bookmarkStart w:id="151" w:name="_Toc184308047"/>
      <w:bookmarkEnd w:id="151"/>
      <w:bookmarkStart w:id="152" w:name="_Toc184314476"/>
      <w:bookmarkEnd w:id="152"/>
      <w:bookmarkStart w:id="153" w:name="_Toc184308060"/>
      <w:bookmarkEnd w:id="153"/>
      <w:bookmarkStart w:id="154" w:name="_Toc184314424"/>
      <w:bookmarkEnd w:id="154"/>
      <w:bookmarkStart w:id="155" w:name="_Toc184308069"/>
      <w:bookmarkEnd w:id="155"/>
      <w:bookmarkStart w:id="156" w:name="_Toc184310304"/>
      <w:bookmarkEnd w:id="156"/>
      <w:bookmarkStart w:id="157" w:name="_Toc184308107"/>
      <w:bookmarkEnd w:id="157"/>
      <w:bookmarkStart w:id="158" w:name="_Toc184312091"/>
      <w:bookmarkEnd w:id="158"/>
      <w:bookmarkStart w:id="159" w:name="_Toc184308101"/>
      <w:bookmarkEnd w:id="159"/>
      <w:bookmarkStart w:id="160" w:name="_Toc184310342"/>
      <w:bookmarkEnd w:id="160"/>
      <w:bookmarkStart w:id="161" w:name="_Toc184313282"/>
      <w:bookmarkEnd w:id="161"/>
      <w:bookmarkStart w:id="162" w:name="_Toc184310329"/>
      <w:bookmarkEnd w:id="162"/>
      <w:bookmarkStart w:id="163" w:name="_Toc184310292"/>
      <w:bookmarkEnd w:id="163"/>
      <w:bookmarkStart w:id="164" w:name="_Toc184312106"/>
      <w:bookmarkEnd w:id="164"/>
      <w:bookmarkStart w:id="165" w:name="_Toc184310319"/>
      <w:bookmarkEnd w:id="165"/>
      <w:bookmarkStart w:id="166" w:name="_Toc184314427"/>
      <w:bookmarkEnd w:id="166"/>
      <w:bookmarkStart w:id="167" w:name="_Toc184310310"/>
      <w:bookmarkEnd w:id="167"/>
      <w:bookmarkStart w:id="168" w:name="_Toc184313249"/>
      <w:bookmarkEnd w:id="168"/>
      <w:bookmarkStart w:id="169" w:name="_Toc184310314"/>
      <w:bookmarkEnd w:id="169"/>
      <w:bookmarkStart w:id="170" w:name="_Toc184313268"/>
      <w:bookmarkEnd w:id="170"/>
      <w:bookmarkStart w:id="171" w:name="_Toc184310331"/>
      <w:bookmarkEnd w:id="171"/>
      <w:bookmarkStart w:id="172" w:name="_Toc184312111"/>
      <w:bookmarkEnd w:id="172"/>
      <w:bookmarkStart w:id="173" w:name="_Toc184313261"/>
      <w:bookmarkEnd w:id="173"/>
      <w:bookmarkStart w:id="174" w:name="_Toc184310308"/>
      <w:bookmarkEnd w:id="174"/>
      <w:bookmarkStart w:id="175" w:name="_Toc184308049"/>
      <w:bookmarkEnd w:id="175"/>
      <w:bookmarkStart w:id="176" w:name="_Toc184313310"/>
      <w:bookmarkEnd w:id="176"/>
      <w:bookmarkStart w:id="177" w:name="_Toc184314453"/>
      <w:bookmarkEnd w:id="177"/>
      <w:bookmarkStart w:id="178" w:name="_Toc184310327"/>
      <w:bookmarkEnd w:id="178"/>
      <w:bookmarkStart w:id="179" w:name="_Toc184308104"/>
      <w:bookmarkEnd w:id="179"/>
      <w:bookmarkStart w:id="180" w:name="_Toc184308044"/>
      <w:bookmarkEnd w:id="180"/>
      <w:bookmarkStart w:id="181" w:name="_Toc184312074"/>
      <w:bookmarkEnd w:id="181"/>
      <w:bookmarkStart w:id="182" w:name="_Toc184308065"/>
      <w:bookmarkEnd w:id="182"/>
      <w:bookmarkStart w:id="183" w:name="_Toc184314441"/>
      <w:bookmarkEnd w:id="183"/>
      <w:bookmarkStart w:id="184" w:name="_Toc184310311"/>
      <w:bookmarkEnd w:id="184"/>
      <w:bookmarkStart w:id="185" w:name="_Toc184310324"/>
      <w:bookmarkEnd w:id="185"/>
      <w:bookmarkStart w:id="186" w:name="_Toc184313245"/>
      <w:bookmarkEnd w:id="186"/>
      <w:bookmarkStart w:id="187" w:name="_Toc184314436"/>
      <w:bookmarkEnd w:id="187"/>
      <w:bookmarkStart w:id="188" w:name="_Toc184313307"/>
      <w:bookmarkEnd w:id="188"/>
      <w:bookmarkStart w:id="189" w:name="_Toc184313251"/>
      <w:bookmarkEnd w:id="189"/>
      <w:bookmarkStart w:id="190" w:name="_Toc184308078"/>
      <w:bookmarkEnd w:id="190"/>
      <w:bookmarkStart w:id="191" w:name="_Toc184314469"/>
      <w:bookmarkEnd w:id="191"/>
      <w:bookmarkStart w:id="192" w:name="_Toc184310293"/>
      <w:bookmarkEnd w:id="192"/>
      <w:bookmarkStart w:id="193" w:name="_Toc184310328"/>
      <w:bookmarkEnd w:id="193"/>
      <w:bookmarkStart w:id="194" w:name="_Toc184308068"/>
      <w:bookmarkEnd w:id="194"/>
      <w:bookmarkStart w:id="195" w:name="_Toc184313269"/>
      <w:bookmarkEnd w:id="195"/>
      <w:bookmarkStart w:id="196" w:name="_Toc184310275"/>
      <w:bookmarkEnd w:id="196"/>
      <w:bookmarkStart w:id="197" w:name="_Toc184313284"/>
      <w:bookmarkEnd w:id="197"/>
      <w:bookmarkStart w:id="198" w:name="_Toc184314480"/>
      <w:bookmarkEnd w:id="198"/>
      <w:bookmarkStart w:id="199" w:name="_Toc184314470"/>
      <w:bookmarkEnd w:id="199"/>
      <w:bookmarkStart w:id="200" w:name="_Toc184314410"/>
      <w:bookmarkEnd w:id="200"/>
      <w:bookmarkStart w:id="201" w:name="_Toc184310338"/>
      <w:bookmarkEnd w:id="201"/>
      <w:bookmarkStart w:id="202" w:name="_Toc184310315"/>
      <w:bookmarkEnd w:id="202"/>
      <w:bookmarkStart w:id="203" w:name="_Toc184313250"/>
      <w:bookmarkEnd w:id="203"/>
      <w:bookmarkStart w:id="204" w:name="_Toc184314417"/>
      <w:bookmarkEnd w:id="204"/>
      <w:bookmarkStart w:id="205" w:name="_Toc184310281"/>
      <w:bookmarkEnd w:id="205"/>
      <w:bookmarkStart w:id="206" w:name="_Toc184310343"/>
      <w:bookmarkEnd w:id="206"/>
      <w:bookmarkStart w:id="207" w:name="_Toc184310289"/>
      <w:bookmarkEnd w:id="207"/>
      <w:bookmarkStart w:id="208" w:name="_Toc184312076"/>
      <w:bookmarkEnd w:id="208"/>
      <w:bookmarkStart w:id="209" w:name="_Toc184312069"/>
      <w:bookmarkEnd w:id="209"/>
      <w:bookmarkStart w:id="210" w:name="_Toc184312088"/>
      <w:bookmarkEnd w:id="210"/>
      <w:bookmarkStart w:id="211" w:name="_Toc184310323"/>
      <w:bookmarkEnd w:id="211"/>
      <w:bookmarkStart w:id="212" w:name="_Toc184310296"/>
      <w:bookmarkEnd w:id="212"/>
      <w:bookmarkStart w:id="213" w:name="_Toc184314452"/>
      <w:bookmarkEnd w:id="213"/>
      <w:bookmarkStart w:id="214" w:name="_Toc184314435"/>
      <w:bookmarkEnd w:id="214"/>
      <w:bookmarkStart w:id="215" w:name="_Toc184308038"/>
      <w:bookmarkEnd w:id="215"/>
      <w:bookmarkStart w:id="216" w:name="_Toc184308050"/>
      <w:bookmarkEnd w:id="216"/>
      <w:bookmarkStart w:id="217" w:name="_Toc184308074"/>
      <w:bookmarkEnd w:id="217"/>
      <w:bookmarkStart w:id="218" w:name="_Toc184313279"/>
      <w:bookmarkEnd w:id="218"/>
      <w:bookmarkStart w:id="219" w:name="_Toc184314434"/>
      <w:bookmarkEnd w:id="219"/>
      <w:bookmarkStart w:id="220" w:name="_Toc184310286"/>
      <w:bookmarkEnd w:id="220"/>
      <w:bookmarkStart w:id="221" w:name="_Toc184308063"/>
      <w:bookmarkEnd w:id="221"/>
      <w:bookmarkStart w:id="222" w:name="_Toc184314475"/>
      <w:bookmarkEnd w:id="222"/>
      <w:bookmarkStart w:id="223" w:name="_Toc184308041"/>
      <w:bookmarkEnd w:id="223"/>
      <w:bookmarkStart w:id="224" w:name="_Toc184312109"/>
      <w:bookmarkEnd w:id="224"/>
      <w:bookmarkStart w:id="225" w:name="_Toc184308040"/>
      <w:bookmarkEnd w:id="225"/>
      <w:bookmarkStart w:id="226" w:name="_Toc184312130"/>
      <w:bookmarkEnd w:id="226"/>
      <w:bookmarkStart w:id="227" w:name="_Toc184314446"/>
      <w:bookmarkEnd w:id="227"/>
      <w:bookmarkStart w:id="228" w:name="_Toc184312110"/>
      <w:bookmarkEnd w:id="228"/>
      <w:bookmarkStart w:id="229" w:name="_Toc184313303"/>
      <w:bookmarkEnd w:id="229"/>
      <w:bookmarkStart w:id="230" w:name="_Toc184314432"/>
      <w:bookmarkEnd w:id="230"/>
      <w:bookmarkStart w:id="231" w:name="_Toc184313243"/>
      <w:bookmarkEnd w:id="231"/>
      <w:bookmarkStart w:id="232" w:name="_Toc184312133"/>
      <w:bookmarkEnd w:id="232"/>
      <w:bookmarkStart w:id="233" w:name="_Toc184310336"/>
      <w:bookmarkEnd w:id="233"/>
      <w:bookmarkStart w:id="234" w:name="_Toc184310340"/>
      <w:bookmarkEnd w:id="234"/>
      <w:bookmarkStart w:id="235" w:name="_Toc184313274"/>
      <w:bookmarkEnd w:id="235"/>
      <w:bookmarkStart w:id="236" w:name="_Toc184312101"/>
      <w:bookmarkEnd w:id="236"/>
      <w:bookmarkStart w:id="237" w:name="_Toc184314455"/>
      <w:bookmarkEnd w:id="237"/>
      <w:bookmarkStart w:id="238" w:name="_Toc184314440"/>
      <w:bookmarkEnd w:id="238"/>
      <w:bookmarkStart w:id="239" w:name="_Toc184310344"/>
      <w:bookmarkEnd w:id="239"/>
      <w:bookmarkStart w:id="240" w:name="_Toc184308087"/>
      <w:bookmarkEnd w:id="240"/>
      <w:bookmarkStart w:id="241" w:name="_Toc184310272"/>
      <w:bookmarkEnd w:id="241"/>
      <w:bookmarkStart w:id="242" w:name="_Toc184312103"/>
      <w:bookmarkEnd w:id="242"/>
      <w:bookmarkStart w:id="243" w:name="_Toc184312114"/>
      <w:bookmarkEnd w:id="243"/>
      <w:bookmarkStart w:id="244" w:name="_Toc184310282"/>
      <w:bookmarkEnd w:id="244"/>
      <w:bookmarkStart w:id="245" w:name="_Toc184313265"/>
      <w:bookmarkEnd w:id="245"/>
      <w:bookmarkStart w:id="246" w:name="_Toc184308076"/>
      <w:bookmarkEnd w:id="246"/>
      <w:bookmarkStart w:id="247" w:name="_Toc184313240"/>
      <w:bookmarkEnd w:id="247"/>
      <w:bookmarkStart w:id="248" w:name="_Toc184312073"/>
      <w:bookmarkEnd w:id="248"/>
      <w:bookmarkStart w:id="249" w:name="_Toc184313241"/>
      <w:bookmarkEnd w:id="249"/>
      <w:bookmarkStart w:id="250" w:name="_Toc184314464"/>
      <w:bookmarkEnd w:id="250"/>
      <w:bookmarkStart w:id="251" w:name="_Toc184310299"/>
      <w:bookmarkEnd w:id="251"/>
      <w:bookmarkStart w:id="252" w:name="_Toc184308080"/>
      <w:bookmarkEnd w:id="252"/>
      <w:bookmarkStart w:id="253" w:name="_Toc184308064"/>
      <w:bookmarkEnd w:id="253"/>
      <w:bookmarkStart w:id="254" w:name="_Toc184308108"/>
      <w:bookmarkEnd w:id="254"/>
      <w:bookmarkStart w:id="255" w:name="_Toc184314474"/>
      <w:bookmarkEnd w:id="255"/>
      <w:bookmarkStart w:id="256" w:name="_Toc184313276"/>
      <w:bookmarkEnd w:id="256"/>
      <w:bookmarkStart w:id="257" w:name="_Toc184314473"/>
      <w:bookmarkEnd w:id="257"/>
      <w:bookmarkStart w:id="258" w:name="_Toc184312113"/>
      <w:bookmarkEnd w:id="258"/>
      <w:bookmarkStart w:id="259" w:name="_Toc184308103"/>
      <w:bookmarkEnd w:id="259"/>
      <w:bookmarkStart w:id="260" w:name="_Toc184312071"/>
      <w:bookmarkEnd w:id="260"/>
      <w:bookmarkStart w:id="261" w:name="_Toc184313304"/>
      <w:bookmarkEnd w:id="261"/>
      <w:bookmarkStart w:id="262" w:name="_Toc184312132"/>
      <w:bookmarkEnd w:id="262"/>
      <w:bookmarkStart w:id="263" w:name="_Toc184312135"/>
      <w:bookmarkEnd w:id="263"/>
      <w:bookmarkStart w:id="264" w:name="_Toc184312102"/>
      <w:bookmarkEnd w:id="264"/>
      <w:bookmarkStart w:id="265" w:name="_Toc184314468"/>
      <w:bookmarkEnd w:id="265"/>
      <w:bookmarkStart w:id="266" w:name="_Toc184310339"/>
      <w:bookmarkEnd w:id="266"/>
      <w:bookmarkStart w:id="267" w:name="_Toc184312119"/>
      <w:bookmarkEnd w:id="267"/>
      <w:bookmarkStart w:id="268" w:name="_Toc184312080"/>
      <w:bookmarkEnd w:id="268"/>
      <w:bookmarkStart w:id="269" w:name="_Toc184313258"/>
      <w:bookmarkEnd w:id="269"/>
      <w:bookmarkStart w:id="270" w:name="_Toc184312116"/>
      <w:bookmarkEnd w:id="270"/>
      <w:bookmarkStart w:id="271" w:name="_Toc184312079"/>
      <w:bookmarkEnd w:id="271"/>
      <w:bookmarkStart w:id="272" w:name="_Toc184314443"/>
      <w:bookmarkEnd w:id="272"/>
      <w:bookmarkStart w:id="273" w:name="_Toc184312120"/>
      <w:bookmarkEnd w:id="273"/>
      <w:bookmarkStart w:id="274" w:name="_Toc184314471"/>
      <w:bookmarkEnd w:id="274"/>
      <w:bookmarkStart w:id="275" w:name="_Toc184312075"/>
      <w:bookmarkEnd w:id="275"/>
      <w:bookmarkStart w:id="276" w:name="_Toc184314433"/>
      <w:bookmarkEnd w:id="276"/>
      <w:bookmarkStart w:id="277" w:name="_Toc184310298"/>
      <w:bookmarkEnd w:id="277"/>
      <w:bookmarkStart w:id="278" w:name="_Toc184313299"/>
      <w:bookmarkEnd w:id="278"/>
      <w:bookmarkStart w:id="279" w:name="_Toc184313287"/>
      <w:bookmarkEnd w:id="279"/>
      <w:bookmarkStart w:id="280" w:name="_Toc184310318"/>
      <w:bookmarkEnd w:id="280"/>
      <w:bookmarkStart w:id="281" w:name="_Toc184312099"/>
      <w:bookmarkEnd w:id="281"/>
      <w:bookmarkStart w:id="282" w:name="_Toc184310303"/>
      <w:bookmarkEnd w:id="282"/>
      <w:bookmarkStart w:id="283" w:name="_Toc184312137"/>
      <w:bookmarkEnd w:id="283"/>
      <w:bookmarkStart w:id="284" w:name="_Toc184314444"/>
      <w:bookmarkEnd w:id="284"/>
      <w:bookmarkStart w:id="285" w:name="_Toc184308059"/>
      <w:bookmarkEnd w:id="285"/>
      <w:bookmarkStart w:id="286" w:name="_Toc184308048"/>
      <w:bookmarkEnd w:id="286"/>
      <w:bookmarkStart w:id="287" w:name="_Toc184312085"/>
      <w:bookmarkEnd w:id="287"/>
      <w:bookmarkStart w:id="288" w:name="_Toc184308105"/>
      <w:bookmarkEnd w:id="288"/>
      <w:bookmarkStart w:id="289" w:name="_Toc184310325"/>
      <w:bookmarkEnd w:id="289"/>
      <w:bookmarkStart w:id="290" w:name="_Toc184313301"/>
      <w:bookmarkEnd w:id="290"/>
      <w:bookmarkStart w:id="291" w:name="_Toc184313294"/>
      <w:bookmarkEnd w:id="291"/>
      <w:bookmarkStart w:id="292" w:name="_Toc184313271"/>
      <w:bookmarkEnd w:id="292"/>
      <w:bookmarkStart w:id="293" w:name="_Toc184312124"/>
      <w:bookmarkEnd w:id="293"/>
      <w:bookmarkStart w:id="294" w:name="_Toc184313260"/>
      <w:bookmarkEnd w:id="294"/>
      <w:bookmarkStart w:id="295" w:name="_Toc184313289"/>
      <w:bookmarkEnd w:id="295"/>
      <w:bookmarkStart w:id="296" w:name="_Toc184308051"/>
      <w:bookmarkEnd w:id="296"/>
      <w:bookmarkStart w:id="297" w:name="_Toc184310277"/>
      <w:bookmarkEnd w:id="297"/>
      <w:bookmarkStart w:id="298" w:name="_Toc184313302"/>
      <w:bookmarkEnd w:id="298"/>
      <w:bookmarkStart w:id="299" w:name="_Toc184308043"/>
      <w:bookmarkEnd w:id="299"/>
      <w:bookmarkStart w:id="300" w:name="_Toc184314438"/>
      <w:bookmarkEnd w:id="300"/>
      <w:bookmarkStart w:id="301" w:name="_Toc184312136"/>
      <w:bookmarkEnd w:id="301"/>
      <w:bookmarkStart w:id="302" w:name="_Toc184308062"/>
      <w:bookmarkEnd w:id="302"/>
      <w:bookmarkStart w:id="303" w:name="_Toc184313246"/>
      <w:bookmarkEnd w:id="303"/>
      <w:bookmarkStart w:id="304" w:name="_Toc184314457"/>
      <w:bookmarkEnd w:id="304"/>
      <w:bookmarkStart w:id="305" w:name="_Toc184313247"/>
      <w:bookmarkEnd w:id="305"/>
      <w:bookmarkStart w:id="306" w:name="_Toc184312128"/>
      <w:bookmarkEnd w:id="306"/>
      <w:bookmarkStart w:id="307" w:name="_Toc184314428"/>
      <w:bookmarkEnd w:id="307"/>
      <w:bookmarkStart w:id="308" w:name="_Toc184310290"/>
      <w:bookmarkEnd w:id="308"/>
      <w:bookmarkStart w:id="309" w:name="_Toc184314418"/>
      <w:bookmarkEnd w:id="309"/>
      <w:bookmarkStart w:id="310" w:name="_Toc184308070"/>
      <w:bookmarkEnd w:id="310"/>
      <w:bookmarkStart w:id="311" w:name="_Toc184314477"/>
      <w:bookmarkEnd w:id="311"/>
      <w:bookmarkStart w:id="312" w:name="_Toc184313298"/>
      <w:bookmarkEnd w:id="312"/>
      <w:bookmarkStart w:id="313" w:name="_Toc184310305"/>
      <w:bookmarkEnd w:id="313"/>
      <w:bookmarkStart w:id="314" w:name="_Toc184308091"/>
      <w:bookmarkEnd w:id="314"/>
      <w:bookmarkStart w:id="315" w:name="_Toc184310335"/>
      <w:bookmarkEnd w:id="315"/>
      <w:bookmarkStart w:id="316" w:name="_Toc184314414"/>
      <w:bookmarkEnd w:id="316"/>
      <w:bookmarkStart w:id="317" w:name="_Toc184308079"/>
      <w:bookmarkEnd w:id="317"/>
      <w:bookmarkStart w:id="318" w:name="_Toc184312127"/>
      <w:bookmarkEnd w:id="318"/>
      <w:bookmarkStart w:id="319" w:name="_Toc184310316"/>
      <w:bookmarkEnd w:id="319"/>
      <w:bookmarkStart w:id="320" w:name="_Toc184314479"/>
      <w:bookmarkEnd w:id="320"/>
      <w:bookmarkStart w:id="321" w:name="_Toc184308042"/>
      <w:bookmarkEnd w:id="321"/>
      <w:bookmarkStart w:id="322" w:name="_Toc184310317"/>
      <w:bookmarkEnd w:id="322"/>
      <w:bookmarkStart w:id="323" w:name="_Toc184308037"/>
      <w:bookmarkEnd w:id="323"/>
      <w:bookmarkStart w:id="324" w:name="_Toc184308066"/>
      <w:bookmarkEnd w:id="324"/>
      <w:bookmarkStart w:id="325" w:name="_Toc184314450"/>
      <w:bookmarkEnd w:id="325"/>
      <w:bookmarkStart w:id="326" w:name="_Toc184310297"/>
      <w:bookmarkEnd w:id="326"/>
      <w:bookmarkStart w:id="327" w:name="_Toc184313253"/>
      <w:bookmarkEnd w:id="327"/>
      <w:bookmarkStart w:id="328" w:name="_Toc184308093"/>
      <w:bookmarkEnd w:id="328"/>
      <w:bookmarkStart w:id="329" w:name="_Toc184312068"/>
      <w:bookmarkEnd w:id="329"/>
      <w:bookmarkStart w:id="330" w:name="_Toc184312092"/>
      <w:bookmarkEnd w:id="330"/>
      <w:bookmarkStart w:id="331" w:name="_Toc184313277"/>
      <w:bookmarkEnd w:id="331"/>
      <w:bookmarkStart w:id="332" w:name="_Toc184314472"/>
      <w:bookmarkEnd w:id="332"/>
      <w:bookmarkStart w:id="333" w:name="_Toc184314461"/>
      <w:bookmarkEnd w:id="333"/>
      <w:bookmarkStart w:id="334" w:name="_Toc184310302"/>
      <w:bookmarkEnd w:id="334"/>
      <w:bookmarkStart w:id="335" w:name="_Toc184314413"/>
      <w:bookmarkEnd w:id="335"/>
      <w:bookmarkStart w:id="336" w:name="_Toc184314465"/>
      <w:bookmarkEnd w:id="336"/>
      <w:bookmarkStart w:id="337" w:name="_Toc184308083"/>
      <w:bookmarkEnd w:id="337"/>
      <w:bookmarkStart w:id="338" w:name="_Toc184313255"/>
      <w:bookmarkEnd w:id="338"/>
      <w:bookmarkStart w:id="339" w:name="_Toc184310312"/>
      <w:bookmarkEnd w:id="339"/>
      <w:bookmarkStart w:id="340" w:name="_Toc184312089"/>
      <w:bookmarkEnd w:id="340"/>
      <w:bookmarkStart w:id="341" w:name="_Toc184308089"/>
      <w:bookmarkEnd w:id="341"/>
      <w:bookmarkStart w:id="342" w:name="_Toc184313286"/>
      <w:bookmarkEnd w:id="342"/>
      <w:bookmarkStart w:id="343" w:name="_Toc184310341"/>
      <w:bookmarkEnd w:id="343"/>
      <w:bookmarkStart w:id="344" w:name="_Toc184312139"/>
      <w:bookmarkEnd w:id="344"/>
      <w:bookmarkStart w:id="345" w:name="_Toc184312117"/>
      <w:bookmarkEnd w:id="345"/>
      <w:bookmarkStart w:id="346" w:name="_Toc184308090"/>
      <w:bookmarkEnd w:id="346"/>
      <w:bookmarkStart w:id="347" w:name="_Toc184313283"/>
      <w:bookmarkEnd w:id="347"/>
      <w:bookmarkStart w:id="348" w:name="_Toc184312100"/>
      <w:bookmarkEnd w:id="348"/>
      <w:bookmarkStart w:id="349" w:name="_Toc184314430"/>
      <w:bookmarkEnd w:id="349"/>
      <w:bookmarkStart w:id="350" w:name="_Toc184314449"/>
      <w:bookmarkEnd w:id="350"/>
      <w:bookmarkStart w:id="351" w:name="_Toc184314448"/>
      <w:bookmarkEnd w:id="351"/>
      <w:bookmarkStart w:id="352" w:name="_Toc184312112"/>
      <w:bookmarkEnd w:id="352"/>
      <w:bookmarkStart w:id="353" w:name="_Toc184310285"/>
      <w:bookmarkEnd w:id="353"/>
      <w:bookmarkStart w:id="354" w:name="_Toc184312118"/>
      <w:bookmarkEnd w:id="354"/>
      <w:bookmarkStart w:id="355" w:name="_Toc184308100"/>
      <w:bookmarkEnd w:id="355"/>
      <w:bookmarkStart w:id="356" w:name="_Toc184314460"/>
      <w:bookmarkEnd w:id="356"/>
      <w:bookmarkStart w:id="357" w:name="_Toc184312087"/>
      <w:bookmarkEnd w:id="357"/>
      <w:bookmarkStart w:id="358" w:name="_Toc184313254"/>
      <w:bookmarkEnd w:id="358"/>
      <w:bookmarkStart w:id="359" w:name="_Toc184314466"/>
      <w:bookmarkEnd w:id="359"/>
      <w:bookmarkStart w:id="360" w:name="_Toc184310283"/>
      <w:bookmarkEnd w:id="360"/>
      <w:bookmarkStart w:id="361" w:name="_Toc184310333"/>
      <w:bookmarkEnd w:id="361"/>
      <w:bookmarkStart w:id="362" w:name="_Toc184312134"/>
      <w:bookmarkEnd w:id="362"/>
      <w:bookmarkStart w:id="363" w:name="_Toc184314431"/>
      <w:bookmarkEnd w:id="363"/>
      <w:bookmarkStart w:id="364" w:name="_Toc184308052"/>
      <w:bookmarkEnd w:id="364"/>
      <w:bookmarkStart w:id="365" w:name="_Toc184308036"/>
      <w:bookmarkEnd w:id="365"/>
      <w:bookmarkStart w:id="366" w:name="_Toc184314416"/>
      <w:bookmarkEnd w:id="366"/>
      <w:bookmarkStart w:id="367" w:name="_Toc184313293"/>
      <w:bookmarkEnd w:id="367"/>
      <w:bookmarkStart w:id="368" w:name="_Toc184308056"/>
      <w:bookmarkEnd w:id="368"/>
      <w:bookmarkStart w:id="369" w:name="_Toc184314412"/>
      <w:bookmarkEnd w:id="369"/>
      <w:bookmarkStart w:id="370" w:name="_Toc184312108"/>
      <w:bookmarkEnd w:id="370"/>
      <w:bookmarkStart w:id="371" w:name="_Toc184310291"/>
      <w:bookmarkEnd w:id="371"/>
      <w:bookmarkStart w:id="372" w:name="_Toc184314442"/>
      <w:bookmarkEnd w:id="372"/>
      <w:bookmarkStart w:id="373" w:name="_Toc184308058"/>
      <w:bookmarkEnd w:id="373"/>
      <w:bookmarkStart w:id="374" w:name="_Toc184310337"/>
      <w:bookmarkEnd w:id="374"/>
      <w:bookmarkStart w:id="375" w:name="_Toc184312070"/>
      <w:bookmarkEnd w:id="375"/>
      <w:bookmarkStart w:id="376" w:name="_Toc184310280"/>
      <w:bookmarkEnd w:id="376"/>
      <w:bookmarkStart w:id="377" w:name="_Toc184314426"/>
      <w:bookmarkEnd w:id="377"/>
      <w:bookmarkStart w:id="378" w:name="_Toc184313308"/>
      <w:bookmarkEnd w:id="378"/>
      <w:bookmarkStart w:id="379" w:name="_Toc184314423"/>
      <w:bookmarkEnd w:id="379"/>
      <w:bookmarkStart w:id="380" w:name="_Toc184312086"/>
      <w:bookmarkEnd w:id="380"/>
      <w:bookmarkStart w:id="381" w:name="_Toc184313252"/>
      <w:bookmarkEnd w:id="381"/>
      <w:bookmarkStart w:id="382" w:name="_Toc184308092"/>
      <w:bookmarkEnd w:id="382"/>
      <w:bookmarkStart w:id="383" w:name="_Toc184308102"/>
      <w:bookmarkEnd w:id="383"/>
      <w:bookmarkStart w:id="384" w:name="_Toc184314458"/>
      <w:bookmarkEnd w:id="384"/>
      <w:bookmarkStart w:id="385" w:name="_Toc184314425"/>
      <w:bookmarkEnd w:id="385"/>
      <w:bookmarkStart w:id="386" w:name="_Toc184310279"/>
      <w:bookmarkEnd w:id="386"/>
      <w:bookmarkStart w:id="387" w:name="_Toc184308088"/>
      <w:bookmarkEnd w:id="387"/>
      <w:bookmarkStart w:id="388" w:name="_Toc184314456"/>
      <w:bookmarkEnd w:id="388"/>
      <w:bookmarkStart w:id="389" w:name="_Toc184310273"/>
      <w:bookmarkEnd w:id="389"/>
      <w:bookmarkStart w:id="390" w:name="_Toc184314439"/>
      <w:bookmarkEnd w:id="390"/>
      <w:bookmarkStart w:id="391" w:name="_Toc184313288"/>
      <w:bookmarkEnd w:id="391"/>
      <w:bookmarkStart w:id="392" w:name="_Toc184308086"/>
      <w:bookmarkEnd w:id="392"/>
      <w:bookmarkStart w:id="393" w:name="_Toc184312122"/>
      <w:bookmarkEnd w:id="393"/>
      <w:bookmarkStart w:id="394" w:name="_Toc184308055"/>
      <w:bookmarkEnd w:id="394"/>
      <w:bookmarkStart w:id="395" w:name="_Toc184312077"/>
      <w:bookmarkEnd w:id="395"/>
      <w:bookmarkStart w:id="396" w:name="_Toc184310295"/>
      <w:bookmarkEnd w:id="396"/>
      <w:bookmarkStart w:id="397" w:name="_Toc184312131"/>
      <w:bookmarkEnd w:id="397"/>
      <w:bookmarkStart w:id="398" w:name="_Toc184312138"/>
      <w:bookmarkEnd w:id="398"/>
      <w:bookmarkStart w:id="399" w:name="_Toc184308097"/>
      <w:bookmarkEnd w:id="399"/>
      <w:bookmarkStart w:id="400" w:name="_Toc184308082"/>
      <w:bookmarkEnd w:id="400"/>
      <w:bookmarkStart w:id="401" w:name="_Toc184312098"/>
      <w:bookmarkEnd w:id="401"/>
      <w:bookmarkStart w:id="402" w:name="_Toc184313275"/>
      <w:bookmarkEnd w:id="402"/>
      <w:bookmarkStart w:id="403" w:name="_Toc184312094"/>
      <w:bookmarkEnd w:id="403"/>
      <w:bookmarkStart w:id="404" w:name="_Toc184312123"/>
      <w:bookmarkEnd w:id="404"/>
      <w:bookmarkStart w:id="405" w:name="_Toc184313296"/>
      <w:bookmarkEnd w:id="405"/>
      <w:bookmarkStart w:id="406" w:name="_Toc184313257"/>
      <w:bookmarkEnd w:id="406"/>
      <w:bookmarkStart w:id="407" w:name="_Toc184314411"/>
      <w:bookmarkEnd w:id="407"/>
      <w:bookmarkStart w:id="408" w:name="_Toc184310321"/>
      <w:bookmarkEnd w:id="408"/>
      <w:bookmarkStart w:id="409" w:name="_Toc184313244"/>
      <w:bookmarkEnd w:id="409"/>
      <w:bookmarkStart w:id="410" w:name="_Toc184310288"/>
      <w:bookmarkEnd w:id="410"/>
      <w:bookmarkStart w:id="411" w:name="_Toc184313300"/>
      <w:bookmarkEnd w:id="411"/>
      <w:bookmarkStart w:id="412" w:name="_Toc184310300"/>
      <w:bookmarkEnd w:id="412"/>
      <w:bookmarkStart w:id="413" w:name="_Toc184313242"/>
      <w:bookmarkEnd w:id="413"/>
      <w:bookmarkStart w:id="414" w:name="_Toc184312125"/>
      <w:bookmarkEnd w:id="414"/>
      <w:bookmarkStart w:id="415" w:name="_Toc184312083"/>
      <w:bookmarkEnd w:id="415"/>
      <w:bookmarkStart w:id="416" w:name="_Toc184313239"/>
      <w:bookmarkEnd w:id="416"/>
      <w:bookmarkStart w:id="417" w:name="_Toc184314420"/>
      <w:bookmarkEnd w:id="417"/>
      <w:bookmarkStart w:id="418" w:name="_Toc184308057"/>
      <w:bookmarkEnd w:id="418"/>
      <w:bookmarkStart w:id="419" w:name="_Toc184313266"/>
      <w:bookmarkEnd w:id="419"/>
      <w:bookmarkStart w:id="420" w:name="_Toc184308072"/>
      <w:bookmarkEnd w:id="420"/>
      <w:bookmarkStart w:id="421" w:name="_Toc184308095"/>
      <w:bookmarkEnd w:id="421"/>
      <w:bookmarkStart w:id="422" w:name="_Toc184314454"/>
      <w:bookmarkEnd w:id="422"/>
      <w:bookmarkStart w:id="423" w:name="_Toc184314429"/>
      <w:bookmarkEnd w:id="423"/>
      <w:bookmarkStart w:id="424" w:name="_Toc184310309"/>
      <w:bookmarkEnd w:id="424"/>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268"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191"/>
        <w:gridCol w:w="750"/>
        <w:gridCol w:w="1131"/>
        <w:gridCol w:w="1459"/>
      </w:tblGrid>
      <w:tr w14:paraId="0AAB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0C7BF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91" w:type="dxa"/>
            <w:vAlign w:val="center"/>
          </w:tcPr>
          <w:p w14:paraId="7623FBD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50" w:type="dxa"/>
            <w:vAlign w:val="center"/>
          </w:tcPr>
          <w:p w14:paraId="449D912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31" w:type="dxa"/>
            <w:vAlign w:val="center"/>
          </w:tcPr>
          <w:p w14:paraId="18E86A03">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59" w:type="dxa"/>
            <w:vAlign w:val="center"/>
          </w:tcPr>
          <w:p w14:paraId="2ECD10E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339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B223BD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1" w:type="dxa"/>
            <w:shd w:val="clear" w:color="auto" w:fill="auto"/>
            <w:vAlign w:val="center"/>
          </w:tcPr>
          <w:p w14:paraId="560E1CB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备《保安工作人员职责》、《保安交接班制度》、《保安队伍例会制度》、《保安员义务消防队方案》、《保安员突发事件处置预案》、《队伍培训管理方案》、《队伍绩效考核管理》《保安员等级考核管理制度》等考核规章制度，根据考核规章制度是否完整，能否体现制度约束力，等级管理考核制度是否完善进行综合评价。</w:t>
            </w:r>
          </w:p>
          <w:p w14:paraId="1BAED2A0">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551B81D">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.9分；</w:t>
            </w:r>
          </w:p>
          <w:p w14:paraId="4E176372">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.9分；</w:t>
            </w:r>
          </w:p>
          <w:p w14:paraId="1F90776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.9分；</w:t>
            </w:r>
          </w:p>
          <w:p w14:paraId="63484762">
            <w:pPr>
              <w:snapToGrid w:val="0"/>
              <w:spacing w:line="360" w:lineRule="auto"/>
              <w:jc w:val="both"/>
              <w:rPr>
                <w:rFonts w:hint="eastAsia"/>
                <w:color w:val="auto"/>
                <w:lang w:val="en-US" w:eastAsia="zh-CN"/>
              </w:rPr>
            </w:pPr>
            <w:r>
              <w:rPr>
                <w:rFonts w:hint="eastAsia" w:ascii="宋体" w:hAnsi="宋体" w:eastAsia="宋体" w:cs="宋体"/>
                <w:b w:val="0"/>
                <w:bCs w:val="0"/>
                <w:color w:val="auto"/>
                <w:sz w:val="24"/>
                <w:szCs w:val="24"/>
                <w:highlight w:val="none"/>
                <w:lang w:val="en-US" w:eastAsia="zh-CN"/>
              </w:rPr>
              <w:t>⑤未提供不得分。</w:t>
            </w:r>
          </w:p>
        </w:tc>
        <w:tc>
          <w:tcPr>
            <w:tcW w:w="750" w:type="dxa"/>
            <w:shd w:val="clear" w:color="auto" w:fill="auto"/>
            <w:vAlign w:val="center"/>
          </w:tcPr>
          <w:p w14:paraId="6F13E1C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1" w:type="dxa"/>
            <w:vAlign w:val="center"/>
          </w:tcPr>
          <w:p w14:paraId="3574C94B">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c>
          <w:tcPr>
            <w:tcW w:w="1459" w:type="dxa"/>
            <w:vAlign w:val="center"/>
          </w:tcPr>
          <w:p w14:paraId="47150DF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考核规章制度</w:t>
            </w:r>
          </w:p>
        </w:tc>
      </w:tr>
      <w:tr w14:paraId="4465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CECBE5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91" w:type="dxa"/>
            <w:shd w:val="clear" w:color="auto" w:fill="auto"/>
            <w:vAlign w:val="center"/>
          </w:tcPr>
          <w:p w14:paraId="01E86CFB">
            <w:pPr>
              <w:snapToGri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lang w:val="en-US" w:eastAsia="zh-CN"/>
              </w:rPr>
              <w:t>项目负责人</w:t>
            </w:r>
            <w:r>
              <w:rPr>
                <w:rFonts w:hint="eastAsia" w:ascii="宋体" w:hAnsi="宋体" w:eastAsia="宋体" w:cs="宋体"/>
                <w:b w:val="0"/>
                <w:bCs w:val="0"/>
                <w:color w:val="auto"/>
                <w:sz w:val="24"/>
                <w:szCs w:val="24"/>
              </w:rPr>
              <w:t>具有大专或以上文化程度的得1分，具有退伍军人经历的得1分，具有保安员上岗证</w:t>
            </w:r>
            <w:r>
              <w:rPr>
                <w:rFonts w:hint="eastAsia" w:ascii="宋体" w:hAnsi="宋体" w:eastAsia="宋体" w:cs="宋体"/>
                <w:b w:val="0"/>
                <w:bCs w:val="0"/>
                <w:color w:val="auto"/>
                <w:sz w:val="24"/>
                <w:szCs w:val="24"/>
                <w:lang w:val="en-US" w:eastAsia="zh-CN"/>
              </w:rPr>
              <w:t>和</w:t>
            </w:r>
            <w:r>
              <w:rPr>
                <w:rFonts w:hint="eastAsia" w:ascii="宋体" w:hAnsi="宋体" w:eastAsia="宋体" w:cs="宋体"/>
                <w:b w:val="0"/>
                <w:bCs w:val="0"/>
                <w:color w:val="auto"/>
                <w:sz w:val="24"/>
                <w:szCs w:val="24"/>
              </w:rPr>
              <w:t>保安国家职业资格二级及以上证书</w:t>
            </w:r>
            <w:r>
              <w:rPr>
                <w:rFonts w:hint="eastAsia" w:ascii="宋体" w:hAnsi="宋体" w:eastAsia="宋体" w:cs="宋体"/>
                <w:b w:val="0"/>
                <w:bCs w:val="0"/>
                <w:color w:val="auto"/>
                <w:kern w:val="0"/>
                <w:sz w:val="24"/>
                <w:szCs w:val="24"/>
              </w:rPr>
              <w:t>得2分</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sz w:val="24"/>
                <w:szCs w:val="24"/>
              </w:rPr>
              <w:t>具</w:t>
            </w:r>
            <w:r>
              <w:rPr>
                <w:rFonts w:hint="eastAsia" w:ascii="宋体" w:hAnsi="宋体" w:cs="宋体"/>
                <w:b w:val="0"/>
                <w:bCs w:val="0"/>
                <w:color w:val="auto"/>
                <w:sz w:val="24"/>
                <w:szCs w:val="24"/>
                <w:lang w:val="en-US" w:eastAsia="zh-CN"/>
              </w:rPr>
              <w:t>有安保</w:t>
            </w:r>
            <w:r>
              <w:rPr>
                <w:rFonts w:hint="eastAsia" w:ascii="宋体" w:hAnsi="宋体" w:eastAsia="宋体" w:cs="宋体"/>
                <w:b w:val="0"/>
                <w:bCs w:val="0"/>
                <w:color w:val="auto"/>
                <w:sz w:val="24"/>
                <w:szCs w:val="24"/>
              </w:rPr>
              <w:t>管理经验的得2分，最高得</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需提供履历、退役军人</w:t>
            </w:r>
            <w:r>
              <w:rPr>
                <w:rFonts w:hint="eastAsia" w:ascii="宋体" w:hAnsi="宋体" w:eastAsia="宋体" w:cs="宋体"/>
                <w:b w:val="0"/>
                <w:bCs w:val="0"/>
                <w:color w:val="auto"/>
                <w:sz w:val="24"/>
                <w:szCs w:val="24"/>
                <w:lang w:val="en-US" w:eastAsia="zh-CN"/>
              </w:rPr>
              <w:t>证书</w:t>
            </w:r>
            <w:r>
              <w:rPr>
                <w:rFonts w:hint="eastAsia" w:ascii="宋体" w:hAnsi="宋体" w:eastAsia="宋体" w:cs="宋体"/>
                <w:b w:val="0"/>
                <w:bCs w:val="0"/>
                <w:color w:val="auto"/>
                <w:sz w:val="24"/>
                <w:szCs w:val="24"/>
                <w:lang w:eastAsia="zh-CN"/>
              </w:rPr>
              <w:t>、国家职业资格</w:t>
            </w:r>
            <w:r>
              <w:rPr>
                <w:rFonts w:hint="eastAsia" w:ascii="宋体" w:hAnsi="宋体" w:eastAsia="宋体" w:cs="宋体"/>
                <w:b w:val="0"/>
                <w:bCs w:val="0"/>
                <w:color w:val="auto"/>
                <w:sz w:val="24"/>
                <w:szCs w:val="24"/>
                <w:lang w:val="en-US" w:eastAsia="zh-CN"/>
              </w:rPr>
              <w:t>证书、项目负责人等</w:t>
            </w:r>
            <w:r>
              <w:rPr>
                <w:rFonts w:hint="eastAsia" w:ascii="宋体" w:hAnsi="宋体" w:eastAsia="宋体" w:cs="宋体"/>
                <w:b w:val="0"/>
                <w:bCs w:val="0"/>
                <w:color w:val="auto"/>
                <w:sz w:val="24"/>
                <w:szCs w:val="24"/>
              </w:rPr>
              <w:t>及</w:t>
            </w:r>
            <w:r>
              <w:rPr>
                <w:rFonts w:hint="eastAsia" w:ascii="宋体" w:hAnsi="宋体" w:eastAsia="宋体" w:cs="宋体"/>
                <w:b w:val="0"/>
                <w:bCs w:val="0"/>
                <w:color w:val="auto"/>
                <w:kern w:val="0"/>
                <w:sz w:val="24"/>
                <w:szCs w:val="24"/>
              </w:rPr>
              <w:t>近三个月</w:t>
            </w:r>
            <w:r>
              <w:rPr>
                <w:rFonts w:hint="eastAsia" w:ascii="宋体" w:hAnsi="宋体" w:eastAsia="宋体" w:cs="宋体"/>
                <w:b w:val="0"/>
                <w:bCs w:val="0"/>
                <w:color w:val="auto"/>
                <w:sz w:val="24"/>
                <w:szCs w:val="24"/>
              </w:rPr>
              <w:t>单位社保证明</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不提供不得分</w:t>
            </w:r>
            <w:r>
              <w:rPr>
                <w:rFonts w:hint="eastAsia" w:ascii="宋体" w:hAnsi="宋体" w:eastAsia="宋体" w:cs="宋体"/>
                <w:b w:val="0"/>
                <w:bCs w:val="0"/>
                <w:color w:val="auto"/>
                <w:kern w:val="0"/>
                <w:sz w:val="24"/>
                <w:szCs w:val="24"/>
              </w:rPr>
              <w:t>】</w:t>
            </w:r>
          </w:p>
        </w:tc>
        <w:tc>
          <w:tcPr>
            <w:tcW w:w="750" w:type="dxa"/>
            <w:shd w:val="clear" w:color="auto" w:fill="auto"/>
            <w:vAlign w:val="center"/>
          </w:tcPr>
          <w:p w14:paraId="5DE0D3B7">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31" w:type="dxa"/>
            <w:vAlign w:val="center"/>
          </w:tcPr>
          <w:p w14:paraId="5FFB9F5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9" w:type="dxa"/>
            <w:vMerge w:val="restart"/>
            <w:vAlign w:val="center"/>
          </w:tcPr>
          <w:p w14:paraId="1D6A536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vertAlign w:val="baseline"/>
                <w:lang w:eastAsia="zh-CN"/>
              </w:rPr>
              <w:t>人员配置方案</w:t>
            </w:r>
          </w:p>
        </w:tc>
      </w:tr>
      <w:tr w14:paraId="700B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DB42AB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91" w:type="dxa"/>
            <w:vAlign w:val="center"/>
          </w:tcPr>
          <w:p w14:paraId="035A0AEC">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投标人具有人社部颁发的《保安员职业资格证》高级保安员资格证的每本得2分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最高得8分。</w:t>
            </w:r>
          </w:p>
          <w:p w14:paraId="39CF9E2E">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凭劳动合同或单位缴纳社保证明、相关证明材料复印件加盖公章得分。</w:t>
            </w:r>
          </w:p>
        </w:tc>
        <w:tc>
          <w:tcPr>
            <w:tcW w:w="750" w:type="dxa"/>
            <w:vAlign w:val="center"/>
          </w:tcPr>
          <w:p w14:paraId="5F0F080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131" w:type="dxa"/>
            <w:vAlign w:val="center"/>
          </w:tcPr>
          <w:p w14:paraId="0210B7E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9" w:type="dxa"/>
            <w:vMerge w:val="continue"/>
            <w:vAlign w:val="center"/>
          </w:tcPr>
          <w:p w14:paraId="15D3B0D1">
            <w:pPr>
              <w:snapToGrid w:val="0"/>
              <w:spacing w:line="360" w:lineRule="auto"/>
              <w:jc w:val="center"/>
              <w:rPr>
                <w:rFonts w:hint="eastAsia" w:ascii="宋体" w:hAnsi="宋体" w:eastAsia="宋体" w:cs="宋体"/>
                <w:color w:val="auto"/>
                <w:sz w:val="24"/>
                <w:szCs w:val="24"/>
                <w:highlight w:val="none"/>
              </w:rPr>
            </w:pPr>
          </w:p>
        </w:tc>
      </w:tr>
      <w:tr w14:paraId="2211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653EA6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91" w:type="dxa"/>
            <w:shd w:val="clear" w:color="auto" w:fill="auto"/>
            <w:vAlign w:val="center"/>
          </w:tcPr>
          <w:p w14:paraId="46A30F7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3"/>
                <w:sz w:val="24"/>
                <w:szCs w:val="24"/>
                <w:lang w:val="en-US" w:eastAsia="zh-CN" w:bidi="ar-SA"/>
              </w:rPr>
              <w:t>消控人员具有消控证（国考）</w:t>
            </w:r>
            <w:r>
              <w:rPr>
                <w:rFonts w:hint="eastAsia" w:ascii="宋体" w:hAnsi="宋体" w:cs="宋体"/>
                <w:b w:val="0"/>
                <w:bCs w:val="0"/>
                <w:color w:val="auto"/>
                <w:kern w:val="3"/>
                <w:sz w:val="24"/>
                <w:szCs w:val="24"/>
                <w:lang w:val="en-US" w:eastAsia="zh-CN" w:bidi="ar-SA"/>
              </w:rPr>
              <w:t>：</w:t>
            </w:r>
            <w:r>
              <w:rPr>
                <w:rFonts w:hint="eastAsia" w:ascii="宋体" w:hAnsi="宋体" w:eastAsia="宋体" w:cs="宋体"/>
                <w:b w:val="0"/>
                <w:bCs w:val="0"/>
                <w:color w:val="auto"/>
                <w:kern w:val="3"/>
                <w:sz w:val="24"/>
                <w:szCs w:val="24"/>
                <w:lang w:val="en-US" w:eastAsia="zh-CN" w:bidi="ar-SA"/>
              </w:rPr>
              <w:t>每</w:t>
            </w:r>
            <w:r>
              <w:rPr>
                <w:rFonts w:hint="eastAsia" w:ascii="宋体" w:hAnsi="宋体" w:cs="宋体"/>
                <w:b w:val="0"/>
                <w:bCs w:val="0"/>
                <w:color w:val="auto"/>
                <w:kern w:val="3"/>
                <w:sz w:val="24"/>
                <w:szCs w:val="24"/>
                <w:lang w:val="en-US" w:eastAsia="zh-CN" w:bidi="ar-SA"/>
              </w:rPr>
              <w:t>个</w:t>
            </w:r>
            <w:r>
              <w:rPr>
                <w:rFonts w:hint="eastAsia" w:ascii="宋体" w:hAnsi="宋体" w:eastAsia="宋体" w:cs="宋体"/>
                <w:b w:val="0"/>
                <w:bCs w:val="0"/>
                <w:color w:val="auto"/>
                <w:kern w:val="3"/>
                <w:sz w:val="24"/>
                <w:szCs w:val="24"/>
                <w:lang w:val="en-US" w:eastAsia="zh-CN" w:bidi="ar-SA"/>
              </w:rPr>
              <w:t>得1分</w:t>
            </w:r>
            <w:r>
              <w:rPr>
                <w:rFonts w:hint="eastAsia" w:ascii="宋体" w:hAnsi="宋体" w:eastAsia="宋体" w:cs="宋体"/>
                <w:color w:val="auto"/>
                <w:sz w:val="24"/>
                <w:szCs w:val="24"/>
                <w:highlight w:val="none"/>
              </w:rPr>
              <w:t>，最高得 4分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凭证书及劳动合同或单位缴纳社保证明，相关证明材料复印件加盖公章得分。</w:t>
            </w:r>
          </w:p>
        </w:tc>
        <w:tc>
          <w:tcPr>
            <w:tcW w:w="750" w:type="dxa"/>
            <w:shd w:val="clear" w:color="auto" w:fill="auto"/>
            <w:vAlign w:val="center"/>
          </w:tcPr>
          <w:p w14:paraId="111D489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31" w:type="dxa"/>
            <w:vAlign w:val="center"/>
          </w:tcPr>
          <w:p w14:paraId="2CC2A96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9" w:type="dxa"/>
            <w:vMerge w:val="continue"/>
            <w:vAlign w:val="center"/>
          </w:tcPr>
          <w:p w14:paraId="68DB6AF0">
            <w:pPr>
              <w:snapToGrid w:val="0"/>
              <w:spacing w:line="360" w:lineRule="auto"/>
              <w:jc w:val="center"/>
              <w:rPr>
                <w:rFonts w:hint="eastAsia" w:ascii="宋体" w:hAnsi="宋体" w:eastAsia="宋体" w:cs="宋体"/>
                <w:color w:val="auto"/>
                <w:sz w:val="24"/>
                <w:szCs w:val="24"/>
                <w:highlight w:val="none"/>
              </w:rPr>
            </w:pPr>
          </w:p>
        </w:tc>
      </w:tr>
      <w:tr w14:paraId="1079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66C8BA1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191" w:type="dxa"/>
            <w:shd w:val="clear" w:color="auto" w:fill="auto"/>
            <w:vAlign w:val="center"/>
          </w:tcPr>
          <w:p w14:paraId="22F41163">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投标企业具有质量管理体系认证证书得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分、环境管理体系认证证书得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分、职业健康安全管理体系认证证书得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分(提供证书原件)</w:t>
            </w:r>
          </w:p>
        </w:tc>
        <w:tc>
          <w:tcPr>
            <w:tcW w:w="750" w:type="dxa"/>
            <w:shd w:val="clear" w:color="auto" w:fill="auto"/>
            <w:vAlign w:val="center"/>
          </w:tcPr>
          <w:p w14:paraId="6C370319">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31" w:type="dxa"/>
            <w:vAlign w:val="center"/>
          </w:tcPr>
          <w:p w14:paraId="7943436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9" w:type="dxa"/>
            <w:vAlign w:val="center"/>
          </w:tcPr>
          <w:p w14:paraId="1D37A32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体系证书</w:t>
            </w:r>
          </w:p>
        </w:tc>
      </w:tr>
      <w:tr w14:paraId="5B9A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29954D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191" w:type="dxa"/>
            <w:shd w:val="clear" w:color="auto" w:fill="auto"/>
            <w:vAlign w:val="center"/>
          </w:tcPr>
          <w:p w14:paraId="4735100F">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年1月1日以来完成过安保服务业绩的(1个得 1分，最高得3分)。凭合同</w:t>
            </w:r>
            <w:r>
              <w:rPr>
                <w:rFonts w:hint="eastAsia" w:ascii="宋体" w:hAnsi="宋体" w:eastAsia="宋体" w:cs="宋体"/>
                <w:color w:val="auto"/>
                <w:sz w:val="24"/>
                <w:szCs w:val="24"/>
                <w:highlight w:val="none"/>
                <w:lang w:val="en-US" w:eastAsia="zh-CN"/>
              </w:rPr>
              <w:t>及中标通知书、</w:t>
            </w:r>
            <w:r>
              <w:rPr>
                <w:rFonts w:hint="eastAsia" w:ascii="宋体" w:hAnsi="宋体" w:eastAsia="宋体" w:cs="宋体"/>
                <w:color w:val="auto"/>
                <w:sz w:val="24"/>
                <w:szCs w:val="24"/>
                <w:highlight w:val="none"/>
              </w:rPr>
              <w:t>相关证明材料复印件加盖公章得分。</w:t>
            </w:r>
          </w:p>
        </w:tc>
        <w:tc>
          <w:tcPr>
            <w:tcW w:w="750" w:type="dxa"/>
            <w:shd w:val="clear" w:color="auto" w:fill="auto"/>
            <w:vAlign w:val="center"/>
          </w:tcPr>
          <w:p w14:paraId="6F679E59">
            <w:pPr>
              <w:snapToGri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31" w:type="dxa"/>
            <w:vAlign w:val="center"/>
          </w:tcPr>
          <w:p w14:paraId="13F66A1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459" w:type="dxa"/>
            <w:vAlign w:val="center"/>
          </w:tcPr>
          <w:p w14:paraId="54F3E47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w:t>
            </w:r>
          </w:p>
        </w:tc>
      </w:tr>
      <w:tr w14:paraId="6664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5EC22D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6191" w:type="dxa"/>
            <w:shd w:val="clear" w:color="auto" w:fill="auto"/>
            <w:vAlign w:val="center"/>
          </w:tcPr>
          <w:p w14:paraId="52EEB49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根据总体服务方案对与项目内容和服务需求的吻合程度及其响应情况的合理性、可操作性、针对性、实施经验等进行综合打分。</w:t>
            </w:r>
          </w:p>
          <w:p w14:paraId="2F5FEB07">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①方案内容完整、合理、可行的，得5分；</w:t>
            </w:r>
          </w:p>
          <w:p w14:paraId="64505CE2">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②方案内容基本完整、具有一定可行性的，得4-4.9分；</w:t>
            </w:r>
          </w:p>
          <w:p w14:paraId="572148C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③方案内容一般的，得3-3.9分；</w:t>
            </w:r>
          </w:p>
          <w:p w14:paraId="6D09289F">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④方案内容存在欠缺或有待完善的，得2-2.9分；</w:t>
            </w:r>
          </w:p>
          <w:p w14:paraId="0E34E3F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⑤方案内容不符合招标要求的，得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1-1.9分。未提供不得分。</w:t>
            </w:r>
          </w:p>
        </w:tc>
        <w:tc>
          <w:tcPr>
            <w:tcW w:w="750" w:type="dxa"/>
            <w:shd w:val="clear" w:color="auto" w:fill="auto"/>
            <w:vAlign w:val="center"/>
          </w:tcPr>
          <w:p w14:paraId="3951CCE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1" w:type="dxa"/>
            <w:vAlign w:val="center"/>
          </w:tcPr>
          <w:p w14:paraId="69173B6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9" w:type="dxa"/>
            <w:vMerge w:val="restart"/>
            <w:vAlign w:val="center"/>
          </w:tcPr>
          <w:p w14:paraId="02D7CF1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服务方案</w:t>
            </w:r>
          </w:p>
        </w:tc>
      </w:tr>
      <w:tr w14:paraId="3372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478FC60E">
            <w:pPr>
              <w:snapToGri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6191" w:type="dxa"/>
            <w:shd w:val="clear" w:color="auto" w:fill="auto"/>
            <w:vAlign w:val="center"/>
          </w:tcPr>
          <w:p w14:paraId="6BCBFCB1">
            <w:pPr>
              <w:snapToGrid w:val="0"/>
              <w:spacing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根据投标人的服务机构设置方案、运作流程、工作标准及服务过程相关记录资料的信息管理办法等是否周全，对采购人的各项医务工作管理要求及医院业务流程的适应性、符合性等情况进行综合打分。</w:t>
            </w:r>
          </w:p>
          <w:p w14:paraId="578E0F94">
            <w:pPr>
              <w:snapToGrid w:val="0"/>
              <w:spacing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①内容完整、合理、可行的，得4分；</w:t>
            </w:r>
          </w:p>
          <w:p w14:paraId="3E2104CE">
            <w:pPr>
              <w:snapToGrid w:val="0"/>
              <w:spacing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②内容基本完整、具有一定可行性的，得3-3.9分；</w:t>
            </w:r>
          </w:p>
          <w:p w14:paraId="4379E076">
            <w:pPr>
              <w:snapToGrid w:val="0"/>
              <w:spacing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③内容一般的，得2-2.9分；</w:t>
            </w:r>
          </w:p>
          <w:p w14:paraId="54FDB1EE">
            <w:pPr>
              <w:snapToGrid w:val="0"/>
              <w:spacing w:line="360" w:lineRule="auto"/>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④内容存在欠缺或有待完善的，得0.1-1.9分；</w:t>
            </w:r>
          </w:p>
          <w:p w14:paraId="30E21044">
            <w:pPr>
              <w:snapToGrid w:val="0"/>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 xml:space="preserve">⑤未提供不得分。 </w:t>
            </w:r>
          </w:p>
        </w:tc>
        <w:tc>
          <w:tcPr>
            <w:tcW w:w="750" w:type="dxa"/>
            <w:shd w:val="clear" w:color="auto" w:fill="auto"/>
            <w:vAlign w:val="center"/>
          </w:tcPr>
          <w:p w14:paraId="695BA13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31" w:type="dxa"/>
            <w:vAlign w:val="center"/>
          </w:tcPr>
          <w:p w14:paraId="7D0AD58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9" w:type="dxa"/>
            <w:vMerge w:val="continue"/>
            <w:vAlign w:val="center"/>
          </w:tcPr>
          <w:p w14:paraId="49F2D8A7">
            <w:pPr>
              <w:snapToGrid w:val="0"/>
              <w:spacing w:line="360" w:lineRule="auto"/>
              <w:jc w:val="center"/>
              <w:rPr>
                <w:rFonts w:hint="eastAsia" w:ascii="宋体" w:hAnsi="宋体" w:eastAsia="宋体" w:cs="宋体"/>
                <w:color w:val="auto"/>
                <w:sz w:val="24"/>
                <w:szCs w:val="24"/>
                <w:highlight w:val="none"/>
              </w:rPr>
            </w:pPr>
          </w:p>
        </w:tc>
      </w:tr>
      <w:tr w14:paraId="6DDF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25ABE94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191" w:type="dxa"/>
            <w:shd w:val="clear" w:color="auto" w:fill="auto"/>
            <w:vAlign w:val="center"/>
          </w:tcPr>
          <w:p w14:paraId="6153E65A">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对本项目的工作特点的了解程度，服务思路清晰程度，完成工作的可行性等方面进行综合打分。</w:t>
            </w:r>
          </w:p>
          <w:p w14:paraId="5F6A90BC">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①内容完整、合理、可行的，得4分；</w:t>
            </w:r>
          </w:p>
          <w:p w14:paraId="670C15D0">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②内容基本完整、具有一定可行性的，得3-3.9分；</w:t>
            </w:r>
            <w:r>
              <w:rPr>
                <w:rFonts w:hint="eastAsia" w:ascii="宋体" w:hAnsi="宋体" w:eastAsia="宋体" w:cs="宋体"/>
                <w:color w:val="auto"/>
                <w:sz w:val="24"/>
                <w:szCs w:val="24"/>
                <w:highlight w:val="none"/>
                <w:lang w:val="en-US" w:eastAsia="zh-CN"/>
              </w:rPr>
              <w:t xml:space="preserve">    </w:t>
            </w:r>
          </w:p>
          <w:p w14:paraId="686AC253">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③内容一般的，得2-2.9分；</w:t>
            </w:r>
          </w:p>
          <w:p w14:paraId="22ADF20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④内容存在欠缺或有待完善的，得0.1-1.9分；</w:t>
            </w:r>
            <w:r>
              <w:rPr>
                <w:rFonts w:hint="eastAsia" w:ascii="宋体" w:hAnsi="宋体" w:eastAsia="宋体" w:cs="宋体"/>
                <w:color w:val="auto"/>
                <w:sz w:val="24"/>
                <w:szCs w:val="24"/>
                <w:highlight w:val="none"/>
                <w:lang w:val="en-US" w:eastAsia="zh-CN"/>
              </w:rPr>
              <w:t xml:space="preserve">        </w:t>
            </w:r>
          </w:p>
          <w:p w14:paraId="54D8D99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⑤未提供不得分。</w:t>
            </w:r>
          </w:p>
        </w:tc>
        <w:tc>
          <w:tcPr>
            <w:tcW w:w="750" w:type="dxa"/>
            <w:shd w:val="clear" w:color="auto" w:fill="auto"/>
            <w:vAlign w:val="center"/>
          </w:tcPr>
          <w:p w14:paraId="75A3257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31" w:type="dxa"/>
            <w:vAlign w:val="center"/>
          </w:tcPr>
          <w:p w14:paraId="1711FAA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9" w:type="dxa"/>
            <w:vMerge w:val="continue"/>
            <w:vAlign w:val="center"/>
          </w:tcPr>
          <w:p w14:paraId="71BDA22C">
            <w:pPr>
              <w:spacing w:line="360" w:lineRule="auto"/>
              <w:jc w:val="center"/>
              <w:outlineLvl w:val="0"/>
              <w:rPr>
                <w:rFonts w:hint="eastAsia" w:ascii="宋体" w:hAnsi="宋体" w:eastAsia="宋体" w:cs="宋体"/>
                <w:bCs/>
                <w:color w:val="auto"/>
                <w:sz w:val="24"/>
                <w:szCs w:val="24"/>
                <w:highlight w:val="none"/>
              </w:rPr>
            </w:pPr>
          </w:p>
        </w:tc>
      </w:tr>
      <w:tr w14:paraId="37B6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76573EB">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191" w:type="dxa"/>
            <w:shd w:val="clear" w:color="auto" w:fill="auto"/>
            <w:vAlign w:val="center"/>
          </w:tcPr>
          <w:p w14:paraId="67388E83">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根据投标人的日常工作程序（具备维护医院内的医疗秩序、消防安全、常态化巡逻等各项活动，公共秩序，调解纠纷，疏导人流等）内容全面性、常态化管理对本项目实施的有利程度等情况进行的综合</w:t>
            </w:r>
            <w:r>
              <w:rPr>
                <w:rFonts w:hint="eastAsia" w:ascii="宋体" w:hAnsi="宋体" w:cs="宋体"/>
                <w:color w:val="auto"/>
                <w:sz w:val="24"/>
                <w:szCs w:val="24"/>
                <w:highlight w:val="none"/>
                <w:lang w:val="en-US" w:eastAsia="zh-CN"/>
              </w:rPr>
              <w:t>打</w:t>
            </w:r>
            <w:r>
              <w:rPr>
                <w:rFonts w:hint="eastAsia" w:ascii="宋体" w:hAnsi="宋体" w:eastAsia="宋体" w:cs="宋体"/>
                <w:color w:val="auto"/>
                <w:sz w:val="24"/>
                <w:szCs w:val="24"/>
                <w:highlight w:val="none"/>
              </w:rPr>
              <w:t>分。</w:t>
            </w:r>
          </w:p>
          <w:p w14:paraId="3DAA150C">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①方案内容完整、合理、可行的，得5分；</w:t>
            </w:r>
          </w:p>
          <w:p w14:paraId="6907B1CC">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②方案内容基本完整、具有一定可行性的，得4-4.9分；</w:t>
            </w:r>
          </w:p>
          <w:p w14:paraId="7CEA19D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③方案内容一般的，得3-3.9分；</w:t>
            </w:r>
          </w:p>
          <w:p w14:paraId="364BE54F">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④方案内容存在欠缺或有待完善的，得2-2.9分；</w:t>
            </w:r>
          </w:p>
          <w:p w14:paraId="7703539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⑤方案内容不符合招标要求的，得0.1-1.9分。未提供不得分。</w:t>
            </w:r>
          </w:p>
        </w:tc>
        <w:tc>
          <w:tcPr>
            <w:tcW w:w="750" w:type="dxa"/>
            <w:shd w:val="clear" w:color="auto" w:fill="auto"/>
            <w:vAlign w:val="center"/>
          </w:tcPr>
          <w:p w14:paraId="7EDCEE0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1" w:type="dxa"/>
            <w:vAlign w:val="center"/>
          </w:tcPr>
          <w:p w14:paraId="202720F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1459" w:type="dxa"/>
            <w:vAlign w:val="center"/>
          </w:tcPr>
          <w:p w14:paraId="773CC8BE">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保障措施</w:t>
            </w:r>
          </w:p>
        </w:tc>
      </w:tr>
      <w:tr w14:paraId="5616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55C88D6A">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6191" w:type="dxa"/>
            <w:shd w:val="clear" w:color="auto" w:fill="auto"/>
            <w:vAlign w:val="center"/>
          </w:tcPr>
          <w:p w14:paraId="7967E20E">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根据投标人的应急处置方案（具备应急预案、案件防控、打击犯罪、自然灾害、突发事件处置）的全面程度、响应时间及专业技术支持等对本项目实施的有利程度等情况进行综合打分。</w:t>
            </w:r>
          </w:p>
          <w:p w14:paraId="1E997934">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①内容完整、合理、可行的，得2分；</w:t>
            </w:r>
          </w:p>
          <w:p w14:paraId="7881EA8A">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②内容一般的，得1-1.9分；</w:t>
            </w:r>
          </w:p>
          <w:p w14:paraId="2A2C7227">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③内容存在欠缺或有待完善的，得0.1-0.9分；</w:t>
            </w:r>
          </w:p>
          <w:p w14:paraId="1432FC10">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750" w:type="dxa"/>
            <w:shd w:val="clear" w:color="auto" w:fill="auto"/>
            <w:vAlign w:val="center"/>
          </w:tcPr>
          <w:p w14:paraId="4BC395A8">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31" w:type="dxa"/>
            <w:vAlign w:val="center"/>
          </w:tcPr>
          <w:p w14:paraId="49D64B6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Merge w:val="restart"/>
            <w:vAlign w:val="center"/>
          </w:tcPr>
          <w:p w14:paraId="5F0FC575">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应急处置方案</w:t>
            </w:r>
          </w:p>
        </w:tc>
      </w:tr>
      <w:tr w14:paraId="53D9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5503DE46">
            <w:pPr>
              <w:snapToGrid w:val="0"/>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6191" w:type="dxa"/>
            <w:shd w:val="clear" w:color="auto" w:fill="auto"/>
            <w:vAlign w:val="center"/>
          </w:tcPr>
          <w:p w14:paraId="7EA1C601">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有应对暴恐事件等类型的应急预案且合理可行的</w:t>
            </w:r>
            <w:r>
              <w:rPr>
                <w:rFonts w:hint="eastAsia" w:ascii="宋体" w:hAnsi="宋体" w:eastAsia="宋体" w:cs="宋体"/>
                <w:color w:val="auto"/>
                <w:sz w:val="24"/>
                <w:szCs w:val="24"/>
                <w:lang w:eastAsia="zh-CN"/>
              </w:rPr>
              <w:t>。</w:t>
            </w:r>
          </w:p>
          <w:p w14:paraId="4247DBE6">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①内容完整、合理、可行的，得2分；</w:t>
            </w:r>
          </w:p>
          <w:p w14:paraId="53FFA1CF">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②内容一般的，得1-1.9分；</w:t>
            </w:r>
          </w:p>
          <w:p w14:paraId="46D7D448">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③内容存在欠缺或有待完善的，得0.1-0.9分；</w:t>
            </w:r>
          </w:p>
          <w:p w14:paraId="3EEE6F99">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④未提供不得分。</w:t>
            </w:r>
          </w:p>
        </w:tc>
        <w:tc>
          <w:tcPr>
            <w:tcW w:w="750" w:type="dxa"/>
            <w:shd w:val="clear" w:color="auto" w:fill="auto"/>
            <w:vAlign w:val="center"/>
          </w:tcPr>
          <w:p w14:paraId="12ED8948">
            <w:pPr>
              <w:spacing w:line="440" w:lineRule="exact"/>
              <w:jc w:val="center"/>
              <w:rPr>
                <w:rFonts w:hint="default" w:ascii="宋体" w:hAnsi="宋体" w:cs="宋体"/>
                <w:b w:val="0"/>
                <w:bCs/>
                <w:color w:val="auto"/>
                <w:sz w:val="24"/>
                <w:szCs w:val="24"/>
                <w:vertAlign w:val="baseline"/>
                <w:lang w:val="en-US" w:eastAsia="zh-CN"/>
              </w:rPr>
            </w:pPr>
            <w:r>
              <w:rPr>
                <w:rFonts w:hint="eastAsia" w:ascii="宋体" w:hAnsi="宋体" w:cs="宋体"/>
                <w:b w:val="0"/>
                <w:bCs/>
                <w:color w:val="auto"/>
                <w:sz w:val="24"/>
                <w:szCs w:val="24"/>
                <w:vertAlign w:val="baseline"/>
                <w:lang w:val="en-US" w:eastAsia="zh-CN"/>
              </w:rPr>
              <w:t>2</w:t>
            </w:r>
          </w:p>
        </w:tc>
        <w:tc>
          <w:tcPr>
            <w:tcW w:w="1131" w:type="dxa"/>
            <w:vAlign w:val="center"/>
          </w:tcPr>
          <w:p w14:paraId="704C25DB">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Merge w:val="continue"/>
            <w:vAlign w:val="center"/>
          </w:tcPr>
          <w:p w14:paraId="1998CA70">
            <w:pPr>
              <w:spacing w:line="360" w:lineRule="auto"/>
              <w:jc w:val="center"/>
              <w:outlineLvl w:val="0"/>
              <w:rPr>
                <w:rFonts w:hint="eastAsia" w:ascii="宋体" w:hAnsi="宋体" w:eastAsia="宋体" w:cs="宋体"/>
                <w:bCs/>
                <w:color w:val="auto"/>
                <w:sz w:val="24"/>
                <w:szCs w:val="24"/>
                <w:highlight w:val="none"/>
                <w:lang w:eastAsia="zh-CN"/>
              </w:rPr>
            </w:pPr>
          </w:p>
        </w:tc>
      </w:tr>
      <w:tr w14:paraId="2C54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6003EA29">
            <w:pPr>
              <w:snapToGrid w:val="0"/>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p>
        </w:tc>
        <w:tc>
          <w:tcPr>
            <w:tcW w:w="6191" w:type="dxa"/>
            <w:shd w:val="clear" w:color="auto" w:fill="auto"/>
            <w:vAlign w:val="center"/>
          </w:tcPr>
          <w:p w14:paraId="3F4483EC">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有应对重大活动或重要接待任务等类型的应急预案且合理可行的</w:t>
            </w:r>
            <w:r>
              <w:rPr>
                <w:rFonts w:hint="eastAsia" w:ascii="宋体" w:hAnsi="宋体" w:eastAsia="宋体" w:cs="宋体"/>
                <w:color w:val="auto"/>
                <w:sz w:val="24"/>
                <w:szCs w:val="24"/>
                <w:lang w:eastAsia="zh-CN"/>
              </w:rPr>
              <w:t>。</w:t>
            </w:r>
          </w:p>
          <w:p w14:paraId="2EC19DEB">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①内容完整、合理、可行的，得2分；</w:t>
            </w:r>
          </w:p>
          <w:p w14:paraId="799245B0">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②内容一般的，得1-1.9分；</w:t>
            </w:r>
          </w:p>
          <w:p w14:paraId="7C850CF6">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③内容存在欠缺或有待完善的，得0.1-0.9分；</w:t>
            </w:r>
          </w:p>
          <w:p w14:paraId="7BAD34BC">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④未提供不得分。</w:t>
            </w:r>
          </w:p>
        </w:tc>
        <w:tc>
          <w:tcPr>
            <w:tcW w:w="750" w:type="dxa"/>
            <w:shd w:val="clear" w:color="auto" w:fill="auto"/>
            <w:vAlign w:val="center"/>
          </w:tcPr>
          <w:p w14:paraId="7A6AD952">
            <w:pPr>
              <w:spacing w:line="440" w:lineRule="exact"/>
              <w:jc w:val="center"/>
              <w:rPr>
                <w:rFonts w:hint="default" w:ascii="宋体" w:hAnsi="宋体" w:cs="宋体"/>
                <w:b w:val="0"/>
                <w:bCs/>
                <w:color w:val="auto"/>
                <w:sz w:val="24"/>
                <w:szCs w:val="24"/>
                <w:vertAlign w:val="baseline"/>
                <w:lang w:val="en-US" w:eastAsia="zh-CN"/>
              </w:rPr>
            </w:pPr>
            <w:r>
              <w:rPr>
                <w:rFonts w:hint="eastAsia" w:ascii="宋体" w:hAnsi="宋体" w:cs="宋体"/>
                <w:b w:val="0"/>
                <w:bCs/>
                <w:color w:val="auto"/>
                <w:sz w:val="24"/>
                <w:szCs w:val="24"/>
                <w:vertAlign w:val="baseline"/>
                <w:lang w:val="en-US" w:eastAsia="zh-CN"/>
              </w:rPr>
              <w:t>2</w:t>
            </w:r>
          </w:p>
        </w:tc>
        <w:tc>
          <w:tcPr>
            <w:tcW w:w="1131" w:type="dxa"/>
            <w:vAlign w:val="center"/>
          </w:tcPr>
          <w:p w14:paraId="7744F87F">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Align w:val="center"/>
          </w:tcPr>
          <w:p w14:paraId="0B45505F">
            <w:pPr>
              <w:spacing w:line="360" w:lineRule="auto"/>
              <w:jc w:val="center"/>
              <w:outlineLvl w:val="0"/>
              <w:rPr>
                <w:rFonts w:hint="eastAsia" w:ascii="宋体" w:hAnsi="宋体" w:eastAsia="宋体" w:cs="宋体"/>
                <w:bCs/>
                <w:color w:val="auto"/>
                <w:sz w:val="24"/>
                <w:szCs w:val="24"/>
                <w:highlight w:val="none"/>
                <w:lang w:eastAsia="zh-CN"/>
              </w:rPr>
            </w:pPr>
          </w:p>
        </w:tc>
      </w:tr>
      <w:tr w14:paraId="0C7F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643EAC3A">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6191" w:type="dxa"/>
            <w:shd w:val="clear" w:color="auto" w:fill="auto"/>
            <w:vAlign w:val="center"/>
          </w:tcPr>
          <w:p w14:paraId="191A58CB">
            <w:pPr>
              <w:spacing w:line="4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根据医院保安服务特性，针对本项目投标人拟提供的装备器材、设备清单</w:t>
            </w:r>
            <w:r>
              <w:rPr>
                <w:rFonts w:hint="eastAsia" w:ascii="宋体" w:hAnsi="宋体" w:eastAsia="宋体" w:cs="宋体"/>
                <w:color w:val="auto"/>
                <w:sz w:val="24"/>
                <w:szCs w:val="24"/>
                <w:lang w:eastAsia="zh-CN"/>
              </w:rPr>
              <w:t>进行综合评分。</w:t>
            </w:r>
          </w:p>
          <w:p w14:paraId="018DFBA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①内容完整、合理、可行的，得4分；</w:t>
            </w:r>
          </w:p>
          <w:p w14:paraId="5536E975">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07FC503D">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648FDCE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39B70FC9">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⑤未提供不得分。</w:t>
            </w:r>
          </w:p>
        </w:tc>
        <w:tc>
          <w:tcPr>
            <w:tcW w:w="750" w:type="dxa"/>
            <w:shd w:val="clear" w:color="auto" w:fill="auto"/>
            <w:vAlign w:val="center"/>
          </w:tcPr>
          <w:p w14:paraId="6D554D26">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31" w:type="dxa"/>
            <w:vAlign w:val="center"/>
          </w:tcPr>
          <w:p w14:paraId="26E3933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Align w:val="center"/>
          </w:tcPr>
          <w:p w14:paraId="5AFE01F7">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装备器材</w:t>
            </w:r>
          </w:p>
        </w:tc>
      </w:tr>
      <w:tr w14:paraId="6261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2DE3F21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191" w:type="dxa"/>
            <w:shd w:val="clear" w:color="auto" w:fill="auto"/>
            <w:vAlign w:val="center"/>
          </w:tcPr>
          <w:p w14:paraId="1E81A7CC">
            <w:pPr>
              <w:pStyle w:val="61"/>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投标人根据本采购项目的情况，提供具有实施性的增值服务内容进行综合评审。</w:t>
            </w:r>
          </w:p>
          <w:p w14:paraId="7690816A">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2"/>
                <w:sz w:val="24"/>
                <w:szCs w:val="24"/>
                <w:lang w:val="en-US" w:eastAsia="zh-CN" w:bidi="ar-SA"/>
              </w:rPr>
              <w:t>①内容完整、合理、可行的，得2分</w:t>
            </w:r>
            <w:r>
              <w:rPr>
                <w:rFonts w:hint="eastAsia" w:ascii="宋体" w:hAnsi="宋体" w:eastAsia="宋体" w:cs="宋体"/>
                <w:color w:val="auto"/>
                <w:sz w:val="24"/>
                <w:szCs w:val="24"/>
                <w:highlight w:val="none"/>
                <w:lang w:val="en-US" w:eastAsia="zh-CN"/>
              </w:rPr>
              <w:t>；</w:t>
            </w:r>
          </w:p>
          <w:p w14:paraId="1011F2F1">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②内容一般的，得1-1.9分；</w:t>
            </w:r>
          </w:p>
          <w:p w14:paraId="747C52C0">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③内容存在欠缺或有待完善的，得0.1-0.9分；</w:t>
            </w:r>
          </w:p>
          <w:p w14:paraId="62A5D995">
            <w:pPr>
              <w:spacing w:line="440" w:lineRule="exact"/>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④未提供不得分。</w:t>
            </w:r>
          </w:p>
        </w:tc>
        <w:tc>
          <w:tcPr>
            <w:tcW w:w="750" w:type="dxa"/>
            <w:shd w:val="clear" w:color="auto" w:fill="auto"/>
            <w:vAlign w:val="center"/>
          </w:tcPr>
          <w:p w14:paraId="1F982B38">
            <w:pPr>
              <w:spacing w:line="440" w:lineRule="exac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2</w:t>
            </w:r>
          </w:p>
        </w:tc>
        <w:tc>
          <w:tcPr>
            <w:tcW w:w="1131" w:type="dxa"/>
            <w:vAlign w:val="center"/>
          </w:tcPr>
          <w:p w14:paraId="1616D886">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Align w:val="center"/>
          </w:tcPr>
          <w:p w14:paraId="45A8062C">
            <w:pPr>
              <w:spacing w:line="360" w:lineRule="auto"/>
              <w:jc w:val="center"/>
              <w:outlineLvl w:val="0"/>
              <w:rPr>
                <w:rFonts w:hint="default" w:ascii="宋体" w:hAnsi="宋体" w:eastAsia="宋体" w:cs="宋体"/>
                <w:bCs/>
                <w:color w:val="auto"/>
                <w:sz w:val="24"/>
                <w:szCs w:val="24"/>
                <w:highlight w:val="none"/>
                <w:lang w:val="en-US"/>
              </w:rPr>
            </w:pPr>
            <w:r>
              <w:rPr>
                <w:rFonts w:hint="eastAsia" w:ascii="宋体" w:hAnsi="宋体" w:cs="宋体"/>
                <w:b w:val="0"/>
                <w:bCs/>
                <w:color w:val="auto"/>
                <w:sz w:val="24"/>
                <w:szCs w:val="24"/>
                <w:vertAlign w:val="baseline"/>
                <w:lang w:val="en-US" w:eastAsia="zh-CN"/>
              </w:rPr>
              <w:t>增值服务</w:t>
            </w:r>
          </w:p>
        </w:tc>
      </w:tr>
      <w:tr w14:paraId="31C7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1D0B30D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6191" w:type="dxa"/>
            <w:shd w:val="clear" w:color="auto" w:fill="auto"/>
            <w:vAlign w:val="center"/>
          </w:tcPr>
          <w:p w14:paraId="41473699">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根据本项目的现状及实际情况，提出合理化建议，根据内容进行评审。</w:t>
            </w:r>
          </w:p>
          <w:p w14:paraId="1E4FD0F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①内容完整、合理、可行的，得4分；</w:t>
            </w:r>
          </w:p>
          <w:p w14:paraId="1476ED4C">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443C65CE">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12F5141C">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6540BF7B">
            <w:pPr>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⑤未提供不得分。</w:t>
            </w:r>
          </w:p>
        </w:tc>
        <w:tc>
          <w:tcPr>
            <w:tcW w:w="750" w:type="dxa"/>
            <w:shd w:val="clear" w:color="auto" w:fill="auto"/>
            <w:vAlign w:val="center"/>
          </w:tcPr>
          <w:p w14:paraId="5BDEA61C">
            <w:pPr>
              <w:spacing w:line="44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131" w:type="dxa"/>
            <w:vAlign w:val="center"/>
          </w:tcPr>
          <w:p w14:paraId="5CA3B5CF">
            <w:pPr>
              <w:topLinePunct/>
              <w:adjustRightInd w:val="0"/>
              <w:snapToGrid/>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主观分</w:t>
            </w:r>
          </w:p>
        </w:tc>
        <w:tc>
          <w:tcPr>
            <w:tcW w:w="1459" w:type="dxa"/>
            <w:vAlign w:val="center"/>
          </w:tcPr>
          <w:p w14:paraId="4CE8D7E4">
            <w:pPr>
              <w:topLinePunct/>
              <w:adjustRightInd w:val="0"/>
              <w:snapToGrid/>
              <w:spacing w:line="44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highlight w:val="none"/>
                <w:lang w:val="en-US" w:eastAsia="zh-CN"/>
              </w:rPr>
              <w:t>服务承诺</w:t>
            </w:r>
          </w:p>
        </w:tc>
      </w:tr>
      <w:tr w14:paraId="474E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047D48A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p>
        </w:tc>
        <w:tc>
          <w:tcPr>
            <w:tcW w:w="6191" w:type="dxa"/>
            <w:shd w:val="clear" w:color="auto" w:fill="auto"/>
            <w:vAlign w:val="center"/>
          </w:tcPr>
          <w:p w14:paraId="1C86B852">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根据各投标人制订的培训计划(对员工进行岗位培训、日常培训和文明礼仪培训、保密培训等)及培训内容、培训方式等培训方案进行打分。</w:t>
            </w:r>
          </w:p>
          <w:p w14:paraId="33408467">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①内容完整、合理、可行的，得3分</w:t>
            </w:r>
            <w:r>
              <w:rPr>
                <w:rFonts w:hint="eastAsia" w:ascii="宋体" w:hAnsi="宋体" w:cs="宋体"/>
                <w:b w:val="0"/>
                <w:bCs w:val="0"/>
                <w:color w:val="auto"/>
                <w:sz w:val="24"/>
                <w:szCs w:val="24"/>
                <w:lang w:val="en-US" w:eastAsia="zh-CN"/>
              </w:rPr>
              <w:t>；</w:t>
            </w:r>
          </w:p>
          <w:p w14:paraId="62F59E63">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②内容基本完整、具有一定可行性的，得 2-2.9分</w:t>
            </w:r>
            <w:r>
              <w:rPr>
                <w:rFonts w:hint="eastAsia" w:ascii="宋体" w:hAnsi="宋体" w:cs="宋体"/>
                <w:b w:val="0"/>
                <w:bCs w:val="0"/>
                <w:color w:val="auto"/>
                <w:sz w:val="24"/>
                <w:szCs w:val="24"/>
                <w:lang w:val="en-US" w:eastAsia="zh-CN"/>
              </w:rPr>
              <w:t>；</w:t>
            </w:r>
          </w:p>
          <w:p w14:paraId="3165A976">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③内容一般的，得 0.1-1.9分</w:t>
            </w:r>
            <w:r>
              <w:rPr>
                <w:rFonts w:hint="eastAsia" w:ascii="宋体" w:hAnsi="宋体" w:cs="宋体"/>
                <w:b w:val="0"/>
                <w:bCs w:val="0"/>
                <w:color w:val="auto"/>
                <w:sz w:val="24"/>
                <w:szCs w:val="24"/>
                <w:lang w:val="en-US" w:eastAsia="zh-CN"/>
              </w:rPr>
              <w:t>；</w:t>
            </w:r>
          </w:p>
          <w:p w14:paraId="10E4D2D5">
            <w:pPr>
              <w:keepNext w:val="0"/>
              <w:keepLines w:val="0"/>
              <w:pageBreakBefore w:val="0"/>
              <w:widowControl w:val="0"/>
              <w:kinsoku/>
              <w:wordWrap/>
              <w:overflowPunct/>
              <w:topLinePunct w:val="0"/>
              <w:autoSpaceDE/>
              <w:autoSpaceDN/>
              <w:bidi w:val="0"/>
              <w:adjustRightInd w:val="0"/>
              <w:spacing w:line="44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④未提供不得分。</w:t>
            </w:r>
          </w:p>
        </w:tc>
        <w:tc>
          <w:tcPr>
            <w:tcW w:w="750" w:type="dxa"/>
            <w:shd w:val="clear" w:color="auto" w:fill="auto"/>
            <w:vAlign w:val="center"/>
          </w:tcPr>
          <w:p w14:paraId="57A61668">
            <w:pPr>
              <w:spacing w:line="440" w:lineRule="exact"/>
              <w:jc w:val="center"/>
              <w:rPr>
                <w:rFonts w:hint="eastAsia" w:ascii="宋体" w:hAnsi="宋体" w:eastAsia="宋体" w:cs="宋体"/>
                <w:bCs/>
                <w:color w:val="auto"/>
                <w:sz w:val="24"/>
                <w:szCs w:val="24"/>
                <w:lang w:val="en-US" w:eastAsia="zh-CN"/>
              </w:rPr>
            </w:pPr>
            <w:r>
              <w:rPr>
                <w:rFonts w:hint="eastAsia" w:ascii="宋体" w:hAnsi="宋体" w:cs="宋体"/>
                <w:b w:val="0"/>
                <w:bCs/>
                <w:color w:val="auto"/>
                <w:sz w:val="24"/>
                <w:szCs w:val="24"/>
                <w:vertAlign w:val="baseline"/>
                <w:lang w:val="en-US" w:eastAsia="zh-CN"/>
              </w:rPr>
              <w:t>3</w:t>
            </w:r>
          </w:p>
        </w:tc>
        <w:tc>
          <w:tcPr>
            <w:tcW w:w="1131" w:type="dxa"/>
            <w:vAlign w:val="center"/>
          </w:tcPr>
          <w:p w14:paraId="6C0FEB0C">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Align w:val="center"/>
          </w:tcPr>
          <w:p w14:paraId="11474D49">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vertAlign w:val="baseline"/>
                <w:lang w:val="en-US" w:eastAsia="zh-CN"/>
              </w:rPr>
              <w:t>培训方案</w:t>
            </w:r>
          </w:p>
        </w:tc>
      </w:tr>
      <w:tr w14:paraId="1220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38306FEA">
            <w:pPr>
              <w:topLinePunct/>
              <w:adjustRightInd w:val="0"/>
              <w:snapToGrid/>
              <w:spacing w:line="440" w:lineRule="exact"/>
              <w:jc w:val="center"/>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8</w:t>
            </w:r>
          </w:p>
        </w:tc>
        <w:tc>
          <w:tcPr>
            <w:tcW w:w="6191" w:type="dxa"/>
            <w:shd w:val="clear" w:color="auto" w:fill="auto"/>
            <w:vAlign w:val="center"/>
          </w:tcPr>
          <w:p w14:paraId="23466401">
            <w:pPr>
              <w:spacing w:line="44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根据本项目的现状及实际情况，提出合理化建议，根据内容进行评审。</w:t>
            </w:r>
          </w:p>
          <w:p w14:paraId="0A84513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①内容完整、合理、可行的，得4分；</w:t>
            </w:r>
          </w:p>
          <w:p w14:paraId="6E8E8EF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②内容基本完整、具有一定可行性的，得3-3.9分；</w:t>
            </w:r>
          </w:p>
          <w:p w14:paraId="5653D5C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③内容一般的，得2-2.9分；</w:t>
            </w:r>
          </w:p>
          <w:p w14:paraId="4FDA60C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④内容存在欠缺或有待完善的，得0.1-1.9分；</w:t>
            </w:r>
          </w:p>
          <w:p w14:paraId="09B40333">
            <w:pPr>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⑤未提供不得分。</w:t>
            </w:r>
          </w:p>
        </w:tc>
        <w:tc>
          <w:tcPr>
            <w:tcW w:w="750" w:type="dxa"/>
            <w:shd w:val="clear" w:color="auto" w:fill="auto"/>
            <w:vAlign w:val="center"/>
          </w:tcPr>
          <w:p w14:paraId="52B98AC6">
            <w:pPr>
              <w:spacing w:line="440" w:lineRule="exac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4</w:t>
            </w:r>
          </w:p>
        </w:tc>
        <w:tc>
          <w:tcPr>
            <w:tcW w:w="1131" w:type="dxa"/>
            <w:vAlign w:val="center"/>
          </w:tcPr>
          <w:p w14:paraId="576968C7">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459" w:type="dxa"/>
            <w:vAlign w:val="center"/>
          </w:tcPr>
          <w:p w14:paraId="79CCB34D">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合理化建议</w:t>
            </w:r>
          </w:p>
        </w:tc>
      </w:tr>
      <w:tr w14:paraId="777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vAlign w:val="center"/>
          </w:tcPr>
          <w:p w14:paraId="3E45B3D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19</w:t>
            </w:r>
          </w:p>
        </w:tc>
        <w:tc>
          <w:tcPr>
            <w:tcW w:w="6191" w:type="dxa"/>
            <w:shd w:val="clear" w:color="auto" w:fill="auto"/>
            <w:vAlign w:val="top"/>
          </w:tcPr>
          <w:p w14:paraId="6A20714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有效投标报价</w:t>
            </w:r>
            <w:r>
              <w:rPr>
                <w:rFonts w:hint="eastAsia" w:ascii="宋体" w:hAnsi="宋体" w:eastAsia="宋体" w:cs="宋体"/>
                <w:color w:val="auto"/>
                <w:sz w:val="24"/>
                <w:szCs w:val="24"/>
                <w:highlight w:val="none"/>
              </w:rPr>
              <w:t>的最低价作为评标基</w:t>
            </w:r>
            <w:r>
              <w:rPr>
                <w:rFonts w:hint="eastAsia" w:ascii="宋体" w:hAnsi="宋体" w:eastAsia="宋体" w:cs="宋体"/>
                <w:color w:val="auto"/>
                <w:sz w:val="24"/>
                <w:szCs w:val="24"/>
              </w:rPr>
              <w:t>准价，其最低报价为满分；按［投标报价得分=（评标基准价/投标报价）*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0］的计算公式计算。</w:t>
            </w:r>
          </w:p>
          <w:p w14:paraId="5E285C3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067E3E5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报价是中标的一个重要因素，但最低报价不是中标的唯一依据。</w:t>
            </w:r>
          </w:p>
        </w:tc>
        <w:tc>
          <w:tcPr>
            <w:tcW w:w="750" w:type="dxa"/>
            <w:shd w:val="clear" w:color="auto" w:fill="auto"/>
            <w:vAlign w:val="center"/>
          </w:tcPr>
          <w:p w14:paraId="5E6D602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1131" w:type="dxa"/>
            <w:shd w:val="clear" w:color="auto" w:fill="auto"/>
            <w:vAlign w:val="center"/>
          </w:tcPr>
          <w:p w14:paraId="7C5EBD0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w:t>
            </w:r>
          </w:p>
        </w:tc>
        <w:tc>
          <w:tcPr>
            <w:tcW w:w="1459" w:type="dxa"/>
            <w:shd w:val="clear" w:color="auto" w:fill="auto"/>
            <w:vAlign w:val="center"/>
          </w:tcPr>
          <w:p w14:paraId="7357587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sz w:val="24"/>
                <w:szCs w:val="24"/>
              </w:rPr>
            </w:pPr>
          </w:p>
        </w:tc>
      </w:tr>
    </w:tbl>
    <w:p w14:paraId="5E7E2B44">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425" w:name="第五部分"/>
      <w:bookmarkStart w:id="426"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p>
    <w:p w14:paraId="2836363E">
      <w:pPr>
        <w:spacing w:line="360" w:lineRule="auto"/>
        <w:ind w:left="720" w:leftChars="343" w:firstLine="1084" w:firstLineChars="300"/>
        <w:outlineLvl w:val="0"/>
        <w:rPr>
          <w:rFonts w:hint="eastAsia" w:ascii="宋体" w:hAnsi="宋体" w:cs="宋体"/>
          <w:b/>
          <w:color w:val="auto"/>
          <w:sz w:val="36"/>
          <w:szCs w:val="36"/>
          <w:highlight w:val="none"/>
        </w:rPr>
      </w:pPr>
    </w:p>
    <w:p w14:paraId="44E7AB2B">
      <w:pPr>
        <w:spacing w:line="360" w:lineRule="auto"/>
        <w:ind w:left="720" w:leftChars="343" w:firstLine="1084" w:firstLineChars="300"/>
        <w:outlineLvl w:val="0"/>
        <w:rPr>
          <w:rFonts w:hint="eastAsia" w:ascii="宋体" w:hAnsi="宋体" w:cs="宋体"/>
          <w:b/>
          <w:color w:val="auto"/>
          <w:sz w:val="36"/>
          <w:szCs w:val="36"/>
          <w:highlight w:val="none"/>
        </w:rPr>
      </w:pPr>
    </w:p>
    <w:p w14:paraId="39C2793F">
      <w:pPr>
        <w:spacing w:line="360" w:lineRule="auto"/>
        <w:ind w:left="720" w:leftChars="343" w:firstLine="1084" w:firstLineChars="300"/>
        <w:outlineLvl w:val="0"/>
        <w:rPr>
          <w:rFonts w:hint="eastAsia" w:ascii="宋体" w:hAnsi="宋体" w:cs="宋体"/>
          <w:b/>
          <w:color w:val="auto"/>
          <w:sz w:val="36"/>
          <w:szCs w:val="36"/>
          <w:highlight w:val="none"/>
        </w:rPr>
      </w:pPr>
    </w:p>
    <w:p w14:paraId="196AC71E">
      <w:pPr>
        <w:spacing w:line="360" w:lineRule="auto"/>
        <w:ind w:left="720" w:leftChars="343" w:firstLine="1084" w:firstLineChars="300"/>
        <w:outlineLvl w:val="0"/>
        <w:rPr>
          <w:rFonts w:hint="eastAsia" w:ascii="宋体" w:hAnsi="宋体" w:cs="宋体"/>
          <w:b/>
          <w:color w:val="auto"/>
          <w:sz w:val="36"/>
          <w:szCs w:val="36"/>
          <w:highlight w:val="none"/>
        </w:rPr>
      </w:pPr>
    </w:p>
    <w:p w14:paraId="65B1EC24">
      <w:pPr>
        <w:spacing w:line="360" w:lineRule="auto"/>
        <w:ind w:left="720" w:leftChars="343" w:firstLine="1084" w:firstLineChars="300"/>
        <w:outlineLvl w:val="0"/>
        <w:rPr>
          <w:rFonts w:hint="eastAsia" w:ascii="宋体" w:hAnsi="宋体" w:cs="宋体"/>
          <w:b/>
          <w:color w:val="auto"/>
          <w:sz w:val="36"/>
          <w:szCs w:val="36"/>
          <w:highlight w:val="none"/>
        </w:rPr>
      </w:pPr>
    </w:p>
    <w:p w14:paraId="566CEA60">
      <w:pPr>
        <w:spacing w:line="360" w:lineRule="auto"/>
        <w:ind w:left="720" w:leftChars="343" w:firstLine="1084" w:firstLineChars="300"/>
        <w:outlineLvl w:val="0"/>
        <w:rPr>
          <w:rFonts w:hint="eastAsia"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桐庐县妇幼保健院（桐庐县城南街道社区卫生服务中心）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桐庐县妇幼保健院安保服务项目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桐庐县妇幼保健院（桐庐县城南街道社区卫生服务中心）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27" w:name="_Toc22967"/>
      <w:bookmarkStart w:id="428" w:name="_Toc15367"/>
      <w:bookmarkStart w:id="429" w:name="_Toc28855"/>
      <w:bookmarkStart w:id="430" w:name="_Toc19273"/>
      <w:bookmarkStart w:id="431"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7"/>
      <w:bookmarkEnd w:id="428"/>
      <w:bookmarkEnd w:id="429"/>
      <w:bookmarkEnd w:id="430"/>
      <w:bookmarkEnd w:id="43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32" w:name="_Toc6311"/>
      <w:bookmarkStart w:id="433" w:name="_Toc18585"/>
      <w:bookmarkStart w:id="434" w:name="_Toc6773"/>
      <w:bookmarkStart w:id="435" w:name="_Toc2918"/>
      <w:bookmarkStart w:id="43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32"/>
      <w:bookmarkEnd w:id="433"/>
      <w:bookmarkEnd w:id="434"/>
      <w:bookmarkEnd w:id="435"/>
      <w:bookmarkEnd w:id="43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bookmarkStart w:id="437" w:name="_Toc1386"/>
      <w:bookmarkStart w:id="438" w:name="_Toc13918"/>
      <w:bookmarkStart w:id="439" w:name="_Toc4929"/>
      <w:bookmarkStart w:id="440" w:name="_Toc5635"/>
      <w:bookmarkStart w:id="441" w:name="_Toc21124"/>
      <w:r>
        <w:rPr>
          <w:rFonts w:ascii="宋体" w:hAnsi="宋体"/>
          <w:b/>
          <w:color w:val="auto"/>
          <w:sz w:val="24"/>
          <w:highlight w:val="none"/>
        </w:rPr>
        <w:t>1.3 价款</w:t>
      </w:r>
      <w:bookmarkEnd w:id="437"/>
      <w:bookmarkEnd w:id="438"/>
      <w:bookmarkEnd w:id="439"/>
      <w:bookmarkEnd w:id="440"/>
      <w:bookmarkEnd w:id="44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2"/>
              <w:spacing w:line="560" w:lineRule="exact"/>
              <w:ind w:firstLine="200"/>
              <w:jc w:val="center"/>
              <w:rPr>
                <w:rFonts w:hAnsi="宋体"/>
                <w:color w:val="auto"/>
                <w:sz w:val="24"/>
                <w:szCs w:val="24"/>
                <w:highlight w:val="none"/>
              </w:rPr>
            </w:pPr>
          </w:p>
        </w:tc>
        <w:tc>
          <w:tcPr>
            <w:tcW w:w="3402" w:type="dxa"/>
            <w:vAlign w:val="center"/>
          </w:tcPr>
          <w:p w14:paraId="66BDB431">
            <w:pPr>
              <w:pStyle w:val="322"/>
              <w:spacing w:line="560" w:lineRule="exact"/>
              <w:ind w:firstLine="200"/>
              <w:jc w:val="center"/>
              <w:rPr>
                <w:rFonts w:hAnsi="宋体"/>
                <w:color w:val="auto"/>
                <w:sz w:val="24"/>
                <w:szCs w:val="24"/>
                <w:highlight w:val="none"/>
              </w:rPr>
            </w:pPr>
          </w:p>
        </w:tc>
        <w:tc>
          <w:tcPr>
            <w:tcW w:w="2552" w:type="dxa"/>
            <w:vAlign w:val="center"/>
          </w:tcPr>
          <w:p w14:paraId="0EC443E3">
            <w:pPr>
              <w:pStyle w:val="322"/>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2"/>
              <w:spacing w:line="560" w:lineRule="exact"/>
              <w:ind w:firstLine="200"/>
              <w:jc w:val="center"/>
              <w:rPr>
                <w:rFonts w:hAnsi="宋体"/>
                <w:color w:val="auto"/>
                <w:sz w:val="24"/>
                <w:szCs w:val="24"/>
                <w:highlight w:val="none"/>
              </w:rPr>
            </w:pPr>
          </w:p>
        </w:tc>
        <w:tc>
          <w:tcPr>
            <w:tcW w:w="3402" w:type="dxa"/>
            <w:vAlign w:val="center"/>
          </w:tcPr>
          <w:p w14:paraId="26CA5BD6">
            <w:pPr>
              <w:pStyle w:val="322"/>
              <w:spacing w:line="560" w:lineRule="exact"/>
              <w:ind w:firstLine="200"/>
              <w:jc w:val="center"/>
              <w:rPr>
                <w:rFonts w:hAnsi="宋体"/>
                <w:color w:val="auto"/>
                <w:sz w:val="24"/>
                <w:szCs w:val="24"/>
                <w:highlight w:val="none"/>
              </w:rPr>
            </w:pPr>
          </w:p>
        </w:tc>
        <w:tc>
          <w:tcPr>
            <w:tcW w:w="2552" w:type="dxa"/>
            <w:vAlign w:val="center"/>
          </w:tcPr>
          <w:p w14:paraId="0258EB1E">
            <w:pPr>
              <w:pStyle w:val="322"/>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2"/>
              <w:spacing w:line="560" w:lineRule="exact"/>
              <w:ind w:firstLine="200"/>
              <w:jc w:val="center"/>
              <w:rPr>
                <w:rFonts w:hAnsi="宋体"/>
                <w:color w:val="auto"/>
                <w:sz w:val="24"/>
                <w:szCs w:val="24"/>
                <w:highlight w:val="none"/>
              </w:rPr>
            </w:pPr>
          </w:p>
        </w:tc>
        <w:tc>
          <w:tcPr>
            <w:tcW w:w="3402" w:type="dxa"/>
            <w:vAlign w:val="center"/>
          </w:tcPr>
          <w:p w14:paraId="637D5711">
            <w:pPr>
              <w:pStyle w:val="322"/>
              <w:spacing w:line="560" w:lineRule="exact"/>
              <w:ind w:firstLine="200"/>
              <w:jc w:val="center"/>
              <w:rPr>
                <w:rFonts w:hAnsi="宋体"/>
                <w:color w:val="auto"/>
                <w:sz w:val="24"/>
                <w:szCs w:val="24"/>
                <w:highlight w:val="none"/>
              </w:rPr>
            </w:pPr>
          </w:p>
        </w:tc>
        <w:tc>
          <w:tcPr>
            <w:tcW w:w="2552" w:type="dxa"/>
            <w:vAlign w:val="center"/>
          </w:tcPr>
          <w:p w14:paraId="42D0E712">
            <w:pPr>
              <w:pStyle w:val="322"/>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2"/>
              <w:spacing w:line="560" w:lineRule="exact"/>
              <w:ind w:firstLine="200"/>
              <w:jc w:val="center"/>
              <w:rPr>
                <w:rFonts w:hAnsi="宋体"/>
                <w:color w:val="auto"/>
                <w:sz w:val="24"/>
                <w:szCs w:val="24"/>
                <w:highlight w:val="none"/>
              </w:rPr>
            </w:pPr>
          </w:p>
        </w:tc>
        <w:tc>
          <w:tcPr>
            <w:tcW w:w="3402" w:type="dxa"/>
            <w:vAlign w:val="center"/>
          </w:tcPr>
          <w:p w14:paraId="14D192BB">
            <w:pPr>
              <w:pStyle w:val="322"/>
              <w:spacing w:line="560" w:lineRule="exact"/>
              <w:ind w:firstLine="200"/>
              <w:jc w:val="center"/>
              <w:rPr>
                <w:rFonts w:hAnsi="宋体"/>
                <w:color w:val="auto"/>
                <w:sz w:val="24"/>
                <w:szCs w:val="24"/>
                <w:highlight w:val="none"/>
              </w:rPr>
            </w:pPr>
          </w:p>
        </w:tc>
        <w:tc>
          <w:tcPr>
            <w:tcW w:w="2552" w:type="dxa"/>
            <w:vAlign w:val="center"/>
          </w:tcPr>
          <w:p w14:paraId="0E5769EB">
            <w:pPr>
              <w:pStyle w:val="322"/>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2"/>
              <w:spacing w:line="560" w:lineRule="exact"/>
              <w:ind w:firstLine="200"/>
              <w:jc w:val="center"/>
              <w:rPr>
                <w:rFonts w:hAnsi="宋体"/>
                <w:color w:val="auto"/>
                <w:sz w:val="24"/>
                <w:szCs w:val="24"/>
                <w:highlight w:val="none"/>
              </w:rPr>
            </w:pPr>
          </w:p>
        </w:tc>
      </w:tr>
    </w:tbl>
    <w:p w14:paraId="7B981D6D">
      <w:pPr>
        <w:spacing w:line="560" w:lineRule="exact"/>
        <w:ind w:firstLine="480" w:firstLineChars="200"/>
        <w:rPr>
          <w:rFonts w:ascii="宋体" w:hAnsi="宋体"/>
          <w:sz w:val="24"/>
        </w:rPr>
      </w:pPr>
      <w:bookmarkStart w:id="442" w:name="_Toc3654"/>
      <w:bookmarkStart w:id="443" w:name="_Toc30506"/>
      <w:bookmarkStart w:id="444" w:name="_Toc30158"/>
      <w:bookmarkStart w:id="445" w:name="_Toc14993"/>
      <w:bookmarkStart w:id="446"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D43D79A">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42"/>
    <w:bookmarkEnd w:id="443"/>
    <w:bookmarkEnd w:id="444"/>
    <w:bookmarkEnd w:id="445"/>
    <w:bookmarkEnd w:id="446"/>
    <w:p w14:paraId="6B643519">
      <w:pPr>
        <w:pStyle w:val="961"/>
        <w:spacing w:before="0" w:beforeAutospacing="0" w:after="0" w:afterAutospacing="0" w:line="360" w:lineRule="auto"/>
        <w:ind w:firstLine="480"/>
        <w:rPr>
          <w:b/>
        </w:rPr>
      </w:pPr>
      <w:bookmarkStart w:id="447" w:name="_Toc10340"/>
      <w:bookmarkStart w:id="448" w:name="_Toc22618"/>
      <w:bookmarkStart w:id="449" w:name="_Toc1814"/>
      <w:bookmarkStart w:id="450" w:name="_Toc31421"/>
      <w:bookmarkStart w:id="451" w:name="_Toc4760"/>
      <w:bookmarkStart w:id="452" w:name="_Toc8772"/>
      <w:bookmarkStart w:id="453" w:name="_Toc11108"/>
      <w:bookmarkStart w:id="454" w:name="_Toc3625"/>
      <w:r>
        <w:rPr>
          <w:rFonts w:hint="eastAsia"/>
          <w:b/>
        </w:rPr>
        <w:t>1.4履约保证金</w:t>
      </w:r>
    </w:p>
    <w:p w14:paraId="579E3160">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1DA98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A192461">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9B77269">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F3C262">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D0C86C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47"/>
      <w:bookmarkEnd w:id="448"/>
      <w:bookmarkEnd w:id="449"/>
      <w:r>
        <w:rPr>
          <w:rFonts w:hint="eastAsia" w:ascii="宋体" w:hAnsi="宋体" w:cs="宋体"/>
          <w:b/>
          <w:sz w:val="24"/>
        </w:rPr>
        <w:t>预付款</w:t>
      </w:r>
    </w:p>
    <w:p w14:paraId="3A52066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A5DB25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6FFD0E2">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F022A27">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ABCFC16">
      <w:pPr>
        <w:pStyle w:val="961"/>
        <w:spacing w:before="0" w:beforeAutospacing="0" w:after="0" w:afterAutospacing="0" w:line="360" w:lineRule="auto"/>
        <w:ind w:firstLine="480"/>
        <w:rPr>
          <w:b/>
          <w:bCs/>
        </w:rPr>
      </w:pPr>
      <w:r>
        <w:rPr>
          <w:rFonts w:hint="eastAsia"/>
          <w:b/>
          <w:bCs/>
        </w:rPr>
        <w:t>1.6资金支付</w:t>
      </w:r>
    </w:p>
    <w:p w14:paraId="75856C66">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559783">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AEEBDED">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50"/>
      <w:bookmarkEnd w:id="451"/>
      <w:bookmarkEnd w:id="452"/>
      <w:bookmarkEnd w:id="453"/>
      <w:bookmarkEnd w:id="454"/>
    </w:p>
    <w:p w14:paraId="418398A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4368E1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5C0AFA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F308455">
      <w:pPr>
        <w:spacing w:line="560" w:lineRule="exact"/>
        <w:ind w:firstLine="482" w:firstLineChars="200"/>
        <w:outlineLvl w:val="0"/>
        <w:rPr>
          <w:rFonts w:ascii="宋体" w:hAnsi="宋体"/>
          <w:sz w:val="24"/>
          <w:u w:val="single"/>
        </w:rPr>
      </w:pPr>
      <w:bookmarkStart w:id="455" w:name="_Toc5698"/>
      <w:bookmarkStart w:id="456" w:name="_Toc8586"/>
      <w:bookmarkStart w:id="457" w:name="_Toc24662"/>
      <w:bookmarkStart w:id="458" w:name="_Toc3079"/>
      <w:bookmarkStart w:id="459" w:name="_Toc2375"/>
      <w:r>
        <w:rPr>
          <w:rFonts w:ascii="宋体" w:hAnsi="宋体"/>
          <w:b/>
          <w:sz w:val="24"/>
        </w:rPr>
        <w:t>1.</w:t>
      </w:r>
      <w:r>
        <w:rPr>
          <w:rFonts w:hint="eastAsia" w:ascii="宋体" w:hAnsi="宋体"/>
          <w:b/>
          <w:sz w:val="24"/>
        </w:rPr>
        <w:t>8违约责任</w:t>
      </w:r>
      <w:bookmarkEnd w:id="455"/>
      <w:bookmarkEnd w:id="456"/>
      <w:bookmarkEnd w:id="457"/>
      <w:bookmarkEnd w:id="458"/>
      <w:bookmarkEnd w:id="459"/>
    </w:p>
    <w:p w14:paraId="16B5DC9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0C8525D">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A94BC8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A9E374C">
      <w:pPr>
        <w:spacing w:line="560" w:lineRule="exact"/>
        <w:ind w:firstLine="480" w:firstLineChars="200"/>
        <w:rPr>
          <w:rFonts w:ascii="宋体" w:hAnsi="宋体" w:cs="宋体"/>
          <w:sz w:val="24"/>
        </w:rPr>
      </w:pPr>
      <w:bookmarkStart w:id="460" w:name="_Toc30329"/>
      <w:bookmarkStart w:id="461" w:name="_Toc32454"/>
      <w:bookmarkStart w:id="462" w:name="_Toc9497"/>
      <w:bookmarkStart w:id="463" w:name="_Toc18683"/>
      <w:bookmarkStart w:id="464"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B912F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9E1461">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939ADB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60"/>
    <w:bookmarkEnd w:id="461"/>
    <w:bookmarkEnd w:id="462"/>
    <w:bookmarkEnd w:id="463"/>
    <w:bookmarkEnd w:id="464"/>
    <w:p w14:paraId="59DB61F2">
      <w:pPr>
        <w:spacing w:line="560" w:lineRule="exact"/>
        <w:ind w:firstLine="482" w:firstLineChars="200"/>
        <w:outlineLvl w:val="0"/>
        <w:rPr>
          <w:rFonts w:ascii="宋体" w:hAnsi="宋体" w:cs="宋体"/>
          <w:b/>
          <w:sz w:val="24"/>
        </w:rPr>
      </w:pPr>
      <w:bookmarkStart w:id="465" w:name="_Toc16021"/>
      <w:bookmarkStart w:id="466" w:name="_Toc28375"/>
      <w:bookmarkStart w:id="467" w:name="_Toc15583"/>
      <w:r>
        <w:rPr>
          <w:rFonts w:hint="eastAsia" w:ascii="宋体" w:hAnsi="宋体" w:cs="宋体"/>
          <w:b/>
          <w:sz w:val="24"/>
        </w:rPr>
        <w:t>1.9合同争议的解决</w:t>
      </w:r>
      <w:bookmarkEnd w:id="465"/>
      <w:bookmarkEnd w:id="466"/>
      <w:bookmarkEnd w:id="467"/>
    </w:p>
    <w:p w14:paraId="7493B60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1E1E92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4462EE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C56CCDE">
      <w:pPr>
        <w:spacing w:line="560" w:lineRule="exact"/>
        <w:ind w:firstLine="482" w:firstLineChars="200"/>
        <w:outlineLvl w:val="0"/>
        <w:rPr>
          <w:rFonts w:ascii="宋体" w:hAnsi="宋体" w:cs="宋体"/>
          <w:b/>
          <w:sz w:val="24"/>
        </w:rPr>
      </w:pPr>
      <w:bookmarkStart w:id="468" w:name="_Toc11173"/>
      <w:bookmarkStart w:id="469" w:name="_Toc7245"/>
      <w:bookmarkStart w:id="470" w:name="_Toc15322"/>
      <w:r>
        <w:rPr>
          <w:rFonts w:hint="eastAsia" w:ascii="宋体" w:hAnsi="宋体" w:cs="宋体"/>
          <w:b/>
          <w:sz w:val="24"/>
        </w:rPr>
        <w:t>2.0 合同生效</w:t>
      </w:r>
      <w:bookmarkEnd w:id="468"/>
      <w:bookmarkEnd w:id="469"/>
      <w:bookmarkEnd w:id="470"/>
    </w:p>
    <w:p w14:paraId="25984C3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B26FF30">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71" w:name="_Toc25079"/>
      <w:bookmarkStart w:id="472" w:name="_Toc5228"/>
      <w:bookmarkStart w:id="473" w:name="_Toc14021"/>
      <w:bookmarkStart w:id="474" w:name="_Toc19680"/>
      <w:bookmarkStart w:id="475" w:name="_Toc31297"/>
      <w:r>
        <w:rPr>
          <w:rFonts w:ascii="宋体" w:hAnsi="宋体"/>
          <w:b/>
          <w:color w:val="auto"/>
          <w:sz w:val="24"/>
          <w:highlight w:val="none"/>
        </w:rPr>
        <w:t>2.1 定义</w:t>
      </w:r>
      <w:bookmarkEnd w:id="471"/>
      <w:bookmarkEnd w:id="472"/>
      <w:bookmarkEnd w:id="473"/>
      <w:bookmarkEnd w:id="474"/>
      <w:bookmarkEnd w:id="47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76" w:name="_Toc19539"/>
      <w:bookmarkStart w:id="477" w:name="_Toc23289"/>
      <w:bookmarkStart w:id="478" w:name="_Toc31402"/>
      <w:bookmarkStart w:id="479" w:name="_Toc3769"/>
      <w:bookmarkStart w:id="480" w:name="_Toc16752"/>
      <w:r>
        <w:rPr>
          <w:rFonts w:ascii="宋体" w:hAnsi="宋体"/>
          <w:b/>
          <w:color w:val="auto"/>
          <w:sz w:val="24"/>
          <w:highlight w:val="none"/>
        </w:rPr>
        <w:t>2.2 技术规范</w:t>
      </w:r>
      <w:bookmarkEnd w:id="476"/>
      <w:bookmarkEnd w:id="477"/>
      <w:bookmarkEnd w:id="478"/>
      <w:bookmarkEnd w:id="479"/>
      <w:bookmarkEnd w:id="48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81" w:name="_Toc9161"/>
      <w:bookmarkStart w:id="482" w:name="_Toc4133"/>
      <w:bookmarkStart w:id="483" w:name="_Toc27945"/>
      <w:bookmarkStart w:id="484" w:name="_Toc12412"/>
      <w:bookmarkStart w:id="485" w:name="_Toc13673"/>
      <w:r>
        <w:rPr>
          <w:rFonts w:ascii="宋体" w:hAnsi="宋体"/>
          <w:b/>
          <w:color w:val="auto"/>
          <w:sz w:val="24"/>
          <w:highlight w:val="none"/>
        </w:rPr>
        <w:t>2.3 知识产权</w:t>
      </w:r>
      <w:bookmarkEnd w:id="481"/>
      <w:bookmarkEnd w:id="482"/>
      <w:bookmarkEnd w:id="483"/>
      <w:bookmarkEnd w:id="484"/>
      <w:bookmarkEnd w:id="48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86" w:name="_Toc31233"/>
      <w:bookmarkStart w:id="487" w:name="_Toc26555"/>
      <w:bookmarkStart w:id="488" w:name="_Toc22011"/>
      <w:bookmarkStart w:id="489" w:name="_Toc32670"/>
      <w:bookmarkStart w:id="490" w:name="_Toc15447"/>
      <w:r>
        <w:rPr>
          <w:rFonts w:ascii="宋体" w:hAnsi="宋体"/>
          <w:b/>
          <w:color w:val="auto"/>
          <w:sz w:val="24"/>
          <w:highlight w:val="none"/>
        </w:rPr>
        <w:t>2.5 结算方式和付款条件</w:t>
      </w:r>
      <w:bookmarkEnd w:id="486"/>
      <w:bookmarkEnd w:id="487"/>
      <w:bookmarkEnd w:id="488"/>
      <w:bookmarkEnd w:id="489"/>
      <w:bookmarkEnd w:id="49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91" w:name="_Toc13154"/>
      <w:bookmarkStart w:id="492" w:name="_Toc30507"/>
      <w:bookmarkStart w:id="493" w:name="_Toc18990"/>
      <w:bookmarkStart w:id="494" w:name="_Toc16163"/>
      <w:bookmarkStart w:id="495" w:name="_Toc13467"/>
      <w:r>
        <w:rPr>
          <w:rFonts w:ascii="宋体" w:hAnsi="宋体"/>
          <w:b/>
          <w:color w:val="auto"/>
          <w:sz w:val="24"/>
          <w:highlight w:val="none"/>
        </w:rPr>
        <w:t>2.6 技术资料和保密义务</w:t>
      </w:r>
      <w:bookmarkEnd w:id="491"/>
      <w:bookmarkEnd w:id="492"/>
      <w:bookmarkEnd w:id="493"/>
      <w:bookmarkEnd w:id="494"/>
      <w:bookmarkEnd w:id="49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9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9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9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99" w:name="_Toc10663"/>
      <w:bookmarkStart w:id="500" w:name="_Toc23368"/>
      <w:bookmarkStart w:id="501" w:name="_Toc21830"/>
      <w:bookmarkStart w:id="502" w:name="_Toc42"/>
      <w:bookmarkStart w:id="503" w:name="_Toc26689"/>
      <w:r>
        <w:rPr>
          <w:rFonts w:ascii="宋体" w:hAnsi="宋体"/>
          <w:b/>
          <w:color w:val="auto"/>
          <w:sz w:val="24"/>
          <w:highlight w:val="none"/>
        </w:rPr>
        <w:t>2.10 合同转让和分包</w:t>
      </w:r>
      <w:bookmarkEnd w:id="499"/>
      <w:bookmarkEnd w:id="500"/>
      <w:bookmarkEnd w:id="501"/>
      <w:bookmarkEnd w:id="502"/>
      <w:bookmarkEnd w:id="50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504" w:name="_Toc4720"/>
      <w:bookmarkStart w:id="505" w:name="_Toc26633"/>
      <w:bookmarkStart w:id="506" w:name="_Toc14371"/>
      <w:bookmarkStart w:id="507" w:name="_Toc32494"/>
      <w:bookmarkStart w:id="508" w:name="_Toc25571"/>
      <w:r>
        <w:rPr>
          <w:rFonts w:ascii="宋体" w:hAnsi="宋体"/>
          <w:b/>
          <w:color w:val="auto"/>
          <w:sz w:val="24"/>
          <w:highlight w:val="none"/>
        </w:rPr>
        <w:t>2.11 不可抗力</w:t>
      </w:r>
      <w:bookmarkEnd w:id="504"/>
      <w:bookmarkEnd w:id="505"/>
      <w:bookmarkEnd w:id="506"/>
      <w:bookmarkEnd w:id="507"/>
      <w:bookmarkEnd w:id="508"/>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509" w:name="_Toc23854"/>
      <w:bookmarkStart w:id="510" w:name="_Toc14115"/>
      <w:bookmarkStart w:id="511" w:name="_Toc25783"/>
      <w:bookmarkStart w:id="512" w:name="_Toc3638"/>
      <w:bookmarkStart w:id="513" w:name="_Toc24465"/>
      <w:r>
        <w:rPr>
          <w:rFonts w:ascii="宋体" w:hAnsi="宋体"/>
          <w:b/>
          <w:color w:val="auto"/>
          <w:sz w:val="24"/>
          <w:highlight w:val="none"/>
        </w:rPr>
        <w:t>2.12 税费</w:t>
      </w:r>
      <w:bookmarkEnd w:id="509"/>
      <w:bookmarkEnd w:id="510"/>
      <w:bookmarkEnd w:id="511"/>
      <w:bookmarkEnd w:id="512"/>
      <w:bookmarkEnd w:id="51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514" w:name="_Toc25525"/>
      <w:bookmarkStart w:id="515" w:name="_Toc30105"/>
      <w:bookmarkStart w:id="516" w:name="_Toc14814"/>
      <w:bookmarkStart w:id="517" w:name="_Toc7315"/>
      <w:bookmarkStart w:id="518" w:name="_Toc26883"/>
      <w:r>
        <w:rPr>
          <w:rFonts w:ascii="宋体" w:hAnsi="宋体"/>
          <w:b/>
          <w:color w:val="auto"/>
          <w:sz w:val="24"/>
          <w:highlight w:val="none"/>
        </w:rPr>
        <w:t>2.13 乙方破产</w:t>
      </w:r>
      <w:bookmarkEnd w:id="514"/>
      <w:bookmarkEnd w:id="515"/>
      <w:bookmarkEnd w:id="516"/>
      <w:bookmarkEnd w:id="517"/>
      <w:bookmarkEnd w:id="51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519" w:name="_Toc23323"/>
      <w:bookmarkStart w:id="520" w:name="_Toc2016"/>
      <w:bookmarkStart w:id="521" w:name="_Toc1123"/>
      <w:r>
        <w:rPr>
          <w:rFonts w:ascii="宋体" w:hAnsi="宋体"/>
          <w:b/>
          <w:color w:val="auto"/>
          <w:sz w:val="24"/>
          <w:highlight w:val="none"/>
        </w:rPr>
        <w:t>2.14 合同中止、终止</w:t>
      </w:r>
      <w:bookmarkEnd w:id="519"/>
      <w:bookmarkEnd w:id="520"/>
      <w:bookmarkEnd w:id="52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522" w:name="_Toc1969"/>
      <w:bookmarkStart w:id="523" w:name="_Toc14525"/>
      <w:bookmarkStart w:id="524" w:name="_Toc17363"/>
      <w:r>
        <w:rPr>
          <w:rFonts w:ascii="宋体" w:hAnsi="宋体"/>
          <w:b/>
          <w:color w:val="auto"/>
          <w:sz w:val="24"/>
          <w:highlight w:val="none"/>
        </w:rPr>
        <w:t>2.15 检验和验收</w:t>
      </w:r>
      <w:bookmarkEnd w:id="522"/>
      <w:bookmarkEnd w:id="523"/>
      <w:bookmarkEnd w:id="524"/>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25" w:name="_Toc12666"/>
      <w:bookmarkStart w:id="526" w:name="_Toc25198"/>
      <w:bookmarkStart w:id="527" w:name="_Toc31892"/>
      <w:bookmarkStart w:id="528" w:name="_Toc9808"/>
      <w:bookmarkStart w:id="529" w:name="_Toc2308"/>
      <w:r>
        <w:rPr>
          <w:rFonts w:ascii="宋体" w:hAnsi="宋体"/>
          <w:b/>
          <w:color w:val="auto"/>
          <w:sz w:val="24"/>
          <w:highlight w:val="none"/>
        </w:rPr>
        <w:t>2.16 通知和送达</w:t>
      </w:r>
      <w:bookmarkEnd w:id="525"/>
      <w:bookmarkEnd w:id="526"/>
      <w:bookmarkEnd w:id="527"/>
      <w:bookmarkEnd w:id="528"/>
      <w:bookmarkEnd w:id="529"/>
    </w:p>
    <w:p w14:paraId="2D57AD58">
      <w:pPr>
        <w:spacing w:line="560" w:lineRule="exact"/>
        <w:ind w:firstLine="480" w:firstLineChars="200"/>
        <w:rPr>
          <w:rFonts w:ascii="宋体" w:hAnsi="宋体"/>
          <w:color w:val="auto"/>
          <w:sz w:val="24"/>
          <w:highlight w:val="none"/>
        </w:rPr>
      </w:pPr>
      <w:bookmarkStart w:id="530" w:name="_Toc18401"/>
      <w:bookmarkStart w:id="53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30"/>
      <w:bookmarkEnd w:id="531"/>
    </w:p>
    <w:p w14:paraId="79494EF1">
      <w:pPr>
        <w:spacing w:line="560" w:lineRule="exact"/>
        <w:ind w:firstLine="482" w:firstLineChars="200"/>
        <w:outlineLvl w:val="0"/>
        <w:rPr>
          <w:rFonts w:ascii="宋体" w:hAnsi="宋体"/>
          <w:b/>
          <w:color w:val="auto"/>
          <w:sz w:val="24"/>
          <w:highlight w:val="none"/>
        </w:rPr>
      </w:pPr>
      <w:bookmarkStart w:id="532" w:name="_Toc20808"/>
      <w:bookmarkStart w:id="533" w:name="_Toc12254"/>
      <w:bookmarkStart w:id="534" w:name="_Toc28906"/>
      <w:bookmarkStart w:id="535" w:name="_Toc27644"/>
      <w:bookmarkStart w:id="536"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32"/>
      <w:bookmarkEnd w:id="533"/>
      <w:bookmarkEnd w:id="534"/>
      <w:bookmarkEnd w:id="535"/>
      <w:bookmarkEnd w:id="53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37" w:name="_Toc18540"/>
      <w:bookmarkStart w:id="538" w:name="_Toc30599"/>
      <w:bookmarkStart w:id="539" w:name="_Toc4355"/>
      <w:r>
        <w:rPr>
          <w:rFonts w:hint="eastAsia" w:ascii="宋体" w:hAnsi="宋体" w:cs="宋体"/>
          <w:b/>
          <w:color w:val="auto"/>
          <w:sz w:val="24"/>
          <w:highlight w:val="none"/>
        </w:rPr>
        <w:t>2.18 计量单位</w:t>
      </w:r>
      <w:bookmarkEnd w:id="537"/>
      <w:bookmarkEnd w:id="538"/>
      <w:bookmarkEnd w:id="53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40" w:name="_Toc331685784"/>
      <w:r>
        <w:rPr>
          <w:rFonts w:hint="eastAsia" w:ascii="宋体" w:hAnsi="宋体" w:cs="宋体"/>
          <w:b/>
          <w:color w:val="auto"/>
          <w:sz w:val="24"/>
          <w:highlight w:val="none"/>
        </w:rPr>
        <w:t xml:space="preserve"> </w:t>
      </w:r>
      <w:bookmarkEnd w:id="54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5"/>
      <w:r>
        <w:rPr>
          <w:rFonts w:hint="eastAsia" w:ascii="宋体" w:hAnsi="宋体" w:cs="宋体"/>
          <w:b/>
          <w:color w:val="auto"/>
          <w:sz w:val="36"/>
          <w:szCs w:val="20"/>
          <w:highlight w:val="none"/>
        </w:rPr>
        <w:t xml:space="preserve"> </w:t>
      </w:r>
      <w:bookmarkEnd w:id="426"/>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9）代理服务费的承诺书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1" w:name="_Hlk101257010"/>
      <w:r>
        <w:rPr>
          <w:rFonts w:hint="eastAsia" w:ascii="宋体" w:hAnsi="宋体" w:cs="宋体"/>
          <w:color w:val="auto"/>
          <w:sz w:val="24"/>
          <w:highlight w:val="none"/>
        </w:rPr>
        <w:t>（如果有)</w:t>
      </w:r>
      <w:bookmarkEnd w:id="54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F05ADBF">
      <w:pPr>
        <w:jc w:val="center"/>
        <w:rPr>
          <w:rFonts w:hint="eastAsia" w:ascii="宋体" w:hAnsi="宋体" w:cs="宋体"/>
          <w:b/>
          <w:color w:val="auto"/>
          <w:kern w:val="0"/>
          <w:sz w:val="32"/>
          <w:szCs w:val="32"/>
          <w:highlight w:val="none"/>
          <w:lang w:val="zh-CN"/>
        </w:rPr>
      </w:pPr>
    </w:p>
    <w:p w14:paraId="640D43BD">
      <w:pPr>
        <w:jc w:val="center"/>
        <w:rPr>
          <w:rFonts w:hint="eastAsia" w:ascii="宋体" w:hAnsi="宋体" w:cs="宋体"/>
          <w:b/>
          <w:color w:val="auto"/>
          <w:kern w:val="0"/>
          <w:sz w:val="32"/>
          <w:szCs w:val="32"/>
          <w:highlight w:val="none"/>
          <w:lang w:val="zh-CN"/>
        </w:rPr>
      </w:pPr>
    </w:p>
    <w:p w14:paraId="0B577383">
      <w:pPr>
        <w:jc w:val="center"/>
        <w:rPr>
          <w:rFonts w:hint="eastAsia" w:ascii="宋体" w:hAnsi="宋体" w:cs="宋体"/>
          <w:b/>
          <w:color w:val="auto"/>
          <w:kern w:val="0"/>
          <w:sz w:val="32"/>
          <w:szCs w:val="32"/>
          <w:highlight w:val="none"/>
          <w:lang w:val="zh-CN"/>
        </w:rPr>
      </w:pPr>
    </w:p>
    <w:p w14:paraId="45BC99ED">
      <w:pPr>
        <w:jc w:val="center"/>
        <w:rPr>
          <w:rFonts w:hint="eastAsia" w:ascii="宋体" w:hAnsi="宋体" w:cs="宋体"/>
          <w:b/>
          <w:color w:val="auto"/>
          <w:kern w:val="0"/>
          <w:sz w:val="32"/>
          <w:szCs w:val="32"/>
          <w:highlight w:val="none"/>
          <w:lang w:val="zh-CN"/>
        </w:rPr>
      </w:pPr>
    </w:p>
    <w:p w14:paraId="71390A9A">
      <w:pPr>
        <w:jc w:val="center"/>
        <w:rPr>
          <w:rFonts w:hint="eastAsia" w:ascii="宋体" w:hAnsi="宋体" w:cs="宋体"/>
          <w:b/>
          <w:color w:val="auto"/>
          <w:kern w:val="0"/>
          <w:sz w:val="32"/>
          <w:szCs w:val="32"/>
          <w:highlight w:val="none"/>
          <w:lang w:val="zh-CN"/>
        </w:rPr>
      </w:pPr>
    </w:p>
    <w:p w14:paraId="43453765">
      <w:pPr>
        <w:jc w:val="center"/>
        <w:rPr>
          <w:rFonts w:hint="eastAsia" w:ascii="宋体" w:hAnsi="宋体" w:cs="宋体"/>
          <w:b/>
          <w:color w:val="auto"/>
          <w:kern w:val="0"/>
          <w:sz w:val="32"/>
          <w:szCs w:val="32"/>
          <w:highlight w:val="none"/>
          <w:lang w:val="zh-CN"/>
        </w:rPr>
      </w:pPr>
    </w:p>
    <w:p w14:paraId="65D6D6F5">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C270E62">
      <w:pPr>
        <w:autoSpaceDE w:val="0"/>
        <w:autoSpaceDN w:val="0"/>
        <w:spacing w:line="360" w:lineRule="auto"/>
        <w:jc w:val="center"/>
        <w:rPr>
          <w:rFonts w:hint="eastAsia" w:ascii="宋体" w:hAnsi="宋体" w:cs="宋体"/>
          <w:b/>
          <w:color w:val="auto"/>
          <w:kern w:val="0"/>
          <w:sz w:val="32"/>
          <w:szCs w:val="32"/>
          <w:highlight w:val="none"/>
          <w:lang w:val="zh-CN"/>
        </w:rPr>
      </w:pPr>
    </w:p>
    <w:p w14:paraId="5A92E513">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1"/>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3ABC831">
      <w:pPr>
        <w:jc w:val="center"/>
        <w:rPr>
          <w:rFonts w:hint="eastAsia" w:ascii="宋体" w:hAnsi="宋体" w:cs="宋体"/>
          <w:b/>
          <w:color w:val="auto"/>
          <w:kern w:val="0"/>
          <w:sz w:val="32"/>
          <w:szCs w:val="32"/>
          <w:highlight w:val="none"/>
        </w:rPr>
      </w:pPr>
    </w:p>
    <w:p w14:paraId="20865816">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3B3C379">
      <w:pPr>
        <w:ind w:firstLine="1911" w:firstLineChars="595"/>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关于代理服务费的承诺书</w:t>
      </w:r>
    </w:p>
    <w:p w14:paraId="645B3DE2">
      <w:pPr>
        <w:spacing w:line="440" w:lineRule="exact"/>
      </w:pPr>
    </w:p>
    <w:p w14:paraId="764D3839">
      <w:pPr>
        <w:spacing w:line="440" w:lineRule="exact"/>
        <w:rPr>
          <w:sz w:val="24"/>
          <w:szCs w:val="24"/>
          <w:lang w:val="zh-CN"/>
        </w:rPr>
      </w:pPr>
      <w:r>
        <w:rPr>
          <w:rFonts w:hint="eastAsia"/>
          <w:sz w:val="24"/>
          <w:szCs w:val="24"/>
        </w:rPr>
        <w:t>华诚工程咨询集团有限公司：</w:t>
      </w:r>
      <w:r>
        <w:rPr>
          <w:rFonts w:hint="eastAsia"/>
          <w:sz w:val="24"/>
          <w:szCs w:val="24"/>
          <w:lang w:val="zh-CN"/>
        </w:rPr>
        <w:t xml:space="preserve">    </w:t>
      </w:r>
    </w:p>
    <w:p w14:paraId="5E0D941B">
      <w:pPr>
        <w:snapToGrid w:val="0"/>
        <w:spacing w:line="440" w:lineRule="exact"/>
        <w:ind w:firstLine="720" w:firstLineChars="300"/>
        <w:rPr>
          <w:sz w:val="24"/>
          <w:szCs w:val="24"/>
          <w:lang w:val="zh-CN"/>
        </w:rPr>
      </w:pPr>
      <w:r>
        <w:rPr>
          <w:rFonts w:hint="eastAsia"/>
          <w:sz w:val="24"/>
          <w:szCs w:val="24"/>
          <w:lang w:val="zh-CN"/>
        </w:rPr>
        <w:t>我单位响应你</w:t>
      </w:r>
      <w:r>
        <w:rPr>
          <w:rFonts w:hint="eastAsia"/>
          <w:sz w:val="24"/>
          <w:szCs w:val="24"/>
        </w:rPr>
        <w:t>单位</w:t>
      </w:r>
      <w:r>
        <w:rPr>
          <w:rFonts w:hint="eastAsia"/>
          <w:sz w:val="24"/>
          <w:szCs w:val="24"/>
          <w:u w:val="single"/>
        </w:rPr>
        <w:t xml:space="preserve">                       </w:t>
      </w:r>
      <w:r>
        <w:rPr>
          <w:rFonts w:hint="eastAsia"/>
          <w:sz w:val="24"/>
          <w:szCs w:val="24"/>
          <w:lang w:val="zh-CN"/>
        </w:rPr>
        <w:t>项目</w:t>
      </w:r>
      <w:r>
        <w:rPr>
          <w:rFonts w:hint="eastAsia"/>
          <w:sz w:val="24"/>
          <w:szCs w:val="24"/>
        </w:rPr>
        <w:t>（项目编号：</w:t>
      </w:r>
      <w:r>
        <w:rPr>
          <w:rFonts w:hint="eastAsia"/>
          <w:sz w:val="24"/>
          <w:szCs w:val="24"/>
          <w:u w:val="single"/>
        </w:rPr>
        <w:t xml:space="preserve">        </w:t>
      </w:r>
      <w:r>
        <w:rPr>
          <w:rFonts w:hint="eastAsia"/>
          <w:sz w:val="24"/>
          <w:szCs w:val="24"/>
          <w:lang w:eastAsia="zh-CN"/>
        </w:rPr>
        <w:t>，</w:t>
      </w:r>
      <w:r>
        <w:rPr>
          <w:rFonts w:hint="eastAsia" w:ascii="仿宋" w:hAnsi="仿宋"/>
          <w:sz w:val="24"/>
          <w:szCs w:val="24"/>
          <w:u w:val="none"/>
          <w:lang w:val="en-US" w:eastAsia="zh-CN"/>
        </w:rPr>
        <w:t>标项号</w:t>
      </w:r>
      <w:r>
        <w:rPr>
          <w:rFonts w:hint="eastAsia"/>
          <w:sz w:val="24"/>
          <w:szCs w:val="24"/>
          <w:u w:val="none"/>
          <w:lang w:val="en-US" w:eastAsia="zh-CN"/>
        </w:rPr>
        <w:t>：</w:t>
      </w:r>
      <w:r>
        <w:rPr>
          <w:rFonts w:hint="eastAsia"/>
          <w:sz w:val="24"/>
          <w:szCs w:val="24"/>
          <w:u w:val="single"/>
          <w:lang w:val="en-US" w:eastAsia="zh-CN"/>
        </w:rPr>
        <w:t xml:space="preserve">      </w:t>
      </w:r>
      <w:r>
        <w:rPr>
          <w:rFonts w:hint="eastAsia"/>
          <w:color w:val="000000"/>
          <w:sz w:val="24"/>
          <w:szCs w:val="24"/>
        </w:rPr>
        <w:t xml:space="preserve"> </w:t>
      </w:r>
      <w:r>
        <w:rPr>
          <w:rFonts w:hint="eastAsia"/>
          <w:sz w:val="24"/>
          <w:szCs w:val="24"/>
        </w:rPr>
        <w:t>）</w:t>
      </w:r>
      <w:r>
        <w:rPr>
          <w:rFonts w:hint="eastAsia"/>
          <w:sz w:val="24"/>
          <w:szCs w:val="24"/>
          <w:lang w:val="zh-CN"/>
        </w:rPr>
        <w:t>招标要求参加投标。在这次投标过程中和中标后，我们将严格遵守国家法律法规要求，并郑重承诺：</w:t>
      </w:r>
    </w:p>
    <w:p w14:paraId="3A00F8E3">
      <w:pPr>
        <w:snapToGrid w:val="0"/>
        <w:spacing w:line="440" w:lineRule="exact"/>
        <w:ind w:firstLine="720" w:firstLineChars="300"/>
        <w:rPr>
          <w:sz w:val="24"/>
          <w:szCs w:val="24"/>
        </w:rPr>
      </w:pPr>
      <w:r>
        <w:rPr>
          <w:rFonts w:hint="eastAsia"/>
          <w:sz w:val="24"/>
          <w:szCs w:val="24"/>
        </w:rPr>
        <w:t>根据采购文件的约定在领取中标通知书时缴纳代理服务费。</w:t>
      </w:r>
    </w:p>
    <w:p w14:paraId="0750DCAD">
      <w:pPr>
        <w:snapToGrid w:val="0"/>
        <w:spacing w:line="440" w:lineRule="exact"/>
        <w:ind w:firstLine="720" w:firstLineChars="300"/>
        <w:rPr>
          <w:sz w:val="24"/>
          <w:szCs w:val="24"/>
          <w:lang w:val="zh-CN"/>
        </w:rPr>
      </w:pPr>
    </w:p>
    <w:p w14:paraId="69236A2D">
      <w:pPr>
        <w:pStyle w:val="812"/>
        <w:snapToGrid w:val="0"/>
        <w:spacing w:line="440" w:lineRule="exact"/>
        <w:rPr>
          <w:rFonts w:ascii="仿宋" w:hAnsi="仿宋"/>
          <w:sz w:val="24"/>
          <w:szCs w:val="24"/>
        </w:rPr>
      </w:pPr>
      <w:r>
        <w:rPr>
          <w:rFonts w:hint="eastAsia" w:ascii="仿宋" w:hAnsi="仿宋"/>
          <w:sz w:val="24"/>
          <w:szCs w:val="24"/>
        </w:rPr>
        <w:t>投标人全称（</w:t>
      </w:r>
      <w:r>
        <w:rPr>
          <w:rFonts w:hint="eastAsia" w:ascii="仿宋" w:hAnsi="仿宋"/>
          <w:kern w:val="0"/>
          <w:sz w:val="24"/>
          <w:szCs w:val="24"/>
          <w:lang w:val="zh-CN"/>
        </w:rPr>
        <w:t>电子签章</w:t>
      </w:r>
      <w:r>
        <w:rPr>
          <w:rFonts w:hint="eastAsia" w:ascii="仿宋" w:hAnsi="仿宋"/>
          <w:sz w:val="24"/>
          <w:szCs w:val="24"/>
        </w:rPr>
        <w:t>）：</w:t>
      </w:r>
      <w:r>
        <w:rPr>
          <w:rFonts w:hint="eastAsia" w:ascii="仿宋" w:hAnsi="仿宋"/>
          <w:sz w:val="24"/>
          <w:szCs w:val="24"/>
          <w:u w:val="single"/>
        </w:rPr>
        <w:t xml:space="preserve">                      </w:t>
      </w:r>
    </w:p>
    <w:p w14:paraId="39AD8B41">
      <w:pPr>
        <w:snapToGrid w:val="0"/>
        <w:spacing w:line="440" w:lineRule="exact"/>
        <w:ind w:right="600"/>
        <w:rPr>
          <w:sz w:val="24"/>
          <w:szCs w:val="24"/>
        </w:rPr>
      </w:pPr>
    </w:p>
    <w:p w14:paraId="4531970D">
      <w:pPr>
        <w:snapToGrid w:val="0"/>
        <w:spacing w:line="440" w:lineRule="exact"/>
        <w:rPr>
          <w:b/>
          <w:sz w:val="24"/>
          <w:szCs w:val="24"/>
        </w:rPr>
      </w:pPr>
      <w:r>
        <w:rPr>
          <w:rFonts w:hint="eastAsia"/>
          <w:sz w:val="24"/>
          <w:szCs w:val="24"/>
        </w:rPr>
        <w:t>日期：</w:t>
      </w:r>
      <w:r>
        <w:rPr>
          <w:rFonts w:hint="eastAsia"/>
          <w:sz w:val="24"/>
          <w:szCs w:val="24"/>
          <w:u w:val="single"/>
        </w:rPr>
        <w:t xml:space="preserve">       年     月     日</w:t>
      </w:r>
    </w:p>
    <w:p w14:paraId="0B27E3A5">
      <w:pPr>
        <w:snapToGrid w:val="0"/>
        <w:spacing w:line="440" w:lineRule="exact"/>
        <w:rPr>
          <w:b/>
        </w:rPr>
      </w:pPr>
    </w:p>
    <w:p w14:paraId="35F44033">
      <w:pPr>
        <w:spacing w:line="440" w:lineRule="exact"/>
        <w:jc w:val="center"/>
        <w:rPr>
          <w:b/>
          <w:bCs/>
        </w:rPr>
        <w:sectPr>
          <w:pgSz w:w="11906" w:h="16838"/>
          <w:pgMar w:top="1418" w:right="1418" w:bottom="1418" w:left="158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2"/>
        <w:rPr>
          <w:rFonts w:hint="eastAsia"/>
          <w:color w:val="auto"/>
          <w:highlight w:val="none"/>
        </w:rPr>
      </w:pPr>
    </w:p>
    <w:p w14:paraId="4DA9F2CD">
      <w:pPr>
        <w:pStyle w:val="8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桐庐县妇幼保健院（桐庐县城南街道社区卫生服务中心）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桐庐县妇幼保健院安保服务项目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2"/>
        <w:rPr>
          <w:rFonts w:hint="eastAsia" w:ascii="宋体" w:hAnsi="宋体" w:cs="宋体"/>
          <w:b/>
          <w:color w:val="auto"/>
          <w:sz w:val="24"/>
          <w:highlight w:val="none"/>
        </w:rPr>
      </w:pPr>
    </w:p>
    <w:p w14:paraId="1AA2EA6C">
      <w:pPr>
        <w:pStyle w:val="82"/>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42" w:name="OLE_LINK14"/>
      <w:bookmarkStart w:id="543" w:name="OLE_LINK13"/>
      <w:r>
        <w:rPr>
          <w:rFonts w:hint="eastAsia" w:ascii="宋体" w:hAnsi="宋体" w:cs="宋体"/>
          <w:b/>
          <w:color w:val="auto"/>
          <w:spacing w:val="6"/>
          <w:sz w:val="32"/>
          <w:szCs w:val="32"/>
          <w:highlight w:val="none"/>
        </w:rPr>
        <w:t>残疾人福利性单位声明函</w:t>
      </w:r>
    </w:p>
    <w:bookmarkEnd w:id="542"/>
    <w:bookmarkEnd w:id="54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桐庐县妇幼保健院安保服务项目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F0C0D1E">
      <w:pPr>
        <w:spacing w:line="360" w:lineRule="auto"/>
        <w:jc w:val="left"/>
        <w:rPr>
          <w:rFonts w:hint="eastAsia" w:ascii="宋体" w:hAnsi="宋体" w:cs="宋体"/>
          <w:b/>
          <w:color w:val="auto"/>
          <w:spacing w:val="6"/>
          <w:sz w:val="32"/>
          <w:szCs w:val="32"/>
          <w:highlight w:val="none"/>
        </w:rPr>
      </w:pPr>
    </w:p>
    <w:p w14:paraId="46F13413">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33D10361">
      <w:pPr>
        <w:spacing w:line="360" w:lineRule="auto"/>
        <w:jc w:val="left"/>
        <w:rPr>
          <w:rFonts w:hint="eastAsia" w:ascii="宋体" w:hAnsi="宋体" w:cs="宋体"/>
          <w:b/>
          <w:color w:val="auto"/>
          <w:spacing w:val="6"/>
          <w:sz w:val="32"/>
          <w:szCs w:val="32"/>
          <w:highlight w:val="none"/>
        </w:rPr>
      </w:pPr>
    </w:p>
    <w:p w14:paraId="1A111F55">
      <w:pPr>
        <w:spacing w:line="360" w:lineRule="auto"/>
        <w:jc w:val="left"/>
        <w:rPr>
          <w:rFonts w:hint="eastAsia" w:ascii="宋体" w:hAnsi="宋体" w:cs="宋体"/>
          <w:b/>
          <w:color w:val="auto"/>
          <w:spacing w:val="6"/>
          <w:sz w:val="32"/>
          <w:szCs w:val="32"/>
          <w:highlight w:val="none"/>
        </w:rPr>
      </w:pPr>
    </w:p>
    <w:p w14:paraId="01240649">
      <w:pPr>
        <w:spacing w:line="360" w:lineRule="auto"/>
        <w:jc w:val="left"/>
        <w:rPr>
          <w:rFonts w:hint="eastAsia" w:ascii="宋体" w:hAnsi="宋体" w:cs="宋体"/>
          <w:b/>
          <w:color w:val="auto"/>
          <w:spacing w:val="6"/>
          <w:sz w:val="32"/>
          <w:szCs w:val="32"/>
          <w:highlight w:val="none"/>
        </w:rPr>
      </w:pPr>
    </w:p>
    <w:p w14:paraId="267B3053">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0C5B805">
      <w:pPr>
        <w:autoSpaceDE w:val="0"/>
        <w:autoSpaceDN w:val="0"/>
        <w:jc w:val="center"/>
        <w:rPr>
          <w:rFonts w:hint="eastAsia" w:ascii="宋体" w:hAnsi="宋体" w:cs="宋体"/>
          <w:b/>
          <w:color w:val="auto"/>
          <w:spacing w:val="6"/>
          <w:sz w:val="32"/>
          <w:szCs w:val="32"/>
          <w:highlight w:val="none"/>
        </w:rPr>
      </w:pPr>
    </w:p>
    <w:p w14:paraId="4690F76B">
      <w:pPr>
        <w:autoSpaceDE w:val="0"/>
        <w:autoSpaceDN w:val="0"/>
        <w:jc w:val="center"/>
        <w:rPr>
          <w:rFonts w:hint="eastAsia" w:ascii="宋体" w:hAnsi="宋体" w:cs="宋体"/>
          <w:b/>
          <w:color w:val="auto"/>
          <w:spacing w:val="6"/>
          <w:sz w:val="32"/>
          <w:szCs w:val="32"/>
          <w:highlight w:val="none"/>
        </w:rPr>
      </w:pPr>
    </w:p>
    <w:p w14:paraId="2B14B941">
      <w:pPr>
        <w:autoSpaceDE w:val="0"/>
        <w:autoSpaceDN w:val="0"/>
        <w:jc w:val="center"/>
        <w:rPr>
          <w:rFonts w:hint="eastAsia" w:ascii="宋体" w:hAnsi="宋体" w:cs="宋体"/>
          <w:b/>
          <w:color w:val="auto"/>
          <w:spacing w:val="6"/>
          <w:sz w:val="32"/>
          <w:szCs w:val="32"/>
          <w:highlight w:val="none"/>
        </w:rPr>
      </w:pPr>
    </w:p>
    <w:p w14:paraId="7DD1AF12">
      <w:pPr>
        <w:autoSpaceDE w:val="0"/>
        <w:autoSpaceDN w:val="0"/>
        <w:jc w:val="center"/>
        <w:rPr>
          <w:rFonts w:hint="eastAsia" w:ascii="宋体" w:hAnsi="宋体" w:cs="宋体"/>
          <w:b/>
          <w:color w:val="auto"/>
          <w:spacing w:val="6"/>
          <w:sz w:val="32"/>
          <w:szCs w:val="32"/>
          <w:highlight w:val="none"/>
        </w:rPr>
      </w:pPr>
    </w:p>
    <w:p w14:paraId="1CC15E3D">
      <w:pPr>
        <w:autoSpaceDE w:val="0"/>
        <w:autoSpaceDN w:val="0"/>
        <w:jc w:val="center"/>
        <w:rPr>
          <w:rFonts w:hint="eastAsia" w:ascii="宋体" w:hAnsi="宋体" w:cs="宋体"/>
          <w:b/>
          <w:color w:val="auto"/>
          <w:spacing w:val="6"/>
          <w:sz w:val="32"/>
          <w:szCs w:val="32"/>
          <w:highlight w:val="none"/>
        </w:rPr>
      </w:pPr>
    </w:p>
    <w:p w14:paraId="6525897E">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桐庐县妇幼保健院（桐庐县城南街道社区卫生服务中心）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华诚工程咨询集团有限公司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4D5632">
      <w:pPr>
        <w:autoSpaceDE w:val="0"/>
        <w:autoSpaceDN w:val="0"/>
        <w:jc w:val="center"/>
        <w:rPr>
          <w:rFonts w:hint="eastAsia" w:ascii="宋体" w:hAnsi="宋体" w:cs="宋体"/>
          <w:b/>
          <w:color w:val="auto"/>
          <w:spacing w:val="6"/>
          <w:sz w:val="32"/>
          <w:szCs w:val="32"/>
          <w:highlight w:val="none"/>
        </w:rPr>
      </w:pPr>
    </w:p>
    <w:p w14:paraId="4267DC98">
      <w:pPr>
        <w:autoSpaceDE w:val="0"/>
        <w:autoSpaceDN w:val="0"/>
        <w:jc w:val="center"/>
        <w:rPr>
          <w:rFonts w:hint="eastAsia" w:ascii="宋体" w:hAnsi="宋体" w:cs="宋体"/>
          <w:b/>
          <w:color w:val="auto"/>
          <w:spacing w:val="6"/>
          <w:sz w:val="32"/>
          <w:szCs w:val="32"/>
          <w:highlight w:val="none"/>
        </w:rPr>
      </w:pPr>
    </w:p>
    <w:p w14:paraId="4F2A6C93">
      <w:pPr>
        <w:autoSpaceDE w:val="0"/>
        <w:autoSpaceDN w:val="0"/>
        <w:jc w:val="center"/>
        <w:rPr>
          <w:rFonts w:hint="eastAsia" w:ascii="宋体" w:hAnsi="宋体" w:cs="宋体"/>
          <w:b/>
          <w:color w:val="auto"/>
          <w:spacing w:val="6"/>
          <w:sz w:val="32"/>
          <w:szCs w:val="32"/>
          <w:highlight w:val="none"/>
        </w:rPr>
      </w:pPr>
    </w:p>
    <w:p w14:paraId="3365A92B">
      <w:pPr>
        <w:autoSpaceDE w:val="0"/>
        <w:autoSpaceDN w:val="0"/>
        <w:jc w:val="center"/>
        <w:rPr>
          <w:rFonts w:hint="eastAsia" w:ascii="宋体" w:hAnsi="宋体" w:cs="宋体"/>
          <w:b/>
          <w:color w:val="auto"/>
          <w:spacing w:val="6"/>
          <w:sz w:val="32"/>
          <w:szCs w:val="32"/>
          <w:highlight w:val="none"/>
        </w:rPr>
      </w:pPr>
    </w:p>
    <w:p w14:paraId="4CCCF1E2">
      <w:pPr>
        <w:autoSpaceDE w:val="0"/>
        <w:autoSpaceDN w:val="0"/>
        <w:jc w:val="center"/>
        <w:rPr>
          <w:rFonts w:hint="eastAsia" w:ascii="宋体" w:hAnsi="宋体" w:cs="宋体"/>
          <w:b/>
          <w:color w:val="auto"/>
          <w:spacing w:val="6"/>
          <w:sz w:val="32"/>
          <w:szCs w:val="32"/>
          <w:highlight w:val="none"/>
        </w:rPr>
      </w:pPr>
    </w:p>
    <w:p w14:paraId="52240EAC">
      <w:pPr>
        <w:autoSpaceDE w:val="0"/>
        <w:autoSpaceDN w:val="0"/>
        <w:jc w:val="center"/>
        <w:rPr>
          <w:rFonts w:hint="eastAsia" w:ascii="宋体" w:hAnsi="宋体" w:cs="宋体"/>
          <w:b/>
          <w:color w:val="auto"/>
          <w:spacing w:val="6"/>
          <w:sz w:val="32"/>
          <w:szCs w:val="32"/>
          <w:highlight w:val="none"/>
        </w:rPr>
      </w:pPr>
    </w:p>
    <w:p w14:paraId="33D78E51">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4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B6EB97B">
      <w:pPr>
        <w:snapToGrid w:val="0"/>
        <w:spacing w:line="360" w:lineRule="auto"/>
        <w:ind w:firstLine="3666" w:firstLineChars="1100"/>
        <w:rPr>
          <w:rFonts w:hint="eastAsia" w:ascii="宋体" w:hAnsi="宋体" w:cs="宋体"/>
          <w:b/>
          <w:color w:val="auto"/>
          <w:spacing w:val="6"/>
          <w:sz w:val="32"/>
          <w:szCs w:val="32"/>
          <w:highlight w:val="none"/>
        </w:rPr>
      </w:pPr>
    </w:p>
    <w:p w14:paraId="5D51FC37">
      <w:pPr>
        <w:snapToGrid w:val="0"/>
        <w:spacing w:line="360" w:lineRule="auto"/>
        <w:ind w:firstLine="3666" w:firstLineChars="1100"/>
        <w:rPr>
          <w:rFonts w:hint="eastAsia" w:ascii="宋体" w:hAnsi="宋体" w:cs="宋体"/>
          <w:b/>
          <w:color w:val="auto"/>
          <w:spacing w:val="6"/>
          <w:sz w:val="32"/>
          <w:szCs w:val="32"/>
          <w:highlight w:val="none"/>
        </w:rPr>
      </w:pPr>
    </w:p>
    <w:p w14:paraId="05414244">
      <w:pPr>
        <w:snapToGrid w:val="0"/>
        <w:spacing w:line="360" w:lineRule="auto"/>
        <w:ind w:firstLine="3666" w:firstLineChars="1100"/>
        <w:rPr>
          <w:rFonts w:hint="eastAsia" w:ascii="宋体" w:hAnsi="宋体" w:cs="宋体"/>
          <w:b/>
          <w:color w:val="auto"/>
          <w:spacing w:val="6"/>
          <w:sz w:val="32"/>
          <w:szCs w:val="32"/>
          <w:highlight w:val="none"/>
        </w:rPr>
      </w:pPr>
    </w:p>
    <w:p w14:paraId="26A56FB8">
      <w:pPr>
        <w:snapToGrid w:val="0"/>
        <w:spacing w:line="360" w:lineRule="auto"/>
        <w:ind w:firstLine="3666" w:firstLineChars="1100"/>
        <w:rPr>
          <w:rFonts w:hint="eastAsia" w:ascii="宋体" w:hAnsi="宋体" w:cs="宋体"/>
          <w:b/>
          <w:color w:val="auto"/>
          <w:spacing w:val="6"/>
          <w:sz w:val="32"/>
          <w:szCs w:val="32"/>
          <w:highlight w:val="none"/>
        </w:rPr>
      </w:pPr>
    </w:p>
    <w:p w14:paraId="6ABD6BCC">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桐庐县妇幼保健院安保服务项目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3DA02A9">
      <w:pPr>
        <w:spacing w:line="360" w:lineRule="auto"/>
        <w:jc w:val="left"/>
        <w:outlineLvl w:val="0"/>
        <w:rPr>
          <w:rFonts w:hint="eastAsia" w:ascii="宋体" w:hAnsi="宋体" w:cs="宋体"/>
          <w:b/>
          <w:color w:val="auto"/>
          <w:sz w:val="36"/>
          <w:szCs w:val="20"/>
          <w:highlight w:val="none"/>
        </w:rPr>
      </w:pPr>
    </w:p>
    <w:p w14:paraId="11A60767">
      <w:pPr>
        <w:spacing w:line="360" w:lineRule="auto"/>
        <w:jc w:val="left"/>
        <w:outlineLvl w:val="0"/>
        <w:rPr>
          <w:rFonts w:hint="eastAsia" w:ascii="宋体" w:hAnsi="宋体" w:cs="宋体"/>
          <w:b/>
          <w:color w:val="auto"/>
          <w:sz w:val="36"/>
          <w:szCs w:val="20"/>
          <w:highlight w:val="none"/>
        </w:rPr>
      </w:pPr>
    </w:p>
    <w:p w14:paraId="010587A1">
      <w:pPr>
        <w:spacing w:line="360" w:lineRule="auto"/>
        <w:jc w:val="left"/>
        <w:outlineLvl w:val="0"/>
        <w:rPr>
          <w:rFonts w:hint="eastAsia" w:ascii="宋体" w:hAnsi="宋体" w:cs="宋体"/>
          <w:b/>
          <w:color w:val="auto"/>
          <w:sz w:val="36"/>
          <w:szCs w:val="20"/>
          <w:highlight w:val="none"/>
        </w:rPr>
      </w:pPr>
    </w:p>
    <w:p w14:paraId="6B25DA90">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桐庐县妇幼保健院（桐庐县城南街道社区卫生服务中心）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桐庐县妇幼保健院安保服务项目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桐庐县妇幼保健院安保服务项目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租赁商务服务业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F4645F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7" w:name="_Toc36110187"/>
    <w:bookmarkStart w:id="548" w:name="_Toc91899912"/>
    <w:bookmarkStart w:id="549" w:name="_Toc164085800"/>
    <w:bookmarkStart w:id="550" w:name="_Toc13184514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F924">
    <w:pPr>
      <w:pStyle w:val="40"/>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42F3">
    <w:pPr>
      <w:pStyle w:val="41"/>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41E7AF0"/>
    <w:multiLevelType w:val="multilevel"/>
    <w:tmpl w:val="641E7AF0"/>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3785D"/>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454C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BD286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B55AD"/>
    <w:rsid w:val="0C8445DA"/>
    <w:rsid w:val="0C87121B"/>
    <w:rsid w:val="0CC007F7"/>
    <w:rsid w:val="0CC617AC"/>
    <w:rsid w:val="0CCE2B10"/>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032A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578E7"/>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D1E9A"/>
    <w:rsid w:val="13072A44"/>
    <w:rsid w:val="135F4BE2"/>
    <w:rsid w:val="139B1A0A"/>
    <w:rsid w:val="139D25C7"/>
    <w:rsid w:val="13BF3CE4"/>
    <w:rsid w:val="13CE750E"/>
    <w:rsid w:val="141008D8"/>
    <w:rsid w:val="14125FE6"/>
    <w:rsid w:val="141A488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134B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87507"/>
    <w:rsid w:val="1C0459C2"/>
    <w:rsid w:val="1C1B3B4A"/>
    <w:rsid w:val="1C595CF3"/>
    <w:rsid w:val="1C88086E"/>
    <w:rsid w:val="1D266CE1"/>
    <w:rsid w:val="1D3963AF"/>
    <w:rsid w:val="1D6A673C"/>
    <w:rsid w:val="1D883FAA"/>
    <w:rsid w:val="1D9247AE"/>
    <w:rsid w:val="1DB567EC"/>
    <w:rsid w:val="1DF51A98"/>
    <w:rsid w:val="1E3D060F"/>
    <w:rsid w:val="1E3F7D2E"/>
    <w:rsid w:val="1E4134E4"/>
    <w:rsid w:val="1E5062B3"/>
    <w:rsid w:val="1E523514"/>
    <w:rsid w:val="1E714A66"/>
    <w:rsid w:val="1E802593"/>
    <w:rsid w:val="1E8B6156"/>
    <w:rsid w:val="1EA703CC"/>
    <w:rsid w:val="1EB7330C"/>
    <w:rsid w:val="1EFA3C38"/>
    <w:rsid w:val="1F0A0FF3"/>
    <w:rsid w:val="1F5771FF"/>
    <w:rsid w:val="1FD52DD5"/>
    <w:rsid w:val="1FE868A9"/>
    <w:rsid w:val="20034907"/>
    <w:rsid w:val="20173E4B"/>
    <w:rsid w:val="204E48BC"/>
    <w:rsid w:val="208921B3"/>
    <w:rsid w:val="20973DEB"/>
    <w:rsid w:val="20B26522"/>
    <w:rsid w:val="20B44310"/>
    <w:rsid w:val="20C0056A"/>
    <w:rsid w:val="211116EB"/>
    <w:rsid w:val="216133FC"/>
    <w:rsid w:val="21707EAF"/>
    <w:rsid w:val="21D56769"/>
    <w:rsid w:val="21E52EF3"/>
    <w:rsid w:val="21FB5D7B"/>
    <w:rsid w:val="22015E94"/>
    <w:rsid w:val="220B1C3D"/>
    <w:rsid w:val="221D1D20"/>
    <w:rsid w:val="22334A87"/>
    <w:rsid w:val="226D06CE"/>
    <w:rsid w:val="22BE6801"/>
    <w:rsid w:val="232956B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5365E"/>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04C5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2E4796"/>
    <w:rsid w:val="2A6D6092"/>
    <w:rsid w:val="2A7D76B4"/>
    <w:rsid w:val="2A832D34"/>
    <w:rsid w:val="2A884AD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EF31D8"/>
    <w:rsid w:val="310402C4"/>
    <w:rsid w:val="314550B7"/>
    <w:rsid w:val="319C6071"/>
    <w:rsid w:val="31A87135"/>
    <w:rsid w:val="31AC537E"/>
    <w:rsid w:val="31E3679B"/>
    <w:rsid w:val="31E732FD"/>
    <w:rsid w:val="32270DF8"/>
    <w:rsid w:val="32517576"/>
    <w:rsid w:val="32BE5C2C"/>
    <w:rsid w:val="32FB6478"/>
    <w:rsid w:val="33263B3F"/>
    <w:rsid w:val="336963EB"/>
    <w:rsid w:val="33816EEB"/>
    <w:rsid w:val="33B757FC"/>
    <w:rsid w:val="33EB55CD"/>
    <w:rsid w:val="33EC4C02"/>
    <w:rsid w:val="340D2360"/>
    <w:rsid w:val="3410665D"/>
    <w:rsid w:val="341A65CC"/>
    <w:rsid w:val="34211214"/>
    <w:rsid w:val="342E63AB"/>
    <w:rsid w:val="34433534"/>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A1C1A"/>
    <w:rsid w:val="38BC0149"/>
    <w:rsid w:val="38D87D1C"/>
    <w:rsid w:val="39636459"/>
    <w:rsid w:val="396B7F6C"/>
    <w:rsid w:val="39B417A9"/>
    <w:rsid w:val="39FC5695"/>
    <w:rsid w:val="3A006D8E"/>
    <w:rsid w:val="3A3651E5"/>
    <w:rsid w:val="3A4F678F"/>
    <w:rsid w:val="3A744481"/>
    <w:rsid w:val="3A8C7BEF"/>
    <w:rsid w:val="3A906246"/>
    <w:rsid w:val="3B1F0EC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97A9F"/>
    <w:rsid w:val="3E0D48F6"/>
    <w:rsid w:val="3E1868B4"/>
    <w:rsid w:val="3E377251"/>
    <w:rsid w:val="3E42664B"/>
    <w:rsid w:val="3E5A7334"/>
    <w:rsid w:val="3E7B5D6B"/>
    <w:rsid w:val="3E843E66"/>
    <w:rsid w:val="3E8F51FE"/>
    <w:rsid w:val="3E926F87"/>
    <w:rsid w:val="3E9A59DE"/>
    <w:rsid w:val="3EA5765F"/>
    <w:rsid w:val="3EAF4836"/>
    <w:rsid w:val="3EC33DFA"/>
    <w:rsid w:val="3EF21DDE"/>
    <w:rsid w:val="3F060E16"/>
    <w:rsid w:val="3F1D1096"/>
    <w:rsid w:val="3F2F0234"/>
    <w:rsid w:val="3F6363FE"/>
    <w:rsid w:val="3F756B8F"/>
    <w:rsid w:val="3F95482B"/>
    <w:rsid w:val="3FB62E0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02234"/>
    <w:rsid w:val="434B790E"/>
    <w:rsid w:val="4360274F"/>
    <w:rsid w:val="43977AB6"/>
    <w:rsid w:val="43A3342B"/>
    <w:rsid w:val="43C77C27"/>
    <w:rsid w:val="43DE09EE"/>
    <w:rsid w:val="44002FAD"/>
    <w:rsid w:val="449101DD"/>
    <w:rsid w:val="44D16FF4"/>
    <w:rsid w:val="44DE1391"/>
    <w:rsid w:val="451B225C"/>
    <w:rsid w:val="452410C9"/>
    <w:rsid w:val="45317DFB"/>
    <w:rsid w:val="456D3CE4"/>
    <w:rsid w:val="4579042C"/>
    <w:rsid w:val="457F0571"/>
    <w:rsid w:val="45851176"/>
    <w:rsid w:val="45C046FE"/>
    <w:rsid w:val="45C63B94"/>
    <w:rsid w:val="460E7DA5"/>
    <w:rsid w:val="46110CAC"/>
    <w:rsid w:val="46422483"/>
    <w:rsid w:val="46492C2C"/>
    <w:rsid w:val="4659254A"/>
    <w:rsid w:val="465B0637"/>
    <w:rsid w:val="465E3F0D"/>
    <w:rsid w:val="466A16E6"/>
    <w:rsid w:val="46893F2B"/>
    <w:rsid w:val="46C4686E"/>
    <w:rsid w:val="475632A7"/>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523ECD"/>
    <w:rsid w:val="4CB6685F"/>
    <w:rsid w:val="4CC367FE"/>
    <w:rsid w:val="4D077F3C"/>
    <w:rsid w:val="4D090A1F"/>
    <w:rsid w:val="4D123355"/>
    <w:rsid w:val="4D2A3B31"/>
    <w:rsid w:val="4D312C52"/>
    <w:rsid w:val="4D562ACB"/>
    <w:rsid w:val="4D905305"/>
    <w:rsid w:val="4D964A72"/>
    <w:rsid w:val="4D9C1254"/>
    <w:rsid w:val="4E793892"/>
    <w:rsid w:val="4E800872"/>
    <w:rsid w:val="4EC569ED"/>
    <w:rsid w:val="4ECB50D3"/>
    <w:rsid w:val="4ED50EA1"/>
    <w:rsid w:val="4EEC050C"/>
    <w:rsid w:val="4F104EC3"/>
    <w:rsid w:val="4F47354A"/>
    <w:rsid w:val="4F6D4A83"/>
    <w:rsid w:val="4F7E539C"/>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D641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B7451"/>
    <w:rsid w:val="57032A2C"/>
    <w:rsid w:val="570F5219"/>
    <w:rsid w:val="5741351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B3CCD"/>
    <w:rsid w:val="5A5D3B6E"/>
    <w:rsid w:val="5A637A76"/>
    <w:rsid w:val="5A6D33BA"/>
    <w:rsid w:val="5A792B1F"/>
    <w:rsid w:val="5A874767"/>
    <w:rsid w:val="5AA85BE2"/>
    <w:rsid w:val="5AAD6F28"/>
    <w:rsid w:val="5AD63A24"/>
    <w:rsid w:val="5B2E1A1D"/>
    <w:rsid w:val="5B411CCC"/>
    <w:rsid w:val="5B6466FE"/>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C3975"/>
    <w:rsid w:val="5FCC5339"/>
    <w:rsid w:val="5FE34A5B"/>
    <w:rsid w:val="5FFE1E36"/>
    <w:rsid w:val="60232584"/>
    <w:rsid w:val="607330CE"/>
    <w:rsid w:val="60825176"/>
    <w:rsid w:val="609F2AC4"/>
    <w:rsid w:val="60FA2EE8"/>
    <w:rsid w:val="60FC0DF8"/>
    <w:rsid w:val="61054A27"/>
    <w:rsid w:val="610A52BC"/>
    <w:rsid w:val="611514C9"/>
    <w:rsid w:val="611D2366"/>
    <w:rsid w:val="61421856"/>
    <w:rsid w:val="615227C4"/>
    <w:rsid w:val="61654E3F"/>
    <w:rsid w:val="6182292A"/>
    <w:rsid w:val="619F7F92"/>
    <w:rsid w:val="61F94C26"/>
    <w:rsid w:val="62000E56"/>
    <w:rsid w:val="62340FAB"/>
    <w:rsid w:val="624F3E49"/>
    <w:rsid w:val="62632286"/>
    <w:rsid w:val="62885958"/>
    <w:rsid w:val="62F40B65"/>
    <w:rsid w:val="62FC2CFE"/>
    <w:rsid w:val="63024505"/>
    <w:rsid w:val="635600A5"/>
    <w:rsid w:val="635B1DB5"/>
    <w:rsid w:val="63711FED"/>
    <w:rsid w:val="63880DDC"/>
    <w:rsid w:val="63894C7F"/>
    <w:rsid w:val="638D750D"/>
    <w:rsid w:val="63AC6CC0"/>
    <w:rsid w:val="63BC45E5"/>
    <w:rsid w:val="63F4451F"/>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B7F17"/>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A3D1A"/>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040D9"/>
    <w:rsid w:val="6F8331F1"/>
    <w:rsid w:val="6F8F41CE"/>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6A16B0"/>
    <w:rsid w:val="72864BF7"/>
    <w:rsid w:val="729023FC"/>
    <w:rsid w:val="72ED5B8D"/>
    <w:rsid w:val="7350291E"/>
    <w:rsid w:val="73C0646E"/>
    <w:rsid w:val="73E7CF11"/>
    <w:rsid w:val="742222F5"/>
    <w:rsid w:val="74476126"/>
    <w:rsid w:val="74706664"/>
    <w:rsid w:val="747F3682"/>
    <w:rsid w:val="749C4185"/>
    <w:rsid w:val="75067759"/>
    <w:rsid w:val="752E6DCD"/>
    <w:rsid w:val="7551380D"/>
    <w:rsid w:val="75600BE5"/>
    <w:rsid w:val="7564475C"/>
    <w:rsid w:val="7583797F"/>
    <w:rsid w:val="759A405B"/>
    <w:rsid w:val="75D20F1D"/>
    <w:rsid w:val="75DA2C18"/>
    <w:rsid w:val="75F54412"/>
    <w:rsid w:val="761D08E0"/>
    <w:rsid w:val="761E748A"/>
    <w:rsid w:val="76540C31"/>
    <w:rsid w:val="765D347C"/>
    <w:rsid w:val="76826699"/>
    <w:rsid w:val="76C87133"/>
    <w:rsid w:val="76CD08D5"/>
    <w:rsid w:val="76DB4B92"/>
    <w:rsid w:val="76FD013A"/>
    <w:rsid w:val="77052AA4"/>
    <w:rsid w:val="77136511"/>
    <w:rsid w:val="77340A39"/>
    <w:rsid w:val="77351FD0"/>
    <w:rsid w:val="77472422"/>
    <w:rsid w:val="777F31F2"/>
    <w:rsid w:val="77A053BF"/>
    <w:rsid w:val="77D1700D"/>
    <w:rsid w:val="77EC04CC"/>
    <w:rsid w:val="78775729"/>
    <w:rsid w:val="78A42DB0"/>
    <w:rsid w:val="78A656AB"/>
    <w:rsid w:val="78B2245C"/>
    <w:rsid w:val="78E172CC"/>
    <w:rsid w:val="78EA1D1F"/>
    <w:rsid w:val="78FC7A39"/>
    <w:rsid w:val="7904172F"/>
    <w:rsid w:val="790F7E27"/>
    <w:rsid w:val="792A231A"/>
    <w:rsid w:val="79316829"/>
    <w:rsid w:val="7961368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193C37"/>
    <w:rsid w:val="7C254906"/>
    <w:rsid w:val="7C590818"/>
    <w:rsid w:val="7C7C10F6"/>
    <w:rsid w:val="7C853BEA"/>
    <w:rsid w:val="7C881368"/>
    <w:rsid w:val="7CE27788"/>
    <w:rsid w:val="7D0C32F1"/>
    <w:rsid w:val="7D0F408D"/>
    <w:rsid w:val="7D491C6C"/>
    <w:rsid w:val="7D5429C0"/>
    <w:rsid w:val="7D6E6D43"/>
    <w:rsid w:val="7D733B0F"/>
    <w:rsid w:val="7DB57A34"/>
    <w:rsid w:val="7DE22A43"/>
    <w:rsid w:val="7DE60973"/>
    <w:rsid w:val="7DEF0916"/>
    <w:rsid w:val="7E1E5218"/>
    <w:rsid w:val="7E9A4E1F"/>
    <w:rsid w:val="7EA7723A"/>
    <w:rsid w:val="7EF56FBB"/>
    <w:rsid w:val="7F046EAD"/>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styleId="3">
    <w:name w:val="Body Text First Indent 2"/>
    <w:basedOn w:val="2"/>
    <w:link w:val="123"/>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7"/>
    <w:qFormat/>
    <w:uiPriority w:val="0"/>
    <w:rPr>
      <w:rFonts w:ascii="宋体" w:hAnsi="Courier New" w:cs="Arial"/>
      <w:snapToGrid w:val="0"/>
      <w:szCs w:val="21"/>
    </w:rPr>
  </w:style>
  <w:style w:type="paragraph" w:styleId="34">
    <w:name w:val="Date"/>
    <w:basedOn w:val="1"/>
    <w:next w:val="1"/>
    <w:link w:val="183"/>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25"/>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snapToGrid w:val="0"/>
    </w:pPr>
    <w:rPr>
      <w:sz w:val="20"/>
      <w:szCs w:val="24"/>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4"/>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22084</Words>
  <Characters>23321</Characters>
  <Lines>281</Lines>
  <Paragraphs>79</Paragraphs>
  <TotalTime>1</TotalTime>
  <ScaleCrop>false</ScaleCrop>
  <LinksUpToDate>false</LinksUpToDate>
  <CharactersWithSpaces>23848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CHEN</cp:lastModifiedBy>
  <cp:lastPrinted>2025-04-11T06:25:00Z</cp:lastPrinted>
  <dcterms:modified xsi:type="dcterms:W3CDTF">2025-07-02T07:37:34Z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83E49C2F8D46433785F092418C711187_13</vt:lpwstr>
  </property>
  <property fmtid="{D5CDD505-2E9C-101B-9397-08002B2CF9AE}" pid="5" name="KSOTemplateDocerSaveRecord">
    <vt:lpwstr>eyJoZGlkIjoiNDcyYWUyYzgzYTkwNTU4MGQ3YWRhMzk4NjJmMDgwZGEiLCJ1c2VySWQiOiIxMTM0NzAzMzU1In0=</vt:lpwstr>
  </property>
</Properties>
</file>