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12A0FD69">
      <w:pPr>
        <w:adjustRightInd/>
        <w:spacing w:line="360" w:lineRule="auto"/>
        <w:jc w:val="center"/>
        <w:rPr>
          <w:rFonts w:cs="仿宋_GB2312" w:asciiTheme="minorEastAsia" w:hAnsiTheme="minorEastAsia" w:eastAsiaTheme="minorEastAsia"/>
          <w:b/>
          <w:color w:val="auto"/>
          <w:sz w:val="44"/>
          <w:szCs w:val="44"/>
        </w:rPr>
      </w:pPr>
    </w:p>
    <w:p w14:paraId="4EB66F48">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44"/>
          <w:szCs w:val="44"/>
          <w:lang w:eastAsia="zh-CN"/>
        </w:rPr>
        <w:t>桐庐县第二人民医院安保服务项目</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HCCGTL2025-014</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7516AE6C">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桐庐县第二人民医院</w:t>
      </w:r>
    </w:p>
    <w:p w14:paraId="7CF6877D">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华诚工程咨询集团有限公司</w:t>
      </w:r>
    </w:p>
    <w:p w14:paraId="7844198D">
      <w:pPr>
        <w:snapToGrid w:val="0"/>
        <w:spacing w:line="360" w:lineRule="auto"/>
        <w:jc w:val="center"/>
        <w:rPr>
          <w:rFonts w:hint="eastAsia" w:cs="仿宋_GB2312" w:asciiTheme="minorEastAsia" w:hAnsiTheme="minorEastAsia" w:eastAsiaTheme="minorEastAsia"/>
          <w:bCs/>
          <w:color w:val="auto"/>
          <w:sz w:val="32"/>
          <w:szCs w:val="32"/>
          <w:lang w:eastAsia="zh-CN"/>
        </w:rPr>
      </w:pPr>
      <w:r>
        <w:rPr>
          <w:rFonts w:hint="eastAsia" w:cs="仿宋_GB2312" w:asciiTheme="minorEastAsia" w:hAnsiTheme="minorEastAsia" w:eastAsiaTheme="minorEastAsia"/>
          <w:bCs/>
          <w:color w:val="auto"/>
          <w:sz w:val="32"/>
          <w:szCs w:val="32"/>
          <w:lang w:eastAsia="zh-CN"/>
        </w:rPr>
        <w:t>二〇二五年</w:t>
      </w:r>
      <w:r>
        <w:rPr>
          <w:rFonts w:hint="eastAsia" w:cs="仿宋_GB2312" w:asciiTheme="minorEastAsia" w:hAnsiTheme="minorEastAsia" w:eastAsiaTheme="minorEastAsia"/>
          <w:bCs/>
          <w:color w:val="auto"/>
          <w:sz w:val="32"/>
          <w:szCs w:val="32"/>
          <w:lang w:val="en-US" w:eastAsia="zh-CN"/>
        </w:rPr>
        <w:t>六</w:t>
      </w:r>
      <w:r>
        <w:rPr>
          <w:rFonts w:hint="eastAsia" w:cs="仿宋_GB2312" w:asciiTheme="minorEastAsia" w:hAnsiTheme="minorEastAsia" w:eastAsiaTheme="minorEastAsia"/>
          <w:bCs/>
          <w:color w:val="auto"/>
          <w:sz w:val="32"/>
          <w:szCs w:val="32"/>
          <w:lang w:eastAsia="zh-CN"/>
        </w:rPr>
        <w:t>月</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桐庐县第二人民医院安保服务项目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5"/>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HCCGTL2025-014</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桐庐县第二人民医院安保服务项目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1C6D4CA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750000</w:t>
      </w:r>
      <w:r>
        <w:rPr>
          <w:rFonts w:ascii="宋体" w:hAnsi="宋体" w:cs="宋体"/>
          <w:color w:val="auto"/>
          <w:sz w:val="24"/>
          <w:highlight w:val="none"/>
        </w:rPr>
        <w:t xml:space="preserve"> </w:t>
      </w:r>
    </w:p>
    <w:p w14:paraId="509BB9D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750000</w:t>
      </w:r>
      <w:r>
        <w:rPr>
          <w:rFonts w:ascii="宋体" w:hAnsi="宋体" w:cs="宋体"/>
          <w:color w:val="auto"/>
          <w:sz w:val="24"/>
          <w:highlight w:val="none"/>
        </w:rPr>
        <w:t xml:space="preserve"> </w:t>
      </w:r>
    </w:p>
    <w:p w14:paraId="6AD4AB19">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桐庐县第二人民医院安保服</w:t>
      </w:r>
      <w:r>
        <w:rPr>
          <w:rFonts w:hint="eastAsia" w:hAnsi="宋体" w:cs="宋体" w:eastAsiaTheme="minorEastAsia"/>
          <w:bCs/>
          <w:color w:val="auto"/>
          <w:sz w:val="24"/>
          <w:highlight w:val="none"/>
          <w:lang w:eastAsia="zh-CN"/>
        </w:rPr>
        <w:t>务项目</w:t>
      </w:r>
      <w:r>
        <w:rPr>
          <w:rFonts w:hint="eastAsia" w:hAnsi="宋体" w:cs="宋体"/>
          <w:bCs/>
          <w:color w:val="auto"/>
          <w:sz w:val="24"/>
          <w:highlight w:val="none"/>
        </w:rPr>
        <w:t>主要内容</w:t>
      </w:r>
      <w:r>
        <w:rPr>
          <w:rFonts w:hint="eastAsia" w:hAnsi="宋体" w:cs="宋体"/>
          <w:bCs/>
          <w:color w:val="auto"/>
          <w:sz w:val="24"/>
          <w:highlight w:val="none"/>
          <w:lang w:eastAsia="zh-CN"/>
        </w:rPr>
        <w:t>：</w:t>
      </w:r>
      <w:r>
        <w:rPr>
          <w:rFonts w:hint="eastAsia" w:cs="仿宋_GB2312" w:asciiTheme="minorEastAsia" w:hAnsiTheme="minorEastAsia" w:eastAsiaTheme="minorEastAsia"/>
          <w:b/>
          <w:color w:val="auto"/>
          <w:sz w:val="24"/>
          <w:highlight w:val="none"/>
        </w:rPr>
        <w:t>详见磋商文件。</w:t>
      </w:r>
    </w:p>
    <w:p w14:paraId="646B0AC8">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lang w:val="en-US" w:eastAsia="zh-CN"/>
        </w:rPr>
        <w:t>合同签订之日起一年。</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35393630"/>
      <w:bookmarkStart w:id="16" w:name="_Toc28359090"/>
      <w:bookmarkStart w:id="17" w:name="_Toc28359013"/>
      <w:bookmarkStart w:id="18" w:name="_Toc35393799"/>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公安厅颁发的《保安服务许可证》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《保安服务管理条例》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color w:val="auto"/>
          <w:sz w:val="24"/>
        </w:rPr>
        <w:t>三、</w:t>
      </w:r>
      <w:r>
        <w:rPr>
          <w:rFonts w:hint="eastAsia" w:cs="宋体" w:asciiTheme="minorEastAsia" w:hAnsiTheme="minorEastAsia" w:eastAsiaTheme="minorEastAsia"/>
          <w:color w:val="auto"/>
          <w:sz w:val="24"/>
          <w:highlight w:val="none"/>
        </w:rPr>
        <w:t>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5"/>
        <w:numPr>
          <w:ilvl w:val="0"/>
          <w:numId w:val="0"/>
        </w:numPr>
        <w:ind w:left="432" w:hanging="432"/>
        <w:rPr>
          <w:rFonts w:cs="宋体" w:asciiTheme="minorEastAsia" w:hAnsiTheme="minorEastAsia" w:eastAsiaTheme="minorEastAsia"/>
          <w:color w:val="auto"/>
          <w:sz w:val="24"/>
          <w:szCs w:val="24"/>
        </w:rPr>
      </w:pPr>
      <w:bookmarkStart w:id="23" w:name="_Toc28359015"/>
      <w:bookmarkStart w:id="24" w:name="_Toc35393632"/>
      <w:bookmarkStart w:id="25" w:name="_Toc35393801"/>
      <w:bookmarkStart w:id="26" w:name="_Toc2835909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5"/>
        <w:numPr>
          <w:ilvl w:val="0"/>
          <w:numId w:val="0"/>
        </w:numPr>
        <w:ind w:left="432" w:hanging="432"/>
        <w:rPr>
          <w:rFonts w:cs="宋体" w:asciiTheme="minorEastAsia" w:hAnsiTheme="minorEastAsia" w:eastAsiaTheme="minorEastAsia"/>
          <w:color w:val="auto"/>
          <w:sz w:val="24"/>
          <w:szCs w:val="24"/>
        </w:rPr>
      </w:pPr>
      <w:bookmarkStart w:id="27" w:name="_Toc28359016"/>
      <w:bookmarkStart w:id="28" w:name="_Toc28359093"/>
      <w:bookmarkStart w:id="29" w:name="_Toc35393802"/>
      <w:bookmarkStart w:id="30" w:name="_Toc3539363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10</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15</w:t>
      </w:r>
      <w:r>
        <w:rPr>
          <w:rFonts w:hint="eastAsia" w:asciiTheme="minorEastAsia" w:hAnsiTheme="minorEastAsia" w:eastAsiaTheme="minorEastAsia"/>
          <w:bCs/>
          <w:color w:val="auto"/>
          <w:sz w:val="24"/>
          <w:u w:val="single"/>
        </w:rPr>
        <w:t>分00秒</w:t>
      </w:r>
      <w:bookmarkStart w:id="200" w:name="_GoBack"/>
      <w:bookmarkEnd w:id="200"/>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15B00E85">
      <w:pPr>
        <w:pStyle w:val="5"/>
        <w:numPr>
          <w:ilvl w:val="0"/>
          <w:numId w:val="0"/>
        </w:numPr>
        <w:ind w:left="432" w:hanging="432"/>
        <w:rPr>
          <w:rFonts w:cs="宋体" w:asciiTheme="minorEastAsia" w:hAnsiTheme="minorEastAsia" w:eastAsiaTheme="minorEastAsia"/>
          <w:color w:val="auto"/>
          <w:sz w:val="24"/>
          <w:szCs w:val="24"/>
        </w:rPr>
      </w:pPr>
      <w:bookmarkStart w:id="31" w:name="_Toc35393803"/>
      <w:bookmarkStart w:id="32" w:name="_Toc35393634"/>
      <w:bookmarkStart w:id="33" w:name="_Toc28359094"/>
      <w:bookmarkStart w:id="34" w:name="_Toc28359017"/>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5"/>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5"/>
        <w:numPr>
          <w:ilvl w:val="0"/>
          <w:numId w:val="0"/>
        </w:numPr>
        <w:ind w:left="432" w:hanging="432"/>
        <w:rPr>
          <w:rFonts w:cs="宋体" w:asciiTheme="minorEastAsia" w:hAnsiTheme="minorEastAsia" w:eastAsiaTheme="minorEastAsia"/>
          <w:color w:val="auto"/>
          <w:sz w:val="24"/>
          <w:szCs w:val="24"/>
        </w:rPr>
      </w:pPr>
      <w:bookmarkStart w:id="37" w:name="_Toc35393636"/>
      <w:bookmarkStart w:id="38" w:name="_Toc28359095"/>
      <w:bookmarkStart w:id="39" w:name="_Toc28359018"/>
      <w:bookmarkStart w:id="40"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3E768528">
      <w:pPr>
        <w:pStyle w:val="5"/>
        <w:numPr>
          <w:ilvl w:val="0"/>
          <w:numId w:val="0"/>
        </w:numPr>
        <w:ind w:left="432" w:hanging="432"/>
        <w:rPr>
          <w:rFonts w:cs="宋体" w:asciiTheme="minorEastAsia" w:hAnsiTheme="minorEastAsia" w:eastAsiaTheme="minorEastAsia"/>
          <w:color w:val="auto"/>
          <w:sz w:val="24"/>
          <w:szCs w:val="24"/>
        </w:rPr>
      </w:pPr>
      <w:bookmarkStart w:id="41" w:name="_Toc28359096"/>
      <w:bookmarkStart w:id="42" w:name="_Toc35393637"/>
      <w:bookmarkStart w:id="43" w:name="_Toc28359019"/>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5B5231C8">
      <w:pPr>
        <w:spacing w:line="360" w:lineRule="auto"/>
        <w:ind w:firstLine="480"/>
        <w:rPr>
          <w:rFonts w:hint="eastAsia" w:ascii="宋体" w:hAnsi="宋体" w:eastAsia="宋体" w:cs="宋体"/>
          <w:color w:val="auto"/>
          <w:sz w:val="24"/>
          <w:highlight w:val="none"/>
        </w:rPr>
      </w:pPr>
      <w:bookmarkStart w:id="45" w:name="_Toc35393808"/>
      <w:bookmarkStart w:id="46" w:name="_Toc28359098"/>
      <w:bookmarkStart w:id="47" w:name="_Toc35393639"/>
      <w:bookmarkStart w:id="48" w:name="_Toc28359021"/>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桐庐县第二人民医院</w:t>
      </w:r>
      <w:r>
        <w:rPr>
          <w:rFonts w:hint="eastAsia" w:ascii="宋体" w:hAnsi="宋体" w:eastAsia="宋体" w:cs="宋体"/>
          <w:color w:val="auto"/>
          <w:sz w:val="24"/>
          <w:highlight w:val="none"/>
        </w:rPr>
        <w:t xml:space="preserve"> </w:t>
      </w:r>
    </w:p>
    <w:p w14:paraId="370AD4D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址：浙江省杭州市桐庐县分水镇新淳路96号桐庐县第二人民医院 </w:t>
      </w:r>
    </w:p>
    <w:p w14:paraId="5D60C907">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rPr>
        <w:t>尹群勤</w:t>
      </w:r>
      <w:r>
        <w:rPr>
          <w:rFonts w:hint="eastAsia" w:ascii="宋体" w:hAnsi="宋体" w:eastAsia="宋体" w:cs="宋体"/>
          <w:color w:val="auto"/>
          <w:sz w:val="24"/>
          <w:highlight w:val="none"/>
          <w:lang w:val="en-US" w:eastAsia="zh-CN"/>
        </w:rPr>
        <w:t xml:space="preserve">  </w:t>
      </w:r>
    </w:p>
    <w:p w14:paraId="1C64C95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项目联系方式（询问）：13616812719</w:t>
      </w:r>
    </w:p>
    <w:p w14:paraId="6AED31C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质疑联系人：俞雪华 </w:t>
      </w:r>
    </w:p>
    <w:p w14:paraId="763C4EEF">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质疑联系方式：15268189838</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2.采购代理机构信息</w:t>
      </w:r>
      <w:r>
        <w:rPr>
          <w:rFonts w:hint="eastAsia" w:ascii="宋体" w:hAnsi="宋体" w:cs="宋体"/>
          <w:color w:val="auto"/>
          <w:sz w:val="24"/>
          <w:highlight w:val="none"/>
        </w:rPr>
        <w:t xml:space="preserve">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华诚工程咨询集团有限公司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eastAsia="宋体" w:cs="宋体"/>
          <w:color w:val="auto"/>
          <w:sz w:val="24"/>
          <w:highlight w:val="none"/>
        </w:rPr>
        <w:t xml:space="preserve">    址：杭州市桐庐县云栖中路619号东方君兰中心28楼</w:t>
      </w:r>
    </w:p>
    <w:p w14:paraId="53F527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0571-61772183</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项目联系人（询问）：陈婧 </w:t>
      </w:r>
    </w:p>
    <w:p w14:paraId="6D1A7C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项目联系方式（询问）：0571-64251926</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质疑联系人：叶敏露 </w:t>
      </w:r>
    </w:p>
    <w:p w14:paraId="3E05C1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质疑联系方式：0571-64251926</w:t>
      </w:r>
    </w:p>
    <w:p w14:paraId="5D934F31">
      <w:pPr>
        <w:numPr>
          <w:ilvl w:val="0"/>
          <w:numId w:val="0"/>
        </w:numPr>
        <w:spacing w:line="360" w:lineRule="auto"/>
        <w:ind w:left="480" w:leftChars="0" w:firstLine="0" w:firstLineChars="0"/>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0ADAB64B">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45"/>
      <w:bookmarkEnd w:id="46"/>
      <w:bookmarkEnd w:id="47"/>
      <w:bookmarkEnd w:id="48"/>
      <w:r>
        <w:rPr>
          <w:rFonts w:hint="eastAsia" w:ascii="宋体" w:hAnsi="宋体" w:cs="宋体"/>
          <w:color w:val="auto"/>
          <w:sz w:val="24"/>
        </w:rPr>
        <w:t>名    称：杭州市财政局政府采购监管处 /浙江省政府采购行政裁决服务中心（杭州）</w:t>
      </w:r>
    </w:p>
    <w:p w14:paraId="7D16F02E">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545A5D0F">
      <w:pPr>
        <w:spacing w:line="360" w:lineRule="auto"/>
        <w:rPr>
          <w:rFonts w:ascii="宋体" w:hAnsi="宋体" w:cs="宋体"/>
          <w:color w:val="auto"/>
          <w:sz w:val="24"/>
        </w:rPr>
      </w:pPr>
      <w:r>
        <w:rPr>
          <w:rFonts w:hint="eastAsia" w:ascii="宋体" w:hAnsi="宋体" w:cs="宋体"/>
          <w:color w:val="auto"/>
          <w:sz w:val="24"/>
        </w:rPr>
        <w:t xml:space="preserve">    传    真： /</w:t>
      </w:r>
    </w:p>
    <w:p w14:paraId="23886256">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5526F551">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659FE672">
      <w:pPr>
        <w:spacing w:line="360" w:lineRule="auto"/>
        <w:ind w:firstLine="480"/>
        <w:rPr>
          <w:rFonts w:ascii="宋体" w:hAnsi="宋体" w:cs="宋体"/>
          <w:color w:val="auto"/>
          <w:sz w:val="24"/>
        </w:rPr>
      </w:pPr>
      <w:r>
        <w:rPr>
          <w:rFonts w:hint="eastAsia" w:ascii="宋体" w:hAnsi="宋体" w:cs="宋体"/>
          <w:color w:val="auto"/>
          <w:sz w:val="24"/>
          <w:u w:val="none"/>
          <w:lang w:val="en-US" w:eastAsia="zh-CN"/>
        </w:rPr>
        <w:t>政策咨询电话：张先生，0571-89545850 桐庐县政府采购监管部门工作人员</w:t>
      </w:r>
      <w:r>
        <w:rPr>
          <w:rFonts w:hint="eastAsia" w:ascii="宋体" w:hAnsi="宋体" w:cs="宋体"/>
          <w:color w:val="auto"/>
          <w:sz w:val="24"/>
          <w:highlight w:val="none"/>
        </w:rPr>
        <w:t xml:space="preserve">  </w:t>
      </w: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4"/>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4"/>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482" w:firstLineChars="20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pageBreakBefore w:val="0"/>
              <w:widowControl w:val="0"/>
              <w:kinsoku/>
              <w:wordWrap/>
              <w:overflowPunct/>
              <w:topLinePunct w:val="0"/>
              <w:autoSpaceDE/>
              <w:autoSpaceDN/>
              <w:bidi w:val="0"/>
              <w:snapToGrid w:val="0"/>
              <w:spacing w:line="440" w:lineRule="exact"/>
              <w:textAlignment w:val="auto"/>
              <w:rPr>
                <w:rFonts w:hint="eastAsia" w:ascii="宋体" w:hAnsi="宋体" w:cs="宋体"/>
                <w:color w:val="auto"/>
                <w:kern w:val="0"/>
                <w:sz w:val="24"/>
                <w:highlight w:val="none"/>
              </w:rPr>
            </w:pPr>
            <w:r>
              <w:rPr>
                <w:rFonts w:hint="eastAsia" w:ascii="宋体" w:hAnsi="宋体" w:cs="宋体"/>
                <w:color w:val="auto"/>
                <w:kern w:val="0"/>
                <w:sz w:val="24"/>
              </w:rPr>
              <w:t>（1）</w:t>
            </w:r>
            <w:r>
              <w:rPr>
                <w:rFonts w:hint="eastAsia" w:ascii="宋体" w:hAnsi="宋体" w:cs="宋体"/>
                <w:color w:val="auto"/>
                <w:kern w:val="0"/>
                <w:sz w:val="24"/>
                <w:highlight w:val="none"/>
                <w:u w:val="single"/>
                <w:lang w:eastAsia="zh-CN"/>
              </w:rPr>
              <w:t>桐庐县第二人民医院安保服务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4DD2FC3">
            <w:pPr>
              <w:pStyle w:val="5"/>
              <w:pageBreakBefore w:val="0"/>
              <w:widowControl w:val="0"/>
              <w:numPr>
                <w:ilvl w:val="0"/>
                <w:numId w:val="0"/>
              </w:numPr>
              <w:kinsoku/>
              <w:wordWrap/>
              <w:overflowPunct/>
              <w:topLinePunct w:val="0"/>
              <w:autoSpaceDE/>
              <w:autoSpaceDN/>
              <w:bidi w:val="0"/>
              <w:spacing w:line="440" w:lineRule="exact"/>
              <w:jc w:val="both"/>
              <w:textAlignment w:val="auto"/>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b w:val="0"/>
                <w:bCs w:val="0"/>
                <w:color w:val="auto"/>
                <w:sz w:val="24"/>
                <w:highlight w:val="none"/>
                <w:u w:val="single"/>
              </w:rPr>
              <w:t>租赁和商务服务业</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s="宋体"/>
                <w:b w:val="0"/>
                <w:bCs w:val="0"/>
                <w:i w:val="0"/>
                <w:iCs w:val="0"/>
                <w:caps w:val="0"/>
                <w:color w:val="000000"/>
                <w:spacing w:val="0"/>
                <w:sz w:val="24"/>
                <w:szCs w:val="24"/>
                <w:shd w:val="clear"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1"/>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4"/>
              <w:spacing w:line="360" w:lineRule="auto"/>
              <w:rPr>
                <w:rFonts w:cs="宋体" w:asciiTheme="minorEastAsia" w:hAnsiTheme="minorEastAsia" w:eastAsiaTheme="minorEastAsia"/>
                <w:color w:val="auto"/>
                <w:kern w:val="28"/>
                <w:sz w:val="24"/>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杭州市桐庐县云栖中路619号东方君兰中心28楼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陈婧（收），15715771169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83226B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本次采购代理服务费由中标供应商支付。本项目为服务类采购项目，采购代理服务费依据浙价服[2003]77号文件，按预算金额计算后收取。</w:t>
            </w:r>
          </w:p>
          <w:p w14:paraId="2C336C0F">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采购代理服务费包含在投标总价中，由中标供应商在接到中标通知书时以人民币方式向采购代理机构一次性支付。</w:t>
            </w:r>
          </w:p>
        </w:tc>
      </w:tr>
    </w:tbl>
    <w:p w14:paraId="7B19703B">
      <w:pPr>
        <w:snapToGrid w:val="0"/>
        <w:jc w:val="center"/>
        <w:rPr>
          <w:rFonts w:cs="仿宋_GB2312" w:asciiTheme="minorEastAsia" w:hAnsiTheme="minorEastAsia" w:eastAsiaTheme="minorEastAsia"/>
          <w:b/>
          <w:color w:val="auto"/>
          <w:sz w:val="32"/>
          <w:szCs w:val="20"/>
        </w:rPr>
      </w:pPr>
    </w:p>
    <w:p w14:paraId="3F752611">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59F352E5">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71778F31">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35FC08D5">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3B9FEBF6">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0CE83F68">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5B911A45">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358C5879">
      <w:pPr>
        <w:adjustRightInd/>
        <w:spacing w:line="360" w:lineRule="auto"/>
        <w:ind w:firstLine="3845" w:firstLineChars="1197"/>
        <w:outlineLvl w:val="0"/>
        <w:rPr>
          <w:rFonts w:hint="eastAsia"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MS Gothic" w:hAnsi="MS Gothic" w:cs="宋体" w:eastAsiaTheme="minorEastAsia"/>
              <w:color w:val="auto"/>
              <w:kern w:val="0"/>
              <w:sz w:val="24"/>
              <w:szCs w:val="24"/>
              <w:lang w:val="en-US" w:eastAsia="zh-CN" w:bidi="ar-SA"/>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4"/>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4"/>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4"/>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5"/>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4"/>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4"/>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4"/>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4"/>
              <w:spacing w:line="360" w:lineRule="auto"/>
              <w:jc w:val="center"/>
              <w:rPr>
                <w:rFonts w:asciiTheme="minorEastAsia" w:hAnsiTheme="minorEastAsia" w:eastAsiaTheme="minorEastAsia"/>
                <w:color w:val="auto"/>
                <w:sz w:val="24"/>
              </w:rPr>
            </w:pPr>
          </w:p>
        </w:tc>
        <w:tc>
          <w:tcPr>
            <w:tcW w:w="4536" w:type="dxa"/>
            <w:vAlign w:val="center"/>
          </w:tcPr>
          <w:p w14:paraId="494EE5C7">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4"/>
              <w:spacing w:line="360" w:lineRule="auto"/>
              <w:jc w:val="center"/>
              <w:rPr>
                <w:rFonts w:asciiTheme="minorEastAsia" w:hAnsiTheme="minorEastAsia" w:eastAsiaTheme="minorEastAsia"/>
                <w:color w:val="auto"/>
                <w:sz w:val="24"/>
              </w:rPr>
            </w:pPr>
          </w:p>
        </w:tc>
        <w:tc>
          <w:tcPr>
            <w:tcW w:w="4536" w:type="dxa"/>
            <w:vAlign w:val="center"/>
          </w:tcPr>
          <w:p w14:paraId="4B51CE8B">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4"/>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4"/>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4"/>
        <w:spacing w:line="360" w:lineRule="auto"/>
        <w:ind w:firstLine="480" w:firstLineChars="200"/>
        <w:rPr>
          <w:rFonts w:hint="eastAsia" w:ascii="宋体" w:hAnsi="Courier New"/>
          <w:color w:val="auto"/>
          <w:sz w:val="24"/>
          <w:szCs w:val="24"/>
          <w:highlight w:val="none"/>
        </w:rPr>
      </w:pPr>
    </w:p>
    <w:p w14:paraId="1E130716">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4"/>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4"/>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4"/>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4"/>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4"/>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4"/>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4"/>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4"/>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4"/>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3名     </w:t>
      </w:r>
      <w:r>
        <w:rPr>
          <w:rFonts w:hint="eastAsia" w:asciiTheme="minorEastAsia" w:hAnsiTheme="minorEastAsia" w:eastAsiaTheme="minorEastAsia"/>
          <w:color w:val="auto"/>
          <w:sz w:val="24"/>
          <w:szCs w:val="21"/>
          <w:lang w:val="en-US" w:eastAsia="zh-CN"/>
        </w:rPr>
        <w:t>。</w:t>
      </w:r>
    </w:p>
    <w:p w14:paraId="78DF4B50">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49" w:name="_Hlk101184471"/>
      <w:r>
        <w:rPr>
          <w:rFonts w:hint="eastAsia" w:cs="宋体" w:asciiTheme="minorEastAsia" w:hAnsiTheme="minorEastAsia" w:eastAsiaTheme="minorEastAsia"/>
          <w:color w:val="auto"/>
          <w:sz w:val="24"/>
        </w:rPr>
        <w:t>资格审查情况、评审专家抽取规则、符合性审查情况、</w:t>
      </w:r>
      <w:bookmarkEnd w:id="49"/>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5"/>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5"/>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5"/>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4730295"/>
      <w:bookmarkEnd w:id="50"/>
      <w:bookmarkStart w:id="51" w:name="_Hlt75236101"/>
      <w:bookmarkEnd w:id="51"/>
      <w:bookmarkStart w:id="52" w:name="_Hlt74707468"/>
      <w:bookmarkEnd w:id="52"/>
      <w:bookmarkStart w:id="53" w:name="_Hlt75236011"/>
      <w:bookmarkEnd w:id="53"/>
      <w:bookmarkStart w:id="54" w:name="_Hlt68072990"/>
      <w:bookmarkEnd w:id="54"/>
      <w:bookmarkStart w:id="55" w:name="_Hlt74714665"/>
      <w:bookmarkEnd w:id="55"/>
      <w:bookmarkStart w:id="56" w:name="_Hlt75236290"/>
      <w:bookmarkEnd w:id="56"/>
      <w:bookmarkStart w:id="57" w:name="_Hlt68057669"/>
      <w:bookmarkEnd w:id="57"/>
      <w:bookmarkStart w:id="58" w:name="_Hlt74729768"/>
      <w:bookmarkEnd w:id="58"/>
      <w:bookmarkStart w:id="59" w:name="第三部分"/>
      <w:bookmarkStart w:id="60" w:name="_Toc164416483"/>
      <w:r>
        <w:rPr>
          <w:rFonts w:cs="仿宋_GB2312" w:asciiTheme="minorEastAsia" w:hAnsiTheme="minorEastAsia" w:eastAsiaTheme="minorEastAsia"/>
          <w:b/>
          <w:color w:val="auto"/>
          <w:sz w:val="36"/>
          <w:szCs w:val="36"/>
        </w:rPr>
        <w:br w:type="page"/>
      </w:r>
    </w:p>
    <w:p w14:paraId="32867278">
      <w:pPr>
        <w:adjustRightInd/>
        <w:spacing w:line="360" w:lineRule="auto"/>
        <w:jc w:val="center"/>
        <w:outlineLvl w:val="0"/>
        <w:rPr>
          <w:rFonts w:cs="仿宋_GB2312" w:asciiTheme="minorEastAsia" w:hAnsiTheme="minorEastAsia" w:eastAsiaTheme="minorEastAsia"/>
          <w:b/>
          <w:color w:val="auto"/>
          <w:sz w:val="36"/>
          <w:szCs w:val="36"/>
          <w:u w:val="single"/>
        </w:rPr>
      </w:pPr>
      <w:r>
        <w:rPr>
          <w:rFonts w:hint="eastAsia" w:cs="仿宋_GB2312" w:asciiTheme="minorEastAsia" w:hAnsiTheme="minorEastAsia" w:eastAsiaTheme="minorEastAsia"/>
          <w:b/>
          <w:color w:val="auto"/>
          <w:sz w:val="36"/>
          <w:szCs w:val="36"/>
        </w:rPr>
        <w:t>第四部分  采购需求</w:t>
      </w:r>
    </w:p>
    <w:p w14:paraId="6B108A6E">
      <w:pPr>
        <w:keepNext w:val="0"/>
        <w:keepLines w:val="0"/>
        <w:pageBreakBefore w:val="0"/>
        <w:kinsoku/>
        <w:overflowPunct/>
        <w:bidi w:val="0"/>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一、项目概况   </w:t>
      </w:r>
    </w:p>
    <w:p w14:paraId="26472BFA">
      <w:pPr>
        <w:keepNext w:val="0"/>
        <w:keepLines w:val="0"/>
        <w:pageBreakBefore w:val="0"/>
        <w:kinsoku/>
        <w:overflowPunct/>
        <w:bidi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桐庐县第二人民医院单位位于浙江省杭州市桐庐县分水镇新淳路96号，占地面积约14000平方米，建筑面积共约16600平方米,另有地面停车位约70个。其中内有4大楼，员工365人。电梯5台，消防自动报警系统及联动系统、电视监视系统等。</w:t>
      </w:r>
    </w:p>
    <w:p w14:paraId="5963C772">
      <w:pPr>
        <w:keepNext w:val="0"/>
        <w:keepLines w:val="0"/>
        <w:pageBreakBefore w:val="0"/>
        <w:kinsoku/>
        <w:overflowPunct/>
        <w:bidi w:val="0"/>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二、服务范围、内容及要求</w:t>
      </w:r>
    </w:p>
    <w:p w14:paraId="7C263DBB">
      <w:pPr>
        <w:keepNext w:val="0"/>
        <w:keepLines w:val="0"/>
        <w:pageBreakBefore w:val="0"/>
        <w:kinsoku/>
        <w:overflowPunct/>
        <w:bidi w:val="0"/>
        <w:spacing w:line="4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（一）服务范围</w:t>
      </w:r>
    </w:p>
    <w:p w14:paraId="5CA9D67B">
      <w:pPr>
        <w:keepNext w:val="0"/>
        <w:keepLines w:val="0"/>
        <w:pageBreakBefore w:val="0"/>
        <w:kinsoku/>
        <w:overflowPunct/>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列入本次综合物业管理的范围：</w:t>
      </w:r>
      <w:r>
        <w:rPr>
          <w:rFonts w:hint="eastAsia" w:ascii="宋体" w:hAnsi="宋体" w:eastAsia="宋体" w:cs="宋体"/>
          <w:bCs/>
          <w:sz w:val="24"/>
          <w:szCs w:val="24"/>
        </w:rPr>
        <w:t>桐庐县第二人民医院单位</w:t>
      </w:r>
      <w:r>
        <w:rPr>
          <w:rFonts w:hint="eastAsia" w:ascii="宋体" w:hAnsi="宋体" w:eastAsia="宋体" w:cs="宋体"/>
          <w:sz w:val="24"/>
          <w:szCs w:val="24"/>
        </w:rPr>
        <w:t>内（占地面积约</w:t>
      </w:r>
      <w:r>
        <w:rPr>
          <w:rFonts w:hint="eastAsia" w:ascii="宋体" w:hAnsi="宋体" w:eastAsia="宋体" w:cs="宋体"/>
          <w:bCs/>
          <w:sz w:val="24"/>
          <w:szCs w:val="24"/>
        </w:rPr>
        <w:t>14000</w:t>
      </w:r>
      <w:r>
        <w:rPr>
          <w:rFonts w:hint="eastAsia" w:ascii="宋体" w:hAnsi="宋体" w:eastAsia="宋体" w:cs="宋体"/>
          <w:sz w:val="24"/>
          <w:szCs w:val="24"/>
        </w:rPr>
        <w:t>平方米，建筑面积共约</w:t>
      </w:r>
      <w:r>
        <w:rPr>
          <w:rFonts w:hint="eastAsia" w:ascii="宋体" w:hAnsi="宋体" w:eastAsia="宋体" w:cs="宋体"/>
          <w:bCs/>
          <w:sz w:val="24"/>
          <w:szCs w:val="24"/>
        </w:rPr>
        <w:t>16600</w:t>
      </w:r>
      <w:r>
        <w:rPr>
          <w:rFonts w:hint="eastAsia" w:ascii="宋体" w:hAnsi="宋体" w:eastAsia="宋体" w:cs="宋体"/>
          <w:sz w:val="24"/>
          <w:szCs w:val="24"/>
        </w:rPr>
        <w:t>平方米,另有地面停车位约</w:t>
      </w:r>
      <w:r>
        <w:rPr>
          <w:rFonts w:hint="eastAsia" w:ascii="宋体" w:hAnsi="宋体" w:eastAsia="宋体" w:cs="宋体"/>
          <w:bCs/>
          <w:sz w:val="24"/>
          <w:szCs w:val="24"/>
        </w:rPr>
        <w:t>70</w:t>
      </w:r>
      <w:r>
        <w:rPr>
          <w:rFonts w:hint="eastAsia" w:ascii="宋体" w:hAnsi="宋体" w:eastAsia="宋体" w:cs="宋体"/>
          <w:sz w:val="24"/>
          <w:szCs w:val="24"/>
        </w:rPr>
        <w:t>个）。</w:t>
      </w:r>
      <w:r>
        <w:rPr>
          <w:rFonts w:hint="eastAsia" w:ascii="宋体" w:hAnsi="宋体" w:eastAsia="宋体" w:cs="宋体"/>
          <w:b/>
          <w:bCs/>
          <w:sz w:val="24"/>
          <w:szCs w:val="24"/>
        </w:rPr>
        <w:t>保安服务</w:t>
      </w:r>
      <w:r>
        <w:rPr>
          <w:rFonts w:hint="eastAsia" w:ascii="宋体" w:hAnsi="宋体" w:eastAsia="宋体" w:cs="宋体"/>
          <w:sz w:val="24"/>
          <w:szCs w:val="24"/>
        </w:rPr>
        <w:t>，包括传达、保安、秩序；停车管理；消防、监控设施管理。</w:t>
      </w:r>
    </w:p>
    <w:p w14:paraId="4BD84FBA">
      <w:pPr>
        <w:keepNext w:val="0"/>
        <w:keepLines w:val="0"/>
        <w:pageBreakBefore w:val="0"/>
        <w:widowControl/>
        <w:kinsoku/>
        <w:overflowPunct/>
        <w:bidi w:val="0"/>
        <w:spacing w:line="440" w:lineRule="exact"/>
        <w:ind w:left="240"/>
        <w:jc w:val="left"/>
        <w:textAlignment w:val="auto"/>
        <w:rPr>
          <w:rFonts w:hint="eastAsia" w:ascii="宋体" w:hAnsi="宋体" w:eastAsia="宋体" w:cs="宋体"/>
          <w:sz w:val="24"/>
          <w:szCs w:val="24"/>
        </w:rPr>
      </w:pPr>
      <w:r>
        <w:rPr>
          <w:rFonts w:hint="eastAsia" w:ascii="宋体" w:hAnsi="宋体" w:eastAsia="宋体" w:cs="宋体"/>
          <w:b/>
          <w:bCs/>
          <w:sz w:val="24"/>
          <w:szCs w:val="24"/>
        </w:rPr>
        <w:t>（二）服</w:t>
      </w:r>
      <w:r>
        <w:rPr>
          <w:rFonts w:hint="eastAsia" w:ascii="宋体" w:hAnsi="宋体" w:eastAsia="宋体" w:cs="宋体"/>
          <w:b/>
          <w:sz w:val="24"/>
          <w:szCs w:val="24"/>
        </w:rPr>
        <w:t>务内容及具体要求</w:t>
      </w:r>
    </w:p>
    <w:p w14:paraId="1CD109F9">
      <w:pPr>
        <w:keepNext w:val="0"/>
        <w:keepLines w:val="0"/>
        <w:pageBreakBefore w:val="0"/>
        <w:widowControl/>
        <w:kinsoku/>
        <w:overflowPunct/>
        <w:bidi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1、保安服务</w:t>
      </w:r>
    </w:p>
    <w:p w14:paraId="4EE70728">
      <w:pPr>
        <w:keepNext w:val="0"/>
        <w:keepLines w:val="0"/>
        <w:pageBreakBefore w:val="0"/>
        <w:widowControl/>
        <w:kinsoku/>
        <w:overflowPunct/>
        <w:bidi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1.1服务内容</w:t>
      </w:r>
    </w:p>
    <w:p w14:paraId="47BB4AE6">
      <w:pPr>
        <w:keepNext w:val="0"/>
        <w:keepLines w:val="0"/>
        <w:pageBreakBefore w:val="0"/>
        <w:kinsoku/>
        <w:overflowPunct/>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行24小时值班和巡视，24小时不间断负责公共场所安保工作，做好消防工作，建立防火、防盗责任制，检查和落实服务区域内的防盗、防爆、防破坏等安全防范措施，维护公共场所秩序，做好地面停车场管理工作，并定期检查消防器械、电梯和疏散通道，24小时不间断负责监控工作，检查和落实服务区域内的监控值班等安全防范措施。</w:t>
      </w:r>
    </w:p>
    <w:p w14:paraId="64FA5E24">
      <w:pPr>
        <w:keepNext w:val="0"/>
        <w:keepLines w:val="0"/>
        <w:pageBreakBefore w:val="0"/>
        <w:kinsoku/>
        <w:overflowPunct/>
        <w:bidi w:val="0"/>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1.2服务要求</w:t>
      </w:r>
    </w:p>
    <w:p w14:paraId="79EBEE1C">
      <w:pPr>
        <w:keepNext w:val="0"/>
        <w:keepLines w:val="0"/>
        <w:pageBreakBefore w:val="0"/>
        <w:kinsoku/>
        <w:overflowPunct/>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（1）门卫管理。办公楼（区）出入口应安排24小时值岗，严格出入登记制度，对物品进出实施分类管理，杜绝闲杂人员和危险物品进入办公楼（区）。</w:t>
      </w:r>
    </w:p>
    <w:p w14:paraId="5B3C0D90">
      <w:pPr>
        <w:keepNext w:val="0"/>
        <w:keepLines w:val="0"/>
        <w:pageBreakBefore w:val="0"/>
        <w:kinsoku/>
        <w:overflowPunct/>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（2）巡视检查。明确巡视工作职责，对重要区域、部位、设备机房进行重点巡视并记录巡视情况，及时发现和处理各种安全和事故隐患。</w:t>
      </w:r>
    </w:p>
    <w:p w14:paraId="7CD8E800">
      <w:pPr>
        <w:keepNext w:val="0"/>
        <w:keepLines w:val="0"/>
        <w:pageBreakBefore w:val="0"/>
        <w:kinsoku/>
        <w:overflowPunct/>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监控管理。监控设施设备应保持24小时开通，并保持完整的监控记录，保证对办公区域各出入口、内部重点区域的安全监控、录像及协助布警。监控室收到异常情况报警信号后，应及时报警，并派专人赶到现场进行前期处理。做好防盗、防火报警监控设备日常使用管理。</w:t>
      </w:r>
    </w:p>
    <w:p w14:paraId="7C1A7FA0">
      <w:pPr>
        <w:keepNext w:val="0"/>
        <w:keepLines w:val="0"/>
        <w:pageBreakBefore w:val="0"/>
        <w:kinsoku/>
        <w:overflowPunct/>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（4）车辆管理。对进出管辖区域的各类车辆进行管理，设置行车指示标志，规定车辆行驶路线，指定车辆停放区域，非机动车定点有序停放，停车区域无易燃、易爆等物品存放。</w:t>
      </w:r>
    </w:p>
    <w:p w14:paraId="44E29891">
      <w:pPr>
        <w:keepNext w:val="0"/>
        <w:keepLines w:val="0"/>
        <w:pageBreakBefore w:val="0"/>
        <w:kinsoku/>
        <w:overflowPunct/>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定时定点查看财务部门、档案库房、重要机房、配电房、地下车库等以及无人值班但有可能发生问题的地方，做好记录，确保合同期间的治安保卫工作不出问题。若发现盗窃、凶案、火灾、投毒、损毁财物，以及一切有现场的案件或事件，要妥善保护好现场，迅速上报并积极协助调查。</w:t>
      </w:r>
    </w:p>
    <w:p w14:paraId="7D656B70">
      <w:pPr>
        <w:keepNext w:val="0"/>
        <w:keepLines w:val="0"/>
        <w:pageBreakBefore w:val="0"/>
        <w:kinsoku/>
        <w:overflowPunct/>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（6）应熟练掌握灭火常识，会使用消防器材，对初起火灾能及时扑灭，每月对消防设施设备进行巡检，并将巡检情况反馈至我院法警大队和保障中心。</w:t>
      </w:r>
    </w:p>
    <w:p w14:paraId="49DB0425">
      <w:pPr>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突发事件处理。按照要求制订物业突发事件应急预案。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待上访人员做到耐心说服，及时报告有关部门予以妥善处置。</w:t>
      </w:r>
    </w:p>
    <w:p w14:paraId="07E94535">
      <w:pPr>
        <w:keepNext w:val="0"/>
        <w:keepLines w:val="0"/>
        <w:pageBreakBefore w:val="0"/>
        <w:widowControl w:val="0"/>
        <w:kinsoku/>
        <w:wordWrap/>
        <w:overflowPunct/>
        <w:topLinePunct w:val="0"/>
        <w:bidi w:val="0"/>
        <w:adjustRightInd/>
        <w:snapToGrid/>
        <w:spacing w:line="440" w:lineRule="exact"/>
        <w:ind w:firstLine="482" w:firstLineChars="200"/>
        <w:textAlignment w:val="auto"/>
        <w:rPr>
          <w:rFonts w:hint="eastAsia" w:ascii="宋体" w:hAnsi="宋体" w:eastAsia="宋体" w:cs="宋体"/>
          <w:b/>
          <w:bCs/>
          <w:snapToGrid w:val="0"/>
          <w:color w:val="000000"/>
          <w:kern w:val="28"/>
          <w:sz w:val="24"/>
          <w:szCs w:val="24"/>
        </w:rPr>
      </w:pPr>
      <w:r>
        <w:rPr>
          <w:rFonts w:hint="eastAsia" w:ascii="宋体" w:hAnsi="宋体" w:eastAsia="宋体" w:cs="宋体"/>
          <w:b/>
          <w:bCs/>
          <w:snapToGrid w:val="0"/>
          <w:color w:val="000000"/>
          <w:kern w:val="28"/>
          <w:sz w:val="24"/>
          <w:szCs w:val="24"/>
        </w:rPr>
        <w:t>2、服务岗位或人员配置等的详细要求</w:t>
      </w:r>
    </w:p>
    <w:p w14:paraId="64DA3420">
      <w:pPr>
        <w:keepNext w:val="0"/>
        <w:keepLines w:val="0"/>
        <w:pageBreakBefore w:val="0"/>
        <w:widowControl w:val="0"/>
        <w:kinsoku/>
        <w:wordWrap/>
        <w:overflowPunct/>
        <w:topLinePunct w:val="0"/>
        <w:autoSpaceDE w:val="0"/>
        <w:autoSpaceDN w:val="0"/>
        <w:bidi w:val="0"/>
        <w:adjustRightInd/>
        <w:snapToGrid/>
        <w:spacing w:line="440" w:lineRule="exact"/>
        <w:ind w:right="-7" w:firstLine="482" w:firstLineChars="200"/>
        <w:jc w:val="left"/>
        <w:textAlignment w:val="auto"/>
        <w:rPr>
          <w:rFonts w:hint="eastAsia" w:ascii="宋体" w:hAnsi="宋体" w:eastAsia="宋体" w:cs="宋体"/>
          <w:b/>
          <w:kern w:val="0"/>
          <w:sz w:val="24"/>
          <w:szCs w:val="24"/>
          <w:lang w:val="zh-CN"/>
        </w:rPr>
      </w:pPr>
      <w:r>
        <w:rPr>
          <w:rFonts w:hint="eastAsia" w:ascii="宋体" w:hAnsi="宋体" w:eastAsia="宋体" w:cs="宋体"/>
          <w:b/>
          <w:sz w:val="24"/>
          <w:szCs w:val="24"/>
        </w:rPr>
        <w:t>※2.1</w:t>
      </w:r>
      <w:r>
        <w:rPr>
          <w:rFonts w:hint="eastAsia" w:ascii="宋体" w:hAnsi="宋体" w:eastAsia="宋体" w:cs="宋体"/>
          <w:b/>
          <w:kern w:val="0"/>
          <w:sz w:val="24"/>
          <w:szCs w:val="24"/>
          <w:lang w:val="zh-CN"/>
        </w:rPr>
        <w:t>保安人员的基本条件：</w:t>
      </w:r>
    </w:p>
    <w:p w14:paraId="4A194316">
      <w:pPr>
        <w:keepNext w:val="0"/>
        <w:keepLines w:val="0"/>
        <w:pageBreakBefore w:val="0"/>
        <w:widowControl w:val="0"/>
        <w:kinsoku/>
        <w:wordWrap/>
        <w:overflowPunct/>
        <w:topLinePunct w:val="0"/>
        <w:autoSpaceDE w:val="0"/>
        <w:autoSpaceDN w:val="0"/>
        <w:bidi w:val="0"/>
        <w:adjustRightInd/>
        <w:snapToGrid/>
        <w:spacing w:line="440" w:lineRule="exact"/>
        <w:ind w:right="-7" w:firstLine="482" w:firstLineChars="20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1、热爱中国共产党，拥护社会主义制度。遵纪守法，有较强的法制观念。</w:t>
      </w:r>
    </w:p>
    <w:p w14:paraId="5D53EA11">
      <w:pPr>
        <w:keepNext w:val="0"/>
        <w:keepLines w:val="0"/>
        <w:pageBreakBefore w:val="0"/>
        <w:widowControl w:val="0"/>
        <w:kinsoku/>
        <w:wordWrap/>
        <w:overflowPunct/>
        <w:topLinePunct w:val="0"/>
        <w:autoSpaceDE w:val="0"/>
        <w:autoSpaceDN w:val="0"/>
        <w:bidi w:val="0"/>
        <w:adjustRightInd/>
        <w:snapToGrid/>
        <w:spacing w:line="440" w:lineRule="exact"/>
        <w:ind w:right="-7" w:firstLine="482" w:firstLineChars="200"/>
        <w:jc w:val="left"/>
        <w:textAlignment w:val="auto"/>
        <w:rPr>
          <w:rFonts w:hint="eastAsia" w:ascii="宋体" w:hAnsi="宋体" w:eastAsia="宋体" w:cs="宋体"/>
          <w:b/>
          <w:color w:val="000000"/>
          <w:kern w:val="0"/>
          <w:sz w:val="24"/>
          <w:szCs w:val="24"/>
          <w:lang w:val="zh-CN"/>
        </w:rPr>
      </w:pPr>
      <w:r>
        <w:rPr>
          <w:rFonts w:hint="eastAsia" w:ascii="宋体" w:hAnsi="宋体" w:eastAsia="宋体" w:cs="宋体"/>
          <w:b/>
          <w:kern w:val="0"/>
          <w:sz w:val="24"/>
          <w:szCs w:val="24"/>
          <w:lang w:val="zh-CN"/>
        </w:rPr>
        <w:t>2、招聘的保安要品行端正，作风正派，初中以上文化水平，身体健康，五官端正，裸眼视力0.8以上，</w:t>
      </w:r>
      <w:r>
        <w:rPr>
          <w:rFonts w:hint="eastAsia" w:ascii="宋体" w:hAnsi="宋体" w:eastAsia="宋体" w:cs="宋体"/>
          <w:b/>
          <w:color w:val="000000"/>
          <w:kern w:val="0"/>
          <w:sz w:val="24"/>
          <w:szCs w:val="24"/>
          <w:lang w:val="zh-CN"/>
        </w:rPr>
        <w:t>身高1.6</w:t>
      </w:r>
      <w:r>
        <w:rPr>
          <w:rFonts w:hint="eastAsia" w:ascii="宋体" w:hAnsi="宋体" w:eastAsia="宋体" w:cs="宋体"/>
          <w:b/>
          <w:color w:val="000000"/>
          <w:kern w:val="0"/>
          <w:sz w:val="24"/>
          <w:szCs w:val="24"/>
        </w:rPr>
        <w:t>5</w:t>
      </w:r>
      <w:r>
        <w:rPr>
          <w:rFonts w:hint="eastAsia" w:ascii="宋体" w:hAnsi="宋体" w:eastAsia="宋体" w:cs="宋体"/>
          <w:b/>
          <w:color w:val="000000"/>
          <w:kern w:val="0"/>
          <w:sz w:val="24"/>
          <w:szCs w:val="24"/>
          <w:lang w:val="zh-CN"/>
        </w:rPr>
        <w:t>以上，年龄18—</w:t>
      </w:r>
      <w:r>
        <w:rPr>
          <w:rFonts w:hint="eastAsia" w:ascii="宋体" w:hAnsi="宋体" w:eastAsia="宋体" w:cs="宋体"/>
          <w:b/>
          <w:color w:val="000000"/>
          <w:kern w:val="0"/>
          <w:sz w:val="24"/>
          <w:szCs w:val="24"/>
        </w:rPr>
        <w:t>5</w:t>
      </w:r>
      <w:r>
        <w:rPr>
          <w:rFonts w:hint="eastAsia" w:ascii="宋体" w:hAnsi="宋体" w:eastAsia="宋体" w:cs="宋体"/>
          <w:b/>
          <w:color w:val="000000"/>
          <w:kern w:val="0"/>
          <w:sz w:val="24"/>
          <w:szCs w:val="24"/>
          <w:lang w:val="zh-CN"/>
        </w:rPr>
        <w:t>0岁，并具有保安的专业气质，无犯罪记录的。</w:t>
      </w:r>
    </w:p>
    <w:p w14:paraId="5341CE57">
      <w:pPr>
        <w:keepNext w:val="0"/>
        <w:keepLines w:val="0"/>
        <w:pageBreakBefore w:val="0"/>
        <w:widowControl w:val="0"/>
        <w:kinsoku/>
        <w:wordWrap/>
        <w:overflowPunct/>
        <w:topLinePunct w:val="0"/>
        <w:autoSpaceDE w:val="0"/>
        <w:autoSpaceDN w:val="0"/>
        <w:bidi w:val="0"/>
        <w:adjustRightInd/>
        <w:snapToGrid/>
        <w:spacing w:line="440" w:lineRule="exact"/>
        <w:ind w:right="-7" w:firstLine="482" w:firstLineChars="200"/>
        <w:jc w:val="left"/>
        <w:textAlignment w:val="auto"/>
        <w:rPr>
          <w:rFonts w:hint="eastAsia" w:ascii="宋体" w:hAnsi="宋体" w:eastAsia="宋体" w:cs="宋体"/>
          <w:b/>
          <w:color w:val="00B050"/>
          <w:kern w:val="0"/>
          <w:sz w:val="24"/>
          <w:szCs w:val="24"/>
          <w:lang w:val="zh-CN"/>
        </w:rPr>
      </w:pPr>
      <w:r>
        <w:rPr>
          <w:rFonts w:hint="eastAsia" w:ascii="宋体" w:hAnsi="宋体" w:eastAsia="宋体" w:cs="宋体"/>
          <w:b/>
          <w:color w:val="000000"/>
          <w:kern w:val="0"/>
          <w:sz w:val="24"/>
          <w:szCs w:val="24"/>
          <w:lang w:val="zh-CN"/>
        </w:rPr>
        <w:t>3、派驻采购人之前必须经过军训，培训，有保安资格证、</w:t>
      </w:r>
      <w:r>
        <w:rPr>
          <w:rFonts w:hint="eastAsia" w:ascii="宋体" w:hAnsi="宋体" w:eastAsia="宋体" w:cs="宋体"/>
          <w:b/>
          <w:color w:val="000000"/>
          <w:kern w:val="0"/>
          <w:sz w:val="24"/>
          <w:szCs w:val="24"/>
        </w:rPr>
        <w:t>按国家有关规定</w:t>
      </w:r>
      <w:r>
        <w:rPr>
          <w:rFonts w:hint="eastAsia" w:ascii="宋体" w:hAnsi="宋体" w:eastAsia="宋体" w:cs="宋体"/>
          <w:b/>
          <w:color w:val="000000"/>
          <w:kern w:val="0"/>
          <w:sz w:val="24"/>
          <w:szCs w:val="24"/>
          <w:lang w:val="zh-CN"/>
        </w:rPr>
        <w:t>缴纳社保。</w:t>
      </w:r>
    </w:p>
    <w:p w14:paraId="34F22F10">
      <w:pPr>
        <w:keepNext w:val="0"/>
        <w:keepLines w:val="0"/>
        <w:pageBreakBefore w:val="0"/>
        <w:widowControl w:val="0"/>
        <w:kinsoku/>
        <w:wordWrap/>
        <w:overflowPunct/>
        <w:topLinePunct w:val="0"/>
        <w:autoSpaceDE w:val="0"/>
        <w:autoSpaceDN w:val="0"/>
        <w:bidi w:val="0"/>
        <w:adjustRightInd/>
        <w:snapToGrid/>
        <w:spacing w:line="440" w:lineRule="exact"/>
        <w:ind w:right="-7" w:firstLine="482" w:firstLineChars="20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4、认真执行安保公司的有关规定和采购人有关规章制度。</w:t>
      </w:r>
    </w:p>
    <w:p w14:paraId="1E023BB8">
      <w:pPr>
        <w:pStyle w:val="34"/>
        <w:keepNext w:val="0"/>
        <w:keepLines w:val="0"/>
        <w:pageBreakBefore w:val="0"/>
        <w:widowControl w:val="0"/>
        <w:kinsoku/>
        <w:wordWrap/>
        <w:overflowPunct/>
        <w:topLinePunct w:val="0"/>
        <w:bidi w:val="0"/>
        <w:adjustRightInd/>
        <w:snapToGrid/>
        <w:spacing w:line="440" w:lineRule="exact"/>
        <w:ind w:firstLine="458" w:firstLineChars="200"/>
        <w:textAlignment w:val="auto"/>
        <w:rPr>
          <w:rFonts w:hint="eastAsia" w:ascii="宋体" w:hAnsi="宋体" w:eastAsia="宋体" w:cs="宋体"/>
          <w:b/>
          <w:spacing w:val="-6"/>
          <w:sz w:val="24"/>
          <w:szCs w:val="24"/>
          <w:u w:val="single"/>
        </w:rPr>
      </w:pPr>
      <w:r>
        <w:rPr>
          <w:rFonts w:hint="eastAsia" w:ascii="宋体" w:hAnsi="宋体" w:eastAsia="宋体" w:cs="宋体"/>
          <w:b/>
          <w:spacing w:val="-6"/>
          <w:sz w:val="24"/>
          <w:szCs w:val="24"/>
          <w:u w:val="single"/>
        </w:rPr>
        <w:t xml:space="preserve">5、保安队长要求年龄45周岁以下。 </w:t>
      </w:r>
    </w:p>
    <w:p w14:paraId="07FAEA80">
      <w:pPr>
        <w:pStyle w:val="34"/>
        <w:keepNext w:val="0"/>
        <w:keepLines w:val="0"/>
        <w:pageBreakBefore w:val="0"/>
        <w:widowControl w:val="0"/>
        <w:kinsoku/>
        <w:wordWrap/>
        <w:overflowPunct/>
        <w:topLinePunct w:val="0"/>
        <w:bidi w:val="0"/>
        <w:adjustRightInd/>
        <w:snapToGrid/>
        <w:spacing w:line="440" w:lineRule="exact"/>
        <w:ind w:firstLine="480"/>
        <w:textAlignment w:val="auto"/>
        <w:rPr>
          <w:rFonts w:hint="eastAsia" w:ascii="宋体" w:hAnsi="宋体" w:eastAsia="宋体" w:cs="宋体"/>
          <w:b/>
          <w:spacing w:val="-6"/>
          <w:sz w:val="24"/>
          <w:szCs w:val="24"/>
          <w:u w:val="single"/>
        </w:rPr>
      </w:pPr>
      <w:r>
        <w:rPr>
          <w:rFonts w:hint="eastAsia" w:ascii="宋体" w:hAnsi="宋体" w:eastAsia="宋体" w:cs="宋体"/>
          <w:b/>
          <w:spacing w:val="-6"/>
          <w:sz w:val="24"/>
          <w:szCs w:val="24"/>
          <w:u w:val="single"/>
        </w:rPr>
        <w:t>6、保安队伍中退伍军人比例占10%。</w:t>
      </w:r>
    </w:p>
    <w:p w14:paraId="31E13FE7">
      <w:pPr>
        <w:pStyle w:val="34"/>
        <w:keepNext w:val="0"/>
        <w:keepLines w:val="0"/>
        <w:pageBreakBefore w:val="0"/>
        <w:widowControl w:val="0"/>
        <w:kinsoku/>
        <w:wordWrap/>
        <w:overflowPunct/>
        <w:topLinePunct w:val="0"/>
        <w:bidi w:val="0"/>
        <w:adjustRightInd/>
        <w:snapToGrid/>
        <w:spacing w:line="440" w:lineRule="exact"/>
        <w:ind w:firstLine="480"/>
        <w:textAlignment w:val="auto"/>
        <w:rPr>
          <w:rFonts w:hint="eastAsia" w:ascii="宋体" w:hAnsi="宋体" w:eastAsia="宋体" w:cs="宋体"/>
          <w:b/>
          <w:spacing w:val="-6"/>
          <w:sz w:val="24"/>
          <w:szCs w:val="24"/>
          <w:u w:val="single"/>
        </w:rPr>
      </w:pPr>
      <w:r>
        <w:rPr>
          <w:rFonts w:hint="eastAsia" w:ascii="宋体" w:hAnsi="宋体" w:eastAsia="宋体" w:cs="宋体"/>
          <w:b/>
          <w:spacing w:val="-6"/>
          <w:sz w:val="24"/>
          <w:szCs w:val="24"/>
          <w:u w:val="single"/>
        </w:rPr>
        <w:t>7、必须有一名队员有一定写作的能力。</w:t>
      </w:r>
    </w:p>
    <w:p w14:paraId="4D8015C5">
      <w:pPr>
        <w:pStyle w:val="34"/>
        <w:keepNext w:val="0"/>
        <w:keepLines w:val="0"/>
        <w:pageBreakBefore w:val="0"/>
        <w:widowControl w:val="0"/>
        <w:kinsoku/>
        <w:wordWrap/>
        <w:overflowPunct/>
        <w:topLinePunct w:val="0"/>
        <w:bidi w:val="0"/>
        <w:adjustRightInd/>
        <w:snapToGrid/>
        <w:spacing w:line="440" w:lineRule="exact"/>
        <w:ind w:firstLine="480"/>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8、48-50周岁队员不得超过比例的50%。</w:t>
      </w:r>
    </w:p>
    <w:p w14:paraId="527CC2F7">
      <w:pPr>
        <w:pStyle w:val="34"/>
        <w:keepNext w:val="0"/>
        <w:keepLines w:val="0"/>
        <w:pageBreakBefore w:val="0"/>
        <w:widowControl w:val="0"/>
        <w:kinsoku/>
        <w:wordWrap/>
        <w:overflowPunct/>
        <w:topLinePunct w:val="0"/>
        <w:bidi w:val="0"/>
        <w:adjustRightInd/>
        <w:snapToGrid/>
        <w:spacing w:line="440" w:lineRule="exact"/>
        <w:ind w:firstLine="480"/>
        <w:textAlignment w:val="auto"/>
        <w:rPr>
          <w:rFonts w:hint="eastAsia" w:ascii="宋体" w:hAnsi="宋体" w:eastAsia="宋体" w:cs="宋体"/>
          <w:b/>
          <w:color w:val="FF0000"/>
          <w:sz w:val="24"/>
          <w:szCs w:val="24"/>
          <w:u w:val="single"/>
        </w:rPr>
      </w:pPr>
      <w:r>
        <w:rPr>
          <w:rFonts w:hint="eastAsia" w:ascii="宋体" w:hAnsi="宋体" w:eastAsia="宋体" w:cs="宋体"/>
          <w:b/>
          <w:bCs/>
          <w:snapToGrid w:val="0"/>
          <w:color w:val="000000"/>
          <w:kern w:val="28"/>
          <w:sz w:val="24"/>
          <w:szCs w:val="24"/>
        </w:rPr>
        <w:t>▲</w:t>
      </w:r>
      <w:r>
        <w:rPr>
          <w:rFonts w:hint="eastAsia" w:ascii="宋体" w:hAnsi="宋体" w:eastAsia="宋体" w:cs="宋体"/>
          <w:b/>
          <w:color w:val="FF0000"/>
          <w:sz w:val="24"/>
          <w:szCs w:val="24"/>
          <w:u w:val="single"/>
        </w:rPr>
        <w:t>9、消防管理人员中必须有4名或以上人员通过培训，取得国家级有关部门颁发的《建（构）筑消防员培训合格》或以上资格证书。</w:t>
      </w:r>
    </w:p>
    <w:p w14:paraId="78DF48E5">
      <w:pPr>
        <w:pStyle w:val="34"/>
        <w:keepNext w:val="0"/>
        <w:keepLines w:val="0"/>
        <w:pageBreakBefore w:val="0"/>
        <w:kinsoku/>
        <w:overflowPunct/>
        <w:bidi w:val="0"/>
        <w:spacing w:line="440" w:lineRule="exact"/>
        <w:ind w:firstLine="480"/>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10、门岗要求立岗。</w:t>
      </w:r>
    </w:p>
    <w:p w14:paraId="5D382074">
      <w:pPr>
        <w:pStyle w:val="34"/>
        <w:keepNext w:val="0"/>
        <w:keepLines w:val="0"/>
        <w:pageBreakBefore w:val="0"/>
        <w:kinsoku/>
        <w:overflowPunct/>
        <w:bidi w:val="0"/>
        <w:spacing w:line="440" w:lineRule="exact"/>
        <w:ind w:firstLine="480"/>
        <w:textAlignment w:val="auto"/>
        <w:rPr>
          <w:rFonts w:hint="eastAsia" w:ascii="宋体" w:hAnsi="宋体" w:eastAsia="宋体" w:cs="宋体"/>
          <w:b/>
          <w:spacing w:val="-6"/>
          <w:sz w:val="24"/>
          <w:szCs w:val="24"/>
          <w:u w:val="single"/>
        </w:rPr>
      </w:pPr>
      <w:r>
        <w:rPr>
          <w:rFonts w:hint="eastAsia" w:ascii="宋体" w:hAnsi="宋体" w:eastAsia="宋体" w:cs="宋体"/>
          <w:b/>
          <w:bCs/>
          <w:snapToGrid w:val="0"/>
          <w:color w:val="000000"/>
          <w:kern w:val="28"/>
          <w:sz w:val="24"/>
          <w:szCs w:val="24"/>
        </w:rPr>
        <w:t>▲</w:t>
      </w:r>
      <w:r>
        <w:rPr>
          <w:rFonts w:hint="eastAsia" w:ascii="宋体" w:hAnsi="宋体" w:eastAsia="宋体" w:cs="宋体"/>
          <w:b/>
          <w:spacing w:val="-6"/>
          <w:sz w:val="24"/>
          <w:szCs w:val="24"/>
          <w:u w:val="single"/>
        </w:rPr>
        <w:t>11、实际到位：总人数不得低于现有15人。</w:t>
      </w:r>
    </w:p>
    <w:p w14:paraId="1C930A07">
      <w:pPr>
        <w:pStyle w:val="34"/>
        <w:keepNext w:val="0"/>
        <w:keepLines w:val="0"/>
        <w:pageBreakBefore w:val="0"/>
        <w:kinsoku/>
        <w:overflowPunct/>
        <w:bidi w:val="0"/>
        <w:spacing w:line="440" w:lineRule="exact"/>
        <w:ind w:firstLine="48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2.2岗位人员分配</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219"/>
        <w:gridCol w:w="1094"/>
        <w:gridCol w:w="2156"/>
        <w:gridCol w:w="3872"/>
      </w:tblGrid>
      <w:tr w14:paraId="651B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50E78597">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219" w:type="dxa"/>
            <w:tcBorders>
              <w:top w:val="single" w:color="auto" w:sz="4" w:space="0"/>
              <w:left w:val="single" w:color="auto" w:sz="4" w:space="0"/>
              <w:bottom w:val="single" w:color="auto" w:sz="4" w:space="0"/>
              <w:right w:val="single" w:color="auto" w:sz="4" w:space="0"/>
            </w:tcBorders>
            <w:noWrap w:val="0"/>
            <w:vAlign w:val="top"/>
          </w:tcPr>
          <w:p w14:paraId="359C6555">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岗位设置</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3FD768D0">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岗位数</w:t>
            </w:r>
          </w:p>
          <w:p w14:paraId="095F40B6">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napToGrid w:val="0"/>
                <w:sz w:val="24"/>
                <w:szCs w:val="24"/>
              </w:rPr>
              <w:t>（人数）</w:t>
            </w:r>
          </w:p>
        </w:tc>
        <w:tc>
          <w:tcPr>
            <w:tcW w:w="2156" w:type="dxa"/>
            <w:tcBorders>
              <w:top w:val="single" w:color="auto" w:sz="4" w:space="0"/>
              <w:left w:val="single" w:color="auto" w:sz="4" w:space="0"/>
              <w:bottom w:val="single" w:color="auto" w:sz="4" w:space="0"/>
              <w:right w:val="single" w:color="auto" w:sz="4" w:space="0"/>
            </w:tcBorders>
            <w:noWrap w:val="0"/>
            <w:vAlign w:val="top"/>
          </w:tcPr>
          <w:p w14:paraId="09C122C4">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8小时排班</w:t>
            </w:r>
          </w:p>
          <w:p w14:paraId="1744B86D">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napToGrid w:val="0"/>
                <w:sz w:val="24"/>
                <w:szCs w:val="24"/>
              </w:rPr>
              <w:t>（人数）</w:t>
            </w:r>
          </w:p>
        </w:tc>
        <w:tc>
          <w:tcPr>
            <w:tcW w:w="3872" w:type="dxa"/>
            <w:tcBorders>
              <w:top w:val="single" w:color="auto" w:sz="4" w:space="0"/>
              <w:left w:val="single" w:color="auto" w:sz="4" w:space="0"/>
              <w:bottom w:val="single" w:color="auto" w:sz="4" w:space="0"/>
              <w:right w:val="single" w:color="auto" w:sz="4" w:space="0"/>
            </w:tcBorders>
            <w:noWrap w:val="0"/>
            <w:vAlign w:val="top"/>
          </w:tcPr>
          <w:p w14:paraId="67CD4C50">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主要职责</w:t>
            </w:r>
          </w:p>
        </w:tc>
      </w:tr>
      <w:tr w14:paraId="5530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1ACFFBD1">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219" w:type="dxa"/>
            <w:tcBorders>
              <w:top w:val="single" w:color="auto" w:sz="4" w:space="0"/>
              <w:left w:val="single" w:color="auto" w:sz="4" w:space="0"/>
              <w:bottom w:val="single" w:color="auto" w:sz="4" w:space="0"/>
              <w:right w:val="single" w:color="auto" w:sz="4" w:space="0"/>
            </w:tcBorders>
            <w:noWrap w:val="0"/>
            <w:vAlign w:val="top"/>
          </w:tcPr>
          <w:p w14:paraId="40A78FFB">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项目经理（队长）</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6FD81EDF">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56" w:type="dxa"/>
            <w:tcBorders>
              <w:top w:val="single" w:color="auto" w:sz="4" w:space="0"/>
              <w:left w:val="single" w:color="auto" w:sz="4" w:space="0"/>
              <w:bottom w:val="single" w:color="auto" w:sz="4" w:space="0"/>
              <w:right w:val="single" w:color="auto" w:sz="4" w:space="0"/>
            </w:tcBorders>
            <w:noWrap w:val="0"/>
            <w:vAlign w:val="top"/>
          </w:tcPr>
          <w:p w14:paraId="194946FA">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72" w:type="dxa"/>
            <w:tcBorders>
              <w:top w:val="single" w:color="auto" w:sz="4" w:space="0"/>
              <w:left w:val="single" w:color="auto" w:sz="4" w:space="0"/>
              <w:bottom w:val="single" w:color="auto" w:sz="4" w:space="0"/>
              <w:right w:val="single" w:color="auto" w:sz="4" w:space="0"/>
            </w:tcBorders>
            <w:noWrap w:val="0"/>
            <w:vAlign w:val="top"/>
          </w:tcPr>
          <w:p w14:paraId="767DD77C">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负责全队的日常工作开展等</w:t>
            </w:r>
          </w:p>
        </w:tc>
      </w:tr>
      <w:tr w14:paraId="1F0D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15D8249A">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219" w:type="dxa"/>
            <w:tcBorders>
              <w:top w:val="single" w:color="auto" w:sz="4" w:space="0"/>
              <w:left w:val="single" w:color="auto" w:sz="4" w:space="0"/>
              <w:bottom w:val="single" w:color="auto" w:sz="4" w:space="0"/>
              <w:right w:val="single" w:color="auto" w:sz="4" w:space="0"/>
            </w:tcBorders>
            <w:noWrap w:val="0"/>
            <w:vAlign w:val="top"/>
          </w:tcPr>
          <w:p w14:paraId="0DFF4A3F">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正大门</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0A6123C5">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156" w:type="dxa"/>
            <w:tcBorders>
              <w:top w:val="single" w:color="auto" w:sz="4" w:space="0"/>
              <w:left w:val="single" w:color="auto" w:sz="4" w:space="0"/>
              <w:bottom w:val="single" w:color="auto" w:sz="4" w:space="0"/>
              <w:right w:val="single" w:color="auto" w:sz="4" w:space="0"/>
            </w:tcBorders>
            <w:noWrap w:val="0"/>
            <w:vAlign w:val="top"/>
          </w:tcPr>
          <w:p w14:paraId="147889DD">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早：1中：1夜：1</w:t>
            </w:r>
          </w:p>
        </w:tc>
        <w:tc>
          <w:tcPr>
            <w:tcW w:w="3872" w:type="dxa"/>
            <w:tcBorders>
              <w:top w:val="single" w:color="auto" w:sz="4" w:space="0"/>
              <w:left w:val="single" w:color="auto" w:sz="4" w:space="0"/>
              <w:bottom w:val="single" w:color="auto" w:sz="4" w:space="0"/>
              <w:right w:val="single" w:color="auto" w:sz="4" w:space="0"/>
            </w:tcBorders>
            <w:noWrap w:val="0"/>
            <w:vAlign w:val="top"/>
          </w:tcPr>
          <w:p w14:paraId="1ACA27AB">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观察进入院区内人员动向，禁止携带危险品进入院区</w:t>
            </w:r>
          </w:p>
        </w:tc>
      </w:tr>
      <w:tr w14:paraId="4C78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1BC9FD4B">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219" w:type="dxa"/>
            <w:tcBorders>
              <w:top w:val="single" w:color="auto" w:sz="4" w:space="0"/>
              <w:left w:val="single" w:color="auto" w:sz="4" w:space="0"/>
              <w:bottom w:val="single" w:color="auto" w:sz="4" w:space="0"/>
              <w:right w:val="single" w:color="auto" w:sz="4" w:space="0"/>
            </w:tcBorders>
            <w:noWrap w:val="0"/>
            <w:vAlign w:val="top"/>
          </w:tcPr>
          <w:p w14:paraId="6CCF2B12">
            <w:pPr>
              <w:keepNext w:val="0"/>
              <w:keepLines w:val="0"/>
              <w:pageBreakBefore w:val="0"/>
              <w:tabs>
                <w:tab w:val="left" w:pos="4305"/>
              </w:tabs>
              <w:kinsoku/>
              <w:overflowPunct/>
              <w:bidi w:val="0"/>
              <w:spacing w:line="440" w:lineRule="exact"/>
              <w:ind w:firstLine="840" w:firstLineChars="350"/>
              <w:textAlignment w:val="auto"/>
              <w:rPr>
                <w:rFonts w:hint="eastAsia" w:ascii="宋体" w:hAnsi="宋体" w:eastAsia="宋体" w:cs="宋体"/>
                <w:sz w:val="24"/>
                <w:szCs w:val="24"/>
              </w:rPr>
            </w:pPr>
            <w:r>
              <w:rPr>
                <w:rFonts w:hint="eastAsia" w:ascii="宋体" w:hAnsi="宋体" w:eastAsia="宋体" w:cs="宋体"/>
                <w:sz w:val="24"/>
                <w:szCs w:val="24"/>
              </w:rPr>
              <w:t>急诊</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7D54982C">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156" w:type="dxa"/>
            <w:tcBorders>
              <w:top w:val="single" w:color="auto" w:sz="4" w:space="0"/>
              <w:left w:val="single" w:color="auto" w:sz="4" w:space="0"/>
              <w:bottom w:val="single" w:color="auto" w:sz="4" w:space="0"/>
              <w:right w:val="single" w:color="auto" w:sz="4" w:space="0"/>
            </w:tcBorders>
            <w:noWrap w:val="0"/>
            <w:vAlign w:val="top"/>
          </w:tcPr>
          <w:p w14:paraId="49203803">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早：1中：1夜：1</w:t>
            </w:r>
          </w:p>
        </w:tc>
        <w:tc>
          <w:tcPr>
            <w:tcW w:w="3872" w:type="dxa"/>
            <w:tcBorders>
              <w:top w:val="single" w:color="auto" w:sz="4" w:space="0"/>
              <w:left w:val="single" w:color="auto" w:sz="4" w:space="0"/>
              <w:bottom w:val="single" w:color="auto" w:sz="4" w:space="0"/>
              <w:right w:val="single" w:color="auto" w:sz="4" w:space="0"/>
            </w:tcBorders>
            <w:noWrap w:val="0"/>
            <w:vAlign w:val="top"/>
          </w:tcPr>
          <w:p w14:paraId="512E0BD6">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治安管理等</w:t>
            </w:r>
          </w:p>
        </w:tc>
      </w:tr>
      <w:tr w14:paraId="2C34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5DA04BCD">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219" w:type="dxa"/>
            <w:tcBorders>
              <w:top w:val="single" w:color="auto" w:sz="4" w:space="0"/>
              <w:left w:val="single" w:color="auto" w:sz="4" w:space="0"/>
              <w:bottom w:val="single" w:color="auto" w:sz="4" w:space="0"/>
              <w:right w:val="single" w:color="auto" w:sz="4" w:space="0"/>
            </w:tcBorders>
            <w:noWrap w:val="0"/>
            <w:vAlign w:val="top"/>
          </w:tcPr>
          <w:p w14:paraId="1764373B">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门诊楼</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05DC2E2B">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156" w:type="dxa"/>
            <w:tcBorders>
              <w:top w:val="single" w:color="auto" w:sz="4" w:space="0"/>
              <w:left w:val="single" w:color="auto" w:sz="4" w:space="0"/>
              <w:bottom w:val="single" w:color="auto" w:sz="4" w:space="0"/>
              <w:right w:val="single" w:color="auto" w:sz="4" w:space="0"/>
            </w:tcBorders>
            <w:noWrap w:val="0"/>
            <w:vAlign w:val="top"/>
          </w:tcPr>
          <w:p w14:paraId="5B622087">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7:00-19:00（3人）</w:t>
            </w:r>
          </w:p>
        </w:tc>
        <w:tc>
          <w:tcPr>
            <w:tcW w:w="3872" w:type="dxa"/>
            <w:tcBorders>
              <w:top w:val="single" w:color="auto" w:sz="4" w:space="0"/>
              <w:left w:val="single" w:color="auto" w:sz="4" w:space="0"/>
              <w:bottom w:val="single" w:color="auto" w:sz="4" w:space="0"/>
              <w:right w:val="single" w:color="auto" w:sz="4" w:space="0"/>
            </w:tcBorders>
            <w:noWrap w:val="0"/>
            <w:vAlign w:val="top"/>
          </w:tcPr>
          <w:p w14:paraId="462E6C7B">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治安管理等（夜间封闭式管理，巡查由病房巡逻人员巡查）</w:t>
            </w:r>
          </w:p>
        </w:tc>
      </w:tr>
      <w:tr w14:paraId="2D2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602C0871">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219" w:type="dxa"/>
            <w:tcBorders>
              <w:top w:val="single" w:color="auto" w:sz="4" w:space="0"/>
              <w:left w:val="single" w:color="auto" w:sz="4" w:space="0"/>
              <w:bottom w:val="single" w:color="auto" w:sz="4" w:space="0"/>
              <w:right w:val="single" w:color="auto" w:sz="4" w:space="0"/>
            </w:tcBorders>
            <w:noWrap w:val="0"/>
            <w:vAlign w:val="top"/>
          </w:tcPr>
          <w:p w14:paraId="64EC215F">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全院治安巡查</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298366CC">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156" w:type="dxa"/>
            <w:tcBorders>
              <w:top w:val="single" w:color="auto" w:sz="4" w:space="0"/>
              <w:left w:val="single" w:color="auto" w:sz="4" w:space="0"/>
              <w:bottom w:val="single" w:color="auto" w:sz="4" w:space="0"/>
              <w:right w:val="single" w:color="auto" w:sz="4" w:space="0"/>
            </w:tcBorders>
            <w:noWrap w:val="0"/>
            <w:vAlign w:val="top"/>
          </w:tcPr>
          <w:p w14:paraId="00F440A7">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早：2中：2夜：2</w:t>
            </w:r>
          </w:p>
        </w:tc>
        <w:tc>
          <w:tcPr>
            <w:tcW w:w="3872" w:type="dxa"/>
            <w:tcBorders>
              <w:top w:val="single" w:color="auto" w:sz="4" w:space="0"/>
              <w:left w:val="single" w:color="auto" w:sz="4" w:space="0"/>
              <w:bottom w:val="single" w:color="auto" w:sz="4" w:space="0"/>
              <w:right w:val="single" w:color="auto" w:sz="4" w:space="0"/>
            </w:tcBorders>
            <w:noWrap w:val="0"/>
            <w:vAlign w:val="top"/>
          </w:tcPr>
          <w:p w14:paraId="52E6F123">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治安管理等</w:t>
            </w:r>
          </w:p>
        </w:tc>
      </w:tr>
      <w:tr w14:paraId="1CA2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4C66111E">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219" w:type="dxa"/>
            <w:tcBorders>
              <w:top w:val="single" w:color="auto" w:sz="4" w:space="0"/>
              <w:left w:val="single" w:color="auto" w:sz="4" w:space="0"/>
              <w:bottom w:val="single" w:color="auto" w:sz="4" w:space="0"/>
              <w:right w:val="single" w:color="auto" w:sz="4" w:space="0"/>
            </w:tcBorders>
            <w:noWrap w:val="0"/>
            <w:vAlign w:val="top"/>
          </w:tcPr>
          <w:p w14:paraId="15CF74B1">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行政楼</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43C9DC56">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56" w:type="dxa"/>
            <w:tcBorders>
              <w:top w:val="single" w:color="auto" w:sz="4" w:space="0"/>
              <w:left w:val="single" w:color="auto" w:sz="4" w:space="0"/>
              <w:bottom w:val="single" w:color="auto" w:sz="4" w:space="0"/>
              <w:right w:val="single" w:color="auto" w:sz="4" w:space="0"/>
            </w:tcBorders>
            <w:noWrap w:val="0"/>
            <w:vAlign w:val="top"/>
          </w:tcPr>
          <w:p w14:paraId="17444CCC">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7:00-19:00(1人)</w:t>
            </w:r>
          </w:p>
        </w:tc>
        <w:tc>
          <w:tcPr>
            <w:tcW w:w="3872" w:type="dxa"/>
            <w:tcBorders>
              <w:top w:val="single" w:color="auto" w:sz="4" w:space="0"/>
              <w:left w:val="single" w:color="auto" w:sz="4" w:space="0"/>
              <w:bottom w:val="single" w:color="auto" w:sz="4" w:space="0"/>
              <w:right w:val="single" w:color="auto" w:sz="4" w:space="0"/>
            </w:tcBorders>
            <w:noWrap w:val="0"/>
            <w:vAlign w:val="top"/>
          </w:tcPr>
          <w:p w14:paraId="46DBDE47">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对行政楼的巡逻及秩序维护</w:t>
            </w:r>
          </w:p>
        </w:tc>
      </w:tr>
      <w:tr w14:paraId="656B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678590EE">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219" w:type="dxa"/>
            <w:tcBorders>
              <w:top w:val="single" w:color="auto" w:sz="4" w:space="0"/>
              <w:left w:val="single" w:color="auto" w:sz="4" w:space="0"/>
              <w:bottom w:val="single" w:color="auto" w:sz="4" w:space="0"/>
              <w:right w:val="single" w:color="auto" w:sz="4" w:space="0"/>
            </w:tcBorders>
            <w:noWrap w:val="0"/>
            <w:vAlign w:val="top"/>
          </w:tcPr>
          <w:p w14:paraId="772624FA">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消控中心</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47E3997C">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156" w:type="dxa"/>
            <w:tcBorders>
              <w:top w:val="single" w:color="auto" w:sz="4" w:space="0"/>
              <w:left w:val="single" w:color="auto" w:sz="4" w:space="0"/>
              <w:bottom w:val="single" w:color="auto" w:sz="4" w:space="0"/>
              <w:right w:val="single" w:color="auto" w:sz="4" w:space="0"/>
            </w:tcBorders>
            <w:noWrap w:val="0"/>
            <w:vAlign w:val="top"/>
          </w:tcPr>
          <w:p w14:paraId="1D2521B7">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早：2 中：1夜：1</w:t>
            </w:r>
          </w:p>
        </w:tc>
        <w:tc>
          <w:tcPr>
            <w:tcW w:w="3872" w:type="dxa"/>
            <w:tcBorders>
              <w:top w:val="single" w:color="auto" w:sz="4" w:space="0"/>
              <w:left w:val="single" w:color="auto" w:sz="4" w:space="0"/>
              <w:bottom w:val="single" w:color="auto" w:sz="4" w:space="0"/>
              <w:right w:val="single" w:color="auto" w:sz="4" w:space="0"/>
            </w:tcBorders>
            <w:noWrap w:val="0"/>
            <w:vAlign w:val="top"/>
          </w:tcPr>
          <w:p w14:paraId="41C6DFEA">
            <w:pPr>
              <w:keepNext w:val="0"/>
              <w:keepLines w:val="0"/>
              <w:pageBreakBefore w:val="0"/>
              <w:tabs>
                <w:tab w:val="left" w:pos="4305"/>
              </w:tabs>
              <w:kinsoku/>
              <w:overflowPunct/>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消、监控值班等</w:t>
            </w:r>
          </w:p>
        </w:tc>
      </w:tr>
      <w:tr w14:paraId="4494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1CBF3D30">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p>
        </w:tc>
        <w:tc>
          <w:tcPr>
            <w:tcW w:w="2219" w:type="dxa"/>
            <w:tcBorders>
              <w:top w:val="single" w:color="auto" w:sz="4" w:space="0"/>
              <w:left w:val="single" w:color="auto" w:sz="4" w:space="0"/>
              <w:bottom w:val="single" w:color="auto" w:sz="4" w:space="0"/>
              <w:right w:val="single" w:color="auto" w:sz="4" w:space="0"/>
            </w:tcBorders>
            <w:noWrap w:val="0"/>
            <w:vAlign w:val="top"/>
          </w:tcPr>
          <w:p w14:paraId="3F2C8C16">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合   计</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2EC9814F">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6028" w:type="dxa"/>
            <w:gridSpan w:val="2"/>
            <w:tcBorders>
              <w:top w:val="single" w:color="auto" w:sz="4" w:space="0"/>
              <w:left w:val="single" w:color="auto" w:sz="4" w:space="0"/>
              <w:bottom w:val="single" w:color="auto" w:sz="4" w:space="0"/>
              <w:right w:val="single" w:color="auto" w:sz="4" w:space="0"/>
            </w:tcBorders>
            <w:noWrap w:val="0"/>
            <w:vAlign w:val="top"/>
          </w:tcPr>
          <w:p w14:paraId="1305FC2F">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p>
        </w:tc>
      </w:tr>
      <w:tr w14:paraId="5239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14:paraId="521470E0">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p>
        </w:tc>
        <w:tc>
          <w:tcPr>
            <w:tcW w:w="2219" w:type="dxa"/>
            <w:tcBorders>
              <w:top w:val="single" w:color="auto" w:sz="4" w:space="0"/>
              <w:left w:val="single" w:color="auto" w:sz="4" w:space="0"/>
              <w:bottom w:val="single" w:color="auto" w:sz="4" w:space="0"/>
              <w:right w:val="single" w:color="auto" w:sz="4" w:space="0"/>
            </w:tcBorders>
            <w:noWrap w:val="0"/>
            <w:vAlign w:val="top"/>
          </w:tcPr>
          <w:p w14:paraId="32C6A24F">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共计（含轮休）</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67107507">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6028" w:type="dxa"/>
            <w:gridSpan w:val="2"/>
            <w:tcBorders>
              <w:top w:val="single" w:color="auto" w:sz="4" w:space="0"/>
              <w:left w:val="single" w:color="auto" w:sz="4" w:space="0"/>
              <w:bottom w:val="single" w:color="auto" w:sz="4" w:space="0"/>
              <w:right w:val="single" w:color="auto" w:sz="4" w:space="0"/>
            </w:tcBorders>
            <w:noWrap w:val="0"/>
            <w:vAlign w:val="top"/>
          </w:tcPr>
          <w:p w14:paraId="24C01B97">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排班形式：8小时做六休一</w:t>
            </w:r>
          </w:p>
        </w:tc>
      </w:tr>
      <w:tr w14:paraId="1249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875" w:type="dxa"/>
            <w:gridSpan w:val="2"/>
            <w:tcBorders>
              <w:top w:val="single" w:color="auto" w:sz="4" w:space="0"/>
              <w:left w:val="single" w:color="auto" w:sz="4" w:space="0"/>
              <w:bottom w:val="single" w:color="auto" w:sz="4" w:space="0"/>
              <w:right w:val="single" w:color="auto" w:sz="4" w:space="0"/>
            </w:tcBorders>
            <w:noWrap w:val="0"/>
            <w:vAlign w:val="top"/>
          </w:tcPr>
          <w:p w14:paraId="34F7DEA2">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备    注</w:t>
            </w:r>
          </w:p>
        </w:tc>
        <w:tc>
          <w:tcPr>
            <w:tcW w:w="7122" w:type="dxa"/>
            <w:gridSpan w:val="3"/>
            <w:tcBorders>
              <w:top w:val="single" w:color="auto" w:sz="4" w:space="0"/>
              <w:left w:val="single" w:color="auto" w:sz="4" w:space="0"/>
              <w:bottom w:val="single" w:color="auto" w:sz="4" w:space="0"/>
              <w:right w:val="single" w:color="auto" w:sz="4" w:space="0"/>
            </w:tcBorders>
            <w:noWrap w:val="0"/>
            <w:vAlign w:val="top"/>
          </w:tcPr>
          <w:p w14:paraId="34930A72">
            <w:pPr>
              <w:keepNext w:val="0"/>
              <w:keepLines w:val="0"/>
              <w:pageBreakBefore w:val="0"/>
              <w:tabs>
                <w:tab w:val="left" w:pos="4305"/>
              </w:tabs>
              <w:kinsoku/>
              <w:overflowPunct/>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根据医院实际需要进行科学统筹排班</w:t>
            </w:r>
          </w:p>
        </w:tc>
      </w:tr>
    </w:tbl>
    <w:p w14:paraId="20408196">
      <w:pPr>
        <w:keepNext w:val="0"/>
        <w:keepLines w:val="0"/>
        <w:pageBreakBefore w:val="0"/>
        <w:widowControl/>
        <w:kinsoku/>
        <w:overflowPunct/>
        <w:bidi w:val="0"/>
        <w:spacing w:line="440" w:lineRule="exact"/>
        <w:ind w:firstLine="420"/>
        <w:jc w:val="left"/>
        <w:textAlignment w:val="auto"/>
        <w:rPr>
          <w:rFonts w:hint="eastAsia" w:ascii="宋体" w:hAnsi="宋体" w:eastAsia="宋体" w:cs="宋体"/>
          <w:b/>
          <w:sz w:val="24"/>
          <w:szCs w:val="24"/>
        </w:rPr>
      </w:pPr>
      <w:r>
        <w:rPr>
          <w:rFonts w:hint="eastAsia" w:ascii="宋体" w:hAnsi="宋体" w:eastAsia="宋体" w:cs="宋体"/>
          <w:b/>
          <w:sz w:val="24"/>
          <w:szCs w:val="24"/>
        </w:rPr>
        <w:t>3、保安服务工作职责要求</w:t>
      </w:r>
    </w:p>
    <w:p w14:paraId="06F5D5C9">
      <w:pPr>
        <w:keepNext w:val="0"/>
        <w:keepLines w:val="0"/>
        <w:pageBreakBefore w:val="0"/>
        <w:kinsoku/>
        <w:overflowPunct/>
        <w:bidi w:val="0"/>
        <w:spacing w:line="440" w:lineRule="exact"/>
        <w:ind w:firstLine="420"/>
        <w:textAlignment w:val="auto"/>
        <w:rPr>
          <w:rFonts w:hint="eastAsia" w:ascii="宋体" w:hAnsi="宋体" w:eastAsia="宋体" w:cs="宋体"/>
          <w:b/>
          <w:sz w:val="24"/>
          <w:szCs w:val="24"/>
        </w:rPr>
      </w:pPr>
      <w:r>
        <w:rPr>
          <w:rFonts w:hint="eastAsia" w:ascii="宋体" w:hAnsi="宋体" w:eastAsia="宋体" w:cs="宋体"/>
          <w:b/>
          <w:sz w:val="24"/>
          <w:szCs w:val="24"/>
        </w:rPr>
        <w:t>3.1管理人员岗位职责要求</w:t>
      </w:r>
    </w:p>
    <w:p w14:paraId="77F001F9">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b/>
          <w:sz w:val="24"/>
          <w:szCs w:val="24"/>
        </w:rPr>
        <w:t xml:space="preserve"> 1.项目经理</w:t>
      </w:r>
      <w:r>
        <w:rPr>
          <w:rFonts w:hint="eastAsia" w:ascii="宋体" w:hAnsi="宋体" w:eastAsia="宋体" w:cs="宋体"/>
          <w:sz w:val="24"/>
          <w:szCs w:val="24"/>
        </w:rPr>
        <w:t>：代表公司全面负责保安队伍的日常管理事务，严格保安队伍纪律管理，奖优罚劣；承担保安违规违纪的连带责任；实行人性化管理，关心队员疾苦，掌握队员的思想动态，充分调动队员的积极性，努力保证队伍稳定；传达落实医院的服务要求与管理规定，组织实施并不断完善医院安全保卫整体方案；结合医院的发展实际情况，适时作出岗位调整，完善个岗位职责；有针对性地开展安全教育和提示；定期向医院保卫科汇报工作开展情况及治安信息，重大情况及时报告；配合院方对院内违规事件的处理；组织开展保安业务培训和预案演练，制定院内重大活动的安全保卫方案；建立健全录用保安人员档案资料。</w:t>
      </w:r>
    </w:p>
    <w:p w14:paraId="6720C4A9">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b/>
          <w:sz w:val="24"/>
          <w:szCs w:val="24"/>
        </w:rPr>
        <w:t xml:space="preserve"> 2.保安班长：</w:t>
      </w:r>
      <w:r>
        <w:rPr>
          <w:rFonts w:hint="eastAsia" w:ascii="宋体" w:hAnsi="宋体" w:eastAsia="宋体" w:cs="宋体"/>
          <w:sz w:val="24"/>
          <w:szCs w:val="24"/>
        </w:rPr>
        <w:t>以身作则，吃苦在先，讲求奉献；贯彻落实医院任务要求与保安队长（项目经理）的工作安全，组织实施医院安全保卫整体方案;负责安排保安的日常工作，参与保安执勤，增援重点岗位；督促检查在岗人员履行岗位职责情况，纠正队员违规违纪行为；坚持讲评，不流于形式，形成良好的队风；处理各岗位的突发事件，重大情况及时报告医院保卫科；妥善保管好医院提供的设备器材，严格设备交接班制度；组织指挥保安队员做好医院重大活动的安全保卫与秩序保障工作；将各岗位的执勤情况汇总记录。</w:t>
      </w:r>
    </w:p>
    <w:p w14:paraId="3EA59E91">
      <w:pPr>
        <w:keepNext w:val="0"/>
        <w:keepLines w:val="0"/>
        <w:pageBreakBefore w:val="0"/>
        <w:kinsoku/>
        <w:overflowPunct/>
        <w:bidi w:val="0"/>
        <w:spacing w:line="440" w:lineRule="exact"/>
        <w:ind w:firstLine="420"/>
        <w:textAlignment w:val="auto"/>
        <w:rPr>
          <w:rFonts w:hint="eastAsia" w:ascii="宋体" w:hAnsi="宋体" w:eastAsia="宋体" w:cs="宋体"/>
          <w:b/>
          <w:sz w:val="24"/>
          <w:szCs w:val="24"/>
        </w:rPr>
      </w:pPr>
      <w:r>
        <w:rPr>
          <w:rFonts w:hint="eastAsia" w:ascii="宋体" w:hAnsi="宋体" w:eastAsia="宋体" w:cs="宋体"/>
          <w:b/>
          <w:sz w:val="24"/>
          <w:szCs w:val="24"/>
        </w:rPr>
        <w:t>3.2保安人员岗位职责要求</w:t>
      </w:r>
    </w:p>
    <w:p w14:paraId="6EF97A13">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1.治安管理</w:t>
      </w:r>
      <w:r>
        <w:rPr>
          <w:rFonts w:hint="eastAsia" w:ascii="宋体" w:hAnsi="宋体" w:eastAsia="宋体" w:cs="宋体"/>
          <w:sz w:val="24"/>
          <w:szCs w:val="24"/>
        </w:rPr>
        <w:t>：</w:t>
      </w:r>
    </w:p>
    <w:p w14:paraId="4654C6E9">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（1）综合管理：保安负责院内的各项治安管理工作，24小时不间断在全院范围进行巡逻、制定24小时定线和变线巡逻路线，保证巡逻到位，确保安全。对院内治安监控设备全面监视，发现问题及时处理。</w:t>
      </w:r>
    </w:p>
    <w:p w14:paraId="33178B98">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（2）医疗秩序维护：保持良好的秩序，医院对就医环境有较高要求，特别是就诊高峰期，维持各个窗口、候诊区域、就诊区域的秩序，让病员自觉遵守先来后到，按次序排队，保证秩序井然。</w:t>
      </w:r>
    </w:p>
    <w:p w14:paraId="79D493EF">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3）安全防范工作：医院人员往来复杂，各种犯罪分子可能混在其中，就诊人员一般都带有现金，防范小偷是医院安保工作的重点之一，就诊高峰时段要加强保安人员巡逻力度，特别是要时刻防范和驱逐各种医托趁机行骗，保安应配合有关部门打击小偷、医托和号贩子。</w:t>
      </w:r>
    </w:p>
    <w:p w14:paraId="4D90EE74">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4）保护医院财产和医护人员的人身安全：随着人们对生命越来越重视，各种医患纠纷经常发生，个别不理智的患者家属，甚至对医护人员进行人身攻击，因此必须保护医护人员的安全，将事态发生的火苗熄灭在萌芽状态，做好必要的劝解说服工作。</w:t>
      </w:r>
    </w:p>
    <w:p w14:paraId="4B0D144C">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5）发现潜在隐患：发现和排除各种不安全因素，及时处置各种违法犯罪行为；听从班长工作安排与指挥调度，善于发现，分析处理各种事故隐患和突发事件；配合医院保卫科和相关科室处理各类纠纷和治安案件，配合医院对违规事件的调查，协助公安机关对案件的排查。</w:t>
      </w:r>
    </w:p>
    <w:p w14:paraId="49FBF6FE">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2.门卫管理：</w:t>
      </w:r>
      <w:r>
        <w:rPr>
          <w:rFonts w:hint="eastAsia" w:ascii="宋体" w:hAnsi="宋体" w:eastAsia="宋体" w:cs="宋体"/>
          <w:sz w:val="24"/>
          <w:szCs w:val="24"/>
        </w:rPr>
        <w:t>严格人员，车辆，物资进出管理；按时立岗，礼貌待人，树立良好的窗口形象；对携物出门实行出门证验审制度，防止财务流失；与各岗位互通信息；值班室无闲杂人员滞留，保持室内外环境整洁卫生，门前卫生三包；完成医院交办的其他事项。</w:t>
      </w:r>
    </w:p>
    <w:p w14:paraId="0673ABB8">
      <w:pPr>
        <w:keepNext w:val="0"/>
        <w:keepLines w:val="0"/>
        <w:pageBreakBefore w:val="0"/>
        <w:kinsoku/>
        <w:overflowPunct/>
        <w:bidi w:val="0"/>
        <w:spacing w:line="440" w:lineRule="exact"/>
        <w:ind w:firstLine="435"/>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3.车辆管理：</w:t>
      </w:r>
    </w:p>
    <w:p w14:paraId="7A706550">
      <w:pPr>
        <w:keepNext w:val="0"/>
        <w:keepLines w:val="0"/>
        <w:pageBreakBefore w:val="0"/>
        <w:kinsoku/>
        <w:overflowPunct/>
        <w:bidi w:val="0"/>
        <w:spacing w:line="440" w:lineRule="exact"/>
        <w:ind w:firstLine="435"/>
        <w:textAlignment w:val="auto"/>
        <w:rPr>
          <w:rFonts w:hint="eastAsia" w:ascii="宋体" w:hAnsi="宋体" w:eastAsia="宋体" w:cs="宋体"/>
          <w:b/>
          <w:sz w:val="24"/>
          <w:szCs w:val="24"/>
        </w:rPr>
      </w:pPr>
      <w:r>
        <w:rPr>
          <w:rFonts w:hint="eastAsia" w:ascii="宋体" w:hAnsi="宋体" w:eastAsia="宋体" w:cs="宋体"/>
          <w:b/>
          <w:sz w:val="24"/>
          <w:szCs w:val="24"/>
        </w:rPr>
        <w:t>（1）医院自备车辆及医护人员私家车辆管理</w:t>
      </w:r>
    </w:p>
    <w:p w14:paraId="2F15E068">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a．医院自备车辆主要是120急救车，医院公务车辆、员工班车和医院物品运送车辆，保安人员要加强管理，确保车辆进出畅通，确保车位不被无故占用。</w:t>
      </w:r>
    </w:p>
    <w:p w14:paraId="1F682414">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b．医护人员私家车辆，根据院方提供的车辆停车证，按规定车位停放。</w:t>
      </w:r>
    </w:p>
    <w:p w14:paraId="1E1EECC5">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c．当班保安人员要坚守岗位，按规定巡视，保证车辆不被损坏，车内物品安全。</w:t>
      </w:r>
    </w:p>
    <w:p w14:paraId="6F39136A">
      <w:pPr>
        <w:keepNext w:val="0"/>
        <w:keepLines w:val="0"/>
        <w:pageBreakBefore w:val="0"/>
        <w:kinsoku/>
        <w:overflowPunct/>
        <w:bidi w:val="0"/>
        <w:spacing w:line="440" w:lineRule="exact"/>
        <w:ind w:firstLine="435"/>
        <w:textAlignment w:val="auto"/>
        <w:rPr>
          <w:rFonts w:hint="eastAsia" w:ascii="宋体" w:hAnsi="宋体" w:eastAsia="宋体" w:cs="宋体"/>
          <w:b/>
          <w:sz w:val="24"/>
          <w:szCs w:val="24"/>
        </w:rPr>
      </w:pPr>
      <w:r>
        <w:rPr>
          <w:rFonts w:hint="eastAsia" w:ascii="宋体" w:hAnsi="宋体" w:eastAsia="宋体" w:cs="宋体"/>
          <w:b/>
          <w:sz w:val="24"/>
          <w:szCs w:val="24"/>
        </w:rPr>
        <w:t>（2）外来车辆管理</w:t>
      </w:r>
    </w:p>
    <w:p w14:paraId="211AD630">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a． 未经医院备案及许可的，装有易燃、易爆、剧毒物品或有污染性物品的车辆严禁驶入医院内。</w:t>
      </w:r>
    </w:p>
    <w:p w14:paraId="7B7E850C">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b．保证消防通道、车辆通道、120急救通道24小时畅通无阻。</w:t>
      </w:r>
    </w:p>
    <w:p w14:paraId="40EFA334">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C、协助相关部门进行交通管理</w:t>
      </w:r>
    </w:p>
    <w:p w14:paraId="3092CB4A">
      <w:pPr>
        <w:keepNext w:val="0"/>
        <w:keepLines w:val="0"/>
        <w:pageBreakBefore w:val="0"/>
        <w:kinsoku/>
        <w:overflowPunct/>
        <w:bidi w:val="0"/>
        <w:spacing w:line="440" w:lineRule="exact"/>
        <w:ind w:firstLine="435"/>
        <w:textAlignment w:val="auto"/>
        <w:rPr>
          <w:rFonts w:hint="eastAsia" w:ascii="宋体" w:hAnsi="宋体" w:eastAsia="宋体" w:cs="宋体"/>
          <w:b/>
          <w:sz w:val="24"/>
          <w:szCs w:val="24"/>
        </w:rPr>
      </w:pPr>
      <w:r>
        <w:rPr>
          <w:rFonts w:hint="eastAsia" w:ascii="宋体" w:hAnsi="宋体" w:eastAsia="宋体" w:cs="宋体"/>
          <w:b/>
          <w:sz w:val="24"/>
          <w:szCs w:val="24"/>
        </w:rPr>
        <w:t>（3）摩托车及非机动车管理</w:t>
      </w:r>
    </w:p>
    <w:p w14:paraId="2A1155F4">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a． 摩托车及非机动车在医院规定范围内有序停放，确保院内道路畅通。</w:t>
      </w:r>
    </w:p>
    <w:p w14:paraId="09FF35F2">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b． 监控岗位要进行实时监视，发现可疑人员通知巡逻岗进行布控，并加强防范巡视，减少或避免车辆被盗事件的发生。</w:t>
      </w:r>
    </w:p>
    <w:p w14:paraId="3AB869E2">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b/>
          <w:sz w:val="24"/>
          <w:szCs w:val="24"/>
        </w:rPr>
        <w:t xml:space="preserve"> 4.区域守护：</w:t>
      </w:r>
      <w:r>
        <w:rPr>
          <w:rFonts w:hint="eastAsia" w:ascii="宋体" w:hAnsi="宋体" w:eastAsia="宋体" w:cs="宋体"/>
          <w:sz w:val="24"/>
          <w:szCs w:val="24"/>
        </w:rPr>
        <w:t>熟悉守护区域的情况特点，定点守卫与区域巡查相结合；掌握消防栓，灭火器等安全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14:paraId="67DB5AA6">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b/>
          <w:sz w:val="24"/>
          <w:szCs w:val="24"/>
        </w:rPr>
        <w:t xml:space="preserve"> 5.机动巡逻：</w:t>
      </w:r>
      <w:r>
        <w:rPr>
          <w:rFonts w:hint="eastAsia" w:ascii="宋体" w:hAnsi="宋体" w:eastAsia="宋体" w:cs="宋体"/>
          <w:sz w:val="24"/>
          <w:szCs w:val="24"/>
        </w:rPr>
        <w:t>根据不同情况，灵活执行相应的巡逻方案；加强对重点区域，要害部位安全巡查，巡更采点不流于形式，并与监控室保持联动；协助各岗位开展医院秩序维护和交通秩序管理工作；开展安全防范；如实记录汇报巡逻记录。</w:t>
      </w:r>
    </w:p>
    <w:p w14:paraId="5F6F389E">
      <w:pPr>
        <w:keepNext w:val="0"/>
        <w:keepLines w:val="0"/>
        <w:pageBreakBefore w:val="0"/>
        <w:kinsoku/>
        <w:overflowPunct/>
        <w:bidi w:val="0"/>
        <w:spacing w:line="440" w:lineRule="exact"/>
        <w:ind w:firstLine="435"/>
        <w:textAlignment w:val="auto"/>
        <w:rPr>
          <w:rFonts w:hint="eastAsia" w:ascii="宋体" w:hAnsi="宋体" w:eastAsia="宋体" w:cs="宋体"/>
          <w:b/>
          <w:sz w:val="24"/>
          <w:szCs w:val="24"/>
        </w:rPr>
      </w:pPr>
      <w:r>
        <w:rPr>
          <w:rFonts w:hint="eastAsia" w:ascii="宋体" w:hAnsi="宋体" w:eastAsia="宋体" w:cs="宋体"/>
          <w:b/>
          <w:sz w:val="24"/>
          <w:szCs w:val="24"/>
        </w:rPr>
        <w:t xml:space="preserve"> 6.消防管理：</w:t>
      </w:r>
    </w:p>
    <w:p w14:paraId="486ABE52">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a．消控岗位人员必须具备《消防控制室人员培训资格证》，持证上岗。</w:t>
      </w:r>
    </w:p>
    <w:p w14:paraId="425C4D6C">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b．消防监控联动中心实行24小时双岗值班制，有详细的值班记录和消防设施巡查记录。</w:t>
      </w:r>
    </w:p>
    <w:p w14:paraId="632BC744">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c． 平时实行不间断巡视，对防火重点部位，消防通道等进行重点检查，发现火灾隐患，立即报告医院保卫科并设法消除。</w:t>
      </w:r>
    </w:p>
    <w:p w14:paraId="320B9AF2">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d． 定期对消防灭火设施设备进行检查，每周一次，有记录，检查灭火器是否过期失效，压力等是否有效，灭火器过期前2个月及时上报保卫科。消防栓、应急指示灯等消防设施是否完好。如有损坏或过期失效立即通知医院总务科修理、调换。</w:t>
      </w:r>
    </w:p>
    <w:p w14:paraId="575AD3CB">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e． 作好所有安保、消防设施的日常清洁、保养、保管工作，发现有人擅自动用消防设施的，应及时制止并报告。</w:t>
      </w:r>
    </w:p>
    <w:p w14:paraId="0DE0478C">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f． 积极开展放火宣传教育，</w:t>
      </w:r>
      <w:r>
        <w:rPr>
          <w:rFonts w:hint="eastAsia" w:ascii="宋体" w:hAnsi="宋体" w:eastAsia="宋体" w:cs="宋体"/>
          <w:sz w:val="24"/>
          <w:szCs w:val="24"/>
          <w:u w:val="single"/>
        </w:rPr>
        <w:t>原则上每天必须有一次进入每一个病房，对违规用电、用火现象及时阻止，建立健全防火责任制和岗位责任制，制定消防应急预案。</w:t>
      </w:r>
    </w:p>
    <w:p w14:paraId="0F24F786">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g． 加强消防演练，积极组织保安人员参加消防演练，正确使用消防器材，熟知医院突发事件应急预案，一旦发生火灾，能冷静处理，按预案进行火灾报警，人员疏散，组织扑救，抢救物资等工作。</w:t>
      </w:r>
    </w:p>
    <w:p w14:paraId="32E77E67">
      <w:pPr>
        <w:keepNext w:val="0"/>
        <w:keepLines w:val="0"/>
        <w:pageBreakBefore w:val="0"/>
        <w:kinsoku/>
        <w:overflowPunct/>
        <w:bidi w:val="0"/>
        <w:spacing w:line="440" w:lineRule="exact"/>
        <w:ind w:firstLine="435"/>
        <w:textAlignment w:val="auto"/>
        <w:rPr>
          <w:rFonts w:hint="eastAsia" w:ascii="宋体" w:hAnsi="宋体" w:eastAsia="宋体" w:cs="宋体"/>
          <w:b/>
          <w:sz w:val="24"/>
          <w:szCs w:val="24"/>
        </w:rPr>
      </w:pPr>
      <w:r>
        <w:rPr>
          <w:rFonts w:hint="eastAsia" w:ascii="宋体" w:hAnsi="宋体" w:eastAsia="宋体" w:cs="宋体"/>
          <w:sz w:val="24"/>
          <w:szCs w:val="24"/>
        </w:rPr>
        <w:t>h． 保安人员兼任医院的义务消防队员，所有队员有参加灭火抢险的义务。</w:t>
      </w:r>
    </w:p>
    <w:p w14:paraId="77433648">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b/>
          <w:sz w:val="24"/>
          <w:szCs w:val="24"/>
        </w:rPr>
        <w:t>7.政治保卫：</w:t>
      </w:r>
      <w:r>
        <w:rPr>
          <w:rFonts w:hint="eastAsia" w:ascii="宋体" w:hAnsi="宋体" w:eastAsia="宋体" w:cs="宋体"/>
          <w:sz w:val="24"/>
          <w:szCs w:val="24"/>
        </w:rPr>
        <w:t xml:space="preserve">医院重大活动安全警戒与秩序保障；配合做好重大事件的政治保卫工作。 </w:t>
      </w:r>
    </w:p>
    <w:p w14:paraId="35213A4D">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b/>
          <w:sz w:val="24"/>
          <w:szCs w:val="24"/>
        </w:rPr>
        <w:t>8.突发事件处理：</w:t>
      </w:r>
      <w:r>
        <w:rPr>
          <w:rFonts w:hint="eastAsia" w:ascii="宋体" w:hAnsi="宋体" w:eastAsia="宋体" w:cs="宋体"/>
          <w:sz w:val="24"/>
          <w:szCs w:val="24"/>
        </w:rPr>
        <w:t>医院突发事件处置，灾害预防，火灾扑救，发现和制止医院暴力事件，随时准备提供紧急救助。</w:t>
      </w:r>
    </w:p>
    <w:p w14:paraId="65A647EC">
      <w:pPr>
        <w:keepNext w:val="0"/>
        <w:keepLines w:val="0"/>
        <w:pageBreakBefore w:val="0"/>
        <w:kinsoku/>
        <w:overflowPunct/>
        <w:bidi w:val="0"/>
        <w:spacing w:line="440" w:lineRule="exact"/>
        <w:ind w:firstLine="435"/>
        <w:textAlignment w:val="auto"/>
        <w:rPr>
          <w:rFonts w:hint="eastAsia" w:ascii="宋体" w:hAnsi="宋体" w:eastAsia="宋体" w:cs="宋体"/>
          <w:sz w:val="24"/>
          <w:szCs w:val="24"/>
        </w:rPr>
      </w:pPr>
      <w:r>
        <w:rPr>
          <w:rFonts w:hint="eastAsia" w:ascii="宋体" w:hAnsi="宋体" w:eastAsia="宋体" w:cs="宋体"/>
          <w:b/>
          <w:sz w:val="24"/>
          <w:szCs w:val="24"/>
        </w:rPr>
        <w:t>9.安全教育：</w:t>
      </w:r>
      <w:r>
        <w:rPr>
          <w:rFonts w:hint="eastAsia" w:ascii="宋体" w:hAnsi="宋体" w:eastAsia="宋体" w:cs="宋体"/>
          <w:sz w:val="24"/>
          <w:szCs w:val="24"/>
        </w:rPr>
        <w:t>医院内部安全隐患检查，排除及上报；违规纠正；有针对性地开展安全教育和提示。</w:t>
      </w:r>
    </w:p>
    <w:p w14:paraId="750EFAAA">
      <w:pPr>
        <w:keepNext w:val="0"/>
        <w:keepLines w:val="0"/>
        <w:pageBreakBefore w:val="0"/>
        <w:kinsoku/>
        <w:overflowPunct/>
        <w:bidi w:val="0"/>
        <w:spacing w:line="440" w:lineRule="exact"/>
        <w:ind w:firstLine="435"/>
        <w:textAlignment w:val="auto"/>
        <w:rPr>
          <w:rFonts w:hint="eastAsia" w:ascii="宋体" w:hAnsi="宋体" w:eastAsia="宋体" w:cs="宋体"/>
          <w:b/>
          <w:sz w:val="24"/>
          <w:szCs w:val="24"/>
        </w:rPr>
      </w:pPr>
      <w:r>
        <w:rPr>
          <w:rFonts w:hint="eastAsia" w:ascii="宋体" w:hAnsi="宋体" w:eastAsia="宋体" w:cs="宋体"/>
          <w:b/>
          <w:sz w:val="24"/>
          <w:szCs w:val="24"/>
        </w:rPr>
        <w:t>10.临时替换人员到岗要求：保安人员工作不到位，被辞退后，替换保安人员须保证在3个工作日内上岗。</w:t>
      </w:r>
    </w:p>
    <w:p w14:paraId="54176D6F">
      <w:pPr>
        <w:keepNext w:val="0"/>
        <w:keepLines w:val="0"/>
        <w:pageBreakBefore w:val="0"/>
        <w:kinsoku/>
        <w:overflowPunct/>
        <w:bidi w:val="0"/>
        <w:spacing w:line="440" w:lineRule="exact"/>
        <w:ind w:firstLine="435"/>
        <w:textAlignment w:val="auto"/>
        <w:rPr>
          <w:rFonts w:hint="eastAsia" w:ascii="宋体" w:hAnsi="宋体" w:eastAsia="宋体" w:cs="宋体"/>
          <w:b/>
          <w:sz w:val="24"/>
          <w:szCs w:val="24"/>
        </w:rPr>
      </w:pPr>
      <w:r>
        <w:rPr>
          <w:rFonts w:hint="eastAsia" w:ascii="宋体" w:hAnsi="宋体" w:eastAsia="宋体" w:cs="宋体"/>
          <w:b/>
          <w:sz w:val="24"/>
          <w:szCs w:val="24"/>
        </w:rPr>
        <w:t>11.其他应由保安人员完成的职责。</w:t>
      </w:r>
    </w:p>
    <w:p w14:paraId="22B8DF67">
      <w:pPr>
        <w:keepNext w:val="0"/>
        <w:keepLines w:val="0"/>
        <w:pageBreakBefore w:val="0"/>
        <w:widowControl/>
        <w:kinsoku/>
        <w:overflowPunct/>
        <w:bidi w:val="0"/>
        <w:spacing w:line="440" w:lineRule="exact"/>
        <w:ind w:firstLine="420"/>
        <w:jc w:val="left"/>
        <w:textAlignment w:val="auto"/>
        <w:rPr>
          <w:rFonts w:hint="eastAsia" w:ascii="宋体" w:hAnsi="宋体" w:eastAsia="宋体" w:cs="宋体"/>
          <w:b/>
          <w:sz w:val="24"/>
          <w:szCs w:val="24"/>
        </w:rPr>
      </w:pPr>
      <w:r>
        <w:rPr>
          <w:rFonts w:hint="eastAsia" w:ascii="宋体" w:hAnsi="宋体" w:eastAsia="宋体" w:cs="宋体"/>
          <w:b/>
          <w:sz w:val="24"/>
          <w:szCs w:val="24"/>
        </w:rPr>
        <w:t>4、投标人内部管理体系要求</w:t>
      </w:r>
    </w:p>
    <w:p w14:paraId="2B9291C6">
      <w:pPr>
        <w:keepNext w:val="0"/>
        <w:keepLines w:val="0"/>
        <w:pageBreakBefore w:val="0"/>
        <w:kinsoku/>
        <w:overflowPunct/>
        <w:bidi w:val="0"/>
        <w:spacing w:line="440" w:lineRule="exact"/>
        <w:ind w:firstLine="420"/>
        <w:textAlignment w:val="auto"/>
        <w:rPr>
          <w:rFonts w:hint="eastAsia" w:ascii="宋体" w:hAnsi="宋体" w:eastAsia="宋体" w:cs="宋体"/>
          <w:b/>
          <w:sz w:val="24"/>
          <w:szCs w:val="24"/>
        </w:rPr>
      </w:pPr>
      <w:r>
        <w:rPr>
          <w:rFonts w:hint="eastAsia" w:ascii="宋体" w:hAnsi="宋体" w:eastAsia="宋体" w:cs="宋体"/>
          <w:b/>
          <w:sz w:val="24"/>
          <w:szCs w:val="24"/>
        </w:rPr>
        <w:t>4.1服务标准</w:t>
      </w:r>
    </w:p>
    <w:p w14:paraId="20CB96BB">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1.《保安工作人员职责》，《保安交接班制度》，《保安队伍例会制度》，《队伍常态化管理》，《保安员义务消防队方案》，《保安员突发事件预案》，《队伍培训管理方案》，《队伍绩效考核管理》，《保安员等级考核管理制度》等；</w:t>
      </w:r>
    </w:p>
    <w:p w14:paraId="4A3D4A71">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2.《医院保安考核细则》</w:t>
      </w:r>
    </w:p>
    <w:p w14:paraId="4DBC4652">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3.桐庐县政府有关保安文明服务要求的规定</w:t>
      </w:r>
    </w:p>
    <w:p w14:paraId="01C5E586">
      <w:pPr>
        <w:keepNext w:val="0"/>
        <w:keepLines w:val="0"/>
        <w:pageBreakBefore w:val="0"/>
        <w:kinsoku/>
        <w:overflowPunct/>
        <w:bidi w:val="0"/>
        <w:spacing w:line="440" w:lineRule="exact"/>
        <w:ind w:firstLine="420"/>
        <w:textAlignment w:val="auto"/>
        <w:rPr>
          <w:rFonts w:hint="eastAsia" w:ascii="宋体" w:hAnsi="宋体" w:eastAsia="宋体" w:cs="宋体"/>
          <w:b/>
          <w:sz w:val="24"/>
          <w:szCs w:val="24"/>
        </w:rPr>
      </w:pPr>
      <w:r>
        <w:rPr>
          <w:rFonts w:hint="eastAsia" w:ascii="宋体" w:hAnsi="宋体" w:eastAsia="宋体" w:cs="宋体"/>
          <w:b/>
          <w:sz w:val="24"/>
          <w:szCs w:val="24"/>
        </w:rPr>
        <w:t>4.2服务目标</w:t>
      </w:r>
    </w:p>
    <w:p w14:paraId="5050BFAA">
      <w:pPr>
        <w:keepNext w:val="0"/>
        <w:keepLines w:val="0"/>
        <w:pageBreakBefore w:val="0"/>
        <w:kinsoku/>
        <w:overflowPunct/>
        <w:bidi w:val="0"/>
        <w:spacing w:line="440" w:lineRule="exact"/>
        <w:ind w:firstLine="420"/>
        <w:textAlignment w:val="auto"/>
        <w:outlineLvl w:val="0"/>
        <w:rPr>
          <w:rFonts w:hint="eastAsia" w:ascii="宋体" w:hAnsi="宋体" w:eastAsia="宋体" w:cs="宋体"/>
          <w:color w:val="auto"/>
          <w:sz w:val="24"/>
          <w:szCs w:val="24"/>
        </w:rPr>
      </w:pPr>
      <w:r>
        <w:rPr>
          <w:rFonts w:hint="eastAsia" w:ascii="宋体" w:hAnsi="宋体" w:eastAsia="宋体" w:cs="宋体"/>
          <w:b/>
          <w:sz w:val="24"/>
          <w:szCs w:val="24"/>
        </w:rPr>
        <w:t xml:space="preserve"> </w:t>
      </w:r>
      <w:bookmarkStart w:id="61" w:name="_Toc377916665"/>
      <w:bookmarkStart w:id="62" w:name="_Toc377588317"/>
      <w:bookmarkStart w:id="63" w:name="_Toc377595893"/>
      <w:bookmarkStart w:id="64" w:name="_Toc441493112"/>
      <w:bookmarkStart w:id="65" w:name="_Toc377915722"/>
      <w:bookmarkStart w:id="66" w:name="_Toc380592952"/>
      <w:r>
        <w:rPr>
          <w:rFonts w:hint="eastAsia" w:ascii="宋体" w:hAnsi="宋体" w:eastAsia="宋体" w:cs="宋体"/>
          <w:sz w:val="24"/>
          <w:szCs w:val="24"/>
        </w:rPr>
        <w:t>1.达到《医院保安考核细则》</w:t>
      </w:r>
      <w:bookmarkEnd w:id="61"/>
      <w:bookmarkEnd w:id="62"/>
      <w:bookmarkEnd w:id="63"/>
      <w:bookmarkEnd w:id="64"/>
      <w:bookmarkEnd w:id="65"/>
      <w:bookmarkEnd w:id="66"/>
    </w:p>
    <w:p w14:paraId="76C7A797">
      <w:pPr>
        <w:keepNext w:val="0"/>
        <w:keepLines w:val="0"/>
        <w:pageBreakBefore w:val="0"/>
        <w:kinsoku/>
        <w:overflowPunct/>
        <w:bidi w:val="0"/>
        <w:spacing w:line="44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2.达到桐庐县政府有关保安文明服务要求的规定要求</w:t>
      </w:r>
    </w:p>
    <w:p w14:paraId="57A22456">
      <w:pPr>
        <w:keepNext w:val="0"/>
        <w:keepLines w:val="0"/>
        <w:pageBreakBefore w:val="0"/>
        <w:kinsoku/>
        <w:overflowPunct/>
        <w:bidi w:val="0"/>
        <w:spacing w:line="440" w:lineRule="exact"/>
        <w:ind w:firstLine="42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Start w:id="67" w:name="_Toc377916666"/>
      <w:bookmarkStart w:id="68" w:name="_Toc377915723"/>
      <w:bookmarkStart w:id="69" w:name="_Toc377595894"/>
      <w:bookmarkStart w:id="70" w:name="_Toc380592953"/>
      <w:bookmarkStart w:id="71" w:name="_Toc441493113"/>
      <w:bookmarkStart w:id="72" w:name="_Toc377588318"/>
      <w:r>
        <w:rPr>
          <w:rFonts w:hint="eastAsia" w:ascii="宋体" w:hAnsi="宋体" w:eastAsia="宋体" w:cs="宋体"/>
          <w:color w:val="auto"/>
          <w:sz w:val="24"/>
          <w:szCs w:val="24"/>
        </w:rPr>
        <w:t>3.达到二级综合性医院标准以上的保安服务标准</w:t>
      </w:r>
      <w:bookmarkEnd w:id="67"/>
      <w:bookmarkEnd w:id="68"/>
      <w:bookmarkEnd w:id="69"/>
      <w:bookmarkEnd w:id="70"/>
      <w:bookmarkEnd w:id="71"/>
      <w:bookmarkEnd w:id="72"/>
    </w:p>
    <w:p w14:paraId="10DB5367">
      <w:pPr>
        <w:keepNext w:val="0"/>
        <w:keepLines w:val="0"/>
        <w:pageBreakBefore w:val="0"/>
        <w:kinsoku/>
        <w:overflowPunct/>
        <w:bidi w:val="0"/>
        <w:spacing w:line="440" w:lineRule="exact"/>
        <w:ind w:firstLine="42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4.3队伍内部建设与管理</w:t>
      </w:r>
    </w:p>
    <w:p w14:paraId="260ECF99">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color w:val="auto"/>
          <w:sz w:val="24"/>
          <w:szCs w:val="24"/>
        </w:rPr>
        <w:t xml:space="preserve"> 1.投标人负责提供进驻保安人员执勤所需的装备，器材</w:t>
      </w:r>
      <w:r>
        <w:rPr>
          <w:rFonts w:hint="eastAsia" w:ascii="宋体" w:hAnsi="宋体" w:eastAsia="宋体" w:cs="宋体"/>
          <w:sz w:val="24"/>
          <w:szCs w:val="24"/>
        </w:rPr>
        <w:t>，通讯设备，常用办公耗材；</w:t>
      </w:r>
    </w:p>
    <w:p w14:paraId="4581AC42">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2.投标人必须采取切实有效措施保持保安队伍的稳定，严格控制非违纪人员轮换岗比例，</w:t>
      </w:r>
      <w:r>
        <w:rPr>
          <w:rFonts w:hint="eastAsia" w:ascii="宋体" w:hAnsi="宋体" w:eastAsia="宋体" w:cs="宋体"/>
          <w:sz w:val="24"/>
          <w:szCs w:val="24"/>
          <w:u w:val="single"/>
        </w:rPr>
        <w:t>合同期限内轮换岗保安人数不得超过合同编制的50%</w:t>
      </w:r>
      <w:r>
        <w:rPr>
          <w:rFonts w:hint="eastAsia" w:ascii="宋体" w:hAnsi="宋体" w:eastAsia="宋体" w:cs="宋体"/>
          <w:sz w:val="24"/>
          <w:szCs w:val="24"/>
        </w:rPr>
        <w:t xml:space="preserve">；保安队伍主要管理员更换，应提前一个月以书面形式通知招标人，其他队员更换要提前三天告知招标人；确保服务质量不因人员变动而受影响； </w:t>
      </w:r>
    </w:p>
    <w:p w14:paraId="2E59676E">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3.保安应聘，录用，离职等管理档案规范，手续齐全。</w:t>
      </w:r>
    </w:p>
    <w:p w14:paraId="252FBF48">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4.投标人必须信守承包承诺，认真落实具有相应的固定服务人员，服务人员必须统一穿着工作服，挂牌上岗，并建立健全管理制度。</w:t>
      </w:r>
    </w:p>
    <w:p w14:paraId="6F900021">
      <w:pPr>
        <w:keepNext w:val="0"/>
        <w:keepLines w:val="0"/>
        <w:pageBreakBefore w:val="0"/>
        <w:kinsoku/>
        <w:overflowPunct/>
        <w:bidi w:val="0"/>
        <w:spacing w:line="440" w:lineRule="exact"/>
        <w:ind w:firstLine="42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5.在服务期内承包人员遇到医院各类检查（如上级部门来院检查等）及突发事件时，中标人应无条件加班服从招标人安排，费用</w:t>
      </w:r>
      <w:r>
        <w:rPr>
          <w:rFonts w:hint="eastAsia" w:ascii="宋体" w:hAnsi="宋体" w:eastAsia="宋体" w:cs="宋体"/>
          <w:spacing w:val="-6"/>
          <w:sz w:val="24"/>
          <w:szCs w:val="24"/>
          <w:u w:val="single"/>
        </w:rPr>
        <w:t>由中标人与甲方另行协商处理。</w:t>
      </w:r>
    </w:p>
    <w:p w14:paraId="4265A2AC">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6.中标人必须对员工发生的事故责任以及员工身体健康等承担责任；同时对员工在院内做出不良行为给医院造成影响承担责任。</w:t>
      </w:r>
    </w:p>
    <w:p w14:paraId="1BADB48F">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7.中标人须缴纳员工必要的社会保险</w:t>
      </w:r>
      <w:r>
        <w:rPr>
          <w:rFonts w:hint="eastAsia" w:ascii="宋体" w:hAnsi="宋体" w:eastAsia="宋体" w:cs="宋体"/>
          <w:spacing w:val="-6"/>
          <w:sz w:val="24"/>
          <w:szCs w:val="24"/>
          <w:u w:val="single"/>
        </w:rPr>
        <w:t>（包括养老、医疗、工伤、生育险、失业保险等）</w:t>
      </w:r>
      <w:r>
        <w:rPr>
          <w:rFonts w:hint="eastAsia" w:ascii="宋体" w:hAnsi="宋体" w:eastAsia="宋体" w:cs="宋体"/>
          <w:sz w:val="24"/>
          <w:szCs w:val="24"/>
        </w:rPr>
        <w:t>。</w:t>
      </w:r>
    </w:p>
    <w:p w14:paraId="5D324476">
      <w:pPr>
        <w:keepNext w:val="0"/>
        <w:keepLines w:val="0"/>
        <w:pageBreakBefore w:val="0"/>
        <w:kinsoku/>
        <w:overflowPunct/>
        <w:bidi w:val="0"/>
        <w:spacing w:line="440" w:lineRule="exact"/>
        <w:ind w:firstLine="420"/>
        <w:textAlignment w:val="auto"/>
        <w:outlineLvl w:val="0"/>
        <w:rPr>
          <w:rFonts w:hint="eastAsia" w:ascii="宋体" w:hAnsi="宋体" w:eastAsia="宋体" w:cs="宋体"/>
          <w:b/>
          <w:sz w:val="24"/>
          <w:szCs w:val="24"/>
        </w:rPr>
      </w:pPr>
      <w:bookmarkStart w:id="73" w:name="_Toc377915724"/>
      <w:bookmarkStart w:id="74" w:name="_Toc441493114"/>
      <w:bookmarkStart w:id="75" w:name="_Toc380592954"/>
      <w:bookmarkStart w:id="76" w:name="_Toc377588319"/>
      <w:bookmarkStart w:id="77" w:name="_Toc377916667"/>
      <w:bookmarkStart w:id="78" w:name="_Toc377595895"/>
      <w:r>
        <w:rPr>
          <w:rFonts w:hint="eastAsia" w:ascii="宋体" w:hAnsi="宋体" w:eastAsia="宋体" w:cs="宋体"/>
          <w:b/>
          <w:sz w:val="24"/>
          <w:szCs w:val="24"/>
        </w:rPr>
        <w:t>4.4工作衔接要求</w:t>
      </w:r>
      <w:bookmarkEnd w:id="73"/>
      <w:bookmarkEnd w:id="74"/>
      <w:bookmarkEnd w:id="75"/>
      <w:bookmarkEnd w:id="76"/>
      <w:bookmarkEnd w:id="77"/>
      <w:bookmarkEnd w:id="78"/>
    </w:p>
    <w:p w14:paraId="3F7827F4">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1.根据行业服务标准与医院规定要求，独立运作，落实医院安全保卫整体方案，并结合医院实际在实践中不断完善；</w:t>
      </w:r>
    </w:p>
    <w:p w14:paraId="6BFAC521">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2保安队长（项目经理）须与医院保卫科保持必要的工作交流，每星期一次向医院保卫科汇报保安工作开展情况及信息反馈，重大情况需及时报告；</w:t>
      </w:r>
    </w:p>
    <w:p w14:paraId="63457E84">
      <w:pPr>
        <w:keepNext w:val="0"/>
        <w:keepLines w:val="0"/>
        <w:pageBreakBefore w:val="0"/>
        <w:kinsoku/>
        <w:overflowPunct/>
        <w:bidi w:val="0"/>
        <w:spacing w:line="440" w:lineRule="exact"/>
        <w:ind w:firstLine="420"/>
        <w:textAlignment w:val="auto"/>
        <w:outlineLvl w:val="0"/>
        <w:rPr>
          <w:rFonts w:hint="eastAsia" w:ascii="宋体" w:hAnsi="宋体" w:eastAsia="宋体" w:cs="宋体"/>
          <w:sz w:val="24"/>
          <w:szCs w:val="24"/>
        </w:rPr>
      </w:pPr>
      <w:r>
        <w:rPr>
          <w:rFonts w:hint="eastAsia" w:ascii="宋体" w:hAnsi="宋体" w:eastAsia="宋体" w:cs="宋体"/>
          <w:sz w:val="24"/>
          <w:szCs w:val="24"/>
        </w:rPr>
        <w:t xml:space="preserve">  </w:t>
      </w:r>
      <w:bookmarkStart w:id="79" w:name="_Toc377916668"/>
      <w:bookmarkStart w:id="80" w:name="_Toc377595896"/>
      <w:bookmarkStart w:id="81" w:name="_Toc377915725"/>
      <w:bookmarkStart w:id="82" w:name="_Toc441493115"/>
      <w:bookmarkStart w:id="83" w:name="_Toc380592955"/>
      <w:bookmarkStart w:id="84" w:name="_Toc377588320"/>
      <w:r>
        <w:rPr>
          <w:rFonts w:hint="eastAsia" w:ascii="宋体" w:hAnsi="宋体" w:eastAsia="宋体" w:cs="宋体"/>
          <w:sz w:val="24"/>
          <w:szCs w:val="24"/>
        </w:rPr>
        <w:t>3.做好详细的执勤记录，原始台账保存完好，以备核查；</w:t>
      </w:r>
      <w:bookmarkEnd w:id="79"/>
      <w:bookmarkEnd w:id="80"/>
      <w:bookmarkEnd w:id="81"/>
      <w:bookmarkEnd w:id="82"/>
      <w:bookmarkEnd w:id="83"/>
      <w:bookmarkEnd w:id="84"/>
    </w:p>
    <w:p w14:paraId="5BE6DC66">
      <w:pPr>
        <w:keepNext w:val="0"/>
        <w:keepLines w:val="0"/>
        <w:pageBreakBefore w:val="0"/>
        <w:kinsoku/>
        <w:overflowPunct/>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4.协同医院治安协防组织，形成群防群治体系；</w:t>
      </w:r>
    </w:p>
    <w:p w14:paraId="2E18451B">
      <w:pPr>
        <w:keepNext w:val="0"/>
        <w:keepLines w:val="0"/>
        <w:pageBreakBefore w:val="0"/>
        <w:kinsoku/>
        <w:overflowPunct/>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5.与当地派出所，综治办加强合作与交流。</w:t>
      </w:r>
    </w:p>
    <w:p w14:paraId="3C5E7087">
      <w:pPr>
        <w:pStyle w:val="26"/>
        <w:keepNext w:val="0"/>
        <w:keepLines w:val="0"/>
        <w:pageBreakBefore w:val="0"/>
        <w:kinsoku/>
        <w:overflowPunct/>
        <w:bidi w:val="0"/>
        <w:spacing w:line="440" w:lineRule="exact"/>
        <w:ind w:left="0" w:leftChars="0" w:firstLine="420"/>
        <w:textAlignment w:val="auto"/>
        <w:rPr>
          <w:rFonts w:hint="eastAsia" w:ascii="宋体" w:hAnsi="宋体" w:eastAsia="宋体" w:cs="宋体"/>
          <w:sz w:val="24"/>
          <w:szCs w:val="24"/>
        </w:rPr>
      </w:pPr>
      <w:r>
        <w:rPr>
          <w:rFonts w:hint="eastAsia" w:ascii="宋体" w:hAnsi="宋体" w:eastAsia="宋体" w:cs="宋体"/>
          <w:b/>
          <w:sz w:val="24"/>
          <w:szCs w:val="24"/>
        </w:rPr>
        <w:t>5、</w:t>
      </w:r>
      <w:r>
        <w:rPr>
          <w:rFonts w:hint="eastAsia" w:ascii="宋体" w:hAnsi="宋体" w:eastAsia="宋体" w:cs="宋体"/>
          <w:b/>
          <w:bCs/>
          <w:snapToGrid w:val="0"/>
          <w:sz w:val="24"/>
          <w:szCs w:val="24"/>
        </w:rPr>
        <w:t>总体管理要求</w:t>
      </w:r>
    </w:p>
    <w:p w14:paraId="387FBDB6">
      <w:pPr>
        <w:keepNext w:val="0"/>
        <w:keepLines w:val="0"/>
        <w:pageBreakBefore w:val="0"/>
        <w:kinsoku/>
        <w:overflowPunct/>
        <w:bidi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1、中标方须认真履行职责，严格按标书要求及承包协议中的质量保证体系做好院内的保安服务工作。确保保安人</w:t>
      </w:r>
      <w:r>
        <w:rPr>
          <w:rFonts w:hint="eastAsia" w:ascii="宋体" w:hAnsi="宋体" w:eastAsia="宋体" w:cs="宋体"/>
          <w:color w:val="auto"/>
          <w:sz w:val="24"/>
          <w:szCs w:val="24"/>
          <w:highlight w:val="none"/>
        </w:rPr>
        <w:t>员在岗在位，各尽其职，保证符合各项服务的质量标准，确保在岗人数和服务时间，各岗位班次及人数符合招投标及合同规定，班次及人数不得随意更改，如特殊情况需要更改时，须征得院方同意。如安排不当，人员不能到位影响医院正常工作的，每发现一次，按次扣除每人200元，如无证上岗，每发现一次，按次扣除每人500元，在次月初支付月合同费时结清。</w:t>
      </w:r>
    </w:p>
    <w:p w14:paraId="34722430">
      <w:pPr>
        <w:keepNext w:val="0"/>
        <w:keepLines w:val="0"/>
        <w:pageBreakBefore w:val="0"/>
        <w:kinsoku/>
        <w:overflowPunct/>
        <w:bidi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2、考核标准：医院制定详细的考核细则，每</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对保安服务进行考核，主要从服务态度、工作效果、在职在岗情况、制度执行情况、病员及医务人员的满意度、服务质量等几方面进行考核；考核满分为100分。</w:t>
      </w:r>
      <w:r>
        <w:rPr>
          <w:rFonts w:hint="eastAsia" w:ascii="宋体" w:hAnsi="宋体" w:eastAsia="宋体" w:cs="宋体"/>
          <w:color w:val="auto"/>
          <w:sz w:val="24"/>
          <w:szCs w:val="24"/>
          <w:highlight w:val="none"/>
          <w:lang w:val="en-US" w:eastAsia="zh-CN"/>
        </w:rPr>
        <w:t>考核90分为合格，考核分在80-90分对公司进行约谈整改，考核分低于80分，对公司进行约谈要求整改并相应处罚</w:t>
      </w:r>
      <w:r>
        <w:rPr>
          <w:rFonts w:hint="eastAsia" w:ascii="宋体" w:hAnsi="宋体" w:eastAsia="宋体" w:cs="宋体"/>
          <w:color w:val="auto"/>
          <w:sz w:val="24"/>
          <w:szCs w:val="24"/>
          <w:highlight w:val="none"/>
        </w:rPr>
        <w:t>。</w:t>
      </w:r>
    </w:p>
    <w:p w14:paraId="635FBC41">
      <w:pPr>
        <w:keepNext w:val="0"/>
        <w:keepLines w:val="0"/>
        <w:pageBreakBefore w:val="0"/>
        <w:kinsoku/>
        <w:overflowPunct/>
        <w:bidi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方必须对上岗人员按规定进行体检、岗位培训等，并对上岗人员定期进行职业道德教育，教育其端正服务态度、提高服务质量、遵守院方的各项规章制度及工作规范，维护医院形象，服从所在科室主任、护士长领导。对不遵守劳动纪律、有病人投诉、收受病人钱物、索取护工介绍费的员工，经查实后酌情处罚，情节严重的院方有权辞退。</w:t>
      </w:r>
    </w:p>
    <w:p w14:paraId="64C88C5A">
      <w:pPr>
        <w:keepNext w:val="0"/>
        <w:keepLines w:val="0"/>
        <w:pageBreakBefore w:val="0"/>
        <w:kinsoku/>
        <w:overflowPunct/>
        <w:bidi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4、中标方须在医院内设立专职行政管理处，根据招标要求，制定各项行政管理制度和岗位职责，由公司派专职督导人员每日进行现场管理，落实好各项制度和职责。</w:t>
      </w:r>
    </w:p>
    <w:p w14:paraId="5D2B435E">
      <w:pPr>
        <w:keepNext w:val="0"/>
        <w:keepLines w:val="0"/>
        <w:pageBreakBefore w:val="0"/>
        <w:kinsoku/>
        <w:overflowPunct/>
        <w:bidi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司员工不谈论与病人隐私、病情、治疗相关话题。上班时间不得私自对病人提供有偿服务，严禁向病人索要、收受礼物及小费，对病人遗忘的物品发现后须及时上交或归还失主(有详细登记及院方证明人)。不得与病人及家属吵架，严禁在院内大声喧哗、聚众聊天。不得在院内干私活，晾晒私人衣服等。严禁在院内吸烟、喝酒。</w:t>
      </w:r>
    </w:p>
    <w:p w14:paraId="1FF9C85C">
      <w:pPr>
        <w:keepNext w:val="0"/>
        <w:keepLines w:val="0"/>
        <w:pageBreakBefore w:val="0"/>
        <w:kinsoku/>
        <w:overflowPunct/>
        <w:bidi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6、中标方所有员工上班期间必须统一着装，自用车辆须按指定地点停放。各种保安用具规范放置，正确使用，符合院感要求。公共走廊、大厅及管理区域内不得有长明灯(特殊区域除外)、长流水现象。</w:t>
      </w:r>
    </w:p>
    <w:p w14:paraId="40465641">
      <w:pPr>
        <w:keepNext w:val="0"/>
        <w:keepLines w:val="0"/>
        <w:pageBreakBefore w:val="0"/>
        <w:kinsoku/>
        <w:overflowPunct/>
        <w:bidi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7、中标方所有员工必须严格遵守医院的各项规章制度,对各病区科室各种纸箱等各类回收物品，按院方规定进行处理,不得私自出卖或各处存放。未经院方同意,不得私自使用大功率的电器用品。</w:t>
      </w:r>
    </w:p>
    <w:p w14:paraId="7315572C">
      <w:pPr>
        <w:keepNext w:val="0"/>
        <w:keepLines w:val="0"/>
        <w:pageBreakBefore w:val="0"/>
        <w:kinsoku/>
        <w:overflowPunct/>
        <w:bidi w:val="0"/>
        <w:spacing w:line="44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8、各项工作严格按《浙江省等级医院评审标准》（二级甲类医院管理标准）及《全省治安保卫重点单位安全防范量化评估标准》的相关条款执行，视执行情况纳入考核评分；做好台账资料准备工作。</w:t>
      </w:r>
    </w:p>
    <w:p w14:paraId="7917FD80">
      <w:pPr>
        <w:keepNext w:val="0"/>
        <w:keepLines w:val="0"/>
        <w:pageBreakBefore w:val="0"/>
        <w:kinsoku/>
        <w:overflowPunct/>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9、日常保卫过程中如发现医院的设施设备等存在故障或安全隐患等情况时应及时上报。</w:t>
      </w:r>
    </w:p>
    <w:p w14:paraId="53386AE7">
      <w:pPr>
        <w:keepNext w:val="0"/>
        <w:keepLines w:val="0"/>
        <w:pageBreakBefore w:val="0"/>
        <w:widowControl/>
        <w:kinsoku/>
        <w:overflowPunct/>
        <w:bidi w:val="0"/>
        <w:spacing w:line="440" w:lineRule="exact"/>
        <w:ind w:firstLine="42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6、其他技术及商务条款</w:t>
      </w:r>
    </w:p>
    <w:p w14:paraId="78A6D42C">
      <w:pPr>
        <w:keepNext w:val="0"/>
        <w:keepLines w:val="0"/>
        <w:pageBreakBefore w:val="0"/>
        <w:widowControl/>
        <w:kinsoku/>
        <w:overflowPunct/>
        <w:bidi w:val="0"/>
        <w:spacing w:line="440" w:lineRule="exact"/>
        <w:ind w:firstLine="42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6.1项目执行</w:t>
      </w:r>
    </w:p>
    <w:p w14:paraId="04E142A9">
      <w:pPr>
        <w:keepNext w:val="0"/>
        <w:keepLines w:val="0"/>
        <w:pageBreakBefore w:val="0"/>
        <w:widowControl/>
        <w:kinsoku/>
        <w:overflowPunct/>
        <w:bidi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服务期：</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以合同签订时间为准。合同期满，中标人需继续服务至采购人该项目招标结束新中标人入场，以保障采购人正常秩序，延续服务期限最长不超过2个月，费用标准按本合同规定执行。因新医院在建。如在服务期限内医院搬迁，现医院停用，合同中止。</w:t>
      </w:r>
    </w:p>
    <w:p w14:paraId="4FB2383B">
      <w:pPr>
        <w:keepNext w:val="0"/>
        <w:keepLines w:val="0"/>
        <w:pageBreakBefore w:val="0"/>
        <w:widowControl/>
        <w:kinsoku/>
        <w:overflowPunct/>
        <w:bidi w:val="0"/>
        <w:spacing w:line="440" w:lineRule="exact"/>
        <w:ind w:firstLine="42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6.2合同签订</w:t>
      </w:r>
    </w:p>
    <w:p w14:paraId="25196227">
      <w:pPr>
        <w:keepNext w:val="0"/>
        <w:keepLines w:val="0"/>
        <w:pageBreakBefore w:val="0"/>
        <w:widowControl/>
        <w:kinsoku/>
        <w:overflowPunct/>
        <w:bidi w:val="0"/>
        <w:spacing w:line="4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中标人在中标后签订合同前应将服务人员备齐，人员情况需报采购人审核，满足招标要求后双方签订服务合同。</w:t>
      </w:r>
    </w:p>
    <w:p w14:paraId="050A9FA9">
      <w:pPr>
        <w:keepNext w:val="0"/>
        <w:keepLines w:val="0"/>
        <w:pageBreakBefore w:val="0"/>
        <w:widowControl/>
        <w:kinsoku/>
        <w:overflowPunct/>
        <w:bidi w:val="0"/>
        <w:spacing w:line="440" w:lineRule="exact"/>
        <w:ind w:firstLine="42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6.3付款方式及条件</w:t>
      </w:r>
    </w:p>
    <w:p w14:paraId="17D45164">
      <w:pPr>
        <w:keepNext w:val="0"/>
        <w:keepLines w:val="0"/>
        <w:pageBreakBefore w:val="0"/>
        <w:kinsoku/>
        <w:overflowPunct/>
        <w:bidi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付款方式：每年按月分十二次支付，首月执行完成次月支付</w:t>
      </w:r>
      <w:r>
        <w:rPr>
          <w:rFonts w:hint="eastAsia" w:ascii="宋体" w:hAnsi="宋体" w:eastAsia="宋体" w:cs="宋体"/>
          <w:bCs/>
          <w:color w:val="auto"/>
          <w:sz w:val="24"/>
          <w:szCs w:val="24"/>
          <w:highlight w:val="none"/>
        </w:rPr>
        <w:t>。</w:t>
      </w:r>
    </w:p>
    <w:p w14:paraId="725CEE85">
      <w:pPr>
        <w:keepNext w:val="0"/>
        <w:keepLines w:val="0"/>
        <w:pageBreakBefore w:val="0"/>
        <w:widowControl/>
        <w:kinsoku/>
        <w:overflowPunct/>
        <w:bidi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6.4投标报价</w:t>
      </w:r>
    </w:p>
    <w:p w14:paraId="7B2C1AF3">
      <w:pPr>
        <w:keepNext w:val="0"/>
        <w:keepLines w:val="0"/>
        <w:pageBreakBefore w:val="0"/>
        <w:widowControl/>
        <w:kinsoku/>
        <w:overflowPunct/>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投标报价是履行合同的最终价格，包括全部设备、辅助材料、安装、调试、吊装费、人工、机械、包装、运输、装卸、仓储、运费、装饰装修施工费、各种税费、专利技术及质保期间等一切费用</w:t>
      </w:r>
      <w:r>
        <w:rPr>
          <w:rFonts w:hint="eastAsia" w:ascii="宋体" w:hAnsi="宋体" w:eastAsia="宋体" w:cs="宋体"/>
          <w:bCs/>
          <w:color w:val="auto"/>
          <w:sz w:val="24"/>
          <w:szCs w:val="24"/>
          <w:highlight w:val="none"/>
        </w:rPr>
        <w:t>。供应商不得进行影响服务质量或者诚信履约的恶意报价。供应商报价低于项目预算50%的，应当在报价文件中承诺，并详细阐述不影响服务质量或者诚信履约的具体原因及做法。</w:t>
      </w:r>
    </w:p>
    <w:p w14:paraId="444678A6">
      <w:pPr>
        <w:pStyle w:val="24"/>
        <w:keepNext w:val="0"/>
        <w:keepLines w:val="0"/>
        <w:pageBreakBefore w:val="0"/>
        <w:kinsoku/>
        <w:overflowPunct/>
        <w:bidi w:val="0"/>
        <w:spacing w:line="440" w:lineRule="exact"/>
        <w:ind w:firstLine="420"/>
        <w:textAlignment w:val="auto"/>
        <w:rPr>
          <w:rFonts w:hint="eastAsia" w:ascii="宋体" w:hAnsi="宋体" w:eastAsia="宋体" w:cs="宋体"/>
          <w:b/>
          <w:bCs/>
          <w:color w:val="auto"/>
          <w:kern w:val="28"/>
          <w:sz w:val="24"/>
          <w:szCs w:val="24"/>
          <w:highlight w:val="none"/>
          <w:lang w:val="en-US"/>
        </w:rPr>
      </w:pPr>
      <w:r>
        <w:rPr>
          <w:rFonts w:hint="eastAsia" w:ascii="宋体" w:hAnsi="宋体" w:eastAsia="宋体" w:cs="宋体"/>
          <w:b/>
          <w:bCs/>
          <w:color w:val="auto"/>
          <w:kern w:val="28"/>
          <w:sz w:val="24"/>
          <w:szCs w:val="24"/>
          <w:highlight w:val="none"/>
          <w:lang w:val="en-US"/>
        </w:rPr>
        <w:t>7、考核办法</w:t>
      </w:r>
    </w:p>
    <w:p w14:paraId="0F952D8E">
      <w:pPr>
        <w:keepNext w:val="0"/>
        <w:keepLines w:val="0"/>
        <w:pageBreakBefore w:val="0"/>
        <w:kinsoku/>
        <w:overflowPunct/>
        <w:bidi w:val="0"/>
        <w:spacing w:line="440" w:lineRule="exact"/>
        <w:jc w:val="center"/>
        <w:textAlignment w:val="auto"/>
        <w:rPr>
          <w:rFonts w:hint="eastAsia" w:ascii="宋体" w:hAnsi="宋体" w:eastAsia="宋体" w:cs="宋体"/>
          <w:b/>
          <w:color w:val="auto"/>
          <w:sz w:val="24"/>
          <w:szCs w:val="24"/>
          <w:highlight w:val="none"/>
        </w:rPr>
      </w:pPr>
    </w:p>
    <w:p w14:paraId="7781BFF3">
      <w:pPr>
        <w:keepNext w:val="0"/>
        <w:keepLines w:val="0"/>
        <w:pageBreakBefore w:val="0"/>
        <w:kinsoku/>
        <w:overflowPunct/>
        <w:bidi w:val="0"/>
        <w:spacing w:line="440" w:lineRule="exact"/>
        <w:jc w:val="center"/>
        <w:textAlignment w:val="auto"/>
        <w:rPr>
          <w:rFonts w:hint="eastAsia" w:ascii="宋体" w:hAnsi="宋体" w:eastAsia="宋体" w:cs="宋体"/>
          <w:b/>
          <w:color w:val="auto"/>
          <w:sz w:val="24"/>
          <w:szCs w:val="24"/>
          <w:highlight w:val="none"/>
        </w:rPr>
      </w:pPr>
    </w:p>
    <w:p w14:paraId="624C8B5B">
      <w:pPr>
        <w:keepNext w:val="0"/>
        <w:keepLines w:val="0"/>
        <w:pageBreakBefore w:val="0"/>
        <w:kinsoku/>
        <w:overflowPunct/>
        <w:bidi w:val="0"/>
        <w:spacing w:line="440" w:lineRule="exact"/>
        <w:jc w:val="center"/>
        <w:textAlignment w:val="auto"/>
        <w:rPr>
          <w:rFonts w:hint="eastAsia" w:ascii="宋体" w:hAnsi="宋体" w:eastAsia="宋体" w:cs="宋体"/>
          <w:b/>
          <w:color w:val="auto"/>
          <w:sz w:val="24"/>
          <w:szCs w:val="24"/>
          <w:highlight w:val="none"/>
        </w:rPr>
      </w:pPr>
    </w:p>
    <w:p w14:paraId="1D4AD754">
      <w:pPr>
        <w:keepNext w:val="0"/>
        <w:keepLines w:val="0"/>
        <w:pageBreakBefore w:val="0"/>
        <w:kinsoku/>
        <w:overflowPunct/>
        <w:bidi w:val="0"/>
        <w:spacing w:line="440" w:lineRule="exact"/>
        <w:jc w:val="center"/>
        <w:textAlignment w:val="auto"/>
        <w:rPr>
          <w:rFonts w:hint="eastAsia" w:ascii="宋体" w:hAnsi="宋体" w:eastAsia="宋体" w:cs="宋体"/>
          <w:b/>
          <w:sz w:val="24"/>
          <w:szCs w:val="24"/>
        </w:rPr>
      </w:pPr>
    </w:p>
    <w:p w14:paraId="59142810">
      <w:pPr>
        <w:keepNext w:val="0"/>
        <w:keepLines w:val="0"/>
        <w:pageBreakBefore w:val="0"/>
        <w:kinsoku/>
        <w:overflowPunct/>
        <w:bidi w:val="0"/>
        <w:spacing w:line="440" w:lineRule="exact"/>
        <w:jc w:val="center"/>
        <w:textAlignment w:val="auto"/>
        <w:rPr>
          <w:rFonts w:hint="eastAsia" w:ascii="宋体" w:hAnsi="宋体" w:eastAsia="宋体" w:cs="宋体"/>
          <w:b/>
          <w:sz w:val="24"/>
          <w:szCs w:val="24"/>
        </w:rPr>
      </w:pPr>
    </w:p>
    <w:p w14:paraId="37B0D972">
      <w:pPr>
        <w:keepNext w:val="0"/>
        <w:keepLines w:val="0"/>
        <w:pageBreakBefore w:val="0"/>
        <w:kinsoku/>
        <w:overflowPunct/>
        <w:bidi w:val="0"/>
        <w:spacing w:line="440" w:lineRule="exact"/>
        <w:jc w:val="center"/>
        <w:textAlignment w:val="auto"/>
        <w:rPr>
          <w:rFonts w:hint="eastAsia" w:ascii="宋体" w:hAnsi="宋体" w:eastAsia="宋体" w:cs="宋体"/>
          <w:b/>
          <w:sz w:val="24"/>
          <w:szCs w:val="24"/>
        </w:rPr>
      </w:pPr>
    </w:p>
    <w:p w14:paraId="3B6C814F">
      <w:pPr>
        <w:keepNext w:val="0"/>
        <w:keepLines w:val="0"/>
        <w:pageBreakBefore w:val="0"/>
        <w:kinsoku/>
        <w:overflowPunct/>
        <w:bidi w:val="0"/>
        <w:spacing w:line="440" w:lineRule="exact"/>
        <w:jc w:val="center"/>
        <w:textAlignment w:val="auto"/>
        <w:rPr>
          <w:rFonts w:hint="eastAsia" w:ascii="宋体" w:hAnsi="宋体" w:eastAsia="宋体" w:cs="宋体"/>
          <w:b/>
          <w:sz w:val="24"/>
          <w:szCs w:val="24"/>
        </w:rPr>
      </w:pPr>
    </w:p>
    <w:p w14:paraId="7B9440FC">
      <w:pPr>
        <w:keepNext w:val="0"/>
        <w:keepLines w:val="0"/>
        <w:pageBreakBefore w:val="0"/>
        <w:kinsoku/>
        <w:overflowPunct/>
        <w:bidi w:val="0"/>
        <w:spacing w:line="440" w:lineRule="exact"/>
        <w:jc w:val="both"/>
        <w:textAlignment w:val="auto"/>
        <w:rPr>
          <w:rFonts w:hint="eastAsia" w:ascii="宋体" w:hAnsi="宋体" w:eastAsia="宋体" w:cs="宋体"/>
          <w:b/>
          <w:sz w:val="24"/>
          <w:szCs w:val="24"/>
        </w:rPr>
      </w:pPr>
    </w:p>
    <w:p w14:paraId="08DDE9BC">
      <w:pPr>
        <w:keepNext w:val="0"/>
        <w:keepLines w:val="0"/>
        <w:pageBreakBefore w:val="0"/>
        <w:kinsoku/>
        <w:overflowPunct/>
        <w:bidi w:val="0"/>
        <w:spacing w:line="440" w:lineRule="exact"/>
        <w:jc w:val="center"/>
        <w:textAlignment w:val="auto"/>
        <w:rPr>
          <w:rFonts w:hint="eastAsia" w:ascii="宋体" w:hAnsi="宋体" w:eastAsia="宋体" w:cs="宋体"/>
          <w:b/>
          <w:sz w:val="24"/>
          <w:szCs w:val="24"/>
        </w:rPr>
      </w:pPr>
    </w:p>
    <w:p w14:paraId="39477DB8">
      <w:pPr>
        <w:keepNext w:val="0"/>
        <w:keepLines w:val="0"/>
        <w:pageBreakBefore w:val="0"/>
        <w:kinsoku/>
        <w:overflowPunct/>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桐庐县第二人民医院安保服务质量考核细则</w:t>
      </w:r>
    </w:p>
    <w:p w14:paraId="35879D63">
      <w:pPr>
        <w:keepNext w:val="0"/>
        <w:keepLines w:val="0"/>
        <w:pageBreakBefore w:val="0"/>
        <w:kinsoku/>
        <w:overflowPunct/>
        <w:bidi w:val="0"/>
        <w:spacing w:line="440" w:lineRule="exact"/>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为了更好地履行双方签署的安保服务合同，提高保安服务质量，甲乙双方根据标书要求协商制订本细则。具体如下：</w:t>
      </w:r>
    </w:p>
    <w:p w14:paraId="6AB47685">
      <w:pPr>
        <w:keepNext w:val="0"/>
        <w:keepLines w:val="0"/>
        <w:pageBreakBefore w:val="0"/>
        <w:numPr>
          <w:ilvl w:val="0"/>
          <w:numId w:val="8"/>
        </w:numPr>
        <w:kinsoku/>
        <w:overflowPunct/>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考核满分为100分，≥95分不扣款，＜95分，每扣1分为人民币100元，在次月初支付的合同款中扣除；若＞100分（加上奖励分后），每奖1分为人民币100元，由医院另行支付。甲方每月底以书面形式向乙方提供考核结果，并要求乙方限时整改，乙方应对存在问题进行持续质量改进，并以书面形式向甲方反馈整改措施及效果。</w:t>
      </w:r>
    </w:p>
    <w:p w14:paraId="5D570590">
      <w:pPr>
        <w:keepNext w:val="0"/>
        <w:keepLines w:val="0"/>
        <w:pageBreakBefore w:val="0"/>
        <w:numPr>
          <w:ilvl w:val="0"/>
          <w:numId w:val="8"/>
        </w:numPr>
        <w:kinsoku/>
        <w:overflowPunct/>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对于甲方提出的问题未限时整改的，加倍扣分。</w:t>
      </w:r>
    </w:p>
    <w:p w14:paraId="7ADE21F3">
      <w:pPr>
        <w:keepNext w:val="0"/>
        <w:keepLines w:val="0"/>
        <w:pageBreakBefore w:val="0"/>
        <w:numPr>
          <w:ilvl w:val="0"/>
          <w:numId w:val="8"/>
        </w:numPr>
        <w:kinsoku/>
        <w:overflowPunct/>
        <w:bidi w:val="0"/>
        <w:adjustRightInd/>
        <w:spacing w:line="440" w:lineRule="exact"/>
        <w:textAlignment w:val="auto"/>
        <w:rPr>
          <w:rFonts w:hint="eastAsia" w:ascii="宋体" w:hAnsi="宋体" w:eastAsia="宋体" w:cs="宋体"/>
          <w:sz w:val="24"/>
          <w:szCs w:val="24"/>
          <w:lang w:val="en-US"/>
        </w:rPr>
      </w:pPr>
      <w:r>
        <w:rPr>
          <w:rFonts w:hint="eastAsia" w:ascii="宋体" w:hAnsi="宋体" w:eastAsia="宋体" w:cs="宋体"/>
          <w:sz w:val="24"/>
          <w:szCs w:val="24"/>
        </w:rPr>
        <w:t xml:space="preserve"> 考核内容及奖惩分值见下表：</w:t>
      </w:r>
    </w:p>
    <w:tbl>
      <w:tblPr>
        <w:tblStyle w:val="60"/>
        <w:tblW w:w="10077" w:type="dxa"/>
        <w:tblInd w:w="-333" w:type="dxa"/>
        <w:tblLayout w:type="fixed"/>
        <w:tblCellMar>
          <w:top w:w="0" w:type="dxa"/>
          <w:left w:w="108" w:type="dxa"/>
          <w:bottom w:w="0" w:type="dxa"/>
          <w:right w:w="108" w:type="dxa"/>
        </w:tblCellMar>
      </w:tblPr>
      <w:tblGrid>
        <w:gridCol w:w="755"/>
        <w:gridCol w:w="4444"/>
        <w:gridCol w:w="769"/>
        <w:gridCol w:w="2413"/>
        <w:gridCol w:w="990"/>
        <w:gridCol w:w="706"/>
      </w:tblGrid>
      <w:tr w14:paraId="76CA6B24">
        <w:tblPrEx>
          <w:tblCellMar>
            <w:top w:w="0" w:type="dxa"/>
            <w:left w:w="108" w:type="dxa"/>
            <w:bottom w:w="0" w:type="dxa"/>
            <w:right w:w="108" w:type="dxa"/>
          </w:tblCellMar>
        </w:tblPrEx>
        <w:trPr>
          <w:trHeight w:val="465" w:hRule="atLeast"/>
        </w:trPr>
        <w:tc>
          <w:tcPr>
            <w:tcW w:w="10077" w:type="dxa"/>
            <w:gridSpan w:val="6"/>
            <w:tcBorders>
              <w:top w:val="single" w:color="auto" w:sz="8" w:space="0"/>
              <w:left w:val="single" w:color="auto" w:sz="8" w:space="0"/>
              <w:bottom w:val="nil"/>
              <w:right w:val="single" w:color="000000" w:sz="8" w:space="0"/>
            </w:tcBorders>
            <w:noWrap w:val="0"/>
            <w:vAlign w:val="center"/>
          </w:tcPr>
          <w:p w14:paraId="0C041BFB">
            <w:pPr>
              <w:keepNext w:val="0"/>
              <w:keepLines w:val="0"/>
              <w:pageBreakBefore w:val="0"/>
              <w:widowControl/>
              <w:kinsoku/>
              <w:overflowPunct/>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保安服务质量考核细则</w:t>
            </w:r>
          </w:p>
        </w:tc>
      </w:tr>
      <w:tr w14:paraId="02A89978">
        <w:tblPrEx>
          <w:tblCellMar>
            <w:top w:w="0" w:type="dxa"/>
            <w:left w:w="108" w:type="dxa"/>
            <w:bottom w:w="0" w:type="dxa"/>
            <w:right w:w="108" w:type="dxa"/>
          </w:tblCellMar>
        </w:tblPrEx>
        <w:trPr>
          <w:trHeight w:val="450" w:hRule="atLeast"/>
        </w:trPr>
        <w:tc>
          <w:tcPr>
            <w:tcW w:w="10077" w:type="dxa"/>
            <w:gridSpan w:val="6"/>
            <w:tcBorders>
              <w:top w:val="nil"/>
              <w:left w:val="single" w:color="auto" w:sz="8" w:space="0"/>
              <w:bottom w:val="single" w:color="auto" w:sz="4" w:space="0"/>
              <w:right w:val="single" w:color="000000" w:sz="8" w:space="0"/>
            </w:tcBorders>
            <w:noWrap w:val="0"/>
            <w:vAlign w:val="center"/>
          </w:tcPr>
          <w:p w14:paraId="79D374F7">
            <w:pPr>
              <w:keepNext w:val="0"/>
              <w:keepLines w:val="0"/>
              <w:pageBreakBefore w:val="0"/>
              <w:widowControl/>
              <w:kinsoku/>
              <w:overflowPunct/>
              <w:bidi w:val="0"/>
              <w:spacing w:line="440" w:lineRule="exact"/>
              <w:jc w:val="righ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年 月</w:t>
            </w:r>
          </w:p>
        </w:tc>
      </w:tr>
      <w:tr w14:paraId="47B35697">
        <w:tblPrEx>
          <w:tblCellMar>
            <w:top w:w="0" w:type="dxa"/>
            <w:left w:w="108" w:type="dxa"/>
            <w:bottom w:w="0" w:type="dxa"/>
            <w:right w:w="108" w:type="dxa"/>
          </w:tblCellMar>
        </w:tblPrEx>
        <w:trPr>
          <w:trHeight w:val="585" w:hRule="atLeast"/>
        </w:trPr>
        <w:tc>
          <w:tcPr>
            <w:tcW w:w="755" w:type="dxa"/>
            <w:tcBorders>
              <w:top w:val="nil"/>
              <w:left w:val="single" w:color="auto" w:sz="8" w:space="0"/>
              <w:bottom w:val="single" w:color="auto" w:sz="4" w:space="0"/>
              <w:right w:val="single" w:color="auto" w:sz="4" w:space="0"/>
            </w:tcBorders>
            <w:noWrap w:val="0"/>
            <w:vAlign w:val="center"/>
          </w:tcPr>
          <w:p w14:paraId="59B6C70E">
            <w:pPr>
              <w:keepNext w:val="0"/>
              <w:keepLines w:val="0"/>
              <w:pageBreakBefore w:val="0"/>
              <w:widowControl/>
              <w:kinsoku/>
              <w:overflowPunct/>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5213" w:type="dxa"/>
            <w:gridSpan w:val="2"/>
            <w:tcBorders>
              <w:top w:val="nil"/>
              <w:left w:val="nil"/>
              <w:bottom w:val="single" w:color="auto" w:sz="4" w:space="0"/>
              <w:right w:val="single" w:color="auto" w:sz="4" w:space="0"/>
            </w:tcBorders>
            <w:noWrap w:val="0"/>
            <w:vAlign w:val="center"/>
          </w:tcPr>
          <w:p w14:paraId="2850CA79">
            <w:pPr>
              <w:keepNext w:val="0"/>
              <w:keepLines w:val="0"/>
              <w:pageBreakBefore w:val="0"/>
              <w:widowControl/>
              <w:kinsoku/>
              <w:overflowPunct/>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考 核 内 容</w:t>
            </w:r>
          </w:p>
        </w:tc>
        <w:tc>
          <w:tcPr>
            <w:tcW w:w="2413" w:type="dxa"/>
            <w:tcBorders>
              <w:top w:val="nil"/>
              <w:left w:val="nil"/>
              <w:bottom w:val="single" w:color="auto" w:sz="4" w:space="0"/>
              <w:right w:val="single" w:color="auto" w:sz="4" w:space="0"/>
            </w:tcBorders>
            <w:noWrap w:val="0"/>
            <w:vAlign w:val="center"/>
          </w:tcPr>
          <w:p w14:paraId="79705FB1">
            <w:pPr>
              <w:keepNext w:val="0"/>
              <w:keepLines w:val="0"/>
              <w:pageBreakBefore w:val="0"/>
              <w:widowControl/>
              <w:kinsoku/>
              <w:overflowPunct/>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扣分标准</w:t>
            </w:r>
          </w:p>
        </w:tc>
        <w:tc>
          <w:tcPr>
            <w:tcW w:w="990" w:type="dxa"/>
            <w:tcBorders>
              <w:top w:val="nil"/>
              <w:left w:val="nil"/>
              <w:bottom w:val="single" w:color="auto" w:sz="4" w:space="0"/>
              <w:right w:val="single" w:color="auto" w:sz="4" w:space="0"/>
            </w:tcBorders>
            <w:noWrap w:val="0"/>
            <w:vAlign w:val="center"/>
          </w:tcPr>
          <w:p w14:paraId="7F7DCB25">
            <w:pPr>
              <w:keepNext w:val="0"/>
              <w:keepLines w:val="0"/>
              <w:pageBreakBefore w:val="0"/>
              <w:widowControl/>
              <w:kinsoku/>
              <w:overflowPunct/>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扣 分 情 况</w:t>
            </w:r>
          </w:p>
        </w:tc>
        <w:tc>
          <w:tcPr>
            <w:tcW w:w="706" w:type="dxa"/>
            <w:tcBorders>
              <w:top w:val="nil"/>
              <w:left w:val="nil"/>
              <w:bottom w:val="single" w:color="auto" w:sz="4" w:space="0"/>
              <w:right w:val="single" w:color="auto" w:sz="8" w:space="0"/>
            </w:tcBorders>
            <w:noWrap w:val="0"/>
            <w:vAlign w:val="center"/>
          </w:tcPr>
          <w:p w14:paraId="7894179B">
            <w:pPr>
              <w:keepNext w:val="0"/>
              <w:keepLines w:val="0"/>
              <w:pageBreakBefore w:val="0"/>
              <w:widowControl/>
              <w:kinsoku/>
              <w:overflowPunct/>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考核得分</w:t>
            </w:r>
          </w:p>
        </w:tc>
      </w:tr>
      <w:tr w14:paraId="0D13B13A">
        <w:tblPrEx>
          <w:tblCellMar>
            <w:top w:w="0" w:type="dxa"/>
            <w:left w:w="108" w:type="dxa"/>
            <w:bottom w:w="0" w:type="dxa"/>
            <w:right w:w="108" w:type="dxa"/>
          </w:tblCellMar>
        </w:tblPrEx>
        <w:trPr>
          <w:trHeight w:val="2160" w:hRule="atLeast"/>
        </w:trPr>
        <w:tc>
          <w:tcPr>
            <w:tcW w:w="755" w:type="dxa"/>
            <w:vMerge w:val="restart"/>
            <w:tcBorders>
              <w:top w:val="nil"/>
              <w:left w:val="single" w:color="auto" w:sz="8" w:space="0"/>
              <w:bottom w:val="single" w:color="000000" w:sz="4" w:space="0"/>
              <w:right w:val="single" w:color="auto" w:sz="4" w:space="0"/>
            </w:tcBorders>
            <w:noWrap w:val="0"/>
            <w:vAlign w:val="top"/>
          </w:tcPr>
          <w:p w14:paraId="26946818">
            <w:pPr>
              <w:keepNext w:val="0"/>
              <w:keepLines w:val="0"/>
              <w:pageBreakBefore w:val="0"/>
              <w:widowControl/>
              <w:kinsoku/>
              <w:overflowPunct/>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一、总体要求</w:t>
            </w:r>
          </w:p>
        </w:tc>
        <w:tc>
          <w:tcPr>
            <w:tcW w:w="5213" w:type="dxa"/>
            <w:gridSpan w:val="2"/>
            <w:tcBorders>
              <w:top w:val="nil"/>
              <w:left w:val="nil"/>
              <w:bottom w:val="single" w:color="auto" w:sz="4" w:space="0"/>
              <w:right w:val="single" w:color="auto" w:sz="4" w:space="0"/>
            </w:tcBorders>
            <w:noWrap w:val="0"/>
            <w:vAlign w:val="center"/>
          </w:tcPr>
          <w:p w14:paraId="1770CF1E">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认真履行职责，严格按标书要求及承包协议中的质量保证体系做好医院的安保服务工作，确保在岗在位，各尽其职，保证符合各项服务的质量标准，确保在岗人数和服务时间，持证上岗，各岗位班次及人数符合招投标及合同规定，班次及人数不得随意更改，如特殊情况需要更改时，须征得院方同意。</w:t>
            </w:r>
          </w:p>
        </w:tc>
        <w:tc>
          <w:tcPr>
            <w:tcW w:w="2413" w:type="dxa"/>
            <w:tcBorders>
              <w:top w:val="nil"/>
              <w:left w:val="nil"/>
              <w:bottom w:val="single" w:color="auto" w:sz="4" w:space="0"/>
              <w:right w:val="single" w:color="auto" w:sz="4" w:space="0"/>
            </w:tcBorders>
            <w:noWrap w:val="0"/>
            <w:vAlign w:val="center"/>
          </w:tcPr>
          <w:p w14:paraId="0607430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如安排不当，人员不能到位影响医院正常工作的，每发现一次，按每人次扣2分，如无证上岗，每发现一次，按人次扣5分</w:t>
            </w:r>
          </w:p>
        </w:tc>
        <w:tc>
          <w:tcPr>
            <w:tcW w:w="990" w:type="dxa"/>
            <w:tcBorders>
              <w:top w:val="nil"/>
              <w:left w:val="nil"/>
              <w:bottom w:val="single" w:color="auto" w:sz="4" w:space="0"/>
              <w:right w:val="single" w:color="auto" w:sz="4" w:space="0"/>
            </w:tcBorders>
            <w:noWrap w:val="0"/>
            <w:vAlign w:val="center"/>
          </w:tcPr>
          <w:p w14:paraId="2679DB0B">
            <w:pPr>
              <w:keepNext w:val="0"/>
              <w:keepLines w:val="0"/>
              <w:pageBreakBefore w:val="0"/>
              <w:widowControl/>
              <w:kinsoku/>
              <w:overflowPunct/>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706" w:type="dxa"/>
            <w:tcBorders>
              <w:top w:val="nil"/>
              <w:left w:val="nil"/>
              <w:bottom w:val="single" w:color="auto" w:sz="4" w:space="0"/>
              <w:right w:val="single" w:color="auto" w:sz="8" w:space="0"/>
            </w:tcBorders>
            <w:noWrap w:val="0"/>
            <w:vAlign w:val="bottom"/>
          </w:tcPr>
          <w:p w14:paraId="4862CA1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F8534D8">
        <w:tblPrEx>
          <w:tblCellMar>
            <w:top w:w="0" w:type="dxa"/>
            <w:left w:w="108" w:type="dxa"/>
            <w:bottom w:w="0" w:type="dxa"/>
            <w:right w:w="108" w:type="dxa"/>
          </w:tblCellMar>
        </w:tblPrEx>
        <w:trPr>
          <w:trHeight w:val="66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71BF326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714C768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2、要求保安队伍年轻化，保安人员年龄控制在50周岁以下</w:t>
            </w:r>
          </w:p>
        </w:tc>
        <w:tc>
          <w:tcPr>
            <w:tcW w:w="2413" w:type="dxa"/>
            <w:tcBorders>
              <w:top w:val="nil"/>
              <w:left w:val="nil"/>
              <w:bottom w:val="single" w:color="auto" w:sz="4" w:space="0"/>
              <w:right w:val="single" w:color="auto" w:sz="4" w:space="0"/>
            </w:tcBorders>
            <w:noWrap w:val="0"/>
            <w:vAlign w:val="center"/>
          </w:tcPr>
          <w:p w14:paraId="642A76C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每发现一次不符，按每人次扣0.5分</w:t>
            </w:r>
          </w:p>
        </w:tc>
        <w:tc>
          <w:tcPr>
            <w:tcW w:w="990" w:type="dxa"/>
            <w:tcBorders>
              <w:top w:val="nil"/>
              <w:left w:val="nil"/>
              <w:bottom w:val="single" w:color="auto" w:sz="4" w:space="0"/>
              <w:right w:val="single" w:color="auto" w:sz="4" w:space="0"/>
            </w:tcBorders>
            <w:noWrap w:val="0"/>
            <w:vAlign w:val="center"/>
          </w:tcPr>
          <w:p w14:paraId="328B9C3E">
            <w:pPr>
              <w:keepNext w:val="0"/>
              <w:keepLines w:val="0"/>
              <w:pageBreakBefore w:val="0"/>
              <w:widowControl/>
              <w:kinsoku/>
              <w:overflowPunct/>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706" w:type="dxa"/>
            <w:tcBorders>
              <w:top w:val="nil"/>
              <w:left w:val="nil"/>
              <w:bottom w:val="single" w:color="auto" w:sz="4" w:space="0"/>
              <w:right w:val="single" w:color="auto" w:sz="8" w:space="0"/>
            </w:tcBorders>
            <w:noWrap w:val="0"/>
            <w:vAlign w:val="bottom"/>
          </w:tcPr>
          <w:p w14:paraId="7FC731B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F01C889">
        <w:tblPrEx>
          <w:tblCellMar>
            <w:top w:w="0" w:type="dxa"/>
            <w:left w:w="108" w:type="dxa"/>
            <w:bottom w:w="0" w:type="dxa"/>
            <w:right w:w="108" w:type="dxa"/>
          </w:tblCellMar>
        </w:tblPrEx>
        <w:trPr>
          <w:trHeight w:val="555"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6A7F952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2AAFB348">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3、保安人员年流失率在20%以下（包括管理人员）</w:t>
            </w:r>
          </w:p>
        </w:tc>
        <w:tc>
          <w:tcPr>
            <w:tcW w:w="2413" w:type="dxa"/>
            <w:tcBorders>
              <w:top w:val="nil"/>
              <w:left w:val="nil"/>
              <w:bottom w:val="single" w:color="auto" w:sz="4" w:space="0"/>
              <w:right w:val="single" w:color="auto" w:sz="4" w:space="0"/>
            </w:tcBorders>
            <w:noWrap w:val="0"/>
            <w:vAlign w:val="center"/>
          </w:tcPr>
          <w:p w14:paraId="34F7E930">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超过20%的，每超5%，扣2分，以此类推</w:t>
            </w:r>
          </w:p>
        </w:tc>
        <w:tc>
          <w:tcPr>
            <w:tcW w:w="990" w:type="dxa"/>
            <w:tcBorders>
              <w:top w:val="nil"/>
              <w:left w:val="nil"/>
              <w:bottom w:val="single" w:color="auto" w:sz="4" w:space="0"/>
              <w:right w:val="single" w:color="auto" w:sz="4" w:space="0"/>
            </w:tcBorders>
            <w:noWrap w:val="0"/>
            <w:vAlign w:val="bottom"/>
          </w:tcPr>
          <w:p w14:paraId="4FFC853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54C74C8E">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D86223F">
        <w:tblPrEx>
          <w:tblCellMar>
            <w:top w:w="0" w:type="dxa"/>
            <w:left w:w="108" w:type="dxa"/>
            <w:bottom w:w="0" w:type="dxa"/>
            <w:right w:w="108" w:type="dxa"/>
          </w:tblCellMar>
        </w:tblPrEx>
        <w:trPr>
          <w:trHeight w:val="1005"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2320351B">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3FA680C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4.病人及医院职工满意度≥90%</w:t>
            </w:r>
          </w:p>
        </w:tc>
        <w:tc>
          <w:tcPr>
            <w:tcW w:w="2413" w:type="dxa"/>
            <w:tcBorders>
              <w:top w:val="nil"/>
              <w:left w:val="nil"/>
              <w:bottom w:val="single" w:color="auto" w:sz="4" w:space="0"/>
              <w:right w:val="single" w:color="auto" w:sz="4" w:space="0"/>
            </w:tcBorders>
            <w:noWrap w:val="0"/>
            <w:vAlign w:val="center"/>
          </w:tcPr>
          <w:p w14:paraId="31FEC93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满意度（85%-89%)扣2分，满意度（80%-84%）扣5分，满意度低于80%，扣10分</w:t>
            </w:r>
          </w:p>
        </w:tc>
        <w:tc>
          <w:tcPr>
            <w:tcW w:w="990" w:type="dxa"/>
            <w:tcBorders>
              <w:top w:val="nil"/>
              <w:left w:val="nil"/>
              <w:bottom w:val="single" w:color="auto" w:sz="4" w:space="0"/>
              <w:right w:val="single" w:color="auto" w:sz="4" w:space="0"/>
            </w:tcBorders>
            <w:noWrap w:val="0"/>
            <w:vAlign w:val="bottom"/>
          </w:tcPr>
          <w:p w14:paraId="13E28078">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79B3803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2D3CEBC">
        <w:tblPrEx>
          <w:tblCellMar>
            <w:top w:w="0" w:type="dxa"/>
            <w:left w:w="108" w:type="dxa"/>
            <w:bottom w:w="0" w:type="dxa"/>
            <w:right w:w="108" w:type="dxa"/>
          </w:tblCellMar>
        </w:tblPrEx>
        <w:trPr>
          <w:trHeight w:val="525"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16ACD1C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61FA1A4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5.保安服务做到零投诉</w:t>
            </w:r>
          </w:p>
        </w:tc>
        <w:tc>
          <w:tcPr>
            <w:tcW w:w="2413" w:type="dxa"/>
            <w:tcBorders>
              <w:top w:val="nil"/>
              <w:left w:val="nil"/>
              <w:bottom w:val="single" w:color="auto" w:sz="4" w:space="0"/>
              <w:right w:val="single" w:color="auto" w:sz="4" w:space="0"/>
            </w:tcBorders>
            <w:noWrap w:val="0"/>
            <w:vAlign w:val="center"/>
          </w:tcPr>
          <w:p w14:paraId="0CF44D3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投诉查实保安存在问题的，每次扣2分</w:t>
            </w:r>
          </w:p>
        </w:tc>
        <w:tc>
          <w:tcPr>
            <w:tcW w:w="990" w:type="dxa"/>
            <w:tcBorders>
              <w:top w:val="nil"/>
              <w:left w:val="nil"/>
              <w:bottom w:val="single" w:color="auto" w:sz="4" w:space="0"/>
              <w:right w:val="single" w:color="auto" w:sz="4" w:space="0"/>
            </w:tcBorders>
            <w:noWrap w:val="0"/>
            <w:vAlign w:val="bottom"/>
          </w:tcPr>
          <w:p w14:paraId="2AACC40A">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1B04193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73489B9">
        <w:tblPrEx>
          <w:tblCellMar>
            <w:top w:w="0" w:type="dxa"/>
            <w:left w:w="108" w:type="dxa"/>
            <w:bottom w:w="0" w:type="dxa"/>
            <w:right w:w="108" w:type="dxa"/>
          </w:tblCellMar>
        </w:tblPrEx>
        <w:trPr>
          <w:trHeight w:val="720" w:hRule="atLeast"/>
        </w:trPr>
        <w:tc>
          <w:tcPr>
            <w:tcW w:w="755" w:type="dxa"/>
            <w:vMerge w:val="restart"/>
            <w:tcBorders>
              <w:top w:val="nil"/>
              <w:left w:val="single" w:color="auto" w:sz="8" w:space="0"/>
              <w:bottom w:val="single" w:color="000000" w:sz="4" w:space="0"/>
              <w:right w:val="single" w:color="auto" w:sz="4" w:space="0"/>
            </w:tcBorders>
            <w:noWrap w:val="0"/>
            <w:vAlign w:val="top"/>
          </w:tcPr>
          <w:p w14:paraId="7B87445C">
            <w:pPr>
              <w:keepNext w:val="0"/>
              <w:keepLines w:val="0"/>
              <w:pageBreakBefore w:val="0"/>
              <w:widowControl/>
              <w:kinsoku/>
              <w:overflowPunct/>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二、服务态度</w:t>
            </w:r>
          </w:p>
        </w:tc>
        <w:tc>
          <w:tcPr>
            <w:tcW w:w="5213" w:type="dxa"/>
            <w:gridSpan w:val="2"/>
            <w:tcBorders>
              <w:top w:val="nil"/>
              <w:left w:val="nil"/>
              <w:bottom w:val="single" w:color="auto" w:sz="4" w:space="0"/>
              <w:right w:val="single" w:color="auto" w:sz="4" w:space="0"/>
            </w:tcBorders>
            <w:noWrap w:val="0"/>
            <w:vAlign w:val="center"/>
          </w:tcPr>
          <w:p w14:paraId="287B6A1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1.执勤时注意形象、着装整洁、姿势端正、礼貌用语、服务周到，做到零投诉</w:t>
            </w:r>
          </w:p>
        </w:tc>
        <w:tc>
          <w:tcPr>
            <w:tcW w:w="2413" w:type="dxa"/>
            <w:tcBorders>
              <w:top w:val="nil"/>
              <w:left w:val="nil"/>
              <w:bottom w:val="single" w:color="auto" w:sz="4" w:space="0"/>
              <w:right w:val="single" w:color="auto" w:sz="4" w:space="0"/>
            </w:tcBorders>
            <w:noWrap w:val="0"/>
            <w:vAlign w:val="center"/>
          </w:tcPr>
          <w:p w14:paraId="6B6FD14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每发现不符一次扣1分，投诉查实保安存在问题的，每次扣2分</w:t>
            </w:r>
          </w:p>
        </w:tc>
        <w:tc>
          <w:tcPr>
            <w:tcW w:w="990" w:type="dxa"/>
            <w:tcBorders>
              <w:top w:val="nil"/>
              <w:left w:val="nil"/>
              <w:bottom w:val="single" w:color="auto" w:sz="4" w:space="0"/>
              <w:right w:val="single" w:color="auto" w:sz="4" w:space="0"/>
            </w:tcBorders>
            <w:noWrap w:val="0"/>
            <w:vAlign w:val="bottom"/>
          </w:tcPr>
          <w:p w14:paraId="65541A55">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6A2DC34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53623E4">
        <w:tblPrEx>
          <w:tblCellMar>
            <w:top w:w="0" w:type="dxa"/>
            <w:left w:w="108" w:type="dxa"/>
            <w:bottom w:w="0" w:type="dxa"/>
            <w:right w:w="108" w:type="dxa"/>
          </w:tblCellMar>
        </w:tblPrEx>
        <w:trPr>
          <w:trHeight w:val="48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220B6EE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1AFBCA0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2、不得与病人及家属吵架</w:t>
            </w:r>
          </w:p>
        </w:tc>
        <w:tc>
          <w:tcPr>
            <w:tcW w:w="2413" w:type="dxa"/>
            <w:tcBorders>
              <w:top w:val="nil"/>
              <w:left w:val="nil"/>
              <w:bottom w:val="single" w:color="auto" w:sz="4" w:space="0"/>
              <w:right w:val="single" w:color="auto" w:sz="4" w:space="0"/>
            </w:tcBorders>
            <w:noWrap w:val="0"/>
            <w:vAlign w:val="center"/>
          </w:tcPr>
          <w:p w14:paraId="5FF890F4">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经查实存在问题每次扣2分</w:t>
            </w:r>
          </w:p>
        </w:tc>
        <w:tc>
          <w:tcPr>
            <w:tcW w:w="990" w:type="dxa"/>
            <w:tcBorders>
              <w:top w:val="nil"/>
              <w:left w:val="nil"/>
              <w:bottom w:val="single" w:color="auto" w:sz="4" w:space="0"/>
              <w:right w:val="single" w:color="auto" w:sz="4" w:space="0"/>
            </w:tcBorders>
            <w:noWrap w:val="0"/>
            <w:vAlign w:val="bottom"/>
          </w:tcPr>
          <w:p w14:paraId="5CCABB2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6FB7251D">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99239EF">
        <w:tblPrEx>
          <w:tblCellMar>
            <w:top w:w="0" w:type="dxa"/>
            <w:left w:w="108" w:type="dxa"/>
            <w:bottom w:w="0" w:type="dxa"/>
            <w:right w:w="108" w:type="dxa"/>
          </w:tblCellMar>
        </w:tblPrEx>
        <w:trPr>
          <w:trHeight w:val="63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723D49A8">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278301E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3、主动为医务人员服务，杜绝生、冷、硬、推诿</w:t>
            </w:r>
          </w:p>
        </w:tc>
        <w:tc>
          <w:tcPr>
            <w:tcW w:w="2413" w:type="dxa"/>
            <w:tcBorders>
              <w:top w:val="nil"/>
              <w:left w:val="nil"/>
              <w:bottom w:val="single" w:color="auto" w:sz="4" w:space="0"/>
              <w:right w:val="single" w:color="auto" w:sz="4" w:space="0"/>
            </w:tcBorders>
            <w:noWrap w:val="0"/>
            <w:vAlign w:val="center"/>
          </w:tcPr>
          <w:p w14:paraId="6AF5D17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经查实存在问题每次扣2分</w:t>
            </w:r>
          </w:p>
        </w:tc>
        <w:tc>
          <w:tcPr>
            <w:tcW w:w="990" w:type="dxa"/>
            <w:tcBorders>
              <w:top w:val="nil"/>
              <w:left w:val="nil"/>
              <w:bottom w:val="single" w:color="auto" w:sz="4" w:space="0"/>
              <w:right w:val="single" w:color="auto" w:sz="4" w:space="0"/>
            </w:tcBorders>
            <w:noWrap w:val="0"/>
            <w:vAlign w:val="bottom"/>
          </w:tcPr>
          <w:p w14:paraId="147BB57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3E3BAC1D">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5C00DDE">
        <w:tblPrEx>
          <w:tblCellMar>
            <w:top w:w="0" w:type="dxa"/>
            <w:left w:w="108" w:type="dxa"/>
            <w:bottom w:w="0" w:type="dxa"/>
            <w:right w:w="108" w:type="dxa"/>
          </w:tblCellMar>
        </w:tblPrEx>
        <w:trPr>
          <w:trHeight w:val="57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7ACDDB3B">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5CF1041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4、员工内部互相配合、团结合作，严禁在上班时互相对骂吵架</w:t>
            </w:r>
          </w:p>
        </w:tc>
        <w:tc>
          <w:tcPr>
            <w:tcW w:w="2413" w:type="dxa"/>
            <w:tcBorders>
              <w:top w:val="nil"/>
              <w:left w:val="nil"/>
              <w:bottom w:val="single" w:color="auto" w:sz="4" w:space="0"/>
              <w:right w:val="single" w:color="auto" w:sz="4" w:space="0"/>
            </w:tcBorders>
            <w:noWrap w:val="0"/>
            <w:vAlign w:val="center"/>
          </w:tcPr>
          <w:p w14:paraId="663DBDC5">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一经发现每次扣5分</w:t>
            </w:r>
          </w:p>
        </w:tc>
        <w:tc>
          <w:tcPr>
            <w:tcW w:w="990" w:type="dxa"/>
            <w:tcBorders>
              <w:top w:val="nil"/>
              <w:left w:val="nil"/>
              <w:bottom w:val="single" w:color="auto" w:sz="4" w:space="0"/>
              <w:right w:val="single" w:color="auto" w:sz="4" w:space="0"/>
            </w:tcBorders>
            <w:noWrap w:val="0"/>
            <w:vAlign w:val="bottom"/>
          </w:tcPr>
          <w:p w14:paraId="51CDDD9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037E9B7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DF110DD">
        <w:tblPrEx>
          <w:tblCellMar>
            <w:top w:w="0" w:type="dxa"/>
            <w:left w:w="108" w:type="dxa"/>
            <w:bottom w:w="0" w:type="dxa"/>
            <w:right w:w="108" w:type="dxa"/>
          </w:tblCellMar>
        </w:tblPrEx>
        <w:trPr>
          <w:trHeight w:val="1335"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7E32A67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451B8CD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5、上班时间不得私自对病人提供有偿服务，严禁向病人索要、收受礼物及小费，对病人遗忘的物品发现后须及时上交或归还失主(有详细登记及院方证明人)</w:t>
            </w:r>
          </w:p>
        </w:tc>
        <w:tc>
          <w:tcPr>
            <w:tcW w:w="2413" w:type="dxa"/>
            <w:tcBorders>
              <w:top w:val="nil"/>
              <w:left w:val="nil"/>
              <w:bottom w:val="single" w:color="auto" w:sz="4" w:space="0"/>
              <w:right w:val="single" w:color="auto" w:sz="4" w:space="0"/>
            </w:tcBorders>
            <w:noWrap w:val="0"/>
            <w:vAlign w:val="center"/>
          </w:tcPr>
          <w:p w14:paraId="56F0D1E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如有发现责令退还钱物，并按每人次扣2分；未及时上交或归还病人遗忘物品的，每人次扣1分</w:t>
            </w:r>
          </w:p>
        </w:tc>
        <w:tc>
          <w:tcPr>
            <w:tcW w:w="990" w:type="dxa"/>
            <w:tcBorders>
              <w:top w:val="nil"/>
              <w:left w:val="nil"/>
              <w:bottom w:val="single" w:color="auto" w:sz="4" w:space="0"/>
              <w:right w:val="single" w:color="auto" w:sz="4" w:space="0"/>
            </w:tcBorders>
            <w:noWrap w:val="0"/>
            <w:vAlign w:val="bottom"/>
          </w:tcPr>
          <w:p w14:paraId="2662E05B">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6D9AF850">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CE8F701">
        <w:tblPrEx>
          <w:tblCellMar>
            <w:top w:w="0" w:type="dxa"/>
            <w:left w:w="108" w:type="dxa"/>
            <w:bottom w:w="0" w:type="dxa"/>
            <w:right w:w="108" w:type="dxa"/>
          </w:tblCellMar>
        </w:tblPrEx>
        <w:trPr>
          <w:trHeight w:val="1440" w:hRule="atLeast"/>
        </w:trPr>
        <w:tc>
          <w:tcPr>
            <w:tcW w:w="755" w:type="dxa"/>
            <w:vMerge w:val="restart"/>
            <w:tcBorders>
              <w:top w:val="nil"/>
              <w:left w:val="single" w:color="auto" w:sz="8" w:space="0"/>
              <w:bottom w:val="single" w:color="000000" w:sz="4" w:space="0"/>
              <w:right w:val="single" w:color="auto" w:sz="4" w:space="0"/>
            </w:tcBorders>
            <w:noWrap w:val="0"/>
            <w:vAlign w:val="top"/>
          </w:tcPr>
          <w:p w14:paraId="1DB6E37B">
            <w:pPr>
              <w:keepNext w:val="0"/>
              <w:keepLines w:val="0"/>
              <w:pageBreakBefore w:val="0"/>
              <w:widowControl/>
              <w:kinsoku/>
              <w:overflowPunct/>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三、工作效果、服务质量</w:t>
            </w:r>
          </w:p>
        </w:tc>
        <w:tc>
          <w:tcPr>
            <w:tcW w:w="5213" w:type="dxa"/>
            <w:gridSpan w:val="2"/>
            <w:tcBorders>
              <w:top w:val="nil"/>
              <w:left w:val="nil"/>
              <w:bottom w:val="single" w:color="auto" w:sz="4" w:space="0"/>
              <w:right w:val="single" w:color="auto" w:sz="4" w:space="0"/>
            </w:tcBorders>
            <w:noWrap w:val="0"/>
            <w:vAlign w:val="center"/>
          </w:tcPr>
          <w:p w14:paraId="5640C7C1">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1.车辆管理符合要求，进入院内的车辆按规定停放，保持整齐，院内各种通道畅通无阻，防止院内发生交通事故，（职工不按规定停放车辆有记录）</w:t>
            </w:r>
          </w:p>
        </w:tc>
        <w:tc>
          <w:tcPr>
            <w:tcW w:w="2413" w:type="dxa"/>
            <w:tcBorders>
              <w:top w:val="nil"/>
              <w:left w:val="nil"/>
              <w:bottom w:val="single" w:color="auto" w:sz="4" w:space="0"/>
              <w:right w:val="single" w:color="auto" w:sz="4" w:space="0"/>
            </w:tcBorders>
            <w:noWrap w:val="0"/>
            <w:vAlign w:val="center"/>
          </w:tcPr>
          <w:p w14:paraId="0C64CF8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车辆停放不整齐越线停放的每发现一次扣0.5分，急诊回车道停放车辆、消防通道停放车辆每发现一次扣1分</w:t>
            </w:r>
          </w:p>
        </w:tc>
        <w:tc>
          <w:tcPr>
            <w:tcW w:w="990" w:type="dxa"/>
            <w:tcBorders>
              <w:top w:val="nil"/>
              <w:left w:val="nil"/>
              <w:bottom w:val="single" w:color="auto" w:sz="4" w:space="0"/>
              <w:right w:val="single" w:color="auto" w:sz="4" w:space="0"/>
            </w:tcBorders>
            <w:noWrap w:val="0"/>
            <w:vAlign w:val="bottom"/>
          </w:tcPr>
          <w:p w14:paraId="250156D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046859B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C848481">
        <w:tblPrEx>
          <w:tblCellMar>
            <w:top w:w="0" w:type="dxa"/>
            <w:left w:w="108" w:type="dxa"/>
            <w:bottom w:w="0" w:type="dxa"/>
            <w:right w:w="108" w:type="dxa"/>
          </w:tblCellMar>
        </w:tblPrEx>
        <w:trPr>
          <w:trHeight w:val="114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10F70D6F">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5FA09931">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2.做好安全巡查工作，每班次均有巡查记录，发现不安全事件及时汇报、处理并有记录。巡查记录次月3日前上交保卫科</w:t>
            </w:r>
          </w:p>
        </w:tc>
        <w:tc>
          <w:tcPr>
            <w:tcW w:w="2413" w:type="dxa"/>
            <w:tcBorders>
              <w:top w:val="nil"/>
              <w:left w:val="nil"/>
              <w:bottom w:val="single" w:color="auto" w:sz="4" w:space="0"/>
              <w:right w:val="single" w:color="auto" w:sz="4" w:space="0"/>
            </w:tcBorders>
            <w:noWrap w:val="0"/>
            <w:vAlign w:val="center"/>
          </w:tcPr>
          <w:p w14:paraId="0D09D52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一处不符每次扣0.5分</w:t>
            </w:r>
          </w:p>
        </w:tc>
        <w:tc>
          <w:tcPr>
            <w:tcW w:w="990" w:type="dxa"/>
            <w:tcBorders>
              <w:top w:val="nil"/>
              <w:left w:val="nil"/>
              <w:bottom w:val="single" w:color="auto" w:sz="4" w:space="0"/>
              <w:right w:val="single" w:color="auto" w:sz="4" w:space="0"/>
            </w:tcBorders>
            <w:noWrap w:val="0"/>
            <w:vAlign w:val="bottom"/>
          </w:tcPr>
          <w:p w14:paraId="100297CF">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77BBADD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4EE3DAD">
        <w:tblPrEx>
          <w:tblCellMar>
            <w:top w:w="0" w:type="dxa"/>
            <w:left w:w="108" w:type="dxa"/>
            <w:bottom w:w="0" w:type="dxa"/>
            <w:right w:w="108" w:type="dxa"/>
          </w:tblCellMar>
        </w:tblPrEx>
        <w:trPr>
          <w:trHeight w:val="96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4F4F6A4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51F29FC4">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3.各种监控设备保持完好，随时检查，每班一次有值班记录，发现问题及时维修，并记录。记录次月3日前上交保卫科</w:t>
            </w:r>
          </w:p>
        </w:tc>
        <w:tc>
          <w:tcPr>
            <w:tcW w:w="2413" w:type="dxa"/>
            <w:tcBorders>
              <w:top w:val="nil"/>
              <w:left w:val="nil"/>
              <w:bottom w:val="single" w:color="auto" w:sz="4" w:space="0"/>
              <w:right w:val="single" w:color="auto" w:sz="4" w:space="0"/>
            </w:tcBorders>
            <w:noWrap w:val="0"/>
            <w:vAlign w:val="center"/>
          </w:tcPr>
          <w:p w14:paraId="5162296B">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一处不符每次扣0.5分</w:t>
            </w:r>
          </w:p>
        </w:tc>
        <w:tc>
          <w:tcPr>
            <w:tcW w:w="990" w:type="dxa"/>
            <w:tcBorders>
              <w:top w:val="nil"/>
              <w:left w:val="nil"/>
              <w:bottom w:val="single" w:color="auto" w:sz="4" w:space="0"/>
              <w:right w:val="single" w:color="auto" w:sz="4" w:space="0"/>
            </w:tcBorders>
            <w:noWrap w:val="0"/>
            <w:vAlign w:val="bottom"/>
          </w:tcPr>
          <w:p w14:paraId="1C932FC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42ECA560">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5F08BB4">
        <w:tblPrEx>
          <w:tblCellMar>
            <w:top w:w="0" w:type="dxa"/>
            <w:left w:w="108" w:type="dxa"/>
            <w:bottom w:w="0" w:type="dxa"/>
            <w:right w:w="108" w:type="dxa"/>
          </w:tblCellMar>
        </w:tblPrEx>
        <w:trPr>
          <w:trHeight w:val="645"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37BD81D0">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21D9DAB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4.各重点保卫部门报警状况每周检查，检查结果有记录。</w:t>
            </w:r>
          </w:p>
        </w:tc>
        <w:tc>
          <w:tcPr>
            <w:tcW w:w="2413" w:type="dxa"/>
            <w:tcBorders>
              <w:top w:val="nil"/>
              <w:left w:val="nil"/>
              <w:bottom w:val="single" w:color="auto" w:sz="4" w:space="0"/>
              <w:right w:val="single" w:color="auto" w:sz="4" w:space="0"/>
            </w:tcBorders>
            <w:noWrap w:val="0"/>
            <w:vAlign w:val="center"/>
          </w:tcPr>
          <w:p w14:paraId="01DD0CB5">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每缺一次扣0.5分</w:t>
            </w:r>
          </w:p>
        </w:tc>
        <w:tc>
          <w:tcPr>
            <w:tcW w:w="990" w:type="dxa"/>
            <w:tcBorders>
              <w:top w:val="nil"/>
              <w:left w:val="nil"/>
              <w:bottom w:val="single" w:color="auto" w:sz="4" w:space="0"/>
              <w:right w:val="single" w:color="auto" w:sz="4" w:space="0"/>
            </w:tcBorders>
            <w:noWrap w:val="0"/>
            <w:vAlign w:val="bottom"/>
          </w:tcPr>
          <w:p w14:paraId="03A9783A">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6DF6B2DA">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42EE3BF">
        <w:tblPrEx>
          <w:tblCellMar>
            <w:top w:w="0" w:type="dxa"/>
            <w:left w:w="108" w:type="dxa"/>
            <w:bottom w:w="0" w:type="dxa"/>
            <w:right w:w="108" w:type="dxa"/>
          </w:tblCellMar>
        </w:tblPrEx>
        <w:trPr>
          <w:trHeight w:val="615"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18FA480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5C5DAE78">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5.院内现金交接保安护送按规定要求执行</w:t>
            </w:r>
          </w:p>
        </w:tc>
        <w:tc>
          <w:tcPr>
            <w:tcW w:w="2413" w:type="dxa"/>
            <w:tcBorders>
              <w:top w:val="nil"/>
              <w:left w:val="nil"/>
              <w:bottom w:val="single" w:color="auto" w:sz="4" w:space="0"/>
              <w:right w:val="single" w:color="auto" w:sz="4" w:space="0"/>
            </w:tcBorders>
            <w:noWrap w:val="0"/>
            <w:vAlign w:val="center"/>
          </w:tcPr>
          <w:p w14:paraId="51B908C0">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每缺一次扣1分</w:t>
            </w:r>
          </w:p>
        </w:tc>
        <w:tc>
          <w:tcPr>
            <w:tcW w:w="990" w:type="dxa"/>
            <w:tcBorders>
              <w:top w:val="nil"/>
              <w:left w:val="nil"/>
              <w:bottom w:val="single" w:color="auto" w:sz="4" w:space="0"/>
              <w:right w:val="single" w:color="auto" w:sz="4" w:space="0"/>
            </w:tcBorders>
            <w:noWrap w:val="0"/>
            <w:vAlign w:val="bottom"/>
          </w:tcPr>
          <w:p w14:paraId="529D00F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446DADFE">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4D8AF52">
        <w:tblPrEx>
          <w:tblCellMar>
            <w:top w:w="0" w:type="dxa"/>
            <w:left w:w="108" w:type="dxa"/>
            <w:bottom w:w="0" w:type="dxa"/>
            <w:right w:w="108" w:type="dxa"/>
          </w:tblCellMar>
        </w:tblPrEx>
        <w:trPr>
          <w:trHeight w:val="117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4343C7DB">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7F7B4CD5">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6.发生火灾、火险、失窃及治安纠纷应及时赶到现场，及时报警，并有记录。采取必要处置措施，对重大公害事故要保护现场。</w:t>
            </w:r>
          </w:p>
        </w:tc>
        <w:tc>
          <w:tcPr>
            <w:tcW w:w="2413" w:type="dxa"/>
            <w:tcBorders>
              <w:top w:val="nil"/>
              <w:left w:val="nil"/>
              <w:bottom w:val="single" w:color="auto" w:sz="4" w:space="0"/>
              <w:right w:val="single" w:color="auto" w:sz="4" w:space="0"/>
            </w:tcBorders>
            <w:noWrap w:val="0"/>
            <w:vAlign w:val="center"/>
          </w:tcPr>
          <w:p w14:paraId="7D9D6F2F">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无记录每次扣0.5分，紧急情况处理不到位扣5分</w:t>
            </w:r>
          </w:p>
        </w:tc>
        <w:tc>
          <w:tcPr>
            <w:tcW w:w="990" w:type="dxa"/>
            <w:tcBorders>
              <w:top w:val="nil"/>
              <w:left w:val="nil"/>
              <w:bottom w:val="single" w:color="auto" w:sz="4" w:space="0"/>
              <w:right w:val="single" w:color="auto" w:sz="4" w:space="0"/>
            </w:tcBorders>
            <w:noWrap w:val="0"/>
            <w:vAlign w:val="bottom"/>
          </w:tcPr>
          <w:p w14:paraId="05AF831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2FC0A0F0">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B83BCFE">
        <w:tblPrEx>
          <w:tblCellMar>
            <w:top w:w="0" w:type="dxa"/>
            <w:left w:w="108" w:type="dxa"/>
            <w:bottom w:w="0" w:type="dxa"/>
            <w:right w:w="108" w:type="dxa"/>
          </w:tblCellMar>
        </w:tblPrEx>
        <w:trPr>
          <w:trHeight w:val="72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68EC5B34">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30F83237">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7.治安工作：每月一次进行全院全面排查，及时上报排查记录表。</w:t>
            </w:r>
          </w:p>
        </w:tc>
        <w:tc>
          <w:tcPr>
            <w:tcW w:w="2413" w:type="dxa"/>
            <w:tcBorders>
              <w:top w:val="nil"/>
              <w:left w:val="nil"/>
              <w:bottom w:val="single" w:color="auto" w:sz="4" w:space="0"/>
              <w:right w:val="single" w:color="auto" w:sz="4" w:space="0"/>
            </w:tcBorders>
            <w:noWrap w:val="0"/>
            <w:vAlign w:val="center"/>
          </w:tcPr>
          <w:p w14:paraId="0796F59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未开展排查每次扣1分，无记录每次扣0.5分</w:t>
            </w:r>
          </w:p>
        </w:tc>
        <w:tc>
          <w:tcPr>
            <w:tcW w:w="990" w:type="dxa"/>
            <w:tcBorders>
              <w:top w:val="nil"/>
              <w:left w:val="nil"/>
              <w:bottom w:val="single" w:color="auto" w:sz="4" w:space="0"/>
              <w:right w:val="single" w:color="auto" w:sz="4" w:space="0"/>
            </w:tcBorders>
            <w:noWrap w:val="0"/>
            <w:vAlign w:val="bottom"/>
          </w:tcPr>
          <w:p w14:paraId="52C48C7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56440964">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259C9E0">
        <w:tblPrEx>
          <w:tblCellMar>
            <w:top w:w="0" w:type="dxa"/>
            <w:left w:w="108" w:type="dxa"/>
            <w:bottom w:w="0" w:type="dxa"/>
            <w:right w:w="108" w:type="dxa"/>
          </w:tblCellMar>
        </w:tblPrEx>
        <w:trPr>
          <w:trHeight w:val="642"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3A3A650A">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42301985">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8.做好全院保卫工作,定时巡查,及时发现安全隐患;监控监视人员认真负责，切实做好防盗工作</w:t>
            </w:r>
          </w:p>
        </w:tc>
        <w:tc>
          <w:tcPr>
            <w:tcW w:w="2413" w:type="dxa"/>
            <w:tcBorders>
              <w:top w:val="nil"/>
              <w:left w:val="nil"/>
              <w:bottom w:val="single" w:color="auto" w:sz="4" w:space="0"/>
              <w:right w:val="single" w:color="auto" w:sz="4" w:space="0"/>
            </w:tcBorders>
            <w:noWrap w:val="0"/>
            <w:vAlign w:val="center"/>
          </w:tcPr>
          <w:p w14:paraId="3622EF1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由于工作不负责任，不到位造成医院或病员财物失窃每次扣1-5分</w:t>
            </w:r>
          </w:p>
        </w:tc>
        <w:tc>
          <w:tcPr>
            <w:tcW w:w="990" w:type="dxa"/>
            <w:tcBorders>
              <w:top w:val="nil"/>
              <w:left w:val="nil"/>
              <w:bottom w:val="single" w:color="auto" w:sz="4" w:space="0"/>
              <w:right w:val="single" w:color="auto" w:sz="4" w:space="0"/>
            </w:tcBorders>
            <w:noWrap w:val="0"/>
            <w:vAlign w:val="bottom"/>
          </w:tcPr>
          <w:p w14:paraId="7EC0A60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1615068A">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EB2A115">
        <w:tblPrEx>
          <w:tblCellMar>
            <w:top w:w="0" w:type="dxa"/>
            <w:left w:w="108" w:type="dxa"/>
            <w:bottom w:w="0" w:type="dxa"/>
            <w:right w:w="108" w:type="dxa"/>
          </w:tblCellMar>
        </w:tblPrEx>
        <w:trPr>
          <w:trHeight w:val="96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0BA3593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5016A254">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9.维护良好的医疗环境和医疗秩序，阻止号贩子和“医托”在院内活动，配合公安机关和有关部门打击号贩子和“医托”；</w:t>
            </w:r>
          </w:p>
        </w:tc>
        <w:tc>
          <w:tcPr>
            <w:tcW w:w="2413" w:type="dxa"/>
            <w:tcBorders>
              <w:top w:val="nil"/>
              <w:left w:val="nil"/>
              <w:bottom w:val="single" w:color="auto" w:sz="4" w:space="0"/>
              <w:right w:val="single" w:color="auto" w:sz="4" w:space="0"/>
            </w:tcBorders>
            <w:noWrap w:val="0"/>
            <w:vAlign w:val="center"/>
          </w:tcPr>
          <w:p w14:paraId="138B079E">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工作不到位扣1-5分</w:t>
            </w:r>
          </w:p>
        </w:tc>
        <w:tc>
          <w:tcPr>
            <w:tcW w:w="990" w:type="dxa"/>
            <w:tcBorders>
              <w:top w:val="nil"/>
              <w:left w:val="nil"/>
              <w:bottom w:val="single" w:color="auto" w:sz="4" w:space="0"/>
              <w:right w:val="single" w:color="auto" w:sz="4" w:space="0"/>
            </w:tcBorders>
            <w:noWrap w:val="0"/>
            <w:vAlign w:val="bottom"/>
          </w:tcPr>
          <w:p w14:paraId="13BE686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72954FC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F8EF44A">
        <w:tblPrEx>
          <w:tblCellMar>
            <w:top w:w="0" w:type="dxa"/>
            <w:left w:w="108" w:type="dxa"/>
            <w:bottom w:w="0" w:type="dxa"/>
            <w:right w:w="108" w:type="dxa"/>
          </w:tblCellMar>
        </w:tblPrEx>
        <w:trPr>
          <w:trHeight w:val="75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01C9502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36EA9013">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10.院内发生重大纠纷时必须及时赶到现场保护医务人员,维持医疗秩序</w:t>
            </w:r>
          </w:p>
        </w:tc>
        <w:tc>
          <w:tcPr>
            <w:tcW w:w="2413" w:type="dxa"/>
            <w:tcBorders>
              <w:top w:val="nil"/>
              <w:left w:val="nil"/>
              <w:bottom w:val="single" w:color="auto" w:sz="4" w:space="0"/>
              <w:right w:val="single" w:color="auto" w:sz="4" w:space="0"/>
            </w:tcBorders>
            <w:noWrap w:val="0"/>
            <w:vAlign w:val="center"/>
          </w:tcPr>
          <w:p w14:paraId="205FC995">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未及时赶到或保护不力的扣5-10分</w:t>
            </w:r>
          </w:p>
        </w:tc>
        <w:tc>
          <w:tcPr>
            <w:tcW w:w="990" w:type="dxa"/>
            <w:tcBorders>
              <w:top w:val="nil"/>
              <w:left w:val="nil"/>
              <w:bottom w:val="single" w:color="auto" w:sz="4" w:space="0"/>
              <w:right w:val="single" w:color="auto" w:sz="4" w:space="0"/>
            </w:tcBorders>
            <w:noWrap w:val="0"/>
            <w:vAlign w:val="bottom"/>
          </w:tcPr>
          <w:p w14:paraId="2DBC1B00">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706" w:type="dxa"/>
            <w:tcBorders>
              <w:top w:val="nil"/>
              <w:left w:val="nil"/>
              <w:bottom w:val="single" w:color="auto" w:sz="4" w:space="0"/>
              <w:right w:val="single" w:color="auto" w:sz="8" w:space="0"/>
            </w:tcBorders>
            <w:noWrap w:val="0"/>
            <w:vAlign w:val="bottom"/>
          </w:tcPr>
          <w:p w14:paraId="27C534D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r>
      <w:tr w14:paraId="2D0DDAB7">
        <w:tblPrEx>
          <w:tblCellMar>
            <w:top w:w="0" w:type="dxa"/>
            <w:left w:w="108" w:type="dxa"/>
            <w:bottom w:w="0" w:type="dxa"/>
            <w:right w:w="108" w:type="dxa"/>
          </w:tblCellMar>
        </w:tblPrEx>
        <w:trPr>
          <w:trHeight w:val="630" w:hRule="atLeast"/>
        </w:trPr>
        <w:tc>
          <w:tcPr>
            <w:tcW w:w="755" w:type="dxa"/>
            <w:vMerge w:val="continue"/>
            <w:tcBorders>
              <w:top w:val="nil"/>
              <w:left w:val="single" w:color="auto" w:sz="8" w:space="0"/>
              <w:bottom w:val="single" w:color="000000" w:sz="4" w:space="0"/>
              <w:right w:val="single" w:color="auto" w:sz="4" w:space="0"/>
            </w:tcBorders>
            <w:noWrap w:val="0"/>
            <w:vAlign w:val="center"/>
          </w:tcPr>
          <w:p w14:paraId="299FB43B">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318B12D1">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11.被上级部门检查通报问责的</w:t>
            </w:r>
          </w:p>
        </w:tc>
        <w:tc>
          <w:tcPr>
            <w:tcW w:w="2413" w:type="dxa"/>
            <w:tcBorders>
              <w:top w:val="nil"/>
              <w:left w:val="nil"/>
              <w:bottom w:val="single" w:color="auto" w:sz="4" w:space="0"/>
              <w:right w:val="single" w:color="auto" w:sz="4" w:space="0"/>
            </w:tcBorders>
            <w:noWrap w:val="0"/>
            <w:vAlign w:val="center"/>
          </w:tcPr>
          <w:p w14:paraId="33036B1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按照检查通报的问题扣5-10分</w:t>
            </w:r>
          </w:p>
        </w:tc>
        <w:tc>
          <w:tcPr>
            <w:tcW w:w="990" w:type="dxa"/>
            <w:tcBorders>
              <w:top w:val="nil"/>
              <w:left w:val="nil"/>
              <w:bottom w:val="single" w:color="auto" w:sz="4" w:space="0"/>
              <w:right w:val="single" w:color="auto" w:sz="4" w:space="0"/>
            </w:tcBorders>
            <w:noWrap w:val="0"/>
            <w:vAlign w:val="bottom"/>
          </w:tcPr>
          <w:p w14:paraId="267DA87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4D8C3ECD">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1CAB952D">
        <w:tblPrEx>
          <w:tblCellMar>
            <w:top w:w="0" w:type="dxa"/>
            <w:left w:w="108" w:type="dxa"/>
            <w:bottom w:w="0" w:type="dxa"/>
            <w:right w:w="108" w:type="dxa"/>
          </w:tblCellMar>
        </w:tblPrEx>
        <w:trPr>
          <w:trHeight w:val="1171" w:hRule="atLeast"/>
        </w:trPr>
        <w:tc>
          <w:tcPr>
            <w:tcW w:w="755" w:type="dxa"/>
            <w:vMerge w:val="restart"/>
            <w:tcBorders>
              <w:top w:val="nil"/>
              <w:left w:val="single" w:color="auto" w:sz="8" w:space="0"/>
              <w:bottom w:val="nil"/>
              <w:right w:val="single" w:color="auto" w:sz="4" w:space="0"/>
            </w:tcBorders>
            <w:noWrap w:val="0"/>
            <w:vAlign w:val="top"/>
          </w:tcPr>
          <w:p w14:paraId="4510C6BE">
            <w:pPr>
              <w:keepNext w:val="0"/>
              <w:keepLines w:val="0"/>
              <w:pageBreakBefore w:val="0"/>
              <w:widowControl/>
              <w:kinsoku/>
              <w:overflowPunct/>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四、在职在岗情况</w:t>
            </w:r>
          </w:p>
        </w:tc>
        <w:tc>
          <w:tcPr>
            <w:tcW w:w="5213" w:type="dxa"/>
            <w:gridSpan w:val="2"/>
            <w:tcBorders>
              <w:top w:val="nil"/>
              <w:left w:val="nil"/>
              <w:bottom w:val="single" w:color="auto" w:sz="4" w:space="0"/>
              <w:right w:val="single" w:color="auto" w:sz="4" w:space="0"/>
            </w:tcBorders>
            <w:noWrap w:val="0"/>
            <w:vAlign w:val="center"/>
          </w:tcPr>
          <w:p w14:paraId="6E80A50E">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1.严格劳动纪律，每月及时上交排班表，不迟到不早退；严格交接班制度，工作人员不得超时上班</w:t>
            </w:r>
          </w:p>
        </w:tc>
        <w:tc>
          <w:tcPr>
            <w:tcW w:w="2413" w:type="dxa"/>
            <w:tcBorders>
              <w:top w:val="nil"/>
              <w:left w:val="nil"/>
              <w:bottom w:val="single" w:color="auto" w:sz="4" w:space="0"/>
              <w:right w:val="single" w:color="auto" w:sz="4" w:space="0"/>
            </w:tcBorders>
            <w:noWrap w:val="0"/>
            <w:vAlign w:val="center"/>
          </w:tcPr>
          <w:p w14:paraId="6455FC8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每发现迟到、早退一次扣1分，发现有缺岗每人次扣2分，超时的发现一次扣5-10分</w:t>
            </w:r>
          </w:p>
        </w:tc>
        <w:tc>
          <w:tcPr>
            <w:tcW w:w="990" w:type="dxa"/>
            <w:tcBorders>
              <w:top w:val="nil"/>
              <w:left w:val="nil"/>
              <w:bottom w:val="single" w:color="auto" w:sz="4" w:space="0"/>
              <w:right w:val="single" w:color="auto" w:sz="4" w:space="0"/>
            </w:tcBorders>
            <w:noWrap w:val="0"/>
            <w:vAlign w:val="bottom"/>
          </w:tcPr>
          <w:p w14:paraId="737E1D3E">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223A1348">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09DD422">
        <w:tblPrEx>
          <w:tblCellMar>
            <w:top w:w="0" w:type="dxa"/>
            <w:left w:w="108" w:type="dxa"/>
            <w:bottom w:w="0" w:type="dxa"/>
            <w:right w:w="108" w:type="dxa"/>
          </w:tblCellMar>
        </w:tblPrEx>
        <w:trPr>
          <w:trHeight w:val="1155" w:hRule="atLeast"/>
        </w:trPr>
        <w:tc>
          <w:tcPr>
            <w:tcW w:w="755" w:type="dxa"/>
            <w:vMerge w:val="continue"/>
            <w:tcBorders>
              <w:top w:val="nil"/>
              <w:left w:val="single" w:color="auto" w:sz="8" w:space="0"/>
              <w:bottom w:val="nil"/>
              <w:right w:val="single" w:color="auto" w:sz="4" w:space="0"/>
            </w:tcBorders>
            <w:noWrap w:val="0"/>
            <w:vAlign w:val="center"/>
          </w:tcPr>
          <w:p w14:paraId="532B21FB">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3BA32C6D">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2.消控人员24小时双岗持证上岗，每班有值班记录，异常情况能及时正确处理，有记录，并及时汇报上级领导。消控记录次月3日前上交保卫科</w:t>
            </w:r>
          </w:p>
        </w:tc>
        <w:tc>
          <w:tcPr>
            <w:tcW w:w="2413" w:type="dxa"/>
            <w:tcBorders>
              <w:top w:val="nil"/>
              <w:left w:val="nil"/>
              <w:bottom w:val="single" w:color="auto" w:sz="4" w:space="0"/>
              <w:right w:val="single" w:color="auto" w:sz="4" w:space="0"/>
            </w:tcBorders>
            <w:noWrap w:val="0"/>
            <w:vAlign w:val="center"/>
          </w:tcPr>
          <w:p w14:paraId="0DE15D38">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一处不符合扣0.5分         消控人员无证上岗每发现一次扣5分</w:t>
            </w:r>
          </w:p>
        </w:tc>
        <w:tc>
          <w:tcPr>
            <w:tcW w:w="990" w:type="dxa"/>
            <w:tcBorders>
              <w:top w:val="nil"/>
              <w:left w:val="nil"/>
              <w:bottom w:val="single" w:color="auto" w:sz="4" w:space="0"/>
              <w:right w:val="single" w:color="auto" w:sz="4" w:space="0"/>
            </w:tcBorders>
            <w:noWrap w:val="0"/>
            <w:vAlign w:val="bottom"/>
          </w:tcPr>
          <w:p w14:paraId="2E20673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3623678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0E17185">
        <w:tblPrEx>
          <w:tblCellMar>
            <w:top w:w="0" w:type="dxa"/>
            <w:left w:w="108" w:type="dxa"/>
            <w:bottom w:w="0" w:type="dxa"/>
            <w:right w:w="108" w:type="dxa"/>
          </w:tblCellMar>
        </w:tblPrEx>
        <w:trPr>
          <w:trHeight w:val="645" w:hRule="atLeast"/>
        </w:trPr>
        <w:tc>
          <w:tcPr>
            <w:tcW w:w="755" w:type="dxa"/>
            <w:vMerge w:val="continue"/>
            <w:tcBorders>
              <w:top w:val="nil"/>
              <w:left w:val="single" w:color="auto" w:sz="8" w:space="0"/>
              <w:bottom w:val="nil"/>
              <w:right w:val="single" w:color="auto" w:sz="4" w:space="0"/>
            </w:tcBorders>
            <w:noWrap w:val="0"/>
            <w:vAlign w:val="center"/>
          </w:tcPr>
          <w:p w14:paraId="228423C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6447375E">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3.上班期间必须在职在岗，严禁上班打瞌睡、擅离职守、脱岗</w:t>
            </w:r>
          </w:p>
        </w:tc>
        <w:tc>
          <w:tcPr>
            <w:tcW w:w="2413" w:type="dxa"/>
            <w:tcBorders>
              <w:top w:val="nil"/>
              <w:left w:val="nil"/>
              <w:bottom w:val="single" w:color="auto" w:sz="4" w:space="0"/>
              <w:right w:val="single" w:color="auto" w:sz="4" w:space="0"/>
            </w:tcBorders>
            <w:noWrap w:val="0"/>
            <w:vAlign w:val="center"/>
          </w:tcPr>
          <w:p w14:paraId="75430B9F">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每发现一次扣2分</w:t>
            </w:r>
          </w:p>
        </w:tc>
        <w:tc>
          <w:tcPr>
            <w:tcW w:w="990" w:type="dxa"/>
            <w:tcBorders>
              <w:top w:val="nil"/>
              <w:left w:val="nil"/>
              <w:bottom w:val="single" w:color="auto" w:sz="4" w:space="0"/>
              <w:right w:val="single" w:color="auto" w:sz="4" w:space="0"/>
            </w:tcBorders>
            <w:noWrap w:val="0"/>
            <w:vAlign w:val="bottom"/>
          </w:tcPr>
          <w:p w14:paraId="1C42198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1F8A38F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594D04E">
        <w:tblPrEx>
          <w:tblCellMar>
            <w:top w:w="0" w:type="dxa"/>
            <w:left w:w="108" w:type="dxa"/>
            <w:bottom w:w="0" w:type="dxa"/>
            <w:right w:w="108" w:type="dxa"/>
          </w:tblCellMar>
        </w:tblPrEx>
        <w:trPr>
          <w:trHeight w:val="690" w:hRule="atLeast"/>
        </w:trPr>
        <w:tc>
          <w:tcPr>
            <w:tcW w:w="755" w:type="dxa"/>
            <w:vMerge w:val="continue"/>
            <w:tcBorders>
              <w:top w:val="nil"/>
              <w:left w:val="single" w:color="auto" w:sz="8" w:space="0"/>
              <w:bottom w:val="nil"/>
              <w:right w:val="single" w:color="auto" w:sz="4" w:space="0"/>
            </w:tcBorders>
            <w:noWrap w:val="0"/>
            <w:vAlign w:val="center"/>
          </w:tcPr>
          <w:p w14:paraId="5A775985">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7D011940">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4.严禁上班干私活、聊天、在工作场所接待与工作无关人员</w:t>
            </w:r>
          </w:p>
        </w:tc>
        <w:tc>
          <w:tcPr>
            <w:tcW w:w="2413" w:type="dxa"/>
            <w:tcBorders>
              <w:top w:val="nil"/>
              <w:left w:val="nil"/>
              <w:bottom w:val="single" w:color="auto" w:sz="4" w:space="0"/>
              <w:right w:val="single" w:color="auto" w:sz="4" w:space="0"/>
            </w:tcBorders>
            <w:noWrap w:val="0"/>
            <w:vAlign w:val="center"/>
          </w:tcPr>
          <w:p w14:paraId="4FCB6E20">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每发现一次扣1分</w:t>
            </w:r>
          </w:p>
        </w:tc>
        <w:tc>
          <w:tcPr>
            <w:tcW w:w="990" w:type="dxa"/>
            <w:tcBorders>
              <w:top w:val="nil"/>
              <w:left w:val="nil"/>
              <w:bottom w:val="single" w:color="auto" w:sz="4" w:space="0"/>
              <w:right w:val="single" w:color="auto" w:sz="4" w:space="0"/>
            </w:tcBorders>
            <w:noWrap w:val="0"/>
            <w:vAlign w:val="bottom"/>
          </w:tcPr>
          <w:p w14:paraId="2642109F">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71E4C3E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B6599B3">
        <w:tblPrEx>
          <w:tblCellMar>
            <w:top w:w="0" w:type="dxa"/>
            <w:left w:w="108" w:type="dxa"/>
            <w:bottom w:w="0" w:type="dxa"/>
            <w:right w:w="108" w:type="dxa"/>
          </w:tblCellMar>
        </w:tblPrEx>
        <w:trPr>
          <w:trHeight w:val="1440" w:hRule="atLeast"/>
        </w:trPr>
        <w:tc>
          <w:tcPr>
            <w:tcW w:w="755" w:type="dxa"/>
            <w:vMerge w:val="continue"/>
            <w:tcBorders>
              <w:top w:val="nil"/>
              <w:left w:val="single" w:color="auto" w:sz="8" w:space="0"/>
              <w:bottom w:val="nil"/>
              <w:right w:val="single" w:color="auto" w:sz="4" w:space="0"/>
            </w:tcBorders>
            <w:noWrap w:val="0"/>
            <w:vAlign w:val="center"/>
          </w:tcPr>
          <w:p w14:paraId="2F1886D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6C572687">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5.监控室除值勤人员和管理人员外，其他人员禁止进入，调阅监控必须经保卫科长（含）以上同意或公安部门发函通知，调阅或复制录像必须进行详细登记，监控室禁止放置与工作无关的其他物品</w:t>
            </w:r>
          </w:p>
        </w:tc>
        <w:tc>
          <w:tcPr>
            <w:tcW w:w="2413" w:type="dxa"/>
            <w:tcBorders>
              <w:top w:val="nil"/>
              <w:left w:val="nil"/>
              <w:bottom w:val="single" w:color="auto" w:sz="4" w:space="0"/>
              <w:right w:val="single" w:color="auto" w:sz="4" w:space="0"/>
            </w:tcBorders>
            <w:noWrap w:val="0"/>
            <w:vAlign w:val="center"/>
          </w:tcPr>
          <w:p w14:paraId="2F7EFA6B">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每发现一次扣2分</w:t>
            </w:r>
          </w:p>
        </w:tc>
        <w:tc>
          <w:tcPr>
            <w:tcW w:w="990" w:type="dxa"/>
            <w:tcBorders>
              <w:top w:val="nil"/>
              <w:left w:val="nil"/>
              <w:bottom w:val="single" w:color="auto" w:sz="4" w:space="0"/>
              <w:right w:val="single" w:color="auto" w:sz="4" w:space="0"/>
            </w:tcBorders>
            <w:noWrap w:val="0"/>
            <w:vAlign w:val="bottom"/>
          </w:tcPr>
          <w:p w14:paraId="5F31DE07">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05C8B72F">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F5D0816">
        <w:tblPrEx>
          <w:tblCellMar>
            <w:top w:w="0" w:type="dxa"/>
            <w:left w:w="108" w:type="dxa"/>
            <w:bottom w:w="0" w:type="dxa"/>
            <w:right w:w="108" w:type="dxa"/>
          </w:tblCellMar>
        </w:tblPrEx>
        <w:trPr>
          <w:trHeight w:val="569" w:hRule="atLeast"/>
        </w:trPr>
        <w:tc>
          <w:tcPr>
            <w:tcW w:w="755" w:type="dxa"/>
            <w:vMerge w:val="restart"/>
            <w:tcBorders>
              <w:top w:val="single" w:color="auto" w:sz="4" w:space="0"/>
              <w:left w:val="single" w:color="auto" w:sz="8" w:space="0"/>
              <w:bottom w:val="nil"/>
              <w:right w:val="single" w:color="auto" w:sz="4" w:space="0"/>
            </w:tcBorders>
            <w:noWrap w:val="0"/>
            <w:vAlign w:val="top"/>
          </w:tcPr>
          <w:p w14:paraId="13658E22">
            <w:pPr>
              <w:keepNext w:val="0"/>
              <w:keepLines w:val="0"/>
              <w:pageBreakBefore w:val="0"/>
              <w:widowControl/>
              <w:kinsoku/>
              <w:overflowPunct/>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五、制度执行情况</w:t>
            </w:r>
          </w:p>
        </w:tc>
        <w:tc>
          <w:tcPr>
            <w:tcW w:w="5213" w:type="dxa"/>
            <w:gridSpan w:val="2"/>
            <w:tcBorders>
              <w:top w:val="nil"/>
              <w:left w:val="nil"/>
              <w:bottom w:val="single" w:color="auto" w:sz="4" w:space="0"/>
              <w:right w:val="single" w:color="auto" w:sz="4" w:space="0"/>
            </w:tcBorders>
            <w:noWrap w:val="0"/>
            <w:vAlign w:val="center"/>
          </w:tcPr>
          <w:p w14:paraId="385D8A9D">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1.严格遵守国家法律法规及保安管理条例</w:t>
            </w:r>
          </w:p>
        </w:tc>
        <w:tc>
          <w:tcPr>
            <w:tcW w:w="2413" w:type="dxa"/>
            <w:tcBorders>
              <w:top w:val="nil"/>
              <w:left w:val="nil"/>
              <w:bottom w:val="single" w:color="auto" w:sz="4" w:space="0"/>
              <w:right w:val="single" w:color="auto" w:sz="4" w:space="0"/>
            </w:tcBorders>
            <w:noWrap w:val="0"/>
            <w:vAlign w:val="center"/>
          </w:tcPr>
          <w:p w14:paraId="5C4994E4">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每发现一次扣2分</w:t>
            </w:r>
          </w:p>
        </w:tc>
        <w:tc>
          <w:tcPr>
            <w:tcW w:w="990" w:type="dxa"/>
            <w:tcBorders>
              <w:top w:val="nil"/>
              <w:left w:val="nil"/>
              <w:bottom w:val="single" w:color="auto" w:sz="4" w:space="0"/>
              <w:right w:val="single" w:color="auto" w:sz="4" w:space="0"/>
            </w:tcBorders>
            <w:noWrap w:val="0"/>
            <w:vAlign w:val="bottom"/>
          </w:tcPr>
          <w:p w14:paraId="3242E4E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2B487BE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36D0C5C5">
        <w:tblPrEx>
          <w:tblCellMar>
            <w:top w:w="0" w:type="dxa"/>
            <w:left w:w="108" w:type="dxa"/>
            <w:bottom w:w="0" w:type="dxa"/>
            <w:right w:w="108" w:type="dxa"/>
          </w:tblCellMar>
        </w:tblPrEx>
        <w:trPr>
          <w:trHeight w:val="510" w:hRule="atLeast"/>
        </w:trPr>
        <w:tc>
          <w:tcPr>
            <w:tcW w:w="755" w:type="dxa"/>
            <w:vMerge w:val="continue"/>
            <w:tcBorders>
              <w:top w:val="single" w:color="auto" w:sz="4" w:space="0"/>
              <w:left w:val="single" w:color="auto" w:sz="8" w:space="0"/>
              <w:bottom w:val="nil"/>
              <w:right w:val="single" w:color="auto" w:sz="4" w:space="0"/>
            </w:tcBorders>
            <w:noWrap w:val="0"/>
            <w:vAlign w:val="center"/>
          </w:tcPr>
          <w:p w14:paraId="759E60F3">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30360A35">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2.遵守医院的规章制度，</w:t>
            </w:r>
          </w:p>
        </w:tc>
        <w:tc>
          <w:tcPr>
            <w:tcW w:w="2413" w:type="dxa"/>
            <w:tcBorders>
              <w:top w:val="nil"/>
              <w:left w:val="nil"/>
              <w:bottom w:val="single" w:color="auto" w:sz="4" w:space="0"/>
              <w:right w:val="single" w:color="auto" w:sz="4" w:space="0"/>
            </w:tcBorders>
            <w:noWrap w:val="0"/>
            <w:vAlign w:val="center"/>
          </w:tcPr>
          <w:p w14:paraId="47F08734">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每发现一次扣2分</w:t>
            </w:r>
          </w:p>
        </w:tc>
        <w:tc>
          <w:tcPr>
            <w:tcW w:w="990" w:type="dxa"/>
            <w:tcBorders>
              <w:top w:val="nil"/>
              <w:left w:val="nil"/>
              <w:bottom w:val="single" w:color="auto" w:sz="4" w:space="0"/>
              <w:right w:val="single" w:color="auto" w:sz="4" w:space="0"/>
            </w:tcBorders>
            <w:noWrap w:val="0"/>
            <w:vAlign w:val="bottom"/>
          </w:tcPr>
          <w:p w14:paraId="52F5436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213DF0C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43BCB5B">
        <w:tblPrEx>
          <w:tblCellMar>
            <w:top w:w="0" w:type="dxa"/>
            <w:left w:w="108" w:type="dxa"/>
            <w:bottom w:w="0" w:type="dxa"/>
            <w:right w:w="108" w:type="dxa"/>
          </w:tblCellMar>
        </w:tblPrEx>
        <w:trPr>
          <w:trHeight w:val="403" w:hRule="atLeast"/>
        </w:trPr>
        <w:tc>
          <w:tcPr>
            <w:tcW w:w="755" w:type="dxa"/>
            <w:vMerge w:val="continue"/>
            <w:tcBorders>
              <w:top w:val="single" w:color="auto" w:sz="4" w:space="0"/>
              <w:left w:val="single" w:color="auto" w:sz="8" w:space="0"/>
              <w:bottom w:val="nil"/>
              <w:right w:val="single" w:color="auto" w:sz="4" w:space="0"/>
            </w:tcBorders>
            <w:noWrap w:val="0"/>
            <w:vAlign w:val="center"/>
          </w:tcPr>
          <w:p w14:paraId="6765AD65">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04C94962">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3.严格执行当地消防部门的各项规章制度</w:t>
            </w:r>
          </w:p>
        </w:tc>
        <w:tc>
          <w:tcPr>
            <w:tcW w:w="2413" w:type="dxa"/>
            <w:tcBorders>
              <w:top w:val="nil"/>
              <w:left w:val="nil"/>
              <w:bottom w:val="single" w:color="auto" w:sz="4" w:space="0"/>
              <w:right w:val="single" w:color="auto" w:sz="4" w:space="0"/>
            </w:tcBorders>
            <w:noWrap w:val="0"/>
            <w:vAlign w:val="center"/>
          </w:tcPr>
          <w:p w14:paraId="30BAEE04">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每发现一次扣2分</w:t>
            </w:r>
          </w:p>
        </w:tc>
        <w:tc>
          <w:tcPr>
            <w:tcW w:w="990" w:type="dxa"/>
            <w:tcBorders>
              <w:top w:val="nil"/>
              <w:left w:val="nil"/>
              <w:bottom w:val="single" w:color="auto" w:sz="4" w:space="0"/>
              <w:right w:val="single" w:color="auto" w:sz="4" w:space="0"/>
            </w:tcBorders>
            <w:noWrap w:val="0"/>
            <w:vAlign w:val="bottom"/>
          </w:tcPr>
          <w:p w14:paraId="53CFC248">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2737A26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D261B34">
        <w:tblPrEx>
          <w:tblCellMar>
            <w:top w:w="0" w:type="dxa"/>
            <w:left w:w="108" w:type="dxa"/>
            <w:bottom w:w="0" w:type="dxa"/>
            <w:right w:w="108" w:type="dxa"/>
          </w:tblCellMar>
        </w:tblPrEx>
        <w:trPr>
          <w:trHeight w:val="423" w:hRule="atLeast"/>
        </w:trPr>
        <w:tc>
          <w:tcPr>
            <w:tcW w:w="755" w:type="dxa"/>
            <w:vMerge w:val="continue"/>
            <w:tcBorders>
              <w:top w:val="single" w:color="auto" w:sz="4" w:space="0"/>
              <w:left w:val="single" w:color="auto" w:sz="8" w:space="0"/>
              <w:bottom w:val="nil"/>
              <w:right w:val="single" w:color="auto" w:sz="4" w:space="0"/>
            </w:tcBorders>
            <w:noWrap w:val="0"/>
            <w:vAlign w:val="center"/>
          </w:tcPr>
          <w:p w14:paraId="772A2B1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0157D0B1">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4.严格执行当地公安部门的各项规章制度</w:t>
            </w:r>
          </w:p>
        </w:tc>
        <w:tc>
          <w:tcPr>
            <w:tcW w:w="2413" w:type="dxa"/>
            <w:tcBorders>
              <w:top w:val="nil"/>
              <w:left w:val="nil"/>
              <w:bottom w:val="single" w:color="auto" w:sz="4" w:space="0"/>
              <w:right w:val="single" w:color="auto" w:sz="4" w:space="0"/>
            </w:tcBorders>
            <w:noWrap w:val="0"/>
            <w:vAlign w:val="center"/>
          </w:tcPr>
          <w:p w14:paraId="1078BAE4">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每发现一次扣2分</w:t>
            </w:r>
          </w:p>
        </w:tc>
        <w:tc>
          <w:tcPr>
            <w:tcW w:w="990" w:type="dxa"/>
            <w:tcBorders>
              <w:top w:val="nil"/>
              <w:left w:val="nil"/>
              <w:bottom w:val="single" w:color="auto" w:sz="4" w:space="0"/>
              <w:right w:val="single" w:color="auto" w:sz="4" w:space="0"/>
            </w:tcBorders>
            <w:noWrap w:val="0"/>
            <w:vAlign w:val="bottom"/>
          </w:tcPr>
          <w:p w14:paraId="05E472A1">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67A9E506">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979E028">
        <w:tblPrEx>
          <w:tblCellMar>
            <w:top w:w="0" w:type="dxa"/>
            <w:left w:w="108" w:type="dxa"/>
            <w:bottom w:w="0" w:type="dxa"/>
            <w:right w:w="108" w:type="dxa"/>
          </w:tblCellMar>
        </w:tblPrEx>
        <w:trPr>
          <w:trHeight w:val="675" w:hRule="atLeast"/>
        </w:trPr>
        <w:tc>
          <w:tcPr>
            <w:tcW w:w="755" w:type="dxa"/>
            <w:vMerge w:val="continue"/>
            <w:tcBorders>
              <w:top w:val="single" w:color="auto" w:sz="4" w:space="0"/>
              <w:left w:val="single" w:color="auto" w:sz="8" w:space="0"/>
              <w:bottom w:val="nil"/>
              <w:right w:val="single" w:color="auto" w:sz="4" w:space="0"/>
            </w:tcBorders>
            <w:noWrap w:val="0"/>
            <w:vAlign w:val="center"/>
          </w:tcPr>
          <w:p w14:paraId="558FA4BD">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p>
        </w:tc>
        <w:tc>
          <w:tcPr>
            <w:tcW w:w="5213" w:type="dxa"/>
            <w:gridSpan w:val="2"/>
            <w:tcBorders>
              <w:top w:val="nil"/>
              <w:left w:val="nil"/>
              <w:bottom w:val="single" w:color="auto" w:sz="4" w:space="0"/>
              <w:right w:val="single" w:color="auto" w:sz="4" w:space="0"/>
            </w:tcBorders>
            <w:noWrap w:val="0"/>
            <w:vAlign w:val="center"/>
          </w:tcPr>
          <w:p w14:paraId="34C0F326">
            <w:pPr>
              <w:keepNext w:val="0"/>
              <w:keepLines w:val="0"/>
              <w:pageBreakBefore w:val="0"/>
              <w:widowControl/>
              <w:kinsoku/>
              <w:overflowPunct/>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5.保安队必须制定切实可行的内部管理的规章制度,并认真贯彻执行</w:t>
            </w:r>
          </w:p>
        </w:tc>
        <w:tc>
          <w:tcPr>
            <w:tcW w:w="2413" w:type="dxa"/>
            <w:tcBorders>
              <w:top w:val="nil"/>
              <w:left w:val="nil"/>
              <w:bottom w:val="single" w:color="auto" w:sz="4" w:space="0"/>
              <w:right w:val="single" w:color="auto" w:sz="4" w:space="0"/>
            </w:tcBorders>
            <w:noWrap w:val="0"/>
            <w:vAlign w:val="center"/>
          </w:tcPr>
          <w:p w14:paraId="373CA469">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每发现一次扣2分</w:t>
            </w:r>
          </w:p>
        </w:tc>
        <w:tc>
          <w:tcPr>
            <w:tcW w:w="990" w:type="dxa"/>
            <w:tcBorders>
              <w:top w:val="nil"/>
              <w:left w:val="nil"/>
              <w:bottom w:val="single" w:color="auto" w:sz="4" w:space="0"/>
              <w:right w:val="single" w:color="auto" w:sz="4" w:space="0"/>
            </w:tcBorders>
            <w:noWrap w:val="0"/>
            <w:vAlign w:val="bottom"/>
          </w:tcPr>
          <w:p w14:paraId="571065FA">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6" w:type="dxa"/>
            <w:tcBorders>
              <w:top w:val="nil"/>
              <w:left w:val="nil"/>
              <w:bottom w:val="single" w:color="auto" w:sz="4" w:space="0"/>
              <w:right w:val="single" w:color="auto" w:sz="8" w:space="0"/>
            </w:tcBorders>
            <w:noWrap w:val="0"/>
            <w:vAlign w:val="bottom"/>
          </w:tcPr>
          <w:p w14:paraId="73801968">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9F09646">
        <w:tblPrEx>
          <w:tblCellMar>
            <w:top w:w="0" w:type="dxa"/>
            <w:left w:w="108" w:type="dxa"/>
            <w:bottom w:w="0" w:type="dxa"/>
            <w:right w:w="108" w:type="dxa"/>
          </w:tblCellMar>
        </w:tblPrEx>
        <w:trPr>
          <w:trHeight w:val="658" w:hRule="atLeast"/>
        </w:trPr>
        <w:tc>
          <w:tcPr>
            <w:tcW w:w="10077" w:type="dxa"/>
            <w:gridSpan w:val="6"/>
            <w:tcBorders>
              <w:top w:val="single" w:color="auto" w:sz="4" w:space="0"/>
              <w:left w:val="single" w:color="auto" w:sz="8" w:space="0"/>
              <w:bottom w:val="single" w:color="auto" w:sz="4" w:space="0"/>
              <w:right w:val="single" w:color="000000" w:sz="8" w:space="0"/>
            </w:tcBorders>
            <w:noWrap w:val="0"/>
            <w:vAlign w:val="center"/>
          </w:tcPr>
          <w:p w14:paraId="5DDE4115">
            <w:pPr>
              <w:keepNext w:val="0"/>
              <w:keepLines w:val="0"/>
              <w:pageBreakBefore w:val="0"/>
              <w:widowControl/>
              <w:kinsoku/>
              <w:overflowPunct/>
              <w:bidi w:val="0"/>
              <w:spacing w:line="440" w:lineRule="exact"/>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扣分总计：  分，合计金额（大写）：人民币</w:t>
            </w:r>
          </w:p>
        </w:tc>
      </w:tr>
      <w:tr w14:paraId="45B6AE14">
        <w:tblPrEx>
          <w:tblCellMar>
            <w:top w:w="0" w:type="dxa"/>
            <w:left w:w="108" w:type="dxa"/>
            <w:bottom w:w="0" w:type="dxa"/>
            <w:right w:w="108" w:type="dxa"/>
          </w:tblCellMar>
        </w:tblPrEx>
        <w:trPr>
          <w:trHeight w:val="540" w:hRule="atLeast"/>
        </w:trPr>
        <w:tc>
          <w:tcPr>
            <w:tcW w:w="10077" w:type="dxa"/>
            <w:gridSpan w:val="6"/>
            <w:tcBorders>
              <w:top w:val="single" w:color="auto" w:sz="4" w:space="0"/>
              <w:left w:val="single" w:color="auto" w:sz="4" w:space="0"/>
              <w:bottom w:val="single" w:color="auto" w:sz="4" w:space="0"/>
              <w:right w:val="single" w:color="auto" w:sz="4" w:space="0"/>
            </w:tcBorders>
            <w:noWrap w:val="0"/>
            <w:vAlign w:val="center"/>
          </w:tcPr>
          <w:p w14:paraId="232B2E6C">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考评小组签名：</w:t>
            </w:r>
          </w:p>
        </w:tc>
      </w:tr>
      <w:tr w14:paraId="56B472FF">
        <w:tblPrEx>
          <w:tblCellMar>
            <w:top w:w="0" w:type="dxa"/>
            <w:left w:w="108" w:type="dxa"/>
            <w:bottom w:w="0" w:type="dxa"/>
            <w:right w:w="108" w:type="dxa"/>
          </w:tblCellMar>
        </w:tblPrEx>
        <w:trPr>
          <w:trHeight w:val="510" w:hRule="atLeast"/>
        </w:trPr>
        <w:tc>
          <w:tcPr>
            <w:tcW w:w="10077" w:type="dxa"/>
            <w:gridSpan w:val="6"/>
            <w:tcBorders>
              <w:top w:val="single" w:color="auto" w:sz="4" w:space="0"/>
              <w:left w:val="single" w:color="auto" w:sz="4" w:space="0"/>
              <w:bottom w:val="single" w:color="auto" w:sz="4" w:space="0"/>
              <w:right w:val="single" w:color="auto" w:sz="4" w:space="0"/>
            </w:tcBorders>
            <w:noWrap w:val="0"/>
            <w:vAlign w:val="center"/>
          </w:tcPr>
          <w:p w14:paraId="3E80DB02">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保安队长签名：</w:t>
            </w:r>
          </w:p>
        </w:tc>
      </w:tr>
      <w:tr w14:paraId="3AF88685">
        <w:tblPrEx>
          <w:tblCellMar>
            <w:top w:w="0" w:type="dxa"/>
            <w:left w:w="108" w:type="dxa"/>
            <w:bottom w:w="0" w:type="dxa"/>
            <w:right w:w="108" w:type="dxa"/>
          </w:tblCellMar>
        </w:tblPrEx>
        <w:trPr>
          <w:trHeight w:val="555" w:hRule="atLeast"/>
        </w:trPr>
        <w:tc>
          <w:tcPr>
            <w:tcW w:w="5199" w:type="dxa"/>
            <w:gridSpan w:val="2"/>
            <w:tcBorders>
              <w:top w:val="single" w:color="auto" w:sz="4" w:space="0"/>
              <w:left w:val="single" w:color="auto" w:sz="4" w:space="0"/>
              <w:bottom w:val="single" w:color="auto" w:sz="4" w:space="0"/>
              <w:right w:val="nil"/>
            </w:tcBorders>
            <w:noWrap w:val="0"/>
            <w:vAlign w:val="center"/>
          </w:tcPr>
          <w:p w14:paraId="6855E86F">
            <w:pPr>
              <w:keepNext w:val="0"/>
              <w:keepLines w:val="0"/>
              <w:pageBreakBefore w:val="0"/>
              <w:widowControl/>
              <w:kinsoku/>
              <w:overflowPunct/>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甲方：桐庐县第二人民医院</w:t>
            </w:r>
          </w:p>
        </w:tc>
        <w:tc>
          <w:tcPr>
            <w:tcW w:w="4878" w:type="dxa"/>
            <w:gridSpan w:val="4"/>
            <w:tcBorders>
              <w:top w:val="single" w:color="auto" w:sz="4" w:space="0"/>
              <w:left w:val="nil"/>
              <w:bottom w:val="single" w:color="auto" w:sz="4" w:space="0"/>
              <w:right w:val="single" w:color="000000" w:sz="4" w:space="0"/>
            </w:tcBorders>
            <w:noWrap w:val="0"/>
            <w:vAlign w:val="center"/>
          </w:tcPr>
          <w:p w14:paraId="56226D23">
            <w:pPr>
              <w:keepNext w:val="0"/>
              <w:keepLines w:val="0"/>
              <w:pageBreakBefore w:val="0"/>
              <w:widowControl/>
              <w:kinsoku/>
              <w:overflowPunct/>
              <w:bidi w:val="0"/>
              <w:spacing w:line="440" w:lineRule="exact"/>
              <w:ind w:firstLine="360" w:firstLineChars="1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乙方：</w:t>
            </w:r>
          </w:p>
        </w:tc>
      </w:tr>
    </w:tbl>
    <w:p w14:paraId="34B88F6E">
      <w:pPr>
        <w:widowControl/>
        <w:adjustRightInd/>
        <w:jc w:val="left"/>
        <w:rPr>
          <w:rFonts w:cs="仿宋_GB2312" w:asciiTheme="minorEastAsia" w:hAnsiTheme="minorEastAsia" w:eastAsiaTheme="minorEastAsia"/>
          <w:b/>
          <w:color w:val="auto"/>
          <w:sz w:val="36"/>
          <w:szCs w:val="36"/>
        </w:rPr>
      </w:pPr>
    </w:p>
    <w:p w14:paraId="6862FA76">
      <w:pPr>
        <w:adjustRightInd/>
        <w:spacing w:line="360" w:lineRule="auto"/>
        <w:jc w:val="center"/>
        <w:outlineLvl w:val="0"/>
        <w:rPr>
          <w:rFonts w:hint="eastAsia" w:cs="仿宋_GB2312" w:asciiTheme="minorEastAsia" w:hAnsiTheme="minorEastAsia" w:eastAsiaTheme="minorEastAsia"/>
          <w:b/>
          <w:color w:val="auto"/>
          <w:sz w:val="36"/>
          <w:szCs w:val="36"/>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461A5C3B">
      <w:pPr>
        <w:adjustRightInd/>
        <w:spacing w:line="360" w:lineRule="auto"/>
        <w:jc w:val="center"/>
        <w:outlineLvl w:val="0"/>
        <w:rPr>
          <w:rFonts w:hint="eastAsia" w:cs="仿宋_GB2312" w:asciiTheme="minorEastAsia" w:hAnsiTheme="minorEastAsia" w:eastAsiaTheme="minorEastAsia"/>
          <w:b/>
          <w:color w:val="auto"/>
          <w:sz w:val="36"/>
          <w:szCs w:val="36"/>
        </w:rPr>
      </w:pPr>
    </w:p>
    <w:p w14:paraId="72BE66F0">
      <w:pPr>
        <w:adjustRightInd/>
        <w:spacing w:line="360" w:lineRule="auto"/>
        <w:jc w:val="center"/>
        <w:outlineLvl w:val="0"/>
        <w:rPr>
          <w:rFonts w:hint="eastAsia" w:cs="仿宋_GB2312" w:asciiTheme="minorEastAsia" w:hAnsiTheme="minorEastAsia" w:eastAsiaTheme="minorEastAsia"/>
          <w:b/>
          <w:color w:val="auto"/>
          <w:sz w:val="36"/>
          <w:szCs w:val="36"/>
        </w:rPr>
      </w:pPr>
    </w:p>
    <w:p w14:paraId="3A60B30D">
      <w:pPr>
        <w:adjustRightInd/>
        <w:spacing w:line="360" w:lineRule="auto"/>
        <w:jc w:val="center"/>
        <w:outlineLvl w:val="0"/>
        <w:rPr>
          <w:rFonts w:hint="eastAsia" w:cs="仿宋_GB2312" w:asciiTheme="minorEastAsia" w:hAnsiTheme="minorEastAsia" w:eastAsiaTheme="minorEastAsia"/>
          <w:b/>
          <w:color w:val="auto"/>
          <w:sz w:val="36"/>
          <w:szCs w:val="36"/>
        </w:rPr>
      </w:pPr>
    </w:p>
    <w:p w14:paraId="63F38D25">
      <w:pPr>
        <w:adjustRightInd/>
        <w:spacing w:line="360" w:lineRule="auto"/>
        <w:jc w:val="center"/>
        <w:outlineLvl w:val="0"/>
        <w:rPr>
          <w:rFonts w:hint="eastAsia" w:cs="仿宋_GB2312" w:asciiTheme="minorEastAsia" w:hAnsiTheme="minorEastAsia" w:eastAsiaTheme="minorEastAsia"/>
          <w:b/>
          <w:color w:val="auto"/>
          <w:sz w:val="36"/>
          <w:szCs w:val="36"/>
        </w:rPr>
      </w:pPr>
    </w:p>
    <w:p w14:paraId="2D4BA77D">
      <w:pPr>
        <w:adjustRightInd/>
        <w:spacing w:line="360" w:lineRule="auto"/>
        <w:jc w:val="center"/>
        <w:outlineLvl w:val="0"/>
        <w:rPr>
          <w:rFonts w:hint="eastAsia" w:cs="仿宋_GB2312" w:asciiTheme="minorEastAsia" w:hAnsiTheme="minorEastAsia" w:eastAsiaTheme="minorEastAsia"/>
          <w:b/>
          <w:color w:val="auto"/>
          <w:sz w:val="36"/>
          <w:szCs w:val="36"/>
        </w:rPr>
      </w:pPr>
    </w:p>
    <w:p w14:paraId="39364BD7">
      <w:pPr>
        <w:adjustRightInd/>
        <w:spacing w:line="360" w:lineRule="auto"/>
        <w:jc w:val="center"/>
        <w:outlineLvl w:val="0"/>
        <w:rPr>
          <w:rFonts w:hint="eastAsia" w:cs="仿宋_GB2312" w:asciiTheme="minorEastAsia" w:hAnsiTheme="minorEastAsia" w:eastAsiaTheme="minorEastAsia"/>
          <w:b/>
          <w:color w:val="auto"/>
          <w:sz w:val="36"/>
          <w:szCs w:val="36"/>
        </w:rPr>
      </w:pPr>
    </w:p>
    <w:p w14:paraId="5444B214">
      <w:pPr>
        <w:adjustRightInd/>
        <w:spacing w:line="360" w:lineRule="auto"/>
        <w:jc w:val="center"/>
        <w:outlineLvl w:val="0"/>
        <w:rPr>
          <w:rFonts w:hint="eastAsia" w:cs="仿宋_GB2312" w:asciiTheme="minorEastAsia" w:hAnsiTheme="minorEastAsia" w:eastAsiaTheme="minorEastAsia"/>
          <w:b/>
          <w:color w:val="auto"/>
          <w:sz w:val="36"/>
          <w:szCs w:val="36"/>
        </w:rPr>
      </w:pPr>
    </w:p>
    <w:p w14:paraId="4DFD59CA">
      <w:pPr>
        <w:adjustRightInd/>
        <w:spacing w:line="360" w:lineRule="auto"/>
        <w:jc w:val="center"/>
        <w:outlineLvl w:val="0"/>
        <w:rPr>
          <w:rFonts w:hint="eastAsia" w:cs="仿宋_GB2312" w:asciiTheme="minorEastAsia" w:hAnsiTheme="minorEastAsia" w:eastAsiaTheme="minorEastAsia"/>
          <w:b/>
          <w:color w:val="auto"/>
          <w:sz w:val="36"/>
          <w:szCs w:val="36"/>
        </w:rPr>
      </w:pP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59"/>
      <w:bookmarkEnd w:id="60"/>
      <w:bookmarkStart w:id="85"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6832"/>
        <w:gridCol w:w="737"/>
        <w:gridCol w:w="1363"/>
      </w:tblGrid>
      <w:tr w14:paraId="71B3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34D96FCD">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6832" w:type="dxa"/>
            <w:vAlign w:val="center"/>
          </w:tcPr>
          <w:p w14:paraId="1989BD37">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737" w:type="dxa"/>
            <w:vAlign w:val="center"/>
          </w:tcPr>
          <w:p w14:paraId="16C5C8C0">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1363" w:type="dxa"/>
            <w:vAlign w:val="center"/>
          </w:tcPr>
          <w:p w14:paraId="71B6CA56">
            <w:pPr>
              <w:pStyle w:val="393"/>
              <w:spacing w:before="0"/>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r>
      <w:tr w14:paraId="2EB3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95184D5">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w:t>
            </w:r>
          </w:p>
        </w:tc>
        <w:tc>
          <w:tcPr>
            <w:tcW w:w="6832" w:type="dxa"/>
            <w:vAlign w:val="center"/>
          </w:tcPr>
          <w:p w14:paraId="26E2774F">
            <w:pPr>
              <w:pStyle w:val="393"/>
              <w:spacing w:before="0"/>
              <w:ind w:firstLine="0" w:firstLineChars="0"/>
              <w:jc w:val="both"/>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投标人具备《保安工作人员职责》、《保安交接班制度》、《保安队伍例会制度》、《保安员义务消防队方案》、《保安员突发事件处置预案》、《队伍培训管理方案》、《队伍绩效考核管理》《保安员等级考核管理制度》等考核规章制度，根据考核规章制度是否完整，能否体现制度约束力，等级管理考核制度是否完善进行综合评价。</w:t>
            </w:r>
          </w:p>
        </w:tc>
        <w:tc>
          <w:tcPr>
            <w:tcW w:w="737" w:type="dxa"/>
            <w:vAlign w:val="center"/>
          </w:tcPr>
          <w:p w14:paraId="13322176">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363" w:type="dxa"/>
            <w:vAlign w:val="center"/>
          </w:tcPr>
          <w:p w14:paraId="54EAFAE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客观分</w:t>
            </w:r>
          </w:p>
        </w:tc>
      </w:tr>
      <w:tr w14:paraId="26FA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33B6B3C0">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6832" w:type="dxa"/>
            <w:vAlign w:val="center"/>
          </w:tcPr>
          <w:p w14:paraId="738D9254">
            <w:pPr>
              <w:pStyle w:val="393"/>
              <w:spacing w:before="0"/>
              <w:ind w:firstLine="0" w:firstLineChars="0"/>
              <w:jc w:val="both"/>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保安队长具有大专或以上文化程度的得1分，是退伍军人的得1分，需提供履历表及证明（格式自拟）。本项合计最高得</w:t>
            </w:r>
            <w:r>
              <w:rPr>
                <w:rFonts w:hint="eastAsia" w:cs="仿宋_GB2312" w:asciiTheme="minorEastAsia" w:hAnsiTheme="minorEastAsia" w:eastAsiaTheme="minorEastAsia"/>
                <w:color w:val="auto"/>
                <w:szCs w:val="24"/>
                <w:lang w:val="en-US" w:eastAsia="zh-CN"/>
              </w:rPr>
              <w:t>2</w:t>
            </w:r>
            <w:r>
              <w:rPr>
                <w:rFonts w:hint="eastAsia" w:cs="仿宋_GB2312" w:asciiTheme="minorEastAsia" w:hAnsiTheme="minorEastAsia" w:eastAsiaTheme="minorEastAsia"/>
                <w:color w:val="auto"/>
                <w:szCs w:val="24"/>
              </w:rPr>
              <w:t>分。</w:t>
            </w:r>
          </w:p>
        </w:tc>
        <w:tc>
          <w:tcPr>
            <w:tcW w:w="737" w:type="dxa"/>
            <w:vAlign w:val="center"/>
          </w:tcPr>
          <w:p w14:paraId="1986086B">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1363" w:type="dxa"/>
            <w:vAlign w:val="center"/>
          </w:tcPr>
          <w:p w14:paraId="693DC88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客观分</w:t>
            </w:r>
          </w:p>
        </w:tc>
      </w:tr>
      <w:tr w14:paraId="3EB9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C7E3B8E">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6832" w:type="dxa"/>
            <w:vAlign w:val="center"/>
          </w:tcPr>
          <w:p w14:paraId="5744B086">
            <w:pPr>
              <w:pStyle w:val="393"/>
              <w:spacing w:before="0"/>
              <w:ind w:firstLine="0" w:firstLineChars="0"/>
              <w:jc w:val="both"/>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投标人具有人社部颁发的《保安员职业资格证》高级保安员资格证的每本得2分；最高得8分。</w:t>
            </w:r>
          </w:p>
          <w:p w14:paraId="48040405">
            <w:pPr>
              <w:pStyle w:val="393"/>
              <w:spacing w:before="0"/>
              <w:ind w:firstLine="0" w:firstLineChars="0"/>
              <w:jc w:val="both"/>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凭劳动合同或单位缴纳社保证明、相关证明材料复印件加盖公章得分。</w:t>
            </w:r>
          </w:p>
        </w:tc>
        <w:tc>
          <w:tcPr>
            <w:tcW w:w="737" w:type="dxa"/>
            <w:vAlign w:val="center"/>
          </w:tcPr>
          <w:p w14:paraId="7BBE3F6E">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8</w:t>
            </w:r>
          </w:p>
        </w:tc>
        <w:tc>
          <w:tcPr>
            <w:tcW w:w="1363" w:type="dxa"/>
            <w:vAlign w:val="center"/>
          </w:tcPr>
          <w:p w14:paraId="289828C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客观分</w:t>
            </w:r>
          </w:p>
        </w:tc>
      </w:tr>
      <w:tr w14:paraId="4E9F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F96A851">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6832" w:type="dxa"/>
            <w:vAlign w:val="center"/>
          </w:tcPr>
          <w:p w14:paraId="761FA5EB">
            <w:pPr>
              <w:pStyle w:val="393"/>
              <w:spacing w:before="0"/>
              <w:ind w:firstLine="0" w:firstLineChars="0"/>
              <w:jc w:val="both"/>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从业人员具有有关部门颁发的</w:t>
            </w:r>
            <w:r>
              <w:rPr>
                <w:rFonts w:hint="eastAsia" w:cs="仿宋_GB2312" w:asciiTheme="minorEastAsia" w:hAnsiTheme="minorEastAsia" w:eastAsiaTheme="minorEastAsia"/>
                <w:color w:val="auto"/>
                <w:szCs w:val="24"/>
                <w:lang w:val="en-US" w:eastAsia="zh-CN"/>
              </w:rPr>
              <w:t>中级消控</w:t>
            </w:r>
            <w:r>
              <w:rPr>
                <w:rFonts w:hint="eastAsia" w:cs="仿宋_GB2312" w:asciiTheme="minorEastAsia" w:hAnsiTheme="minorEastAsia" w:eastAsiaTheme="minorEastAsia"/>
                <w:color w:val="auto"/>
                <w:szCs w:val="24"/>
              </w:rPr>
              <w:t>证的</w:t>
            </w:r>
            <w:r>
              <w:rPr>
                <w:rFonts w:hint="eastAsia" w:cs="仿宋_GB2312" w:asciiTheme="minorEastAsia" w:hAnsiTheme="minorEastAsia" w:eastAsiaTheme="minorEastAsia"/>
                <w:color w:val="auto"/>
                <w:szCs w:val="24"/>
                <w:lang w:eastAsia="zh-CN"/>
              </w:rPr>
              <w:t>，</w:t>
            </w:r>
            <w:r>
              <w:rPr>
                <w:rFonts w:hint="eastAsia" w:cs="仿宋_GB2312" w:asciiTheme="minorEastAsia" w:hAnsiTheme="minorEastAsia" w:eastAsiaTheme="minorEastAsia"/>
                <w:color w:val="auto"/>
                <w:szCs w:val="24"/>
                <w:lang w:val="en-US" w:eastAsia="zh-CN"/>
              </w:rPr>
              <w:t>每个得2分，最高</w:t>
            </w:r>
            <w:r>
              <w:rPr>
                <w:rFonts w:hint="eastAsia" w:cs="仿宋_GB2312" w:asciiTheme="minorEastAsia" w:hAnsiTheme="minorEastAsia" w:eastAsiaTheme="minorEastAsia"/>
                <w:color w:val="auto"/>
                <w:szCs w:val="24"/>
              </w:rPr>
              <w:t>得</w:t>
            </w:r>
            <w:r>
              <w:rPr>
                <w:rFonts w:hint="eastAsia" w:cs="仿宋_GB2312" w:asciiTheme="minorEastAsia" w:hAnsiTheme="minorEastAsia" w:eastAsiaTheme="minorEastAsia"/>
                <w:color w:val="auto"/>
                <w:szCs w:val="24"/>
                <w:lang w:val="en-US" w:eastAsia="zh-CN"/>
              </w:rPr>
              <w:t>4</w:t>
            </w:r>
            <w:r>
              <w:rPr>
                <w:rFonts w:hint="eastAsia" w:cs="仿宋_GB2312" w:asciiTheme="minorEastAsia" w:hAnsiTheme="minorEastAsia" w:eastAsiaTheme="minorEastAsia"/>
                <w:color w:val="auto"/>
                <w:szCs w:val="24"/>
              </w:rPr>
              <w:t>分，凭证书及劳动合同或单位缴纳社保证明，相关证明材料复印件加盖公章得分。</w:t>
            </w:r>
          </w:p>
        </w:tc>
        <w:tc>
          <w:tcPr>
            <w:tcW w:w="737" w:type="dxa"/>
            <w:vAlign w:val="center"/>
          </w:tcPr>
          <w:p w14:paraId="0E3D9040">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1363" w:type="dxa"/>
            <w:vAlign w:val="center"/>
          </w:tcPr>
          <w:p w14:paraId="539B955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客观分</w:t>
            </w:r>
          </w:p>
        </w:tc>
      </w:tr>
      <w:tr w14:paraId="03C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E26A2A4">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6832" w:type="dxa"/>
            <w:vAlign w:val="center"/>
          </w:tcPr>
          <w:p w14:paraId="4E110DB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投标企业具有质量管理体系认证证书得2分、环境管理体系认证证书得2分、职业健康安全管理体系认证证书得2分。（提供证书原件）</w:t>
            </w:r>
          </w:p>
        </w:tc>
        <w:tc>
          <w:tcPr>
            <w:tcW w:w="737" w:type="dxa"/>
            <w:vAlign w:val="center"/>
          </w:tcPr>
          <w:p w14:paraId="10382DDA">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6</w:t>
            </w:r>
          </w:p>
        </w:tc>
        <w:tc>
          <w:tcPr>
            <w:tcW w:w="1363" w:type="dxa"/>
            <w:vAlign w:val="center"/>
          </w:tcPr>
          <w:p w14:paraId="555CCB0C">
            <w:pPr>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客观分</w:t>
            </w:r>
          </w:p>
        </w:tc>
      </w:tr>
      <w:tr w14:paraId="6B83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74BCF937">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6832" w:type="dxa"/>
            <w:vAlign w:val="center"/>
          </w:tcPr>
          <w:p w14:paraId="2E54A2A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投标人提供自2021年1月1日以来完成过安保服务业绩的（1个得1分，最高得3分）。凭合同、相关证明材料复印件加盖公章得分。</w:t>
            </w:r>
          </w:p>
        </w:tc>
        <w:tc>
          <w:tcPr>
            <w:tcW w:w="737" w:type="dxa"/>
            <w:vAlign w:val="center"/>
          </w:tcPr>
          <w:p w14:paraId="29749EA4">
            <w:pPr>
              <w:pStyle w:val="393"/>
              <w:spacing w:before="0"/>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3</w:t>
            </w:r>
          </w:p>
        </w:tc>
        <w:tc>
          <w:tcPr>
            <w:tcW w:w="1363" w:type="dxa"/>
            <w:vAlign w:val="center"/>
          </w:tcPr>
          <w:p w14:paraId="546A97FD">
            <w:pPr>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客观分</w:t>
            </w:r>
          </w:p>
        </w:tc>
      </w:tr>
      <w:tr w14:paraId="4DEA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3C4DF2FA">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7</w:t>
            </w:r>
          </w:p>
        </w:tc>
        <w:tc>
          <w:tcPr>
            <w:tcW w:w="6832" w:type="dxa"/>
            <w:vAlign w:val="center"/>
          </w:tcPr>
          <w:p w14:paraId="3BC5954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根据总体服务方案对与项目内容和服务需求的吻合程度及其响应情况的合理性、可操作性、针对性、实施经验等进行综合打分。</w:t>
            </w:r>
          </w:p>
          <w:p w14:paraId="547D381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①方案内容完整、合理、可行的，得5分；</w:t>
            </w:r>
          </w:p>
          <w:p w14:paraId="61A125A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②方案内容基本完整、具有一定可行性的，得4-4.9分；</w:t>
            </w:r>
          </w:p>
          <w:p w14:paraId="458D9BB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③方案内容一般的，得3-3.9分；</w:t>
            </w:r>
          </w:p>
          <w:p w14:paraId="5FCDF43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④方案内容存在欠缺或有待完善的，得2-2.9分；</w:t>
            </w:r>
          </w:p>
          <w:p w14:paraId="0116DB7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⑤方案内容不符合招标要求的，得0.1-1.9分。未提供不得分。</w:t>
            </w:r>
          </w:p>
        </w:tc>
        <w:tc>
          <w:tcPr>
            <w:tcW w:w="737" w:type="dxa"/>
            <w:vAlign w:val="center"/>
          </w:tcPr>
          <w:p w14:paraId="5FE091D9">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1363" w:type="dxa"/>
            <w:vAlign w:val="center"/>
          </w:tcPr>
          <w:p w14:paraId="79CA4EA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7624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52B78B0E">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8</w:t>
            </w:r>
          </w:p>
        </w:tc>
        <w:tc>
          <w:tcPr>
            <w:tcW w:w="6832" w:type="dxa"/>
            <w:shd w:val="clear" w:color="auto" w:fill="auto"/>
            <w:vAlign w:val="center"/>
          </w:tcPr>
          <w:p w14:paraId="2C296702">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根据投标人的服务机构设置方案、运作流程、工作标准及服务过程相关记录资料的信息管理办法等是否周全，对采购人的各项医务工作管理要求及医院业务流程的适应性、符合性等情况进行综合打分。</w:t>
            </w:r>
          </w:p>
          <w:p w14:paraId="0A401C3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①内容完整、合理、可行的，得4分；</w:t>
            </w:r>
          </w:p>
          <w:p w14:paraId="4F45CEE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②内容基本完整、具有一定可行性的，得3-3.9分；</w:t>
            </w:r>
          </w:p>
          <w:p w14:paraId="1A87CF2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③内容一般的，得2-2.9分；</w:t>
            </w:r>
          </w:p>
          <w:p w14:paraId="5C4F597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④内容存在欠缺或有待完善的，得0.1-1.9分；</w:t>
            </w:r>
          </w:p>
          <w:p w14:paraId="1262C5F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⑤未提供不得分。</w:t>
            </w:r>
          </w:p>
        </w:tc>
        <w:tc>
          <w:tcPr>
            <w:tcW w:w="737" w:type="dxa"/>
            <w:vAlign w:val="center"/>
          </w:tcPr>
          <w:p w14:paraId="59A552BE">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4</w:t>
            </w:r>
          </w:p>
        </w:tc>
        <w:tc>
          <w:tcPr>
            <w:tcW w:w="1363" w:type="dxa"/>
            <w:vAlign w:val="center"/>
          </w:tcPr>
          <w:p w14:paraId="47DC471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2EEB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0B5D5EF4">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9</w:t>
            </w:r>
          </w:p>
        </w:tc>
        <w:tc>
          <w:tcPr>
            <w:tcW w:w="6832" w:type="dxa"/>
            <w:shd w:val="clear" w:color="auto" w:fill="auto"/>
            <w:vAlign w:val="center"/>
          </w:tcPr>
          <w:p w14:paraId="1CF59C72">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对本项目的工作特点的了解程度，服务思路清晰程度，完成工作的可行性等方面进行综合打分。</w:t>
            </w:r>
          </w:p>
          <w:p w14:paraId="615ADDB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①内容完整、合理、可行的，得4分；</w:t>
            </w:r>
          </w:p>
          <w:p w14:paraId="6593A60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②内容基本完整、具有一定可行性的，得3-3.9分；</w:t>
            </w:r>
          </w:p>
          <w:p w14:paraId="687D07C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③内容一般的，得2-2.9分；</w:t>
            </w:r>
          </w:p>
          <w:p w14:paraId="6C60E1A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④内容存在欠缺或有待完善的，得0.1-1.9分；</w:t>
            </w:r>
          </w:p>
          <w:p w14:paraId="4DD91E1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⑤未提供不得分。</w:t>
            </w:r>
          </w:p>
        </w:tc>
        <w:tc>
          <w:tcPr>
            <w:tcW w:w="737" w:type="dxa"/>
            <w:vAlign w:val="center"/>
          </w:tcPr>
          <w:p w14:paraId="417CC51B">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4</w:t>
            </w:r>
          </w:p>
        </w:tc>
        <w:tc>
          <w:tcPr>
            <w:tcW w:w="1363" w:type="dxa"/>
            <w:vAlign w:val="center"/>
          </w:tcPr>
          <w:p w14:paraId="68FBA75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4A16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15E5A6E">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10</w:t>
            </w:r>
          </w:p>
        </w:tc>
        <w:tc>
          <w:tcPr>
            <w:tcW w:w="6832" w:type="dxa"/>
            <w:vAlign w:val="center"/>
          </w:tcPr>
          <w:p w14:paraId="74855F0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根据投标人的日常工作程序（具备维护医院内的医疗秩序、消防安全、常态化巡逻等各项活动，公共秩序，调解纠纷，疏导人流等）内容全面性、常态化管理对本项目实施的有利程度等情况进行的综合打分。</w:t>
            </w:r>
          </w:p>
          <w:p w14:paraId="477E3BF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①方案内容完整、合理、可行的，得5分；</w:t>
            </w:r>
          </w:p>
          <w:p w14:paraId="30217F9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②方案内容基本完整、具有一定可行性的，得4-4.9分；</w:t>
            </w:r>
          </w:p>
          <w:p w14:paraId="7FD143C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③方案内容一般的，得3-3.9分；</w:t>
            </w:r>
          </w:p>
          <w:p w14:paraId="41E7B8DC">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④方案内容存在欠缺或有待完善的，得2-2.9分；</w:t>
            </w:r>
          </w:p>
          <w:p w14:paraId="3C98014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⑤方案内容不符合招标要求的，得0.1-1.9分。未提供不得分。</w:t>
            </w:r>
          </w:p>
        </w:tc>
        <w:tc>
          <w:tcPr>
            <w:tcW w:w="737" w:type="dxa"/>
            <w:vAlign w:val="center"/>
          </w:tcPr>
          <w:p w14:paraId="67FF130A">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1363" w:type="dxa"/>
            <w:vAlign w:val="center"/>
          </w:tcPr>
          <w:p w14:paraId="7F5C700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58BB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1CAC0C90">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11</w:t>
            </w:r>
          </w:p>
        </w:tc>
        <w:tc>
          <w:tcPr>
            <w:tcW w:w="6832" w:type="dxa"/>
            <w:vAlign w:val="center"/>
          </w:tcPr>
          <w:p w14:paraId="2E31693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根据投标人的应急处置方案（具备应急预案、案件防控、打击犯罪、自然灾害、突发事件处置）的全面程度、响应时间及专业技术支持等对本项目实施的有利程度等情况进行综合打分。</w:t>
            </w:r>
          </w:p>
          <w:p w14:paraId="3F240D6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①方案内容完整、合理、可行的，得4-5分；</w:t>
            </w:r>
          </w:p>
          <w:p w14:paraId="1947833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②方案内容基本完整、具有一定可行性的，得3-3.9分；</w:t>
            </w:r>
          </w:p>
          <w:p w14:paraId="0EA0F762">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③方案内容一般的，得2-2.9分；</w:t>
            </w:r>
          </w:p>
          <w:p w14:paraId="6977162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④方案内容存在欠缺或有待完善的，得0.1-1.9分；</w:t>
            </w:r>
          </w:p>
          <w:p w14:paraId="7029DAB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⑤方案未提供不得分。</w:t>
            </w:r>
          </w:p>
        </w:tc>
        <w:tc>
          <w:tcPr>
            <w:tcW w:w="737" w:type="dxa"/>
            <w:vAlign w:val="center"/>
          </w:tcPr>
          <w:p w14:paraId="0EAC30B4">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1363" w:type="dxa"/>
            <w:vAlign w:val="center"/>
          </w:tcPr>
          <w:p w14:paraId="3A800CD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13C6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ED0AD5C">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12</w:t>
            </w:r>
          </w:p>
        </w:tc>
        <w:tc>
          <w:tcPr>
            <w:tcW w:w="6832" w:type="dxa"/>
            <w:shd w:val="clear" w:color="auto" w:fill="auto"/>
            <w:vAlign w:val="top"/>
          </w:tcPr>
          <w:p w14:paraId="68E5A6D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根据医院保安服务特性，针对本项目投标人拟提供的装备器材、设备清单的优劣情况综合打分。</w:t>
            </w:r>
            <w:r>
              <w:rPr>
                <w:rFonts w:hint="eastAsia" w:cs="仿宋_GB2312" w:asciiTheme="minorEastAsia" w:hAnsiTheme="minorEastAsia" w:eastAsiaTheme="minorEastAsia"/>
                <w:color w:val="auto"/>
                <w:kern w:val="2"/>
                <w:sz w:val="24"/>
                <w:szCs w:val="24"/>
                <w:lang w:val="en-US" w:eastAsia="zh-CN" w:bidi="ar-SA"/>
              </w:rPr>
              <w:br w:type="textWrapping"/>
            </w:r>
            <w:r>
              <w:rPr>
                <w:rFonts w:hint="eastAsia" w:cs="仿宋_GB2312" w:asciiTheme="minorEastAsia" w:hAnsiTheme="minorEastAsia" w:eastAsiaTheme="minorEastAsia"/>
                <w:color w:val="auto"/>
                <w:kern w:val="2"/>
                <w:sz w:val="24"/>
                <w:szCs w:val="24"/>
                <w:lang w:val="en-US" w:eastAsia="zh-CN" w:bidi="ar-SA"/>
              </w:rPr>
              <w:t>①内容完整、合理、可行的，得3-4分；</w:t>
            </w:r>
          </w:p>
          <w:p w14:paraId="43F7FC0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②内容基本完整、具有一定可行性的，得2-2.9分；</w:t>
            </w:r>
          </w:p>
          <w:p w14:paraId="3855E8A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③内容一般的，得0.1-1.9分；</w:t>
            </w:r>
          </w:p>
          <w:p w14:paraId="098C9AA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④未提供不得分。</w:t>
            </w:r>
          </w:p>
        </w:tc>
        <w:tc>
          <w:tcPr>
            <w:tcW w:w="737" w:type="dxa"/>
            <w:shd w:val="clear" w:color="auto" w:fill="auto"/>
            <w:vAlign w:val="center"/>
          </w:tcPr>
          <w:p w14:paraId="1264038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4</w:t>
            </w:r>
          </w:p>
        </w:tc>
        <w:tc>
          <w:tcPr>
            <w:tcW w:w="1363" w:type="dxa"/>
            <w:vAlign w:val="center"/>
          </w:tcPr>
          <w:p w14:paraId="3F3927C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0C27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613B71E">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13</w:t>
            </w:r>
          </w:p>
        </w:tc>
        <w:tc>
          <w:tcPr>
            <w:tcW w:w="6832" w:type="dxa"/>
            <w:shd w:val="clear" w:color="auto" w:fill="auto"/>
            <w:vAlign w:val="center"/>
          </w:tcPr>
          <w:p w14:paraId="77BEA06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根据投标人的服务机构设置方案、运作流程、工作标准及服务过程相关记录资料的信息管理办法等是否周全，对采购人的各项医务工作管理要求及医院业务流程的适应性、符合性等情况进行综合打分。</w:t>
            </w:r>
          </w:p>
          <w:p w14:paraId="501651E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①方案内容完整、合理、可行的，得5分；</w:t>
            </w:r>
          </w:p>
          <w:p w14:paraId="585501B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②方案内容基本完整、具有一定可行性的，得4-4.9分；</w:t>
            </w:r>
          </w:p>
          <w:p w14:paraId="241B3F8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③方案内容一般的，得3-3.9分；</w:t>
            </w:r>
          </w:p>
          <w:p w14:paraId="47B5C87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④方案内容存在欠缺或有待完善的，得2-2.9分；</w:t>
            </w:r>
          </w:p>
          <w:p w14:paraId="26F7D85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⑤方案内容不符合招标要求的，得0.1-1.9分。未提供不得分。</w:t>
            </w:r>
          </w:p>
        </w:tc>
        <w:tc>
          <w:tcPr>
            <w:tcW w:w="737" w:type="dxa"/>
            <w:shd w:val="clear" w:color="auto" w:fill="auto"/>
            <w:vAlign w:val="center"/>
          </w:tcPr>
          <w:p w14:paraId="0D76B9A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1363" w:type="dxa"/>
            <w:vAlign w:val="center"/>
          </w:tcPr>
          <w:p w14:paraId="1FF2134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6108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2C204131">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14</w:t>
            </w:r>
          </w:p>
        </w:tc>
        <w:tc>
          <w:tcPr>
            <w:tcW w:w="6832" w:type="dxa"/>
            <w:shd w:val="clear" w:color="auto" w:fill="auto"/>
            <w:vAlign w:val="center"/>
          </w:tcPr>
          <w:p w14:paraId="0F87DDA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投标人的服务承诺及优惠措施对项目实施有积极意义，具有可行性，并有相应的保证措施、落实手段的每项得1分，最高得3分。</w:t>
            </w:r>
          </w:p>
        </w:tc>
        <w:tc>
          <w:tcPr>
            <w:tcW w:w="737" w:type="dxa"/>
            <w:shd w:val="clear" w:color="auto" w:fill="auto"/>
            <w:vAlign w:val="center"/>
          </w:tcPr>
          <w:p w14:paraId="1F2D937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3</w:t>
            </w:r>
          </w:p>
        </w:tc>
        <w:tc>
          <w:tcPr>
            <w:tcW w:w="1363" w:type="dxa"/>
            <w:vAlign w:val="center"/>
          </w:tcPr>
          <w:p w14:paraId="546B710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16DA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28274A06">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15</w:t>
            </w:r>
          </w:p>
        </w:tc>
        <w:tc>
          <w:tcPr>
            <w:tcW w:w="6832" w:type="dxa"/>
            <w:shd w:val="clear" w:color="auto" w:fill="auto"/>
            <w:vAlign w:val="center"/>
          </w:tcPr>
          <w:p w14:paraId="67891C76">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根据各投标人制订的培训计划（对员工进行岗位培训、日常培训和文明礼仪培训、保密培训等）及培训内容、培训方式等培训方案进行打分。</w:t>
            </w:r>
          </w:p>
          <w:p w14:paraId="702BCE88">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①内容完整、合理、可行的，得3-4分；</w:t>
            </w:r>
          </w:p>
          <w:p w14:paraId="6D8CFC4D">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②内容基本完整、具有一定可行性的，得2-2.9分；</w:t>
            </w:r>
          </w:p>
          <w:p w14:paraId="49F1B55F">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③内容一般的，得0.1-1.9分；</w:t>
            </w:r>
          </w:p>
          <w:p w14:paraId="5BC2E688">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④未提供不得分。</w:t>
            </w:r>
          </w:p>
        </w:tc>
        <w:tc>
          <w:tcPr>
            <w:tcW w:w="737" w:type="dxa"/>
            <w:shd w:val="clear" w:color="auto" w:fill="auto"/>
            <w:vAlign w:val="center"/>
          </w:tcPr>
          <w:p w14:paraId="4337AC3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4</w:t>
            </w:r>
          </w:p>
        </w:tc>
        <w:tc>
          <w:tcPr>
            <w:tcW w:w="1363" w:type="dxa"/>
            <w:vAlign w:val="center"/>
          </w:tcPr>
          <w:p w14:paraId="32D2A76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29A2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0CDCBCC1">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16</w:t>
            </w:r>
          </w:p>
        </w:tc>
        <w:tc>
          <w:tcPr>
            <w:tcW w:w="6832" w:type="dxa"/>
            <w:shd w:val="clear" w:color="auto" w:fill="auto"/>
            <w:vAlign w:val="center"/>
          </w:tcPr>
          <w:p w14:paraId="04C31F1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投标人提出的合理化建议（如管理制度的优化及考核，保安岗位的设置，编排运营和非运营时段、早及日间和夜间保安力量的配比等），合理化建议对项目实施有积极意义，具有可行性，并有相应的保证措施的每项得1分，最高得3分。</w:t>
            </w:r>
          </w:p>
        </w:tc>
        <w:tc>
          <w:tcPr>
            <w:tcW w:w="737" w:type="dxa"/>
            <w:shd w:val="clear" w:color="auto" w:fill="auto"/>
            <w:vAlign w:val="center"/>
          </w:tcPr>
          <w:p w14:paraId="67DBF55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3</w:t>
            </w:r>
          </w:p>
        </w:tc>
        <w:tc>
          <w:tcPr>
            <w:tcW w:w="1363" w:type="dxa"/>
            <w:vAlign w:val="center"/>
          </w:tcPr>
          <w:p w14:paraId="774F4299">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主观分</w:t>
            </w:r>
          </w:p>
        </w:tc>
      </w:tr>
      <w:tr w14:paraId="6DFA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14:paraId="427E714F">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17</w:t>
            </w:r>
          </w:p>
        </w:tc>
        <w:tc>
          <w:tcPr>
            <w:tcW w:w="6832" w:type="dxa"/>
            <w:vAlign w:val="center"/>
          </w:tcPr>
          <w:p w14:paraId="4AE6D705">
            <w:pPr>
              <w:spacing w:line="360" w:lineRule="auto"/>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rPr>
              <w:t>0］的计算公式计算。</w:t>
            </w:r>
          </w:p>
          <w:p w14:paraId="0117EA98">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14:paraId="1DE137D4">
            <w:pPr>
              <w:pStyle w:val="393"/>
              <w:spacing w:before="0"/>
              <w:ind w:firstLine="480"/>
              <w:jc w:val="left"/>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rPr>
              <w:t>对于未预留份额专门面向中小企业的政府采购</w:t>
            </w:r>
            <w:r>
              <w:rPr>
                <w:rFonts w:hint="eastAsia" w:cs="仿宋_GB2312" w:asciiTheme="minorEastAsia" w:hAnsiTheme="minorEastAsia" w:eastAsiaTheme="minorEastAsia"/>
                <w:color w:val="auto"/>
                <w:lang w:val="en-US" w:eastAsia="zh-CN"/>
              </w:rPr>
              <w:t>服务</w:t>
            </w:r>
            <w:r>
              <w:rPr>
                <w:rFonts w:hint="eastAsia" w:cs="仿宋_GB2312" w:asciiTheme="minorEastAsia" w:hAnsiTheme="minorEastAsia" w:eastAsiaTheme="minorEastAsia"/>
                <w:color w:val="auto"/>
              </w:rPr>
              <w:t>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737" w:type="dxa"/>
            <w:vAlign w:val="center"/>
          </w:tcPr>
          <w:p w14:paraId="4A1B9CA9">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3</w:t>
            </w:r>
            <w:r>
              <w:rPr>
                <w:rFonts w:hint="eastAsia" w:cs="仿宋_GB2312" w:asciiTheme="minorEastAsia" w:hAnsiTheme="minorEastAsia" w:eastAsiaTheme="minorEastAsia"/>
                <w:color w:val="auto"/>
                <w:szCs w:val="24"/>
              </w:rPr>
              <w:t>0</w:t>
            </w:r>
          </w:p>
        </w:tc>
        <w:tc>
          <w:tcPr>
            <w:tcW w:w="1363" w:type="dxa"/>
            <w:vAlign w:val="center"/>
          </w:tcPr>
          <w:p w14:paraId="63B7E4B2">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85"/>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86" w:name="第五部分"/>
      <w:bookmarkStart w:id="87"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2"/>
        <w:rPr>
          <w:rFonts w:asciiTheme="minorEastAsia" w:hAnsiTheme="minorEastAsia" w:eastAsiaTheme="minorEastAsia"/>
          <w:color w:val="auto"/>
          <w:szCs w:val="24"/>
        </w:rPr>
      </w:pPr>
    </w:p>
    <w:p w14:paraId="0A4884B3">
      <w:pPr>
        <w:pStyle w:val="282"/>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7"/>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桐庐县第二人民医院</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桐庐县第二人民医院安保服务项目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桐庐县第二人民医院</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88" w:name="_Toc28855"/>
      <w:bookmarkStart w:id="89" w:name="_Toc22967"/>
      <w:bookmarkStart w:id="90" w:name="_Toc19273"/>
      <w:bookmarkStart w:id="91" w:name="_Toc15367"/>
      <w:bookmarkStart w:id="92" w:name="_Toc20421"/>
      <w:r>
        <w:rPr>
          <w:rFonts w:ascii="宋体" w:hAnsi="宋体"/>
          <w:b/>
          <w:color w:val="auto"/>
          <w:sz w:val="24"/>
        </w:rPr>
        <w:t xml:space="preserve">1.1 </w:t>
      </w:r>
      <w:r>
        <w:rPr>
          <w:rFonts w:hint="eastAsia" w:ascii="宋体" w:hAnsi="宋体"/>
          <w:b/>
          <w:color w:val="auto"/>
          <w:sz w:val="24"/>
        </w:rPr>
        <w:t>合同组成部分</w:t>
      </w:r>
      <w:bookmarkEnd w:id="88"/>
      <w:bookmarkEnd w:id="89"/>
      <w:bookmarkEnd w:id="90"/>
      <w:bookmarkEnd w:id="91"/>
      <w:bookmarkEnd w:id="92"/>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93" w:name="_Toc2918"/>
      <w:bookmarkStart w:id="94" w:name="_Toc22185"/>
      <w:bookmarkStart w:id="95" w:name="_Toc18585"/>
      <w:bookmarkStart w:id="96" w:name="_Toc6311"/>
      <w:bookmarkStart w:id="97" w:name="_Toc6773"/>
      <w:r>
        <w:rPr>
          <w:rFonts w:ascii="宋体" w:hAnsi="宋体"/>
          <w:b/>
          <w:color w:val="auto"/>
          <w:sz w:val="24"/>
        </w:rPr>
        <w:t xml:space="preserve">1.2 </w:t>
      </w:r>
      <w:r>
        <w:rPr>
          <w:rFonts w:hint="eastAsia" w:ascii="宋体" w:hAnsi="宋体"/>
          <w:b/>
          <w:color w:val="auto"/>
          <w:sz w:val="24"/>
        </w:rPr>
        <w:t>标的</w:t>
      </w:r>
      <w:bookmarkEnd w:id="93"/>
      <w:bookmarkEnd w:id="94"/>
      <w:bookmarkEnd w:id="95"/>
      <w:bookmarkEnd w:id="96"/>
      <w:bookmarkEnd w:id="97"/>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5F1D257">
      <w:pPr>
        <w:spacing w:line="560" w:lineRule="exact"/>
        <w:ind w:firstLine="482" w:firstLineChars="200"/>
        <w:outlineLvl w:val="0"/>
        <w:rPr>
          <w:rFonts w:ascii="宋体" w:hAnsi="宋体"/>
          <w:b/>
          <w:color w:val="auto"/>
          <w:sz w:val="24"/>
        </w:rPr>
      </w:pPr>
      <w:bookmarkStart w:id="98" w:name="_Toc21124"/>
      <w:bookmarkStart w:id="99" w:name="_Toc1386"/>
      <w:bookmarkStart w:id="100" w:name="_Toc13918"/>
      <w:bookmarkStart w:id="101" w:name="_Toc4929"/>
      <w:bookmarkStart w:id="102" w:name="_Toc5635"/>
      <w:r>
        <w:rPr>
          <w:rFonts w:ascii="宋体" w:hAnsi="宋体"/>
          <w:b/>
          <w:color w:val="auto"/>
          <w:sz w:val="24"/>
        </w:rPr>
        <w:t>1.3 价款</w:t>
      </w:r>
      <w:bookmarkEnd w:id="98"/>
      <w:bookmarkEnd w:id="99"/>
      <w:bookmarkEnd w:id="100"/>
      <w:bookmarkEnd w:id="101"/>
      <w:bookmarkEnd w:id="102"/>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2"/>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color w:val="auto"/>
                <w:sz w:val="24"/>
                <w:szCs w:val="24"/>
              </w:rPr>
            </w:pPr>
          </w:p>
        </w:tc>
        <w:tc>
          <w:tcPr>
            <w:tcW w:w="3402" w:type="dxa"/>
            <w:vAlign w:val="center"/>
          </w:tcPr>
          <w:p w14:paraId="1AE19EBA">
            <w:pPr>
              <w:pStyle w:val="622"/>
              <w:spacing w:line="560" w:lineRule="exact"/>
              <w:ind w:firstLine="200"/>
              <w:jc w:val="center"/>
              <w:rPr>
                <w:rFonts w:hAnsi="宋体"/>
                <w:color w:val="auto"/>
                <w:sz w:val="24"/>
                <w:szCs w:val="24"/>
              </w:rPr>
            </w:pPr>
          </w:p>
        </w:tc>
        <w:tc>
          <w:tcPr>
            <w:tcW w:w="2552" w:type="dxa"/>
            <w:vAlign w:val="center"/>
          </w:tcPr>
          <w:p w14:paraId="0AA780BB">
            <w:pPr>
              <w:pStyle w:val="622"/>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spacing w:line="560" w:lineRule="exact"/>
              <w:ind w:firstLine="200"/>
              <w:jc w:val="center"/>
              <w:rPr>
                <w:rFonts w:hAnsi="宋体"/>
                <w:color w:val="auto"/>
                <w:sz w:val="24"/>
                <w:szCs w:val="24"/>
              </w:rPr>
            </w:pPr>
          </w:p>
        </w:tc>
        <w:tc>
          <w:tcPr>
            <w:tcW w:w="3402" w:type="dxa"/>
            <w:vAlign w:val="center"/>
          </w:tcPr>
          <w:p w14:paraId="55798985">
            <w:pPr>
              <w:pStyle w:val="622"/>
              <w:spacing w:line="560" w:lineRule="exact"/>
              <w:ind w:firstLine="200"/>
              <w:jc w:val="center"/>
              <w:rPr>
                <w:rFonts w:hAnsi="宋体"/>
                <w:color w:val="auto"/>
                <w:sz w:val="24"/>
                <w:szCs w:val="24"/>
              </w:rPr>
            </w:pPr>
          </w:p>
        </w:tc>
        <w:tc>
          <w:tcPr>
            <w:tcW w:w="2552" w:type="dxa"/>
            <w:vAlign w:val="center"/>
          </w:tcPr>
          <w:p w14:paraId="6DFC9FC3">
            <w:pPr>
              <w:pStyle w:val="622"/>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color w:val="auto"/>
                <w:sz w:val="24"/>
                <w:szCs w:val="24"/>
              </w:rPr>
            </w:pPr>
          </w:p>
        </w:tc>
        <w:tc>
          <w:tcPr>
            <w:tcW w:w="3402" w:type="dxa"/>
            <w:vAlign w:val="center"/>
          </w:tcPr>
          <w:p w14:paraId="7278CA47">
            <w:pPr>
              <w:pStyle w:val="622"/>
              <w:spacing w:line="560" w:lineRule="exact"/>
              <w:ind w:firstLine="200"/>
              <w:jc w:val="center"/>
              <w:rPr>
                <w:rFonts w:hAnsi="宋体"/>
                <w:color w:val="auto"/>
                <w:sz w:val="24"/>
                <w:szCs w:val="24"/>
              </w:rPr>
            </w:pPr>
          </w:p>
        </w:tc>
        <w:tc>
          <w:tcPr>
            <w:tcW w:w="2552" w:type="dxa"/>
            <w:vAlign w:val="center"/>
          </w:tcPr>
          <w:p w14:paraId="66F6196C">
            <w:pPr>
              <w:pStyle w:val="622"/>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color w:val="auto"/>
                <w:sz w:val="24"/>
                <w:szCs w:val="24"/>
              </w:rPr>
            </w:pPr>
          </w:p>
        </w:tc>
        <w:tc>
          <w:tcPr>
            <w:tcW w:w="3402" w:type="dxa"/>
            <w:vAlign w:val="center"/>
          </w:tcPr>
          <w:p w14:paraId="5A5674AE">
            <w:pPr>
              <w:pStyle w:val="622"/>
              <w:spacing w:line="560" w:lineRule="exact"/>
              <w:ind w:firstLine="200"/>
              <w:jc w:val="center"/>
              <w:rPr>
                <w:rFonts w:hAnsi="宋体"/>
                <w:color w:val="auto"/>
                <w:sz w:val="24"/>
                <w:szCs w:val="24"/>
              </w:rPr>
            </w:pPr>
          </w:p>
        </w:tc>
        <w:tc>
          <w:tcPr>
            <w:tcW w:w="2552" w:type="dxa"/>
            <w:vAlign w:val="center"/>
          </w:tcPr>
          <w:p w14:paraId="3CD79D60">
            <w:pPr>
              <w:pStyle w:val="622"/>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2"/>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103" w:name="_Toc3654"/>
      <w:bookmarkStart w:id="104" w:name="_Toc26916"/>
      <w:bookmarkStart w:id="105" w:name="_Toc14993"/>
      <w:bookmarkStart w:id="106" w:name="_Toc30158"/>
      <w:bookmarkStart w:id="107"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5"/>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103"/>
    <w:bookmarkEnd w:id="104"/>
    <w:bookmarkEnd w:id="105"/>
    <w:bookmarkEnd w:id="106"/>
    <w:bookmarkEnd w:id="107"/>
    <w:p w14:paraId="028AAC60">
      <w:pPr>
        <w:pStyle w:val="630"/>
        <w:spacing w:before="0" w:beforeAutospacing="0" w:after="0" w:afterAutospacing="0" w:line="360" w:lineRule="auto"/>
        <w:ind w:firstLine="480"/>
        <w:rPr>
          <w:b/>
          <w:color w:val="auto"/>
        </w:rPr>
      </w:pPr>
      <w:bookmarkStart w:id="108" w:name="_Toc10340"/>
      <w:bookmarkStart w:id="109" w:name="_Toc1814"/>
      <w:bookmarkStart w:id="110" w:name="_Toc22618"/>
      <w:bookmarkStart w:id="111" w:name="_Toc31421"/>
      <w:bookmarkStart w:id="112" w:name="_Toc4760"/>
      <w:bookmarkStart w:id="113" w:name="_Toc11108"/>
      <w:bookmarkStart w:id="114" w:name="_Toc3625"/>
      <w:bookmarkStart w:id="115" w:name="_Toc8772"/>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5"/>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108"/>
      <w:bookmarkEnd w:id="109"/>
      <w:bookmarkEnd w:id="110"/>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111"/>
      <w:bookmarkEnd w:id="112"/>
      <w:bookmarkEnd w:id="113"/>
      <w:bookmarkEnd w:id="114"/>
      <w:bookmarkEnd w:id="115"/>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7A941B92">
      <w:pPr>
        <w:spacing w:line="560" w:lineRule="exact"/>
        <w:ind w:firstLine="482" w:firstLineChars="200"/>
        <w:outlineLvl w:val="0"/>
        <w:rPr>
          <w:rFonts w:ascii="宋体" w:hAnsi="宋体"/>
          <w:color w:val="auto"/>
          <w:sz w:val="24"/>
          <w:u w:val="single"/>
        </w:rPr>
      </w:pPr>
      <w:bookmarkStart w:id="116" w:name="_Toc2375"/>
      <w:bookmarkStart w:id="117" w:name="_Toc5698"/>
      <w:bookmarkStart w:id="118" w:name="_Toc8586"/>
      <w:bookmarkStart w:id="119" w:name="_Toc24662"/>
      <w:bookmarkStart w:id="120" w:name="_Toc3079"/>
      <w:r>
        <w:rPr>
          <w:rFonts w:ascii="宋体" w:hAnsi="宋体"/>
          <w:b/>
          <w:color w:val="auto"/>
          <w:sz w:val="24"/>
        </w:rPr>
        <w:t>1.</w:t>
      </w:r>
      <w:r>
        <w:rPr>
          <w:rFonts w:hint="eastAsia" w:ascii="宋体" w:hAnsi="宋体"/>
          <w:b/>
          <w:color w:val="auto"/>
          <w:sz w:val="24"/>
        </w:rPr>
        <w:t>8违约责任</w:t>
      </w:r>
      <w:bookmarkEnd w:id="116"/>
      <w:bookmarkEnd w:id="117"/>
      <w:bookmarkEnd w:id="118"/>
      <w:bookmarkEnd w:id="119"/>
      <w:bookmarkEnd w:id="120"/>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5"/>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21" w:name="_Toc30329"/>
      <w:bookmarkStart w:id="122" w:name="_Toc32454"/>
      <w:bookmarkStart w:id="123" w:name="_Toc18683"/>
      <w:bookmarkStart w:id="124" w:name="_Toc26807"/>
      <w:bookmarkStart w:id="125"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21"/>
    <w:bookmarkEnd w:id="122"/>
    <w:bookmarkEnd w:id="123"/>
    <w:bookmarkEnd w:id="124"/>
    <w:bookmarkEnd w:id="125"/>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50972C9A">
      <w:pPr>
        <w:autoSpaceDE w:val="0"/>
        <w:autoSpaceDN w:val="0"/>
        <w:spacing w:line="560" w:lineRule="exact"/>
        <w:rPr>
          <w:rFonts w:hint="eastAsia" w:ascii="宋体" w:hAnsi="宋体"/>
          <w:b/>
          <w:color w:val="auto"/>
          <w:sz w:val="24"/>
          <w:lang w:val="zh-CN"/>
        </w:rPr>
      </w:pPr>
    </w:p>
    <w:p w14:paraId="32D803C9">
      <w:pPr>
        <w:autoSpaceDE w:val="0"/>
        <w:autoSpaceDN w:val="0"/>
        <w:spacing w:line="560" w:lineRule="exact"/>
        <w:rPr>
          <w:rFonts w:hint="eastAsia" w:ascii="宋体" w:hAnsi="宋体"/>
          <w:b/>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26" w:name="_Toc31297"/>
      <w:bookmarkStart w:id="127" w:name="_Toc5228"/>
      <w:bookmarkStart w:id="128" w:name="_Toc19680"/>
      <w:bookmarkStart w:id="129" w:name="_Toc25079"/>
      <w:bookmarkStart w:id="130" w:name="_Toc14021"/>
      <w:r>
        <w:rPr>
          <w:rFonts w:ascii="宋体" w:hAnsi="宋体"/>
          <w:b/>
          <w:color w:val="auto"/>
          <w:sz w:val="24"/>
        </w:rPr>
        <w:t>2.1 定义</w:t>
      </w:r>
      <w:bookmarkEnd w:id="126"/>
      <w:bookmarkEnd w:id="127"/>
      <w:bookmarkEnd w:id="128"/>
      <w:bookmarkEnd w:id="129"/>
      <w:bookmarkEnd w:id="130"/>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31" w:name="_Toc3769"/>
      <w:bookmarkStart w:id="132" w:name="_Toc23289"/>
      <w:bookmarkStart w:id="133" w:name="_Toc31402"/>
      <w:bookmarkStart w:id="134" w:name="_Toc16752"/>
      <w:bookmarkStart w:id="135" w:name="_Toc19539"/>
      <w:r>
        <w:rPr>
          <w:rFonts w:ascii="宋体" w:hAnsi="宋体"/>
          <w:b/>
          <w:color w:val="auto"/>
          <w:sz w:val="24"/>
        </w:rPr>
        <w:t>2.2 技术规范</w:t>
      </w:r>
      <w:bookmarkEnd w:id="131"/>
      <w:bookmarkEnd w:id="132"/>
      <w:bookmarkEnd w:id="133"/>
      <w:bookmarkEnd w:id="134"/>
      <w:bookmarkEnd w:id="135"/>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36" w:name="_Toc12412"/>
      <w:bookmarkStart w:id="137" w:name="_Toc27945"/>
      <w:bookmarkStart w:id="138" w:name="_Toc13673"/>
      <w:bookmarkStart w:id="139" w:name="_Toc9161"/>
      <w:bookmarkStart w:id="140" w:name="_Toc4133"/>
      <w:r>
        <w:rPr>
          <w:rFonts w:ascii="宋体" w:hAnsi="宋体"/>
          <w:b/>
          <w:color w:val="auto"/>
          <w:sz w:val="24"/>
        </w:rPr>
        <w:t>2.3 知识产权</w:t>
      </w:r>
      <w:bookmarkEnd w:id="136"/>
      <w:bookmarkEnd w:id="137"/>
      <w:bookmarkEnd w:id="138"/>
      <w:bookmarkEnd w:id="139"/>
      <w:bookmarkEnd w:id="140"/>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41" w:name="_Toc31233"/>
      <w:bookmarkStart w:id="142" w:name="_Toc26555"/>
      <w:bookmarkStart w:id="143" w:name="_Toc22011"/>
      <w:bookmarkStart w:id="144" w:name="_Toc32670"/>
      <w:bookmarkStart w:id="145" w:name="_Toc15447"/>
      <w:r>
        <w:rPr>
          <w:rFonts w:ascii="宋体" w:hAnsi="宋体"/>
          <w:b/>
          <w:color w:val="auto"/>
          <w:sz w:val="24"/>
        </w:rPr>
        <w:t>2.5 结算方式和付款条件</w:t>
      </w:r>
      <w:bookmarkEnd w:id="141"/>
      <w:bookmarkEnd w:id="142"/>
      <w:bookmarkEnd w:id="143"/>
      <w:bookmarkEnd w:id="144"/>
      <w:bookmarkEnd w:id="145"/>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46" w:name="_Toc13154"/>
      <w:bookmarkStart w:id="147" w:name="_Toc18990"/>
      <w:bookmarkStart w:id="148" w:name="_Toc16163"/>
      <w:bookmarkStart w:id="149" w:name="_Toc13467"/>
      <w:bookmarkStart w:id="150" w:name="_Toc30507"/>
      <w:r>
        <w:rPr>
          <w:rFonts w:ascii="宋体" w:hAnsi="宋体"/>
          <w:b/>
          <w:color w:val="auto"/>
          <w:sz w:val="24"/>
        </w:rPr>
        <w:t>2.6 技术资料和保密义务</w:t>
      </w:r>
      <w:bookmarkEnd w:id="146"/>
      <w:bookmarkEnd w:id="147"/>
      <w:bookmarkEnd w:id="148"/>
      <w:bookmarkEnd w:id="149"/>
      <w:bookmarkEnd w:id="150"/>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51" w:name="_Toc19069"/>
      <w:r>
        <w:rPr>
          <w:rFonts w:ascii="宋体" w:hAnsi="宋体"/>
          <w:b/>
          <w:color w:val="auto"/>
          <w:sz w:val="24"/>
        </w:rPr>
        <w:t xml:space="preserve">2.7 </w:t>
      </w:r>
      <w:r>
        <w:rPr>
          <w:rFonts w:hint="eastAsia" w:ascii="宋体" w:hAnsi="宋体"/>
          <w:b/>
          <w:color w:val="auto"/>
          <w:sz w:val="24"/>
        </w:rPr>
        <w:t>质量保证</w:t>
      </w:r>
      <w:bookmarkEnd w:id="151"/>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52" w:name="_Toc22267"/>
      <w:r>
        <w:rPr>
          <w:rFonts w:ascii="宋体" w:hAnsi="宋体"/>
          <w:b/>
          <w:color w:val="auto"/>
          <w:sz w:val="24"/>
        </w:rPr>
        <w:t xml:space="preserve">2.8 </w:t>
      </w:r>
      <w:r>
        <w:rPr>
          <w:rFonts w:hint="eastAsia" w:ascii="宋体" w:hAnsi="宋体"/>
          <w:b/>
          <w:color w:val="auto"/>
          <w:sz w:val="24"/>
        </w:rPr>
        <w:t>延迟履行</w:t>
      </w:r>
      <w:bookmarkEnd w:id="152"/>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53" w:name="_Toc10611"/>
      <w:r>
        <w:rPr>
          <w:rFonts w:ascii="宋体" w:hAnsi="宋体"/>
          <w:b/>
          <w:color w:val="auto"/>
          <w:sz w:val="24"/>
        </w:rPr>
        <w:t xml:space="preserve">2.9 </w:t>
      </w:r>
      <w:r>
        <w:rPr>
          <w:rFonts w:hint="eastAsia" w:ascii="宋体" w:hAnsi="宋体"/>
          <w:b/>
          <w:color w:val="auto"/>
          <w:sz w:val="24"/>
        </w:rPr>
        <w:t>合同变更</w:t>
      </w:r>
      <w:bookmarkEnd w:id="153"/>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54" w:name="_Toc26689"/>
      <w:bookmarkStart w:id="155" w:name="_Toc42"/>
      <w:bookmarkStart w:id="156" w:name="_Toc23368"/>
      <w:bookmarkStart w:id="157" w:name="_Toc21830"/>
      <w:bookmarkStart w:id="158" w:name="_Toc10663"/>
      <w:r>
        <w:rPr>
          <w:rFonts w:ascii="宋体" w:hAnsi="宋体"/>
          <w:b/>
          <w:color w:val="auto"/>
          <w:sz w:val="24"/>
        </w:rPr>
        <w:t>2.10 合同转让和分包</w:t>
      </w:r>
      <w:bookmarkEnd w:id="154"/>
      <w:bookmarkEnd w:id="155"/>
      <w:bookmarkEnd w:id="156"/>
      <w:bookmarkEnd w:id="157"/>
      <w:bookmarkEnd w:id="158"/>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59" w:name="_Toc4720"/>
      <w:bookmarkStart w:id="160" w:name="_Toc26633"/>
      <w:bookmarkStart w:id="161" w:name="_Toc14371"/>
      <w:bookmarkStart w:id="162" w:name="_Toc32494"/>
      <w:bookmarkStart w:id="163" w:name="_Toc25571"/>
      <w:r>
        <w:rPr>
          <w:rFonts w:ascii="宋体" w:hAnsi="宋体"/>
          <w:b/>
          <w:color w:val="auto"/>
          <w:sz w:val="24"/>
        </w:rPr>
        <w:t>2.11 不可抗力</w:t>
      </w:r>
      <w:bookmarkEnd w:id="159"/>
      <w:bookmarkEnd w:id="160"/>
      <w:bookmarkEnd w:id="161"/>
      <w:bookmarkEnd w:id="162"/>
      <w:bookmarkEnd w:id="163"/>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64" w:name="_Toc3638"/>
      <w:bookmarkStart w:id="165" w:name="_Toc23854"/>
      <w:bookmarkStart w:id="166" w:name="_Toc25783"/>
      <w:bookmarkStart w:id="167" w:name="_Toc14115"/>
      <w:bookmarkStart w:id="168" w:name="_Toc24465"/>
      <w:r>
        <w:rPr>
          <w:rFonts w:ascii="宋体" w:hAnsi="宋体"/>
          <w:b/>
          <w:color w:val="auto"/>
          <w:sz w:val="24"/>
        </w:rPr>
        <w:t>2.12 税费</w:t>
      </w:r>
      <w:bookmarkEnd w:id="164"/>
      <w:bookmarkEnd w:id="165"/>
      <w:bookmarkEnd w:id="166"/>
      <w:bookmarkEnd w:id="167"/>
      <w:bookmarkEnd w:id="168"/>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69" w:name="_Toc30105"/>
      <w:bookmarkStart w:id="170" w:name="_Toc25525"/>
      <w:bookmarkStart w:id="171" w:name="_Toc14814"/>
      <w:bookmarkStart w:id="172" w:name="_Toc7315"/>
      <w:bookmarkStart w:id="173" w:name="_Toc26883"/>
      <w:r>
        <w:rPr>
          <w:rFonts w:ascii="宋体" w:hAnsi="宋体"/>
          <w:b/>
          <w:color w:val="auto"/>
          <w:sz w:val="24"/>
        </w:rPr>
        <w:t>2.13 乙方破产</w:t>
      </w:r>
      <w:bookmarkEnd w:id="169"/>
      <w:bookmarkEnd w:id="170"/>
      <w:bookmarkEnd w:id="171"/>
      <w:bookmarkEnd w:id="172"/>
      <w:bookmarkEnd w:id="173"/>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74" w:name="_Toc1123"/>
      <w:bookmarkStart w:id="175" w:name="_Toc2016"/>
      <w:bookmarkStart w:id="176" w:name="_Toc23323"/>
      <w:r>
        <w:rPr>
          <w:rFonts w:ascii="宋体" w:hAnsi="宋体"/>
          <w:b/>
          <w:color w:val="auto"/>
          <w:sz w:val="24"/>
        </w:rPr>
        <w:t>2.14 合同中止、终止</w:t>
      </w:r>
      <w:bookmarkEnd w:id="174"/>
      <w:bookmarkEnd w:id="175"/>
      <w:bookmarkEnd w:id="176"/>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77" w:name="_Toc17363"/>
      <w:bookmarkStart w:id="178" w:name="_Toc1969"/>
      <w:bookmarkStart w:id="179" w:name="_Toc14525"/>
      <w:r>
        <w:rPr>
          <w:rFonts w:ascii="宋体" w:hAnsi="宋体"/>
          <w:b/>
          <w:color w:val="auto"/>
          <w:sz w:val="24"/>
        </w:rPr>
        <w:t>2.15 检验和验收</w:t>
      </w:r>
      <w:bookmarkEnd w:id="177"/>
      <w:bookmarkEnd w:id="178"/>
      <w:bookmarkEnd w:id="179"/>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80" w:name="_Toc25198"/>
      <w:bookmarkStart w:id="181" w:name="_Toc31892"/>
      <w:bookmarkStart w:id="182" w:name="_Toc2308"/>
      <w:bookmarkStart w:id="183" w:name="_Toc12666"/>
      <w:bookmarkStart w:id="184" w:name="_Toc9808"/>
      <w:r>
        <w:rPr>
          <w:rFonts w:ascii="宋体" w:hAnsi="宋体"/>
          <w:b/>
          <w:color w:val="auto"/>
          <w:sz w:val="24"/>
        </w:rPr>
        <w:t>2.16 通知和送达</w:t>
      </w:r>
      <w:bookmarkEnd w:id="180"/>
      <w:bookmarkEnd w:id="181"/>
      <w:bookmarkEnd w:id="182"/>
      <w:bookmarkEnd w:id="183"/>
      <w:bookmarkEnd w:id="184"/>
    </w:p>
    <w:p w14:paraId="53F924AC">
      <w:pPr>
        <w:spacing w:line="560" w:lineRule="exact"/>
        <w:ind w:firstLine="480" w:firstLineChars="200"/>
        <w:rPr>
          <w:rFonts w:ascii="宋体" w:hAnsi="宋体"/>
          <w:color w:val="auto"/>
          <w:sz w:val="24"/>
        </w:rPr>
      </w:pPr>
      <w:bookmarkStart w:id="185" w:name="_Toc18401"/>
      <w:bookmarkStart w:id="186"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85"/>
      <w:bookmarkEnd w:id="186"/>
    </w:p>
    <w:p w14:paraId="6CB0F3AB">
      <w:pPr>
        <w:spacing w:line="560" w:lineRule="exact"/>
        <w:ind w:firstLine="482" w:firstLineChars="200"/>
        <w:outlineLvl w:val="0"/>
        <w:rPr>
          <w:rFonts w:ascii="宋体" w:hAnsi="宋体"/>
          <w:b/>
          <w:color w:val="auto"/>
          <w:sz w:val="24"/>
        </w:rPr>
      </w:pPr>
      <w:bookmarkStart w:id="187" w:name="_Toc5063"/>
      <w:bookmarkStart w:id="188" w:name="_Toc20808"/>
      <w:bookmarkStart w:id="189" w:name="_Toc27644"/>
      <w:bookmarkStart w:id="190" w:name="_Toc28906"/>
      <w:bookmarkStart w:id="191"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87"/>
      <w:bookmarkEnd w:id="188"/>
      <w:bookmarkEnd w:id="189"/>
      <w:bookmarkEnd w:id="190"/>
      <w:bookmarkEnd w:id="191"/>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51DEF471">
            <w:pPr>
              <w:spacing w:line="360" w:lineRule="auto"/>
              <w:rPr>
                <w:rFonts w:ascii="宋体" w:hAnsi="宋体" w:cs="宋体"/>
                <w:color w:val="auto"/>
                <w:sz w:val="24"/>
              </w:rPr>
            </w:pP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7CACE8D">
            <w:pPr>
              <w:spacing w:line="360" w:lineRule="auto"/>
              <w:rPr>
                <w:rFonts w:ascii="宋体" w:hAnsi="宋体" w:cs="宋体"/>
                <w:color w:val="auto"/>
                <w:sz w:val="24"/>
              </w:rPr>
            </w:pP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548CB24">
            <w:pPr>
              <w:spacing w:line="360" w:lineRule="auto"/>
              <w:rPr>
                <w:rFonts w:ascii="宋体" w:hAnsi="宋体" w:cs="宋体"/>
                <w:color w:val="auto"/>
                <w:sz w:val="24"/>
              </w:rPr>
            </w:pP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E59728A">
            <w:pPr>
              <w:spacing w:line="360" w:lineRule="auto"/>
              <w:rPr>
                <w:rFonts w:ascii="宋体" w:hAnsi="宋体" w:cs="宋体"/>
                <w:color w:val="auto"/>
                <w:sz w:val="24"/>
              </w:rPr>
            </w:pP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0375C90C">
            <w:pPr>
              <w:spacing w:line="360" w:lineRule="auto"/>
              <w:rPr>
                <w:rFonts w:ascii="宋体" w:hAnsi="宋体" w:cs="宋体"/>
                <w:color w:val="auto"/>
                <w:sz w:val="24"/>
              </w:rPr>
            </w:pP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167459DC">
            <w:pPr>
              <w:spacing w:line="360" w:lineRule="auto"/>
              <w:rPr>
                <w:rFonts w:ascii="宋体" w:hAnsi="宋体" w:cs="宋体"/>
                <w:color w:val="auto"/>
                <w:sz w:val="24"/>
              </w:rPr>
            </w:pP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405C4C93">
            <w:pPr>
              <w:spacing w:line="360" w:lineRule="auto"/>
              <w:rPr>
                <w:rFonts w:ascii="宋体" w:hAnsi="宋体" w:cs="宋体"/>
                <w:color w:val="auto"/>
                <w:sz w:val="24"/>
              </w:rPr>
            </w:pP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578488ED">
            <w:pPr>
              <w:spacing w:line="360" w:lineRule="auto"/>
              <w:rPr>
                <w:rFonts w:ascii="宋体" w:hAnsi="宋体" w:cs="宋体"/>
                <w:color w:val="auto"/>
                <w:sz w:val="24"/>
              </w:rPr>
            </w:pP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3F76D279">
            <w:pPr>
              <w:spacing w:line="360" w:lineRule="auto"/>
              <w:rPr>
                <w:rFonts w:ascii="宋体" w:hAnsi="宋体" w:cs="宋体"/>
                <w:color w:val="auto"/>
                <w:sz w:val="24"/>
              </w:rPr>
            </w:pP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719D9759">
            <w:pPr>
              <w:spacing w:line="360" w:lineRule="auto"/>
              <w:rPr>
                <w:rFonts w:ascii="宋体" w:hAnsi="宋体" w:cs="宋体"/>
                <w:color w:val="auto"/>
                <w:sz w:val="24"/>
              </w:rPr>
            </w:pP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FE5A676">
            <w:pPr>
              <w:spacing w:line="360" w:lineRule="auto"/>
              <w:rPr>
                <w:rFonts w:ascii="宋体" w:hAnsi="宋体" w:cs="宋体"/>
                <w:color w:val="auto"/>
                <w:sz w:val="24"/>
              </w:rPr>
            </w:pP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7AE1023E">
            <w:pPr>
              <w:spacing w:line="360" w:lineRule="auto"/>
              <w:rPr>
                <w:rFonts w:ascii="宋体" w:hAnsi="宋体" w:cs="宋体"/>
                <w:color w:val="auto"/>
                <w:sz w:val="24"/>
              </w:rPr>
            </w:pP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6D9C7848">
            <w:pPr>
              <w:spacing w:line="360" w:lineRule="auto"/>
              <w:rPr>
                <w:rFonts w:ascii="宋体" w:hAnsi="宋体" w:cs="宋体"/>
                <w:color w:val="auto"/>
                <w:sz w:val="24"/>
              </w:rPr>
            </w:pP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6886BC07">
            <w:pPr>
              <w:spacing w:line="360" w:lineRule="auto"/>
              <w:rPr>
                <w:rFonts w:ascii="宋体" w:hAnsi="宋体" w:cs="宋体"/>
                <w:color w:val="auto"/>
                <w:sz w:val="24"/>
              </w:rPr>
            </w:pP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14C9B316">
            <w:pPr>
              <w:spacing w:line="360" w:lineRule="auto"/>
              <w:rPr>
                <w:rFonts w:ascii="宋体" w:hAnsi="宋体" w:cs="宋体"/>
                <w:color w:val="auto"/>
                <w:sz w:val="24"/>
              </w:rPr>
            </w:pP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3FE4007C">
            <w:pPr>
              <w:spacing w:line="360" w:lineRule="auto"/>
              <w:ind w:left="-420" w:leftChars="-200" w:right="-420" w:rightChars="-200" w:firstLine="480" w:firstLineChars="200"/>
              <w:rPr>
                <w:rFonts w:ascii="宋体" w:hAnsi="宋体" w:cs="宋体"/>
                <w:color w:val="auto"/>
                <w:sz w:val="24"/>
              </w:rPr>
            </w:pP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1ADA47">
            <w:pPr>
              <w:spacing w:line="360" w:lineRule="auto"/>
              <w:ind w:left="-420" w:leftChars="-200" w:right="-420" w:rightChars="-200" w:firstLine="480" w:firstLineChars="200"/>
              <w:rPr>
                <w:rFonts w:ascii="宋体" w:hAnsi="宋体" w:cs="宋体"/>
                <w:color w:val="auto"/>
                <w:sz w:val="24"/>
              </w:rPr>
            </w:pP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55B17D61">
            <w:pPr>
              <w:spacing w:line="360" w:lineRule="auto"/>
              <w:rPr>
                <w:rFonts w:ascii="宋体" w:hAnsi="宋体" w:cs="宋体"/>
                <w:color w:val="auto"/>
                <w:sz w:val="24"/>
              </w:rPr>
            </w:pP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9BBBDEE">
            <w:pPr>
              <w:spacing w:line="360" w:lineRule="auto"/>
              <w:rPr>
                <w:rFonts w:ascii="宋体" w:hAnsi="宋体" w:cs="宋体"/>
                <w:color w:val="auto"/>
                <w:sz w:val="24"/>
              </w:rPr>
            </w:pP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1A53CF9F">
            <w:pPr>
              <w:spacing w:line="360" w:lineRule="auto"/>
              <w:rPr>
                <w:rFonts w:ascii="宋体" w:hAnsi="宋体" w:cs="宋体"/>
                <w:color w:val="auto"/>
                <w:sz w:val="24"/>
              </w:rPr>
            </w:pP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6557939">
            <w:pPr>
              <w:spacing w:line="360" w:lineRule="auto"/>
              <w:rPr>
                <w:rFonts w:ascii="宋体" w:hAnsi="宋体" w:cs="宋体"/>
                <w:color w:val="auto"/>
                <w:sz w:val="24"/>
              </w:rPr>
            </w:pP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499456B6">
            <w:pPr>
              <w:spacing w:line="360" w:lineRule="auto"/>
              <w:rPr>
                <w:rFonts w:ascii="宋体" w:hAnsi="宋体" w:cs="宋体"/>
                <w:color w:val="auto"/>
                <w:sz w:val="24"/>
              </w:rPr>
            </w:pPr>
          </w:p>
        </w:tc>
      </w:tr>
    </w:tbl>
    <w:p w14:paraId="5399B8B8">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86"/>
      <w:r>
        <w:rPr>
          <w:rFonts w:hint="eastAsia" w:cs="仿宋_GB2312" w:asciiTheme="minorEastAsia" w:hAnsiTheme="minorEastAsia" w:eastAsiaTheme="minorEastAsia"/>
          <w:b/>
          <w:color w:val="auto"/>
          <w:sz w:val="36"/>
          <w:szCs w:val="20"/>
        </w:rPr>
        <w:t xml:space="preserve">  </w:t>
      </w:r>
      <w:bookmarkEnd w:id="87"/>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桐庐县第二人民医院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sz w:val="24"/>
        </w:rPr>
        <w:t>：</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桐庐县第二人民医院安保服务项目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HCCGTL2025-014</w:t>
      </w:r>
      <w:r>
        <w:rPr>
          <w:rFonts w:hint="eastAsia" w:cs="仿宋_GB2312" w:asciiTheme="minorEastAsia" w:hAnsiTheme="minorEastAsia" w:eastAsiaTheme="minorEastAsia"/>
          <w:color w:val="auto"/>
          <w:sz w:val="24"/>
        </w:rPr>
        <w:t>】的有关活动，并对此项目进行响应。为此：</w:t>
      </w:r>
    </w:p>
    <w:p w14:paraId="60C04568">
      <w:pPr>
        <w:pStyle w:val="105"/>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u w:val="single"/>
          <w:lang w:val="en-US" w:eastAsia="zh-CN"/>
        </w:rPr>
        <w:t>90</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1"/>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桐庐县第二人民医院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华诚工程咨询集团有限公司</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桐庐县第二人民医院安保服务项目</w:t>
      </w:r>
      <w:r>
        <w:rPr>
          <w:rFonts w:hint="eastAsia" w:cs="仿宋_GB2312" w:asciiTheme="minorEastAsia" w:hAnsiTheme="minorEastAsia" w:eastAsiaTheme="minorEastAsia"/>
          <w:color w:val="auto"/>
          <w:kern w:val="0"/>
          <w:sz w:val="24"/>
          <w:lang w:val="zh-CN"/>
        </w:rPr>
        <w:t>【项目编号：HCCGTL2025-014】</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桐庐县第二人民医院安保服务项目</w:t>
      </w:r>
      <w:r>
        <w:rPr>
          <w:rFonts w:hint="eastAsia" w:cs="仿宋_GB2312" w:asciiTheme="minorEastAsia" w:hAnsiTheme="minorEastAsia" w:eastAsiaTheme="minorEastAsia"/>
          <w:color w:val="auto"/>
          <w:kern w:val="0"/>
          <w:sz w:val="24"/>
          <w:lang w:val="zh-CN"/>
        </w:rPr>
        <w:t>【项目编号：HCCGTL2025-014】响应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92"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92"/>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93"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93"/>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94"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94"/>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桐庐县第二人民医院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桐庐县第二人民医院安保服务项目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HCCGTL2025-014</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桐庐县第二人民医院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桐庐县第二人民医院安保服务项目</w:t>
      </w:r>
      <w:r>
        <w:rPr>
          <w:rFonts w:hint="eastAsia" w:cs="仿宋_GB2312" w:asciiTheme="minorEastAsia" w:hAnsiTheme="minorEastAsia" w:eastAsiaTheme="minorEastAsia"/>
          <w:color w:val="auto"/>
          <w:kern w:val="0"/>
          <w:sz w:val="24"/>
          <w:lang w:val="zh-CN"/>
        </w:rPr>
        <w:t>【项目编号：HCCGTL2025-014】政府采购响应的一切事项，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桐庐县第二人民医院安保服务项目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HCCGTL2025-014</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5"/>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4"/>
              <w:spacing w:line="360" w:lineRule="auto"/>
              <w:jc w:val="center"/>
              <w:rPr>
                <w:rFonts w:cs="仿宋_GB2312" w:asciiTheme="minorEastAsia" w:hAnsiTheme="minorEastAsia" w:eastAsiaTheme="minorEastAsia"/>
                <w:color w:val="auto"/>
                <w:sz w:val="24"/>
              </w:rPr>
            </w:pPr>
          </w:p>
        </w:tc>
        <w:tc>
          <w:tcPr>
            <w:tcW w:w="1900" w:type="dxa"/>
          </w:tcPr>
          <w:p w14:paraId="4F3E0BEE">
            <w:pPr>
              <w:pStyle w:val="34"/>
              <w:spacing w:line="360" w:lineRule="auto"/>
              <w:jc w:val="center"/>
              <w:rPr>
                <w:rFonts w:cs="仿宋_GB2312" w:asciiTheme="minorEastAsia" w:hAnsiTheme="minorEastAsia" w:eastAsiaTheme="minorEastAsia"/>
                <w:color w:val="auto"/>
                <w:sz w:val="24"/>
              </w:rPr>
            </w:pPr>
          </w:p>
        </w:tc>
        <w:tc>
          <w:tcPr>
            <w:tcW w:w="1800" w:type="dxa"/>
          </w:tcPr>
          <w:p w14:paraId="34E051D9">
            <w:pPr>
              <w:pStyle w:val="34"/>
              <w:spacing w:line="360" w:lineRule="auto"/>
              <w:jc w:val="center"/>
              <w:rPr>
                <w:rFonts w:cs="仿宋_GB2312" w:asciiTheme="minorEastAsia" w:hAnsiTheme="minorEastAsia" w:eastAsiaTheme="minorEastAsia"/>
                <w:color w:val="auto"/>
                <w:sz w:val="24"/>
              </w:rPr>
            </w:pPr>
          </w:p>
        </w:tc>
        <w:tc>
          <w:tcPr>
            <w:tcW w:w="2880" w:type="dxa"/>
          </w:tcPr>
          <w:p w14:paraId="2BC47641">
            <w:pPr>
              <w:pStyle w:val="34"/>
              <w:spacing w:line="360" w:lineRule="auto"/>
              <w:jc w:val="center"/>
              <w:rPr>
                <w:rFonts w:cs="仿宋_GB2312" w:asciiTheme="minorEastAsia" w:hAnsiTheme="minorEastAsia" w:eastAsiaTheme="minorEastAsia"/>
                <w:color w:val="auto"/>
                <w:sz w:val="24"/>
              </w:rPr>
            </w:pPr>
          </w:p>
        </w:tc>
        <w:tc>
          <w:tcPr>
            <w:tcW w:w="1332" w:type="dxa"/>
          </w:tcPr>
          <w:p w14:paraId="6B34937C">
            <w:pPr>
              <w:pStyle w:val="34"/>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4"/>
              <w:spacing w:line="360" w:lineRule="auto"/>
              <w:jc w:val="center"/>
              <w:rPr>
                <w:rFonts w:cs="仿宋_GB2312" w:asciiTheme="minorEastAsia" w:hAnsiTheme="minorEastAsia" w:eastAsiaTheme="minorEastAsia"/>
                <w:color w:val="auto"/>
                <w:sz w:val="24"/>
              </w:rPr>
            </w:pPr>
          </w:p>
        </w:tc>
        <w:tc>
          <w:tcPr>
            <w:tcW w:w="1900" w:type="dxa"/>
          </w:tcPr>
          <w:p w14:paraId="45455C94">
            <w:pPr>
              <w:pStyle w:val="34"/>
              <w:spacing w:line="360" w:lineRule="auto"/>
              <w:jc w:val="center"/>
              <w:rPr>
                <w:rFonts w:cs="仿宋_GB2312" w:asciiTheme="minorEastAsia" w:hAnsiTheme="minorEastAsia" w:eastAsiaTheme="minorEastAsia"/>
                <w:color w:val="auto"/>
                <w:sz w:val="24"/>
              </w:rPr>
            </w:pPr>
          </w:p>
        </w:tc>
        <w:tc>
          <w:tcPr>
            <w:tcW w:w="1800" w:type="dxa"/>
          </w:tcPr>
          <w:p w14:paraId="5D93ADB1">
            <w:pPr>
              <w:pStyle w:val="34"/>
              <w:spacing w:line="360" w:lineRule="auto"/>
              <w:jc w:val="center"/>
              <w:rPr>
                <w:rFonts w:cs="仿宋_GB2312" w:asciiTheme="minorEastAsia" w:hAnsiTheme="minorEastAsia" w:eastAsiaTheme="minorEastAsia"/>
                <w:color w:val="auto"/>
                <w:sz w:val="24"/>
              </w:rPr>
            </w:pPr>
          </w:p>
        </w:tc>
        <w:tc>
          <w:tcPr>
            <w:tcW w:w="2880" w:type="dxa"/>
          </w:tcPr>
          <w:p w14:paraId="6A070FEB">
            <w:pPr>
              <w:pStyle w:val="34"/>
              <w:spacing w:line="360" w:lineRule="auto"/>
              <w:jc w:val="center"/>
              <w:rPr>
                <w:rFonts w:cs="仿宋_GB2312" w:asciiTheme="minorEastAsia" w:hAnsiTheme="minorEastAsia" w:eastAsiaTheme="minorEastAsia"/>
                <w:color w:val="auto"/>
                <w:sz w:val="24"/>
              </w:rPr>
            </w:pPr>
          </w:p>
        </w:tc>
        <w:tc>
          <w:tcPr>
            <w:tcW w:w="1332" w:type="dxa"/>
          </w:tcPr>
          <w:p w14:paraId="7B10F6F5">
            <w:pPr>
              <w:pStyle w:val="34"/>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4"/>
              <w:spacing w:line="360" w:lineRule="auto"/>
              <w:jc w:val="center"/>
              <w:rPr>
                <w:rFonts w:cs="仿宋_GB2312" w:asciiTheme="minorEastAsia" w:hAnsiTheme="minorEastAsia" w:eastAsiaTheme="minorEastAsia"/>
                <w:color w:val="auto"/>
                <w:sz w:val="24"/>
              </w:rPr>
            </w:pPr>
          </w:p>
        </w:tc>
        <w:tc>
          <w:tcPr>
            <w:tcW w:w="1900" w:type="dxa"/>
          </w:tcPr>
          <w:p w14:paraId="288D92EB">
            <w:pPr>
              <w:pStyle w:val="34"/>
              <w:spacing w:line="360" w:lineRule="auto"/>
              <w:jc w:val="center"/>
              <w:rPr>
                <w:rFonts w:cs="仿宋_GB2312" w:asciiTheme="minorEastAsia" w:hAnsiTheme="minorEastAsia" w:eastAsiaTheme="minorEastAsia"/>
                <w:color w:val="auto"/>
                <w:sz w:val="24"/>
              </w:rPr>
            </w:pPr>
          </w:p>
        </w:tc>
        <w:tc>
          <w:tcPr>
            <w:tcW w:w="1800" w:type="dxa"/>
          </w:tcPr>
          <w:p w14:paraId="585357CB">
            <w:pPr>
              <w:pStyle w:val="34"/>
              <w:spacing w:line="360" w:lineRule="auto"/>
              <w:jc w:val="center"/>
              <w:rPr>
                <w:rFonts w:cs="仿宋_GB2312" w:asciiTheme="minorEastAsia" w:hAnsiTheme="minorEastAsia" w:eastAsiaTheme="minorEastAsia"/>
                <w:color w:val="auto"/>
                <w:sz w:val="24"/>
              </w:rPr>
            </w:pPr>
          </w:p>
        </w:tc>
        <w:tc>
          <w:tcPr>
            <w:tcW w:w="2880" w:type="dxa"/>
          </w:tcPr>
          <w:p w14:paraId="573D3395">
            <w:pPr>
              <w:pStyle w:val="34"/>
              <w:spacing w:line="360" w:lineRule="auto"/>
              <w:jc w:val="center"/>
              <w:rPr>
                <w:rFonts w:cs="仿宋_GB2312" w:asciiTheme="minorEastAsia" w:hAnsiTheme="minorEastAsia" w:eastAsiaTheme="minorEastAsia"/>
                <w:color w:val="auto"/>
                <w:sz w:val="24"/>
              </w:rPr>
            </w:pPr>
          </w:p>
        </w:tc>
        <w:tc>
          <w:tcPr>
            <w:tcW w:w="1332" w:type="dxa"/>
          </w:tcPr>
          <w:p w14:paraId="5BFCE30E">
            <w:pPr>
              <w:pStyle w:val="34"/>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4"/>
              <w:spacing w:line="360" w:lineRule="auto"/>
              <w:jc w:val="center"/>
              <w:rPr>
                <w:rFonts w:cs="仿宋_GB2312" w:asciiTheme="minorEastAsia" w:hAnsiTheme="minorEastAsia" w:eastAsiaTheme="minorEastAsia"/>
                <w:color w:val="auto"/>
                <w:sz w:val="24"/>
              </w:rPr>
            </w:pPr>
          </w:p>
        </w:tc>
        <w:tc>
          <w:tcPr>
            <w:tcW w:w="1900" w:type="dxa"/>
          </w:tcPr>
          <w:p w14:paraId="23194971">
            <w:pPr>
              <w:pStyle w:val="34"/>
              <w:spacing w:line="360" w:lineRule="auto"/>
              <w:jc w:val="center"/>
              <w:rPr>
                <w:rFonts w:cs="仿宋_GB2312" w:asciiTheme="minorEastAsia" w:hAnsiTheme="minorEastAsia" w:eastAsiaTheme="minorEastAsia"/>
                <w:color w:val="auto"/>
                <w:sz w:val="24"/>
              </w:rPr>
            </w:pPr>
          </w:p>
        </w:tc>
        <w:tc>
          <w:tcPr>
            <w:tcW w:w="1800" w:type="dxa"/>
          </w:tcPr>
          <w:p w14:paraId="6BFDB07E">
            <w:pPr>
              <w:pStyle w:val="34"/>
              <w:spacing w:line="360" w:lineRule="auto"/>
              <w:jc w:val="center"/>
              <w:rPr>
                <w:rFonts w:cs="仿宋_GB2312" w:asciiTheme="minorEastAsia" w:hAnsiTheme="minorEastAsia" w:eastAsiaTheme="minorEastAsia"/>
                <w:color w:val="auto"/>
                <w:sz w:val="24"/>
              </w:rPr>
            </w:pPr>
          </w:p>
        </w:tc>
        <w:tc>
          <w:tcPr>
            <w:tcW w:w="2880" w:type="dxa"/>
          </w:tcPr>
          <w:p w14:paraId="06A284D4">
            <w:pPr>
              <w:pStyle w:val="34"/>
              <w:spacing w:line="360" w:lineRule="auto"/>
              <w:jc w:val="center"/>
              <w:rPr>
                <w:rFonts w:cs="仿宋_GB2312" w:asciiTheme="minorEastAsia" w:hAnsiTheme="minorEastAsia" w:eastAsiaTheme="minorEastAsia"/>
                <w:color w:val="auto"/>
                <w:sz w:val="24"/>
              </w:rPr>
            </w:pPr>
          </w:p>
        </w:tc>
        <w:tc>
          <w:tcPr>
            <w:tcW w:w="1332" w:type="dxa"/>
          </w:tcPr>
          <w:p w14:paraId="0E226CE9">
            <w:pPr>
              <w:pStyle w:val="34"/>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4"/>
              <w:spacing w:line="360" w:lineRule="auto"/>
              <w:jc w:val="center"/>
              <w:rPr>
                <w:rFonts w:cs="仿宋_GB2312" w:asciiTheme="minorEastAsia" w:hAnsiTheme="minorEastAsia" w:eastAsiaTheme="minorEastAsia"/>
                <w:color w:val="auto"/>
                <w:sz w:val="24"/>
              </w:rPr>
            </w:pPr>
          </w:p>
        </w:tc>
        <w:tc>
          <w:tcPr>
            <w:tcW w:w="1900" w:type="dxa"/>
          </w:tcPr>
          <w:p w14:paraId="7CDA8FDA">
            <w:pPr>
              <w:pStyle w:val="34"/>
              <w:spacing w:line="360" w:lineRule="auto"/>
              <w:jc w:val="center"/>
              <w:rPr>
                <w:rFonts w:cs="仿宋_GB2312" w:asciiTheme="minorEastAsia" w:hAnsiTheme="minorEastAsia" w:eastAsiaTheme="minorEastAsia"/>
                <w:color w:val="auto"/>
                <w:sz w:val="24"/>
              </w:rPr>
            </w:pPr>
          </w:p>
        </w:tc>
        <w:tc>
          <w:tcPr>
            <w:tcW w:w="1800" w:type="dxa"/>
          </w:tcPr>
          <w:p w14:paraId="04467D2A">
            <w:pPr>
              <w:pStyle w:val="34"/>
              <w:spacing w:line="360" w:lineRule="auto"/>
              <w:jc w:val="center"/>
              <w:rPr>
                <w:rFonts w:cs="仿宋_GB2312" w:asciiTheme="minorEastAsia" w:hAnsiTheme="minorEastAsia" w:eastAsiaTheme="minorEastAsia"/>
                <w:color w:val="auto"/>
                <w:sz w:val="24"/>
              </w:rPr>
            </w:pPr>
          </w:p>
        </w:tc>
        <w:tc>
          <w:tcPr>
            <w:tcW w:w="2880" w:type="dxa"/>
          </w:tcPr>
          <w:p w14:paraId="377B2673">
            <w:pPr>
              <w:pStyle w:val="34"/>
              <w:spacing w:line="360" w:lineRule="auto"/>
              <w:jc w:val="center"/>
              <w:rPr>
                <w:rFonts w:cs="仿宋_GB2312" w:asciiTheme="minorEastAsia" w:hAnsiTheme="minorEastAsia" w:eastAsiaTheme="minorEastAsia"/>
                <w:color w:val="auto"/>
                <w:sz w:val="24"/>
              </w:rPr>
            </w:pPr>
          </w:p>
        </w:tc>
        <w:tc>
          <w:tcPr>
            <w:tcW w:w="1332" w:type="dxa"/>
          </w:tcPr>
          <w:p w14:paraId="3BE51CF0">
            <w:pPr>
              <w:pStyle w:val="34"/>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4"/>
              <w:spacing w:line="360" w:lineRule="auto"/>
              <w:rPr>
                <w:rFonts w:cs="仿宋_GB2312" w:asciiTheme="minorEastAsia" w:hAnsiTheme="minorEastAsia" w:eastAsiaTheme="minorEastAsia"/>
                <w:color w:val="auto"/>
                <w:sz w:val="24"/>
              </w:rPr>
            </w:pPr>
          </w:p>
        </w:tc>
        <w:tc>
          <w:tcPr>
            <w:tcW w:w="1900" w:type="dxa"/>
          </w:tcPr>
          <w:p w14:paraId="43EEAD2E">
            <w:pPr>
              <w:pStyle w:val="34"/>
              <w:spacing w:line="360" w:lineRule="auto"/>
              <w:jc w:val="center"/>
              <w:rPr>
                <w:rFonts w:cs="仿宋_GB2312" w:asciiTheme="minorEastAsia" w:hAnsiTheme="minorEastAsia" w:eastAsiaTheme="minorEastAsia"/>
                <w:color w:val="auto"/>
                <w:sz w:val="24"/>
              </w:rPr>
            </w:pPr>
          </w:p>
        </w:tc>
        <w:tc>
          <w:tcPr>
            <w:tcW w:w="1800" w:type="dxa"/>
          </w:tcPr>
          <w:p w14:paraId="2633FF68">
            <w:pPr>
              <w:pStyle w:val="34"/>
              <w:spacing w:line="360" w:lineRule="auto"/>
              <w:jc w:val="center"/>
              <w:rPr>
                <w:rFonts w:cs="仿宋_GB2312" w:asciiTheme="minorEastAsia" w:hAnsiTheme="minorEastAsia" w:eastAsiaTheme="minorEastAsia"/>
                <w:color w:val="auto"/>
                <w:sz w:val="24"/>
              </w:rPr>
            </w:pPr>
          </w:p>
        </w:tc>
        <w:tc>
          <w:tcPr>
            <w:tcW w:w="2880" w:type="dxa"/>
          </w:tcPr>
          <w:p w14:paraId="566C5169">
            <w:pPr>
              <w:pStyle w:val="34"/>
              <w:spacing w:line="360" w:lineRule="auto"/>
              <w:jc w:val="center"/>
              <w:rPr>
                <w:rFonts w:cs="仿宋_GB2312" w:asciiTheme="minorEastAsia" w:hAnsiTheme="minorEastAsia" w:eastAsiaTheme="minorEastAsia"/>
                <w:color w:val="auto"/>
                <w:sz w:val="24"/>
              </w:rPr>
            </w:pPr>
          </w:p>
        </w:tc>
        <w:tc>
          <w:tcPr>
            <w:tcW w:w="1332" w:type="dxa"/>
          </w:tcPr>
          <w:p w14:paraId="680771E7">
            <w:pPr>
              <w:pStyle w:val="34"/>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4"/>
              <w:spacing w:line="360" w:lineRule="auto"/>
              <w:jc w:val="center"/>
              <w:rPr>
                <w:rFonts w:cs="仿宋_GB2312" w:asciiTheme="minorEastAsia" w:hAnsiTheme="minorEastAsia" w:eastAsiaTheme="minorEastAsia"/>
                <w:color w:val="auto"/>
                <w:sz w:val="24"/>
              </w:rPr>
            </w:pPr>
          </w:p>
        </w:tc>
        <w:tc>
          <w:tcPr>
            <w:tcW w:w="1900" w:type="dxa"/>
          </w:tcPr>
          <w:p w14:paraId="73C593D1">
            <w:pPr>
              <w:pStyle w:val="34"/>
              <w:spacing w:line="360" w:lineRule="auto"/>
              <w:jc w:val="center"/>
              <w:rPr>
                <w:rFonts w:cs="仿宋_GB2312" w:asciiTheme="minorEastAsia" w:hAnsiTheme="minorEastAsia" w:eastAsiaTheme="minorEastAsia"/>
                <w:color w:val="auto"/>
                <w:sz w:val="24"/>
              </w:rPr>
            </w:pPr>
          </w:p>
        </w:tc>
        <w:tc>
          <w:tcPr>
            <w:tcW w:w="1800" w:type="dxa"/>
          </w:tcPr>
          <w:p w14:paraId="50F516DE">
            <w:pPr>
              <w:pStyle w:val="34"/>
              <w:spacing w:line="360" w:lineRule="auto"/>
              <w:jc w:val="center"/>
              <w:rPr>
                <w:rFonts w:cs="仿宋_GB2312" w:asciiTheme="minorEastAsia" w:hAnsiTheme="minorEastAsia" w:eastAsiaTheme="minorEastAsia"/>
                <w:color w:val="auto"/>
                <w:sz w:val="24"/>
              </w:rPr>
            </w:pPr>
          </w:p>
        </w:tc>
        <w:tc>
          <w:tcPr>
            <w:tcW w:w="2880" w:type="dxa"/>
          </w:tcPr>
          <w:p w14:paraId="17FB997C">
            <w:pPr>
              <w:pStyle w:val="34"/>
              <w:spacing w:line="360" w:lineRule="auto"/>
              <w:jc w:val="center"/>
              <w:rPr>
                <w:rFonts w:cs="仿宋_GB2312" w:asciiTheme="minorEastAsia" w:hAnsiTheme="minorEastAsia" w:eastAsiaTheme="minorEastAsia"/>
                <w:color w:val="auto"/>
                <w:sz w:val="24"/>
              </w:rPr>
            </w:pPr>
          </w:p>
        </w:tc>
        <w:tc>
          <w:tcPr>
            <w:tcW w:w="1332" w:type="dxa"/>
          </w:tcPr>
          <w:p w14:paraId="51DBF068">
            <w:pPr>
              <w:pStyle w:val="34"/>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桐庐县第二人民医院</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04575D9">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桐庐县第二人民医院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桐庐县第二人民医院安保服务项目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HCCGTL2025-014</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95"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95"/>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桐庐县第二人民医院</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桐庐县第二人民医院安保服务项目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桐庐县第二人民医院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华诚工程咨询集团有限公司</w:t>
      </w:r>
      <w:r>
        <w:rPr>
          <w:rFonts w:hint="eastAsia" w:cs="仿宋_GB2312" w:asciiTheme="minorEastAsia" w:hAnsiTheme="minorEastAsia" w:eastAsiaTheme="minorEastAsia"/>
          <w:color w:val="auto"/>
          <w:sz w:val="24"/>
        </w:rPr>
        <w:t>：</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桐庐县第二人民医院安保服务项目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HCCGTL2025-014</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桐庐县第二人民医院</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桐庐县第二人民医院安保服务项目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7F475564">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Noto Sans SC"/>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40"/>
      <w:framePr w:wrap="around" w:vAnchor="text" w:hAnchor="margin" w:xAlign="right" w:y="1"/>
      <w:rPr>
        <w:rStyle w:val="64"/>
      </w:rPr>
    </w:pPr>
    <w:r>
      <w:fldChar w:fldCharType="begin"/>
    </w:r>
    <w:r>
      <w:rPr>
        <w:rStyle w:val="64"/>
      </w:rPr>
      <w:instrText xml:space="preserve">PAGE  </w:instrText>
    </w:r>
    <w:r>
      <w:fldChar w:fldCharType="end"/>
    </w:r>
  </w:p>
  <w:p w14:paraId="3F34B94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40"/>
      <w:framePr w:wrap="around" w:vAnchor="text" w:hAnchor="margin" w:xAlign="right" w:y="1"/>
      <w:rPr>
        <w:rStyle w:val="64"/>
      </w:rPr>
    </w:pPr>
    <w:r>
      <w:fldChar w:fldCharType="begin"/>
    </w:r>
    <w:r>
      <w:rPr>
        <w:rStyle w:val="64"/>
      </w:rPr>
      <w:instrText xml:space="preserve">PAGE  </w:instrText>
    </w:r>
    <w:r>
      <w:fldChar w:fldCharType="end"/>
    </w:r>
  </w:p>
  <w:p w14:paraId="49CD9CF1">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96" w:name="_Toc91899912"/>
    <w:bookmarkStart w:id="197" w:name="_Toc131845147"/>
    <w:bookmarkStart w:id="198" w:name="_Toc164085800"/>
    <w:bookmarkStart w:id="199" w:name="_Toc36110187"/>
    <w:r>
      <w:rPr>
        <w:rFonts w:hint="eastAsia" w:ascii="仿宋_GB2312" w:eastAsia="仿宋_GB2312"/>
        <w:kern w:val="0"/>
        <w:szCs w:val="21"/>
      </w:rPr>
      <w:t xml:space="preserve"> 页</w:t>
    </w:r>
    <w:bookmarkEnd w:id="196"/>
    <w:bookmarkEnd w:id="197"/>
    <w:bookmarkEnd w:id="198"/>
    <w:bookmarkEnd w:id="19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13537F52"/>
    <w:multiLevelType w:val="multilevel"/>
    <w:tmpl w:val="13537F52"/>
    <w:lvl w:ilvl="0" w:tentative="0">
      <w:start w:val="1"/>
      <w:numFmt w:val="decimal"/>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5"/>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74E5106"/>
    <w:rsid w:val="075562B7"/>
    <w:rsid w:val="07F6164B"/>
    <w:rsid w:val="084D1E2B"/>
    <w:rsid w:val="087A1B7A"/>
    <w:rsid w:val="096B2097"/>
    <w:rsid w:val="0A5B7E63"/>
    <w:rsid w:val="0ACD4199"/>
    <w:rsid w:val="0B68215D"/>
    <w:rsid w:val="0C87121B"/>
    <w:rsid w:val="0DF702FE"/>
    <w:rsid w:val="0E3F698B"/>
    <w:rsid w:val="0F21508F"/>
    <w:rsid w:val="0F816ACD"/>
    <w:rsid w:val="0FB94501"/>
    <w:rsid w:val="10B047CF"/>
    <w:rsid w:val="10FC16EA"/>
    <w:rsid w:val="118963A1"/>
    <w:rsid w:val="127723A9"/>
    <w:rsid w:val="13072A44"/>
    <w:rsid w:val="132F6A72"/>
    <w:rsid w:val="145044FA"/>
    <w:rsid w:val="14BC0E42"/>
    <w:rsid w:val="186742B0"/>
    <w:rsid w:val="1B2A271F"/>
    <w:rsid w:val="1B890139"/>
    <w:rsid w:val="1D266CE1"/>
    <w:rsid w:val="1D3963AF"/>
    <w:rsid w:val="1E714A66"/>
    <w:rsid w:val="1FE868A9"/>
    <w:rsid w:val="211E26D6"/>
    <w:rsid w:val="21283D08"/>
    <w:rsid w:val="25B440B3"/>
    <w:rsid w:val="262F5F21"/>
    <w:rsid w:val="2AA1365A"/>
    <w:rsid w:val="2DC46415"/>
    <w:rsid w:val="2DD15014"/>
    <w:rsid w:val="2E00644A"/>
    <w:rsid w:val="2F9B0B20"/>
    <w:rsid w:val="2FB44A0F"/>
    <w:rsid w:val="2FD25781"/>
    <w:rsid w:val="316311C9"/>
    <w:rsid w:val="319C6071"/>
    <w:rsid w:val="31A905EB"/>
    <w:rsid w:val="322E1CFE"/>
    <w:rsid w:val="32DB72BE"/>
    <w:rsid w:val="342E63AB"/>
    <w:rsid w:val="345D260B"/>
    <w:rsid w:val="365302AE"/>
    <w:rsid w:val="37F142D2"/>
    <w:rsid w:val="396D7B86"/>
    <w:rsid w:val="39A13F14"/>
    <w:rsid w:val="3B6A5AD3"/>
    <w:rsid w:val="3B79C5FC"/>
    <w:rsid w:val="3C5F759A"/>
    <w:rsid w:val="3D5C78D4"/>
    <w:rsid w:val="3FFF72A6"/>
    <w:rsid w:val="42103979"/>
    <w:rsid w:val="42E1381E"/>
    <w:rsid w:val="43FB717C"/>
    <w:rsid w:val="451E447A"/>
    <w:rsid w:val="45345B76"/>
    <w:rsid w:val="45B44352"/>
    <w:rsid w:val="47307808"/>
    <w:rsid w:val="48174852"/>
    <w:rsid w:val="486F747C"/>
    <w:rsid w:val="4AC62A0B"/>
    <w:rsid w:val="4D861CF6"/>
    <w:rsid w:val="4E4D5946"/>
    <w:rsid w:val="51A0432A"/>
    <w:rsid w:val="527140E5"/>
    <w:rsid w:val="5292508F"/>
    <w:rsid w:val="52A96B6F"/>
    <w:rsid w:val="545735C7"/>
    <w:rsid w:val="550764A4"/>
    <w:rsid w:val="551926E0"/>
    <w:rsid w:val="553D0290"/>
    <w:rsid w:val="561279B9"/>
    <w:rsid w:val="56515F3B"/>
    <w:rsid w:val="5676E2BD"/>
    <w:rsid w:val="572B71CA"/>
    <w:rsid w:val="57E958DA"/>
    <w:rsid w:val="58AE4F0C"/>
    <w:rsid w:val="5A2A7C7B"/>
    <w:rsid w:val="5BE02A4F"/>
    <w:rsid w:val="5C80234E"/>
    <w:rsid w:val="5D9A7FA7"/>
    <w:rsid w:val="5E261785"/>
    <w:rsid w:val="5E8425FB"/>
    <w:rsid w:val="5FCC5339"/>
    <w:rsid w:val="5FE70807"/>
    <w:rsid w:val="60E53485"/>
    <w:rsid w:val="61054A27"/>
    <w:rsid w:val="611D2366"/>
    <w:rsid w:val="612A3574"/>
    <w:rsid w:val="62885958"/>
    <w:rsid w:val="64CE2EAA"/>
    <w:rsid w:val="662E75B1"/>
    <w:rsid w:val="66342C2E"/>
    <w:rsid w:val="663E784C"/>
    <w:rsid w:val="685867EC"/>
    <w:rsid w:val="6E8E12EF"/>
    <w:rsid w:val="71D43752"/>
    <w:rsid w:val="72A11F2B"/>
    <w:rsid w:val="72FFFA5B"/>
    <w:rsid w:val="73DD6243"/>
    <w:rsid w:val="749C4185"/>
    <w:rsid w:val="75DA2C18"/>
    <w:rsid w:val="775319EF"/>
    <w:rsid w:val="782D083A"/>
    <w:rsid w:val="790F1C77"/>
    <w:rsid w:val="7A67303B"/>
    <w:rsid w:val="7AAB1D04"/>
    <w:rsid w:val="7ABA4368"/>
    <w:rsid w:val="7B257FFD"/>
    <w:rsid w:val="7C2B1DA5"/>
    <w:rsid w:val="7DF4317E"/>
    <w:rsid w:val="7E64308B"/>
    <w:rsid w:val="7EFDE7A7"/>
    <w:rsid w:val="7EFF730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1"/>
    <w:qFormat/>
    <w:uiPriority w:val="0"/>
    <w:pPr>
      <w:adjustRightInd/>
      <w:spacing w:after="120" w:line="240" w:lineRule="auto"/>
      <w:ind w:left="420" w:leftChars="200" w:firstLine="210"/>
    </w:pPr>
    <w:rPr>
      <w:sz w:val="21"/>
    </w:rPr>
  </w:style>
  <w:style w:type="paragraph" w:styleId="3">
    <w:name w:val="Body Text Indent"/>
    <w:basedOn w:val="1"/>
    <w:next w:val="1"/>
    <w:link w:val="47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25"/>
    <w:link w:val="511"/>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4"/>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8"/>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7"/>
    <w:qFormat/>
    <w:uiPriority w:val="0"/>
    <w:pPr>
      <w:ind w:left="100" w:leftChars="2500"/>
    </w:pPr>
    <w:rPr>
      <w:rFonts w:ascii="宋体"/>
      <w:sz w:val="24"/>
      <w:szCs w:val="21"/>
      <w:lang w:val="zh-CN"/>
    </w:rPr>
  </w:style>
  <w:style w:type="paragraph" w:styleId="38">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9">
    <w:name w:val="Balloon Text"/>
    <w:basedOn w:val="1"/>
    <w:link w:val="614"/>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7"/>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8"/>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2"/>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1"/>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50"/>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7"/>
    <w:qFormat/>
    <w:uiPriority w:val="0"/>
    <w:rPr>
      <w:rFonts w:ascii="Arial" w:hAnsi="Arial" w:eastAsia="隶书"/>
      <w:b/>
      <w:bCs/>
      <w:kern w:val="28"/>
      <w:sz w:val="44"/>
      <w:szCs w:val="32"/>
      <w:lang w:val="en-US" w:eastAsia="zh-CN" w:bidi="ar-SA"/>
    </w:rPr>
  </w:style>
  <w:style w:type="character" w:customStyle="1" w:styleId="48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
    <w:qFormat/>
    <w:uiPriority w:val="0"/>
    <w:rPr>
      <w:rFonts w:ascii="宋体" w:hAnsi="宋体"/>
      <w:kern w:val="2"/>
      <w:sz w:val="21"/>
      <w:szCs w:val="24"/>
    </w:rPr>
  </w:style>
  <w:style w:type="character" w:customStyle="1" w:styleId="502">
    <w:name w:val="正文文本缩进 2 Char"/>
    <w:link w:val="38"/>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5"/>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1"/>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7"/>
    <w:qFormat/>
    <w:uiPriority w:val="0"/>
    <w:rPr>
      <w:rFonts w:ascii="宋体"/>
      <w:kern w:val="2"/>
      <w:sz w:val="24"/>
      <w:szCs w:val="21"/>
      <w:lang w:val="zh-CN"/>
    </w:rPr>
  </w:style>
  <w:style w:type="character" w:customStyle="1" w:styleId="598">
    <w:name w:val="标题 4 Char"/>
    <w:link w:val="7"/>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9"/>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39"/>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14636</Words>
  <Characters>15488</Characters>
  <Lines>379</Lines>
  <Paragraphs>106</Paragraphs>
  <TotalTime>8</TotalTime>
  <ScaleCrop>false</ScaleCrop>
  <LinksUpToDate>false</LinksUpToDate>
  <CharactersWithSpaces>15945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CHEN</cp:lastModifiedBy>
  <cp:lastPrinted>2025-06-17T07:11:00Z</cp:lastPrinted>
  <dcterms:modified xsi:type="dcterms:W3CDTF">2025-06-24T07:00:43Z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4549E6CA29D64658AF2A60873C0387DC_13</vt:lpwstr>
  </property>
  <property fmtid="{D5CDD505-2E9C-101B-9397-08002B2CF9AE}" pid="4" name="KSOTemplateDocerSaveRecord">
    <vt:lpwstr>eyJoZGlkIjoiNDcyYWUyYzgzYTkwNTU4MGQ3YWRhMzk4NjJmMDgwZGEiLCJ1c2VySWQiOiIxMTM0NzAzMzU1In0=</vt:lpwstr>
  </property>
</Properties>
</file>