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sz w:val="24"/>
        </w:rPr>
      </w:pPr>
    </w:p>
    <w:p w14:paraId="77A9557B">
      <w:pPr>
        <w:spacing w:line="360" w:lineRule="auto"/>
        <w:jc w:val="center"/>
        <w:rPr>
          <w:rFonts w:ascii="宋体" w:hAnsi="宋体" w:cs="宋体"/>
          <w:b/>
          <w:sz w:val="24"/>
        </w:rPr>
      </w:pPr>
    </w:p>
    <w:p w14:paraId="47548AC0">
      <w:pPr>
        <w:adjustRightInd/>
        <w:spacing w:line="360" w:lineRule="auto"/>
        <w:jc w:val="center"/>
        <w:rPr>
          <w:rFonts w:ascii="宋体" w:hAnsi="宋体" w:cs="宋体"/>
          <w:b/>
          <w:sz w:val="48"/>
          <w:szCs w:val="48"/>
        </w:rPr>
      </w:pPr>
    </w:p>
    <w:p w14:paraId="499C1610">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2025年至2026年临安区小型水库山塘维修养护服务——玲珑片土建维修服务采购</w:t>
      </w:r>
    </w:p>
    <w:p w14:paraId="695F9BF8">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32DE3E05">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（电子交易）</w:t>
      </w:r>
    </w:p>
    <w:p w14:paraId="501EA49F">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编号:临[2025]1036号</w:t>
      </w:r>
    </w:p>
    <w:p w14:paraId="2D98097E">
      <w:pPr>
        <w:adjustRightInd/>
        <w:spacing w:line="360" w:lineRule="auto"/>
        <w:rPr>
          <w:rFonts w:ascii="宋体" w:hAnsi="宋体" w:cs="宋体"/>
          <w:sz w:val="28"/>
          <w:szCs w:val="20"/>
        </w:rPr>
      </w:pPr>
    </w:p>
    <w:p w14:paraId="52A46C03">
      <w:pPr>
        <w:spacing w:line="360" w:lineRule="auto"/>
        <w:jc w:val="center"/>
        <w:rPr>
          <w:rFonts w:ascii="宋体" w:hAnsi="宋体" w:cs="宋体"/>
          <w:b/>
          <w:sz w:val="44"/>
          <w:szCs w:val="44"/>
        </w:rPr>
      </w:pPr>
      <w:r>
        <w:rPr>
          <w:rFonts w:hint="eastAsia" w:ascii="宋体" w:hAnsi="宋体" w:cs="宋体"/>
          <w:b/>
          <w:sz w:val="44"/>
          <w:szCs w:val="44"/>
        </w:rPr>
        <w:t xml:space="preserve"> </w:t>
      </w:r>
    </w:p>
    <w:p w14:paraId="7B2F3ED0">
      <w:pPr>
        <w:spacing w:line="360" w:lineRule="auto"/>
        <w:jc w:val="center"/>
        <w:rPr>
          <w:rFonts w:ascii="宋体" w:hAnsi="宋体" w:cs="宋体"/>
          <w:b/>
          <w:sz w:val="44"/>
          <w:szCs w:val="44"/>
        </w:rPr>
      </w:pPr>
    </w:p>
    <w:p w14:paraId="00C6A9BE">
      <w:pPr>
        <w:spacing w:line="360" w:lineRule="auto"/>
        <w:jc w:val="center"/>
        <w:rPr>
          <w:rFonts w:ascii="宋体" w:hAnsi="宋体" w:cs="宋体"/>
          <w:sz w:val="24"/>
        </w:rPr>
      </w:pPr>
    </w:p>
    <w:p w14:paraId="3693E0E1">
      <w:pPr>
        <w:spacing w:line="360" w:lineRule="auto"/>
        <w:jc w:val="center"/>
        <w:rPr>
          <w:rFonts w:ascii="宋体" w:hAnsi="宋体" w:cs="宋体"/>
          <w:sz w:val="24"/>
        </w:rPr>
      </w:pPr>
    </w:p>
    <w:p w14:paraId="7382B24D">
      <w:pPr>
        <w:spacing w:line="360" w:lineRule="auto"/>
        <w:rPr>
          <w:rFonts w:ascii="宋体" w:hAnsi="宋体" w:cs="宋体"/>
          <w:sz w:val="32"/>
          <w:szCs w:val="32"/>
        </w:rPr>
      </w:pPr>
    </w:p>
    <w:p w14:paraId="31EFBEE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14:paraId="2D678AD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1FA21930">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3284AE6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56165FC">
      <w:pPr>
        <w:spacing w:line="360" w:lineRule="auto"/>
        <w:jc w:val="center"/>
        <w:rPr>
          <w:rFonts w:ascii="宋体" w:hAnsi="宋体" w:cs="宋体"/>
          <w:sz w:val="24"/>
        </w:rPr>
      </w:pPr>
    </w:p>
    <w:p w14:paraId="2D381D25">
      <w:pPr>
        <w:spacing w:line="360" w:lineRule="auto"/>
        <w:jc w:val="center"/>
        <w:rPr>
          <w:rFonts w:ascii="宋体" w:hAnsi="宋体" w:cs="宋体"/>
          <w:b/>
          <w:sz w:val="48"/>
          <w:szCs w:val="48"/>
        </w:rPr>
      </w:pPr>
      <w:r>
        <w:rPr>
          <w:rFonts w:hint="eastAsia" w:ascii="宋体" w:hAnsi="宋体" w:cs="宋体"/>
          <w:b/>
          <w:sz w:val="48"/>
          <w:szCs w:val="48"/>
        </w:rPr>
        <w:t>目  录</w:t>
      </w:r>
    </w:p>
    <w:p w14:paraId="0FA935CF">
      <w:pPr>
        <w:spacing w:line="360" w:lineRule="auto"/>
        <w:rPr>
          <w:rFonts w:ascii="宋体" w:hAnsi="宋体" w:cs="宋体"/>
          <w:sz w:val="32"/>
          <w:szCs w:val="32"/>
        </w:rPr>
      </w:pPr>
    </w:p>
    <w:p w14:paraId="257C6D45">
      <w:pPr>
        <w:spacing w:line="360" w:lineRule="auto"/>
        <w:rPr>
          <w:rFonts w:ascii="宋体" w:hAnsi="宋体" w:cs="宋体"/>
          <w:sz w:val="32"/>
          <w:szCs w:val="32"/>
        </w:rPr>
      </w:pPr>
    </w:p>
    <w:p w14:paraId="15932255">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64F1E07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A03B5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55B6D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F63725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E9AF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59DB279">
      <w:pPr>
        <w:spacing w:line="360" w:lineRule="auto"/>
        <w:ind w:firstLine="1280" w:firstLineChars="400"/>
        <w:rPr>
          <w:rFonts w:ascii="宋体" w:hAnsi="宋体" w:cs="宋体"/>
          <w:sz w:val="32"/>
          <w:szCs w:val="32"/>
        </w:rPr>
      </w:pPr>
    </w:p>
    <w:p w14:paraId="76870372">
      <w:pPr>
        <w:spacing w:line="360" w:lineRule="auto"/>
        <w:ind w:firstLine="549" w:firstLineChars="229"/>
        <w:rPr>
          <w:rFonts w:ascii="宋体" w:hAnsi="宋体" w:cs="宋体"/>
          <w:sz w:val="24"/>
        </w:rPr>
      </w:pPr>
      <w:bookmarkStart w:id="1" w:name="_Hlt91233176"/>
      <w:bookmarkEnd w:id="1"/>
      <w:bookmarkStart w:id="2" w:name="_Toc91899869"/>
    </w:p>
    <w:p w14:paraId="39282CF7">
      <w:pPr>
        <w:spacing w:line="360" w:lineRule="auto"/>
        <w:ind w:firstLine="549" w:firstLineChars="229"/>
        <w:rPr>
          <w:rFonts w:ascii="宋体" w:hAnsi="宋体" w:cs="宋体"/>
          <w:sz w:val="24"/>
        </w:rPr>
      </w:pPr>
    </w:p>
    <w:p w14:paraId="3265EC67">
      <w:pPr>
        <w:spacing w:line="360" w:lineRule="auto"/>
        <w:ind w:firstLine="549" w:firstLineChars="229"/>
        <w:rPr>
          <w:rFonts w:ascii="宋体" w:hAnsi="宋体" w:cs="宋体"/>
          <w:sz w:val="24"/>
        </w:rPr>
      </w:pPr>
    </w:p>
    <w:p w14:paraId="32A86F4F">
      <w:pPr>
        <w:spacing w:line="360" w:lineRule="auto"/>
        <w:ind w:firstLine="549" w:firstLineChars="229"/>
        <w:rPr>
          <w:rFonts w:ascii="宋体" w:hAnsi="宋体" w:cs="宋体"/>
          <w:sz w:val="24"/>
        </w:rPr>
      </w:pPr>
    </w:p>
    <w:p w14:paraId="3976C189">
      <w:pPr>
        <w:spacing w:line="360" w:lineRule="auto"/>
        <w:ind w:firstLine="549" w:firstLineChars="229"/>
        <w:rPr>
          <w:rFonts w:ascii="宋体" w:hAnsi="宋体" w:cs="宋体"/>
          <w:sz w:val="24"/>
        </w:rPr>
      </w:pPr>
    </w:p>
    <w:p w14:paraId="31C95E4F">
      <w:pPr>
        <w:spacing w:line="360" w:lineRule="auto"/>
        <w:ind w:firstLine="549" w:firstLineChars="229"/>
        <w:rPr>
          <w:rFonts w:ascii="宋体" w:hAnsi="宋体" w:cs="宋体"/>
          <w:sz w:val="24"/>
        </w:rPr>
      </w:pPr>
    </w:p>
    <w:p w14:paraId="679C9843">
      <w:pPr>
        <w:spacing w:line="360" w:lineRule="auto"/>
        <w:ind w:firstLine="549" w:firstLineChars="229"/>
        <w:rPr>
          <w:rFonts w:ascii="宋体" w:hAnsi="宋体" w:cs="宋体"/>
          <w:sz w:val="24"/>
        </w:rPr>
      </w:pPr>
    </w:p>
    <w:p w14:paraId="4F6FC5E8">
      <w:pPr>
        <w:spacing w:line="360" w:lineRule="auto"/>
        <w:ind w:firstLine="549" w:firstLineChars="229"/>
        <w:rPr>
          <w:rFonts w:ascii="宋体" w:hAnsi="宋体" w:cs="宋体"/>
          <w:sz w:val="24"/>
        </w:rPr>
      </w:pPr>
    </w:p>
    <w:p w14:paraId="5ED83DF8">
      <w:pPr>
        <w:spacing w:line="360" w:lineRule="auto"/>
        <w:ind w:firstLine="549" w:firstLineChars="229"/>
        <w:rPr>
          <w:rFonts w:ascii="宋体" w:hAnsi="宋体" w:cs="宋体"/>
          <w:sz w:val="24"/>
        </w:rPr>
      </w:pPr>
    </w:p>
    <w:p w14:paraId="000E2795">
      <w:pPr>
        <w:spacing w:line="360" w:lineRule="auto"/>
        <w:ind w:firstLine="549" w:firstLineChars="229"/>
        <w:rPr>
          <w:rFonts w:ascii="宋体" w:hAnsi="宋体" w:cs="宋体"/>
          <w:sz w:val="24"/>
        </w:rPr>
      </w:pPr>
    </w:p>
    <w:p w14:paraId="1F5456DF">
      <w:pPr>
        <w:spacing w:line="360" w:lineRule="auto"/>
        <w:ind w:firstLine="549" w:firstLineChars="229"/>
        <w:rPr>
          <w:rFonts w:ascii="宋体" w:hAnsi="宋体" w:cs="宋体"/>
          <w:sz w:val="24"/>
        </w:rPr>
      </w:pPr>
    </w:p>
    <w:p w14:paraId="63D05FD4">
      <w:pPr>
        <w:spacing w:line="360" w:lineRule="auto"/>
        <w:ind w:firstLine="549" w:firstLineChars="229"/>
        <w:rPr>
          <w:rFonts w:ascii="宋体" w:hAnsi="宋体" w:cs="宋体"/>
          <w:sz w:val="24"/>
        </w:rPr>
      </w:pPr>
    </w:p>
    <w:p w14:paraId="2D4B33FC">
      <w:pPr>
        <w:spacing w:line="360" w:lineRule="auto"/>
        <w:ind w:firstLine="549" w:firstLineChars="229"/>
        <w:rPr>
          <w:rFonts w:ascii="宋体" w:hAnsi="宋体" w:cs="宋体"/>
          <w:sz w:val="24"/>
        </w:rPr>
      </w:pPr>
    </w:p>
    <w:p w14:paraId="76F49541">
      <w:pPr>
        <w:spacing w:line="360" w:lineRule="auto"/>
        <w:rPr>
          <w:rFonts w:ascii="宋体" w:hAnsi="宋体" w:cs="宋体"/>
          <w:sz w:val="24"/>
        </w:rPr>
      </w:pPr>
    </w:p>
    <w:p w14:paraId="3B8DF40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lang w:eastAsia="zh-CN"/>
        </w:rPr>
        <w:t>2025年</w:t>
      </w:r>
      <w:r>
        <w:rPr>
          <w:rFonts w:hint="eastAsia" w:ascii="宋体" w:hAnsi="宋体" w:cs="宋体"/>
          <w:sz w:val="24"/>
          <w:highlight w:val="none"/>
          <w:u w:val="single"/>
          <w:lang w:eastAsia="zh-CN"/>
        </w:rPr>
        <w:t>至2026年临安区小型水库山塘维修养护服务——玲珑片土建维修服务采购</w:t>
      </w:r>
      <w:r>
        <w:rPr>
          <w:rFonts w:hint="eastAsia" w:ascii="宋体" w:hAnsi="宋体" w:cs="宋体"/>
          <w:sz w:val="24"/>
          <w:highlight w:val="none"/>
        </w:rPr>
        <w:t>项目的潜在供应商应在政采云平台（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14:paraId="4611FBC4">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3EAD6B4">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项目编号：</w:t>
      </w:r>
      <w:r>
        <w:rPr>
          <w:rFonts w:hint="eastAsia" w:ascii="宋体" w:hAnsi="宋体" w:cs="宋体"/>
          <w:sz w:val="24"/>
          <w:highlight w:val="none"/>
        </w:rPr>
        <w:t>临[2025]1036号</w:t>
      </w:r>
    </w:p>
    <w:p w14:paraId="5CFE6294">
      <w:pPr>
        <w:snapToGrid w:val="0"/>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2025年至2026年临安区小型水库山塘维修养护服务——玲珑片土建维修服务采购</w:t>
      </w:r>
    </w:p>
    <w:p w14:paraId="2B322989">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预算金额（元）：1318700</w:t>
      </w:r>
      <w:r>
        <w:rPr>
          <w:rFonts w:hint="eastAsia" w:ascii="宋体" w:hAnsi="宋体" w:cs="宋体"/>
          <w:b/>
          <w:sz w:val="24"/>
          <w:highlight w:val="none"/>
          <w:lang w:val="en-US" w:eastAsia="zh-CN"/>
        </w:rPr>
        <w:t>.00</w:t>
      </w:r>
      <w:r>
        <w:rPr>
          <w:rFonts w:hint="eastAsia" w:ascii="宋体" w:hAnsi="宋体" w:cs="宋体"/>
          <w:sz w:val="24"/>
          <w:highlight w:val="none"/>
        </w:rPr>
        <w:t xml:space="preserve">  </w:t>
      </w:r>
    </w:p>
    <w:p w14:paraId="24363695">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预算价的100%</w:t>
      </w:r>
      <w:r>
        <w:rPr>
          <w:rFonts w:hint="eastAsia" w:ascii="宋体" w:hAnsi="宋体" w:cs="宋体"/>
          <w:sz w:val="24"/>
          <w:highlight w:val="none"/>
        </w:rPr>
        <w:t xml:space="preserve">  </w:t>
      </w:r>
    </w:p>
    <w:p w14:paraId="74C14250">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主要内容：详见采购文件第三部分采购需求。</w:t>
      </w:r>
    </w:p>
    <w:p w14:paraId="01233AD2">
      <w:pPr>
        <w:pStyle w:val="132"/>
        <w:snapToGrid w:val="0"/>
        <w:spacing w:before="0"/>
        <w:ind w:firstLine="482"/>
        <w:outlineLvl w:val="2"/>
        <w:rPr>
          <w:rFonts w:ascii="宋体" w:hAnsi="宋体" w:cs="宋体"/>
          <w:highlight w:val="none"/>
        </w:rPr>
      </w:pPr>
      <w:r>
        <w:rPr>
          <w:rFonts w:hint="eastAsia" w:ascii="宋体" w:hAnsi="宋体" w:cs="宋体"/>
          <w:b/>
          <w:highlight w:val="none"/>
        </w:rPr>
        <w:t>合同履约期限：</w:t>
      </w:r>
      <w:r>
        <w:rPr>
          <w:rFonts w:hint="eastAsia" w:asciiTheme="minorEastAsia" w:hAnsiTheme="minorEastAsia" w:eastAsiaTheme="minorEastAsia"/>
          <w:color w:val="auto"/>
          <w:sz w:val="24"/>
          <w:highlight w:val="none"/>
          <w:lang w:val="en-US" w:eastAsia="zh-CN"/>
        </w:rPr>
        <w:t>合同签订之日起一年</w:t>
      </w:r>
    </w:p>
    <w:p w14:paraId="7C3CBBC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147459543"/>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730DF591">
      <w:pPr>
        <w:pStyle w:val="132"/>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0A150137">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93B3F1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C4B2840">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39ACC80E">
      <w:pPr>
        <w:spacing w:line="360" w:lineRule="auto"/>
        <w:ind w:firstLine="480" w:firstLineChars="200"/>
        <w:rPr>
          <w:rFonts w:ascii="宋体" w:hAnsi="宋体" w:cs="宋体"/>
          <w:sz w:val="24"/>
        </w:rPr>
      </w:pPr>
      <w:sdt>
        <w:sdtPr>
          <w:rPr>
            <w:rFonts w:hint="eastAsia" w:ascii="宋体" w:hAnsi="宋体" w:cs="宋体"/>
            <w:kern w:val="0"/>
            <w:sz w:val="24"/>
          </w:rPr>
          <w:id w:val="609159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45D68EEC">
      <w:pPr>
        <w:spacing w:line="360" w:lineRule="auto"/>
        <w:ind w:firstLine="897" w:firstLineChars="374"/>
        <w:rPr>
          <w:rFonts w:ascii="宋体" w:hAnsi="宋体" w:cs="宋体"/>
          <w:sz w:val="24"/>
          <w:u w:val="single"/>
        </w:rPr>
      </w:pPr>
      <w:sdt>
        <w:sdtPr>
          <w:rPr>
            <w:rFonts w:hint="eastAsia" w:ascii="宋体" w:hAnsi="宋体" w:cs="宋体"/>
            <w:kern w:val="0"/>
            <w:sz w:val="24"/>
          </w:rPr>
          <w:id w:val="22816380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1EC8D774">
      <w:pPr>
        <w:spacing w:line="360" w:lineRule="auto"/>
        <w:ind w:firstLine="897" w:firstLineChars="374"/>
        <w:rPr>
          <w:rFonts w:ascii="宋体" w:hAnsi="宋体" w:cs="宋体"/>
          <w:sz w:val="24"/>
        </w:rPr>
      </w:pPr>
      <w:sdt>
        <w:sdtPr>
          <w:rPr>
            <w:rFonts w:hint="eastAsia" w:ascii="宋体" w:hAnsi="宋体" w:cs="宋体"/>
            <w:kern w:val="0"/>
            <w:sz w:val="24"/>
          </w:rPr>
          <w:id w:val="7011438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46E6D31C">
      <w:pPr>
        <w:spacing w:line="360" w:lineRule="auto"/>
        <w:ind w:firstLine="480" w:firstLineChars="200"/>
        <w:rPr>
          <w:rFonts w:ascii="宋体" w:hAnsi="宋体" w:cs="宋体"/>
          <w:sz w:val="24"/>
        </w:rPr>
      </w:pPr>
      <w:sdt>
        <w:sdtPr>
          <w:rPr>
            <w:rFonts w:hint="eastAsia" w:ascii="宋体" w:hAnsi="宋体" w:cs="宋体"/>
            <w:kern w:val="0"/>
            <w:sz w:val="24"/>
          </w:rPr>
          <w:id w:val="1392801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42386B89">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4EC368D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0E8FFA66">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（1）具有有效的水利水电工程施工总承包三级及以上资质；（2）具有有效的企业安全生产许可证；（3）拟派项目经理具有有效的</w:t>
      </w:r>
      <w:r>
        <w:rPr>
          <w:rFonts w:hint="eastAsia" w:ascii="宋体" w:hAnsi="宋体" w:cs="宋体"/>
          <w:color w:val="auto"/>
          <w:sz w:val="24"/>
          <w:highlight w:val="none"/>
          <w:u w:val="single"/>
          <w:lang w:val="en-US" w:eastAsia="zh-CN"/>
        </w:rPr>
        <w:t>水利水电工程</w:t>
      </w:r>
      <w:r>
        <w:rPr>
          <w:rFonts w:hint="eastAsia" w:ascii="宋体" w:hAnsi="宋体" w:cs="宋体"/>
          <w:color w:val="auto"/>
          <w:sz w:val="24"/>
          <w:highlight w:val="none"/>
          <w:u w:val="single"/>
        </w:rPr>
        <w:t>专业二级及以上注册建造师证书及“三类人员”B类证书；拟派现场安全生产专职管理人员具有“三类人员”有效 C 类证书</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《中华人民共和国建筑法》</w:t>
      </w:r>
      <w:r>
        <w:rPr>
          <w:rFonts w:hint="eastAsia" w:ascii="宋体" w:hAnsi="宋体" w:cs="宋体"/>
          <w:color w:val="auto"/>
          <w:sz w:val="24"/>
          <w:highlight w:val="none"/>
          <w:u w:val="single"/>
          <w:lang w:eastAsia="zh-CN"/>
        </w:rPr>
        <w:t>、《建筑业企业资质标准》</w:t>
      </w:r>
      <w:r>
        <w:rPr>
          <w:rFonts w:hint="eastAsia" w:ascii="宋体" w:hAnsi="宋体" w:cs="宋体"/>
          <w:color w:val="auto"/>
          <w:sz w:val="24"/>
          <w:highlight w:val="none"/>
        </w:rPr>
        <w:t>。</w:t>
      </w:r>
    </w:p>
    <w:p w14:paraId="3BE7F34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29ED548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cs="宋体" w:asciiTheme="minorEastAsia" w:hAnsiTheme="minorEastAsia" w:eastAsiaTheme="minorEastAsia"/>
          <w:color w:val="auto"/>
          <w:sz w:val="24"/>
          <w:highlight w:val="none"/>
        </w:rPr>
        <w:t>响应截止时间</w:t>
      </w:r>
      <w:r>
        <w:rPr>
          <w:rFonts w:hint="eastAsia" w:ascii="宋体" w:hAnsi="宋体" w:cs="宋体"/>
          <w:sz w:val="24"/>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E08F6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sz w:val="24"/>
          <w:highlight w:val="none"/>
        </w:rPr>
      </w:pPr>
      <w:r>
        <w:rPr>
          <w:rFonts w:hint="eastAsia" w:ascii="宋体" w:hAnsi="宋体" w:cs="宋体"/>
          <w:b/>
          <w:sz w:val="24"/>
        </w:rPr>
        <w:t>售</w:t>
      </w:r>
      <w:r>
        <w:rPr>
          <w:rFonts w:hint="eastAsia" w:ascii="宋体" w:hAnsi="宋体" w:cs="宋体"/>
          <w:b/>
          <w:sz w:val="24"/>
          <w:highlight w:val="none"/>
        </w:rPr>
        <w:t>价（元）：</w:t>
      </w:r>
      <w:r>
        <w:rPr>
          <w:rFonts w:hint="eastAsia" w:ascii="宋体" w:hAnsi="宋体" w:cs="宋体"/>
          <w:sz w:val="24"/>
          <w:highlight w:val="none"/>
        </w:rPr>
        <w:t xml:space="preserve">0 </w:t>
      </w:r>
      <w:r>
        <w:rPr>
          <w:rFonts w:hint="eastAsia" w:ascii="宋体" w:hAnsi="宋体" w:cs="宋体"/>
          <w:sz w:val="24"/>
          <w:highlight w:val="none"/>
        </w:rPr>
        <w:tab/>
      </w:r>
    </w:p>
    <w:p w14:paraId="5E96B6DF">
      <w:pPr>
        <w:spacing w:line="360" w:lineRule="auto"/>
        <w:rPr>
          <w:rFonts w:ascii="宋体" w:hAnsi="宋体" w:cs="宋体"/>
          <w:b/>
          <w:sz w:val="24"/>
          <w:highlight w:val="none"/>
        </w:rPr>
      </w:pPr>
      <w:r>
        <w:rPr>
          <w:rFonts w:hint="eastAsia" w:ascii="宋体" w:hAnsi="宋体" w:cs="宋体"/>
          <w:b/>
          <w:sz w:val="24"/>
          <w:highlight w:val="none"/>
        </w:rPr>
        <w:t>四、响应文件提交（上传）</w:t>
      </w:r>
    </w:p>
    <w:p w14:paraId="40436819">
      <w:pPr>
        <w:spacing w:line="360" w:lineRule="auto"/>
        <w:ind w:firstLine="482" w:firstLineChars="200"/>
        <w:rPr>
          <w:rFonts w:ascii="宋体" w:hAnsi="宋体" w:cs="宋体"/>
          <w:sz w:val="24"/>
          <w:highlight w:val="none"/>
        </w:rPr>
      </w:pPr>
      <w:r>
        <w:rPr>
          <w:rFonts w:hint="eastAsia" w:ascii="宋体" w:hAnsi="宋体" w:cs="宋体"/>
          <w:b/>
          <w:sz w:val="24"/>
          <w:highlight w:val="none"/>
        </w:rPr>
        <w:t>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5DD1BE4A">
      <w:pPr>
        <w:spacing w:line="360" w:lineRule="auto"/>
        <w:ind w:firstLine="482" w:firstLineChars="200"/>
        <w:rPr>
          <w:rFonts w:ascii="宋体" w:hAnsi="宋体" w:cs="宋体"/>
          <w:b/>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6078876">
      <w:pPr>
        <w:spacing w:line="360" w:lineRule="auto"/>
        <w:rPr>
          <w:rFonts w:ascii="宋体" w:hAnsi="宋体" w:cs="宋体"/>
          <w:sz w:val="24"/>
          <w:highlight w:val="none"/>
        </w:rPr>
      </w:pPr>
      <w:r>
        <w:rPr>
          <w:rFonts w:hint="eastAsia" w:ascii="宋体" w:hAnsi="宋体" w:cs="宋体"/>
          <w:b/>
          <w:sz w:val="24"/>
          <w:highlight w:val="none"/>
        </w:rPr>
        <w:t xml:space="preserve">五、响应文件开启 </w:t>
      </w:r>
    </w:p>
    <w:p w14:paraId="4467A5E0">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开启时间：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14:paraId="76A47343">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14:paraId="1EECE604">
      <w:pPr>
        <w:spacing w:line="360" w:lineRule="auto"/>
        <w:rPr>
          <w:rFonts w:ascii="宋体" w:hAnsi="宋体" w:cs="宋体"/>
          <w:sz w:val="24"/>
          <w:highlight w:val="none"/>
        </w:rPr>
      </w:pPr>
      <w:r>
        <w:rPr>
          <w:rFonts w:hint="eastAsia" w:ascii="宋体" w:hAnsi="宋体" w:cs="宋体"/>
          <w:b/>
          <w:sz w:val="24"/>
          <w:highlight w:val="none"/>
        </w:rPr>
        <w:t xml:space="preserve">六、公告期限 </w:t>
      </w:r>
    </w:p>
    <w:p w14:paraId="32865FB9">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5DB9B494">
      <w:pPr>
        <w:spacing w:line="360" w:lineRule="auto"/>
        <w:rPr>
          <w:rFonts w:ascii="宋体" w:hAnsi="宋体" w:cs="宋体"/>
          <w:b/>
          <w:sz w:val="24"/>
        </w:rPr>
      </w:pPr>
      <w:r>
        <w:rPr>
          <w:rFonts w:hint="eastAsia" w:ascii="宋体" w:hAnsi="宋体" w:cs="宋体"/>
          <w:b/>
          <w:sz w:val="24"/>
        </w:rPr>
        <w:t>七、其他补充事宜</w:t>
      </w:r>
    </w:p>
    <w:p w14:paraId="585AA085">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eastAsia="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助力扎实稳住经济的通知》（浙财采监〔2022〕8号）已分别于2022年1月29日、2022年2月1日和2022年7月1日开始实施，此前有关规定与上述文件内容不一致的，按上述文件要求执行。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630719D7">
      <w:pPr>
        <w:pStyle w:val="3"/>
        <w:numPr>
          <w:ilvl w:val="0"/>
          <w:numId w:val="0"/>
        </w:numPr>
        <w:ind w:left="432" w:hanging="432"/>
        <w:rPr>
          <w:rFonts w:cs="宋体" w:asciiTheme="minorEastAsia" w:hAnsiTheme="minorEastAsia" w:eastAsiaTheme="minorEastAsia"/>
          <w:color w:val="auto"/>
          <w:sz w:val="24"/>
          <w:szCs w:val="24"/>
          <w:highlight w:val="none"/>
        </w:rPr>
      </w:pPr>
      <w:bookmarkStart w:id="13" w:name="_Toc35393637"/>
      <w:bookmarkStart w:id="14" w:name="_Toc35393806"/>
      <w:bookmarkStart w:id="15" w:name="_Toc28359019"/>
      <w:bookmarkStart w:id="16" w:name="_Toc28359096"/>
      <w:r>
        <w:rPr>
          <w:rFonts w:hint="eastAsia" w:cs="宋体" w:asciiTheme="minorEastAsia" w:hAnsiTheme="minorEastAsia" w:eastAsiaTheme="minorEastAsia"/>
          <w:color w:val="auto"/>
          <w:sz w:val="24"/>
          <w:szCs w:val="24"/>
          <w:highlight w:val="none"/>
        </w:rPr>
        <w:t>1.采购人信息</w:t>
      </w:r>
      <w:bookmarkEnd w:id="13"/>
      <w:bookmarkEnd w:id="14"/>
      <w:bookmarkEnd w:id="15"/>
      <w:bookmarkEnd w:id="16"/>
      <w:r>
        <w:rPr>
          <w:rFonts w:hint="eastAsia" w:cs="宋体" w:asciiTheme="minorEastAsia" w:hAnsiTheme="minorEastAsia" w:eastAsiaTheme="minorEastAsia"/>
          <w:color w:val="auto"/>
          <w:sz w:val="24"/>
          <w:szCs w:val="24"/>
          <w:highlight w:val="none"/>
        </w:rPr>
        <w:t>：</w:t>
      </w:r>
    </w:p>
    <w:p w14:paraId="6C3593DE">
      <w:pPr>
        <w:spacing w:line="360" w:lineRule="auto"/>
        <w:ind w:firstLine="480" w:firstLineChars="200"/>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rPr>
        <w:t>名</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称：</w:t>
      </w:r>
      <w:r>
        <w:rPr>
          <w:rFonts w:hint="eastAsia" w:asciiTheme="minorEastAsia" w:hAnsiTheme="minorEastAsia" w:eastAsiaTheme="minorEastAsia"/>
          <w:b w:val="0"/>
          <w:bCs w:val="0"/>
          <w:color w:val="auto"/>
          <w:sz w:val="24"/>
          <w:highlight w:val="none"/>
          <w:lang w:eastAsia="zh-CN"/>
        </w:rPr>
        <w:t>杭州市临安区水利水电局</w:t>
      </w:r>
    </w:p>
    <w:p w14:paraId="08135CA2">
      <w:pPr>
        <w:spacing w:line="360" w:lineRule="auto"/>
        <w:ind w:firstLine="480"/>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地    址：杭州市临安区锦</w:t>
      </w:r>
      <w:r>
        <w:rPr>
          <w:rFonts w:hint="eastAsia" w:asciiTheme="minorEastAsia" w:hAnsiTheme="minorEastAsia" w:eastAsiaTheme="minorEastAsia"/>
          <w:b w:val="0"/>
          <w:bCs w:val="0"/>
          <w:color w:val="auto"/>
          <w:sz w:val="24"/>
          <w:highlight w:val="none"/>
          <w:lang w:val="en-US" w:eastAsia="zh-CN"/>
        </w:rPr>
        <w:t>城</w:t>
      </w:r>
      <w:r>
        <w:rPr>
          <w:rFonts w:hint="eastAsia" w:asciiTheme="minorEastAsia" w:hAnsiTheme="minorEastAsia" w:eastAsiaTheme="minorEastAsia"/>
          <w:b w:val="0"/>
          <w:bCs w:val="0"/>
          <w:color w:val="auto"/>
          <w:sz w:val="24"/>
          <w:highlight w:val="none"/>
        </w:rPr>
        <w:t>街道</w:t>
      </w:r>
      <w:r>
        <w:rPr>
          <w:rFonts w:hint="eastAsia" w:asciiTheme="minorEastAsia" w:hAnsiTheme="minorEastAsia" w:eastAsiaTheme="minorEastAsia"/>
          <w:b w:val="0"/>
          <w:bCs w:val="0"/>
          <w:color w:val="auto"/>
          <w:sz w:val="24"/>
          <w:highlight w:val="none"/>
          <w:lang w:val="en-US" w:eastAsia="zh-CN"/>
        </w:rPr>
        <w:t>城中街249</w:t>
      </w:r>
      <w:r>
        <w:rPr>
          <w:rFonts w:hint="eastAsia" w:asciiTheme="minorEastAsia" w:hAnsiTheme="minorEastAsia" w:eastAsiaTheme="minorEastAsia"/>
          <w:b w:val="0"/>
          <w:bCs w:val="0"/>
          <w:color w:val="auto"/>
          <w:sz w:val="24"/>
          <w:highlight w:val="none"/>
        </w:rPr>
        <w:t>号</w:t>
      </w:r>
    </w:p>
    <w:p w14:paraId="1E59F7C6">
      <w:pPr>
        <w:spacing w:line="360" w:lineRule="auto"/>
        <w:ind w:firstLine="48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传    真：/</w:t>
      </w:r>
    </w:p>
    <w:p w14:paraId="1E390D7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项目联系人（询问）： 陈彬</w:t>
      </w:r>
    </w:p>
    <w:p w14:paraId="07EA018A">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项目联系方式（询问）：89541563</w:t>
      </w:r>
    </w:p>
    <w:p w14:paraId="467B134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质疑联系人：刘勇</w:t>
      </w:r>
    </w:p>
    <w:p w14:paraId="61D0B3E2">
      <w:pPr>
        <w:spacing w:line="360" w:lineRule="auto"/>
        <w:ind w:firstLine="48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质疑联系方式：89541533</w:t>
      </w:r>
    </w:p>
    <w:p w14:paraId="113E106B">
      <w:pPr>
        <w:pStyle w:val="3"/>
        <w:numPr>
          <w:ilvl w:val="0"/>
          <w:numId w:val="0"/>
        </w:numPr>
        <w:ind w:left="432" w:hanging="432"/>
        <w:rPr>
          <w:rFonts w:cs="宋体" w:asciiTheme="minorEastAsia" w:hAnsiTheme="minorEastAsia" w:eastAsiaTheme="minorEastAsia"/>
          <w:color w:val="auto"/>
          <w:sz w:val="24"/>
          <w:highlight w:val="none"/>
        </w:rPr>
      </w:pPr>
      <w:bookmarkStart w:id="17" w:name="_Toc35393638"/>
      <w:bookmarkStart w:id="18" w:name="_Toc28359020"/>
      <w:bookmarkStart w:id="19" w:name="_Toc35393807"/>
      <w:bookmarkStart w:id="20" w:name="_Toc28359097"/>
      <w:r>
        <w:rPr>
          <w:rFonts w:hint="eastAsia" w:cs="宋体" w:asciiTheme="minorEastAsia" w:hAnsiTheme="minorEastAsia" w:eastAsiaTheme="minorEastAsia"/>
          <w:color w:val="auto"/>
          <w:sz w:val="24"/>
          <w:szCs w:val="24"/>
          <w:highlight w:val="none"/>
        </w:rPr>
        <w:t>2.采购代理机构信息</w:t>
      </w:r>
      <w:bookmarkEnd w:id="17"/>
      <w:bookmarkEnd w:id="18"/>
      <w:bookmarkEnd w:id="19"/>
      <w:bookmarkEnd w:id="20"/>
      <w:r>
        <w:rPr>
          <w:rFonts w:hint="eastAsia" w:cs="宋体" w:asciiTheme="minorEastAsia" w:hAnsiTheme="minorEastAsia" w:eastAsiaTheme="minorEastAsia"/>
          <w:color w:val="auto"/>
          <w:sz w:val="24"/>
          <w:szCs w:val="24"/>
          <w:highlight w:val="none"/>
        </w:rPr>
        <w:t>：</w:t>
      </w:r>
    </w:p>
    <w:p w14:paraId="66877603">
      <w:pPr>
        <w:spacing w:line="360" w:lineRule="auto"/>
        <w:ind w:firstLine="480" w:firstLineChars="200"/>
        <w:rPr>
          <w:rFonts w:ascii="宋体" w:hAnsi="宋体" w:cs="宋体"/>
          <w:color w:val="auto"/>
          <w:sz w:val="24"/>
          <w:highlight w:val="none"/>
        </w:rPr>
      </w:pPr>
      <w:bookmarkStart w:id="21" w:name="_Toc28359098"/>
      <w:bookmarkStart w:id="22" w:name="_Toc28359021"/>
      <w:bookmarkStart w:id="23" w:name="_Toc35393639"/>
      <w:bookmarkStart w:id="24" w:name="_Toc35393808"/>
      <w:r>
        <w:rPr>
          <w:rFonts w:hint="eastAsia" w:ascii="宋体" w:hAnsi="宋体" w:cs="宋体"/>
          <w:color w:val="auto"/>
          <w:sz w:val="24"/>
          <w:highlight w:val="none"/>
        </w:rPr>
        <w:t>名     称：华诚工程咨询集团有限公司</w:t>
      </w:r>
    </w:p>
    <w:p w14:paraId="61E394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317E20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48073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3DCC71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0220EBB9">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68387942">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21"/>
    <w:bookmarkEnd w:id="22"/>
    <w:bookmarkEnd w:id="23"/>
    <w:bookmarkEnd w:id="24"/>
    <w:p w14:paraId="6C53D3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14:paraId="03173F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址：杭杭州市上城区清泰街549号城建综合大楼11楼（快递仅限ems或顺丰）</w:t>
      </w:r>
    </w:p>
    <w:p w14:paraId="3704B1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：朱女士 </w:t>
      </w:r>
    </w:p>
    <w:p w14:paraId="46157A7A">
      <w:pPr>
        <w:snapToGrid w:val="0"/>
        <w:spacing w:line="360" w:lineRule="auto"/>
        <w:ind w:firstLine="480" w:firstLineChars="200"/>
        <w:rPr>
          <w:rFonts w:hint="eastAsia" w:ascii="宋体" w:hAnsi="宋体" w:cs="宋体"/>
          <w:sz w:val="24"/>
        </w:rPr>
      </w:pPr>
      <w:r>
        <w:rPr>
          <w:rFonts w:hint="eastAsia" w:ascii="宋体" w:hAnsi="宋体" w:cs="宋体"/>
          <w:color w:val="auto"/>
          <w:sz w:val="24"/>
          <w:highlight w:val="none"/>
        </w:rPr>
        <w:t>监督投诉电话：0571-87800218</w:t>
      </w:r>
      <w:r>
        <w:rPr>
          <w:rFonts w:hint="eastAsia" w:ascii="宋体" w:hAnsi="宋体" w:cs="宋体"/>
          <w:sz w:val="24"/>
        </w:rPr>
        <w:t xml:space="preserve">     </w:t>
      </w:r>
    </w:p>
    <w:p w14:paraId="35F7FCF3">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52193045">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3A47C6D">
      <w:pPr>
        <w:pStyle w:val="32"/>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085AC70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783723A3">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26A7CF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0748A07F">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072BFF44">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1167759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310E5C70">
            <w:pPr>
              <w:pStyle w:val="3"/>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eastAsia="宋体" w:cs="宋体"/>
                <w:kern w:val="0"/>
                <w:sz w:val="24"/>
                <w:u w:val="single"/>
              </w:rPr>
              <w:t>玲珑片土建维修服务采购</w:t>
            </w:r>
            <w:r>
              <w:rPr>
                <w:rFonts w:hint="eastAsia" w:ascii="宋体" w:hAnsi="宋体" w:eastAsia="宋体" w:cs="宋体"/>
                <w:kern w:val="0"/>
                <w:sz w:val="24"/>
              </w:rPr>
              <w:t>，属于</w:t>
            </w:r>
            <w:r>
              <w:rPr>
                <w:rFonts w:hint="eastAsia" w:ascii="宋体" w:hAnsi="宋体" w:eastAsia="宋体" w:cs="宋体"/>
                <w:kern w:val="0"/>
                <w:sz w:val="24"/>
                <w:u w:val="single"/>
              </w:rPr>
              <w:t xml:space="preserve"> 建筑业 </w:t>
            </w:r>
            <w:r>
              <w:rPr>
                <w:rFonts w:hint="eastAsia" w:ascii="宋体" w:hAnsi="宋体" w:eastAsia="宋体" w:cs="宋体"/>
                <w:kern w:val="0"/>
                <w:sz w:val="24"/>
              </w:rPr>
              <w:t>行业；</w:t>
            </w:r>
          </w:p>
          <w:p w14:paraId="61990839">
            <w:pPr>
              <w:pStyle w:val="3"/>
              <w:ind w:left="0" w:firstLine="0"/>
              <w:rPr>
                <w:rFonts w:ascii="宋体" w:hAnsi="宋体" w:eastAsia="宋体" w:cs="宋体"/>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B87063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408D29F1">
            <w:pPr>
              <w:spacing w:line="360" w:lineRule="auto"/>
              <w:rPr>
                <w:rFonts w:ascii="宋体" w:hAnsi="宋体" w:cs="宋体"/>
                <w:kern w:val="0"/>
                <w:sz w:val="24"/>
              </w:rPr>
            </w:pPr>
            <w:sdt>
              <w:sdtPr>
                <w:rPr>
                  <w:rFonts w:hint="eastAsia" w:ascii="宋体" w:hAnsi="宋体" w:cs="宋体"/>
                  <w:kern w:val="0"/>
                  <w:sz w:val="24"/>
                </w:rPr>
                <w:id w:val="393481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8E0C16A">
            <w:pPr>
              <w:spacing w:line="360" w:lineRule="auto"/>
              <w:rPr>
                <w:rFonts w:ascii="宋体" w:hAnsi="宋体" w:cs="宋体"/>
              </w:rPr>
            </w:pPr>
            <w:sdt>
              <w:sdtPr>
                <w:rPr>
                  <w:rFonts w:hint="eastAsia" w:ascii="宋体" w:hAnsi="宋体" w:cs="宋体"/>
                  <w:kern w:val="0"/>
                  <w:sz w:val="24"/>
                </w:rPr>
                <w:id w:val="9342490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15ADB079">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0F199E7A">
            <w:pPr>
              <w:spacing w:line="360" w:lineRule="auto"/>
              <w:rPr>
                <w:rFonts w:ascii="宋体" w:hAnsi="宋体" w:cs="宋体"/>
                <w:sz w:val="24"/>
              </w:rPr>
            </w:pPr>
            <w:sdt>
              <w:sdtPr>
                <w:rPr>
                  <w:rFonts w:hint="eastAsia" w:ascii="宋体" w:hAnsi="宋体" w:cs="宋体"/>
                  <w:kern w:val="0"/>
                  <w:sz w:val="24"/>
                </w:rPr>
                <w:id w:val="83050787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2B5D9CBB">
            <w:pPr>
              <w:spacing w:line="360" w:lineRule="auto"/>
              <w:rPr>
                <w:rFonts w:ascii="宋体" w:hAnsi="宋体" w:cs="宋体"/>
                <w:sz w:val="24"/>
              </w:rPr>
            </w:pPr>
            <w:sdt>
              <w:sdtPr>
                <w:rPr>
                  <w:rFonts w:hint="eastAsia" w:ascii="宋体" w:hAnsi="宋体" w:cs="宋体"/>
                  <w:kern w:val="0"/>
                  <w:sz w:val="24"/>
                </w:rPr>
                <w:id w:val="8957932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9C855E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58863ABE">
            <w:pPr>
              <w:snapToGrid w:val="0"/>
              <w:spacing w:line="360" w:lineRule="auto"/>
              <w:jc w:val="center"/>
              <w:rPr>
                <w:rFonts w:hint="eastAsia" w:ascii="宋体" w:hAnsi="宋体" w:eastAsia="宋体" w:cs="宋体"/>
                <w:b/>
                <w:sz w:val="24"/>
              </w:rPr>
            </w:pPr>
            <w:r>
              <w:rPr>
                <w:rFonts w:hint="eastAsia" w:ascii="宋体" w:hAnsi="宋体" w:eastAsia="宋体" w:cs="宋体"/>
                <w:b/>
                <w:sz w:val="24"/>
              </w:rPr>
              <w:t>磋商前答疑会或现场考察</w:t>
            </w:r>
          </w:p>
        </w:tc>
        <w:tc>
          <w:tcPr>
            <w:tcW w:w="6927" w:type="dxa"/>
            <w:vAlign w:val="center"/>
          </w:tcPr>
          <w:p w14:paraId="74CEB301">
            <w:pPr>
              <w:pStyle w:val="80"/>
              <w:spacing w:line="360" w:lineRule="auto"/>
              <w:ind w:firstLine="0" w:firstLineChars="0"/>
              <w:rPr>
                <w:rFonts w:hint="eastAsia" w:ascii="宋体" w:hAnsi="宋体" w:eastAsia="宋体" w:cs="宋体"/>
                <w:sz w:val="24"/>
              </w:rPr>
            </w:pPr>
            <w:sdt>
              <w:sdtPr>
                <w:rPr>
                  <w:rFonts w:hint="eastAsia" w:ascii="宋体" w:hAnsi="宋体" w:eastAsia="宋体" w:cs="宋体"/>
                  <w:kern w:val="0"/>
                  <w:sz w:val="24"/>
                </w:rPr>
                <w:id w:val="688692135"/>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p w14:paraId="29D64DF4">
            <w:pPr>
              <w:pStyle w:val="80"/>
              <w:spacing w:line="360" w:lineRule="auto"/>
              <w:ind w:firstLine="0" w:firstLineChars="0"/>
              <w:rPr>
                <w:rFonts w:hint="eastAsia" w:ascii="宋体" w:hAnsi="宋体" w:eastAsia="宋体" w:cs="宋体"/>
                <w:sz w:val="24"/>
                <w:szCs w:val="20"/>
              </w:rPr>
            </w:pPr>
            <w:sdt>
              <w:sdtPr>
                <w:rPr>
                  <w:rFonts w:hint="eastAsia" w:ascii="宋体" w:hAnsi="宋体" w:eastAsia="宋体" w:cs="宋体"/>
                  <w:kern w:val="0"/>
                  <w:sz w:val="24"/>
                </w:rPr>
                <w:id w:val="374731186"/>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p w14:paraId="481BB1C7">
            <w:pPr>
              <w:pStyle w:val="80"/>
              <w:ind w:firstLine="0" w:firstLineChars="0"/>
              <w:rPr>
                <w:rFonts w:hint="eastAsia" w:ascii="宋体" w:hAnsi="宋体" w:eastAsia="宋体" w:cs="宋体"/>
              </w:rPr>
            </w:pPr>
            <w:r>
              <w:rPr>
                <w:rFonts w:hint="eastAsia" w:ascii="宋体" w:hAnsi="宋体" w:eastAsia="宋体" w:cs="宋体"/>
                <w:kern w:val="0"/>
                <w:sz w:val="24"/>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7915F2C1">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67D9B408">
            <w:pPr>
              <w:spacing w:line="360" w:lineRule="auto"/>
              <w:rPr>
                <w:rFonts w:ascii="宋体" w:hAnsi="宋体" w:cs="宋体"/>
                <w:sz w:val="24"/>
              </w:rPr>
            </w:pPr>
            <w:sdt>
              <w:sdtPr>
                <w:rPr>
                  <w:rFonts w:hint="eastAsia" w:ascii="宋体" w:hAnsi="宋体" w:cs="宋体"/>
                  <w:kern w:val="0"/>
                  <w:sz w:val="24"/>
                </w:rPr>
                <w:id w:val="58621118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70C1147F">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7CC6BB6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C3FFE0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D38221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3D9CA10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95CFFF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14:paraId="034265B8">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5D5B601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38EF6D20">
            <w:pPr>
              <w:spacing w:line="360" w:lineRule="auto"/>
              <w:rPr>
                <w:rFonts w:ascii="宋体" w:hAnsi="宋体" w:cs="宋体"/>
                <w:sz w:val="24"/>
              </w:rPr>
            </w:pPr>
            <w:sdt>
              <w:sdtPr>
                <w:rPr>
                  <w:rFonts w:hint="eastAsia" w:ascii="宋体" w:hAnsi="宋体" w:cs="宋体"/>
                  <w:kern w:val="0"/>
                  <w:sz w:val="24"/>
                </w:rPr>
                <w:id w:val="5054568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8ADDA8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5EE62AC">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14:paraId="3E7891F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CEE3D99">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42C44A">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54E0E0E3">
            <w:pPr>
              <w:spacing w:line="360" w:lineRule="auto"/>
              <w:rPr>
                <w:rFonts w:ascii="宋体" w:hAnsi="宋体" w:cs="宋体"/>
                <w:sz w:val="24"/>
              </w:rPr>
            </w:pPr>
            <w:r>
              <w:rPr>
                <w:rFonts w:hint="eastAsia" w:ascii="宋体" w:hAnsi="宋体" w:cs="宋体"/>
                <w:sz w:val="24"/>
              </w:rPr>
              <w:t>（1）资格证明文件：见采购文件第二部分11.1。</w:t>
            </w:r>
          </w:p>
          <w:p w14:paraId="027E458C">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sz w:val="24"/>
              </w:rPr>
            </w:pPr>
          </w:p>
        </w:tc>
        <w:tc>
          <w:tcPr>
            <w:tcW w:w="2093" w:type="dxa"/>
            <w:vMerge w:val="continue"/>
            <w:vAlign w:val="center"/>
          </w:tcPr>
          <w:p w14:paraId="6134DFB7">
            <w:pPr>
              <w:snapToGrid w:val="0"/>
              <w:spacing w:line="360" w:lineRule="auto"/>
              <w:jc w:val="center"/>
              <w:rPr>
                <w:rFonts w:ascii="宋体" w:hAnsi="宋体" w:cs="宋体"/>
                <w:b/>
                <w:sz w:val="24"/>
              </w:rPr>
            </w:pPr>
          </w:p>
        </w:tc>
        <w:tc>
          <w:tcPr>
            <w:tcW w:w="6927" w:type="dxa"/>
            <w:vAlign w:val="center"/>
          </w:tcPr>
          <w:p w14:paraId="7D25C5B4">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6FCE3FF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B071008">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80"/>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4D242922">
            <w:pPr>
              <w:pStyle w:val="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14:paraId="760447D0">
            <w:pPr>
              <w:pStyle w:val="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7E097CB9">
            <w:pPr>
              <w:pStyle w:val="80"/>
            </w:pPr>
            <w:r>
              <w:rPr>
                <w:rFonts w:hint="eastAsia" w:ascii="宋体" w:hAnsi="宋体" w:eastAsia="宋体" w:cs="宋体"/>
                <w:kern w:val="0"/>
                <w:sz w:val="24"/>
                <w:szCs w:val="24"/>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1DF773FB">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28FAEFB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14:paraId="1E850AF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3E70D58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52F3991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21AAEA7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F17FCFD">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7A5274B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2452DC6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4E6B85F5">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39F717B">
            <w:pPr>
              <w:pStyle w:val="32"/>
              <w:spacing w:line="360" w:lineRule="auto"/>
              <w:rPr>
                <w:rFonts w:hAnsi="宋体" w:cs="宋体"/>
                <w:kern w:val="28"/>
                <w:sz w:val="24"/>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6E8D561B">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2B804AC3">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sz w:val="24"/>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hint="default" w:ascii="宋体" w:hAnsi="宋体" w:cs="宋体"/>
                <w:snapToGrid w:val="0"/>
                <w:kern w:val="28"/>
                <w:sz w:val="24"/>
                <w:lang w:val="en-US"/>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r>
              <w:rPr>
                <w:rFonts w:hint="eastAsia" w:ascii="宋体" w:hAnsi="宋体" w:cs="宋体"/>
                <w:color w:val="auto"/>
                <w:kern w:val="0"/>
                <w:sz w:val="24"/>
                <w:highlight w:val="none"/>
                <w:lang w:val="en-US" w:eastAsia="zh-CN"/>
              </w:rPr>
              <w:t>公示期结束，按照排序由高到低的原则确定排名第一的为成交供应商。</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sz w:val="24"/>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0DD7ADCE">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14:paraId="306B063D">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2"/>
                          <a:stretch>
                            <a:fillRect/>
                          </a:stretch>
                        </pic:blipFill>
                        <pic:spPr>
                          <a:xfrm>
                            <a:off x="0" y="0"/>
                            <a:ext cx="3412490" cy="1605280"/>
                          </a:xfrm>
                          <a:prstGeom prst="rect">
                            <a:avLst/>
                          </a:prstGeom>
                          <a:noFill/>
                          <a:ln>
                            <a:noFill/>
                          </a:ln>
                        </pic:spPr>
                      </pic:pic>
                    </a:graphicData>
                  </a:graphic>
                </wp:inline>
              </w:drawing>
            </w:r>
          </w:p>
          <w:p w14:paraId="72284BCB">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17337EA3">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289C6774">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0D1CB592">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3DDF9EE7">
      <w:pPr>
        <w:snapToGrid w:val="0"/>
        <w:spacing w:line="360" w:lineRule="auto"/>
        <w:jc w:val="center"/>
        <w:rPr>
          <w:rFonts w:ascii="宋体" w:hAnsi="宋体" w:cs="宋体"/>
          <w:b/>
          <w:sz w:val="32"/>
          <w:szCs w:val="20"/>
        </w:rPr>
      </w:pPr>
    </w:p>
    <w:bookmarkEnd w:id="10"/>
    <w:p w14:paraId="5BFEF9FF">
      <w:pPr>
        <w:widowControl/>
        <w:adjustRightInd/>
        <w:jc w:val="left"/>
        <w:rPr>
          <w:rFonts w:ascii="宋体" w:hAnsi="宋体" w:cs="宋体"/>
          <w:b/>
          <w:sz w:val="32"/>
          <w:szCs w:val="20"/>
        </w:rPr>
      </w:pPr>
      <w:bookmarkStart w:id="25" w:name="_Toc164416483"/>
      <w:bookmarkStart w:id="26" w:name="第三部分"/>
      <w:r>
        <w:rPr>
          <w:rFonts w:hint="eastAsia" w:ascii="宋体" w:hAnsi="宋体" w:cs="宋体"/>
          <w:b/>
          <w:sz w:val="32"/>
          <w:szCs w:val="20"/>
        </w:rPr>
        <w:br w:type="page"/>
      </w:r>
    </w:p>
    <w:p w14:paraId="3880117A">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1A3D0D3F">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6C8768D">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sz w:val="24"/>
        </w:rPr>
      </w:pPr>
      <w:r>
        <w:rPr>
          <w:rFonts w:hint="eastAsia" w:ascii="宋体" w:hAnsi="宋体" w:cs="宋体"/>
          <w:b/>
          <w:sz w:val="24"/>
        </w:rPr>
        <w:t>2.定义</w:t>
      </w:r>
    </w:p>
    <w:p w14:paraId="5F9C3CC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A597DF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68965ECD">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3C8521F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5DF6030B">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CD824F">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038589">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629F8979">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AF6F9DA">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3E0DBF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7" w:name="_Hlk101132181"/>
      <w:r>
        <w:rPr>
          <w:rFonts w:hint="eastAsia" w:ascii="宋体" w:hAnsi="宋体" w:cs="宋体"/>
          <w:sz w:val="24"/>
        </w:rPr>
        <w:t>联合协议或者分包意向协议约定小微企业的合同份额占到合同总金额30%以上的</w:t>
      </w:r>
      <w:bookmarkEnd w:id="27"/>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458197D1">
      <w:pPr>
        <w:snapToGrid w:val="0"/>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w:t>
      </w:r>
      <w:r>
        <w:rPr>
          <w:rFonts w:hint="eastAsia" w:ascii="宋体" w:hAnsi="宋体" w:cs="宋体"/>
          <w:color w:val="auto"/>
          <w:sz w:val="24"/>
        </w:rPr>
        <w:t>型企业不得将合同分包给大型企业。</w:t>
      </w:r>
    </w:p>
    <w:p w14:paraId="01CCB77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77A26C3">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7B0376C7">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color w:val="auto"/>
        </w:rPr>
        <w:t>根据《浙江省财政厅关于进一步促进政府采购公</w:t>
      </w:r>
      <w:r>
        <w:rPr>
          <w:rFonts w:hint="eastAsia"/>
        </w:rPr>
        <w:t>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6EAB20">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902AE29">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5C24E4B">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F96D0D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55D85D75">
      <w:pPr>
        <w:pStyle w:val="32"/>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4EC5AD10">
      <w:pPr>
        <w:pStyle w:val="32"/>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A838284">
      <w:pPr>
        <w:pStyle w:val="32"/>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C875E39">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0B35998">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A8BC04B">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AB807D6">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68CD41E">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967BED4">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rPr>
        <w:t>4.</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.5</w:t>
      </w:r>
      <w:r>
        <w:rPr>
          <w:rFonts w:hint="eastAsia"/>
          <w:color w:val="auto"/>
        </w:rPr>
        <w:t>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rPr>
        <w:t>。</w:t>
      </w:r>
    </w:p>
    <w:p w14:paraId="2A946174">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1FBB70EF">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450B80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02FEA4B4">
      <w:pPr>
        <w:pStyle w:val="132"/>
        <w:snapToGrid w:val="0"/>
        <w:spacing w:before="0"/>
        <w:ind w:firstLine="360"/>
        <w:rPr>
          <w:rFonts w:ascii="宋体" w:hAnsi="宋体" w:cs="宋体"/>
          <w:sz w:val="18"/>
          <w:szCs w:val="18"/>
        </w:rPr>
      </w:pPr>
    </w:p>
    <w:p w14:paraId="7B9523FB">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BC50491">
      <w:pPr>
        <w:pStyle w:val="32"/>
        <w:spacing w:line="360" w:lineRule="auto"/>
        <w:rPr>
          <w:rFonts w:hAnsi="宋体" w:cs="宋体"/>
          <w:b/>
          <w:sz w:val="24"/>
          <w:szCs w:val="24"/>
        </w:rPr>
      </w:pPr>
      <w:r>
        <w:rPr>
          <w:rFonts w:hint="eastAsia" w:hAnsi="宋体" w:cs="宋体"/>
          <w:b/>
          <w:sz w:val="24"/>
          <w:szCs w:val="24"/>
        </w:rPr>
        <w:t>5．采购文件的构成</w:t>
      </w:r>
    </w:p>
    <w:p w14:paraId="1BEE6326">
      <w:pPr>
        <w:pStyle w:val="32"/>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667752C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27BEED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E05760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C9A60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524385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C7355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76F97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41963A8">
      <w:pPr>
        <w:pStyle w:val="32"/>
        <w:spacing w:line="360" w:lineRule="auto"/>
        <w:rPr>
          <w:rFonts w:hAnsi="宋体" w:cs="宋体"/>
          <w:b/>
          <w:sz w:val="24"/>
          <w:szCs w:val="24"/>
        </w:rPr>
      </w:pPr>
      <w:r>
        <w:rPr>
          <w:rFonts w:hint="eastAsia" w:hAnsi="宋体" w:cs="宋体"/>
          <w:b/>
          <w:sz w:val="24"/>
          <w:szCs w:val="24"/>
        </w:rPr>
        <w:t>6. 采购文件的澄清、修改</w:t>
      </w:r>
    </w:p>
    <w:p w14:paraId="09C74BEC">
      <w:pPr>
        <w:pStyle w:val="132"/>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46CB26CD">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rPr>
          <w:rFonts w:hAnsi="宋体" w:cs="宋体"/>
          <w:sz w:val="18"/>
          <w:szCs w:val="18"/>
          <w:lang w:val="en-US"/>
        </w:rPr>
      </w:pPr>
    </w:p>
    <w:p w14:paraId="08EAEBA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5D7BED8">
      <w:pPr>
        <w:pStyle w:val="32"/>
        <w:spacing w:line="360" w:lineRule="auto"/>
        <w:rPr>
          <w:rFonts w:hAnsi="宋体" w:cs="宋体"/>
          <w:b/>
          <w:sz w:val="24"/>
          <w:szCs w:val="24"/>
        </w:rPr>
      </w:pPr>
      <w:r>
        <w:rPr>
          <w:rFonts w:hint="eastAsia" w:hAnsi="宋体" w:cs="宋体"/>
          <w:b/>
          <w:sz w:val="24"/>
          <w:szCs w:val="24"/>
        </w:rPr>
        <w:t>7. 采购文件的获取</w:t>
      </w:r>
    </w:p>
    <w:p w14:paraId="5353A6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58883666">
      <w:pPr>
        <w:pStyle w:val="32"/>
        <w:spacing w:line="360" w:lineRule="auto"/>
        <w:rPr>
          <w:rFonts w:hAnsi="宋体" w:cs="宋体"/>
          <w:b/>
          <w:sz w:val="24"/>
          <w:szCs w:val="24"/>
        </w:rPr>
      </w:pPr>
      <w:r>
        <w:rPr>
          <w:rFonts w:hint="eastAsia" w:hAnsi="宋体" w:cs="宋体"/>
          <w:b/>
          <w:sz w:val="24"/>
          <w:szCs w:val="24"/>
        </w:rPr>
        <w:t>8.磋商前答疑会或现场考察</w:t>
      </w:r>
    </w:p>
    <w:p w14:paraId="6B51A41B">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0C795E8">
      <w:pPr>
        <w:pStyle w:val="32"/>
        <w:spacing w:line="360" w:lineRule="auto"/>
        <w:rPr>
          <w:rFonts w:hAnsi="宋体" w:cs="宋体"/>
          <w:b/>
          <w:szCs w:val="24"/>
        </w:rPr>
      </w:pPr>
      <w:r>
        <w:rPr>
          <w:rFonts w:hint="eastAsia" w:hAnsi="宋体" w:cs="宋体"/>
          <w:b/>
          <w:kern w:val="28"/>
          <w:sz w:val="24"/>
          <w:szCs w:val="24"/>
        </w:rPr>
        <w:t>9.磋商保证金</w:t>
      </w:r>
    </w:p>
    <w:p w14:paraId="4C0A0BB4">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258AD01C">
      <w:pPr>
        <w:pStyle w:val="32"/>
        <w:spacing w:line="360" w:lineRule="auto"/>
        <w:rPr>
          <w:rFonts w:hAnsi="宋体" w:cs="宋体"/>
          <w:b/>
          <w:sz w:val="24"/>
          <w:szCs w:val="24"/>
        </w:rPr>
      </w:pPr>
      <w:r>
        <w:rPr>
          <w:rFonts w:hint="eastAsia" w:hAnsi="宋体" w:cs="宋体"/>
          <w:b/>
          <w:sz w:val="24"/>
          <w:szCs w:val="24"/>
        </w:rPr>
        <w:t>10. 响应文件的语言</w:t>
      </w:r>
    </w:p>
    <w:p w14:paraId="21A9C8E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F71CC65">
      <w:pPr>
        <w:pStyle w:val="32"/>
        <w:spacing w:line="360" w:lineRule="auto"/>
        <w:rPr>
          <w:rFonts w:hAnsi="宋体" w:cs="宋体"/>
          <w:b/>
          <w:sz w:val="24"/>
          <w:szCs w:val="24"/>
        </w:rPr>
      </w:pPr>
      <w:r>
        <w:rPr>
          <w:rFonts w:hint="eastAsia" w:hAnsi="宋体" w:cs="宋体"/>
          <w:b/>
          <w:sz w:val="24"/>
          <w:szCs w:val="24"/>
        </w:rPr>
        <w:t>11. 响应文件的组成</w:t>
      </w:r>
    </w:p>
    <w:p w14:paraId="0AE97AC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157EF8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B5B36D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28" w:name="_Hlk101259339"/>
      <w:r>
        <w:rPr>
          <w:rFonts w:hint="eastAsia" w:ascii="宋体" w:hAnsi="宋体" w:cs="宋体"/>
          <w:snapToGrid w:val="0"/>
          <w:kern w:val="28"/>
          <w:sz w:val="24"/>
          <w:szCs w:val="20"/>
        </w:rPr>
        <w:t>联合协议</w:t>
      </w:r>
      <w:bookmarkStart w:id="29" w:name="_Hlk101257010"/>
      <w:r>
        <w:rPr>
          <w:rFonts w:hint="eastAsia" w:ascii="宋体" w:hAnsi="宋体" w:cs="宋体"/>
          <w:snapToGrid w:val="0"/>
          <w:kern w:val="28"/>
          <w:sz w:val="24"/>
          <w:szCs w:val="20"/>
        </w:rPr>
        <w:t>（如果有)</w:t>
      </w:r>
      <w:bookmarkEnd w:id="28"/>
      <w:bookmarkEnd w:id="29"/>
      <w:r>
        <w:rPr>
          <w:rFonts w:hint="eastAsia" w:ascii="宋体" w:hAnsi="宋体" w:cs="宋体"/>
          <w:snapToGrid w:val="0"/>
          <w:kern w:val="28"/>
          <w:sz w:val="24"/>
          <w:szCs w:val="20"/>
        </w:rPr>
        <w:t>；</w:t>
      </w:r>
    </w:p>
    <w:p w14:paraId="5C627DA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33199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CB1A82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689600">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2C6B5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3C92C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87BF2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3933AF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B28361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182A275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61EDA9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49936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7187AE6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2</w:t>
      </w:r>
      <w:r>
        <w:rPr>
          <w:rFonts w:hint="eastAsia" w:ascii="宋体" w:hAnsi="宋体" w:cs="宋体"/>
          <w:color w:val="auto"/>
          <w:sz w:val="24"/>
        </w:rPr>
        <w:t>中小企业声明函。</w:t>
      </w:r>
    </w:p>
    <w:p w14:paraId="173AB0DF">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14:paraId="3E57F5DC">
      <w:pPr>
        <w:spacing w:line="360" w:lineRule="auto"/>
        <w:ind w:firstLine="720" w:firstLineChars="300"/>
        <w:rPr>
          <w:color w:val="auto"/>
        </w:rPr>
      </w:pPr>
      <w:r>
        <w:rPr>
          <w:rFonts w:hint="eastAsia"/>
          <w:color w:val="auto"/>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6E53F57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w:t>
      </w:r>
      <w:r>
        <w:rPr>
          <w:rFonts w:hint="eastAsia" w:ascii="宋体" w:hAnsi="宋体" w:cs="宋体"/>
          <w:kern w:val="0"/>
          <w:sz w:val="24"/>
          <w:lang w:val="zh-CN"/>
        </w:rPr>
        <w:t>的响应文件，电子交易平台将拒收并提示。</w:t>
      </w:r>
    </w:p>
    <w:p w14:paraId="40ADDCE5">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sz w:val="24"/>
        </w:rPr>
      </w:pPr>
      <w:r>
        <w:rPr>
          <w:rFonts w:hint="eastAsia" w:ascii="宋体" w:hAnsi="宋体" w:cs="宋体"/>
          <w:b/>
          <w:sz w:val="24"/>
        </w:rPr>
        <w:t>13.响应文件的签署、盖章</w:t>
      </w:r>
    </w:p>
    <w:p w14:paraId="4D086772">
      <w:pPr>
        <w:pStyle w:val="132"/>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CC483F0">
      <w:pPr>
        <w:pStyle w:val="132"/>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2"/>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4813BFC">
      <w:pPr>
        <w:pStyle w:val="132"/>
        <w:snapToGrid w:val="0"/>
        <w:spacing w:before="0"/>
        <w:ind w:firstLine="0" w:firstLineChars="0"/>
        <w:rPr>
          <w:rFonts w:ascii="宋体" w:hAnsi="宋体" w:cs="宋体"/>
          <w:b/>
          <w:szCs w:val="24"/>
        </w:rPr>
      </w:pPr>
    </w:p>
    <w:p w14:paraId="4FA2F12E">
      <w:pPr>
        <w:pStyle w:val="132"/>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9A2A3D1">
      <w:pPr>
        <w:pStyle w:val="132"/>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2"/>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2"/>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351447D3">
      <w:pPr>
        <w:pStyle w:val="32"/>
        <w:snapToGrid w:val="0"/>
        <w:spacing w:line="360" w:lineRule="auto"/>
        <w:rPr>
          <w:rFonts w:hAnsi="宋体" w:cs="宋体"/>
          <w:b/>
          <w:sz w:val="24"/>
          <w:szCs w:val="24"/>
        </w:rPr>
      </w:pPr>
      <w:r>
        <w:rPr>
          <w:rFonts w:hint="eastAsia" w:hAnsi="宋体" w:cs="宋体"/>
          <w:b/>
          <w:sz w:val="24"/>
          <w:szCs w:val="24"/>
        </w:rPr>
        <w:t>15.备份响应文件</w:t>
      </w:r>
    </w:p>
    <w:p w14:paraId="75544BDB">
      <w:pPr>
        <w:pStyle w:val="32"/>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2F4961CB">
      <w:pPr>
        <w:pStyle w:val="32"/>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EB16337">
      <w:pPr>
        <w:pStyle w:val="32"/>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532976F8">
      <w:pPr>
        <w:pStyle w:val="32"/>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2BE01B02">
      <w:pPr>
        <w:pStyle w:val="32"/>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40577DFD">
      <w:pPr>
        <w:pStyle w:val="132"/>
        <w:spacing w:before="0"/>
        <w:ind w:firstLine="0" w:firstLineChars="0"/>
        <w:rPr>
          <w:rFonts w:ascii="宋体" w:hAnsi="宋体" w:cs="宋体"/>
          <w:b/>
          <w:szCs w:val="24"/>
        </w:rPr>
      </w:pPr>
      <w:r>
        <w:rPr>
          <w:rFonts w:hint="eastAsia" w:ascii="宋体" w:hAnsi="宋体" w:cs="宋体"/>
          <w:b/>
          <w:szCs w:val="24"/>
        </w:rPr>
        <w:t>16.响应文件的无效处理</w:t>
      </w:r>
    </w:p>
    <w:p w14:paraId="61E804F1">
      <w:pPr>
        <w:pStyle w:val="24"/>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7DBC14D">
      <w:pPr>
        <w:pStyle w:val="132"/>
        <w:spacing w:before="0"/>
        <w:ind w:firstLine="0" w:firstLineChars="0"/>
        <w:rPr>
          <w:rFonts w:ascii="宋体" w:hAnsi="宋体" w:cs="宋体"/>
          <w:b/>
          <w:szCs w:val="24"/>
        </w:rPr>
      </w:pPr>
      <w:r>
        <w:rPr>
          <w:rFonts w:hint="eastAsia" w:ascii="宋体" w:hAnsi="宋体" w:cs="宋体"/>
          <w:b/>
          <w:szCs w:val="24"/>
        </w:rPr>
        <w:t>17.响应文件有效期</w:t>
      </w:r>
    </w:p>
    <w:p w14:paraId="14D3D68F">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4C4F022">
      <w:pPr>
        <w:pStyle w:val="132"/>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F8458C">
      <w:pPr>
        <w:pStyle w:val="132"/>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1147B23">
      <w:pPr>
        <w:pStyle w:val="132"/>
        <w:spacing w:before="0"/>
        <w:ind w:firstLine="643"/>
        <w:rPr>
          <w:rFonts w:ascii="宋体" w:hAnsi="宋体" w:cs="宋体"/>
          <w:b/>
          <w:sz w:val="32"/>
        </w:rPr>
      </w:pPr>
    </w:p>
    <w:p w14:paraId="45C7E013">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34C38DC5">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45030AEF">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62F9981">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E65B4DE">
      <w:pPr>
        <w:pStyle w:val="132"/>
        <w:spacing w:before="0"/>
        <w:ind w:firstLine="0" w:firstLineChars="0"/>
        <w:rPr>
          <w:rFonts w:ascii="宋体" w:hAnsi="宋体" w:cs="宋体"/>
          <w:b/>
          <w:szCs w:val="24"/>
        </w:rPr>
      </w:pPr>
      <w:r>
        <w:rPr>
          <w:rFonts w:hint="eastAsia" w:ascii="宋体" w:hAnsi="宋体" w:cs="宋体"/>
          <w:b/>
          <w:szCs w:val="24"/>
        </w:rPr>
        <w:t>20、信用信息查询</w:t>
      </w:r>
    </w:p>
    <w:p w14:paraId="18BDD043">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C28207C">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08FE3D39">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6A7A1A4">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F6540D">
      <w:pPr>
        <w:pStyle w:val="132"/>
        <w:spacing w:before="0"/>
        <w:ind w:firstLine="0" w:firstLineChars="0"/>
        <w:rPr>
          <w:rFonts w:ascii="宋体" w:hAnsi="宋体" w:cs="宋体"/>
          <w:kern w:val="0"/>
          <w:szCs w:val="24"/>
        </w:rPr>
      </w:pPr>
    </w:p>
    <w:p w14:paraId="6973DF51">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AF61797">
      <w:pPr>
        <w:spacing w:line="360" w:lineRule="auto"/>
        <w:rPr>
          <w:rFonts w:ascii="宋体" w:hAnsi="宋体" w:cs="宋体"/>
          <w:b/>
          <w:sz w:val="24"/>
        </w:rPr>
      </w:pPr>
      <w:bookmarkStart w:id="30"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2754A65">
      <w:pPr>
        <w:spacing w:line="360" w:lineRule="auto"/>
        <w:rPr>
          <w:rFonts w:ascii="宋体" w:hAnsi="宋体" w:cs="宋体"/>
          <w:b/>
          <w:sz w:val="24"/>
        </w:rPr>
      </w:pPr>
    </w:p>
    <w:p w14:paraId="6B310591">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87020F4">
      <w:pPr>
        <w:pStyle w:val="24"/>
        <w:spacing w:line="360" w:lineRule="auto"/>
        <w:ind w:left="479" w:hanging="479" w:hangingChars="199"/>
        <w:rPr>
          <w:rFonts w:cs="宋体"/>
          <w:b/>
        </w:rPr>
      </w:pPr>
      <w:r>
        <w:rPr>
          <w:rFonts w:hint="eastAsia" w:cs="宋体"/>
          <w:b/>
        </w:rPr>
        <w:t>22. 确定成交供应商</w:t>
      </w:r>
    </w:p>
    <w:p w14:paraId="67A80751">
      <w:pPr>
        <w:pStyle w:val="132"/>
        <w:snapToGrid w:val="0"/>
        <w:spacing w:before="0"/>
        <w:ind w:firstLine="480"/>
        <w:rPr>
          <w:rFonts w:ascii="宋体" w:hAnsi="宋体" w:cs="宋体"/>
          <w:b/>
          <w:color w:val="auto"/>
          <w:szCs w:val="24"/>
        </w:rPr>
      </w:pPr>
      <w:r>
        <w:rPr>
          <w:rFonts w:hint="eastAsia" w:ascii="宋体" w:hAnsi="宋体" w:cs="宋体"/>
          <w:szCs w:val="24"/>
        </w:rPr>
        <w:t>政</w:t>
      </w:r>
      <w:r>
        <w:rPr>
          <w:rFonts w:hint="eastAsia" w:ascii="宋体" w:hAnsi="宋体" w:cs="宋体"/>
          <w:color w:val="auto"/>
          <w:szCs w:val="24"/>
        </w:rPr>
        <w:t>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0C9DAE0E">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14:paraId="320DFD0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14:paraId="0406739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sz w:val="32"/>
        </w:rPr>
      </w:pPr>
    </w:p>
    <w:p w14:paraId="4975CE3E">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4A06CA2D">
      <w:pPr>
        <w:pStyle w:val="24"/>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5DF5686">
      <w:pPr>
        <w:pStyle w:val="24"/>
        <w:snapToGrid w:val="0"/>
        <w:spacing w:line="360" w:lineRule="auto"/>
        <w:ind w:left="479" w:hanging="479" w:hangingChars="199"/>
        <w:rPr>
          <w:rFonts w:cs="宋体"/>
          <w:b/>
        </w:rPr>
      </w:pPr>
      <w:r>
        <w:rPr>
          <w:rFonts w:hint="eastAsia" w:cs="宋体"/>
          <w:b/>
        </w:rPr>
        <w:t>25. 合同的签订</w:t>
      </w:r>
    </w:p>
    <w:p w14:paraId="68AE143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2"/>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52252A8">
      <w:pPr>
        <w:pStyle w:val="132"/>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2"/>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38FC5AD">
      <w:pPr>
        <w:pStyle w:val="24"/>
        <w:snapToGrid w:val="0"/>
        <w:spacing w:line="360" w:lineRule="auto"/>
        <w:ind w:left="479" w:hanging="479" w:hangingChars="199"/>
        <w:rPr>
          <w:rFonts w:cs="宋体"/>
          <w:b/>
        </w:rPr>
      </w:pPr>
      <w:r>
        <w:rPr>
          <w:rFonts w:hint="eastAsia" w:cs="宋体"/>
          <w:b/>
        </w:rPr>
        <w:t>26. 履约保证金</w:t>
      </w:r>
    </w:p>
    <w:p w14:paraId="7E68BB87">
      <w:pPr>
        <w:tabs>
          <w:tab w:val="left" w:pos="0"/>
        </w:tabs>
        <w:snapToGrid w:val="0"/>
        <w:spacing w:line="360" w:lineRule="auto"/>
        <w:ind w:firstLine="482"/>
        <w:rPr>
          <w:rFonts w:hint="eastAsia"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18198C">
      <w:pPr>
        <w:tabs>
          <w:tab w:val="left" w:pos="0"/>
        </w:tabs>
        <w:snapToGrid w:val="0"/>
        <w:spacing w:line="360" w:lineRule="auto"/>
        <w:ind w:firstLine="482"/>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21BD6B82">
      <w:pPr>
        <w:pStyle w:val="3"/>
        <w:rPr>
          <w:highlight w:val="none"/>
        </w:rPr>
      </w:pPr>
      <w:r>
        <w:rPr>
          <w:rFonts w:ascii="宋体" w:hAnsi="宋体" w:eastAsia="宋体" w:cs="Times New Roman"/>
          <w:b/>
          <w:bCs/>
          <w:kern w:val="2"/>
          <w:sz w:val="24"/>
          <w:szCs w:val="32"/>
          <w:highlight w:val="none"/>
          <w:lang w:val="en-US"/>
        </w:rPr>
        <w:t>27.预付款</w:t>
      </w:r>
    </w:p>
    <w:p w14:paraId="7674042F">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085294B"/>
    <w:p w14:paraId="7AA8E11D">
      <w:pPr>
        <w:snapToGrid w:val="0"/>
        <w:spacing w:line="360" w:lineRule="auto"/>
        <w:ind w:firstLine="3357" w:firstLineChars="1045"/>
        <w:rPr>
          <w:rFonts w:ascii="宋体" w:hAnsi="宋体" w:cs="宋体"/>
          <w:b/>
          <w:sz w:val="32"/>
        </w:rPr>
      </w:pPr>
    </w:p>
    <w:p w14:paraId="069C2720">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6D94CDB6">
      <w:pPr>
        <w:pStyle w:val="132"/>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54F7300">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FEA4B86">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779F831">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684998">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75EDD0D3">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4DB74E8B">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sz w:val="24"/>
        </w:rPr>
      </w:pPr>
    </w:p>
    <w:p w14:paraId="7496ED7D">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32321451">
      <w:pPr>
        <w:pStyle w:val="24"/>
        <w:spacing w:line="360" w:lineRule="auto"/>
        <w:ind w:firstLine="0" w:firstLineChars="0"/>
        <w:rPr>
          <w:rFonts w:cs="宋体"/>
          <w:b/>
        </w:rPr>
      </w:pPr>
      <w:r>
        <w:rPr>
          <w:rFonts w:hint="eastAsia" w:cs="宋体"/>
          <w:b/>
        </w:rPr>
        <w:t>30.验收</w:t>
      </w:r>
    </w:p>
    <w:p w14:paraId="62265F6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w:t>
      </w:r>
      <w:r>
        <w:rPr>
          <w:rFonts w:hint="eastAsia" w:ascii="宋体" w:hAnsi="宋体" w:cs="宋体"/>
          <w:kern w:val="0"/>
          <w:sz w:val="24"/>
        </w:rPr>
        <w:t>验收书的参考资料一并存档。</w:t>
      </w:r>
    </w:p>
    <w:p w14:paraId="264BE126">
      <w:pPr>
        <w:tabs>
          <w:tab w:val="left" w:pos="0"/>
        </w:tabs>
        <w:spacing w:line="360" w:lineRule="auto"/>
        <w:ind w:firstLine="480"/>
        <w:rPr>
          <w:rFonts w:ascii="宋体" w:hAnsi="宋体" w:cs="宋体"/>
          <w:color w:val="auto"/>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w:t>
      </w:r>
      <w:r>
        <w:rPr>
          <w:rFonts w:hint="eastAsia" w:ascii="宋体" w:hAnsi="宋体" w:cs="宋体"/>
          <w:color w:val="auto"/>
          <w:kern w:val="0"/>
          <w:sz w:val="24"/>
        </w:rPr>
        <w:t>项资料应当存档备查。</w:t>
      </w:r>
    </w:p>
    <w:p w14:paraId="682F356D">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0"/>
    <w:p w14:paraId="4DA239AD">
      <w:pPr>
        <w:pStyle w:val="3"/>
        <w:adjustRightInd w:val="0"/>
        <w:snapToGrid w:val="0"/>
        <w:ind w:left="0" w:firstLine="480" w:firstLineChars="200"/>
        <w:rPr>
          <w:rFonts w:ascii="宋体" w:hAnsi="宋体" w:eastAsia="宋体" w:cs="宋体"/>
          <w:b w:val="0"/>
          <w:bCs w:val="0"/>
          <w:color w:val="auto"/>
          <w:kern w:val="0"/>
          <w:sz w:val="24"/>
          <w:szCs w:val="24"/>
          <w:lang w:val="en-US"/>
        </w:rPr>
      </w:pPr>
      <w:bookmarkStart w:id="31" w:name="_Hlt68072990"/>
      <w:bookmarkEnd w:id="31"/>
      <w:bookmarkStart w:id="32" w:name="_Hlt75236101"/>
      <w:bookmarkEnd w:id="32"/>
      <w:bookmarkStart w:id="33" w:name="_Hlt75236011"/>
      <w:bookmarkEnd w:id="33"/>
      <w:bookmarkStart w:id="34" w:name="_Hlt68073093"/>
      <w:bookmarkEnd w:id="34"/>
      <w:bookmarkStart w:id="35" w:name="_Hlt74729768"/>
      <w:bookmarkEnd w:id="35"/>
      <w:bookmarkStart w:id="36" w:name="_Hlt74714665"/>
      <w:bookmarkEnd w:id="36"/>
      <w:bookmarkStart w:id="37" w:name="_Hlt74707468"/>
      <w:bookmarkEnd w:id="37"/>
      <w:bookmarkStart w:id="38" w:name="_Hlt75236290"/>
      <w:bookmarkEnd w:id="38"/>
      <w:bookmarkStart w:id="39" w:name="_Hlt68403820"/>
      <w:bookmarkEnd w:id="39"/>
      <w:bookmarkStart w:id="40" w:name="_Hlt74730295"/>
      <w:bookmarkEnd w:id="40"/>
      <w:bookmarkStart w:id="41" w:name="_Hlt68072998"/>
      <w:bookmarkEnd w:id="41"/>
      <w:bookmarkStart w:id="42" w:name="_Hlt68057669"/>
      <w:bookmarkEnd w:id="42"/>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05E3F97">
      <w:pPr>
        <w:pStyle w:val="81"/>
        <w:rPr>
          <w:color w:val="FF0000"/>
        </w:rPr>
        <w:sectPr>
          <w:pgSz w:w="11906" w:h="16838"/>
          <w:pgMar w:top="1440" w:right="1080" w:bottom="1440" w:left="1080" w:header="851" w:footer="992" w:gutter="0"/>
          <w:cols w:space="720" w:num="1"/>
          <w:titlePg/>
          <w:docGrid w:linePitch="312" w:charSpace="0"/>
        </w:sectPr>
      </w:pPr>
    </w:p>
    <w:bookmarkEnd w:id="25"/>
    <w:bookmarkEnd w:id="26"/>
    <w:p w14:paraId="60696D02">
      <w:pPr>
        <w:pStyle w:val="32"/>
        <w:spacing w:line="360" w:lineRule="auto"/>
        <w:jc w:val="center"/>
        <w:rPr>
          <w:rFonts w:hAnsi="宋体" w:cs="宋体"/>
          <w:b/>
          <w:snapToGrid/>
          <w:sz w:val="36"/>
          <w:szCs w:val="20"/>
          <w:highlight w:val="none"/>
        </w:rPr>
      </w:pPr>
      <w:bookmarkStart w:id="43" w:name="第四部分"/>
      <w:r>
        <w:rPr>
          <w:rFonts w:hint="eastAsia" w:hAnsi="宋体" w:cs="宋体"/>
          <w:b/>
          <w:snapToGrid/>
          <w:sz w:val="36"/>
          <w:szCs w:val="20"/>
          <w:highlight w:val="none"/>
        </w:rPr>
        <w:t>第三部分 采购需求</w:t>
      </w:r>
    </w:p>
    <w:p w14:paraId="5074DA87">
      <w:pPr>
        <w:spacing w:line="360" w:lineRule="auto"/>
        <w:jc w:val="left"/>
        <w:rPr>
          <w:rFonts w:ascii="宋体" w:hAnsi="宋体" w:cs="仿宋_GB2312"/>
          <w:b/>
          <w:bCs/>
          <w:sz w:val="24"/>
        </w:rPr>
      </w:pPr>
      <w:r>
        <w:rPr>
          <w:rFonts w:hint="eastAsia" w:ascii="宋体" w:hAnsi="宋体" w:cs="仿宋_GB2312"/>
          <w:b/>
          <w:bCs/>
          <w:sz w:val="24"/>
        </w:rPr>
        <w:t>一、工程概况</w:t>
      </w:r>
    </w:p>
    <w:p w14:paraId="3C37A839">
      <w:pPr>
        <w:spacing w:line="360" w:lineRule="auto"/>
        <w:ind w:firstLine="480" w:firstLineChars="200"/>
        <w:jc w:val="left"/>
        <w:rPr>
          <w:rFonts w:hint="eastAsia" w:ascii="宋体" w:hAnsi="宋体"/>
          <w:sz w:val="24"/>
          <w:u w:val="single"/>
        </w:rPr>
      </w:pPr>
      <w:r>
        <w:rPr>
          <w:rFonts w:hint="eastAsia" w:ascii="宋体" w:hAnsi="宋体"/>
          <w:sz w:val="24"/>
          <w:u w:val="single"/>
        </w:rPr>
        <w:t>2025年至2026年临安区小型水库山塘维修养护服务土建维修，分为玲珑片库塘土建维修服务采购和於潜、昌化片库塘土建维修服务采购二个标项。同一供应商可以就2个标项全部进行投标，但为保证服务质量，只允许中1个标项，如有先行评审的标项中标，则该单位所投后1个标项将不被推荐为中标候选人。</w:t>
      </w:r>
    </w:p>
    <w:p w14:paraId="650F113D">
      <w:pPr>
        <w:spacing w:line="360" w:lineRule="auto"/>
        <w:ind w:firstLine="480" w:firstLineChars="200"/>
        <w:jc w:val="left"/>
        <w:rPr>
          <w:rFonts w:hint="default" w:ascii="宋体" w:hAnsi="宋体" w:eastAsia="宋体"/>
          <w:sz w:val="24"/>
          <w:u w:val="single"/>
          <w:lang w:val="en-US" w:eastAsia="zh-CN"/>
        </w:rPr>
      </w:pPr>
      <w:r>
        <w:rPr>
          <w:rFonts w:hint="eastAsia" w:ascii="宋体" w:hAnsi="宋体"/>
          <w:sz w:val="24"/>
          <w:u w:val="single"/>
        </w:rPr>
        <w:t>本项目位于临安区，玲珑片土建维修服务采购主要内容有:辖区内的小型水库山塘的专项维修加固(溢洪道维修、坝坡预制块(块石)维修、防浪墙维修、踏步维修、排水棱体维修、排水沟维修以及渗漏处理等)</w:t>
      </w:r>
      <w:r>
        <w:rPr>
          <w:rFonts w:hint="eastAsia" w:ascii="宋体" w:hAnsi="宋体"/>
          <w:sz w:val="24"/>
          <w:u w:val="single"/>
          <w:lang w:eastAsia="zh-CN"/>
        </w:rPr>
        <w:t>，</w:t>
      </w:r>
      <w:r>
        <w:rPr>
          <w:rFonts w:hint="eastAsia" w:ascii="宋体" w:hAnsi="宋体"/>
          <w:sz w:val="24"/>
          <w:u w:val="single"/>
          <w:lang w:val="en-US" w:eastAsia="zh-CN"/>
        </w:rPr>
        <w:t>详见工程量清单（另附）。</w:t>
      </w:r>
    </w:p>
    <w:p w14:paraId="58A83C8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、工程概况：</w:t>
      </w:r>
    </w:p>
    <w:p w14:paraId="2199C6D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 工程概况</w:t>
      </w:r>
    </w:p>
    <w:p w14:paraId="156342EB">
      <w:pPr>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2025年至2026年临安区小型水库山塘维修养护服务——玲珑片土建维修服务采购</w:t>
      </w:r>
      <w:r>
        <w:rPr>
          <w:rFonts w:hint="eastAsia" w:ascii="宋体" w:hAnsi="宋体" w:eastAsia="宋体" w:cs="宋体"/>
          <w:sz w:val="24"/>
          <w:szCs w:val="24"/>
        </w:rPr>
        <w:t>位于临安区。工程主要内容包含：辖区内</w:t>
      </w:r>
      <w:r>
        <w:rPr>
          <w:rFonts w:hint="eastAsia" w:ascii="宋体" w:hAnsi="宋体" w:eastAsia="宋体" w:cs="宋体"/>
          <w:sz w:val="24"/>
          <w:szCs w:val="24"/>
          <w:lang w:val="en-US" w:eastAsia="zh-CN"/>
        </w:rPr>
        <w:t>小型水库山塘的专项维修加固（溢洪道维修、坝坡预制块（块石）维修、防浪墙维修、踏步维修、排水棱体维修、排水沟维</w:t>
      </w:r>
      <w:bookmarkStart w:id="44" w:name="OLE_LINK28"/>
      <w:r>
        <w:rPr>
          <w:rFonts w:hint="eastAsia" w:ascii="宋体" w:hAnsi="宋体" w:eastAsia="宋体" w:cs="宋体"/>
          <w:sz w:val="24"/>
          <w:szCs w:val="24"/>
          <w:lang w:val="en-US" w:eastAsia="zh-CN"/>
        </w:rPr>
        <w:t>修</w:t>
      </w:r>
      <w:bookmarkEnd w:id="44"/>
      <w:r>
        <w:rPr>
          <w:rFonts w:hint="eastAsia" w:ascii="宋体" w:hAnsi="宋体" w:eastAsia="宋体" w:cs="宋体"/>
          <w:sz w:val="24"/>
          <w:szCs w:val="24"/>
          <w:lang w:val="en-US" w:eastAsia="zh-CN"/>
        </w:rPr>
        <w:t>、防渗处理）等。</w:t>
      </w:r>
    </w:p>
    <w:p w14:paraId="502D3B7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 工程招标范围</w:t>
      </w:r>
    </w:p>
    <w:p w14:paraId="703F21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eastAsia="zh-CN"/>
        </w:rPr>
        <w:t>2025年至2026年临安区小型水库山塘维修养护服务——玲珑片土建维修服务采购</w:t>
      </w:r>
      <w:r>
        <w:rPr>
          <w:rFonts w:hint="eastAsia" w:ascii="宋体" w:hAnsi="宋体" w:eastAsia="宋体" w:cs="宋体"/>
          <w:sz w:val="24"/>
          <w:szCs w:val="24"/>
        </w:rPr>
        <w:t>招标文件、工程量清单范围内及其它约定的所有工程。</w:t>
      </w:r>
      <w:r>
        <w:rPr>
          <w:rFonts w:hint="eastAsia" w:ascii="宋体" w:hAnsi="宋体" w:cs="宋体"/>
          <w:sz w:val="24"/>
          <w:szCs w:val="24"/>
          <w:lang w:val="en-US" w:eastAsia="zh-CN"/>
        </w:rPr>
        <w:t>如清单范围内的项目有所调整的，中标人须配合采购人工作要求完成。</w:t>
      </w:r>
    </w:p>
    <w:p w14:paraId="5C13DC7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 招标人供应的材料、提供的施工设备</w:t>
      </w:r>
    </w:p>
    <w:p w14:paraId="3A8913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招标人供应的材料或施工设施：</w:t>
      </w:r>
      <w:r>
        <w:rPr>
          <w:rFonts w:hint="eastAsia" w:ascii="宋体" w:hAnsi="宋体" w:eastAsia="宋体" w:cs="宋体"/>
          <w:sz w:val="24"/>
          <w:szCs w:val="24"/>
          <w:u w:val="single"/>
        </w:rPr>
        <w:t>无。</w:t>
      </w:r>
    </w:p>
    <w:p w14:paraId="4DD153D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 工程量清单计价说明</w:t>
      </w:r>
    </w:p>
    <w:p w14:paraId="797D52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工程量清单应与招标文件中的投标人须知、通用合同条款、专用合同条款、技术标准和要求（合同技术条款）、图纸等一起阅读和理解。</w:t>
      </w:r>
    </w:p>
    <w:p w14:paraId="03DD62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工程量清单标明的工程量仅是投标人投标报价的共同基础。除另有约定外，工程量清单中的工程量是根据招标设计图纸计算的用于投标报价的估算工程量，不作为最终结算工程量。最终结算的工程量是承包人实际完成并符合技术标准和要求（合同技术条款）规定、按施工图纸计算的有效工程量。</w:t>
      </w:r>
    </w:p>
    <w:p w14:paraId="377E81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  工程量清单中各项目的工作内容和要求应符合相关技术标准和要求（合同技术条款）的规定。</w:t>
      </w:r>
    </w:p>
    <w:p w14:paraId="570627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  工程价款的支付遵循合同条款的约定。</w:t>
      </w:r>
    </w:p>
    <w:p w14:paraId="337132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  除招标文件另有规定外，投标人不得随意增加、删除或涂改招标文件工程量清单中的任何内容。工程量清单中列明的所有需要填写的单价和合价，投标人均应填写；未填写的单价和合价，视为已包括在工程量清单的其他单价和合价中。</w:t>
      </w:r>
    </w:p>
    <w:p w14:paraId="05F1E0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  工程量清单中的工程单价是完成工程量清单中的一个质量合格的规定计量单位项目所需的直接费、间接费、利润、补差和税金等，并考虑一定范围内的风险费用。投标人应根据规定的工程单价组成内容确定工程单价。除另有规定外，对有效工程量以外的超挖、超填工程量，施工附加量，加工、运输损耗等，所消耗的人工、材料和机械费用，均应摊入相应的有效工程量的工程单价内。</w:t>
      </w:r>
    </w:p>
    <w:p w14:paraId="219F8B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4.7  投标金额（价格）均应以人民币表示。</w:t>
      </w:r>
    </w:p>
    <w:p w14:paraId="48D390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  其他项目中的保险费由发包人按本章有关规定和《工程量清单》所列项目，按承包人提交的保险费付款凭证按实支付，但最高不超过《工程量清单》所列费用。</w:t>
      </w:r>
    </w:p>
    <w:p w14:paraId="323358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  本标段安全文明施工费不得低于建安工程量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2.5</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安全文明施工费不得作为竞争性费用，且实行标外管理。安全文明施工费的使用范围按国家和省有关规定执行。安全文明施工费由发包人按本章有关规定，按承包人提交的安全文明施工费付款凭证按实支付，但最高不超过《工程量清单》所列费用。</w:t>
      </w:r>
    </w:p>
    <w:p w14:paraId="402C00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4.10  措施项目由投标单位根据实际需要填写有关项目，以“项”为计量单位的措施项目一次性包死，结算时不作调整。</w:t>
      </w:r>
    </w:p>
    <w:p w14:paraId="28625F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  投标报价编制的参考依据</w:t>
      </w:r>
    </w:p>
    <w:p w14:paraId="2909DB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）《浙江省水利水电工程工程量清单计价办法》；</w:t>
      </w:r>
    </w:p>
    <w:p w14:paraId="0F9F6E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）《浙江省水利水电工程设计概（预）算编制规定（2021年）》，以下简称《编规》；</w:t>
      </w:r>
    </w:p>
    <w:p w14:paraId="47B1BB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浙江省水利水电建筑工程预算定额（2021年）》，《浙江省水利水电安装工程预算定额（2021年）》；《浙江省房屋建筑与装饰工程预算定额》（2018版）、《浙江省市政工程预算定额》（2018版）、《浙江省通用安装工程预算定额》（2018版）、《浙江省园林绿化及仿古建筑工程预算定额》（2018版）；</w:t>
      </w:r>
    </w:p>
    <w:p w14:paraId="541E04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）《浙江省水利水电工程施工机械台班费定额（2021年）》；</w:t>
      </w:r>
    </w:p>
    <w:p w14:paraId="090EF4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）浙水建【2013】81号文、浙水建【2016】31号文；</w:t>
      </w:r>
    </w:p>
    <w:p w14:paraId="57640B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bookmarkStart w:id="45" w:name="MOFFICE_FAWEN_TITLE"/>
      <w:r>
        <w:rPr>
          <w:rFonts w:hint="eastAsia" w:ascii="宋体" w:hAnsi="宋体" w:eastAsia="宋体" w:cs="宋体"/>
          <w:sz w:val="24"/>
          <w:szCs w:val="24"/>
        </w:rPr>
        <w:t>浙江省水利厅浙水建〔2019〕04号文颁发的关于水利工程营业税改增值税后计价依据调整的通知</w:t>
      </w:r>
      <w:bookmarkEnd w:id="45"/>
      <w:r>
        <w:rPr>
          <w:rFonts w:hint="eastAsia" w:ascii="宋体" w:hAnsi="宋体" w:eastAsia="宋体" w:cs="宋体"/>
          <w:sz w:val="24"/>
          <w:szCs w:val="24"/>
        </w:rPr>
        <w:t>；</w:t>
      </w:r>
    </w:p>
    <w:p w14:paraId="044B38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）浙江省有关文件、法律法规及省定额站的有关解释；</w:t>
      </w:r>
    </w:p>
    <w:p w14:paraId="3358A63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5 注意事项 </w:t>
      </w:r>
    </w:p>
    <w:p w14:paraId="5831E8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暂定价：共计</w:t>
      </w:r>
      <w:r>
        <w:rPr>
          <w:rFonts w:hint="eastAsia" w:ascii="宋体" w:hAnsi="宋体" w:eastAsia="宋体" w:cs="宋体"/>
          <w:sz w:val="24"/>
          <w:szCs w:val="24"/>
          <w:lang w:val="en-US" w:eastAsia="zh-CN"/>
        </w:rPr>
        <w:t>12000</w:t>
      </w:r>
      <w:r>
        <w:rPr>
          <w:rFonts w:hint="eastAsia" w:ascii="宋体" w:hAnsi="宋体" w:eastAsia="宋体" w:cs="宋体"/>
          <w:sz w:val="24"/>
          <w:szCs w:val="24"/>
        </w:rPr>
        <w:t>元（含税价），投标时不得变动，否则按无效标处理。施工结算时按实结算。</w:t>
      </w:r>
    </w:p>
    <w:p w14:paraId="790EAEBD">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暂定价</w:t>
      </w:r>
    </w:p>
    <w:p w14:paraId="5EDD924F">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b w:val="0"/>
          <w:bCs/>
          <w:sz w:val="24"/>
          <w:szCs w:val="24"/>
          <w:shd w:val="clear" w:color="auto" w:fill="auto"/>
          <w:lang w:val="en-US" w:eastAsia="zh-CN"/>
        </w:rPr>
      </w:pPr>
      <w:r>
        <w:rPr>
          <w:rFonts w:hint="eastAsia" w:ascii="宋体" w:hAnsi="宋体" w:eastAsia="宋体" w:cs="宋体"/>
          <w:sz w:val="24"/>
          <w:szCs w:val="24"/>
          <w:lang w:val="en-US" w:eastAsia="zh-CN"/>
        </w:rPr>
        <w:t>坍塌处内部防渗处理：12000元/项，1项共计12000元。</w:t>
      </w:r>
    </w:p>
    <w:p w14:paraId="2A0408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）本工程不计预留金。</w:t>
      </w:r>
    </w:p>
    <w:p w14:paraId="2CAAA6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承包人施工时应做好与周边相关道路以及周边居民出行的交通组织、文明安全、交通设施等围护工作（包括设置临时交通标志、标牌、标线等），满足交警等相关部门的管理要求。必须做到道路安全畅通，做好安全施工的宣传工作，确保工程顺利进行。涉及费用（含交警等相关部门协助维护等费用）作为投标风险费用，今后不作调整。</w:t>
      </w:r>
    </w:p>
    <w:p w14:paraId="2904E0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）本工程施工临时设施场地的借用及交通运输（借用村道、地方关系协调等）一系列问题由投标人自行踏勘现场考虑，涉及费用计入措施项目清单，若不报价作优惠处理，今后不作调整。</w:t>
      </w:r>
    </w:p>
    <w:p w14:paraId="5016F3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措施项目（即临时工程）施工单位需根据自己的施工组织设计和现场实际情况自行报价，清单工程量仅供参考，投标单位认为不足，可自行补充；若今后工程实施中发生新的措施项目但投标文件未列入的项目，视做投标人在风险费或其他项目中已考虑，今后不作调整。</w:t>
      </w:r>
    </w:p>
    <w:p w14:paraId="2429B5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）清单中项目特征描述与图纸不符或不全的部分，投标人应仔细阅读图纸，根据《水利工程工程量清单计价规范》（GB50501-2007）中清单项目所包含的工作内容，按设计图纸及施工规范要求综合考虑在内。</w:t>
      </w:r>
    </w:p>
    <w:p w14:paraId="748D2E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人在填写工程量清单的每一项综合单价和合价时均应结合招标文件、技术规范、设计施工图纸和现场勘察情况，谨慎仔细地进行报价。如发现清单中的表述与设计文件不符，请投标人提出书面意见以便答疑，如不提出则视为无异议。</w:t>
      </w:r>
    </w:p>
    <w:p w14:paraId="567A16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所有以“项”为计量单位的措施项目（即：临时工程）一次性包干，请投标单位充分考虑本工程实际风险，结算时不作调整，措施项目（即：临时工程）仅供参考，投标人可根据施工组织设计补充清单项目自行报价。</w:t>
      </w:r>
    </w:p>
    <w:p w14:paraId="5961BD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施工过程中如需与其他部门或相关单位协商与配合所产生的费用请计入措施项目清单报价中，中标后一律不予调整。中标人不文明施工引起的诸如渣土管理、交通、治安、环保等罚款及管线抢修等费用均由中标人自行承担，招标人概不负责。</w:t>
      </w:r>
    </w:p>
    <w:p w14:paraId="6A5FF3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工程施工时，投标人对周边建筑物、城市道路、树木、构筑物，电力设施、地下管线及各类成品等自行采取保护措施，并做好安全围护措施；由此所发生的一切费用均应计入相关项目的单价和总价中，招标人不另行支付。</w:t>
      </w:r>
    </w:p>
    <w:p w14:paraId="01A4C1F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）因施工图深度等原因，本清单工程量仅供投标报价使用，实际工程量待结算时按实调整。投标单位应综合工程量误差风险因素进行报价，结算时不因工程量增减变化而调整投标综合单价。</w:t>
      </w:r>
    </w:p>
    <w:p w14:paraId="1031358B">
      <w:pPr>
        <w:spacing w:line="360" w:lineRule="auto"/>
        <w:jc w:val="left"/>
        <w:rPr>
          <w:rFonts w:ascii="宋体" w:hAnsi="宋体" w:cs="仿宋_GB2312"/>
          <w:b/>
          <w:bCs/>
          <w:sz w:val="24"/>
          <w:highlight w:val="none"/>
          <w:u w:val="none"/>
        </w:rPr>
      </w:pPr>
      <w:r>
        <w:rPr>
          <w:rFonts w:hint="eastAsia" w:ascii="宋体" w:hAnsi="宋体" w:cs="仿宋_GB2312"/>
          <w:b/>
          <w:bCs/>
          <w:sz w:val="24"/>
          <w:highlight w:val="none"/>
          <w:u w:val="none"/>
        </w:rPr>
        <w:t>三、商务要求</w:t>
      </w:r>
    </w:p>
    <w:p w14:paraId="42A26631">
      <w:pPr>
        <w:snapToGrid w:val="0"/>
        <w:spacing w:line="360" w:lineRule="auto"/>
        <w:ind w:firstLine="482" w:firstLineChars="200"/>
        <w:jc w:val="left"/>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lang w:val="zh-CN"/>
        </w:rPr>
        <w:t>本项目不要求供应商提供工程量清单报价，上传的工程量清单仅供供应商报价和最终结算参考依据，按照供应商的</w:t>
      </w:r>
      <w:r>
        <w:rPr>
          <w:rFonts w:hint="eastAsia" w:ascii="宋体" w:hAnsi="宋体" w:cs="宋体"/>
          <w:b/>
          <w:bCs/>
          <w:color w:val="auto"/>
          <w:kern w:val="0"/>
          <w:sz w:val="24"/>
          <w:highlight w:val="none"/>
          <w:lang w:val="en-US" w:eastAsia="zh-CN"/>
        </w:rPr>
        <w:t>报价折扣率</w:t>
      </w:r>
      <w:r>
        <w:rPr>
          <w:rFonts w:hint="eastAsia" w:ascii="宋体" w:hAnsi="宋体" w:cs="宋体"/>
          <w:b/>
          <w:bCs/>
          <w:color w:val="auto"/>
          <w:kern w:val="0"/>
          <w:sz w:val="24"/>
          <w:highlight w:val="none"/>
          <w:lang w:val="zh-CN"/>
        </w:rPr>
        <w:t>进行结算。为防止投标人恶意低价竞标，</w:t>
      </w:r>
      <w:r>
        <w:rPr>
          <w:rFonts w:hint="eastAsia" w:ascii="宋体" w:hAnsi="宋体" w:cs="宋体"/>
          <w:b/>
          <w:bCs/>
          <w:color w:val="auto"/>
          <w:kern w:val="0"/>
          <w:sz w:val="24"/>
          <w:highlight w:val="none"/>
          <w:lang w:val="en-US" w:eastAsia="zh-CN"/>
        </w:rPr>
        <w:t>预算价</w:t>
      </w:r>
      <w:r>
        <w:rPr>
          <w:rFonts w:hint="eastAsia" w:ascii="宋体" w:hAnsi="宋体" w:cs="宋体"/>
          <w:b/>
          <w:bCs/>
          <w:color w:val="auto"/>
          <w:kern w:val="0"/>
          <w:sz w:val="24"/>
          <w:highlight w:val="none"/>
          <w:lang w:val="zh-CN"/>
        </w:rPr>
        <w:t>的80％作为风险控制价。中标价低于风险控制价的，中标人还须向招标人提供风险控制价和中标价的差额担保，作为履约担保的一部分。</w:t>
      </w:r>
    </w:p>
    <w:p w14:paraId="235B6F17">
      <w:pPr>
        <w:spacing w:line="360" w:lineRule="auto"/>
        <w:ind w:left="210" w:leftChars="100"/>
        <w:jc w:val="left"/>
        <w:rPr>
          <w:color w:val="auto"/>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.付款条件（进度和方式）</w:t>
      </w:r>
    </w:p>
    <w:tbl>
      <w:tblPr>
        <w:tblStyle w:val="62"/>
        <w:tblW w:w="9291" w:type="dxa"/>
        <w:tblInd w:w="4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005"/>
        <w:gridCol w:w="1935"/>
        <w:gridCol w:w="6351"/>
      </w:tblGrid>
      <w:tr w14:paraId="12929A0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005" w:type="dxa"/>
            <w:shd w:val="clear" w:color="auto" w:fill="auto"/>
            <w:vAlign w:val="center"/>
          </w:tcPr>
          <w:p w14:paraId="32E13B4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935" w:type="dxa"/>
            <w:shd w:val="clear" w:color="auto" w:fill="auto"/>
            <w:vAlign w:val="center"/>
          </w:tcPr>
          <w:p w14:paraId="35B26538">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6351" w:type="dxa"/>
            <w:shd w:val="clear" w:color="auto" w:fill="auto"/>
            <w:vAlign w:val="center"/>
          </w:tcPr>
          <w:p w14:paraId="4A2B77A2">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558438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05" w:type="dxa"/>
            <w:shd w:val="clear" w:color="auto" w:fill="auto"/>
            <w:vAlign w:val="center"/>
          </w:tcPr>
          <w:p w14:paraId="128237A2">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p>
        </w:tc>
        <w:tc>
          <w:tcPr>
            <w:tcW w:w="1935" w:type="dxa"/>
            <w:shd w:val="clear" w:color="auto" w:fill="auto"/>
            <w:vAlign w:val="center"/>
          </w:tcPr>
          <w:p w14:paraId="0866199E">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6351" w:type="dxa"/>
            <w:shd w:val="clear" w:color="auto" w:fill="auto"/>
            <w:vAlign w:val="center"/>
          </w:tcPr>
          <w:p w14:paraId="0BAF78B7">
            <w:pPr>
              <w:spacing w:line="360" w:lineRule="auto"/>
              <w:jc w:val="both"/>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合同签订后7个工作日内，支付至合同价的40%；</w:t>
            </w:r>
          </w:p>
        </w:tc>
      </w:tr>
      <w:tr w14:paraId="1955452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05" w:type="dxa"/>
            <w:shd w:val="clear" w:color="auto" w:fill="auto"/>
            <w:vAlign w:val="center"/>
          </w:tcPr>
          <w:p w14:paraId="65D55731">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935" w:type="dxa"/>
            <w:shd w:val="clear" w:color="auto" w:fill="auto"/>
            <w:vAlign w:val="center"/>
          </w:tcPr>
          <w:p w14:paraId="1AE7A888">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6351" w:type="dxa"/>
            <w:shd w:val="clear" w:color="auto" w:fill="auto"/>
            <w:vAlign w:val="center"/>
          </w:tcPr>
          <w:p w14:paraId="7E455626">
            <w:pPr>
              <w:spacing w:line="360" w:lineRule="auto"/>
              <w:jc w:val="both"/>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完工</w:t>
            </w:r>
            <w:r>
              <w:rPr>
                <w:rFonts w:hint="eastAsia" w:ascii="宋体" w:hAnsi="宋体" w:cs="仿宋_GB2312"/>
                <w:color w:val="auto"/>
                <w:sz w:val="24"/>
                <w:highlight w:val="none"/>
              </w:rPr>
              <w:t>验收合格后支付至签约合同价的80%；</w:t>
            </w:r>
          </w:p>
        </w:tc>
      </w:tr>
      <w:tr w14:paraId="2B31AB6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05" w:type="dxa"/>
            <w:shd w:val="clear" w:color="auto" w:fill="auto"/>
            <w:vAlign w:val="center"/>
          </w:tcPr>
          <w:p w14:paraId="2995E27D">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935" w:type="dxa"/>
            <w:shd w:val="clear" w:color="auto" w:fill="auto"/>
            <w:vAlign w:val="center"/>
          </w:tcPr>
          <w:p w14:paraId="2BAB1438">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20</w:t>
            </w:r>
          </w:p>
        </w:tc>
        <w:tc>
          <w:tcPr>
            <w:tcW w:w="6351" w:type="dxa"/>
            <w:shd w:val="clear" w:color="auto" w:fill="auto"/>
            <w:vAlign w:val="center"/>
          </w:tcPr>
          <w:p w14:paraId="51DDFBEC">
            <w:pPr>
              <w:spacing w:line="360" w:lineRule="auto"/>
              <w:jc w:val="both"/>
              <w:rPr>
                <w:rFonts w:hint="eastAsia" w:ascii="宋体" w:hAnsi="宋体" w:cs="仿宋_GB2312"/>
                <w:color w:val="auto"/>
                <w:sz w:val="24"/>
                <w:highlight w:val="none"/>
              </w:rPr>
            </w:pPr>
            <w:r>
              <w:rPr>
                <w:rFonts w:hint="eastAsia" w:ascii="宋体" w:hAnsi="宋体" w:cs="仿宋_GB2312"/>
                <w:color w:val="auto"/>
                <w:sz w:val="24"/>
                <w:highlight w:val="none"/>
              </w:rPr>
              <w:t>审计结束并出具审计报告后支付至审计价的100%</w:t>
            </w:r>
          </w:p>
        </w:tc>
      </w:tr>
      <w:tr w14:paraId="44001C5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291" w:type="dxa"/>
            <w:gridSpan w:val="3"/>
            <w:shd w:val="clear" w:color="auto" w:fill="auto"/>
            <w:vAlign w:val="center"/>
          </w:tcPr>
          <w:p w14:paraId="2D3E5644">
            <w:pPr>
              <w:spacing w:line="360" w:lineRule="auto"/>
              <w:jc w:val="both"/>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以上款项均不计息，付款前需提供正规增值税专用发票</w:t>
            </w:r>
            <w:r>
              <w:rPr>
                <w:rFonts w:hint="eastAsia" w:ascii="宋体" w:hAnsi="宋体" w:cs="仿宋_GB2312"/>
                <w:color w:val="auto"/>
                <w:sz w:val="24"/>
                <w:highlight w:val="none"/>
                <w:lang w:eastAsia="zh-CN"/>
              </w:rPr>
              <w:t>，具体拨付时间以财政批准时间为准。</w:t>
            </w:r>
          </w:p>
        </w:tc>
      </w:tr>
    </w:tbl>
    <w:p w14:paraId="62DD6B72">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.工程售后服务要求</w:t>
      </w:r>
    </w:p>
    <w:p w14:paraId="038EF81D">
      <w:pPr>
        <w:spacing w:line="360" w:lineRule="auto"/>
        <w:ind w:firstLine="480" w:firstLineChars="200"/>
        <w:jc w:val="left"/>
        <w:rPr>
          <w:rFonts w:ascii="宋体" w:hAnsi="宋体"/>
          <w:color w:val="auto"/>
          <w:sz w:val="24"/>
          <w:highlight w:val="none"/>
          <w:u w:val="none"/>
        </w:rPr>
      </w:pPr>
      <w:r>
        <w:rPr>
          <w:rFonts w:hint="eastAsia" w:ascii="宋体" w:hAnsi="宋体"/>
          <w:color w:val="auto"/>
          <w:sz w:val="24"/>
          <w:highlight w:val="none"/>
          <w:u w:val="none"/>
        </w:rPr>
        <w:t>1）工程保修期为：</w:t>
      </w:r>
      <w:r>
        <w:rPr>
          <w:rFonts w:hint="eastAsia" w:ascii="宋体" w:hAnsi="宋体"/>
          <w:color w:val="auto"/>
          <w:sz w:val="24"/>
          <w:highlight w:val="none"/>
          <w:u w:val="none"/>
          <w:lang w:val="en-US" w:eastAsia="zh-CN"/>
        </w:rPr>
        <w:t>12</w:t>
      </w:r>
      <w:r>
        <w:rPr>
          <w:rFonts w:hint="eastAsia" w:ascii="宋体" w:hAnsi="宋体"/>
          <w:color w:val="auto"/>
          <w:sz w:val="24"/>
          <w:highlight w:val="none"/>
          <w:u w:val="none"/>
        </w:rPr>
        <w:t>个月，自工程</w:t>
      </w:r>
      <w:r>
        <w:rPr>
          <w:rFonts w:hint="eastAsia" w:ascii="宋体" w:hAnsi="宋体"/>
          <w:color w:val="auto"/>
          <w:sz w:val="24"/>
          <w:highlight w:val="none"/>
          <w:u w:val="none"/>
          <w:lang w:eastAsia="zh-CN"/>
        </w:rPr>
        <w:t>完工</w:t>
      </w:r>
      <w:r>
        <w:rPr>
          <w:rFonts w:hint="eastAsia" w:ascii="宋体" w:hAnsi="宋体"/>
          <w:color w:val="auto"/>
          <w:sz w:val="24"/>
          <w:highlight w:val="none"/>
          <w:u w:val="none"/>
        </w:rPr>
        <w:t>之日起开始计算。</w:t>
      </w:r>
    </w:p>
    <w:p w14:paraId="040704DF">
      <w:pPr>
        <w:spacing w:line="360" w:lineRule="auto"/>
        <w:ind w:firstLine="420"/>
        <w:jc w:val="left"/>
        <w:rPr>
          <w:rFonts w:ascii="宋体" w:hAnsi="宋体"/>
          <w:sz w:val="24"/>
          <w:u w:val="none"/>
        </w:rPr>
      </w:pPr>
      <w:r>
        <w:rPr>
          <w:rFonts w:hint="eastAsia" w:ascii="宋体" w:hAnsi="宋体"/>
          <w:sz w:val="24"/>
          <w:highlight w:val="none"/>
          <w:u w:val="none"/>
        </w:rPr>
        <w:t>2）属于保修范围、内容的项目，承包人应当在接到保修通知之日起12小时内派人保修，并一次性修复合格。承包人不在约定期限内派人保修或一次性维修不合格的</w:t>
      </w:r>
      <w:r>
        <w:rPr>
          <w:rFonts w:hint="eastAsia" w:ascii="宋体" w:hAnsi="宋体"/>
          <w:sz w:val="24"/>
          <w:u w:val="none"/>
        </w:rPr>
        <w:t>，发包人可以委托他人修理，所发生的费用由承包人承担。</w:t>
      </w:r>
    </w:p>
    <w:p w14:paraId="01F69B3D">
      <w:pPr>
        <w:spacing w:line="360" w:lineRule="auto"/>
        <w:ind w:firstLine="420"/>
        <w:jc w:val="left"/>
        <w:rPr>
          <w:rFonts w:ascii="宋体" w:hAnsi="宋体"/>
          <w:sz w:val="24"/>
          <w:u w:val="none"/>
        </w:rPr>
      </w:pPr>
      <w:r>
        <w:rPr>
          <w:rFonts w:hint="eastAsia" w:ascii="宋体" w:hAnsi="宋体"/>
          <w:sz w:val="24"/>
          <w:u w:val="none"/>
        </w:rPr>
        <w:t>3）发生紧急事故需抢修的，承包人在接到事故通知后，应当立即到达事故现场抢修。</w:t>
      </w:r>
    </w:p>
    <w:p w14:paraId="7C884280">
      <w:pPr>
        <w:spacing w:line="360" w:lineRule="auto"/>
        <w:ind w:firstLine="480" w:firstLineChars="200"/>
        <w:jc w:val="left"/>
        <w:rPr>
          <w:rFonts w:ascii="宋体" w:hAnsi="宋体"/>
          <w:sz w:val="24"/>
          <w:u w:val="none"/>
        </w:rPr>
      </w:pPr>
      <w:r>
        <w:rPr>
          <w:rFonts w:hint="eastAsia" w:ascii="宋体" w:hAnsi="宋体"/>
          <w:sz w:val="24"/>
          <w:u w:val="none"/>
        </w:rPr>
        <w:t>4）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551CEAB">
      <w:pPr>
        <w:spacing w:line="360" w:lineRule="auto"/>
        <w:ind w:left="210" w:leftChars="100"/>
        <w:jc w:val="left"/>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4</w:t>
      </w:r>
      <w:r>
        <w:rPr>
          <w:rFonts w:hint="eastAsia" w:ascii="宋体" w:hAnsi="宋体" w:cs="仿宋_GB2312"/>
          <w:sz w:val="24"/>
          <w:highlight w:val="none"/>
        </w:rPr>
        <w:t>.其他要求</w:t>
      </w:r>
      <w:r>
        <w:rPr>
          <w:rFonts w:hint="eastAsia" w:ascii="宋体" w:hAnsi="宋体" w:cs="仿宋_GB2312"/>
          <w:sz w:val="24"/>
          <w:highlight w:val="none"/>
          <w:lang w:val="en-US" w:eastAsia="zh-CN"/>
        </w:rPr>
        <w:t xml:space="preserve"> </w:t>
      </w:r>
    </w:p>
    <w:p w14:paraId="25909CEE">
      <w:pPr>
        <w:spacing w:line="360" w:lineRule="auto"/>
        <w:ind w:firstLine="420"/>
        <w:jc w:val="left"/>
        <w:rPr>
          <w:rFonts w:hint="eastAsia" w:ascii="宋体" w:hAnsi="宋体"/>
          <w:sz w:val="24"/>
          <w:u w:val="single"/>
        </w:rPr>
      </w:pPr>
      <w:r>
        <w:rPr>
          <w:rFonts w:hint="eastAsia" w:ascii="宋体" w:hAnsi="宋体"/>
          <w:sz w:val="24"/>
          <w:u w:val="none"/>
          <w:lang w:val="en-US" w:eastAsia="zh-CN"/>
        </w:rPr>
        <w:t>1、</w:t>
      </w:r>
      <w:r>
        <w:rPr>
          <w:rFonts w:hint="eastAsia" w:ascii="宋体" w:hAnsi="宋体"/>
          <w:sz w:val="24"/>
          <w:u w:val="none"/>
        </w:rPr>
        <w:t>工程施工过程中及工程</w:t>
      </w:r>
      <w:r>
        <w:rPr>
          <w:rFonts w:hint="eastAsia" w:ascii="宋体" w:hAnsi="宋体"/>
          <w:sz w:val="24"/>
          <w:u w:val="none"/>
          <w:lang w:eastAsia="zh-CN"/>
        </w:rPr>
        <w:t>完工</w:t>
      </w:r>
      <w:r>
        <w:rPr>
          <w:rFonts w:hint="eastAsia" w:ascii="宋体" w:hAnsi="宋体"/>
          <w:sz w:val="24"/>
          <w:u w:val="none"/>
        </w:rPr>
        <w:t xml:space="preserve">完成后，投标人应负责场地清理及保洁工作，包括施工垃圾、生活垃圾、其它零星垃圾、设施设备构筑物拆除（包括临时设施、施工设备基础、临时构筑物等）以及施工机械外运等工作，外运运距和垃圾弃置场地（必须符合政府规定）以及运输过程中发生的环保费、城市卫生费等开支均应包括在投标报价中，不另行支付。若投标人未在发包人规定时间内清理的，发包人有权组织清理，费用在工程款中扣除。        </w:t>
      </w:r>
    </w:p>
    <w:p w14:paraId="46370EDD">
      <w:pPr>
        <w:spacing w:line="360" w:lineRule="auto"/>
        <w:ind w:firstLine="420"/>
        <w:jc w:val="left"/>
        <w:rPr>
          <w:rFonts w:hint="eastAsia" w:ascii="宋体" w:hAnsi="宋体"/>
          <w:sz w:val="24"/>
          <w:u w:val="none"/>
        </w:rPr>
      </w:pPr>
      <w:r>
        <w:rPr>
          <w:rFonts w:hint="eastAsia" w:ascii="宋体" w:hAnsi="宋体"/>
          <w:sz w:val="24"/>
          <w:u w:val="none"/>
          <w:lang w:val="en-US" w:eastAsia="zh-CN"/>
        </w:rPr>
        <w:t>2、</w:t>
      </w:r>
      <w:r>
        <w:rPr>
          <w:rFonts w:hint="eastAsia" w:ascii="宋体" w:hAnsi="宋体"/>
          <w:sz w:val="24"/>
          <w:u w:val="none"/>
        </w:rPr>
        <w:t>关于工程保险的特别约定：承包人应为建设工程和施工场地内的自有人员和设备及第三方生命财产办理相关所有保险并支付保险费用，费用已包含在投标总价内。施工时若发生事故，引发的相关经济、法律等责任均由承包方承担 。</w:t>
      </w:r>
    </w:p>
    <w:p w14:paraId="7EA7ABA0">
      <w:pPr>
        <w:spacing w:line="360" w:lineRule="auto"/>
        <w:jc w:val="left"/>
        <w:rPr>
          <w:rFonts w:ascii="宋体" w:hAnsi="宋体" w:cs="仿宋_GB2312"/>
          <w:b/>
          <w:bCs/>
          <w:sz w:val="24"/>
        </w:rPr>
      </w:pPr>
      <w:r>
        <w:rPr>
          <w:rFonts w:hint="eastAsia" w:ascii="宋体" w:hAnsi="宋体" w:cs="仿宋_GB2312"/>
          <w:b/>
          <w:bCs/>
          <w:sz w:val="24"/>
          <w:lang w:eastAsia="zh-CN"/>
        </w:rPr>
        <w:t>四</w:t>
      </w:r>
      <w:r>
        <w:rPr>
          <w:rFonts w:hint="eastAsia" w:ascii="宋体" w:hAnsi="宋体" w:cs="仿宋_GB2312"/>
          <w:b/>
          <w:bCs/>
          <w:sz w:val="24"/>
        </w:rPr>
        <w:t>、其他要求</w:t>
      </w:r>
    </w:p>
    <w:p w14:paraId="1EE9424C">
      <w:pPr>
        <w:spacing w:line="360" w:lineRule="auto"/>
        <w:ind w:firstLine="420"/>
        <w:jc w:val="left"/>
        <w:rPr>
          <w:rFonts w:ascii="宋体" w:hAnsi="宋体"/>
          <w:sz w:val="24"/>
          <w:u w:val="none"/>
        </w:rPr>
      </w:pPr>
      <w:r>
        <w:rPr>
          <w:rFonts w:hint="eastAsia" w:ascii="宋体" w:hAnsi="宋体"/>
          <w:sz w:val="24"/>
          <w:u w:val="none"/>
        </w:rPr>
        <w:t>1、施工现场扬尘防治要求：</w:t>
      </w:r>
    </w:p>
    <w:p w14:paraId="30CEA6A9">
      <w:pPr>
        <w:spacing w:line="360" w:lineRule="auto"/>
        <w:ind w:firstLine="420"/>
        <w:jc w:val="left"/>
        <w:rPr>
          <w:rFonts w:ascii="宋体" w:hAnsi="宋体"/>
          <w:sz w:val="24"/>
          <w:u w:val="none"/>
        </w:rPr>
      </w:pPr>
      <w:r>
        <w:rPr>
          <w:rFonts w:hint="eastAsia" w:ascii="宋体" w:hAnsi="宋体"/>
          <w:sz w:val="24"/>
          <w:u w:val="none"/>
        </w:rPr>
        <w:t>1）扬尘防治工作内容：</w:t>
      </w:r>
    </w:p>
    <w:p w14:paraId="5F83E8F0">
      <w:pPr>
        <w:spacing w:line="360" w:lineRule="auto"/>
        <w:ind w:firstLine="420"/>
        <w:jc w:val="left"/>
        <w:rPr>
          <w:rFonts w:ascii="宋体" w:hAnsi="宋体"/>
          <w:sz w:val="24"/>
          <w:u w:val="none"/>
        </w:rPr>
      </w:pPr>
      <w:r>
        <w:rPr>
          <w:rFonts w:hint="eastAsia" w:ascii="宋体" w:hAnsi="宋体"/>
          <w:sz w:val="24"/>
          <w:u w:val="none"/>
        </w:rPr>
        <w:t>根据《杭州市临安区裸土扬尘污染整治专项行动方案》、《杭州市临安区建设工地扬尘污染防治细则》和《杭州市临安区道路施工扬尘污染防治细则》要求，在本工程安全文明措施项目的环境保护措施项目基础上增强扬尘防治力度，主要包括对所施工项目范围内的施工场地进行洒水车洒水降尘或喷淋降尘、对所施工项目范围内凡有裸土部位用土工布进行覆盖等内容（其中施工围档和运输车辆的冲洗等属于安全文明措施项目，承包人应严格落实到位，相应的费用不再另行计取），对扬尘防治所需材料、设备进行采购、安装，并全面做好施工区域内扬尘污染防治工作。</w:t>
      </w:r>
    </w:p>
    <w:p w14:paraId="107D0940">
      <w:pPr>
        <w:spacing w:line="360" w:lineRule="auto"/>
        <w:ind w:firstLine="420"/>
        <w:jc w:val="left"/>
        <w:rPr>
          <w:rFonts w:ascii="宋体" w:hAnsi="宋体"/>
          <w:sz w:val="24"/>
          <w:u w:val="none"/>
        </w:rPr>
      </w:pPr>
      <w:r>
        <w:rPr>
          <w:rFonts w:hint="eastAsia" w:ascii="宋体" w:hAnsi="宋体"/>
          <w:sz w:val="24"/>
          <w:u w:val="none"/>
        </w:rPr>
        <w:t>2）扬尘防治目标：</w:t>
      </w:r>
    </w:p>
    <w:p w14:paraId="0B5B6E36">
      <w:pPr>
        <w:spacing w:line="360" w:lineRule="auto"/>
        <w:ind w:firstLine="420"/>
        <w:jc w:val="left"/>
        <w:rPr>
          <w:rFonts w:ascii="宋体" w:hAnsi="宋体"/>
          <w:sz w:val="24"/>
          <w:u w:val="none"/>
        </w:rPr>
      </w:pPr>
      <w:r>
        <w:rPr>
          <w:rFonts w:hint="eastAsia" w:ascii="宋体" w:hAnsi="宋体"/>
          <w:sz w:val="24"/>
          <w:u w:val="none"/>
        </w:rPr>
        <w:t>建立健全裸土扬尘防治规范化、长效化工作机制，实现“城区无裸土”，确保工地现场达到区市级以上扬尘治理检查要求，使扬尘治理工作制度化、规范化，目标如下：</w:t>
      </w:r>
    </w:p>
    <w:p w14:paraId="6D8EA9FD">
      <w:pPr>
        <w:spacing w:line="360" w:lineRule="auto"/>
        <w:ind w:firstLine="420"/>
        <w:jc w:val="left"/>
        <w:rPr>
          <w:rFonts w:ascii="宋体" w:hAnsi="宋体"/>
          <w:sz w:val="24"/>
          <w:u w:val="none"/>
        </w:rPr>
      </w:pPr>
      <w:r>
        <w:rPr>
          <w:rFonts w:hint="eastAsia" w:ascii="宋体" w:hAnsi="宋体"/>
          <w:sz w:val="24"/>
          <w:u w:val="none"/>
        </w:rPr>
        <w:t>①施工扬尘污染控制达标；</w:t>
      </w:r>
    </w:p>
    <w:p w14:paraId="56308334">
      <w:pPr>
        <w:spacing w:line="360" w:lineRule="auto"/>
        <w:ind w:firstLine="420"/>
        <w:jc w:val="left"/>
        <w:rPr>
          <w:rFonts w:ascii="宋体" w:hAnsi="宋体"/>
          <w:sz w:val="24"/>
          <w:u w:val="none"/>
        </w:rPr>
      </w:pPr>
      <w:r>
        <w:rPr>
          <w:rFonts w:hint="eastAsia" w:ascii="宋体" w:hAnsi="宋体"/>
          <w:sz w:val="24"/>
          <w:u w:val="none"/>
        </w:rPr>
        <w:t>②无市民重大投诉；</w:t>
      </w:r>
    </w:p>
    <w:p w14:paraId="33B550FD">
      <w:pPr>
        <w:spacing w:line="360" w:lineRule="auto"/>
        <w:ind w:firstLine="420"/>
        <w:jc w:val="left"/>
        <w:rPr>
          <w:rFonts w:ascii="宋体" w:hAnsi="宋体"/>
          <w:sz w:val="24"/>
          <w:u w:val="none"/>
        </w:rPr>
      </w:pPr>
      <w:r>
        <w:rPr>
          <w:rFonts w:hint="eastAsia" w:ascii="宋体" w:hAnsi="宋体"/>
          <w:sz w:val="24"/>
          <w:u w:val="none"/>
        </w:rPr>
        <w:t>③无因施工扬尘控制不善造成的上级处罚和通报批评；</w:t>
      </w:r>
    </w:p>
    <w:p w14:paraId="4B9E8003">
      <w:pPr>
        <w:spacing w:line="360" w:lineRule="auto"/>
        <w:ind w:firstLine="420"/>
        <w:jc w:val="left"/>
        <w:rPr>
          <w:rFonts w:ascii="宋体" w:hAnsi="宋体"/>
          <w:sz w:val="24"/>
          <w:u w:val="none"/>
        </w:rPr>
      </w:pPr>
      <w:r>
        <w:rPr>
          <w:rFonts w:hint="eastAsia" w:ascii="宋体" w:hAnsi="宋体"/>
          <w:sz w:val="24"/>
          <w:u w:val="none"/>
        </w:rPr>
        <w:t>④创建绿色环保工地。</w:t>
      </w:r>
    </w:p>
    <w:p w14:paraId="3732181C">
      <w:pPr>
        <w:spacing w:line="360" w:lineRule="auto"/>
        <w:ind w:firstLine="420"/>
        <w:jc w:val="left"/>
        <w:rPr>
          <w:rFonts w:ascii="宋体" w:hAnsi="宋体"/>
          <w:sz w:val="24"/>
          <w:u w:val="none"/>
        </w:rPr>
      </w:pPr>
      <w:r>
        <w:rPr>
          <w:rFonts w:hint="eastAsia" w:ascii="宋体" w:hAnsi="宋体"/>
          <w:sz w:val="24"/>
          <w:u w:val="none"/>
        </w:rPr>
        <w:t>承包人扬尘防治职责：</w:t>
      </w:r>
    </w:p>
    <w:p w14:paraId="77FD2080">
      <w:pPr>
        <w:spacing w:line="360" w:lineRule="auto"/>
        <w:ind w:firstLine="420"/>
        <w:jc w:val="left"/>
        <w:rPr>
          <w:rFonts w:ascii="宋体" w:hAnsi="宋体"/>
          <w:sz w:val="24"/>
          <w:u w:val="none"/>
        </w:rPr>
      </w:pPr>
      <w:r>
        <w:rPr>
          <w:rFonts w:hint="eastAsia" w:ascii="宋体" w:hAnsi="宋体"/>
          <w:sz w:val="24"/>
          <w:u w:val="none"/>
        </w:rPr>
        <w:t>①贯彻落实临安区大气污染防治工作领导小组办公室有关施工现场扬尘治理的管理规定，落实责任制和健全规章制度。服从管理，严格按相关文件、规定要求对施工区域范围内（包括生活宿舍区）扬尘治理等环境保护管理工作负全面责任。</w:t>
      </w:r>
    </w:p>
    <w:p w14:paraId="39937489">
      <w:pPr>
        <w:spacing w:line="360" w:lineRule="auto"/>
        <w:ind w:firstLine="420"/>
        <w:jc w:val="left"/>
        <w:rPr>
          <w:rFonts w:ascii="宋体" w:hAnsi="宋体"/>
          <w:sz w:val="24"/>
          <w:u w:val="none"/>
        </w:rPr>
      </w:pPr>
      <w:r>
        <w:rPr>
          <w:rFonts w:hint="eastAsia" w:ascii="宋体" w:hAnsi="宋体"/>
          <w:sz w:val="24"/>
          <w:u w:val="none"/>
        </w:rPr>
        <w:t>②承包人为施工现场扬尘防治工作的总负责，工程项目负责人为项目扬尘防治第一责任人，建立项目施工扬尘防治管理组织，明确各管理人员扬尘防治责任，建立相应的管理制度。</w:t>
      </w:r>
    </w:p>
    <w:p w14:paraId="333981E6">
      <w:pPr>
        <w:spacing w:line="360" w:lineRule="auto"/>
        <w:ind w:firstLine="420"/>
        <w:jc w:val="left"/>
        <w:rPr>
          <w:rFonts w:ascii="宋体" w:hAnsi="宋体"/>
          <w:sz w:val="24"/>
          <w:u w:val="none"/>
        </w:rPr>
      </w:pPr>
      <w:r>
        <w:rPr>
          <w:rFonts w:hint="eastAsia" w:ascii="宋体" w:hAnsi="宋体"/>
          <w:sz w:val="24"/>
          <w:u w:val="none"/>
        </w:rPr>
        <w:t>承包人在施工现场需配备专职扬尘防治管理人员，并配备足够的专职保洁人员，负责防治区域内的环境卫生。</w:t>
      </w:r>
    </w:p>
    <w:p w14:paraId="069917D0">
      <w:pPr>
        <w:spacing w:line="360" w:lineRule="auto"/>
        <w:ind w:firstLine="420"/>
        <w:jc w:val="left"/>
        <w:rPr>
          <w:rFonts w:ascii="宋体" w:hAnsi="宋体"/>
          <w:sz w:val="24"/>
          <w:u w:val="none"/>
        </w:rPr>
      </w:pPr>
      <w:r>
        <w:rPr>
          <w:rFonts w:hint="eastAsia" w:ascii="宋体" w:hAnsi="宋体"/>
          <w:sz w:val="24"/>
          <w:u w:val="none"/>
        </w:rPr>
        <w:t>③凡有24小时以上不施工的裸土区域及施工现场存放的砂石、灰土等物料应采取覆盖措施，覆盖须采用材质重量不低于120克/平方的土工布，覆盖率达到100%。</w:t>
      </w:r>
    </w:p>
    <w:p w14:paraId="4CD7F4BC">
      <w:pPr>
        <w:spacing w:line="360" w:lineRule="auto"/>
        <w:ind w:firstLine="420"/>
        <w:jc w:val="left"/>
        <w:rPr>
          <w:rFonts w:ascii="宋体" w:hAnsi="宋体"/>
          <w:sz w:val="24"/>
          <w:u w:val="none"/>
        </w:rPr>
      </w:pPr>
      <w:r>
        <w:rPr>
          <w:rFonts w:hint="eastAsia" w:ascii="宋体" w:hAnsi="宋体"/>
          <w:sz w:val="24"/>
          <w:u w:val="none"/>
        </w:rPr>
        <w:t>④承包人应确保施工现场的机械设备扬尘防治设施及装置配置到位，严格按规定要求做好湿法作业。</w:t>
      </w:r>
    </w:p>
    <w:p w14:paraId="139BE2C3">
      <w:pPr>
        <w:spacing w:line="360" w:lineRule="auto"/>
        <w:ind w:firstLine="420"/>
        <w:jc w:val="left"/>
        <w:rPr>
          <w:rFonts w:ascii="宋体" w:hAnsi="宋体"/>
          <w:sz w:val="24"/>
          <w:u w:val="none"/>
        </w:rPr>
      </w:pPr>
      <w:r>
        <w:rPr>
          <w:rFonts w:hint="eastAsia" w:ascii="宋体" w:hAnsi="宋体"/>
          <w:sz w:val="24"/>
          <w:u w:val="none"/>
        </w:rPr>
        <w:t xml:space="preserve">⑤施工区域必须进行日常洒水降尘和保洁工作，洒水设备自备，尽量利用可回收水进行洒水降尘。根据《杭州市临安区道路施工扬尘污染防治细则》，日常洒水按每日两次要求执行。 </w:t>
      </w:r>
    </w:p>
    <w:p w14:paraId="0880D20F">
      <w:pPr>
        <w:spacing w:line="360" w:lineRule="auto"/>
        <w:ind w:firstLine="420"/>
        <w:jc w:val="left"/>
        <w:rPr>
          <w:rFonts w:ascii="宋体" w:hAnsi="宋体"/>
          <w:sz w:val="24"/>
          <w:u w:val="none"/>
        </w:rPr>
      </w:pPr>
      <w:r>
        <w:rPr>
          <w:rFonts w:hint="eastAsia" w:ascii="宋体" w:hAnsi="宋体"/>
          <w:sz w:val="24"/>
          <w:u w:val="none"/>
        </w:rPr>
        <w:t>⑥施工现场周边必须进行围挡并设置喷淋降尘装置。根据《杭州市临安区建设工地扬尘污染防治细则》，项目围挡至少设置1道喷淋；单个喷淋每天要喷3-5次，每次30分钟以上 (污染天气、夏季高温天和冬季干燥天气增加喷淋次数1-2次)。</w:t>
      </w:r>
    </w:p>
    <w:p w14:paraId="5B5AB832">
      <w:pPr>
        <w:spacing w:line="360" w:lineRule="auto"/>
        <w:ind w:firstLine="420"/>
        <w:jc w:val="left"/>
        <w:rPr>
          <w:rFonts w:ascii="宋体" w:hAnsi="宋体"/>
          <w:sz w:val="24"/>
          <w:u w:val="none"/>
        </w:rPr>
      </w:pPr>
      <w:r>
        <w:rPr>
          <w:rFonts w:hint="eastAsia" w:ascii="宋体" w:hAnsi="宋体"/>
          <w:sz w:val="24"/>
          <w:u w:val="none"/>
        </w:rPr>
        <w:t>⑦运输车辆必须做到净车出入。施工现场应设置自动冲洗装置和专职人工冲洗管理员，确保运输车辆车身、轮胎、底盘等部位积泥冲洗干净且密闭后方可出场，防止泥土的散落污染道路和周边环境。同时承包人须派专人对施工场地外围抛洒土方进行清理，确保出入口 50米范围内的道路清洁。</w:t>
      </w:r>
    </w:p>
    <w:p w14:paraId="2F52D706">
      <w:pPr>
        <w:spacing w:line="360" w:lineRule="auto"/>
        <w:ind w:firstLine="420"/>
        <w:jc w:val="left"/>
        <w:rPr>
          <w:rFonts w:ascii="宋体" w:hAnsi="宋体"/>
          <w:sz w:val="24"/>
          <w:u w:val="none"/>
        </w:rPr>
      </w:pPr>
      <w:r>
        <w:rPr>
          <w:rFonts w:hint="eastAsia" w:ascii="宋体" w:hAnsi="宋体"/>
          <w:sz w:val="24"/>
          <w:u w:val="none"/>
        </w:rPr>
        <w:t>⑧因承包人原因造成扬尘治理不达标被各级政府职能部门或督查组查处（明查或暗访）整改处罚的，全部责任由承包人负责。</w:t>
      </w:r>
    </w:p>
    <w:p w14:paraId="4FCB3A5B">
      <w:pPr>
        <w:spacing w:line="360" w:lineRule="auto"/>
        <w:ind w:firstLine="420"/>
        <w:jc w:val="left"/>
        <w:rPr>
          <w:rFonts w:ascii="宋体" w:hAnsi="宋体"/>
          <w:sz w:val="24"/>
          <w:u w:val="none"/>
        </w:rPr>
      </w:pPr>
      <w:r>
        <w:rPr>
          <w:rFonts w:hint="eastAsia" w:ascii="宋体" w:hAnsi="宋体"/>
          <w:sz w:val="24"/>
          <w:u w:val="none"/>
        </w:rPr>
        <w:t>2、建筑垃圾处置要求：</w:t>
      </w:r>
    </w:p>
    <w:p w14:paraId="3A8AC20D">
      <w:pPr>
        <w:spacing w:line="360" w:lineRule="auto"/>
        <w:ind w:firstLine="420"/>
        <w:jc w:val="left"/>
        <w:rPr>
          <w:rFonts w:ascii="宋体" w:hAnsi="宋体"/>
          <w:sz w:val="24"/>
          <w:u w:val="none"/>
        </w:rPr>
      </w:pPr>
      <w:r>
        <w:rPr>
          <w:rFonts w:hint="eastAsia" w:ascii="宋体" w:hAnsi="宋体"/>
          <w:sz w:val="24"/>
          <w:u w:val="none"/>
        </w:rPr>
        <w:t>1）承包人应规范建筑垃圾处置分包合同管理，建筑垃圾运输业 务应当发包给本工程建筑垃圾处置证核准确定的运输单位。</w:t>
      </w:r>
    </w:p>
    <w:p w14:paraId="59B26953">
      <w:pPr>
        <w:spacing w:line="360" w:lineRule="auto"/>
        <w:ind w:firstLine="420"/>
        <w:jc w:val="left"/>
        <w:rPr>
          <w:rFonts w:ascii="宋体" w:hAnsi="宋体"/>
          <w:sz w:val="24"/>
          <w:u w:val="none"/>
        </w:rPr>
      </w:pPr>
      <w:r>
        <w:rPr>
          <w:rFonts w:hint="eastAsia" w:ascii="宋体" w:hAnsi="宋体"/>
          <w:sz w:val="24"/>
          <w:u w:val="none"/>
        </w:rPr>
        <w:t>2）承包人负责根据施工合同约定和相关法律法规要求，编制工程建筑垃圾处置方案，向项目所在地城管部门进行备案，并在工地出入口做好公示及日常维护工作。</w:t>
      </w:r>
    </w:p>
    <w:p w14:paraId="07B0D4D6">
      <w:pPr>
        <w:spacing w:line="360" w:lineRule="auto"/>
        <w:ind w:firstLine="420"/>
        <w:jc w:val="left"/>
        <w:rPr>
          <w:rFonts w:ascii="宋体" w:hAnsi="宋体"/>
          <w:sz w:val="24"/>
          <w:u w:val="none"/>
        </w:rPr>
      </w:pPr>
      <w:r>
        <w:rPr>
          <w:rFonts w:hint="eastAsia" w:ascii="宋体" w:hAnsi="宋体"/>
          <w:sz w:val="24"/>
          <w:u w:val="none"/>
        </w:rPr>
        <w:t>3）承包人要加强建筑垃圾处置分包合同履约监管，严格核对建 筑垃圾运输车辆，对不具备垃圾处置证、准运证、通行证的工程 车辆，要及时清退。杜绝运输单位将建筑垃圾运输至非指定消纳 场所，确保运输和处置规范。</w:t>
      </w:r>
    </w:p>
    <w:p w14:paraId="0D3DFFF0">
      <w:pPr>
        <w:spacing w:line="360" w:lineRule="auto"/>
        <w:ind w:firstLine="420"/>
        <w:jc w:val="left"/>
        <w:rPr>
          <w:rFonts w:ascii="宋体" w:hAnsi="宋体"/>
          <w:sz w:val="24"/>
          <w:u w:val="none"/>
        </w:rPr>
      </w:pPr>
      <w:r>
        <w:rPr>
          <w:rFonts w:hint="eastAsia" w:ascii="宋体" w:hAnsi="宋体"/>
          <w:sz w:val="24"/>
          <w:u w:val="none"/>
        </w:rPr>
        <w:t xml:space="preserve">4）承包人与运输、处置单位结算相关费用前应当查验接纳回执。                                                                </w:t>
      </w:r>
    </w:p>
    <w:p w14:paraId="50B43A03">
      <w:pPr>
        <w:spacing w:line="360" w:lineRule="auto"/>
        <w:jc w:val="left"/>
        <w:rPr>
          <w:rFonts w:ascii="宋体" w:hAnsi="宋体"/>
          <w:sz w:val="24"/>
          <w:u w:val="none"/>
        </w:rPr>
      </w:pPr>
      <w:r>
        <w:rPr>
          <w:rFonts w:hint="eastAsia" w:ascii="宋体" w:hAnsi="宋体"/>
          <w:sz w:val="24"/>
          <w:u w:val="none"/>
        </w:rPr>
        <w:t xml:space="preserve"> 3、承包人在投标文件中隐含与招标文件相违背的内容，并且影响了发包人的利益，评标专家在评标中没有发现，并不代表发包人认可此内容，未经发包人同意此内容无效，此内容对发包人无约束力。</w:t>
      </w:r>
    </w:p>
    <w:p w14:paraId="4A605976">
      <w:pPr>
        <w:spacing w:line="360" w:lineRule="auto"/>
        <w:ind w:firstLine="480" w:firstLineChars="200"/>
        <w:jc w:val="left"/>
        <w:rPr>
          <w:rFonts w:ascii="宋体" w:hAnsi="宋体"/>
          <w:sz w:val="24"/>
          <w:u w:val="none"/>
        </w:rPr>
      </w:pPr>
      <w:r>
        <w:rPr>
          <w:rFonts w:hint="eastAsia" w:ascii="宋体" w:hAnsi="宋体"/>
          <w:sz w:val="24"/>
          <w:u w:val="none"/>
        </w:rPr>
        <w:t>1）承包人必须无条件接受发包人在合同签订前或签订后出台的各项有关工程质量管理或委托监理方进行处罚的管理制度。</w:t>
      </w:r>
    </w:p>
    <w:p w14:paraId="7794F9DC">
      <w:pPr>
        <w:spacing w:line="360" w:lineRule="auto"/>
        <w:ind w:firstLine="480" w:firstLineChars="200"/>
        <w:jc w:val="left"/>
        <w:rPr>
          <w:rFonts w:ascii="宋体" w:hAnsi="宋体"/>
          <w:sz w:val="24"/>
          <w:u w:val="none"/>
        </w:rPr>
      </w:pPr>
      <w:r>
        <w:rPr>
          <w:rFonts w:hint="eastAsia" w:ascii="宋体" w:hAnsi="宋体"/>
          <w:sz w:val="24"/>
          <w:u w:val="none"/>
        </w:rPr>
        <w:t>2）承包人必须对施工场地周边设施妥善保护，如出现损坏由承包人负责赔偿及处理。</w:t>
      </w:r>
    </w:p>
    <w:p w14:paraId="6F647ABE">
      <w:pPr>
        <w:spacing w:line="360" w:lineRule="auto"/>
        <w:ind w:firstLine="480" w:firstLineChars="200"/>
        <w:jc w:val="left"/>
        <w:rPr>
          <w:rFonts w:ascii="宋体" w:hAnsi="宋体"/>
          <w:sz w:val="24"/>
          <w:u w:val="none"/>
        </w:rPr>
      </w:pPr>
      <w:r>
        <w:rPr>
          <w:rFonts w:hint="eastAsia" w:ascii="宋体" w:hAnsi="宋体"/>
          <w:sz w:val="24"/>
          <w:u w:val="none"/>
        </w:rPr>
        <w:t xml:space="preserve">3）隐蔽工程封闭前必须由书面通知业主组织并办理验收工作，验收合格方能进行后续工作。隐蔽工程结点不合格须处以一定的惩罚，承包人对隐蔽工程负责拍照留档，同时发包人对不合格处拍照、备案。  </w:t>
      </w:r>
    </w:p>
    <w:p w14:paraId="5EF56E3D">
      <w:pPr>
        <w:spacing w:line="360" w:lineRule="auto"/>
        <w:ind w:firstLine="480" w:firstLineChars="200"/>
        <w:jc w:val="left"/>
        <w:rPr>
          <w:rFonts w:ascii="宋体" w:hAnsi="宋体"/>
          <w:sz w:val="24"/>
          <w:u w:val="none"/>
        </w:rPr>
      </w:pPr>
      <w:r>
        <w:rPr>
          <w:rFonts w:hint="eastAsia" w:ascii="宋体" w:hAnsi="宋体"/>
          <w:sz w:val="24"/>
          <w:u w:val="none"/>
        </w:rPr>
        <w:t xml:space="preserve">4）施工过程中，如承包人项目班子主要人员因态度、工作能力等原因无法满足现场施工要求及监理现场管理人员要求的，发包人有权要求撤换，承包人必须执行。   </w:t>
      </w:r>
    </w:p>
    <w:p w14:paraId="6EA974E0">
      <w:pPr>
        <w:spacing w:line="360" w:lineRule="auto"/>
        <w:ind w:firstLine="480" w:firstLineChars="200"/>
        <w:jc w:val="left"/>
        <w:rPr>
          <w:rFonts w:ascii="宋体" w:hAnsi="宋体"/>
          <w:sz w:val="24"/>
          <w:u w:val="none"/>
        </w:rPr>
      </w:pPr>
      <w:r>
        <w:rPr>
          <w:rFonts w:hint="eastAsia" w:ascii="宋体" w:hAnsi="宋体"/>
          <w:sz w:val="24"/>
          <w:u w:val="none"/>
        </w:rPr>
        <w:t>5）承包人在施工过程中不论遇到何种困难，均不得以任何理由（例如发包人未签证费用）擅自停工或变相停工，如有争议双方就其不能达成一致的，承包人可向有管辖权的人民法院起诉。在争议和起诉期间，除人民法院裁定暂停施工外，承包人必须继续施工，不得怠工、停工；否则，视为承包人违约，由此造成的一切后果和经济损失均由承包人承担，同时发包人有权对承包人处以一定的经济处罚。</w:t>
      </w:r>
    </w:p>
    <w:p w14:paraId="1541C8F1">
      <w:pPr>
        <w:spacing w:line="360" w:lineRule="auto"/>
        <w:ind w:firstLine="480" w:firstLineChars="200"/>
        <w:jc w:val="left"/>
        <w:rPr>
          <w:rFonts w:ascii="宋体" w:hAnsi="宋体"/>
          <w:sz w:val="24"/>
          <w:u w:val="none"/>
        </w:rPr>
      </w:pPr>
      <w:r>
        <w:rPr>
          <w:rFonts w:hint="eastAsia" w:ascii="宋体" w:hAnsi="宋体"/>
          <w:sz w:val="24"/>
          <w:u w:val="none"/>
        </w:rPr>
        <w:t xml:space="preserve">6）承包人必须做好与有关单位的配合工作。必须严格遵守安全施工的操作规程，完善安全施工措施，如发生安全事故，由承包人承担一切责任。若发包人受损的，发包人有权向承包人追偿，并有权要求承包人赔偿发包人一切直接及间接损失。     </w:t>
      </w:r>
    </w:p>
    <w:p w14:paraId="081F827B">
      <w:pPr>
        <w:spacing w:line="360" w:lineRule="auto"/>
        <w:ind w:firstLine="480" w:firstLineChars="200"/>
        <w:jc w:val="left"/>
        <w:rPr>
          <w:rFonts w:ascii="宋体" w:hAnsi="宋体"/>
          <w:sz w:val="24"/>
          <w:u w:val="none"/>
        </w:rPr>
      </w:pPr>
      <w:r>
        <w:rPr>
          <w:rFonts w:hint="eastAsia" w:ascii="宋体" w:hAnsi="宋体"/>
          <w:sz w:val="24"/>
          <w:u w:val="none"/>
        </w:rPr>
        <w:t xml:space="preserve">7）因承包人原因造成延误工期、产品受损等，费用由承包人承担。    </w:t>
      </w:r>
    </w:p>
    <w:p w14:paraId="2B269A4E">
      <w:pPr>
        <w:rPr>
          <w:rFonts w:ascii="宋体" w:hAnsi="宋体" w:cs="宋体"/>
          <w:snapToGrid w:val="0"/>
          <w:kern w:val="0"/>
          <w:sz w:val="24"/>
        </w:rPr>
      </w:pPr>
    </w:p>
    <w:p w14:paraId="6A897983">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46" w:name="_Toc184312085"/>
      <w:bookmarkEnd w:id="46"/>
      <w:bookmarkStart w:id="47" w:name="_Toc184310277"/>
      <w:bookmarkEnd w:id="47"/>
      <w:bookmarkStart w:id="48" w:name="_Toc184314473"/>
      <w:bookmarkEnd w:id="48"/>
      <w:bookmarkStart w:id="49" w:name="_Toc184314426"/>
      <w:bookmarkEnd w:id="49"/>
      <w:bookmarkStart w:id="50" w:name="_Toc184313288"/>
      <w:bookmarkEnd w:id="50"/>
      <w:bookmarkStart w:id="51" w:name="_Toc184314467"/>
      <w:bookmarkEnd w:id="51"/>
      <w:bookmarkStart w:id="52" w:name="_Toc184314429"/>
      <w:bookmarkEnd w:id="52"/>
      <w:bookmarkStart w:id="53" w:name="_Toc184312139"/>
      <w:bookmarkEnd w:id="53"/>
      <w:bookmarkStart w:id="54" w:name="_Toc184308046"/>
      <w:bookmarkEnd w:id="54"/>
      <w:bookmarkStart w:id="55" w:name="_Toc184312095"/>
      <w:bookmarkEnd w:id="55"/>
      <w:bookmarkStart w:id="56" w:name="_Toc184314480"/>
      <w:bookmarkEnd w:id="56"/>
      <w:bookmarkStart w:id="57" w:name="_Toc184310291"/>
      <w:bookmarkEnd w:id="57"/>
      <w:bookmarkStart w:id="58" w:name="_Toc184310272"/>
      <w:bookmarkEnd w:id="58"/>
      <w:bookmarkStart w:id="59" w:name="_Toc184314449"/>
      <w:bookmarkEnd w:id="59"/>
      <w:bookmarkStart w:id="60" w:name="_Toc184310275"/>
      <w:bookmarkEnd w:id="60"/>
      <w:bookmarkStart w:id="61" w:name="_Toc184312110"/>
      <w:bookmarkEnd w:id="61"/>
      <w:bookmarkStart w:id="62" w:name="_Toc184314450"/>
      <w:bookmarkEnd w:id="62"/>
      <w:bookmarkStart w:id="63" w:name="_Toc184314413"/>
      <w:bookmarkEnd w:id="63"/>
      <w:bookmarkStart w:id="64" w:name="_Toc184313279"/>
      <w:bookmarkEnd w:id="64"/>
      <w:bookmarkStart w:id="65" w:name="_Toc184312115"/>
      <w:bookmarkEnd w:id="65"/>
      <w:bookmarkStart w:id="66" w:name="_Toc184314464"/>
      <w:bookmarkEnd w:id="66"/>
      <w:bookmarkStart w:id="67" w:name="_Toc184310299"/>
      <w:bookmarkEnd w:id="67"/>
      <w:bookmarkStart w:id="68" w:name="_Toc184308059"/>
      <w:bookmarkEnd w:id="68"/>
      <w:bookmarkStart w:id="69" w:name="_Toc184310301"/>
      <w:bookmarkEnd w:id="69"/>
      <w:bookmarkStart w:id="70" w:name="_Toc184313248"/>
      <w:bookmarkEnd w:id="70"/>
      <w:bookmarkStart w:id="71" w:name="_Toc184310298"/>
      <w:bookmarkEnd w:id="71"/>
      <w:bookmarkStart w:id="72" w:name="_Toc184312067"/>
      <w:bookmarkEnd w:id="72"/>
      <w:bookmarkStart w:id="73" w:name="_Toc184312113"/>
      <w:bookmarkEnd w:id="73"/>
      <w:bookmarkStart w:id="74" w:name="_Toc184314462"/>
      <w:bookmarkEnd w:id="74"/>
      <w:bookmarkStart w:id="75" w:name="_Toc184314411"/>
      <w:bookmarkEnd w:id="75"/>
      <w:bookmarkStart w:id="76" w:name="_Toc184310283"/>
      <w:bookmarkEnd w:id="76"/>
      <w:bookmarkStart w:id="77" w:name="_Toc184310334"/>
      <w:bookmarkEnd w:id="77"/>
      <w:bookmarkStart w:id="78" w:name="_Toc184310339"/>
      <w:bookmarkEnd w:id="78"/>
      <w:bookmarkStart w:id="79" w:name="_Toc184312117"/>
      <w:bookmarkEnd w:id="79"/>
      <w:bookmarkStart w:id="80" w:name="_Toc184314447"/>
      <w:bookmarkEnd w:id="80"/>
      <w:bookmarkStart w:id="81" w:name="_Toc184310303"/>
      <w:bookmarkEnd w:id="81"/>
      <w:bookmarkStart w:id="82" w:name="_Toc184308044"/>
      <w:bookmarkEnd w:id="82"/>
      <w:bookmarkStart w:id="83" w:name="_Toc184308055"/>
      <w:bookmarkEnd w:id="83"/>
      <w:bookmarkStart w:id="84" w:name="_Toc184313252"/>
      <w:bookmarkEnd w:id="84"/>
      <w:bookmarkStart w:id="85" w:name="_Toc184312135"/>
      <w:bookmarkEnd w:id="85"/>
      <w:bookmarkStart w:id="86" w:name="_Toc184308062"/>
      <w:bookmarkEnd w:id="86"/>
      <w:bookmarkStart w:id="87" w:name="_Toc184308077"/>
      <w:bookmarkEnd w:id="87"/>
      <w:bookmarkStart w:id="88" w:name="_Toc184313244"/>
      <w:bookmarkEnd w:id="88"/>
      <w:bookmarkStart w:id="89" w:name="_Toc184314465"/>
      <w:bookmarkEnd w:id="89"/>
      <w:bookmarkStart w:id="90" w:name="_Toc184314423"/>
      <w:bookmarkEnd w:id="90"/>
      <w:bookmarkStart w:id="91" w:name="_Toc184308039"/>
      <w:bookmarkEnd w:id="91"/>
      <w:bookmarkStart w:id="92" w:name="_Toc184314461"/>
      <w:bookmarkEnd w:id="92"/>
      <w:bookmarkStart w:id="93" w:name="_Toc184308106"/>
      <w:bookmarkEnd w:id="93"/>
      <w:bookmarkStart w:id="94" w:name="_Toc184312090"/>
      <w:bookmarkEnd w:id="94"/>
      <w:bookmarkStart w:id="95" w:name="_Toc184310331"/>
      <w:bookmarkEnd w:id="95"/>
      <w:bookmarkStart w:id="96" w:name="_Toc184314459"/>
      <w:bookmarkEnd w:id="96"/>
      <w:bookmarkStart w:id="97" w:name="_Toc184314446"/>
      <w:bookmarkEnd w:id="97"/>
      <w:bookmarkStart w:id="98" w:name="_Toc184308058"/>
      <w:bookmarkEnd w:id="98"/>
      <w:bookmarkStart w:id="99" w:name="_Toc184308073"/>
      <w:bookmarkEnd w:id="99"/>
      <w:bookmarkStart w:id="100" w:name="_Toc184308048"/>
      <w:bookmarkEnd w:id="100"/>
      <w:bookmarkStart w:id="101" w:name="_Toc184310282"/>
      <w:bookmarkEnd w:id="101"/>
      <w:bookmarkStart w:id="102" w:name="_Toc184313278"/>
      <w:bookmarkEnd w:id="102"/>
      <w:bookmarkStart w:id="103" w:name="_Toc184308050"/>
      <w:bookmarkEnd w:id="103"/>
      <w:bookmarkStart w:id="104" w:name="_Toc184314477"/>
      <w:bookmarkEnd w:id="104"/>
      <w:bookmarkStart w:id="105" w:name="_Toc184310316"/>
      <w:bookmarkEnd w:id="105"/>
      <w:bookmarkStart w:id="106" w:name="_Toc184314472"/>
      <w:bookmarkEnd w:id="106"/>
      <w:bookmarkStart w:id="107" w:name="_Toc184312116"/>
      <w:bookmarkEnd w:id="107"/>
      <w:bookmarkStart w:id="108" w:name="_Toc184308103"/>
      <w:bookmarkEnd w:id="108"/>
      <w:bookmarkStart w:id="109" w:name="_Toc184310284"/>
      <w:bookmarkEnd w:id="109"/>
      <w:bookmarkStart w:id="110" w:name="_Toc184310343"/>
      <w:bookmarkEnd w:id="110"/>
      <w:bookmarkStart w:id="111" w:name="_Toc184312076"/>
      <w:bookmarkEnd w:id="111"/>
      <w:bookmarkStart w:id="112" w:name="_Toc184308042"/>
      <w:bookmarkEnd w:id="112"/>
      <w:bookmarkStart w:id="113" w:name="_Toc184310324"/>
      <w:bookmarkEnd w:id="113"/>
      <w:bookmarkStart w:id="114" w:name="_Toc184313240"/>
      <w:bookmarkEnd w:id="114"/>
      <w:bookmarkStart w:id="115" w:name="_Toc184308047"/>
      <w:bookmarkEnd w:id="115"/>
      <w:bookmarkStart w:id="116" w:name="_Toc184313261"/>
      <w:bookmarkEnd w:id="116"/>
      <w:bookmarkStart w:id="117" w:name="_Toc184314442"/>
      <w:bookmarkEnd w:id="117"/>
      <w:bookmarkStart w:id="118" w:name="_Toc184314452"/>
      <w:bookmarkEnd w:id="118"/>
      <w:bookmarkStart w:id="119" w:name="_Toc184314445"/>
      <w:bookmarkEnd w:id="119"/>
      <w:bookmarkStart w:id="120" w:name="_Toc184313301"/>
      <w:bookmarkEnd w:id="120"/>
      <w:bookmarkStart w:id="121" w:name="_Toc184314410"/>
      <w:bookmarkEnd w:id="121"/>
      <w:bookmarkStart w:id="122" w:name="_Toc184310310"/>
      <w:bookmarkEnd w:id="122"/>
      <w:bookmarkStart w:id="123" w:name="_Toc184310313"/>
      <w:bookmarkEnd w:id="123"/>
      <w:bookmarkStart w:id="124" w:name="_Toc184314419"/>
      <w:bookmarkEnd w:id="124"/>
      <w:bookmarkStart w:id="125" w:name="_Toc184308063"/>
      <w:bookmarkEnd w:id="125"/>
      <w:bookmarkStart w:id="126" w:name="_Toc184310321"/>
      <w:bookmarkEnd w:id="126"/>
      <w:bookmarkStart w:id="127" w:name="_Toc184314478"/>
      <w:bookmarkEnd w:id="127"/>
      <w:bookmarkStart w:id="128" w:name="_Toc184308064"/>
      <w:bookmarkEnd w:id="128"/>
      <w:bookmarkStart w:id="129" w:name="_Toc184313297"/>
      <w:bookmarkEnd w:id="129"/>
      <w:bookmarkStart w:id="130" w:name="_Toc184313245"/>
      <w:bookmarkEnd w:id="130"/>
      <w:bookmarkStart w:id="131" w:name="_Toc184313275"/>
      <w:bookmarkEnd w:id="131"/>
      <w:bookmarkStart w:id="132" w:name="_Toc184310274"/>
      <w:bookmarkEnd w:id="132"/>
      <w:bookmarkStart w:id="133" w:name="_Toc184310323"/>
      <w:bookmarkEnd w:id="133"/>
      <w:bookmarkStart w:id="134" w:name="_Toc184312133"/>
      <w:bookmarkEnd w:id="134"/>
      <w:bookmarkStart w:id="135" w:name="_Toc184308060"/>
      <w:bookmarkEnd w:id="135"/>
      <w:bookmarkStart w:id="136" w:name="_Toc184308082"/>
      <w:bookmarkEnd w:id="136"/>
      <w:bookmarkStart w:id="137" w:name="_Toc184312084"/>
      <w:bookmarkEnd w:id="137"/>
      <w:bookmarkStart w:id="138" w:name="_Toc184314438"/>
      <w:bookmarkEnd w:id="138"/>
      <w:bookmarkStart w:id="139" w:name="_Toc184308038"/>
      <w:bookmarkEnd w:id="139"/>
      <w:bookmarkStart w:id="140" w:name="_Toc184308071"/>
      <w:bookmarkEnd w:id="140"/>
      <w:bookmarkStart w:id="141" w:name="_Toc184310297"/>
      <w:bookmarkEnd w:id="141"/>
      <w:bookmarkStart w:id="142" w:name="_Toc184310327"/>
      <w:bookmarkEnd w:id="142"/>
      <w:bookmarkStart w:id="143" w:name="_Toc184313269"/>
      <w:bookmarkEnd w:id="143"/>
      <w:bookmarkStart w:id="144" w:name="_Toc184314453"/>
      <w:bookmarkEnd w:id="144"/>
      <w:bookmarkStart w:id="145" w:name="_Toc184313306"/>
      <w:bookmarkEnd w:id="145"/>
      <w:bookmarkStart w:id="146" w:name="_Toc184312126"/>
      <w:bookmarkEnd w:id="146"/>
      <w:bookmarkStart w:id="147" w:name="_Toc184312124"/>
      <w:bookmarkEnd w:id="147"/>
      <w:bookmarkStart w:id="148" w:name="_Toc184313249"/>
      <w:bookmarkEnd w:id="148"/>
      <w:bookmarkStart w:id="149" w:name="_Toc184313287"/>
      <w:bookmarkEnd w:id="149"/>
      <w:bookmarkStart w:id="150" w:name="_Toc184313299"/>
      <w:bookmarkEnd w:id="150"/>
      <w:bookmarkStart w:id="151" w:name="_Toc184312125"/>
      <w:bookmarkEnd w:id="151"/>
      <w:bookmarkStart w:id="152" w:name="_Toc184310319"/>
      <w:bookmarkEnd w:id="152"/>
      <w:bookmarkStart w:id="153" w:name="_Toc184313268"/>
      <w:bookmarkEnd w:id="153"/>
      <w:bookmarkStart w:id="154" w:name="_Toc184308066"/>
      <w:bookmarkEnd w:id="154"/>
      <w:bookmarkStart w:id="155" w:name="_Toc184308041"/>
      <w:bookmarkEnd w:id="155"/>
      <w:bookmarkStart w:id="156" w:name="_Toc184310333"/>
      <w:bookmarkEnd w:id="156"/>
      <w:bookmarkStart w:id="157" w:name="_Toc184310304"/>
      <w:bookmarkEnd w:id="157"/>
      <w:bookmarkStart w:id="158" w:name="_Toc184310332"/>
      <w:bookmarkEnd w:id="158"/>
      <w:bookmarkStart w:id="159" w:name="_Toc184310340"/>
      <w:bookmarkEnd w:id="159"/>
      <w:bookmarkStart w:id="160" w:name="_Toc184308075"/>
      <w:bookmarkEnd w:id="160"/>
      <w:bookmarkStart w:id="161" w:name="_Toc184313293"/>
      <w:bookmarkEnd w:id="161"/>
      <w:bookmarkStart w:id="162" w:name="_Toc184308079"/>
      <w:bookmarkEnd w:id="162"/>
      <w:bookmarkStart w:id="163" w:name="_Toc184310290"/>
      <w:bookmarkEnd w:id="163"/>
      <w:bookmarkStart w:id="164" w:name="_Toc184312082"/>
      <w:bookmarkEnd w:id="164"/>
      <w:bookmarkStart w:id="165" w:name="_Toc184314416"/>
      <w:bookmarkEnd w:id="165"/>
      <w:bookmarkStart w:id="166" w:name="_Toc184312080"/>
      <w:bookmarkEnd w:id="166"/>
      <w:bookmarkStart w:id="167" w:name="_Toc184313258"/>
      <w:bookmarkEnd w:id="167"/>
      <w:bookmarkStart w:id="168" w:name="_Toc184312112"/>
      <w:bookmarkEnd w:id="168"/>
      <w:bookmarkStart w:id="169" w:name="_Toc184308052"/>
      <w:bookmarkEnd w:id="169"/>
      <w:bookmarkStart w:id="170" w:name="_Toc184308040"/>
      <w:bookmarkEnd w:id="170"/>
      <w:bookmarkStart w:id="171" w:name="_Toc184308105"/>
      <w:bookmarkEnd w:id="171"/>
      <w:bookmarkStart w:id="172" w:name="_Toc184314430"/>
      <w:bookmarkEnd w:id="172"/>
      <w:bookmarkStart w:id="173" w:name="_Toc184310306"/>
      <w:bookmarkEnd w:id="173"/>
      <w:bookmarkStart w:id="174" w:name="_Toc184313251"/>
      <w:bookmarkEnd w:id="174"/>
      <w:bookmarkStart w:id="175" w:name="_Toc184312127"/>
      <w:bookmarkEnd w:id="175"/>
      <w:bookmarkStart w:id="176" w:name="_Toc184314431"/>
      <w:bookmarkEnd w:id="176"/>
      <w:bookmarkStart w:id="177" w:name="_Toc184313285"/>
      <w:bookmarkEnd w:id="177"/>
      <w:bookmarkStart w:id="178" w:name="_Toc184308061"/>
      <w:bookmarkEnd w:id="178"/>
      <w:bookmarkStart w:id="179" w:name="_Toc184312068"/>
      <w:bookmarkEnd w:id="179"/>
      <w:bookmarkStart w:id="180" w:name="_Toc184312096"/>
      <w:bookmarkEnd w:id="180"/>
      <w:bookmarkStart w:id="181" w:name="_Toc184310344"/>
      <w:bookmarkEnd w:id="181"/>
      <w:bookmarkStart w:id="182" w:name="_Toc184314444"/>
      <w:bookmarkEnd w:id="182"/>
      <w:bookmarkStart w:id="183" w:name="_Toc184313260"/>
      <w:bookmarkEnd w:id="183"/>
      <w:bookmarkStart w:id="184" w:name="_Toc184308036"/>
      <w:bookmarkEnd w:id="184"/>
      <w:bookmarkStart w:id="185" w:name="_Toc184308072"/>
      <w:bookmarkEnd w:id="185"/>
      <w:bookmarkStart w:id="186" w:name="_Toc184312088"/>
      <w:bookmarkEnd w:id="186"/>
      <w:bookmarkStart w:id="187" w:name="_Toc184310286"/>
      <w:bookmarkEnd w:id="187"/>
      <w:bookmarkStart w:id="188" w:name="_Toc184312132"/>
      <w:bookmarkEnd w:id="188"/>
      <w:bookmarkStart w:id="189" w:name="_Toc184308104"/>
      <w:bookmarkEnd w:id="189"/>
      <w:bookmarkStart w:id="190" w:name="_Toc184310335"/>
      <w:bookmarkEnd w:id="190"/>
      <w:bookmarkStart w:id="191" w:name="_Toc184310295"/>
      <w:bookmarkEnd w:id="191"/>
      <w:bookmarkStart w:id="192" w:name="_Toc184314424"/>
      <w:bookmarkEnd w:id="192"/>
      <w:bookmarkStart w:id="193" w:name="_Toc184310336"/>
      <w:bookmarkEnd w:id="193"/>
      <w:bookmarkStart w:id="194" w:name="_Toc184312102"/>
      <w:bookmarkEnd w:id="194"/>
      <w:bookmarkStart w:id="195" w:name="_Toc184312111"/>
      <w:bookmarkEnd w:id="195"/>
      <w:bookmarkStart w:id="196" w:name="_Toc184314428"/>
      <w:bookmarkEnd w:id="196"/>
      <w:bookmarkStart w:id="197" w:name="_Toc184313302"/>
      <w:bookmarkEnd w:id="197"/>
      <w:bookmarkStart w:id="198" w:name="_Toc184313238"/>
      <w:bookmarkEnd w:id="198"/>
      <w:bookmarkStart w:id="199" w:name="_Toc184308084"/>
      <w:bookmarkEnd w:id="199"/>
      <w:bookmarkStart w:id="200" w:name="_Toc184314463"/>
      <w:bookmarkEnd w:id="200"/>
      <w:bookmarkStart w:id="201" w:name="_Toc184308078"/>
      <w:bookmarkEnd w:id="201"/>
      <w:bookmarkStart w:id="202" w:name="_Toc184310307"/>
      <w:bookmarkEnd w:id="202"/>
      <w:bookmarkStart w:id="203" w:name="_Toc184310338"/>
      <w:bookmarkEnd w:id="203"/>
      <w:bookmarkStart w:id="204" w:name="_Toc184308045"/>
      <w:bookmarkEnd w:id="204"/>
      <w:bookmarkStart w:id="205" w:name="_Toc184310322"/>
      <w:bookmarkEnd w:id="205"/>
      <w:bookmarkStart w:id="206" w:name="_Toc184314482"/>
      <w:bookmarkEnd w:id="206"/>
      <w:bookmarkStart w:id="207" w:name="_Toc184314433"/>
      <w:bookmarkEnd w:id="207"/>
      <w:bookmarkStart w:id="208" w:name="_Toc184308057"/>
      <w:bookmarkEnd w:id="208"/>
      <w:bookmarkStart w:id="209" w:name="_Toc184312092"/>
      <w:bookmarkEnd w:id="209"/>
      <w:bookmarkStart w:id="210" w:name="_Toc184313295"/>
      <w:bookmarkEnd w:id="210"/>
      <w:bookmarkStart w:id="211" w:name="_Toc184313246"/>
      <w:bookmarkEnd w:id="211"/>
      <w:bookmarkStart w:id="212" w:name="_Toc184313289"/>
      <w:bookmarkEnd w:id="212"/>
      <w:bookmarkStart w:id="213" w:name="_Toc184308099"/>
      <w:bookmarkEnd w:id="213"/>
      <w:bookmarkStart w:id="214" w:name="_Toc184308089"/>
      <w:bookmarkEnd w:id="214"/>
      <w:bookmarkStart w:id="215" w:name="_Toc184310288"/>
      <w:bookmarkEnd w:id="215"/>
      <w:bookmarkStart w:id="216" w:name="_Toc184308107"/>
      <w:bookmarkEnd w:id="216"/>
      <w:bookmarkStart w:id="217" w:name="_Toc184312072"/>
      <w:bookmarkEnd w:id="217"/>
      <w:bookmarkStart w:id="218" w:name="_Toc184314466"/>
      <w:bookmarkEnd w:id="218"/>
      <w:bookmarkStart w:id="219" w:name="_Toc184308092"/>
      <w:bookmarkEnd w:id="219"/>
      <w:bookmarkStart w:id="220" w:name="_Toc184313310"/>
      <w:bookmarkEnd w:id="220"/>
      <w:bookmarkStart w:id="221" w:name="_Toc184312129"/>
      <w:bookmarkEnd w:id="221"/>
      <w:bookmarkStart w:id="222" w:name="_Toc184312097"/>
      <w:bookmarkEnd w:id="222"/>
      <w:bookmarkStart w:id="223" w:name="_Toc184312073"/>
      <w:bookmarkEnd w:id="223"/>
      <w:bookmarkStart w:id="224" w:name="_Toc184310276"/>
      <w:bookmarkEnd w:id="224"/>
      <w:bookmarkStart w:id="225" w:name="_Toc184308083"/>
      <w:bookmarkEnd w:id="225"/>
      <w:bookmarkStart w:id="226" w:name="_Toc184312075"/>
      <w:bookmarkEnd w:id="226"/>
      <w:bookmarkStart w:id="227" w:name="_Toc184310315"/>
      <w:bookmarkEnd w:id="227"/>
      <w:bookmarkStart w:id="228" w:name="_Toc184312071"/>
      <w:bookmarkEnd w:id="228"/>
      <w:bookmarkStart w:id="229" w:name="_Toc184312107"/>
      <w:bookmarkEnd w:id="229"/>
      <w:bookmarkStart w:id="230" w:name="_Toc184308108"/>
      <w:bookmarkEnd w:id="230"/>
      <w:bookmarkStart w:id="231" w:name="_Toc184310330"/>
      <w:bookmarkEnd w:id="231"/>
      <w:bookmarkStart w:id="232" w:name="_Toc184308094"/>
      <w:bookmarkEnd w:id="232"/>
      <w:bookmarkStart w:id="233" w:name="_Toc184313267"/>
      <w:bookmarkEnd w:id="233"/>
      <w:bookmarkStart w:id="234" w:name="_Toc184308080"/>
      <w:bookmarkEnd w:id="234"/>
      <w:bookmarkStart w:id="235" w:name="_Toc184312093"/>
      <w:bookmarkEnd w:id="235"/>
      <w:bookmarkStart w:id="236" w:name="_Toc184310278"/>
      <w:bookmarkEnd w:id="236"/>
      <w:bookmarkStart w:id="237" w:name="_Toc184308065"/>
      <w:bookmarkEnd w:id="237"/>
      <w:bookmarkStart w:id="238" w:name="_Toc184310281"/>
      <w:bookmarkEnd w:id="238"/>
      <w:bookmarkStart w:id="239" w:name="_Toc184310293"/>
      <w:bookmarkEnd w:id="239"/>
      <w:bookmarkStart w:id="240" w:name="_Toc184313265"/>
      <w:bookmarkEnd w:id="240"/>
      <w:bookmarkStart w:id="241" w:name="_Toc184312108"/>
      <w:bookmarkEnd w:id="241"/>
      <w:bookmarkStart w:id="242" w:name="_Toc184312099"/>
      <w:bookmarkEnd w:id="242"/>
      <w:bookmarkStart w:id="243" w:name="_Toc184308054"/>
      <w:bookmarkEnd w:id="243"/>
      <w:bookmarkStart w:id="244" w:name="_Toc184312077"/>
      <w:bookmarkEnd w:id="244"/>
      <w:bookmarkStart w:id="245" w:name="_Toc184312138"/>
      <w:bookmarkEnd w:id="245"/>
      <w:bookmarkStart w:id="246" w:name="_Toc184314435"/>
      <w:bookmarkEnd w:id="246"/>
      <w:bookmarkStart w:id="247" w:name="_Toc184313308"/>
      <w:bookmarkEnd w:id="247"/>
      <w:bookmarkStart w:id="248" w:name="_Toc184313284"/>
      <w:bookmarkEnd w:id="248"/>
      <w:bookmarkStart w:id="249" w:name="_Toc184310279"/>
      <w:bookmarkEnd w:id="249"/>
      <w:bookmarkStart w:id="250" w:name="_Toc184312087"/>
      <w:bookmarkEnd w:id="250"/>
      <w:bookmarkStart w:id="251" w:name="_Toc184313274"/>
      <w:bookmarkEnd w:id="251"/>
      <w:bookmarkStart w:id="252" w:name="_Toc184313266"/>
      <w:bookmarkEnd w:id="252"/>
      <w:bookmarkStart w:id="253" w:name="_Toc184308087"/>
      <w:bookmarkEnd w:id="253"/>
      <w:bookmarkStart w:id="254" w:name="_Toc184310285"/>
      <w:bookmarkEnd w:id="254"/>
      <w:bookmarkStart w:id="255" w:name="_Toc184312074"/>
      <w:bookmarkEnd w:id="255"/>
      <w:bookmarkStart w:id="256" w:name="_Toc184308076"/>
      <w:bookmarkEnd w:id="256"/>
      <w:bookmarkStart w:id="257" w:name="_Toc184312109"/>
      <w:bookmarkEnd w:id="257"/>
      <w:bookmarkStart w:id="258" w:name="_Toc184308086"/>
      <w:bookmarkEnd w:id="258"/>
      <w:bookmarkStart w:id="259" w:name="_Toc184313276"/>
      <w:bookmarkEnd w:id="259"/>
      <w:bookmarkStart w:id="260" w:name="_Toc184310326"/>
      <w:bookmarkEnd w:id="260"/>
      <w:bookmarkStart w:id="261" w:name="_Toc184313262"/>
      <w:bookmarkEnd w:id="261"/>
      <w:bookmarkStart w:id="262" w:name="_Toc184310329"/>
      <w:bookmarkEnd w:id="262"/>
      <w:bookmarkStart w:id="263" w:name="_Toc184313259"/>
      <w:bookmarkEnd w:id="263"/>
      <w:bookmarkStart w:id="264" w:name="_Toc184312070"/>
      <w:bookmarkEnd w:id="264"/>
      <w:bookmarkStart w:id="265" w:name="_Toc184312131"/>
      <w:bookmarkEnd w:id="265"/>
      <w:bookmarkStart w:id="266" w:name="_Toc184312118"/>
      <w:bookmarkEnd w:id="266"/>
      <w:bookmarkStart w:id="267" w:name="_Toc184314474"/>
      <w:bookmarkEnd w:id="267"/>
      <w:bookmarkStart w:id="268" w:name="_Toc184310337"/>
      <w:bookmarkEnd w:id="268"/>
      <w:bookmarkStart w:id="269" w:name="_Toc184308090"/>
      <w:bookmarkEnd w:id="269"/>
      <w:bookmarkStart w:id="270" w:name="_Toc184314412"/>
      <w:bookmarkEnd w:id="270"/>
      <w:bookmarkStart w:id="271" w:name="_Toc184314448"/>
      <w:bookmarkEnd w:id="271"/>
      <w:bookmarkStart w:id="272" w:name="_Toc184313281"/>
      <w:bookmarkEnd w:id="272"/>
      <w:bookmarkStart w:id="273" w:name="_Toc184312119"/>
      <w:bookmarkEnd w:id="273"/>
      <w:bookmarkStart w:id="274" w:name="_Toc184312101"/>
      <w:bookmarkEnd w:id="274"/>
      <w:bookmarkStart w:id="275" w:name="_Toc184313239"/>
      <w:bookmarkEnd w:id="275"/>
      <w:bookmarkStart w:id="276" w:name="_Toc184308056"/>
      <w:bookmarkEnd w:id="276"/>
      <w:bookmarkStart w:id="277" w:name="_Toc184310311"/>
      <w:bookmarkEnd w:id="277"/>
      <w:bookmarkStart w:id="278" w:name="_Toc184308085"/>
      <w:bookmarkEnd w:id="278"/>
      <w:bookmarkStart w:id="279" w:name="_Toc184312136"/>
      <w:bookmarkEnd w:id="279"/>
      <w:bookmarkStart w:id="280" w:name="_Toc184314427"/>
      <w:bookmarkEnd w:id="280"/>
      <w:bookmarkStart w:id="281" w:name="_Toc184314415"/>
      <w:bookmarkEnd w:id="281"/>
      <w:bookmarkStart w:id="282" w:name="_Toc184312079"/>
      <w:bookmarkEnd w:id="282"/>
      <w:bookmarkStart w:id="283" w:name="_Toc184308043"/>
      <w:bookmarkEnd w:id="283"/>
      <w:bookmarkStart w:id="284" w:name="_Toc184313305"/>
      <w:bookmarkEnd w:id="284"/>
      <w:bookmarkStart w:id="285" w:name="_Toc184308097"/>
      <w:bookmarkEnd w:id="285"/>
      <w:bookmarkStart w:id="286" w:name="_Toc184314414"/>
      <w:bookmarkEnd w:id="286"/>
      <w:bookmarkStart w:id="287" w:name="_Toc184310314"/>
      <w:bookmarkEnd w:id="287"/>
      <w:bookmarkStart w:id="288" w:name="_Toc184314436"/>
      <w:bookmarkEnd w:id="288"/>
      <w:bookmarkStart w:id="289" w:name="_Toc184310280"/>
      <w:bookmarkEnd w:id="289"/>
      <w:bookmarkStart w:id="290" w:name="_Toc184314470"/>
      <w:bookmarkEnd w:id="290"/>
      <w:bookmarkStart w:id="291" w:name="_Toc184313298"/>
      <w:bookmarkEnd w:id="291"/>
      <w:bookmarkStart w:id="292" w:name="_Toc184312120"/>
      <w:bookmarkEnd w:id="292"/>
      <w:bookmarkStart w:id="293" w:name="_Toc184312091"/>
      <w:bookmarkEnd w:id="293"/>
      <w:bookmarkStart w:id="294" w:name="_Toc184314441"/>
      <w:bookmarkEnd w:id="294"/>
      <w:bookmarkStart w:id="295" w:name="_Toc184308051"/>
      <w:bookmarkEnd w:id="295"/>
      <w:bookmarkStart w:id="296" w:name="_Toc184313291"/>
      <w:bookmarkEnd w:id="296"/>
      <w:bookmarkStart w:id="297" w:name="_Toc184313286"/>
      <w:bookmarkEnd w:id="297"/>
      <w:bookmarkStart w:id="298" w:name="_Toc184312106"/>
      <w:bookmarkEnd w:id="298"/>
      <w:bookmarkStart w:id="299" w:name="_Toc184312103"/>
      <w:bookmarkEnd w:id="299"/>
      <w:bookmarkStart w:id="300" w:name="_Toc184313303"/>
      <w:bookmarkEnd w:id="300"/>
      <w:bookmarkStart w:id="301" w:name="_Toc184314417"/>
      <w:bookmarkEnd w:id="301"/>
      <w:bookmarkStart w:id="302" w:name="_Toc184312069"/>
      <w:bookmarkEnd w:id="302"/>
      <w:bookmarkStart w:id="303" w:name="_Toc184314454"/>
      <w:bookmarkEnd w:id="303"/>
      <w:bookmarkStart w:id="304" w:name="_Toc184310308"/>
      <w:bookmarkEnd w:id="304"/>
      <w:bookmarkStart w:id="305" w:name="_Toc184313290"/>
      <w:bookmarkEnd w:id="305"/>
      <w:bookmarkStart w:id="306" w:name="_Toc184313242"/>
      <w:bookmarkEnd w:id="306"/>
      <w:bookmarkStart w:id="307" w:name="_Toc184308093"/>
      <w:bookmarkEnd w:id="307"/>
      <w:bookmarkStart w:id="308" w:name="_Toc184314458"/>
      <w:bookmarkEnd w:id="308"/>
      <w:bookmarkStart w:id="309" w:name="_Toc184312100"/>
      <w:bookmarkEnd w:id="309"/>
      <w:bookmarkStart w:id="310" w:name="_Toc184310328"/>
      <w:bookmarkEnd w:id="310"/>
      <w:bookmarkStart w:id="311" w:name="_Toc184310287"/>
      <w:bookmarkEnd w:id="311"/>
      <w:bookmarkStart w:id="312" w:name="_Toc184314443"/>
      <w:bookmarkEnd w:id="312"/>
      <w:bookmarkStart w:id="313" w:name="_Toc184313264"/>
      <w:bookmarkEnd w:id="313"/>
      <w:bookmarkStart w:id="314" w:name="_Toc184313250"/>
      <w:bookmarkEnd w:id="314"/>
      <w:bookmarkStart w:id="315" w:name="_Toc184312086"/>
      <w:bookmarkEnd w:id="315"/>
      <w:bookmarkStart w:id="316" w:name="_Toc184308096"/>
      <w:bookmarkEnd w:id="316"/>
      <w:bookmarkStart w:id="317" w:name="_Toc184314434"/>
      <w:bookmarkEnd w:id="317"/>
      <w:bookmarkStart w:id="318" w:name="_Toc184313280"/>
      <w:bookmarkEnd w:id="318"/>
      <w:bookmarkStart w:id="319" w:name="_Toc184312134"/>
      <w:bookmarkEnd w:id="319"/>
      <w:bookmarkStart w:id="320" w:name="_Toc184313294"/>
      <w:bookmarkEnd w:id="320"/>
      <w:bookmarkStart w:id="321" w:name="_Toc184308102"/>
      <w:bookmarkEnd w:id="321"/>
      <w:bookmarkStart w:id="322" w:name="_Toc184308049"/>
      <w:bookmarkEnd w:id="322"/>
      <w:bookmarkStart w:id="323" w:name="_Toc184308067"/>
      <w:bookmarkEnd w:id="323"/>
      <w:bookmarkStart w:id="324" w:name="_Toc184314432"/>
      <w:bookmarkEnd w:id="324"/>
      <w:bookmarkStart w:id="325" w:name="_Toc184313263"/>
      <w:bookmarkEnd w:id="325"/>
      <w:bookmarkStart w:id="326" w:name="_Toc184310296"/>
      <w:bookmarkEnd w:id="326"/>
      <w:bookmarkStart w:id="327" w:name="_Toc184312130"/>
      <w:bookmarkEnd w:id="327"/>
      <w:bookmarkStart w:id="328" w:name="_Toc184308088"/>
      <w:bookmarkEnd w:id="328"/>
      <w:bookmarkStart w:id="329" w:name="_Toc184314451"/>
      <w:bookmarkEnd w:id="329"/>
      <w:bookmarkStart w:id="330" w:name="_Toc184308074"/>
      <w:bookmarkEnd w:id="330"/>
      <w:bookmarkStart w:id="331" w:name="_Toc184308081"/>
      <w:bookmarkEnd w:id="331"/>
      <w:bookmarkStart w:id="332" w:name="_Toc184308098"/>
      <w:bookmarkEnd w:id="332"/>
      <w:bookmarkStart w:id="333" w:name="_Toc184312089"/>
      <w:bookmarkEnd w:id="333"/>
      <w:bookmarkStart w:id="334" w:name="_Toc184313270"/>
      <w:bookmarkEnd w:id="334"/>
      <w:bookmarkStart w:id="335" w:name="_Toc184310305"/>
      <w:bookmarkEnd w:id="335"/>
      <w:bookmarkStart w:id="336" w:name="_Toc184314418"/>
      <w:bookmarkEnd w:id="336"/>
      <w:bookmarkStart w:id="337" w:name="_Toc184314420"/>
      <w:bookmarkEnd w:id="337"/>
      <w:bookmarkStart w:id="338" w:name="_Toc184313304"/>
      <w:bookmarkEnd w:id="338"/>
      <w:bookmarkStart w:id="339" w:name="_Toc184310302"/>
      <w:bookmarkEnd w:id="339"/>
      <w:bookmarkStart w:id="340" w:name="_Toc184314455"/>
      <w:bookmarkEnd w:id="340"/>
      <w:bookmarkStart w:id="341" w:name="_Toc184313254"/>
      <w:bookmarkEnd w:id="341"/>
      <w:bookmarkStart w:id="342" w:name="_Toc184314471"/>
      <w:bookmarkEnd w:id="342"/>
      <w:bookmarkStart w:id="343" w:name="_Toc184308037"/>
      <w:bookmarkEnd w:id="343"/>
      <w:bookmarkStart w:id="344" w:name="_Toc184312114"/>
      <w:bookmarkEnd w:id="344"/>
      <w:bookmarkStart w:id="345" w:name="_Toc184308100"/>
      <w:bookmarkEnd w:id="345"/>
      <w:bookmarkStart w:id="346" w:name="_Toc184312121"/>
      <w:bookmarkEnd w:id="346"/>
      <w:bookmarkStart w:id="347" w:name="_Toc184312105"/>
      <w:bookmarkEnd w:id="347"/>
      <w:bookmarkStart w:id="348" w:name="_Toc184308095"/>
      <w:bookmarkEnd w:id="348"/>
      <w:bookmarkStart w:id="349" w:name="_Toc184310294"/>
      <w:bookmarkEnd w:id="349"/>
      <w:bookmarkStart w:id="350" w:name="_Toc184314481"/>
      <w:bookmarkEnd w:id="350"/>
      <w:bookmarkStart w:id="351" w:name="_Toc184312083"/>
      <w:bookmarkEnd w:id="351"/>
      <w:bookmarkStart w:id="352" w:name="_Toc184313272"/>
      <w:bookmarkEnd w:id="352"/>
      <w:bookmarkStart w:id="353" w:name="_Toc184312123"/>
      <w:bookmarkEnd w:id="353"/>
      <w:bookmarkStart w:id="354" w:name="_Toc184314476"/>
      <w:bookmarkEnd w:id="354"/>
      <w:bookmarkStart w:id="355" w:name="_Toc184313292"/>
      <w:bookmarkEnd w:id="355"/>
      <w:bookmarkStart w:id="356" w:name="_Toc184314460"/>
      <w:bookmarkEnd w:id="356"/>
      <w:bookmarkStart w:id="357" w:name="_Toc184308091"/>
      <w:bookmarkEnd w:id="357"/>
      <w:bookmarkStart w:id="358" w:name="_Toc184313271"/>
      <w:bookmarkEnd w:id="358"/>
      <w:bookmarkStart w:id="359" w:name="_Toc184310318"/>
      <w:bookmarkEnd w:id="359"/>
      <w:bookmarkStart w:id="360" w:name="_Toc184308053"/>
      <w:bookmarkEnd w:id="360"/>
      <w:bookmarkStart w:id="361" w:name="_Toc184313296"/>
      <w:bookmarkEnd w:id="361"/>
      <w:bookmarkStart w:id="362" w:name="_Toc184313253"/>
      <w:bookmarkEnd w:id="362"/>
      <w:bookmarkStart w:id="363" w:name="_Toc184310341"/>
      <w:bookmarkEnd w:id="363"/>
      <w:bookmarkStart w:id="364" w:name="_Toc184314440"/>
      <w:bookmarkEnd w:id="364"/>
      <w:bookmarkStart w:id="365" w:name="_Toc184314437"/>
      <w:bookmarkEnd w:id="365"/>
      <w:bookmarkStart w:id="366" w:name="_Toc184314475"/>
      <w:bookmarkEnd w:id="366"/>
      <w:bookmarkStart w:id="367" w:name="_Toc184313282"/>
      <w:bookmarkEnd w:id="367"/>
      <w:bookmarkStart w:id="368" w:name="_Toc184310325"/>
      <w:bookmarkEnd w:id="368"/>
      <w:bookmarkStart w:id="369" w:name="_Toc184310342"/>
      <w:bookmarkEnd w:id="369"/>
      <w:bookmarkStart w:id="370" w:name="_Toc184310300"/>
      <w:bookmarkEnd w:id="370"/>
      <w:bookmarkStart w:id="371" w:name="_Toc184313283"/>
      <w:bookmarkEnd w:id="371"/>
      <w:bookmarkStart w:id="372" w:name="_Toc184310289"/>
      <w:bookmarkEnd w:id="372"/>
      <w:bookmarkStart w:id="373" w:name="_Toc184313307"/>
      <w:bookmarkEnd w:id="373"/>
      <w:bookmarkStart w:id="374" w:name="_Toc184313247"/>
      <w:bookmarkEnd w:id="374"/>
      <w:bookmarkStart w:id="375" w:name="_Toc184312128"/>
      <w:bookmarkEnd w:id="375"/>
      <w:bookmarkStart w:id="376" w:name="_Toc184314456"/>
      <w:bookmarkEnd w:id="376"/>
      <w:bookmarkStart w:id="377" w:name="_Toc184310292"/>
      <w:bookmarkEnd w:id="377"/>
      <w:bookmarkStart w:id="378" w:name="_Toc184314439"/>
      <w:bookmarkEnd w:id="378"/>
      <w:bookmarkStart w:id="379" w:name="_Toc184313257"/>
      <w:bookmarkEnd w:id="379"/>
      <w:bookmarkStart w:id="380" w:name="_Toc184314479"/>
      <w:bookmarkEnd w:id="380"/>
      <w:bookmarkStart w:id="381" w:name="_Toc184310320"/>
      <w:bookmarkEnd w:id="381"/>
      <w:bookmarkStart w:id="382" w:name="_Toc184313277"/>
      <w:bookmarkEnd w:id="382"/>
      <w:bookmarkStart w:id="383" w:name="_Toc184314457"/>
      <w:bookmarkEnd w:id="383"/>
      <w:bookmarkStart w:id="384" w:name="_Toc184314469"/>
      <w:bookmarkEnd w:id="384"/>
      <w:bookmarkStart w:id="385" w:name="_Toc184313273"/>
      <w:bookmarkEnd w:id="385"/>
      <w:bookmarkStart w:id="386" w:name="_Toc184313241"/>
      <w:bookmarkEnd w:id="386"/>
      <w:bookmarkStart w:id="387" w:name="_Toc184312137"/>
      <w:bookmarkEnd w:id="387"/>
      <w:bookmarkStart w:id="388" w:name="_Toc184313256"/>
      <w:bookmarkEnd w:id="388"/>
      <w:bookmarkStart w:id="389" w:name="_Toc184313309"/>
      <w:bookmarkEnd w:id="389"/>
      <w:bookmarkStart w:id="390" w:name="_Toc184312078"/>
      <w:bookmarkEnd w:id="390"/>
      <w:bookmarkStart w:id="391" w:name="_Toc184314422"/>
      <w:bookmarkEnd w:id="391"/>
      <w:bookmarkStart w:id="392" w:name="_Toc184313243"/>
      <w:bookmarkEnd w:id="392"/>
      <w:bookmarkStart w:id="393" w:name="_Toc184310312"/>
      <w:bookmarkEnd w:id="393"/>
      <w:bookmarkStart w:id="394" w:name="_Toc184308070"/>
      <w:bookmarkEnd w:id="394"/>
      <w:bookmarkStart w:id="395" w:name="_Toc184310273"/>
      <w:bookmarkEnd w:id="395"/>
      <w:bookmarkStart w:id="396" w:name="_Toc184312098"/>
      <w:bookmarkEnd w:id="396"/>
      <w:bookmarkStart w:id="397" w:name="_Toc184314421"/>
      <w:bookmarkEnd w:id="397"/>
      <w:bookmarkStart w:id="398" w:name="_Toc184308101"/>
      <w:bookmarkEnd w:id="398"/>
      <w:bookmarkStart w:id="399" w:name="_Toc184312094"/>
      <w:bookmarkEnd w:id="399"/>
      <w:bookmarkStart w:id="400" w:name="_Toc184310309"/>
      <w:bookmarkEnd w:id="400"/>
      <w:bookmarkStart w:id="401" w:name="_Toc184313255"/>
      <w:bookmarkEnd w:id="401"/>
      <w:bookmarkStart w:id="402" w:name="_Toc184310317"/>
      <w:bookmarkEnd w:id="402"/>
      <w:bookmarkStart w:id="403" w:name="_Toc184312081"/>
      <w:bookmarkEnd w:id="403"/>
      <w:bookmarkStart w:id="404" w:name="_Toc184312104"/>
      <w:bookmarkEnd w:id="404"/>
      <w:bookmarkStart w:id="405" w:name="_Toc184313300"/>
      <w:bookmarkEnd w:id="405"/>
      <w:bookmarkStart w:id="406" w:name="_Toc184312122"/>
      <w:bookmarkEnd w:id="406"/>
      <w:bookmarkStart w:id="407" w:name="_Toc184314468"/>
      <w:bookmarkEnd w:id="407"/>
      <w:bookmarkStart w:id="408" w:name="_Toc184308069"/>
      <w:bookmarkEnd w:id="408"/>
      <w:bookmarkStart w:id="409" w:name="_Toc184308068"/>
      <w:bookmarkEnd w:id="409"/>
      <w:bookmarkStart w:id="410" w:name="_Toc184314425"/>
      <w:bookmarkEnd w:id="410"/>
      <w:r>
        <w:rPr>
          <w:rFonts w:hint="eastAsia" w:ascii="宋体" w:hAnsi="宋体" w:cs="宋体"/>
          <w:b/>
          <w:sz w:val="36"/>
          <w:szCs w:val="20"/>
        </w:rPr>
        <w:t xml:space="preserve"> 评审办法</w:t>
      </w:r>
    </w:p>
    <w:p w14:paraId="44F1DFB3">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pPr w:leftFromText="180" w:rightFromText="180" w:vertAnchor="text" w:horzAnchor="page" w:tblpXSpec="center" w:tblpY="619"/>
        <w:tblOverlap w:val="never"/>
        <w:tblW w:w="10678" w:type="dxa"/>
        <w:jc w:val="center"/>
        <w:tblLayout w:type="fixed"/>
        <w:tblCellMar>
          <w:top w:w="0" w:type="dxa"/>
          <w:left w:w="108" w:type="dxa"/>
          <w:bottom w:w="0" w:type="dxa"/>
          <w:right w:w="108" w:type="dxa"/>
        </w:tblCellMar>
      </w:tblPr>
      <w:tblGrid>
        <w:gridCol w:w="788"/>
        <w:gridCol w:w="6697"/>
        <w:gridCol w:w="720"/>
        <w:gridCol w:w="1035"/>
        <w:gridCol w:w="1438"/>
      </w:tblGrid>
      <w:tr w14:paraId="7C279AC9">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5C4E309">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46D30B8">
            <w:pPr>
              <w:spacing w:line="360" w:lineRule="auto"/>
              <w:ind w:firstLine="1560" w:firstLineChars="650"/>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评审</w:t>
            </w:r>
            <w:r>
              <w:rPr>
                <w:rFonts w:hint="eastAsia" w:ascii="宋体" w:hAnsi="宋体" w:eastAsia="宋体" w:cs="宋体"/>
                <w:bCs/>
                <w:color w:val="auto"/>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E45998">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权重</w:t>
            </w:r>
          </w:p>
        </w:tc>
        <w:tc>
          <w:tcPr>
            <w:tcW w:w="1035" w:type="dxa"/>
            <w:tcBorders>
              <w:top w:val="single" w:color="000000" w:sz="4" w:space="0"/>
              <w:left w:val="single" w:color="000000" w:sz="4" w:space="0"/>
              <w:bottom w:val="single" w:color="000000" w:sz="4" w:space="0"/>
              <w:right w:val="single" w:color="000000" w:sz="4" w:space="0"/>
            </w:tcBorders>
            <w:noWrap w:val="0"/>
            <w:vAlign w:val="top"/>
          </w:tcPr>
          <w:p w14:paraId="32D0F200">
            <w:pPr>
              <w:spacing w:line="360" w:lineRule="auto"/>
              <w:outlineLvl w:val="0"/>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sz w:val="24"/>
                <w:szCs w:val="24"/>
                <w:highlight w:val="none"/>
              </w:rPr>
              <w:t>主观分/客观分属性</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14:paraId="1C414CF4">
            <w:pPr>
              <w:spacing w:line="360" w:lineRule="auto"/>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文件中评</w:t>
            </w:r>
            <w:r>
              <w:rPr>
                <w:rFonts w:hint="eastAsia" w:ascii="宋体" w:hAnsi="宋体" w:eastAsia="宋体" w:cs="宋体"/>
                <w:bCs/>
                <w:color w:val="auto"/>
                <w:sz w:val="24"/>
                <w:szCs w:val="24"/>
                <w:highlight w:val="none"/>
                <w:lang w:val="en-US" w:eastAsia="zh-CN"/>
              </w:rPr>
              <w:t>审</w:t>
            </w:r>
            <w:r>
              <w:rPr>
                <w:rFonts w:hint="eastAsia" w:ascii="宋体" w:hAnsi="宋体" w:eastAsia="宋体" w:cs="宋体"/>
                <w:bCs/>
                <w:color w:val="auto"/>
                <w:sz w:val="24"/>
                <w:szCs w:val="24"/>
                <w:highlight w:val="none"/>
              </w:rPr>
              <w:t>标准相应的商务技术资料目录</w:t>
            </w:r>
          </w:p>
        </w:tc>
      </w:tr>
      <w:tr w14:paraId="1DFE4688">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138E016">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bookmarkStart w:id="459" w:name="_GoBack" w:colFirst="4" w:colLast="4"/>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920AB">
            <w:pPr>
              <w:spacing w:line="288" w:lineRule="auto"/>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2</w:t>
            </w:r>
            <w:r>
              <w:rPr>
                <w:rFonts w:hint="eastAsia" w:ascii="宋体" w:hAnsi="宋体" w:cs="宋体"/>
                <w:color w:val="000000"/>
                <w:sz w:val="24"/>
              </w:rPr>
              <w:t>年1月1日至今</w:t>
            </w:r>
            <w:r>
              <w:rPr>
                <w:rFonts w:hint="eastAsia" w:ascii="宋体" w:hAnsi="宋体" w:cs="宋体"/>
                <w:color w:val="000000"/>
                <w:sz w:val="24"/>
                <w:lang w:eastAsia="zh-CN"/>
              </w:rPr>
              <w:t>（</w:t>
            </w:r>
            <w:r>
              <w:rPr>
                <w:rFonts w:hint="eastAsia" w:ascii="宋体" w:hAnsi="宋体" w:cs="宋体"/>
                <w:color w:val="000000"/>
                <w:sz w:val="24"/>
                <w:lang w:val="en-US" w:eastAsia="zh-CN"/>
              </w:rPr>
              <w:t>以合同签订日期为准</w:t>
            </w:r>
            <w:r>
              <w:rPr>
                <w:rFonts w:hint="eastAsia" w:ascii="宋体" w:hAnsi="宋体" w:cs="宋体"/>
                <w:color w:val="000000"/>
                <w:sz w:val="24"/>
                <w:lang w:eastAsia="zh-CN"/>
              </w:rPr>
              <w:t>）</w:t>
            </w:r>
            <w:r>
              <w:rPr>
                <w:rFonts w:hint="eastAsia" w:ascii="宋体" w:hAnsi="宋体" w:cs="宋体"/>
                <w:color w:val="000000"/>
                <w:sz w:val="24"/>
              </w:rPr>
              <w:t>承担过</w:t>
            </w:r>
            <w:r>
              <w:rPr>
                <w:rFonts w:hint="eastAsia" w:ascii="宋体" w:hAnsi="宋体" w:cs="宋体"/>
                <w:color w:val="000000"/>
                <w:sz w:val="24"/>
                <w:lang w:val="en-US" w:eastAsia="zh-CN"/>
              </w:rPr>
              <w:t>山塘水库施工</w:t>
            </w:r>
            <w:r>
              <w:rPr>
                <w:rFonts w:hint="eastAsia" w:ascii="宋体" w:hAnsi="宋体" w:cs="宋体"/>
                <w:color w:val="000000"/>
                <w:sz w:val="24"/>
              </w:rPr>
              <w:t>业绩的，每1个得1分，最多得3分。</w:t>
            </w:r>
          </w:p>
          <w:p w14:paraId="0FD6C191">
            <w:pPr>
              <w:spacing w:line="288"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sz w:val="24"/>
                <w:lang w:val="en-US" w:eastAsia="zh-CN"/>
              </w:rPr>
              <w:t>注：须同时提供合同和完工验收或竣工验收收证明（如完工验收表或竣工验收报告或竣工验收记录或竣工验收备案表）扫描件加盖公章，未提供的不得分</w:t>
            </w:r>
            <w:r>
              <w:rPr>
                <w:rFonts w:hint="eastAsia" w:ascii="宋体" w:hAnsi="宋体" w:cs="宋体"/>
                <w:color w:val="000000"/>
                <w:sz w:val="24"/>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E1EC3">
            <w:pPr>
              <w:pStyle w:val="132"/>
              <w:spacing w:before="0"/>
              <w:ind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2BE29">
            <w:pPr>
              <w:pStyle w:val="132"/>
              <w:spacing w:before="0"/>
              <w:ind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客观分</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08B82">
            <w:pPr>
              <w:pStyle w:val="132"/>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lang w:val="en-US" w:eastAsia="zh-CN"/>
              </w:rPr>
              <w:t>企业业绩</w:t>
            </w:r>
          </w:p>
        </w:tc>
      </w:tr>
      <w:tr w14:paraId="18714A90">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2627243">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FFD2D">
            <w:pPr>
              <w:spacing w:line="288" w:lineRule="auto"/>
              <w:rPr>
                <w:rFonts w:hint="eastAsia" w:ascii="宋体" w:hAnsi="宋体" w:cs="宋体"/>
                <w:color w:val="000000"/>
                <w:sz w:val="24"/>
                <w:lang w:val="en-US" w:eastAsia="zh-CN"/>
              </w:rPr>
            </w:pPr>
            <w:r>
              <w:rPr>
                <w:rFonts w:hint="eastAsia" w:ascii="宋体" w:hAnsi="宋体" w:cs="宋体"/>
                <w:color w:val="000000"/>
                <w:sz w:val="24"/>
                <w:lang w:val="en-US" w:eastAsia="zh-CN"/>
              </w:rPr>
              <w:t>供应商具有有效期内的质量管理体系、环境管理体系、职业健康安全管理体系认证证书，每个得1分，最高得3分</w:t>
            </w:r>
          </w:p>
          <w:p w14:paraId="0A7939E4">
            <w:pPr>
              <w:spacing w:line="288" w:lineRule="auto"/>
              <w:rPr>
                <w:rFonts w:hint="eastAsia" w:ascii="宋体" w:hAnsi="宋体" w:cs="宋体"/>
                <w:color w:val="000000"/>
                <w:sz w:val="24"/>
                <w:lang w:val="en-US" w:eastAsia="zh-CN"/>
              </w:rPr>
            </w:pPr>
            <w:r>
              <w:rPr>
                <w:rFonts w:hint="eastAsia" w:ascii="宋体" w:hAnsi="宋体" w:cs="宋体"/>
                <w:color w:val="000000"/>
                <w:sz w:val="24"/>
                <w:lang w:val="en-US" w:eastAsia="zh-CN"/>
              </w:rPr>
              <w:t>注:提供有效期内的证书复印件加盖公章，不提供不得分。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CAE15">
            <w:pPr>
              <w:pStyle w:val="132"/>
              <w:spacing w:before="0"/>
              <w:ind w:firstLine="0" w:firstLineChars="0"/>
              <w:jc w:val="center"/>
              <w:rPr>
                <w:rFonts w:hint="eastAsia" w:ascii="宋体" w:hAnsi="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DCF7F">
            <w:pPr>
              <w:pStyle w:val="132"/>
              <w:spacing w:before="0"/>
              <w:ind w:firstLine="0" w:firstLineChars="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客观分</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B54BB">
            <w:pPr>
              <w:pStyle w:val="132"/>
              <w:spacing w:before="0"/>
              <w:ind w:firstLine="0" w:firstLineChars="0"/>
              <w:jc w:val="center"/>
              <w:rPr>
                <w:rFonts w:hint="eastAsia" w:ascii="宋体" w:hAnsi="宋体" w:cs="宋体"/>
                <w:szCs w:val="24"/>
                <w:lang w:val="en-US" w:eastAsia="zh-CN"/>
              </w:rPr>
            </w:pPr>
            <w:r>
              <w:rPr>
                <w:rFonts w:hint="eastAsia" w:ascii="宋体" w:hAnsi="宋体" w:cs="宋体"/>
                <w:szCs w:val="24"/>
                <w:lang w:val="en-US" w:eastAsia="zh-CN"/>
              </w:rPr>
              <w:t>管理体系</w:t>
            </w:r>
          </w:p>
        </w:tc>
      </w:tr>
      <w:tr w14:paraId="3E0CE54F">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F522B57">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B9809">
            <w:pPr>
              <w:spacing w:line="288"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项目负责人（建造师）、安全员、施工员、质量员、材料员、资料员，人员配备完整的得6分，否则不得分。</w:t>
            </w:r>
          </w:p>
          <w:p w14:paraId="6314D923">
            <w:pPr>
              <w:spacing w:line="288" w:lineRule="auto"/>
              <w:rPr>
                <w:rFonts w:hint="eastAsia" w:ascii="Times New Roman" w:hAnsi="Times New Roman" w:eastAsia="宋体" w:cs="Times New Roman"/>
                <w:kern w:val="2"/>
                <w:sz w:val="21"/>
                <w:szCs w:val="24"/>
                <w:highlight w:val="none"/>
                <w:lang w:val="en-US" w:eastAsia="zh-CN" w:bidi="ar-SA"/>
              </w:rPr>
            </w:pPr>
            <w:r>
              <w:rPr>
                <w:rFonts w:hint="eastAsia" w:ascii="宋体" w:hAnsi="宋体" w:eastAsia="宋体" w:cs="宋体"/>
                <w:color w:val="000000"/>
                <w:sz w:val="24"/>
                <w:highlight w:val="none"/>
                <w:lang w:val="en-US" w:eastAsia="zh-CN"/>
              </w:rPr>
              <w:t>注：须提供以上人员相关证书扫描件并加盖公章，同时提供在本单位缴纳近3个月社保证明</w:t>
            </w:r>
            <w:r>
              <w:rPr>
                <w:rFonts w:hint="eastAsia" w:ascii="宋体" w:hAnsi="宋体" w:eastAsia="宋体" w:cs="宋体"/>
                <w:color w:val="000000"/>
                <w:kern w:val="2"/>
                <w:sz w:val="24"/>
                <w:szCs w:val="24"/>
                <w:highlight w:val="none"/>
                <w:lang w:val="en-US" w:eastAsia="zh-CN" w:bidi="ar-SA"/>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5681">
            <w:pPr>
              <w:pStyle w:val="132"/>
              <w:spacing w:before="0"/>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3F5A2">
            <w:pPr>
              <w:pStyle w:val="132"/>
              <w:spacing w:before="0"/>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客观分</w:t>
            </w:r>
          </w:p>
        </w:tc>
        <w:tc>
          <w:tcPr>
            <w:tcW w:w="1438" w:type="dxa"/>
            <w:vMerge w:val="restart"/>
            <w:tcBorders>
              <w:top w:val="single" w:color="000000" w:sz="4" w:space="0"/>
              <w:left w:val="single" w:color="000000" w:sz="4" w:space="0"/>
              <w:right w:val="single" w:color="000000" w:sz="4" w:space="0"/>
            </w:tcBorders>
            <w:shd w:val="clear" w:color="auto" w:fill="auto"/>
            <w:noWrap w:val="0"/>
            <w:vAlign w:val="center"/>
          </w:tcPr>
          <w:p w14:paraId="79278159">
            <w:pPr>
              <w:pStyle w:val="132"/>
              <w:spacing w:before="0"/>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项目团队</w:t>
            </w:r>
          </w:p>
        </w:tc>
      </w:tr>
      <w:bookmarkEnd w:id="459"/>
      <w:tr w14:paraId="056E3024">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90A5B71">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CC39AE9">
            <w:pPr>
              <w:spacing w:line="288"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项目管理班子：</w:t>
            </w:r>
          </w:p>
          <w:p w14:paraId="15DDF315">
            <w:pPr>
              <w:spacing w:line="288"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具有水利专业中级及以上职称的，每人得2分；具有初级职称的每人得1分，本项最高得</w:t>
            </w:r>
            <w:r>
              <w:rPr>
                <w:rFonts w:hint="eastAsia" w:ascii="宋体" w:hAnsi="宋体" w:cs="宋体"/>
                <w:color w:val="000000"/>
                <w:kern w:val="2"/>
                <w:sz w:val="24"/>
                <w:szCs w:val="24"/>
                <w:highlight w:val="none"/>
                <w:lang w:val="en-US" w:eastAsia="zh-CN" w:bidi="ar-SA"/>
              </w:rPr>
              <w:t>4</w:t>
            </w:r>
            <w:r>
              <w:rPr>
                <w:rFonts w:hint="eastAsia" w:ascii="宋体" w:hAnsi="宋体" w:eastAsia="宋体" w:cs="宋体"/>
                <w:color w:val="000000"/>
                <w:kern w:val="2"/>
                <w:sz w:val="24"/>
                <w:szCs w:val="24"/>
                <w:highlight w:val="none"/>
                <w:lang w:val="en-US" w:eastAsia="zh-CN" w:bidi="ar-SA"/>
              </w:rPr>
              <w:t>分。</w:t>
            </w:r>
          </w:p>
          <w:p w14:paraId="272D2706">
            <w:pPr>
              <w:spacing w:line="288"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注：提供证书复印件加盖公章，</w:t>
            </w:r>
            <w:r>
              <w:rPr>
                <w:rFonts w:hint="eastAsia" w:ascii="宋体" w:hAnsi="宋体" w:eastAsia="宋体" w:cs="宋体"/>
                <w:color w:val="000000"/>
                <w:sz w:val="24"/>
                <w:highlight w:val="none"/>
                <w:lang w:val="en-US" w:eastAsia="zh-CN"/>
              </w:rPr>
              <w:t>同时提供在本单位缴纳近3个月社保证明，</w:t>
            </w:r>
            <w:r>
              <w:rPr>
                <w:rFonts w:hint="eastAsia" w:ascii="宋体" w:hAnsi="宋体" w:cs="宋体"/>
                <w:color w:val="000000"/>
                <w:kern w:val="2"/>
                <w:sz w:val="24"/>
                <w:szCs w:val="24"/>
                <w:highlight w:val="none"/>
                <w:lang w:val="en-US" w:eastAsia="zh-CN" w:bidi="ar-SA"/>
              </w:rPr>
              <w:t>否则</w:t>
            </w:r>
            <w:r>
              <w:rPr>
                <w:rFonts w:hint="eastAsia" w:ascii="宋体" w:hAnsi="宋体" w:eastAsia="宋体" w:cs="宋体"/>
                <w:color w:val="000000"/>
                <w:kern w:val="2"/>
                <w:sz w:val="24"/>
                <w:szCs w:val="24"/>
                <w:highlight w:val="none"/>
                <w:lang w:val="en-US" w:eastAsia="zh-CN" w:bidi="ar-SA"/>
              </w:rPr>
              <w:t>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6A5A92">
            <w:pPr>
              <w:pStyle w:val="132"/>
              <w:spacing w:before="0"/>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FDE3FCC">
            <w:pPr>
              <w:pStyle w:val="132"/>
              <w:spacing w:before="0"/>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客观分</w:t>
            </w:r>
          </w:p>
        </w:tc>
        <w:tc>
          <w:tcPr>
            <w:tcW w:w="1438" w:type="dxa"/>
            <w:vMerge w:val="continue"/>
            <w:tcBorders>
              <w:left w:val="single" w:color="000000" w:sz="4" w:space="0"/>
              <w:bottom w:val="single" w:color="000000" w:sz="4" w:space="0"/>
              <w:right w:val="single" w:color="000000" w:sz="4" w:space="0"/>
            </w:tcBorders>
            <w:noWrap w:val="0"/>
            <w:vAlign w:val="top"/>
          </w:tcPr>
          <w:p w14:paraId="272CFE81">
            <w:pPr>
              <w:spacing w:line="360" w:lineRule="auto"/>
              <w:outlineLvl w:val="0"/>
              <w:rPr>
                <w:rFonts w:hint="eastAsia" w:ascii="宋体" w:hAnsi="宋体" w:eastAsia="宋体" w:cs="宋体"/>
                <w:b w:val="0"/>
                <w:bCs w:val="0"/>
                <w:color w:val="auto"/>
                <w:sz w:val="24"/>
                <w:szCs w:val="24"/>
                <w:highlight w:val="none"/>
                <w:lang w:val="en-US" w:eastAsia="zh-CN"/>
              </w:rPr>
            </w:pPr>
          </w:p>
        </w:tc>
      </w:tr>
      <w:tr w14:paraId="6C14028C">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B5F6D44">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42460A4">
            <w:pPr>
              <w:spacing w:line="360" w:lineRule="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①对本项目的理解、②重点难点的分析、③应对措施，阐述分析完整针对性强的每项得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分，分析阐述有欠缺的每项得1分，与项目不符或无方案不得分。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2BEF41">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2372C37">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438" w:type="dxa"/>
            <w:vMerge w:val="restart"/>
            <w:tcBorders>
              <w:top w:val="single" w:color="000000" w:sz="4" w:space="0"/>
              <w:left w:val="single" w:color="000000" w:sz="4" w:space="0"/>
              <w:right w:val="single" w:color="000000" w:sz="4" w:space="0"/>
            </w:tcBorders>
            <w:noWrap w:val="0"/>
            <w:vAlign w:val="center"/>
          </w:tcPr>
          <w:p w14:paraId="4FF63A2A">
            <w:pPr>
              <w:spacing w:line="360" w:lineRule="auto"/>
              <w:jc w:val="center"/>
              <w:outlineLvl w:val="0"/>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技术方案</w:t>
            </w:r>
          </w:p>
        </w:tc>
      </w:tr>
      <w:tr w14:paraId="5373811D">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1BD53C3">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36B3CF6F">
            <w:pPr>
              <w:spacing w:line="360" w:lineRule="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①施工方案、②施工工艺，完全吻合工程建设任务及要求的每项得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分，部分方案有欠缺的每项得1分，与项目不符或未提及项不得分。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8907AC">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897FABD">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73561DB9">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488FD23A">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A380069">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4B282">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①工程施工进度安排、②控制和管理，完全吻合工程建设任务及要求的每项得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分，部分安排欠缺的每项得1分，与项目不符或未提及项不得分。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F053F0">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75446D8">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7CB433A6">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0F34DAFD">
        <w:tblPrEx>
          <w:tblCellMar>
            <w:top w:w="0" w:type="dxa"/>
            <w:left w:w="108" w:type="dxa"/>
            <w:bottom w:w="0" w:type="dxa"/>
            <w:right w:w="108" w:type="dxa"/>
          </w:tblCellMar>
        </w:tblPrEx>
        <w:trPr>
          <w:trHeight w:val="34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025BC109">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20424">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①施工质量目标、②质量保证措施、③质量监管措施等目标明确、措施保障性强</w:t>
            </w:r>
            <w:r>
              <w:rPr>
                <w:rFonts w:hint="eastAsia" w:ascii="宋体" w:hAnsi="宋体" w:cs="宋体"/>
                <w:color w:val="auto"/>
                <w:sz w:val="24"/>
                <w:highlight w:val="none"/>
              </w:rPr>
              <w:t>的每项得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稍有</w:t>
            </w:r>
            <w:r>
              <w:rPr>
                <w:rFonts w:hint="eastAsia" w:ascii="宋体" w:hAnsi="宋体" w:cs="宋体"/>
                <w:color w:val="auto"/>
                <w:sz w:val="24"/>
                <w:highlight w:val="none"/>
              </w:rPr>
              <w:t>欠缺的每项得1分，与项目不符或未提及项不得分。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01836B">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E9A10D5">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6F696E2A">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243864E8">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F9C552A">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2C59B">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工程施工安全文明管理，方案吻合工程建设任务及要求得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分，方案或阐述有欠缺的得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D4E705">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F0F09AF">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59BFCDFD">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7087E1E2">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D8909C3">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F9015">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关键技术方案，方案可行得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分，方案可行性有欠缺的得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78F166">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80EE94">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7DF08789">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232F86CB">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8AEAC44">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2481C">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材料设备进场计划，计划周密安排合理满足建设任务要求得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2AD534">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EE82CFA">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7514D2BA">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056FD565">
        <w:tblPrEx>
          <w:tblCellMar>
            <w:top w:w="0" w:type="dxa"/>
            <w:left w:w="108" w:type="dxa"/>
            <w:bottom w:w="0" w:type="dxa"/>
            <w:right w:w="108" w:type="dxa"/>
          </w:tblCellMar>
        </w:tblPrEx>
        <w:trPr>
          <w:trHeight w:val="652"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5181B7C">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21F66">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主要机械设备及检验仪器配备，满足工程建设任务及要求得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分，配备有欠缺的得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694840">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7075CBF">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0B4DEF7A">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3C5B1ED2">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93CE5E5">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935E9">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外部协调管理，方案合理可行得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分，方案合理性可行性有欠缺的得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660CF09">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60B95D4">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61E151B0">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134D82E9">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A62741A">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13CB9">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验收、结算、移交的合理组织和配合 ，方案合理可行得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分，方案合理性可行性有欠缺的得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EB2D8B">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564DB0">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59D12572">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46FCDC3E">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39A8D08">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E09DE">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服务承诺：①售后服务方案、②响应时间及措施、③售后服务能力，方案实用可行每项得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分，方案可行性有欠缺的每项得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9B683D">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344D92">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303C866C">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68D168CD">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E96BC72">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B0EF9">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应急预案：①项目风险预测与防范，事故应急方案；②项目突遇意外情况的项目人员力量调动方案，方案合理可行每项得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分，合理性可行性有欠缺的每项得1分，与项目不符或无方案不得分。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70DA75">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449BECC">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bottom w:val="single" w:color="000000" w:sz="4" w:space="0"/>
              <w:right w:val="single" w:color="000000" w:sz="4" w:space="0"/>
            </w:tcBorders>
            <w:noWrap w:val="0"/>
            <w:vAlign w:val="center"/>
          </w:tcPr>
          <w:p w14:paraId="7A511D0A">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3CA121DF">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1EAEBC8">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97EEA37">
            <w:pPr>
              <w:spacing w:line="360" w:lineRule="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报价的最低价作为评标基准价，其最低报价为满分；按［</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］的计算公式计算。评标过程中，不得去掉报价中的最高报价和最低报价。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0DE270">
            <w:pPr>
              <w:spacing w:line="360" w:lineRule="auto"/>
              <w:jc w:val="center"/>
              <w:outlineLvl w:val="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0</w:t>
            </w:r>
          </w:p>
        </w:tc>
        <w:tc>
          <w:tcPr>
            <w:tcW w:w="1035" w:type="dxa"/>
            <w:tcBorders>
              <w:top w:val="single" w:color="000000" w:sz="4" w:space="0"/>
              <w:left w:val="single" w:color="000000" w:sz="4" w:space="0"/>
              <w:bottom w:val="single" w:color="auto" w:sz="4" w:space="0"/>
              <w:right w:val="single" w:color="000000" w:sz="4" w:space="0"/>
            </w:tcBorders>
            <w:noWrap w:val="0"/>
            <w:vAlign w:val="center"/>
          </w:tcPr>
          <w:p w14:paraId="62DC18CA">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1438" w:type="dxa"/>
            <w:tcBorders>
              <w:top w:val="single" w:color="000000" w:sz="4" w:space="0"/>
              <w:left w:val="single" w:color="000000" w:sz="4" w:space="0"/>
              <w:bottom w:val="single" w:color="auto" w:sz="4" w:space="0"/>
              <w:right w:val="single" w:color="000000" w:sz="4" w:space="0"/>
            </w:tcBorders>
            <w:noWrap w:val="0"/>
            <w:vAlign w:val="center"/>
          </w:tcPr>
          <w:p w14:paraId="5AD9EB6B">
            <w:pPr>
              <w:spacing w:line="360" w:lineRule="auto"/>
              <w:jc w:val="center"/>
              <w:outlineLvl w:val="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bl>
    <w:p w14:paraId="7E09B875">
      <w:pPr>
        <w:snapToGrid w:val="0"/>
        <w:spacing w:line="360" w:lineRule="auto"/>
        <w:rPr>
          <w:rFonts w:hint="eastAsia" w:ascii="宋体" w:hAnsi="宋体" w:cs="宋体"/>
          <w:sz w:val="20"/>
          <w:szCs w:val="20"/>
          <w:shd w:val="clear" w:color="auto" w:fill="FFFFFF"/>
        </w:rPr>
      </w:pPr>
    </w:p>
    <w:p w14:paraId="649929C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04E72F14">
      <w:pPr>
        <w:jc w:val="left"/>
        <w:rPr>
          <w:rFonts w:ascii="宋体" w:hAnsi="宋体" w:cs="宋体"/>
          <w:b/>
          <w:sz w:val="32"/>
        </w:rPr>
      </w:pPr>
      <w:r>
        <w:rPr>
          <w:rFonts w:hint="eastAsia" w:ascii="宋体" w:hAnsi="宋体" w:cs="宋体"/>
          <w:b/>
          <w:sz w:val="32"/>
        </w:rPr>
        <w:br w:type="page"/>
      </w:r>
    </w:p>
    <w:p w14:paraId="59A6739C">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27B403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sz w:val="32"/>
        </w:rPr>
      </w:pPr>
      <w:r>
        <w:rPr>
          <w:rFonts w:hint="eastAsia" w:ascii="宋体" w:hAnsi="宋体" w:cs="宋体"/>
          <w:b/>
          <w:sz w:val="32"/>
        </w:rPr>
        <w:t>二、评审标准</w:t>
      </w:r>
    </w:p>
    <w:p w14:paraId="3C7B616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D8D13A9">
      <w:pPr>
        <w:snapToGrid w:val="0"/>
        <w:spacing w:line="360" w:lineRule="auto"/>
        <w:jc w:val="center"/>
        <w:rPr>
          <w:rFonts w:ascii="宋体" w:hAnsi="宋体" w:cs="宋体"/>
          <w:b/>
          <w:sz w:val="32"/>
        </w:rPr>
      </w:pPr>
      <w:r>
        <w:rPr>
          <w:rFonts w:hint="eastAsia" w:ascii="宋体" w:hAnsi="宋体" w:cs="宋体"/>
          <w:b/>
          <w:sz w:val="32"/>
        </w:rPr>
        <w:t>三、评审程序</w:t>
      </w:r>
    </w:p>
    <w:p w14:paraId="2A4534B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68FEE4F">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3BC66E9">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3FCEFEA9">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6AA48B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248A4C5">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86E29FB">
      <w:pPr>
        <w:pStyle w:val="132"/>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05F728DB">
      <w:pPr>
        <w:pStyle w:val="132"/>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508757C4">
      <w:pPr>
        <w:pStyle w:val="132"/>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04C5B64">
      <w:pPr>
        <w:pStyle w:val="132"/>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4215E9C">
      <w:pPr>
        <w:pStyle w:val="132"/>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39BD8456">
      <w:pPr>
        <w:pStyle w:val="132"/>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979036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0829ED08">
      <w:pPr>
        <w:pStyle w:val="132"/>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p>
    <w:p w14:paraId="19D4E22F">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sz w:val="32"/>
        </w:rPr>
      </w:pPr>
      <w:r>
        <w:rPr>
          <w:rFonts w:hint="eastAsia" w:ascii="宋体" w:hAnsi="宋体" w:cs="宋体"/>
          <w:b/>
          <w:sz w:val="32"/>
        </w:rPr>
        <w:t>四、评审中的其他事项</w:t>
      </w:r>
    </w:p>
    <w:p w14:paraId="70B31F9F">
      <w:pPr>
        <w:pStyle w:val="132"/>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4"/>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CA92A2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0AF713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4A95F87A">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AD0E0FF">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B072C8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736041D">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14:paraId="21A58F2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14:paraId="08DA81A6">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 xml:space="preserve"> 响应文件不满足采购文件的其它实质性要求的；</w:t>
      </w:r>
    </w:p>
    <w:p w14:paraId="076A9A0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法律、法规、规章（适用本市的）及省级以上规范性文件（适用本市的）规定的其他无效情形。</w:t>
      </w:r>
    </w:p>
    <w:p w14:paraId="330ED4E3">
      <w:pPr>
        <w:pStyle w:val="24"/>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D98EE14">
      <w:pPr>
        <w:pStyle w:val="24"/>
        <w:snapToGrid w:val="0"/>
        <w:spacing w:line="360" w:lineRule="auto"/>
        <w:rPr>
          <w:rFonts w:cs="宋体"/>
        </w:rPr>
      </w:pPr>
      <w:r>
        <w:rPr>
          <w:rFonts w:hint="eastAsia" w:cs="宋体"/>
        </w:rPr>
        <w:t>5.1因情况变化，不再符合规定的竞争性磋商采购方式适用情形的；</w:t>
      </w:r>
    </w:p>
    <w:p w14:paraId="448EE4DC">
      <w:pPr>
        <w:pStyle w:val="24"/>
        <w:snapToGrid w:val="0"/>
        <w:spacing w:line="360" w:lineRule="auto"/>
        <w:rPr>
          <w:rFonts w:cs="宋体"/>
        </w:rPr>
      </w:pPr>
      <w:r>
        <w:rPr>
          <w:rFonts w:hint="eastAsia" w:cs="宋体"/>
        </w:rPr>
        <w:t>5.2出现影响采购公正的违法、违规行为的；</w:t>
      </w:r>
    </w:p>
    <w:p w14:paraId="00CFEE9F">
      <w:pPr>
        <w:pStyle w:val="24"/>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2A137A8">
      <w:pPr>
        <w:pStyle w:val="24"/>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4"/>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EBA2990">
      <w:pPr>
        <w:pStyle w:val="24"/>
        <w:snapToGrid w:val="0"/>
        <w:spacing w:line="360" w:lineRule="auto"/>
        <w:rPr>
          <w:rFonts w:cs="宋体"/>
        </w:rPr>
      </w:pPr>
      <w:r>
        <w:rPr>
          <w:rFonts w:hint="eastAsia" w:cs="宋体"/>
        </w:rPr>
        <w:t>6.1未确定成交供应商的，终止本次政府采购活动，重新开展政府采购活动。</w:t>
      </w:r>
    </w:p>
    <w:p w14:paraId="6C1C0175">
      <w:pPr>
        <w:pStyle w:val="24"/>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D0885A6">
      <w:pPr>
        <w:pStyle w:val="24"/>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2131059C">
      <w:pPr>
        <w:pStyle w:val="24"/>
        <w:snapToGrid w:val="0"/>
        <w:spacing w:line="360" w:lineRule="auto"/>
        <w:rPr>
          <w:rFonts w:cs="宋体"/>
        </w:rPr>
      </w:pPr>
      <w:r>
        <w:rPr>
          <w:rFonts w:hint="eastAsia" w:cs="宋体"/>
        </w:rPr>
        <w:t>6.4政府采购合同已经履行，给采购人、供应商造成损失的，由责任人承担赔偿责任。</w:t>
      </w:r>
    </w:p>
    <w:p w14:paraId="3DFF87E3">
      <w:pPr>
        <w:pStyle w:val="24"/>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4"/>
        <w:snapToGrid w:val="0"/>
        <w:spacing w:line="360" w:lineRule="auto"/>
        <w:ind w:firstLine="0" w:firstLineChars="0"/>
        <w:rPr>
          <w:rFonts w:cs="宋体"/>
        </w:rPr>
        <w:sectPr>
          <w:pgSz w:w="11907" w:h="16840"/>
          <w:pgMar w:top="1440" w:right="1080" w:bottom="1440" w:left="1080" w:header="851" w:footer="851" w:gutter="0"/>
          <w:cols w:space="720" w:num="1"/>
        </w:sectPr>
      </w:pPr>
    </w:p>
    <w:bookmarkEnd w:id="43"/>
    <w:p w14:paraId="4DB75B67">
      <w:pPr>
        <w:numPr>
          <w:ilvl w:val="0"/>
          <w:numId w:val="2"/>
        </w:numPr>
        <w:spacing w:line="360" w:lineRule="auto"/>
        <w:jc w:val="center"/>
        <w:outlineLvl w:val="0"/>
        <w:rPr>
          <w:rFonts w:hint="eastAsia" w:ascii="宋体" w:hAnsi="宋体" w:cs="宋体"/>
          <w:b/>
          <w:sz w:val="36"/>
          <w:szCs w:val="36"/>
        </w:rPr>
      </w:pPr>
      <w:bookmarkStart w:id="411" w:name="第五部分"/>
      <w:bookmarkStart w:id="412" w:name="_Toc86217003"/>
      <w:r>
        <w:rPr>
          <w:rFonts w:hint="eastAsia" w:ascii="宋体" w:hAnsi="宋体" w:cs="宋体"/>
          <w:b/>
          <w:sz w:val="36"/>
          <w:szCs w:val="36"/>
        </w:rPr>
        <w:t>拟签订的合同文本</w:t>
      </w:r>
    </w:p>
    <w:p w14:paraId="67961AB6">
      <w:pPr>
        <w:numPr>
          <w:ilvl w:val="0"/>
          <w:numId w:val="0"/>
        </w:numPr>
        <w:spacing w:line="360" w:lineRule="auto"/>
        <w:jc w:val="both"/>
        <w:outlineLvl w:val="0"/>
        <w:rPr>
          <w:rFonts w:hint="eastAsia" w:ascii="宋体" w:hAnsi="宋体" w:cs="宋体"/>
          <w:b/>
          <w:sz w:val="36"/>
          <w:szCs w:val="36"/>
        </w:rPr>
      </w:pPr>
    </w:p>
    <w:p w14:paraId="71D49000">
      <w:pPr>
        <w:spacing w:line="60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水利水电工程施工合同</w:t>
      </w:r>
    </w:p>
    <w:p w14:paraId="31F4AF3F">
      <w:pPr>
        <w:pStyle w:val="43"/>
        <w:rPr>
          <w:rFonts w:hint="eastAsia" w:ascii="宋体" w:hAnsi="宋体" w:eastAsia="宋体" w:cs="宋体"/>
          <w:b/>
          <w:bCs/>
          <w:color w:val="auto"/>
          <w:sz w:val="72"/>
          <w:szCs w:val="72"/>
          <w:highlight w:val="none"/>
        </w:rPr>
      </w:pPr>
    </w:p>
    <w:p w14:paraId="2F812796">
      <w:pPr>
        <w:rPr>
          <w:rFonts w:hint="eastAsia" w:ascii="宋体" w:hAnsi="宋体" w:eastAsia="宋体" w:cs="宋体"/>
          <w:b/>
          <w:bCs/>
          <w:color w:val="auto"/>
          <w:sz w:val="72"/>
          <w:szCs w:val="72"/>
          <w:highlight w:val="none"/>
        </w:rPr>
      </w:pPr>
    </w:p>
    <w:p w14:paraId="092FB0A4">
      <w:pPr>
        <w:pStyle w:val="43"/>
        <w:rPr>
          <w:rFonts w:hint="eastAsia" w:ascii="宋体" w:hAnsi="宋体" w:eastAsia="宋体" w:cs="宋体"/>
          <w:color w:val="auto"/>
          <w:highlight w:val="none"/>
        </w:rPr>
      </w:pPr>
    </w:p>
    <w:p w14:paraId="34B68660">
      <w:pPr>
        <w:spacing w:line="720" w:lineRule="auto"/>
        <w:rPr>
          <w:rFonts w:hint="eastAsia" w:ascii="宋体" w:hAnsi="宋体" w:eastAsia="宋体" w:cs="宋体"/>
          <w:color w:val="auto"/>
          <w:sz w:val="28"/>
          <w:szCs w:val="28"/>
          <w:highlight w:val="none"/>
        </w:rPr>
      </w:pPr>
    </w:p>
    <w:p w14:paraId="74565809">
      <w:pPr>
        <w:spacing w:line="720" w:lineRule="auto"/>
        <w:rPr>
          <w:rFonts w:hint="eastAsia" w:ascii="宋体" w:hAnsi="宋体" w:eastAsia="宋体" w:cs="宋体"/>
          <w:color w:val="auto"/>
          <w:sz w:val="28"/>
          <w:szCs w:val="28"/>
          <w:highlight w:val="none"/>
        </w:rPr>
      </w:pPr>
    </w:p>
    <w:p w14:paraId="3461A064">
      <w:pPr>
        <w:spacing w:line="720" w:lineRule="auto"/>
        <w:rPr>
          <w:rFonts w:hint="eastAsia" w:ascii="宋体" w:hAnsi="宋体" w:eastAsia="宋体" w:cs="宋体"/>
          <w:color w:val="auto"/>
          <w:sz w:val="28"/>
          <w:szCs w:val="28"/>
          <w:highlight w:val="none"/>
        </w:rPr>
      </w:pPr>
    </w:p>
    <w:p w14:paraId="6459B73E">
      <w:pPr>
        <w:jc w:val="center"/>
        <w:rPr>
          <w:rFonts w:hint="eastAsia" w:ascii="宋体" w:hAnsi="宋体" w:eastAsia="宋体" w:cs="宋体"/>
          <w:color w:val="auto"/>
          <w:sz w:val="28"/>
          <w:szCs w:val="28"/>
          <w:highlight w:val="none"/>
        </w:rPr>
      </w:pPr>
    </w:p>
    <w:p w14:paraId="6C393D4F">
      <w:pPr>
        <w:spacing w:line="72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水      利      部</w:t>
      </w:r>
    </w:p>
    <w:p w14:paraId="73A713A5">
      <w:pPr>
        <w:spacing w:line="72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国家工商行政管理局</w:t>
      </w:r>
    </w:p>
    <w:p w14:paraId="71727940">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合同协议书</w:t>
      </w:r>
    </w:p>
    <w:p w14:paraId="7A310297">
      <w:pPr>
        <w:spacing w:line="460" w:lineRule="exact"/>
        <w:jc w:val="left"/>
        <w:rPr>
          <w:rFonts w:hint="eastAsia" w:ascii="宋体" w:hAnsi="宋体" w:eastAsia="宋体" w:cs="宋体"/>
          <w:color w:val="auto"/>
          <w:sz w:val="24"/>
          <w:highlight w:val="none"/>
        </w:rPr>
      </w:pPr>
      <w:r>
        <w:rPr>
          <w:rFonts w:hint="eastAsia" w:ascii="宋体" w:hAnsi="宋体" w:eastAsia="宋体" w:cs="宋体"/>
          <w:color w:val="auto"/>
          <w:sz w:val="23"/>
          <w:highlight w:val="none"/>
        </w:rPr>
        <w:t xml:space="preserve">   </w:t>
      </w:r>
      <w:r>
        <w:rPr>
          <w:rFonts w:hint="eastAsia" w:ascii="宋体" w:hAnsi="宋体" w:eastAsia="宋体" w:cs="宋体"/>
          <w:color w:val="auto"/>
          <w:sz w:val="24"/>
          <w:highlight w:val="none"/>
        </w:rPr>
        <w:t xml:space="preserve"> </w:t>
      </w:r>
    </w:p>
    <w:p w14:paraId="0BC96EE3">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杭州市临安区水利水电局</w:t>
      </w:r>
      <w:r>
        <w:rPr>
          <w:rFonts w:hint="eastAsia" w:ascii="宋体" w:hAnsi="宋体" w:eastAsia="宋体" w:cs="宋体"/>
          <w:color w:val="auto"/>
          <w:sz w:val="24"/>
          <w:szCs w:val="24"/>
          <w:highlight w:val="none"/>
        </w:rPr>
        <w:t xml:space="preserve">（以下简称“发包人”）为实施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2025年至2026年临安区小型水库山塘维修养护服务——玲珑片土建维修服务采购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，已接受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（以下简称“承包人”） 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2025年至2026年临安区小型水库山塘维修养护服务——玲珑片土建维修服务采购</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应标</w:t>
      </w:r>
      <w:r>
        <w:rPr>
          <w:rFonts w:hint="eastAsia" w:ascii="宋体" w:hAnsi="宋体" w:eastAsia="宋体" w:cs="宋体"/>
          <w:color w:val="auto"/>
          <w:sz w:val="24"/>
          <w:szCs w:val="24"/>
          <w:highlight w:val="none"/>
        </w:rPr>
        <w:t>，并确定其为中标人。发包人和承包人共同达成如下协议。</w:t>
      </w:r>
    </w:p>
    <w:p w14:paraId="4454AC58">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本协议书与下列文件一起构成合同文件：</w:t>
      </w:r>
    </w:p>
    <w:p w14:paraId="66BC8063">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（1）中标通知书；</w:t>
      </w:r>
    </w:p>
    <w:p w14:paraId="487AF0A2">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eastAsia="zh-CN"/>
        </w:rPr>
        <w:t>应标</w:t>
      </w:r>
      <w:r>
        <w:rPr>
          <w:rFonts w:hint="eastAsia" w:ascii="宋体" w:hAnsi="宋体" w:eastAsia="宋体" w:cs="宋体"/>
          <w:color w:val="auto"/>
          <w:sz w:val="24"/>
          <w:szCs w:val="24"/>
          <w:highlight w:val="none"/>
        </w:rPr>
        <w:t>函；</w:t>
      </w:r>
    </w:p>
    <w:p w14:paraId="6E7B151F">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（3）专用合同条款；</w:t>
      </w:r>
    </w:p>
    <w:p w14:paraId="4E909D71">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（4）通用合同条款；</w:t>
      </w:r>
    </w:p>
    <w:p w14:paraId="2A601723">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（5）技术标准和要求（合同技术条款）；</w:t>
      </w:r>
    </w:p>
    <w:p w14:paraId="67332882">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（6）图纸；</w:t>
      </w:r>
    </w:p>
    <w:p w14:paraId="624BD337">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（7）已标价工程预算书；</w:t>
      </w:r>
    </w:p>
    <w:p w14:paraId="4A633033">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（8）其他合同文件。</w:t>
      </w:r>
    </w:p>
    <w:p w14:paraId="64090CCD">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2.上述文件互相补充和解释</w:t>
      </w:r>
      <w:r>
        <w:rPr>
          <w:rFonts w:hint="eastAsia" w:ascii="宋体" w:hAnsi="宋体" w:eastAsia="宋体" w:cs="宋体"/>
          <w:color w:val="auto"/>
          <w:spacing w:val="-14"/>
          <w:sz w:val="24"/>
          <w:szCs w:val="24"/>
          <w:highlight w:val="none"/>
        </w:rPr>
        <w:t>，</w:t>
      </w:r>
      <w:r>
        <w:rPr>
          <w:rFonts w:hint="eastAsia" w:ascii="宋体" w:hAnsi="宋体" w:eastAsia="宋体" w:cs="宋体"/>
          <w:color w:val="auto"/>
          <w:sz w:val="24"/>
          <w:szCs w:val="24"/>
          <w:highlight w:val="none"/>
        </w:rPr>
        <w:t>如有不明确或不一致之处</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以合同约定次序在先者为准。</w:t>
      </w:r>
    </w:p>
    <w:p w14:paraId="4B2FF20B">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3.签约合同价：人民币（大写）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w:t>
      </w:r>
    </w:p>
    <w:p w14:paraId="7A9F1E71">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承包人项目负责人：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,项目技术负责人：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w:t>
      </w:r>
    </w:p>
    <w:p w14:paraId="141C5A51">
      <w:pPr>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工程质量符合</w:t>
      </w:r>
      <w:r>
        <w:rPr>
          <w:rFonts w:hint="eastAsia" w:ascii="宋体" w:hAnsi="宋体" w:eastAsia="宋体" w:cs="宋体"/>
          <w:color w:val="auto"/>
          <w:sz w:val="24"/>
          <w:szCs w:val="24"/>
          <w:highlight w:val="none"/>
          <w:u w:val="single"/>
        </w:rPr>
        <w:t xml:space="preserve">  合格  </w:t>
      </w:r>
      <w:r>
        <w:rPr>
          <w:rFonts w:hint="eastAsia" w:ascii="宋体" w:hAnsi="宋体" w:eastAsia="宋体" w:cs="宋体"/>
          <w:color w:val="auto"/>
          <w:sz w:val="24"/>
          <w:szCs w:val="24"/>
          <w:highlight w:val="none"/>
        </w:rPr>
        <w:t>标准。</w:t>
      </w:r>
    </w:p>
    <w:p w14:paraId="1FFCB499">
      <w:pPr>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6.合同价格形式：</w:t>
      </w:r>
      <w:r>
        <w:rPr>
          <w:rFonts w:hint="eastAsia" w:ascii="宋体" w:hAnsi="宋体" w:eastAsia="宋体" w:cs="宋体"/>
          <w:color w:val="auto"/>
          <w:sz w:val="24"/>
          <w:szCs w:val="24"/>
          <w:highlight w:val="none"/>
          <w:u w:val="single"/>
        </w:rPr>
        <w:t>单价合同</w:t>
      </w:r>
      <w:r>
        <w:rPr>
          <w:rFonts w:hint="eastAsia" w:ascii="宋体" w:hAnsi="宋体" w:eastAsia="宋体" w:cs="宋体"/>
          <w:color w:val="auto"/>
          <w:sz w:val="24"/>
          <w:szCs w:val="24"/>
          <w:highlight w:val="none"/>
        </w:rPr>
        <w:t>。</w:t>
      </w:r>
    </w:p>
    <w:p w14:paraId="377F4AA8">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 承包人承诺按合同约定承担工程的实施、完成及缺陷修复。</w:t>
      </w:r>
    </w:p>
    <w:p w14:paraId="0CCED750">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 发包人承诺按合同约定的条件、时间和方式向承包人支付合同价款。</w:t>
      </w:r>
    </w:p>
    <w:p w14:paraId="25EC88FC">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 承包人承诺执行监理人指示开工通知，计划工期为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日历天</w:t>
      </w:r>
      <w:r>
        <w:rPr>
          <w:rFonts w:hint="eastAsia" w:ascii="宋体" w:hAnsi="宋体" w:eastAsia="宋体" w:cs="宋体"/>
          <w:color w:val="auto"/>
          <w:sz w:val="24"/>
          <w:szCs w:val="24"/>
          <w:highlight w:val="none"/>
        </w:rPr>
        <w:t>。</w:t>
      </w:r>
    </w:p>
    <w:p w14:paraId="27B25290">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 本协议书正本一式</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份，合同双方各执</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w:t>
      </w:r>
    </w:p>
    <w:p w14:paraId="3B7A1944">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 合同未尽事宜，双方另行签订补充协议。补充协议是合同的组成部分。</w:t>
      </w:r>
    </w:p>
    <w:p w14:paraId="76AD7BFE">
      <w:pPr>
        <w:spacing w:line="460" w:lineRule="exact"/>
        <w:ind w:left="7200" w:hanging="7200" w:hangingChars="30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杭州市临安区水利水电局</w:t>
      </w:r>
      <w:r>
        <w:rPr>
          <w:rFonts w:hint="eastAsia" w:ascii="宋体" w:hAnsi="宋体" w:eastAsia="宋体" w:cs="宋体"/>
          <w:color w:val="auto"/>
          <w:sz w:val="24"/>
          <w:szCs w:val="24"/>
          <w:highlight w:val="none"/>
        </w:rPr>
        <w:t xml:space="preserve">     承包人： </w:t>
      </w:r>
      <w:r>
        <w:rPr>
          <w:rFonts w:hint="eastAsia" w:ascii="宋体" w:hAnsi="宋体" w:eastAsia="宋体" w:cs="宋体"/>
          <w:color w:val="auto"/>
          <w:sz w:val="24"/>
          <w:szCs w:val="24"/>
          <w:highlight w:val="none"/>
          <w:u w:val="single"/>
        </w:rPr>
        <w:t xml:space="preserve">                      </w:t>
      </w:r>
    </w:p>
    <w:p w14:paraId="32867E20">
      <w:pPr>
        <w:spacing w:line="46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法定代表人或其委托代理人：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年    月    日                               年    月    日</w:t>
      </w:r>
    </w:p>
    <w:p w14:paraId="15C66BE3">
      <w:pPr>
        <w:rPr>
          <w:rFonts w:hint="eastAsia" w:ascii="宋体" w:hAnsi="宋体" w:eastAsia="宋体" w:cs="宋体"/>
          <w:color w:val="auto"/>
          <w:highlight w:val="none"/>
        </w:rPr>
      </w:pPr>
    </w:p>
    <w:p w14:paraId="66293459">
      <w:pPr>
        <w:tabs>
          <w:tab w:val="left" w:pos="1286"/>
        </w:tabs>
        <w:spacing w:before="89"/>
        <w:ind w:left="2"/>
        <w:jc w:val="center"/>
        <w:rPr>
          <w:rFonts w:hint="eastAsia" w:ascii="宋体" w:hAnsi="宋体" w:eastAsia="宋体" w:cs="宋体"/>
          <w:b/>
          <w:color w:val="auto"/>
          <w:sz w:val="36"/>
          <w:highlight w:val="none"/>
        </w:rPr>
      </w:pPr>
    </w:p>
    <w:p w14:paraId="0913219F">
      <w:pPr>
        <w:tabs>
          <w:tab w:val="left" w:pos="1286"/>
        </w:tabs>
        <w:spacing w:before="89"/>
        <w:ind w:left="2"/>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合同条款及格式</w:t>
      </w:r>
    </w:p>
    <w:p w14:paraId="6292CA40">
      <w:pPr>
        <w:tabs>
          <w:tab w:val="left" w:pos="1123"/>
        </w:tabs>
        <w:spacing w:before="239"/>
        <w:jc w:val="center"/>
        <w:rPr>
          <w:rFonts w:hint="eastAsia" w:ascii="宋体" w:hAnsi="宋体" w:eastAsia="宋体" w:cs="宋体"/>
          <w:b/>
          <w:color w:val="auto"/>
          <w:sz w:val="32"/>
          <w:highlight w:val="none"/>
        </w:rPr>
      </w:pPr>
      <w:bookmarkStart w:id="413" w:name="_bookmark31"/>
      <w:bookmarkEnd w:id="413"/>
      <w:bookmarkStart w:id="414" w:name="第1节__通用合同条款"/>
      <w:bookmarkEnd w:id="414"/>
      <w:r>
        <w:rPr>
          <w:rFonts w:hint="eastAsia" w:ascii="宋体" w:hAnsi="宋体" w:eastAsia="宋体" w:cs="宋体"/>
          <w:b/>
          <w:color w:val="auto"/>
          <w:sz w:val="32"/>
          <w:highlight w:val="none"/>
        </w:rPr>
        <w:t>第1节</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通用合同条款</w:t>
      </w:r>
    </w:p>
    <w:p w14:paraId="05C7B551">
      <w:pPr>
        <w:spacing w:before="2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使用浙江省水利水电工程施工</w:t>
      </w:r>
      <w:r>
        <w:rPr>
          <w:rFonts w:hint="eastAsia" w:ascii="宋体" w:hAnsi="宋体" w:eastAsia="宋体" w:cs="宋体"/>
          <w:color w:val="auto"/>
          <w:sz w:val="24"/>
          <w:highlight w:val="none"/>
          <w:lang w:eastAsia="zh-CN"/>
        </w:rPr>
        <w:t>竞标文件</w:t>
      </w:r>
      <w:r>
        <w:rPr>
          <w:rFonts w:hint="eastAsia" w:ascii="宋体" w:hAnsi="宋体" w:eastAsia="宋体" w:cs="宋体"/>
          <w:color w:val="auto"/>
          <w:sz w:val="24"/>
          <w:highlight w:val="none"/>
        </w:rPr>
        <w:t xml:space="preserve"> (2014年版)</w:t>
      </w:r>
    </w:p>
    <w:p w14:paraId="4F05F881">
      <w:pPr>
        <w:pStyle w:val="23"/>
        <w:rPr>
          <w:rFonts w:hint="eastAsia" w:ascii="宋体" w:hAnsi="宋体" w:eastAsia="宋体" w:cs="宋体"/>
          <w:color w:val="auto"/>
          <w:sz w:val="24"/>
          <w:highlight w:val="none"/>
        </w:rPr>
      </w:pPr>
    </w:p>
    <w:p w14:paraId="235A536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（略）</w:t>
      </w:r>
    </w:p>
    <w:p w14:paraId="686BCE42">
      <w:pPr>
        <w:tabs>
          <w:tab w:val="left" w:pos="1123"/>
        </w:tabs>
        <w:spacing w:before="54"/>
        <w:jc w:val="center"/>
        <w:rPr>
          <w:rFonts w:hint="eastAsia" w:ascii="宋体" w:hAnsi="宋体" w:eastAsia="宋体" w:cs="宋体"/>
          <w:b/>
          <w:color w:val="auto"/>
          <w:sz w:val="32"/>
          <w:highlight w:val="none"/>
        </w:rPr>
      </w:pPr>
      <w:bookmarkStart w:id="415" w:name="_bookmark32"/>
      <w:bookmarkEnd w:id="415"/>
      <w:bookmarkStart w:id="416" w:name="第2节__专用合同条款"/>
      <w:bookmarkEnd w:id="416"/>
      <w:r>
        <w:rPr>
          <w:rFonts w:hint="eastAsia" w:ascii="宋体" w:hAnsi="宋体" w:eastAsia="宋体" w:cs="宋体"/>
          <w:b/>
          <w:color w:val="auto"/>
          <w:sz w:val="32"/>
          <w:highlight w:val="none"/>
        </w:rPr>
        <w:t>第2节</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专用合同条款</w:t>
      </w:r>
    </w:p>
    <w:p w14:paraId="7F111865">
      <w:pPr>
        <w:tabs>
          <w:tab w:val="left" w:pos="1123"/>
        </w:tabs>
        <w:spacing w:before="54"/>
        <w:jc w:val="center"/>
        <w:rPr>
          <w:rFonts w:hint="eastAsia" w:ascii="宋体" w:hAnsi="宋体" w:eastAsia="宋体" w:cs="宋体"/>
          <w:b/>
          <w:color w:val="auto"/>
          <w:sz w:val="32"/>
          <w:highlight w:val="none"/>
        </w:rPr>
      </w:pPr>
    </w:p>
    <w:p w14:paraId="3003B515">
      <w:pPr>
        <w:pStyle w:val="32"/>
        <w:spacing w:line="480" w:lineRule="exact"/>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一般约定</w:t>
      </w:r>
    </w:p>
    <w:p w14:paraId="1DFCE7D4">
      <w:pPr>
        <w:pStyle w:val="32"/>
        <w:spacing w:line="480" w:lineRule="exact"/>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1.1词语定义</w:t>
      </w:r>
    </w:p>
    <w:p w14:paraId="05D4E165">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1.1.2 </w:t>
      </w:r>
      <w:r>
        <w:rPr>
          <w:rFonts w:hint="eastAsia" w:ascii="宋体" w:hAnsi="宋体" w:eastAsia="宋体" w:cs="宋体"/>
          <w:color w:val="auto"/>
          <w:sz w:val="24"/>
          <w:szCs w:val="24"/>
          <w:highlight w:val="none"/>
        </w:rPr>
        <w:t>合同当事人和人员</w:t>
      </w:r>
    </w:p>
    <w:p w14:paraId="06B839ED">
      <w:pPr>
        <w:pStyle w:val="32"/>
        <w:spacing w:line="48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1.1.2.2发包人：</w:t>
      </w:r>
      <w:r>
        <w:rPr>
          <w:rFonts w:hint="eastAsia" w:hAnsi="宋体" w:cs="宋体"/>
          <w:color w:val="auto"/>
          <w:sz w:val="24"/>
          <w:szCs w:val="24"/>
          <w:highlight w:val="none"/>
          <w:u w:val="single"/>
          <w:lang w:eastAsia="zh-CN"/>
        </w:rPr>
        <w:t>杭州市临安区水利水电局</w:t>
      </w:r>
      <w:r>
        <w:rPr>
          <w:rFonts w:hint="eastAsia" w:ascii="宋体" w:hAnsi="宋体" w:eastAsia="宋体" w:cs="宋体"/>
          <w:color w:val="auto"/>
          <w:sz w:val="24"/>
          <w:szCs w:val="24"/>
          <w:highlight w:val="none"/>
        </w:rPr>
        <w:t>。</w:t>
      </w:r>
    </w:p>
    <w:p w14:paraId="40952674">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签约后填入）。</w:t>
      </w:r>
    </w:p>
    <w:p w14:paraId="50AA00AF">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1.1.2.5分包人：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签约后填入）。</w:t>
      </w:r>
    </w:p>
    <w:p w14:paraId="1FE98672">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1.1.2.6监理人：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签约后填入）。</w:t>
      </w:r>
    </w:p>
    <w:p w14:paraId="7761A19F">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1.1.3</w:t>
      </w:r>
      <w:r>
        <w:rPr>
          <w:rFonts w:hint="eastAsia" w:ascii="宋体" w:hAnsi="宋体" w:eastAsia="宋体" w:cs="宋体"/>
          <w:color w:val="auto"/>
          <w:sz w:val="24"/>
          <w:szCs w:val="24"/>
          <w:highlight w:val="none"/>
        </w:rPr>
        <w:t>工程和设备</w:t>
      </w:r>
    </w:p>
    <w:p w14:paraId="3DBF31DE">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1.1.3.4单位工程：指经工程质量监督机构确认的工程项目划分表中确定的具有独立发挥作用或独立施工条件的永久建筑物。</w:t>
      </w:r>
    </w:p>
    <w:p w14:paraId="1CC9DB96">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1.1.4</w:t>
      </w:r>
      <w:r>
        <w:rPr>
          <w:rFonts w:hint="eastAsia" w:ascii="宋体" w:hAnsi="宋体" w:eastAsia="宋体" w:cs="宋体"/>
          <w:color w:val="auto"/>
          <w:sz w:val="24"/>
          <w:szCs w:val="24"/>
          <w:highlight w:val="none"/>
        </w:rPr>
        <w:t>日期</w:t>
      </w:r>
    </w:p>
    <w:p w14:paraId="1D97C801">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1.1.4.5缺陷责任期（工程质量保修期）为：</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年。</w:t>
      </w:r>
    </w:p>
    <w:p w14:paraId="1448528C">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1.1.5</w:t>
      </w:r>
      <w:r>
        <w:rPr>
          <w:rFonts w:hint="eastAsia" w:ascii="宋体" w:hAnsi="宋体" w:eastAsia="宋体" w:cs="宋体"/>
          <w:color w:val="auto"/>
          <w:sz w:val="24"/>
          <w:szCs w:val="24"/>
          <w:highlight w:val="none"/>
        </w:rPr>
        <w:t>合同价格和费用</w:t>
      </w:r>
    </w:p>
    <w:p w14:paraId="5602D89A">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1.1.5.1签约合同价：指签订合同时合同协议书中写明的，包括了暂列金额 、暂估计的合同总金额。</w:t>
      </w:r>
    </w:p>
    <w:p w14:paraId="64D8747D">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1.1.5.2合同价格：指承包人按合同约定完成了包括缺陷责任期内的全部承包工作后，发包人应付给承包人的金额，包括在履行合同过程中按合同约定进行的变更和调整。</w:t>
      </w:r>
    </w:p>
    <w:p w14:paraId="07F94B84">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合同价格形式：本项目采用</w:t>
      </w:r>
      <w:r>
        <w:rPr>
          <w:rFonts w:hint="eastAsia" w:ascii="宋体" w:hAnsi="宋体" w:eastAsia="宋体" w:cs="宋体"/>
          <w:b/>
          <w:color w:val="auto"/>
          <w:sz w:val="24"/>
          <w:szCs w:val="24"/>
          <w:highlight w:val="none"/>
          <w:u w:val="single"/>
        </w:rPr>
        <w:t xml:space="preserve">     单价   </w:t>
      </w:r>
      <w:r>
        <w:rPr>
          <w:rFonts w:hint="eastAsia" w:ascii="宋体" w:hAnsi="宋体" w:eastAsia="宋体" w:cs="宋体"/>
          <w:color w:val="auto"/>
          <w:sz w:val="24"/>
          <w:szCs w:val="24"/>
          <w:highlight w:val="none"/>
        </w:rPr>
        <w:t xml:space="preserve"> 合同</w:t>
      </w:r>
    </w:p>
    <w:p w14:paraId="453AAE1C">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综合单价包含的风险范围：</w:t>
      </w:r>
      <w:r>
        <w:rPr>
          <w:rFonts w:hint="eastAsia" w:ascii="宋体" w:hAnsi="宋体" w:eastAsia="宋体" w:cs="宋体"/>
          <w:color w:val="auto"/>
          <w:sz w:val="24"/>
          <w:highlight w:val="none"/>
          <w:u w:val="single"/>
        </w:rPr>
        <w:t>①</w:t>
      </w:r>
      <w:r>
        <w:rPr>
          <w:rFonts w:hint="eastAsia" w:ascii="宋体" w:hAnsi="宋体" w:eastAsia="宋体" w:cs="宋体"/>
          <w:color w:val="auto"/>
          <w:sz w:val="24"/>
          <w:highlight w:val="none"/>
          <w:u w:val="single"/>
          <w:lang w:eastAsia="zh-CN"/>
        </w:rPr>
        <w:t>应标</w:t>
      </w:r>
      <w:r>
        <w:rPr>
          <w:rFonts w:hint="eastAsia" w:ascii="宋体" w:hAnsi="宋体" w:eastAsia="宋体" w:cs="宋体"/>
          <w:color w:val="auto"/>
          <w:sz w:val="24"/>
          <w:highlight w:val="none"/>
          <w:u w:val="single"/>
        </w:rPr>
        <w:t>时漏项、少计的工程内容（不包括</w:t>
      </w:r>
      <w:r>
        <w:rPr>
          <w:rFonts w:hint="eastAsia" w:ascii="宋体" w:hAnsi="宋体" w:eastAsia="宋体" w:cs="宋体"/>
          <w:color w:val="auto"/>
          <w:sz w:val="24"/>
          <w:highlight w:val="none"/>
          <w:u w:val="single"/>
          <w:lang w:eastAsia="zh-CN"/>
        </w:rPr>
        <w:t>发包人</w:t>
      </w:r>
      <w:r>
        <w:rPr>
          <w:rFonts w:hint="eastAsia" w:ascii="宋体" w:hAnsi="宋体" w:eastAsia="宋体" w:cs="宋体"/>
          <w:color w:val="auto"/>
          <w:sz w:val="24"/>
          <w:highlight w:val="none"/>
          <w:u w:val="single"/>
        </w:rPr>
        <w:t>提供的工程量清单本身的漏项、少计内容）；②合同执行期内材料价格、人工工资上涨的风险因素，施工临时停电、停水造成的连续24小时以内的停工；③合同执行期内，因承包人原因造成停工、窝工；④合同执行期内可能发生且按规定应由承包人承担的其他费用，包括市政、市容、卫生、环保、治安等费用；⑤组织措施项目费实行</w:t>
      </w:r>
      <w:r>
        <w:rPr>
          <w:rFonts w:hint="eastAsia" w:ascii="宋体" w:hAnsi="宋体" w:eastAsia="宋体" w:cs="宋体"/>
          <w:color w:val="auto"/>
          <w:sz w:val="24"/>
          <w:highlight w:val="none"/>
          <w:u w:val="single"/>
          <w:lang w:eastAsia="zh-CN"/>
        </w:rPr>
        <w:t>应标</w:t>
      </w:r>
      <w:r>
        <w:rPr>
          <w:rFonts w:hint="eastAsia" w:ascii="宋体" w:hAnsi="宋体" w:eastAsia="宋体" w:cs="宋体"/>
          <w:color w:val="auto"/>
          <w:sz w:val="24"/>
          <w:highlight w:val="none"/>
          <w:u w:val="single"/>
        </w:rPr>
        <w:t>价包干，不因工程变更而调整；⑥工程实施过程中属于</w:t>
      </w:r>
      <w:r>
        <w:rPr>
          <w:rFonts w:hint="eastAsia" w:ascii="宋体" w:hAnsi="宋体" w:eastAsia="宋体" w:cs="宋体"/>
          <w:color w:val="auto"/>
          <w:sz w:val="24"/>
          <w:highlight w:val="none"/>
          <w:u w:val="single"/>
          <w:lang w:eastAsia="zh-CN"/>
        </w:rPr>
        <w:t>竞标文件</w:t>
      </w:r>
      <w:r>
        <w:rPr>
          <w:rFonts w:hint="eastAsia" w:ascii="宋体" w:hAnsi="宋体" w:eastAsia="宋体" w:cs="宋体"/>
          <w:color w:val="auto"/>
          <w:sz w:val="24"/>
          <w:highlight w:val="none"/>
          <w:u w:val="single"/>
        </w:rPr>
        <w:t>和本合同约定需要</w:t>
      </w:r>
      <w:r>
        <w:rPr>
          <w:rFonts w:hint="eastAsia" w:ascii="宋体" w:hAnsi="宋体" w:eastAsia="宋体" w:cs="宋体"/>
          <w:color w:val="auto"/>
          <w:sz w:val="24"/>
          <w:highlight w:val="none"/>
          <w:u w:val="single"/>
          <w:lang w:eastAsia="zh-CN"/>
        </w:rPr>
        <w:t>应标</w:t>
      </w:r>
      <w:r>
        <w:rPr>
          <w:rFonts w:hint="eastAsia" w:ascii="宋体" w:hAnsi="宋体" w:eastAsia="宋体" w:cs="宋体"/>
          <w:color w:val="auto"/>
          <w:sz w:val="24"/>
          <w:highlight w:val="none"/>
          <w:u w:val="single"/>
        </w:rPr>
        <w:t>报价和合同包干风险范围内应考虑的费用，但经发包人现场签证认可的除外；⑦工程量计算规则未描述到，但又是完成分项工程必须有的工作内容，均应包括在报价内；⑧施工场地的围护、运输保洁费，由于停电、停水造成的增加费用，附近居民因施工不便应增加的设施或便道等增加的各类费用。</w:t>
      </w:r>
    </w:p>
    <w:p w14:paraId="3711960C">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以上风险范围内包括的内容如经发包人现场签证认可的，在工程结算时可认定为该签证有效。</w:t>
      </w:r>
    </w:p>
    <w:p w14:paraId="12F3B80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风险费用的计算方法：</w:t>
      </w:r>
      <w:r>
        <w:rPr>
          <w:rFonts w:hint="eastAsia" w:ascii="宋体" w:hAnsi="宋体" w:eastAsia="宋体" w:cs="宋体"/>
          <w:color w:val="auto"/>
          <w:sz w:val="24"/>
          <w:highlight w:val="none"/>
          <w:u w:val="single"/>
        </w:rPr>
        <w:t xml:space="preserve"> 承包人自行考虑在</w:t>
      </w:r>
      <w:r>
        <w:rPr>
          <w:rFonts w:hint="eastAsia" w:ascii="宋体" w:hAnsi="宋体" w:eastAsia="宋体" w:cs="宋体"/>
          <w:color w:val="auto"/>
          <w:sz w:val="24"/>
          <w:highlight w:val="none"/>
          <w:u w:val="single"/>
          <w:lang w:eastAsia="zh-CN"/>
        </w:rPr>
        <w:t>应标</w:t>
      </w:r>
      <w:r>
        <w:rPr>
          <w:rFonts w:hint="eastAsia" w:ascii="宋体" w:hAnsi="宋体" w:eastAsia="宋体" w:cs="宋体"/>
          <w:color w:val="auto"/>
          <w:sz w:val="24"/>
          <w:highlight w:val="none"/>
          <w:u w:val="single"/>
        </w:rPr>
        <w:t xml:space="preserve">报价中 </w:t>
      </w:r>
      <w:r>
        <w:rPr>
          <w:rFonts w:hint="eastAsia" w:ascii="宋体" w:hAnsi="宋体" w:eastAsia="宋体" w:cs="宋体"/>
          <w:color w:val="auto"/>
          <w:sz w:val="24"/>
          <w:highlight w:val="none"/>
        </w:rPr>
        <w:t>。</w:t>
      </w:r>
    </w:p>
    <w:p w14:paraId="361D4288">
      <w:pPr>
        <w:spacing w:line="440" w:lineRule="exact"/>
        <w:ind w:firstLine="480"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z w:val="24"/>
          <w:highlight w:val="none"/>
        </w:rPr>
        <w:t>风险范围以外合同价款调整方法：</w:t>
      </w:r>
    </w:p>
    <w:p w14:paraId="53DC3AC3">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1）经发包人确认的设计变更、发包人的修改要求而引起的工程量清单的项目调整或数量调整，其工程数量按实调整。</w:t>
      </w:r>
    </w:p>
    <w:p w14:paraId="0CD696C8">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2）市场价格波动引起的调整按本合同16条规定。    </w:t>
      </w:r>
    </w:p>
    <w:p w14:paraId="44A312E2">
      <w:pPr>
        <w:spacing w:line="420" w:lineRule="exact"/>
        <w:ind w:firstLine="480"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z w:val="24"/>
          <w:highlight w:val="none"/>
          <w:u w:val="single"/>
        </w:rPr>
        <w:t>3）对承包人超出施工设计图纸（含施工图纸设计变更）范围和因承包人原因造成返工的工程量，发包人不予计算。</w:t>
      </w:r>
    </w:p>
    <w:p w14:paraId="40F52247">
      <w:pPr>
        <w:spacing w:line="420" w:lineRule="exact"/>
        <w:ind w:firstLine="472"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pacing w:val="-2"/>
          <w:sz w:val="24"/>
          <w:highlight w:val="none"/>
          <w:u w:val="single"/>
        </w:rPr>
        <w:t xml:space="preserve">4）承包人应是根据发包人提供的工程量清单和施工图进行报价的，并对工程量清单（包括项目、项目特征描述、数量）和施工图不一致处进行了答疑，若在今后（施工中）出现类似问题以发包人解释为准。       </w:t>
      </w:r>
    </w:p>
    <w:p w14:paraId="6B845B41">
      <w:pPr>
        <w:spacing w:line="420" w:lineRule="exact"/>
        <w:ind w:firstLine="472"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pacing w:val="-2"/>
          <w:sz w:val="24"/>
          <w:highlight w:val="none"/>
          <w:u w:val="single"/>
        </w:rPr>
        <w:t>5）为保障项目顺利实施，确保工程质量，承包人的报价不得出现不平衡报价。若在评标时未予发现，而在中标后或施工中发现的，在总价不变的前提下，发包人有权要求承包人进行调整，并按有利于发包人利益原则处理。</w:t>
      </w:r>
    </w:p>
    <w:p w14:paraId="616CFDCF">
      <w:pPr>
        <w:spacing w:line="420" w:lineRule="exact"/>
        <w:ind w:firstLine="472"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pacing w:val="-2"/>
          <w:sz w:val="24"/>
          <w:highlight w:val="none"/>
          <w:u w:val="single"/>
        </w:rPr>
        <w:t>处理原则：针对项目合同清单范围内，各项单价按照承包人商务</w:t>
      </w:r>
      <w:r>
        <w:rPr>
          <w:rFonts w:hint="eastAsia" w:ascii="宋体" w:hAnsi="宋体" w:eastAsia="宋体" w:cs="宋体"/>
          <w:color w:val="auto"/>
          <w:spacing w:val="-2"/>
          <w:sz w:val="24"/>
          <w:highlight w:val="none"/>
          <w:u w:val="single"/>
          <w:lang w:eastAsia="zh-CN"/>
        </w:rPr>
        <w:t>应标</w:t>
      </w:r>
      <w:r>
        <w:rPr>
          <w:rFonts w:hint="eastAsia" w:ascii="宋体" w:hAnsi="宋体" w:eastAsia="宋体" w:cs="宋体"/>
          <w:color w:val="auto"/>
          <w:spacing w:val="-2"/>
          <w:sz w:val="24"/>
          <w:highlight w:val="none"/>
          <w:u w:val="single"/>
        </w:rPr>
        <w:t>报价结算；合同清单范围外，各项单价以《杭州市临安区供水项目工程造价咨询报告书》中所对应的财审单价并按照承包人</w:t>
      </w:r>
      <w:r>
        <w:rPr>
          <w:rFonts w:hint="eastAsia" w:ascii="宋体" w:hAnsi="宋体" w:eastAsia="宋体" w:cs="宋体"/>
          <w:color w:val="auto"/>
          <w:spacing w:val="-2"/>
          <w:sz w:val="24"/>
          <w:highlight w:val="none"/>
          <w:u w:val="single"/>
          <w:lang w:eastAsia="zh-CN"/>
        </w:rPr>
        <w:t>应标</w:t>
      </w:r>
      <w:r>
        <w:rPr>
          <w:rFonts w:hint="eastAsia" w:ascii="宋体" w:hAnsi="宋体" w:eastAsia="宋体" w:cs="宋体"/>
          <w:color w:val="auto"/>
          <w:spacing w:val="-2"/>
          <w:sz w:val="24"/>
          <w:highlight w:val="none"/>
          <w:u w:val="single"/>
        </w:rPr>
        <w:t>报价下浮率同比例下浮结算。</w:t>
      </w:r>
    </w:p>
    <w:p w14:paraId="61669EF8">
      <w:pPr>
        <w:spacing w:line="420" w:lineRule="exact"/>
        <w:ind w:firstLine="472"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pacing w:val="-2"/>
          <w:sz w:val="24"/>
          <w:highlight w:val="none"/>
          <w:u w:val="single"/>
        </w:rPr>
        <w:t xml:space="preserve">6）不可抗力事件引起的合同价款变更按通用条款执行。     </w:t>
      </w:r>
    </w:p>
    <w:p w14:paraId="2064C418">
      <w:pPr>
        <w:spacing w:line="420" w:lineRule="exact"/>
        <w:ind w:firstLine="472"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pacing w:val="-2"/>
          <w:sz w:val="24"/>
          <w:highlight w:val="none"/>
          <w:u w:val="single"/>
        </w:rPr>
        <w:t xml:space="preserve">7）法律、行政法规和国家有关政策变化及工程造价管理部门发布的文件影响合同价款时，按相关政策、文件精神协商执行。      </w:t>
      </w:r>
    </w:p>
    <w:p w14:paraId="71C0E95D">
      <w:pPr>
        <w:spacing w:line="420" w:lineRule="exact"/>
        <w:ind w:firstLine="480"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u w:val="single"/>
        </w:rPr>
        <w:t>以上变更引起的合同价格调整应符合合同变更条款。</w:t>
      </w:r>
    </w:p>
    <w:p w14:paraId="2B4DE1B3">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1.1.6</w:t>
      </w:r>
      <w:r>
        <w:rPr>
          <w:rFonts w:hint="eastAsia" w:ascii="宋体" w:hAnsi="宋体" w:eastAsia="宋体" w:cs="宋体"/>
          <w:color w:val="auto"/>
          <w:sz w:val="24"/>
          <w:szCs w:val="24"/>
          <w:highlight w:val="none"/>
        </w:rPr>
        <w:t>其他</w:t>
      </w:r>
    </w:p>
    <w:p w14:paraId="126A8D58">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1.1.6.2完工验收：指《水利水电建设工程验收规程》中的合同工程完工验收。通用合同条款中“竣工验收”一词具有相同含义。</w:t>
      </w:r>
    </w:p>
    <w:p w14:paraId="202B6838">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w:t>
      </w:r>
      <w:r>
        <w:rPr>
          <w:rFonts w:hint="eastAsia" w:ascii="宋体" w:hAnsi="宋体" w:eastAsia="宋体" w:cs="宋体"/>
          <w:color w:val="auto"/>
          <w:sz w:val="24"/>
          <w:szCs w:val="24"/>
          <w:highlight w:val="none"/>
        </w:rPr>
        <w:t>合同文件的优先顺序</w:t>
      </w:r>
    </w:p>
    <w:p w14:paraId="014AF881">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除合同另有规定外，解释合同文件的优先顺序如下：</w:t>
      </w:r>
    </w:p>
    <w:p w14:paraId="724D35E9">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（1）合同协议书（包括补充协议书）。</w:t>
      </w:r>
    </w:p>
    <w:p w14:paraId="42CE7A8B">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028D4B98">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应标</w:t>
      </w:r>
      <w:r>
        <w:rPr>
          <w:rFonts w:hint="eastAsia" w:ascii="宋体" w:hAnsi="宋体" w:eastAsia="宋体" w:cs="宋体"/>
          <w:color w:val="auto"/>
          <w:sz w:val="24"/>
          <w:szCs w:val="24"/>
          <w:highlight w:val="none"/>
        </w:rPr>
        <w:t>函。</w:t>
      </w:r>
    </w:p>
    <w:p w14:paraId="4227DBDA">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w:t>
      </w:r>
      <w:r>
        <w:rPr>
          <w:rFonts w:hint="eastAsia" w:ascii="宋体" w:hAnsi="宋体" w:eastAsia="宋体" w:cs="宋体"/>
          <w:color w:val="auto"/>
          <w:sz w:val="24"/>
          <w:szCs w:val="24"/>
          <w:highlight w:val="none"/>
          <w:lang w:eastAsia="zh-CN"/>
        </w:rPr>
        <w:t>应标文件</w:t>
      </w:r>
      <w:r>
        <w:rPr>
          <w:rFonts w:hint="eastAsia" w:ascii="宋体" w:hAnsi="宋体" w:eastAsia="宋体" w:cs="宋体"/>
          <w:color w:val="auto"/>
          <w:sz w:val="24"/>
          <w:szCs w:val="24"/>
          <w:highlight w:val="none"/>
        </w:rPr>
        <w:t>澄清问题、澄清问题的复函、补充通知等相关资料。</w:t>
      </w:r>
    </w:p>
    <w:p w14:paraId="69C95641">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（5）专用合同条款。</w:t>
      </w:r>
    </w:p>
    <w:p w14:paraId="0ABC9D7C">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（6）通用合同条款。</w:t>
      </w:r>
    </w:p>
    <w:p w14:paraId="5F45F5D7">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（7）技术标准和要求</w:t>
      </w:r>
    </w:p>
    <w:p w14:paraId="7CB387DF">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（8）图纸。</w:t>
      </w:r>
    </w:p>
    <w:p w14:paraId="5A1DE101">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（9）已标价的工程量清单。</w:t>
      </w:r>
    </w:p>
    <w:p w14:paraId="306141E6">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（10）经双方确认进入合同的其他文件。</w:t>
      </w:r>
    </w:p>
    <w:p w14:paraId="2C090C1C">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color w:val="auto"/>
          <w:sz w:val="24"/>
          <w:szCs w:val="24"/>
          <w:highlight w:val="none"/>
        </w:rPr>
        <w:t>联络</w:t>
      </w:r>
    </w:p>
    <w:p w14:paraId="2BEB55D3">
      <w:pPr>
        <w:pStyle w:val="32"/>
        <w:spacing w:line="480" w:lineRule="exact"/>
        <w:ind w:firstLine="240" w:firstLineChars="100"/>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1.7.2来往函件均应按技术标准和要求（合同技术条款）约定的期限送达</w:t>
      </w:r>
      <w:r>
        <w:rPr>
          <w:rFonts w:hint="eastAsia" w:ascii="宋体" w:hAnsi="宋体" w:eastAsia="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指定地点。</w:t>
      </w:r>
    </w:p>
    <w:p w14:paraId="4ABA8DBF">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  发包人义务</w:t>
      </w:r>
    </w:p>
    <w:p w14:paraId="2023C6B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2.3提供施工场地</w:t>
      </w:r>
    </w:p>
    <w:p w14:paraId="1F624F6A">
      <w:pPr>
        <w:spacing w:line="440" w:lineRule="exact"/>
        <w:rPr>
          <w:rFonts w:hint="eastAsia" w:ascii="宋体" w:hAnsi="宋体" w:eastAsia="宋体" w:cs="宋体"/>
          <w:b w:val="0"/>
          <w:bCs w:val="0"/>
          <w:color w:val="auto"/>
          <w:sz w:val="24"/>
          <w:highlight w:val="none"/>
          <w:u w:val="single"/>
        </w:rPr>
      </w:pPr>
      <w:r>
        <w:rPr>
          <w:rFonts w:hint="eastAsia" w:ascii="宋体" w:hAnsi="宋体" w:eastAsia="宋体" w:cs="宋体"/>
          <w:color w:val="auto"/>
          <w:sz w:val="24"/>
          <w:highlight w:val="none"/>
        </w:rPr>
        <w:t xml:space="preserve">    2.3.2发包人提供的用地范围为：</w:t>
      </w:r>
      <w:r>
        <w:rPr>
          <w:rFonts w:hint="eastAsia" w:ascii="宋体" w:hAnsi="宋体" w:eastAsia="宋体" w:cs="宋体"/>
          <w:color w:val="auto"/>
          <w:sz w:val="24"/>
          <w:highlight w:val="none"/>
          <w:u w:val="single"/>
        </w:rPr>
        <w:t>承包人应无条件接受现场条件，使用场地均由承包人自行解决 。</w:t>
      </w:r>
    </w:p>
    <w:p w14:paraId="30D6D2C9">
      <w:pPr>
        <w:spacing w:line="440" w:lineRule="exac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2.3.3承包人自行勘察的施工场地范围为：。</w:t>
      </w:r>
    </w:p>
    <w:p w14:paraId="4F5492E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2.8其他义务</w:t>
      </w:r>
    </w:p>
    <w:p w14:paraId="34B1B25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（根据发包人合同管理的要求补充）</w:t>
      </w:r>
    </w:p>
    <w:p w14:paraId="76FA2A8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w:t>
      </w:r>
    </w:p>
    <w:p w14:paraId="2DD0D7F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677FA4E0">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  监理人</w:t>
      </w:r>
    </w:p>
    <w:p w14:paraId="645A7121">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3.1监理人的职责和权力</w:t>
      </w:r>
    </w:p>
    <w:p w14:paraId="0E6BED9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3.1.1监理人须根据发包人事先批准的权力范围行使权力，发包人批准的权利范围（填写监理人须经发包人的批准才能行使的权利，以下示例供参考）：</w:t>
      </w:r>
    </w:p>
    <w:p w14:paraId="0CE40D0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（1）按本章第4.3条规定，批准工程分包。</w:t>
      </w:r>
    </w:p>
    <w:p w14:paraId="2E3D8F4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（2）按本章第11.3款规定，确定延长完工期限。</w:t>
      </w:r>
    </w:p>
    <w:p w14:paraId="7613F1A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（3）按本章第15.6款规定，批准暂列金额的使用。</w:t>
      </w:r>
    </w:p>
    <w:p w14:paraId="4EB7EA4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w:t>
      </w:r>
    </w:p>
    <w:p w14:paraId="713D3F3E">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 承包人</w:t>
      </w:r>
    </w:p>
    <w:p w14:paraId="734EB878">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4.1承包人的一般义务</w:t>
      </w:r>
    </w:p>
    <w:p w14:paraId="5DC06BF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4.1.10其他义务</w:t>
      </w:r>
    </w:p>
    <w:p w14:paraId="293530F4">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协助发包人承担有关政策处理事宜；</w:t>
      </w:r>
    </w:p>
    <w:p w14:paraId="04C0A31B">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u w:val="single"/>
        </w:rPr>
        <w:t>按时向发包人（或工程师）提交开竣（完）工报告、隐蔽工程验收报告、质量自检记录、交工验收报告及工程事故报告等资料。</w:t>
      </w:r>
    </w:p>
    <w:p w14:paraId="66B1704C">
      <w:pPr>
        <w:spacing w:line="440" w:lineRule="exact"/>
        <w:ind w:firstLine="480" w:firstLineChars="200"/>
        <w:textAlignment w:val="bottom"/>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 xml:space="preserve"> 负责放样、测量。每次测量成果均应有复核记录，并及时将测量成果记录书面送交监理人确认。承包人应对测量成果承担全部责任。</w:t>
      </w:r>
    </w:p>
    <w:p w14:paraId="738838EF">
      <w:pPr>
        <w:spacing w:line="440" w:lineRule="exact"/>
        <w:ind w:firstLine="480" w:firstLineChars="200"/>
        <w:textAlignment w:val="bottom"/>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 xml:space="preserve"> 必须接受发包人的管理或其委托的监理单位的监理，并为其开展工作和生活提供方便，按照要求提供完整真实的原始记录、检测记录等技术资料及各种报表。</w:t>
      </w:r>
    </w:p>
    <w:p w14:paraId="644BEE81">
      <w:pPr>
        <w:spacing w:line="440" w:lineRule="exact"/>
        <w:ind w:firstLine="480" w:firstLineChars="200"/>
        <w:textAlignment w:val="bottom"/>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u w:val="single"/>
        </w:rPr>
        <w:t xml:space="preserve"> 承包人必须开展工程施工合同质量管理，密切配合工程师全面质量管理、环境管理和职业安全健康管理等工作的进行。</w:t>
      </w:r>
    </w:p>
    <w:p w14:paraId="3629B41F">
      <w:pPr>
        <w:spacing w:line="440" w:lineRule="exact"/>
        <w:ind w:firstLine="480" w:firstLineChars="200"/>
        <w:textAlignment w:val="bottom"/>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u w:val="single"/>
        </w:rPr>
        <w:t xml:space="preserve"> 承包人不按合同约定完成以上工作，发包人有权限令其停止施工并进行整改，由此引起的损失由承包人承担。</w:t>
      </w:r>
    </w:p>
    <w:p w14:paraId="7F5E2DDF">
      <w:pPr>
        <w:spacing w:line="440" w:lineRule="exact"/>
        <w:ind w:firstLine="480" w:firstLineChars="200"/>
        <w:textAlignment w:val="bottom"/>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u w:val="single"/>
        </w:rPr>
        <w:t>承包人应执行发包人对工程管理所制定的各项管理制度。</w:t>
      </w:r>
    </w:p>
    <w:p w14:paraId="3F0BD1CF">
      <w:pPr>
        <w:spacing w:line="44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u w:val="single"/>
        </w:rPr>
        <w:t xml:space="preserve"> 参加发包人召开的与本工程相关的会议，并作好会前有关资料的准备。在保修期内要及时做好回访工作，属保修责任范围的事项应及时按质检标准修好。</w:t>
      </w:r>
    </w:p>
    <w:p w14:paraId="13E18C30">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4.3分包</w:t>
      </w:r>
    </w:p>
    <w:p w14:paraId="485539A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4.3.2允许承包人分包的工程项目、工作内容与分包金额如下：</w:t>
      </w:r>
    </w:p>
    <w:p w14:paraId="3EE85C8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（1）工程项目：</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10F8082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（2）工作内容：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45E95ED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（3）分包金额限额：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0086746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4.3.10分包人项目管理机构的设立：</w:t>
      </w:r>
      <w:r>
        <w:rPr>
          <w:rFonts w:hint="eastAsia" w:ascii="宋体" w:hAnsi="宋体" w:eastAsia="宋体" w:cs="宋体"/>
          <w:color w:val="auto"/>
          <w:sz w:val="24"/>
          <w:highlight w:val="none"/>
          <w:u w:val="single"/>
        </w:rPr>
        <w:t xml:space="preserve">       .</w:t>
      </w:r>
    </w:p>
    <w:p w14:paraId="1EF344AC">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4.5承包项目负责人</w:t>
      </w:r>
    </w:p>
    <w:p w14:paraId="318A093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本章4.5.5款补充：</w:t>
      </w:r>
    </w:p>
    <w:p w14:paraId="04BD4D97">
      <w:pPr>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承包人配合发包人做好人脸识别系统信息的录入，项目班组人员实行人脸识别系统考勤，发包人或其委托的监理人负责对项目班组人员的考勤情况进行核对，并对不满足</w:t>
      </w:r>
      <w:r>
        <w:rPr>
          <w:rFonts w:hint="eastAsia" w:ascii="宋体" w:hAnsi="宋体" w:eastAsia="宋体" w:cs="宋体"/>
          <w:color w:val="auto"/>
          <w:sz w:val="24"/>
          <w:highlight w:val="none"/>
          <w:lang w:eastAsia="zh-CN"/>
        </w:rPr>
        <w:t>应标</w:t>
      </w:r>
      <w:r>
        <w:rPr>
          <w:rFonts w:hint="eastAsia" w:ascii="宋体" w:hAnsi="宋体" w:eastAsia="宋体" w:cs="宋体"/>
          <w:color w:val="auto"/>
          <w:sz w:val="24"/>
          <w:highlight w:val="none"/>
        </w:rPr>
        <w:t>承诺到位天数的项目班组人员有权进行相应扣款。</w:t>
      </w:r>
    </w:p>
    <w:p w14:paraId="0DD15AD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项目负责人每月驻工地的天数不少于22天，每少一天支付违约金</w:t>
      </w:r>
      <w:r>
        <w:rPr>
          <w:rFonts w:hint="eastAsia" w:ascii="宋体" w:hAnsi="宋体" w:eastAsia="宋体" w:cs="宋体"/>
          <w:color w:val="auto"/>
          <w:sz w:val="24"/>
          <w:highlight w:val="none"/>
          <w:u w:val="single"/>
        </w:rPr>
        <w:t xml:space="preserve">  5000 </w:t>
      </w:r>
      <w:r>
        <w:rPr>
          <w:rFonts w:hint="eastAsia" w:ascii="宋体" w:hAnsi="宋体" w:eastAsia="宋体" w:cs="宋体"/>
          <w:color w:val="auto"/>
          <w:sz w:val="24"/>
          <w:highlight w:val="none"/>
        </w:rPr>
        <w:t>元，但扣款最终的累计总金额不应超过</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万元。</w:t>
      </w:r>
    </w:p>
    <w:p w14:paraId="6B7ECB0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上述违约金在工程进度款中直接扣除，在工地工作天数按人脸识别系统或监理人实际考勤记录为准。</w:t>
      </w:r>
    </w:p>
    <w:p w14:paraId="4E51E32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承包人的项目负责人连续</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个月及以上每月驻工地的天数少于</w:t>
      </w:r>
      <w:r>
        <w:rPr>
          <w:rFonts w:hint="eastAsia" w:ascii="宋体" w:hAnsi="宋体" w:eastAsia="宋体" w:cs="宋体"/>
          <w:color w:val="auto"/>
          <w:sz w:val="24"/>
          <w:highlight w:val="none"/>
          <w:u w:val="single"/>
        </w:rPr>
        <w:t xml:space="preserve">  15 </w:t>
      </w:r>
      <w:r>
        <w:rPr>
          <w:rFonts w:hint="eastAsia" w:ascii="宋体" w:hAnsi="宋体" w:eastAsia="宋体" w:cs="宋体"/>
          <w:color w:val="auto"/>
          <w:sz w:val="24"/>
          <w:highlight w:val="none"/>
        </w:rPr>
        <w:t>天，发包人有权解除合同。</w:t>
      </w:r>
    </w:p>
    <w:p w14:paraId="0F546D39">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4.6承包人人员的管理</w:t>
      </w:r>
    </w:p>
    <w:p w14:paraId="3E94331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本章4.6.3款补充：</w:t>
      </w:r>
    </w:p>
    <w:p w14:paraId="50EA2AAD">
      <w:pPr>
        <w:spacing w:line="440" w:lineRule="exact"/>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项目技术负责人每月驻工地时间不得少于</w:t>
      </w:r>
      <w:r>
        <w:rPr>
          <w:rFonts w:hint="eastAsia" w:ascii="宋体" w:hAnsi="宋体" w:eastAsia="宋体" w:cs="宋体"/>
          <w:color w:val="auto"/>
          <w:sz w:val="24"/>
          <w:highlight w:val="none"/>
          <w:u w:val="single"/>
        </w:rPr>
        <w:t xml:space="preserve">  22  </w:t>
      </w:r>
      <w:r>
        <w:rPr>
          <w:rFonts w:hint="eastAsia" w:ascii="宋体" w:hAnsi="宋体" w:eastAsia="宋体" w:cs="宋体"/>
          <w:color w:val="auto"/>
          <w:sz w:val="24"/>
          <w:highlight w:val="none"/>
        </w:rPr>
        <w:t>天，每少一天支付违约金</w:t>
      </w:r>
      <w:r>
        <w:rPr>
          <w:rFonts w:hint="eastAsia" w:ascii="宋体" w:hAnsi="宋体" w:eastAsia="宋体" w:cs="宋体"/>
          <w:color w:val="auto"/>
          <w:sz w:val="24"/>
          <w:highlight w:val="none"/>
          <w:u w:val="single"/>
        </w:rPr>
        <w:t xml:space="preserve"> 5000   </w:t>
      </w:r>
      <w:r>
        <w:rPr>
          <w:rFonts w:hint="eastAsia" w:ascii="宋体" w:hAnsi="宋体" w:eastAsia="宋体" w:cs="宋体"/>
          <w:color w:val="auto"/>
          <w:sz w:val="24"/>
          <w:highlight w:val="none"/>
        </w:rPr>
        <w:t>元，但扣款最终的累计总金额不应超过</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万元。</w:t>
      </w:r>
    </w:p>
    <w:p w14:paraId="50157208">
      <w:pPr>
        <w:spacing w:line="440" w:lineRule="exact"/>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项目班子其他成员每人每月驻工地时间不得少于</w:t>
      </w:r>
      <w:r>
        <w:rPr>
          <w:rFonts w:hint="eastAsia" w:ascii="宋体" w:hAnsi="宋体" w:eastAsia="宋体" w:cs="宋体"/>
          <w:color w:val="auto"/>
          <w:sz w:val="24"/>
          <w:highlight w:val="none"/>
          <w:u w:val="single"/>
        </w:rPr>
        <w:t xml:space="preserve">  27  </w:t>
      </w:r>
      <w:r>
        <w:rPr>
          <w:rFonts w:hint="eastAsia" w:ascii="宋体" w:hAnsi="宋体" w:eastAsia="宋体" w:cs="宋体"/>
          <w:color w:val="auto"/>
          <w:sz w:val="24"/>
          <w:highlight w:val="none"/>
        </w:rPr>
        <w:t>天，每少一天支付违约金</w:t>
      </w:r>
      <w:r>
        <w:rPr>
          <w:rFonts w:hint="eastAsia" w:ascii="宋体" w:hAnsi="宋体" w:eastAsia="宋体" w:cs="宋体"/>
          <w:color w:val="auto"/>
          <w:sz w:val="24"/>
          <w:highlight w:val="none"/>
          <w:u w:val="single"/>
        </w:rPr>
        <w:t xml:space="preserve"> 3000 </w:t>
      </w:r>
      <w:r>
        <w:rPr>
          <w:rFonts w:hint="eastAsia" w:ascii="宋体" w:hAnsi="宋体" w:eastAsia="宋体" w:cs="宋体"/>
          <w:color w:val="auto"/>
          <w:sz w:val="24"/>
          <w:highlight w:val="none"/>
        </w:rPr>
        <w:t>元/人，但扣款最终的累计总金额不应超过</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万元/人。</w:t>
      </w:r>
    </w:p>
    <w:p w14:paraId="28E3E78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上述违约金在工程进度款中直接扣除，在工地工作天数按人脸识别系统或监理人实际考勤记录为准。</w:t>
      </w:r>
    </w:p>
    <w:p w14:paraId="43E56739">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4.7撤换承包人项目负责人和其他人员</w:t>
      </w:r>
    </w:p>
    <w:p w14:paraId="48CA5C0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本款补充：</w:t>
      </w:r>
    </w:p>
    <w:p w14:paraId="076CAA28">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项目负责人、技术负责人不得擅自更换。若承包人擅自更换的，除每人次需支付</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万元的违约金外，发包人有权将其作为不良行为记录上报水行政主管部门；情节特别严重的，发包人有权中止合同，并扣罚履约保证金的30%。在合同工程未通过完工验收或合同解除前，项目负责人、技术负责人确需更换的，应征得发包人、项目负责人备案主管部门同意，更换后的人员不得低于原</w:t>
      </w:r>
      <w:r>
        <w:rPr>
          <w:rFonts w:hint="eastAsia" w:ascii="宋体" w:hAnsi="宋体" w:eastAsia="宋体" w:cs="宋体"/>
          <w:color w:val="auto"/>
          <w:sz w:val="24"/>
          <w:highlight w:val="none"/>
          <w:lang w:eastAsia="zh-CN"/>
        </w:rPr>
        <w:t>应标</w:t>
      </w:r>
      <w:r>
        <w:rPr>
          <w:rFonts w:hint="eastAsia" w:ascii="宋体" w:hAnsi="宋体" w:eastAsia="宋体" w:cs="宋体"/>
          <w:color w:val="auto"/>
          <w:sz w:val="24"/>
          <w:highlight w:val="none"/>
        </w:rPr>
        <w:t>承诺人员所具有的资格和业绩条件，并且提供该人员在本公司的三个月以上社保证明</w:t>
      </w:r>
      <w:r>
        <w:rPr>
          <w:rFonts w:hint="eastAsia" w:ascii="宋体" w:hAnsi="宋体" w:eastAsia="宋体" w:cs="宋体"/>
          <w:color w:val="auto"/>
          <w:highlight w:val="none"/>
        </w:rPr>
        <w:t>并</w:t>
      </w:r>
      <w:r>
        <w:rPr>
          <w:rFonts w:hint="eastAsia" w:ascii="宋体" w:hAnsi="宋体" w:eastAsia="宋体" w:cs="宋体"/>
          <w:color w:val="auto"/>
          <w:sz w:val="24"/>
          <w:highlight w:val="none"/>
        </w:rPr>
        <w:t>支付每人次</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万元的违约金。违约金在工程进度付款中扣除。</w:t>
      </w:r>
    </w:p>
    <w:p w14:paraId="3F7AF834">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承包人的安全员、质量员、施工员等人员擅自调换每一次需支付违约金</w:t>
      </w:r>
      <w:r>
        <w:rPr>
          <w:rFonts w:hint="eastAsia" w:ascii="宋体" w:hAnsi="宋体" w:eastAsia="宋体" w:cs="宋体"/>
          <w:color w:val="auto"/>
          <w:sz w:val="24"/>
          <w:highlight w:val="none"/>
          <w:u w:val="single"/>
        </w:rPr>
        <w:t xml:space="preserve">  3  </w:t>
      </w:r>
      <w:r>
        <w:rPr>
          <w:rFonts w:hint="eastAsia" w:ascii="宋体" w:hAnsi="宋体" w:eastAsia="宋体" w:cs="宋体"/>
          <w:color w:val="auto"/>
          <w:sz w:val="24"/>
          <w:highlight w:val="none"/>
        </w:rPr>
        <w:t>万元；确需更换的，应征得发包人、备案主管部门同意，每人次需支付</w:t>
      </w:r>
      <w:r>
        <w:rPr>
          <w:rFonts w:hint="eastAsia" w:ascii="宋体" w:hAnsi="宋体" w:eastAsia="宋体" w:cs="宋体"/>
          <w:color w:val="auto"/>
          <w:sz w:val="24"/>
          <w:highlight w:val="none"/>
          <w:u w:val="single"/>
        </w:rPr>
        <w:t xml:space="preserve"> 1</w:t>
      </w:r>
      <w:r>
        <w:rPr>
          <w:rFonts w:hint="eastAsia" w:ascii="宋体" w:hAnsi="宋体" w:eastAsia="宋体" w:cs="宋体"/>
          <w:color w:val="auto"/>
          <w:sz w:val="24"/>
          <w:highlight w:val="none"/>
        </w:rPr>
        <w:t>万元的违约金。更换后的人员不得低于原</w:t>
      </w:r>
      <w:r>
        <w:rPr>
          <w:rFonts w:hint="eastAsia" w:ascii="宋体" w:hAnsi="宋体" w:eastAsia="宋体" w:cs="宋体"/>
          <w:color w:val="auto"/>
          <w:sz w:val="24"/>
          <w:highlight w:val="none"/>
          <w:lang w:eastAsia="zh-CN"/>
        </w:rPr>
        <w:t>应标</w:t>
      </w:r>
      <w:r>
        <w:rPr>
          <w:rFonts w:hint="eastAsia" w:ascii="宋体" w:hAnsi="宋体" w:eastAsia="宋体" w:cs="宋体"/>
          <w:color w:val="auto"/>
          <w:sz w:val="24"/>
          <w:highlight w:val="none"/>
        </w:rPr>
        <w:t>承诺人员所具有的资格和业绩条件，并且提供该人员在本公司的三个月以上社保证明。违约金在工程进度付款中扣除。</w:t>
      </w:r>
    </w:p>
    <w:p w14:paraId="62772BB4">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4.11不利物质条件</w:t>
      </w:r>
    </w:p>
    <w:p w14:paraId="32822BD6">
      <w:pPr>
        <w:spacing w:line="440" w:lineRule="exact"/>
        <w:ind w:firstLine="465"/>
        <w:rPr>
          <w:rFonts w:hint="eastAsia" w:ascii="宋体" w:hAnsi="宋体" w:eastAsia="宋体" w:cs="宋体"/>
          <w:snapToGrid w:val="0"/>
          <w:color w:val="auto"/>
          <w:sz w:val="24"/>
          <w:highlight w:val="none"/>
        </w:rPr>
      </w:pPr>
      <w:r>
        <w:rPr>
          <w:rFonts w:hint="eastAsia" w:ascii="宋体" w:hAnsi="宋体" w:eastAsia="宋体" w:cs="宋体"/>
          <w:color w:val="auto"/>
          <w:sz w:val="24"/>
          <w:highlight w:val="none"/>
        </w:rPr>
        <w:t>4.11.1不利物质条件的范围</w:t>
      </w:r>
      <w:r>
        <w:rPr>
          <w:rFonts w:hint="eastAsia" w:ascii="宋体" w:hAnsi="宋体" w:eastAsia="宋体" w:cs="宋体"/>
          <w:color w:val="auto"/>
          <w:sz w:val="24"/>
          <w:highlight w:val="none"/>
          <w:u w:val="single"/>
        </w:rPr>
        <w:t>：</w:t>
      </w:r>
      <w:r>
        <w:rPr>
          <w:rFonts w:hint="eastAsia" w:ascii="宋体" w:hAnsi="宋体" w:eastAsia="宋体" w:cs="宋体"/>
          <w:b/>
          <w:snapToGrid w:val="0"/>
          <w:color w:val="auto"/>
          <w:sz w:val="24"/>
          <w:highlight w:val="none"/>
          <w:u w:val="single"/>
        </w:rPr>
        <w:t>施工中遇到文物或古迹、施工场地周围地下管线、地下障碍物和污染物、邻近建筑物、构筑物的保护要求</w:t>
      </w:r>
      <w:r>
        <w:rPr>
          <w:rFonts w:hint="eastAsia" w:ascii="宋体" w:hAnsi="宋体" w:eastAsia="宋体" w:cs="宋体"/>
          <w:snapToGrid w:val="0"/>
          <w:color w:val="auto"/>
          <w:sz w:val="24"/>
          <w:highlight w:val="none"/>
        </w:rPr>
        <w:t>。</w:t>
      </w:r>
    </w:p>
    <w:p w14:paraId="11BB03D9">
      <w:pPr>
        <w:spacing w:line="440" w:lineRule="exact"/>
        <w:ind w:firstLine="46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4.12双方约定的承包人其他违约责任</w:t>
      </w:r>
      <w:r>
        <w:rPr>
          <w:rFonts w:hint="eastAsia" w:ascii="宋体" w:hAnsi="宋体" w:eastAsia="宋体" w:cs="宋体"/>
          <w:color w:val="auto"/>
          <w:sz w:val="24"/>
          <w:highlight w:val="none"/>
        </w:rPr>
        <w:t>：</w:t>
      </w:r>
    </w:p>
    <w:p w14:paraId="0177936D">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一）项目管理：</w:t>
      </w:r>
    </w:p>
    <w:p w14:paraId="70FAEC6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A、质量管理体系、规章制度及岗位责任制度不完善的，处以6000元/次的罚款。</w:t>
      </w:r>
    </w:p>
    <w:p w14:paraId="164B519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B、施工组织设计不完善、专项施工方案未批先建、实施措施不具体、资料不齐全的，处以6000元/项的罚款。 </w:t>
      </w:r>
    </w:p>
    <w:p w14:paraId="61EA9D5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C、政府管理部门检查发现问题并书面通报批评的、检查评比中被评为较差工地的，处以30000元/次的罚款。</w:t>
      </w:r>
    </w:p>
    <w:p w14:paraId="4D16765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D、未对新进施工人员进行教育培训而直接上岗的，处以600元/人次的罚款。</w:t>
      </w:r>
    </w:p>
    <w:p w14:paraId="512A90D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E、各施工队伍间若出现打架现象，发包人将视情节严重程度每次处以6000—30000元的罚款，造成恶劣影响的，可要求更换施工队伍。</w:t>
      </w:r>
    </w:p>
    <w:p w14:paraId="6BF59EC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F、承包人不得拖欠民工工资，因拖欠民工工资造成的一切后果均由承包人承担。发包人有权暂扣工程款（进度款），代付清工资，并扣罚履约保证金的20%。</w:t>
      </w:r>
    </w:p>
    <w:p w14:paraId="0A32202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G、经上级主管部门、报刊、媒体通报批评，市长投诉电话属实的，处以30000元/次的罚款。</w:t>
      </w:r>
    </w:p>
    <w:p w14:paraId="2DFD8210">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二）施工质量：</w:t>
      </w:r>
    </w:p>
    <w:p w14:paraId="567B2D0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承包人必须严格按照已确认的设计图纸、施工技术方案及工程施工验收规范等精心组织施工，严格把好每道工序的质量关，并无条件的接受发包人及发包人委托的监理单位对施工质量的监督和管理，确保工程质量达到质量目标。若发包人或监理工程师检查发现质量问题，在发出整改通知书后承包人无条件返工、整改、采取相应的补救、修复措施直至验收合格，由此追加的费用和延误的工期均由承包人负责。在书面整改通知或口头整改通知的时间内未整改的，每延迟整改一天罚款15000元/项/天；未执行监理报验程序而进行下道工序的罚款30000元/次；在施工过程中发现偷工减料现象、使用不合格或以次充好的材料罚款30000元/次；经主管部门检查（包括发包人组织的检查）发现的明显质量问题，罚款 30000元/项；连续发现或屡教不改的予以加倍重罚。以上罚金从当月应付工程款（进度款）中扣除。</w:t>
      </w:r>
    </w:p>
    <w:p w14:paraId="3145E2C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B、分部分项工程施工前未对相关班组进行技术交底的，处以15000元/次的罚款。</w:t>
      </w:r>
    </w:p>
    <w:p w14:paraId="4A11E9E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C、进场材料、设备未告知监理人员见证的，处以15000元/次的罚款。</w:t>
      </w:r>
    </w:p>
    <w:p w14:paraId="68D8B16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D、未经发包人同意，承包人擅自变更施工方案的，每发现一次将扣除履约保证金的10%，由此发生的损失或事故（包括罚款），由承包人负责并承担损失。    </w:t>
      </w:r>
    </w:p>
    <w:p w14:paraId="4B398CD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E、因不可抗力因素或天气原因等造成工地现场文明施工或工程质量遭到损坏的，经发包人或监理单位管理人员要求后未及时做出有效保护和补救措施的，按6000元/项/次进行处罚。</w:t>
      </w:r>
    </w:p>
    <w:p w14:paraId="49182527">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三）安全文明施工：</w:t>
      </w:r>
    </w:p>
    <w:p w14:paraId="749D294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A、安全管理体系、规章制度及岗位责任制度不完善，安保体系不完善，安全管理人员未按要求配备到位，安全台帐资料不齐备或要求整改不到位的，处以15000元/项的罚款，对发包人、监理单位及上级主管部门发出的安全方面的整改单，未按规定要求和规定时间落实整改的，处以9000元/项/次的罚款。  </w:t>
      </w:r>
    </w:p>
    <w:p w14:paraId="04C9B45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B、安全检查发现安全隐患未及时整改或整改不到位的处以15000元/项/次的罚款，拒不整改的处以30000元/项/次的罚款。      </w:t>
      </w:r>
    </w:p>
    <w:p w14:paraId="0981641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C、安全管理人员无故缺席集中安全活动的（如例会、安全检查等）处以15000元/次/人的罚款。     </w:t>
      </w:r>
    </w:p>
    <w:p w14:paraId="07DE4FE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施工过程中经主管部门检查（包括发包人组织的检查）安全、文明、环境保护施工不合格，每出现一次不合格，发包人向承包人罚款15000元，如整改后仍达不到要求，发包人将视情况予以加倍处罚。承包人应无条件进行整改直至合格。发包人或其委托的监理人员，发现现场施工人员未佩戴安全帽施工的，处以300元/人/次的罚款。</w:t>
      </w:r>
    </w:p>
    <w:p w14:paraId="3389A80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E、因施工人员违规操作发生安全事故的，视所造成的经济损失予以经济处罚。</w:t>
      </w:r>
    </w:p>
    <w:p w14:paraId="710BACD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F、发生安全事故迟报或者隐瞒不报的，视情节严重程度予以经济处罚。</w:t>
      </w:r>
    </w:p>
    <w:p w14:paraId="5126E07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G、分包单位必须配合总承包单位的现场安全文明施工，保护已完工程及设备。</w:t>
      </w:r>
    </w:p>
    <w:p w14:paraId="57EA53C2">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四）施工进度：</w:t>
      </w:r>
    </w:p>
    <w:p w14:paraId="054BE80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A、承包方应积极配合发包方对工程项目的进度要求，编制工程总进度计划，上报监理并经审核确定后才可施工。承包方应根据计划时间节点综合考虑、合理安排人员、设备、材料等。</w:t>
      </w:r>
    </w:p>
    <w:p w14:paraId="5CAAF39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B、承包人项目班子主要管理人员因工作态度或工作能力不配合现场发包人和监理人员对进度要求的，按15000元/人/次进行处罚，并有权要求撤换人员，承包人必须无条件执行。</w:t>
      </w:r>
    </w:p>
    <w:p w14:paraId="46E24E2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承包人需提交按照合同工期倒排的月进度计划，发包人将对进度计划进行考核。若承包人完成当月进度计划，发包人将对月进度计划所对应的合同进度款的0.5%作为奖励；若承包人未完成当月进度计划，发包人将对月进度计划所对应的合同进度款的0.5%作为处罚。（因发包人或不可抗力造成当月进度计划严重偏离，经发包人确认，当月可不进行考核）。</w:t>
      </w:r>
    </w:p>
    <w:p w14:paraId="71D0C91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D、若承包人未达到上报月进度计划，发包人或监理人有权要求承包人增加设备、班组等措施进行赶工，若承包人拒不执行或无能力执行，发包人有权解除合同，并没收履约保证金。</w:t>
      </w:r>
    </w:p>
    <w:p w14:paraId="7BA43FD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五）本工程不得转包，否则，一经发现，即被视为违约，发包人有权终止合同，并有权扣罚合同造价10%的违约金。 </w:t>
      </w:r>
    </w:p>
    <w:p w14:paraId="0376C78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六）如承包人在项目实施过程中有严重违反合同情形，经发包人查实后有权终止合同，并追究其经济损失和法律责任。</w:t>
      </w:r>
    </w:p>
    <w:p w14:paraId="1383C9AE">
      <w:pPr>
        <w:spacing w:line="440" w:lineRule="exact"/>
        <w:ind w:firstLine="48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以上违约责任累计处罚不超过合同价</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w:t>
      </w:r>
    </w:p>
    <w:p w14:paraId="76769B0C">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 材料和工程设备</w:t>
      </w:r>
    </w:p>
    <w:p w14:paraId="44906D51">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5.2发包人提供的材料和工程设备</w:t>
      </w:r>
    </w:p>
    <w:p w14:paraId="79C3FC5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5.2.1发包人提供的材料和工程设备见下表。</w:t>
      </w:r>
    </w:p>
    <w:p w14:paraId="244767C1">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发包人提供的材料表（参考格式）</w:t>
      </w:r>
    </w:p>
    <w:tbl>
      <w:tblPr>
        <w:tblStyle w:val="6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00"/>
        <w:gridCol w:w="1245"/>
        <w:gridCol w:w="900"/>
        <w:gridCol w:w="1305"/>
        <w:gridCol w:w="1275"/>
        <w:gridCol w:w="1770"/>
        <w:gridCol w:w="804"/>
      </w:tblGrid>
      <w:tr w14:paraId="380E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181CA90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00" w:type="dxa"/>
            <w:noWrap w:val="0"/>
            <w:vAlign w:val="center"/>
          </w:tcPr>
          <w:p w14:paraId="28CD618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1245" w:type="dxa"/>
            <w:noWrap w:val="0"/>
            <w:vAlign w:val="center"/>
          </w:tcPr>
          <w:p w14:paraId="548C3EE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材料规格</w:t>
            </w:r>
          </w:p>
        </w:tc>
        <w:tc>
          <w:tcPr>
            <w:tcW w:w="900" w:type="dxa"/>
            <w:noWrap w:val="0"/>
            <w:vAlign w:val="center"/>
          </w:tcPr>
          <w:p w14:paraId="52B863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05" w:type="dxa"/>
            <w:noWrap w:val="0"/>
            <w:vAlign w:val="center"/>
          </w:tcPr>
          <w:p w14:paraId="6BC9D3F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交货地点</w:t>
            </w:r>
          </w:p>
        </w:tc>
        <w:tc>
          <w:tcPr>
            <w:tcW w:w="1275" w:type="dxa"/>
            <w:noWrap w:val="0"/>
            <w:vAlign w:val="center"/>
          </w:tcPr>
          <w:p w14:paraId="70615E2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交货方式</w:t>
            </w:r>
          </w:p>
        </w:tc>
        <w:tc>
          <w:tcPr>
            <w:tcW w:w="1770" w:type="dxa"/>
            <w:noWrap w:val="0"/>
            <w:vAlign w:val="center"/>
          </w:tcPr>
          <w:p w14:paraId="3B24D62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计划交货日期</w:t>
            </w:r>
          </w:p>
        </w:tc>
        <w:tc>
          <w:tcPr>
            <w:tcW w:w="804" w:type="dxa"/>
            <w:noWrap w:val="0"/>
            <w:vAlign w:val="center"/>
          </w:tcPr>
          <w:p w14:paraId="1BC621F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83E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3C594F87">
            <w:pPr>
              <w:spacing w:line="440" w:lineRule="exact"/>
              <w:jc w:val="center"/>
              <w:rPr>
                <w:rFonts w:hint="eastAsia" w:ascii="宋体" w:hAnsi="宋体" w:eastAsia="宋体" w:cs="宋体"/>
                <w:color w:val="auto"/>
                <w:szCs w:val="21"/>
                <w:highlight w:val="none"/>
              </w:rPr>
            </w:pPr>
          </w:p>
        </w:tc>
        <w:tc>
          <w:tcPr>
            <w:tcW w:w="1200" w:type="dxa"/>
            <w:noWrap w:val="0"/>
            <w:vAlign w:val="center"/>
          </w:tcPr>
          <w:p w14:paraId="09B72A7A">
            <w:pPr>
              <w:spacing w:line="440" w:lineRule="exact"/>
              <w:jc w:val="center"/>
              <w:rPr>
                <w:rFonts w:hint="eastAsia" w:ascii="宋体" w:hAnsi="宋体" w:eastAsia="宋体" w:cs="宋体"/>
                <w:color w:val="auto"/>
                <w:szCs w:val="21"/>
                <w:highlight w:val="none"/>
              </w:rPr>
            </w:pPr>
          </w:p>
        </w:tc>
        <w:tc>
          <w:tcPr>
            <w:tcW w:w="1245" w:type="dxa"/>
            <w:noWrap w:val="0"/>
            <w:vAlign w:val="center"/>
          </w:tcPr>
          <w:p w14:paraId="786B2ED9">
            <w:pPr>
              <w:spacing w:line="440" w:lineRule="exact"/>
              <w:jc w:val="center"/>
              <w:rPr>
                <w:rFonts w:hint="eastAsia" w:ascii="宋体" w:hAnsi="宋体" w:eastAsia="宋体" w:cs="宋体"/>
                <w:color w:val="auto"/>
                <w:szCs w:val="21"/>
                <w:highlight w:val="none"/>
              </w:rPr>
            </w:pPr>
          </w:p>
        </w:tc>
        <w:tc>
          <w:tcPr>
            <w:tcW w:w="900" w:type="dxa"/>
            <w:noWrap w:val="0"/>
            <w:vAlign w:val="center"/>
          </w:tcPr>
          <w:p w14:paraId="7375EBE7">
            <w:pPr>
              <w:spacing w:line="440" w:lineRule="exact"/>
              <w:jc w:val="center"/>
              <w:rPr>
                <w:rFonts w:hint="eastAsia" w:ascii="宋体" w:hAnsi="宋体" w:eastAsia="宋体" w:cs="宋体"/>
                <w:color w:val="auto"/>
                <w:szCs w:val="21"/>
                <w:highlight w:val="none"/>
              </w:rPr>
            </w:pPr>
          </w:p>
        </w:tc>
        <w:tc>
          <w:tcPr>
            <w:tcW w:w="1305" w:type="dxa"/>
            <w:noWrap w:val="0"/>
            <w:vAlign w:val="center"/>
          </w:tcPr>
          <w:p w14:paraId="6F296D94">
            <w:pPr>
              <w:spacing w:line="440" w:lineRule="exact"/>
              <w:jc w:val="center"/>
              <w:rPr>
                <w:rFonts w:hint="eastAsia" w:ascii="宋体" w:hAnsi="宋体" w:eastAsia="宋体" w:cs="宋体"/>
                <w:color w:val="auto"/>
                <w:szCs w:val="21"/>
                <w:highlight w:val="none"/>
              </w:rPr>
            </w:pPr>
          </w:p>
        </w:tc>
        <w:tc>
          <w:tcPr>
            <w:tcW w:w="1275" w:type="dxa"/>
            <w:noWrap w:val="0"/>
            <w:vAlign w:val="center"/>
          </w:tcPr>
          <w:p w14:paraId="6C493B77">
            <w:pPr>
              <w:spacing w:line="440" w:lineRule="exact"/>
              <w:jc w:val="center"/>
              <w:rPr>
                <w:rFonts w:hint="eastAsia" w:ascii="宋体" w:hAnsi="宋体" w:eastAsia="宋体" w:cs="宋体"/>
                <w:color w:val="auto"/>
                <w:szCs w:val="21"/>
                <w:highlight w:val="none"/>
              </w:rPr>
            </w:pPr>
          </w:p>
        </w:tc>
        <w:tc>
          <w:tcPr>
            <w:tcW w:w="1770" w:type="dxa"/>
            <w:noWrap w:val="0"/>
            <w:vAlign w:val="center"/>
          </w:tcPr>
          <w:p w14:paraId="6BDD3352">
            <w:pPr>
              <w:spacing w:line="440" w:lineRule="exact"/>
              <w:jc w:val="center"/>
              <w:rPr>
                <w:rFonts w:hint="eastAsia" w:ascii="宋体" w:hAnsi="宋体" w:eastAsia="宋体" w:cs="宋体"/>
                <w:color w:val="auto"/>
                <w:szCs w:val="21"/>
                <w:highlight w:val="none"/>
              </w:rPr>
            </w:pPr>
          </w:p>
        </w:tc>
        <w:tc>
          <w:tcPr>
            <w:tcW w:w="804" w:type="dxa"/>
            <w:noWrap w:val="0"/>
            <w:vAlign w:val="center"/>
          </w:tcPr>
          <w:p w14:paraId="67E6DAEC">
            <w:pPr>
              <w:spacing w:line="440" w:lineRule="exact"/>
              <w:jc w:val="center"/>
              <w:rPr>
                <w:rFonts w:hint="eastAsia" w:ascii="宋体" w:hAnsi="宋体" w:eastAsia="宋体" w:cs="宋体"/>
                <w:color w:val="auto"/>
                <w:szCs w:val="21"/>
                <w:highlight w:val="none"/>
              </w:rPr>
            </w:pPr>
          </w:p>
        </w:tc>
      </w:tr>
      <w:tr w14:paraId="2338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4C1AFED8">
            <w:pPr>
              <w:spacing w:line="440" w:lineRule="exact"/>
              <w:jc w:val="center"/>
              <w:rPr>
                <w:rFonts w:hint="eastAsia" w:ascii="宋体" w:hAnsi="宋体" w:eastAsia="宋体" w:cs="宋体"/>
                <w:color w:val="auto"/>
                <w:szCs w:val="21"/>
                <w:highlight w:val="none"/>
              </w:rPr>
            </w:pPr>
          </w:p>
        </w:tc>
        <w:tc>
          <w:tcPr>
            <w:tcW w:w="1200" w:type="dxa"/>
            <w:noWrap w:val="0"/>
            <w:vAlign w:val="center"/>
          </w:tcPr>
          <w:p w14:paraId="22768633">
            <w:pPr>
              <w:spacing w:line="440" w:lineRule="exact"/>
              <w:jc w:val="center"/>
              <w:rPr>
                <w:rFonts w:hint="eastAsia" w:ascii="宋体" w:hAnsi="宋体" w:eastAsia="宋体" w:cs="宋体"/>
                <w:color w:val="auto"/>
                <w:szCs w:val="21"/>
                <w:highlight w:val="none"/>
              </w:rPr>
            </w:pPr>
          </w:p>
        </w:tc>
        <w:tc>
          <w:tcPr>
            <w:tcW w:w="1245" w:type="dxa"/>
            <w:noWrap w:val="0"/>
            <w:vAlign w:val="center"/>
          </w:tcPr>
          <w:p w14:paraId="345EE720">
            <w:pPr>
              <w:spacing w:line="440" w:lineRule="exact"/>
              <w:jc w:val="center"/>
              <w:rPr>
                <w:rFonts w:hint="eastAsia" w:ascii="宋体" w:hAnsi="宋体" w:eastAsia="宋体" w:cs="宋体"/>
                <w:color w:val="auto"/>
                <w:szCs w:val="21"/>
                <w:highlight w:val="none"/>
              </w:rPr>
            </w:pPr>
          </w:p>
        </w:tc>
        <w:tc>
          <w:tcPr>
            <w:tcW w:w="900" w:type="dxa"/>
            <w:noWrap w:val="0"/>
            <w:vAlign w:val="center"/>
          </w:tcPr>
          <w:p w14:paraId="57A4696F">
            <w:pPr>
              <w:spacing w:line="440" w:lineRule="exact"/>
              <w:jc w:val="center"/>
              <w:rPr>
                <w:rFonts w:hint="eastAsia" w:ascii="宋体" w:hAnsi="宋体" w:eastAsia="宋体" w:cs="宋体"/>
                <w:color w:val="auto"/>
                <w:szCs w:val="21"/>
                <w:highlight w:val="none"/>
              </w:rPr>
            </w:pPr>
          </w:p>
        </w:tc>
        <w:tc>
          <w:tcPr>
            <w:tcW w:w="1305" w:type="dxa"/>
            <w:noWrap w:val="0"/>
            <w:vAlign w:val="center"/>
          </w:tcPr>
          <w:p w14:paraId="53533630">
            <w:pPr>
              <w:spacing w:line="440" w:lineRule="exact"/>
              <w:jc w:val="center"/>
              <w:rPr>
                <w:rFonts w:hint="eastAsia" w:ascii="宋体" w:hAnsi="宋体" w:eastAsia="宋体" w:cs="宋体"/>
                <w:color w:val="auto"/>
                <w:szCs w:val="21"/>
                <w:highlight w:val="none"/>
              </w:rPr>
            </w:pPr>
          </w:p>
        </w:tc>
        <w:tc>
          <w:tcPr>
            <w:tcW w:w="1275" w:type="dxa"/>
            <w:noWrap w:val="0"/>
            <w:vAlign w:val="center"/>
          </w:tcPr>
          <w:p w14:paraId="529BFCA4">
            <w:pPr>
              <w:spacing w:line="440" w:lineRule="exact"/>
              <w:jc w:val="center"/>
              <w:rPr>
                <w:rFonts w:hint="eastAsia" w:ascii="宋体" w:hAnsi="宋体" w:eastAsia="宋体" w:cs="宋体"/>
                <w:color w:val="auto"/>
                <w:szCs w:val="21"/>
                <w:highlight w:val="none"/>
              </w:rPr>
            </w:pPr>
          </w:p>
        </w:tc>
        <w:tc>
          <w:tcPr>
            <w:tcW w:w="1770" w:type="dxa"/>
            <w:noWrap w:val="0"/>
            <w:vAlign w:val="center"/>
          </w:tcPr>
          <w:p w14:paraId="01871B43">
            <w:pPr>
              <w:spacing w:line="440" w:lineRule="exact"/>
              <w:jc w:val="center"/>
              <w:rPr>
                <w:rFonts w:hint="eastAsia" w:ascii="宋体" w:hAnsi="宋体" w:eastAsia="宋体" w:cs="宋体"/>
                <w:color w:val="auto"/>
                <w:szCs w:val="21"/>
                <w:highlight w:val="none"/>
              </w:rPr>
            </w:pPr>
          </w:p>
        </w:tc>
        <w:tc>
          <w:tcPr>
            <w:tcW w:w="804" w:type="dxa"/>
            <w:noWrap w:val="0"/>
            <w:vAlign w:val="center"/>
          </w:tcPr>
          <w:p w14:paraId="71D2D54D">
            <w:pPr>
              <w:spacing w:line="440" w:lineRule="exact"/>
              <w:jc w:val="center"/>
              <w:rPr>
                <w:rFonts w:hint="eastAsia" w:ascii="宋体" w:hAnsi="宋体" w:eastAsia="宋体" w:cs="宋体"/>
                <w:color w:val="auto"/>
                <w:szCs w:val="21"/>
                <w:highlight w:val="none"/>
              </w:rPr>
            </w:pPr>
          </w:p>
        </w:tc>
      </w:tr>
    </w:tbl>
    <w:p w14:paraId="77CB388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发包人提供的工程设备表（参考格式）</w:t>
      </w:r>
    </w:p>
    <w:tbl>
      <w:tblPr>
        <w:tblStyle w:val="6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05"/>
        <w:gridCol w:w="1425"/>
        <w:gridCol w:w="690"/>
        <w:gridCol w:w="1110"/>
        <w:gridCol w:w="1080"/>
        <w:gridCol w:w="1770"/>
        <w:gridCol w:w="804"/>
      </w:tblGrid>
      <w:tr w14:paraId="5296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6FD3A8A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05" w:type="dxa"/>
            <w:noWrap w:val="0"/>
            <w:vAlign w:val="center"/>
          </w:tcPr>
          <w:p w14:paraId="52C8E30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工程设备名称</w:t>
            </w:r>
          </w:p>
        </w:tc>
        <w:tc>
          <w:tcPr>
            <w:tcW w:w="1425" w:type="dxa"/>
            <w:noWrap w:val="0"/>
            <w:vAlign w:val="center"/>
          </w:tcPr>
          <w:p w14:paraId="0155900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型号及规格</w:t>
            </w:r>
          </w:p>
        </w:tc>
        <w:tc>
          <w:tcPr>
            <w:tcW w:w="690" w:type="dxa"/>
            <w:noWrap w:val="0"/>
            <w:vAlign w:val="center"/>
          </w:tcPr>
          <w:p w14:paraId="02D965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10" w:type="dxa"/>
            <w:noWrap w:val="0"/>
            <w:vAlign w:val="center"/>
          </w:tcPr>
          <w:p w14:paraId="756D085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交货地点</w:t>
            </w:r>
          </w:p>
        </w:tc>
        <w:tc>
          <w:tcPr>
            <w:tcW w:w="1080" w:type="dxa"/>
            <w:noWrap w:val="0"/>
            <w:vAlign w:val="center"/>
          </w:tcPr>
          <w:p w14:paraId="21DAB2D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交货方式</w:t>
            </w:r>
          </w:p>
        </w:tc>
        <w:tc>
          <w:tcPr>
            <w:tcW w:w="1770" w:type="dxa"/>
            <w:noWrap w:val="0"/>
            <w:vAlign w:val="center"/>
          </w:tcPr>
          <w:p w14:paraId="436A66E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计划交货日期</w:t>
            </w:r>
          </w:p>
        </w:tc>
        <w:tc>
          <w:tcPr>
            <w:tcW w:w="804" w:type="dxa"/>
            <w:noWrap w:val="0"/>
            <w:vAlign w:val="center"/>
          </w:tcPr>
          <w:p w14:paraId="60F4FD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F12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02D5D839">
            <w:pPr>
              <w:spacing w:line="440" w:lineRule="exact"/>
              <w:jc w:val="center"/>
              <w:rPr>
                <w:rFonts w:hint="eastAsia" w:ascii="宋体" w:hAnsi="宋体" w:eastAsia="宋体" w:cs="宋体"/>
                <w:color w:val="auto"/>
                <w:sz w:val="24"/>
                <w:highlight w:val="none"/>
              </w:rPr>
            </w:pPr>
          </w:p>
        </w:tc>
        <w:tc>
          <w:tcPr>
            <w:tcW w:w="1605" w:type="dxa"/>
            <w:noWrap w:val="0"/>
            <w:vAlign w:val="center"/>
          </w:tcPr>
          <w:p w14:paraId="055B772E">
            <w:pPr>
              <w:spacing w:line="440" w:lineRule="exact"/>
              <w:jc w:val="center"/>
              <w:rPr>
                <w:rFonts w:hint="eastAsia" w:ascii="宋体" w:hAnsi="宋体" w:eastAsia="宋体" w:cs="宋体"/>
                <w:color w:val="auto"/>
                <w:sz w:val="24"/>
                <w:highlight w:val="none"/>
              </w:rPr>
            </w:pPr>
          </w:p>
        </w:tc>
        <w:tc>
          <w:tcPr>
            <w:tcW w:w="1425" w:type="dxa"/>
            <w:noWrap w:val="0"/>
            <w:vAlign w:val="center"/>
          </w:tcPr>
          <w:p w14:paraId="6FEA0921">
            <w:pPr>
              <w:spacing w:line="440" w:lineRule="exact"/>
              <w:jc w:val="center"/>
              <w:rPr>
                <w:rFonts w:hint="eastAsia" w:ascii="宋体" w:hAnsi="宋体" w:eastAsia="宋体" w:cs="宋体"/>
                <w:color w:val="auto"/>
                <w:sz w:val="24"/>
                <w:highlight w:val="none"/>
              </w:rPr>
            </w:pPr>
          </w:p>
        </w:tc>
        <w:tc>
          <w:tcPr>
            <w:tcW w:w="690" w:type="dxa"/>
            <w:noWrap w:val="0"/>
            <w:vAlign w:val="center"/>
          </w:tcPr>
          <w:p w14:paraId="4C2A91CA">
            <w:pPr>
              <w:spacing w:line="440" w:lineRule="exact"/>
              <w:jc w:val="center"/>
              <w:rPr>
                <w:rFonts w:hint="eastAsia" w:ascii="宋体" w:hAnsi="宋体" w:eastAsia="宋体" w:cs="宋体"/>
                <w:color w:val="auto"/>
                <w:sz w:val="24"/>
                <w:highlight w:val="none"/>
              </w:rPr>
            </w:pPr>
          </w:p>
        </w:tc>
        <w:tc>
          <w:tcPr>
            <w:tcW w:w="1110" w:type="dxa"/>
            <w:noWrap w:val="0"/>
            <w:vAlign w:val="center"/>
          </w:tcPr>
          <w:p w14:paraId="4AC844C9">
            <w:pPr>
              <w:spacing w:line="440" w:lineRule="exact"/>
              <w:jc w:val="center"/>
              <w:rPr>
                <w:rFonts w:hint="eastAsia" w:ascii="宋体" w:hAnsi="宋体" w:eastAsia="宋体" w:cs="宋体"/>
                <w:color w:val="auto"/>
                <w:sz w:val="24"/>
                <w:highlight w:val="none"/>
              </w:rPr>
            </w:pPr>
          </w:p>
        </w:tc>
        <w:tc>
          <w:tcPr>
            <w:tcW w:w="1080" w:type="dxa"/>
            <w:noWrap w:val="0"/>
            <w:vAlign w:val="center"/>
          </w:tcPr>
          <w:p w14:paraId="7B0E3E2C">
            <w:pPr>
              <w:spacing w:line="440" w:lineRule="exact"/>
              <w:jc w:val="center"/>
              <w:rPr>
                <w:rFonts w:hint="eastAsia" w:ascii="宋体" w:hAnsi="宋体" w:eastAsia="宋体" w:cs="宋体"/>
                <w:color w:val="auto"/>
                <w:sz w:val="24"/>
                <w:highlight w:val="none"/>
              </w:rPr>
            </w:pPr>
          </w:p>
        </w:tc>
        <w:tc>
          <w:tcPr>
            <w:tcW w:w="1770" w:type="dxa"/>
            <w:noWrap w:val="0"/>
            <w:vAlign w:val="center"/>
          </w:tcPr>
          <w:p w14:paraId="03B1DA12">
            <w:pPr>
              <w:spacing w:line="440" w:lineRule="exact"/>
              <w:jc w:val="center"/>
              <w:rPr>
                <w:rFonts w:hint="eastAsia" w:ascii="宋体" w:hAnsi="宋体" w:eastAsia="宋体" w:cs="宋体"/>
                <w:color w:val="auto"/>
                <w:sz w:val="24"/>
                <w:highlight w:val="none"/>
              </w:rPr>
            </w:pPr>
          </w:p>
        </w:tc>
        <w:tc>
          <w:tcPr>
            <w:tcW w:w="804" w:type="dxa"/>
            <w:noWrap w:val="0"/>
            <w:vAlign w:val="center"/>
          </w:tcPr>
          <w:p w14:paraId="2A220C70">
            <w:pPr>
              <w:spacing w:line="440" w:lineRule="exact"/>
              <w:jc w:val="center"/>
              <w:rPr>
                <w:rFonts w:hint="eastAsia" w:ascii="宋体" w:hAnsi="宋体" w:eastAsia="宋体" w:cs="宋体"/>
                <w:color w:val="auto"/>
                <w:sz w:val="24"/>
                <w:highlight w:val="none"/>
              </w:rPr>
            </w:pPr>
          </w:p>
        </w:tc>
      </w:tr>
      <w:tr w14:paraId="20C4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261E4401">
            <w:pPr>
              <w:spacing w:line="440" w:lineRule="exact"/>
              <w:jc w:val="center"/>
              <w:rPr>
                <w:rFonts w:hint="eastAsia" w:ascii="宋体" w:hAnsi="宋体" w:eastAsia="宋体" w:cs="宋体"/>
                <w:color w:val="auto"/>
                <w:sz w:val="24"/>
                <w:highlight w:val="none"/>
              </w:rPr>
            </w:pPr>
          </w:p>
        </w:tc>
        <w:tc>
          <w:tcPr>
            <w:tcW w:w="1605" w:type="dxa"/>
            <w:noWrap w:val="0"/>
            <w:vAlign w:val="center"/>
          </w:tcPr>
          <w:p w14:paraId="18B34E1A">
            <w:pPr>
              <w:spacing w:line="440" w:lineRule="exact"/>
              <w:jc w:val="center"/>
              <w:rPr>
                <w:rFonts w:hint="eastAsia" w:ascii="宋体" w:hAnsi="宋体" w:eastAsia="宋体" w:cs="宋体"/>
                <w:color w:val="auto"/>
                <w:sz w:val="24"/>
                <w:highlight w:val="none"/>
              </w:rPr>
            </w:pPr>
          </w:p>
        </w:tc>
        <w:tc>
          <w:tcPr>
            <w:tcW w:w="1425" w:type="dxa"/>
            <w:noWrap w:val="0"/>
            <w:vAlign w:val="center"/>
          </w:tcPr>
          <w:p w14:paraId="330F94A1">
            <w:pPr>
              <w:spacing w:line="440" w:lineRule="exact"/>
              <w:jc w:val="center"/>
              <w:rPr>
                <w:rFonts w:hint="eastAsia" w:ascii="宋体" w:hAnsi="宋体" w:eastAsia="宋体" w:cs="宋体"/>
                <w:color w:val="auto"/>
                <w:sz w:val="24"/>
                <w:highlight w:val="none"/>
              </w:rPr>
            </w:pPr>
          </w:p>
        </w:tc>
        <w:tc>
          <w:tcPr>
            <w:tcW w:w="690" w:type="dxa"/>
            <w:noWrap w:val="0"/>
            <w:vAlign w:val="center"/>
          </w:tcPr>
          <w:p w14:paraId="244747E7">
            <w:pPr>
              <w:spacing w:line="440" w:lineRule="exact"/>
              <w:jc w:val="center"/>
              <w:rPr>
                <w:rFonts w:hint="eastAsia" w:ascii="宋体" w:hAnsi="宋体" w:eastAsia="宋体" w:cs="宋体"/>
                <w:color w:val="auto"/>
                <w:sz w:val="24"/>
                <w:highlight w:val="none"/>
              </w:rPr>
            </w:pPr>
          </w:p>
        </w:tc>
        <w:tc>
          <w:tcPr>
            <w:tcW w:w="1110" w:type="dxa"/>
            <w:noWrap w:val="0"/>
            <w:vAlign w:val="center"/>
          </w:tcPr>
          <w:p w14:paraId="7A9EEE34">
            <w:pPr>
              <w:spacing w:line="440" w:lineRule="exact"/>
              <w:jc w:val="center"/>
              <w:rPr>
                <w:rFonts w:hint="eastAsia" w:ascii="宋体" w:hAnsi="宋体" w:eastAsia="宋体" w:cs="宋体"/>
                <w:color w:val="auto"/>
                <w:sz w:val="24"/>
                <w:highlight w:val="none"/>
              </w:rPr>
            </w:pPr>
          </w:p>
        </w:tc>
        <w:tc>
          <w:tcPr>
            <w:tcW w:w="1080" w:type="dxa"/>
            <w:noWrap w:val="0"/>
            <w:vAlign w:val="center"/>
          </w:tcPr>
          <w:p w14:paraId="53135B4B">
            <w:pPr>
              <w:spacing w:line="440" w:lineRule="exact"/>
              <w:jc w:val="center"/>
              <w:rPr>
                <w:rFonts w:hint="eastAsia" w:ascii="宋体" w:hAnsi="宋体" w:eastAsia="宋体" w:cs="宋体"/>
                <w:color w:val="auto"/>
                <w:sz w:val="24"/>
                <w:highlight w:val="none"/>
              </w:rPr>
            </w:pPr>
          </w:p>
        </w:tc>
        <w:tc>
          <w:tcPr>
            <w:tcW w:w="1770" w:type="dxa"/>
            <w:noWrap w:val="0"/>
            <w:vAlign w:val="center"/>
          </w:tcPr>
          <w:p w14:paraId="236A36A5">
            <w:pPr>
              <w:spacing w:line="440" w:lineRule="exact"/>
              <w:jc w:val="center"/>
              <w:rPr>
                <w:rFonts w:hint="eastAsia" w:ascii="宋体" w:hAnsi="宋体" w:eastAsia="宋体" w:cs="宋体"/>
                <w:color w:val="auto"/>
                <w:sz w:val="24"/>
                <w:highlight w:val="none"/>
              </w:rPr>
            </w:pPr>
          </w:p>
        </w:tc>
        <w:tc>
          <w:tcPr>
            <w:tcW w:w="804" w:type="dxa"/>
            <w:noWrap w:val="0"/>
            <w:vAlign w:val="center"/>
          </w:tcPr>
          <w:p w14:paraId="5C951D31">
            <w:pPr>
              <w:spacing w:line="440" w:lineRule="exact"/>
              <w:jc w:val="center"/>
              <w:rPr>
                <w:rFonts w:hint="eastAsia" w:ascii="宋体" w:hAnsi="宋体" w:eastAsia="宋体" w:cs="宋体"/>
                <w:color w:val="auto"/>
                <w:sz w:val="24"/>
                <w:highlight w:val="none"/>
              </w:rPr>
            </w:pPr>
          </w:p>
        </w:tc>
      </w:tr>
    </w:tbl>
    <w:p w14:paraId="2F74A877">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6 施工设备和临时设施</w:t>
      </w:r>
    </w:p>
    <w:p w14:paraId="11BB1C3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6.2发包人提供的施工设备和临时设施</w:t>
      </w:r>
    </w:p>
    <w:p w14:paraId="656EA05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（1）发包人提供的施工设备见下表。</w:t>
      </w:r>
    </w:p>
    <w:p w14:paraId="24E1AB73">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发包人提供的施工设备表（参考格式）</w:t>
      </w:r>
    </w:p>
    <w:tbl>
      <w:tblPr>
        <w:tblStyle w:val="6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665"/>
        <w:gridCol w:w="1365"/>
        <w:gridCol w:w="1170"/>
        <w:gridCol w:w="645"/>
        <w:gridCol w:w="1080"/>
        <w:gridCol w:w="1770"/>
        <w:gridCol w:w="804"/>
      </w:tblGrid>
      <w:tr w14:paraId="18F9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1D35F48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65" w:type="dxa"/>
            <w:noWrap w:val="0"/>
            <w:vAlign w:val="center"/>
          </w:tcPr>
          <w:p w14:paraId="4D7ECC8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施工设备名称</w:t>
            </w:r>
          </w:p>
        </w:tc>
        <w:tc>
          <w:tcPr>
            <w:tcW w:w="1365" w:type="dxa"/>
            <w:noWrap w:val="0"/>
            <w:vAlign w:val="center"/>
          </w:tcPr>
          <w:p w14:paraId="44D3A2E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型号及规格</w:t>
            </w:r>
          </w:p>
        </w:tc>
        <w:tc>
          <w:tcPr>
            <w:tcW w:w="1170" w:type="dxa"/>
            <w:noWrap w:val="0"/>
            <w:vAlign w:val="center"/>
          </w:tcPr>
          <w:p w14:paraId="0721957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设备状况</w:t>
            </w:r>
          </w:p>
        </w:tc>
        <w:tc>
          <w:tcPr>
            <w:tcW w:w="645" w:type="dxa"/>
            <w:noWrap w:val="0"/>
            <w:vAlign w:val="center"/>
          </w:tcPr>
          <w:p w14:paraId="0E26E84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080" w:type="dxa"/>
            <w:noWrap w:val="0"/>
            <w:vAlign w:val="center"/>
          </w:tcPr>
          <w:p w14:paraId="08ED4E7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移交地点</w:t>
            </w:r>
          </w:p>
        </w:tc>
        <w:tc>
          <w:tcPr>
            <w:tcW w:w="1770" w:type="dxa"/>
            <w:noWrap w:val="0"/>
            <w:vAlign w:val="center"/>
          </w:tcPr>
          <w:p w14:paraId="2EABEFE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计划移交日期</w:t>
            </w:r>
          </w:p>
        </w:tc>
        <w:tc>
          <w:tcPr>
            <w:tcW w:w="804" w:type="dxa"/>
            <w:noWrap w:val="0"/>
            <w:vAlign w:val="center"/>
          </w:tcPr>
          <w:p w14:paraId="7F8119C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CAB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6B7BCEE2">
            <w:pPr>
              <w:spacing w:line="440" w:lineRule="exact"/>
              <w:jc w:val="center"/>
              <w:rPr>
                <w:rFonts w:hint="eastAsia" w:ascii="宋体" w:hAnsi="宋体" w:eastAsia="宋体" w:cs="宋体"/>
                <w:color w:val="auto"/>
                <w:sz w:val="24"/>
                <w:highlight w:val="none"/>
              </w:rPr>
            </w:pPr>
          </w:p>
        </w:tc>
        <w:tc>
          <w:tcPr>
            <w:tcW w:w="1665" w:type="dxa"/>
            <w:noWrap w:val="0"/>
            <w:vAlign w:val="center"/>
          </w:tcPr>
          <w:p w14:paraId="280F5A24">
            <w:pPr>
              <w:spacing w:line="440" w:lineRule="exact"/>
              <w:jc w:val="center"/>
              <w:rPr>
                <w:rFonts w:hint="eastAsia" w:ascii="宋体" w:hAnsi="宋体" w:eastAsia="宋体" w:cs="宋体"/>
                <w:color w:val="auto"/>
                <w:sz w:val="24"/>
                <w:highlight w:val="none"/>
              </w:rPr>
            </w:pPr>
          </w:p>
        </w:tc>
        <w:tc>
          <w:tcPr>
            <w:tcW w:w="1365" w:type="dxa"/>
            <w:noWrap w:val="0"/>
            <w:vAlign w:val="center"/>
          </w:tcPr>
          <w:p w14:paraId="0F427B6C">
            <w:pPr>
              <w:spacing w:line="440" w:lineRule="exact"/>
              <w:jc w:val="center"/>
              <w:rPr>
                <w:rFonts w:hint="eastAsia" w:ascii="宋体" w:hAnsi="宋体" w:eastAsia="宋体" w:cs="宋体"/>
                <w:color w:val="auto"/>
                <w:sz w:val="24"/>
                <w:highlight w:val="none"/>
              </w:rPr>
            </w:pPr>
          </w:p>
        </w:tc>
        <w:tc>
          <w:tcPr>
            <w:tcW w:w="1170" w:type="dxa"/>
            <w:noWrap w:val="0"/>
            <w:vAlign w:val="center"/>
          </w:tcPr>
          <w:p w14:paraId="63A224F3">
            <w:pPr>
              <w:spacing w:line="440" w:lineRule="exact"/>
              <w:jc w:val="center"/>
              <w:rPr>
                <w:rFonts w:hint="eastAsia" w:ascii="宋体" w:hAnsi="宋体" w:eastAsia="宋体" w:cs="宋体"/>
                <w:color w:val="auto"/>
                <w:sz w:val="24"/>
                <w:highlight w:val="none"/>
              </w:rPr>
            </w:pPr>
          </w:p>
        </w:tc>
        <w:tc>
          <w:tcPr>
            <w:tcW w:w="645" w:type="dxa"/>
            <w:noWrap w:val="0"/>
            <w:vAlign w:val="center"/>
          </w:tcPr>
          <w:p w14:paraId="54670CB6">
            <w:pPr>
              <w:spacing w:line="440" w:lineRule="exact"/>
              <w:jc w:val="center"/>
              <w:rPr>
                <w:rFonts w:hint="eastAsia" w:ascii="宋体" w:hAnsi="宋体" w:eastAsia="宋体" w:cs="宋体"/>
                <w:color w:val="auto"/>
                <w:sz w:val="24"/>
                <w:highlight w:val="none"/>
              </w:rPr>
            </w:pPr>
          </w:p>
        </w:tc>
        <w:tc>
          <w:tcPr>
            <w:tcW w:w="1080" w:type="dxa"/>
            <w:noWrap w:val="0"/>
            <w:vAlign w:val="center"/>
          </w:tcPr>
          <w:p w14:paraId="72B50020">
            <w:pPr>
              <w:spacing w:line="440" w:lineRule="exact"/>
              <w:jc w:val="center"/>
              <w:rPr>
                <w:rFonts w:hint="eastAsia" w:ascii="宋体" w:hAnsi="宋体" w:eastAsia="宋体" w:cs="宋体"/>
                <w:color w:val="auto"/>
                <w:sz w:val="24"/>
                <w:highlight w:val="none"/>
              </w:rPr>
            </w:pPr>
          </w:p>
        </w:tc>
        <w:tc>
          <w:tcPr>
            <w:tcW w:w="1770" w:type="dxa"/>
            <w:noWrap w:val="0"/>
            <w:vAlign w:val="center"/>
          </w:tcPr>
          <w:p w14:paraId="24EBD8F6">
            <w:pPr>
              <w:spacing w:line="440" w:lineRule="exact"/>
              <w:jc w:val="center"/>
              <w:rPr>
                <w:rFonts w:hint="eastAsia" w:ascii="宋体" w:hAnsi="宋体" w:eastAsia="宋体" w:cs="宋体"/>
                <w:color w:val="auto"/>
                <w:sz w:val="24"/>
                <w:highlight w:val="none"/>
              </w:rPr>
            </w:pPr>
          </w:p>
        </w:tc>
        <w:tc>
          <w:tcPr>
            <w:tcW w:w="804" w:type="dxa"/>
            <w:noWrap w:val="0"/>
            <w:vAlign w:val="center"/>
          </w:tcPr>
          <w:p w14:paraId="364A3D06">
            <w:pPr>
              <w:spacing w:line="440" w:lineRule="exact"/>
              <w:jc w:val="center"/>
              <w:rPr>
                <w:rFonts w:hint="eastAsia" w:ascii="宋体" w:hAnsi="宋体" w:eastAsia="宋体" w:cs="宋体"/>
                <w:color w:val="auto"/>
                <w:sz w:val="24"/>
                <w:highlight w:val="none"/>
              </w:rPr>
            </w:pPr>
          </w:p>
        </w:tc>
      </w:tr>
      <w:tr w14:paraId="0F81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78167D12">
            <w:pPr>
              <w:spacing w:line="440" w:lineRule="exact"/>
              <w:jc w:val="center"/>
              <w:rPr>
                <w:rFonts w:hint="eastAsia" w:ascii="宋体" w:hAnsi="宋体" w:eastAsia="宋体" w:cs="宋体"/>
                <w:color w:val="auto"/>
                <w:sz w:val="24"/>
                <w:highlight w:val="none"/>
              </w:rPr>
            </w:pPr>
          </w:p>
        </w:tc>
        <w:tc>
          <w:tcPr>
            <w:tcW w:w="1665" w:type="dxa"/>
            <w:noWrap w:val="0"/>
            <w:vAlign w:val="center"/>
          </w:tcPr>
          <w:p w14:paraId="37157D5A">
            <w:pPr>
              <w:spacing w:line="440" w:lineRule="exact"/>
              <w:jc w:val="center"/>
              <w:rPr>
                <w:rFonts w:hint="eastAsia" w:ascii="宋体" w:hAnsi="宋体" w:eastAsia="宋体" w:cs="宋体"/>
                <w:color w:val="auto"/>
                <w:sz w:val="24"/>
                <w:highlight w:val="none"/>
              </w:rPr>
            </w:pPr>
          </w:p>
        </w:tc>
        <w:tc>
          <w:tcPr>
            <w:tcW w:w="1365" w:type="dxa"/>
            <w:noWrap w:val="0"/>
            <w:vAlign w:val="center"/>
          </w:tcPr>
          <w:p w14:paraId="1581FA9A">
            <w:pPr>
              <w:spacing w:line="440" w:lineRule="exact"/>
              <w:jc w:val="center"/>
              <w:rPr>
                <w:rFonts w:hint="eastAsia" w:ascii="宋体" w:hAnsi="宋体" w:eastAsia="宋体" w:cs="宋体"/>
                <w:color w:val="auto"/>
                <w:sz w:val="24"/>
                <w:highlight w:val="none"/>
              </w:rPr>
            </w:pPr>
          </w:p>
        </w:tc>
        <w:tc>
          <w:tcPr>
            <w:tcW w:w="1170" w:type="dxa"/>
            <w:noWrap w:val="0"/>
            <w:vAlign w:val="center"/>
          </w:tcPr>
          <w:p w14:paraId="2098543D">
            <w:pPr>
              <w:spacing w:line="440" w:lineRule="exact"/>
              <w:jc w:val="center"/>
              <w:rPr>
                <w:rFonts w:hint="eastAsia" w:ascii="宋体" w:hAnsi="宋体" w:eastAsia="宋体" w:cs="宋体"/>
                <w:color w:val="auto"/>
                <w:sz w:val="24"/>
                <w:highlight w:val="none"/>
              </w:rPr>
            </w:pPr>
          </w:p>
        </w:tc>
        <w:tc>
          <w:tcPr>
            <w:tcW w:w="645" w:type="dxa"/>
            <w:noWrap w:val="0"/>
            <w:vAlign w:val="center"/>
          </w:tcPr>
          <w:p w14:paraId="5FEE2914">
            <w:pPr>
              <w:spacing w:line="440" w:lineRule="exact"/>
              <w:jc w:val="center"/>
              <w:rPr>
                <w:rFonts w:hint="eastAsia" w:ascii="宋体" w:hAnsi="宋体" w:eastAsia="宋体" w:cs="宋体"/>
                <w:color w:val="auto"/>
                <w:sz w:val="24"/>
                <w:highlight w:val="none"/>
              </w:rPr>
            </w:pPr>
          </w:p>
        </w:tc>
        <w:tc>
          <w:tcPr>
            <w:tcW w:w="1080" w:type="dxa"/>
            <w:noWrap w:val="0"/>
            <w:vAlign w:val="center"/>
          </w:tcPr>
          <w:p w14:paraId="67213DBA">
            <w:pPr>
              <w:spacing w:line="440" w:lineRule="exact"/>
              <w:jc w:val="center"/>
              <w:rPr>
                <w:rFonts w:hint="eastAsia" w:ascii="宋体" w:hAnsi="宋体" w:eastAsia="宋体" w:cs="宋体"/>
                <w:color w:val="auto"/>
                <w:sz w:val="24"/>
                <w:highlight w:val="none"/>
              </w:rPr>
            </w:pPr>
          </w:p>
        </w:tc>
        <w:tc>
          <w:tcPr>
            <w:tcW w:w="1770" w:type="dxa"/>
            <w:noWrap w:val="0"/>
            <w:vAlign w:val="center"/>
          </w:tcPr>
          <w:p w14:paraId="231CFACE">
            <w:pPr>
              <w:spacing w:line="440" w:lineRule="exact"/>
              <w:jc w:val="center"/>
              <w:rPr>
                <w:rFonts w:hint="eastAsia" w:ascii="宋体" w:hAnsi="宋体" w:eastAsia="宋体" w:cs="宋体"/>
                <w:color w:val="auto"/>
                <w:sz w:val="24"/>
                <w:highlight w:val="none"/>
              </w:rPr>
            </w:pPr>
          </w:p>
        </w:tc>
        <w:tc>
          <w:tcPr>
            <w:tcW w:w="804" w:type="dxa"/>
            <w:noWrap w:val="0"/>
            <w:vAlign w:val="center"/>
          </w:tcPr>
          <w:p w14:paraId="532A11BD">
            <w:pPr>
              <w:spacing w:line="440" w:lineRule="exact"/>
              <w:jc w:val="center"/>
              <w:rPr>
                <w:rFonts w:hint="eastAsia" w:ascii="宋体" w:hAnsi="宋体" w:eastAsia="宋体" w:cs="宋体"/>
                <w:color w:val="auto"/>
                <w:sz w:val="24"/>
                <w:highlight w:val="none"/>
              </w:rPr>
            </w:pPr>
          </w:p>
        </w:tc>
      </w:tr>
    </w:tbl>
    <w:p w14:paraId="08754C8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注：设备状况栏填写该设备的新旧程度、购进时间、已使用小时数和最近一次大修时间。</w:t>
      </w:r>
    </w:p>
    <w:p w14:paraId="34CE32E0">
      <w:pPr>
        <w:spacing w:line="37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（2）发包人提供的临时设施：</w:t>
      </w:r>
      <w:r>
        <w:rPr>
          <w:rFonts w:hint="eastAsia" w:ascii="宋体" w:hAnsi="宋体" w:eastAsia="宋体" w:cs="宋体"/>
          <w:snapToGrid w:val="0"/>
          <w:color w:val="auto"/>
          <w:sz w:val="24"/>
          <w:highlight w:val="none"/>
          <w:u w:val="single"/>
        </w:rPr>
        <w:t>发包人无施工设备或临时设施提供</w:t>
      </w:r>
      <w:r>
        <w:rPr>
          <w:rFonts w:hint="eastAsia" w:ascii="宋体" w:hAnsi="宋体" w:eastAsia="宋体" w:cs="宋体"/>
          <w:color w:val="auto"/>
          <w:sz w:val="24"/>
          <w:highlight w:val="none"/>
        </w:rPr>
        <w:t xml:space="preserve">。 </w:t>
      </w:r>
    </w:p>
    <w:p w14:paraId="07138597">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7 交通运输 </w:t>
      </w:r>
    </w:p>
    <w:p w14:paraId="66B78437">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7.1道路通行权和场外设施的约定： </w:t>
      </w:r>
    </w:p>
    <w:p w14:paraId="396C4212">
      <w:pPr>
        <w:spacing w:line="38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1、承包人自行协调场外道路及设施；</w:t>
      </w:r>
    </w:p>
    <w:p w14:paraId="057F178C">
      <w:pPr>
        <w:spacing w:line="38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2、承包方负责场内过境车辆的协调和分流工作；</w:t>
      </w:r>
    </w:p>
    <w:p w14:paraId="0DB8D5C4">
      <w:pPr>
        <w:spacing w:line="44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u w:val="single"/>
        </w:rPr>
        <w:t xml:space="preserve">    3、本条1～2款相关费用计入临时工程费，不再另行计费。</w:t>
      </w:r>
    </w:p>
    <w:p w14:paraId="69EE10CC">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8 测量放线 </w:t>
      </w:r>
    </w:p>
    <w:p w14:paraId="764F0F98">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8.1施工控制网 </w:t>
      </w:r>
    </w:p>
    <w:p w14:paraId="41C3121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8.1.1施工控制网的约定：</w:t>
      </w:r>
    </w:p>
    <w:p w14:paraId="5548F454">
      <w:pPr>
        <w:pStyle w:val="32"/>
        <w:kinsoku w:val="0"/>
        <w:overflowPunct w:val="0"/>
        <w:adjustRightInd w:val="0"/>
        <w:spacing w:line="380" w:lineRule="exact"/>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(1) 监理人应在开工日期前</w:t>
      </w:r>
      <w:r>
        <w:rPr>
          <w:rFonts w:hint="eastAsia" w:ascii="宋体" w:hAnsi="宋体" w:eastAsia="宋体" w:cs="宋体"/>
          <w:b/>
          <w:snapToGrid w:val="0"/>
          <w:color w:val="auto"/>
          <w:kern w:val="0"/>
          <w:sz w:val="24"/>
          <w:szCs w:val="24"/>
          <w:highlight w:val="none"/>
          <w:u w:val="single"/>
        </w:rPr>
        <w:t>5</w:t>
      </w:r>
      <w:r>
        <w:rPr>
          <w:rFonts w:hint="eastAsia" w:ascii="宋体" w:hAnsi="宋体" w:eastAsia="宋体" w:cs="宋体"/>
          <w:snapToGrid w:val="0"/>
          <w:color w:val="auto"/>
          <w:kern w:val="0"/>
          <w:sz w:val="24"/>
          <w:szCs w:val="24"/>
          <w:highlight w:val="none"/>
          <w:u w:val="single"/>
        </w:rPr>
        <w:t>天内提供给承包人。</w:t>
      </w:r>
    </w:p>
    <w:p w14:paraId="3EF86BF8">
      <w:pPr>
        <w:spacing w:line="440" w:lineRule="exact"/>
        <w:rPr>
          <w:rFonts w:hint="eastAsia" w:ascii="宋体" w:hAnsi="宋体" w:eastAsia="宋体" w:cs="宋体"/>
          <w:b/>
          <w:bCs/>
          <w:color w:val="auto"/>
          <w:sz w:val="28"/>
          <w:szCs w:val="28"/>
          <w:highlight w:val="none"/>
        </w:rPr>
      </w:pPr>
      <w:r>
        <w:rPr>
          <w:rFonts w:hint="eastAsia" w:ascii="宋体" w:hAnsi="宋体" w:eastAsia="宋体" w:cs="宋体"/>
          <w:snapToGrid w:val="0"/>
          <w:color w:val="auto"/>
          <w:sz w:val="24"/>
          <w:highlight w:val="none"/>
        </w:rPr>
        <w:t xml:space="preserve">    (2) </w:t>
      </w:r>
      <w:r>
        <w:rPr>
          <w:rFonts w:hint="eastAsia" w:ascii="宋体" w:hAnsi="宋体" w:eastAsia="宋体" w:cs="宋体"/>
          <w:snapToGrid w:val="0"/>
          <w:color w:val="auto"/>
          <w:sz w:val="24"/>
          <w:highlight w:val="none"/>
          <w:u w:val="single"/>
        </w:rPr>
        <w:t>施工控制网资料承包人应在开工后5天内提供给监理人审批。</w:t>
      </w:r>
    </w:p>
    <w:p w14:paraId="409B5674">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9 施工安全、治安保卫和环境保护 </w:t>
      </w:r>
    </w:p>
    <w:p w14:paraId="6F8DB15D">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9.1发包人的施工安全责任 </w:t>
      </w:r>
    </w:p>
    <w:p w14:paraId="6C9ED52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9.1.4发包人</w:t>
      </w:r>
      <w:r>
        <w:rPr>
          <w:rFonts w:hint="eastAsia" w:ascii="宋体" w:hAnsi="宋体" w:eastAsia="宋体" w:cs="宋体"/>
          <w:color w:val="auto"/>
          <w:sz w:val="24"/>
          <w:highlight w:val="none"/>
          <w:u w:val="single"/>
        </w:rPr>
        <w:t>不</w:t>
      </w:r>
      <w:r>
        <w:rPr>
          <w:rFonts w:hint="eastAsia" w:ascii="宋体" w:hAnsi="宋体" w:eastAsia="宋体" w:cs="宋体"/>
          <w:color w:val="auto"/>
          <w:sz w:val="24"/>
          <w:highlight w:val="none"/>
        </w:rPr>
        <w:t xml:space="preserve">提供资料，其余资料由承包负责收集。 </w:t>
      </w:r>
    </w:p>
    <w:p w14:paraId="69239F1B">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9.2承包人的施工安全责任 </w:t>
      </w:r>
    </w:p>
    <w:p w14:paraId="52D5183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9.2.12下列工程应编制专项施工方案：</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，其中</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应组织专家论证和审查。 </w:t>
      </w:r>
    </w:p>
    <w:p w14:paraId="6681162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9.7文明工地 </w:t>
      </w:r>
    </w:p>
    <w:p w14:paraId="7EEADF8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本合同文明工地的约定：</w:t>
      </w:r>
      <w:r>
        <w:rPr>
          <w:rFonts w:hint="eastAsia" w:ascii="宋体" w:hAnsi="宋体" w:eastAsia="宋体" w:cs="宋体"/>
          <w:color w:val="auto"/>
          <w:sz w:val="24"/>
          <w:highlight w:val="none"/>
          <w:u w:val="single"/>
        </w:rPr>
        <w:t xml:space="preserve"> 承包方应文明施工</w:t>
      </w:r>
      <w:r>
        <w:rPr>
          <w:rFonts w:hint="eastAsia" w:ascii="宋体" w:hAnsi="宋体" w:eastAsia="宋体" w:cs="宋体"/>
          <w:color w:val="auto"/>
          <w:sz w:val="24"/>
          <w:highlight w:val="none"/>
        </w:rPr>
        <w:t xml:space="preserve"> 。 </w:t>
      </w:r>
    </w:p>
    <w:p w14:paraId="09703082">
      <w:pPr>
        <w:spacing w:line="42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10 履约保证金</w:t>
      </w:r>
    </w:p>
    <w:p w14:paraId="5B835A4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承包人是否提供履约担保：</w:t>
      </w:r>
      <w:r>
        <w:rPr>
          <w:rFonts w:hint="eastAsia" w:ascii="宋体" w:hAnsi="宋体" w:eastAsia="宋体" w:cs="宋体"/>
          <w:color w:val="auto"/>
          <w:sz w:val="24"/>
          <w:highlight w:val="none"/>
          <w:u w:val="single"/>
        </w:rPr>
        <w:t xml:space="preserve">  是  </w:t>
      </w:r>
      <w:r>
        <w:rPr>
          <w:rFonts w:hint="eastAsia" w:ascii="宋体" w:hAnsi="宋体" w:eastAsia="宋体" w:cs="宋体"/>
          <w:color w:val="auto"/>
          <w:sz w:val="24"/>
          <w:highlight w:val="none"/>
        </w:rPr>
        <w:t>。</w:t>
      </w:r>
    </w:p>
    <w:p w14:paraId="002308CE">
      <w:pPr>
        <w:pStyle w:val="19"/>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承包人提供履约担保的形式、金额及期限的：</w:t>
      </w:r>
      <w:r>
        <w:rPr>
          <w:rFonts w:hint="eastAsia" w:ascii="宋体" w:hAnsi="宋体" w:eastAsia="宋体" w:cs="宋体"/>
          <w:color w:val="auto"/>
          <w:sz w:val="24"/>
          <w:highlight w:val="none"/>
          <w:u w:val="single"/>
        </w:rPr>
        <w:t>①履约担保形式：支票、汇票、转帐、银行保函、保险机构保证保险保单或融资担保公司保函等。 ②履约担保金额：合同总价的 2 %，中标人在合同签订前向</w:t>
      </w:r>
      <w:r>
        <w:rPr>
          <w:rFonts w:hint="eastAsia" w:ascii="宋体" w:hAnsi="宋体" w:eastAsia="宋体" w:cs="宋体"/>
          <w:color w:val="auto"/>
          <w:sz w:val="24"/>
          <w:highlight w:val="none"/>
          <w:u w:val="single"/>
          <w:lang w:eastAsia="zh-CN"/>
        </w:rPr>
        <w:t>发包人</w:t>
      </w:r>
      <w:r>
        <w:rPr>
          <w:rFonts w:hint="eastAsia" w:ascii="宋体" w:hAnsi="宋体" w:eastAsia="宋体" w:cs="宋体"/>
          <w:color w:val="auto"/>
          <w:sz w:val="24"/>
          <w:highlight w:val="none"/>
          <w:u w:val="single"/>
        </w:rPr>
        <w:t>提交履约担保。民工工资支付担保的相关约定：按临安区水利水电局施工备案登记制度交纳相应的民工工资金保证金。</w:t>
      </w:r>
    </w:p>
    <w:p w14:paraId="4F78AD59">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承包人向发包人交付的履约保证金中，原则上工程质量履约担保占履约担保总额的35%，工期履约担保占履约担保总额的30%，安全、文明、环境保护施工履约担保占履约担保总额的20%，项目班子到岗率履约担保占履约担保总额的10%，工程资料保证金占履约担保总额的5%。</w:t>
      </w:r>
    </w:p>
    <w:p w14:paraId="67732A53">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履约保证金待工程竣（完）工验收合格后10日内退回，发包人扣除应扣罚的违约金后，退还剩余的履约保证金，履约保证金不计利息。</w:t>
      </w:r>
    </w:p>
    <w:p w14:paraId="1BF3D2A1">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有下列违约情形的，相应的工程履约保证金发包人不予退还，并可在当期工程款（进度款）中扣除承包人给发包人造成的损失：</w:t>
      </w:r>
    </w:p>
    <w:p w14:paraId="13CDCECB">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A、由于承包人原因在执行过程中解除合同，工程履约保证金不予退还；</w:t>
      </w:r>
    </w:p>
    <w:p w14:paraId="6BD1406F">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B、竣（完）工验收，未能一次性验收合格，质量履约保证金不予退还；</w:t>
      </w:r>
    </w:p>
    <w:p w14:paraId="1D2515AB">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C、承包人在施工期间发生重大质量事故的，工程质量履约保证金不予退还；</w:t>
      </w:r>
    </w:p>
    <w:p w14:paraId="015C2BFD">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D、工程未能在合同约定的期限内完工，按合同有关条款处罚，工期履约保证金若不足以抵扣工期违约金的，在工程价款中相应扣足；</w:t>
      </w:r>
    </w:p>
    <w:p w14:paraId="747C5311">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E、在施工期间发生重大安全事故的，安全、文明、环境保护施工履约保证金不予退还；</w:t>
      </w:r>
    </w:p>
    <w:p w14:paraId="67C89949">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F、承包人在合同履行期间不能及时填写、整理、提交完整的工程技术资料，工程资料保证金不予退还。若承包人在</w:t>
      </w:r>
      <w:r>
        <w:rPr>
          <w:rFonts w:hint="eastAsia" w:ascii="宋体" w:hAnsi="宋体" w:eastAsia="宋体" w:cs="宋体"/>
          <w:color w:val="auto"/>
          <w:sz w:val="24"/>
          <w:highlight w:val="none"/>
          <w:u w:val="single"/>
          <w:lang w:eastAsia="zh-CN"/>
        </w:rPr>
        <w:t>应标</w:t>
      </w:r>
      <w:r>
        <w:rPr>
          <w:rFonts w:hint="eastAsia" w:ascii="宋体" w:hAnsi="宋体" w:eastAsia="宋体" w:cs="宋体"/>
          <w:color w:val="auto"/>
          <w:sz w:val="24"/>
          <w:highlight w:val="none"/>
          <w:u w:val="single"/>
        </w:rPr>
        <w:t>时提供了虚假资料，一经发现，工程资料保证金不予退还，并承担一切法律责任。</w:t>
      </w:r>
    </w:p>
    <w:p w14:paraId="60264348">
      <w:pPr>
        <w:spacing w:line="42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11 开工和竣工（完工） </w:t>
      </w:r>
    </w:p>
    <w:p w14:paraId="7FD3A578">
      <w:pPr>
        <w:spacing w:line="4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11.4异常恶劣的气候条件 </w:t>
      </w:r>
    </w:p>
    <w:p w14:paraId="5687C428">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11.4.3本合同工程界定异常恶劣的气候条件的范围为： </w:t>
      </w:r>
    </w:p>
    <w:p w14:paraId="130B0C15">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（1）日降雨量大于</w:t>
      </w:r>
      <w:r>
        <w:rPr>
          <w:rFonts w:hint="eastAsia" w:ascii="宋体" w:hAnsi="宋体" w:eastAsia="宋体" w:cs="宋体"/>
          <w:color w:val="auto"/>
          <w:sz w:val="24"/>
          <w:highlight w:val="none"/>
          <w:u w:val="single"/>
        </w:rPr>
        <w:t xml:space="preserve"> 50 </w:t>
      </w:r>
      <w:r>
        <w:rPr>
          <w:rFonts w:hint="eastAsia" w:ascii="宋体" w:hAnsi="宋体" w:eastAsia="宋体" w:cs="宋体"/>
          <w:color w:val="auto"/>
          <w:sz w:val="24"/>
          <w:highlight w:val="none"/>
        </w:rPr>
        <w:t>mm 的雨日超过</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天。</w:t>
      </w:r>
    </w:p>
    <w:p w14:paraId="59528C2E">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（2）风速大于</w:t>
      </w:r>
      <w:r>
        <w:rPr>
          <w:rFonts w:hint="eastAsia" w:ascii="宋体" w:hAnsi="宋体" w:eastAsia="宋体" w:cs="宋体"/>
          <w:color w:val="auto"/>
          <w:sz w:val="24"/>
          <w:highlight w:val="none"/>
          <w:u w:val="single"/>
        </w:rPr>
        <w:t xml:space="preserve"> 14 </w:t>
      </w:r>
      <w:r>
        <w:rPr>
          <w:rFonts w:hint="eastAsia" w:ascii="宋体" w:hAnsi="宋体" w:eastAsia="宋体" w:cs="宋体"/>
          <w:color w:val="auto"/>
          <w:sz w:val="24"/>
          <w:highlight w:val="none"/>
        </w:rPr>
        <w:t>m/s 的</w:t>
      </w:r>
      <w:r>
        <w:rPr>
          <w:rFonts w:hint="eastAsia" w:ascii="宋体" w:hAnsi="宋体" w:eastAsia="宋体" w:cs="宋体"/>
          <w:color w:val="auto"/>
          <w:sz w:val="24"/>
          <w:highlight w:val="none"/>
          <w:u w:val="single"/>
        </w:rPr>
        <w:t xml:space="preserve"> 7</w:t>
      </w:r>
      <w:r>
        <w:rPr>
          <w:rFonts w:hint="eastAsia" w:ascii="宋体" w:hAnsi="宋体" w:eastAsia="宋体" w:cs="宋体"/>
          <w:color w:val="auto"/>
          <w:sz w:val="24"/>
          <w:highlight w:val="none"/>
        </w:rPr>
        <w:t>级以上台风灾害。</w:t>
      </w:r>
    </w:p>
    <w:p w14:paraId="40B94FD5">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（3）日气温超过</w:t>
      </w:r>
      <w:r>
        <w:rPr>
          <w:rFonts w:hint="eastAsia" w:ascii="宋体" w:hAnsi="宋体" w:eastAsia="宋体" w:cs="宋体"/>
          <w:color w:val="auto"/>
          <w:sz w:val="24"/>
          <w:highlight w:val="none"/>
          <w:u w:val="single"/>
        </w:rPr>
        <w:t xml:space="preserve"> 40  </w:t>
      </w:r>
      <w:r>
        <w:rPr>
          <w:rFonts w:hint="eastAsia" w:ascii="宋体" w:hAnsi="宋体" w:eastAsia="宋体" w:cs="宋体"/>
          <w:color w:val="auto"/>
          <w:sz w:val="24"/>
          <w:highlight w:val="none"/>
        </w:rPr>
        <w:t>℃的高温大于</w:t>
      </w:r>
      <w:r>
        <w:rPr>
          <w:rFonts w:hint="eastAsia" w:ascii="宋体" w:hAnsi="宋体" w:eastAsia="宋体" w:cs="宋体"/>
          <w:color w:val="auto"/>
          <w:sz w:val="24"/>
          <w:highlight w:val="none"/>
          <w:u w:val="single"/>
        </w:rPr>
        <w:t xml:space="preserve"> 3</w:t>
      </w:r>
      <w:r>
        <w:rPr>
          <w:rFonts w:hint="eastAsia" w:ascii="宋体" w:hAnsi="宋体" w:eastAsia="宋体" w:cs="宋体"/>
          <w:color w:val="auto"/>
          <w:sz w:val="24"/>
          <w:highlight w:val="none"/>
        </w:rPr>
        <w:t>天。</w:t>
      </w:r>
    </w:p>
    <w:p w14:paraId="1528A6B6">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（4）日气温低于</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℃的严寒大于</w:t>
      </w:r>
      <w:r>
        <w:rPr>
          <w:rFonts w:hint="eastAsia" w:ascii="宋体" w:hAnsi="宋体" w:eastAsia="宋体" w:cs="宋体"/>
          <w:color w:val="auto"/>
          <w:sz w:val="24"/>
          <w:highlight w:val="none"/>
          <w:u w:val="single"/>
        </w:rPr>
        <w:t xml:space="preserve"> 3</w:t>
      </w:r>
      <w:r>
        <w:rPr>
          <w:rFonts w:hint="eastAsia" w:ascii="宋体" w:hAnsi="宋体" w:eastAsia="宋体" w:cs="宋体"/>
          <w:color w:val="auto"/>
          <w:sz w:val="24"/>
          <w:highlight w:val="none"/>
        </w:rPr>
        <w:t>天。</w:t>
      </w:r>
    </w:p>
    <w:p w14:paraId="3516377C">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（5）造成工程损失的冰雹和大雪灾害。</w:t>
      </w:r>
    </w:p>
    <w:p w14:paraId="5691971C">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（6）其他异常恶劣气候灾害。 </w:t>
      </w:r>
    </w:p>
    <w:p w14:paraId="5E478861">
      <w:pPr>
        <w:spacing w:line="4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11.5承包人的工期延误 </w:t>
      </w:r>
    </w:p>
    <w:p w14:paraId="650FC079">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（1）逾期完工违约金表。 </w:t>
      </w:r>
    </w:p>
    <w:p w14:paraId="71D9444B">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逾期完工违约金表</w:t>
      </w:r>
    </w:p>
    <w:tbl>
      <w:tblPr>
        <w:tblStyle w:val="62"/>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83"/>
        <w:gridCol w:w="3067"/>
        <w:gridCol w:w="2805"/>
      </w:tblGrid>
      <w:tr w14:paraId="563B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472ACEA8">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3" w:type="dxa"/>
            <w:noWrap w:val="0"/>
            <w:vAlign w:val="center"/>
          </w:tcPr>
          <w:p w14:paraId="74B2AC88">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项目及其说明</w:t>
            </w:r>
          </w:p>
        </w:tc>
        <w:tc>
          <w:tcPr>
            <w:tcW w:w="3067" w:type="dxa"/>
            <w:noWrap w:val="0"/>
            <w:vAlign w:val="center"/>
          </w:tcPr>
          <w:p w14:paraId="181C9308">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要求完工日期</w:t>
            </w:r>
          </w:p>
        </w:tc>
        <w:tc>
          <w:tcPr>
            <w:tcW w:w="2805" w:type="dxa"/>
            <w:noWrap w:val="0"/>
            <w:vAlign w:val="center"/>
          </w:tcPr>
          <w:p w14:paraId="46E32524">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违约金（元/天）</w:t>
            </w:r>
          </w:p>
        </w:tc>
      </w:tr>
      <w:tr w14:paraId="2192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4AF73383">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83" w:type="dxa"/>
            <w:noWrap w:val="0"/>
            <w:vAlign w:val="center"/>
          </w:tcPr>
          <w:p w14:paraId="301D642A">
            <w:pPr>
              <w:spacing w:line="440" w:lineRule="exact"/>
              <w:jc w:val="center"/>
              <w:rPr>
                <w:rFonts w:hint="eastAsia" w:ascii="宋体" w:hAnsi="宋体" w:eastAsia="宋体" w:cs="宋体"/>
                <w:color w:val="auto"/>
                <w:sz w:val="24"/>
                <w:highlight w:val="none"/>
              </w:rPr>
            </w:pPr>
          </w:p>
        </w:tc>
        <w:tc>
          <w:tcPr>
            <w:tcW w:w="3067" w:type="dxa"/>
            <w:noWrap w:val="0"/>
            <w:vAlign w:val="center"/>
          </w:tcPr>
          <w:p w14:paraId="7AD8ABF3">
            <w:pPr>
              <w:spacing w:line="440" w:lineRule="exact"/>
              <w:jc w:val="center"/>
              <w:rPr>
                <w:rFonts w:hint="eastAsia" w:ascii="宋体" w:hAnsi="宋体" w:eastAsia="宋体" w:cs="宋体"/>
                <w:color w:val="auto"/>
                <w:sz w:val="24"/>
                <w:highlight w:val="none"/>
              </w:rPr>
            </w:pPr>
          </w:p>
        </w:tc>
        <w:tc>
          <w:tcPr>
            <w:tcW w:w="2805" w:type="dxa"/>
            <w:noWrap w:val="0"/>
            <w:vAlign w:val="center"/>
          </w:tcPr>
          <w:p w14:paraId="03B6751A">
            <w:pPr>
              <w:spacing w:line="440" w:lineRule="exact"/>
              <w:jc w:val="center"/>
              <w:rPr>
                <w:rFonts w:hint="eastAsia" w:ascii="宋体" w:hAnsi="宋体" w:eastAsia="宋体" w:cs="宋体"/>
                <w:color w:val="auto"/>
                <w:sz w:val="24"/>
                <w:highlight w:val="none"/>
              </w:rPr>
            </w:pPr>
          </w:p>
        </w:tc>
      </w:tr>
      <w:tr w14:paraId="611D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24C66F0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83" w:type="dxa"/>
            <w:noWrap w:val="0"/>
            <w:vAlign w:val="center"/>
          </w:tcPr>
          <w:p w14:paraId="61F4F741">
            <w:pPr>
              <w:spacing w:line="440" w:lineRule="exact"/>
              <w:jc w:val="center"/>
              <w:rPr>
                <w:rFonts w:hint="eastAsia" w:ascii="宋体" w:hAnsi="宋体" w:eastAsia="宋体" w:cs="宋体"/>
                <w:color w:val="auto"/>
                <w:sz w:val="24"/>
                <w:highlight w:val="none"/>
              </w:rPr>
            </w:pPr>
          </w:p>
        </w:tc>
        <w:tc>
          <w:tcPr>
            <w:tcW w:w="3067" w:type="dxa"/>
            <w:noWrap w:val="0"/>
            <w:vAlign w:val="center"/>
          </w:tcPr>
          <w:p w14:paraId="0C236610">
            <w:pPr>
              <w:spacing w:line="440" w:lineRule="exact"/>
              <w:jc w:val="center"/>
              <w:rPr>
                <w:rFonts w:hint="eastAsia" w:ascii="宋体" w:hAnsi="宋体" w:eastAsia="宋体" w:cs="宋体"/>
                <w:color w:val="auto"/>
                <w:sz w:val="24"/>
                <w:highlight w:val="none"/>
              </w:rPr>
            </w:pPr>
          </w:p>
        </w:tc>
        <w:tc>
          <w:tcPr>
            <w:tcW w:w="2805" w:type="dxa"/>
            <w:noWrap w:val="0"/>
            <w:vAlign w:val="center"/>
          </w:tcPr>
          <w:p w14:paraId="61E240DF">
            <w:pPr>
              <w:spacing w:line="440" w:lineRule="exact"/>
              <w:jc w:val="center"/>
              <w:rPr>
                <w:rFonts w:hint="eastAsia" w:ascii="宋体" w:hAnsi="宋体" w:eastAsia="宋体" w:cs="宋体"/>
                <w:color w:val="auto"/>
                <w:sz w:val="24"/>
                <w:highlight w:val="none"/>
              </w:rPr>
            </w:pPr>
          </w:p>
        </w:tc>
      </w:tr>
      <w:tr w14:paraId="1819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7DC0EEF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483" w:type="dxa"/>
            <w:noWrap w:val="0"/>
            <w:vAlign w:val="center"/>
          </w:tcPr>
          <w:p w14:paraId="5050300C">
            <w:pPr>
              <w:spacing w:line="440" w:lineRule="exact"/>
              <w:jc w:val="center"/>
              <w:rPr>
                <w:rFonts w:hint="eastAsia" w:ascii="宋体" w:hAnsi="宋体" w:eastAsia="宋体" w:cs="宋体"/>
                <w:color w:val="auto"/>
                <w:sz w:val="24"/>
                <w:highlight w:val="none"/>
              </w:rPr>
            </w:pPr>
          </w:p>
        </w:tc>
        <w:tc>
          <w:tcPr>
            <w:tcW w:w="3067" w:type="dxa"/>
            <w:noWrap w:val="0"/>
            <w:vAlign w:val="center"/>
          </w:tcPr>
          <w:p w14:paraId="3E66CB15">
            <w:pPr>
              <w:spacing w:line="440" w:lineRule="exact"/>
              <w:jc w:val="center"/>
              <w:rPr>
                <w:rFonts w:hint="eastAsia" w:ascii="宋体" w:hAnsi="宋体" w:eastAsia="宋体" w:cs="宋体"/>
                <w:color w:val="auto"/>
                <w:sz w:val="24"/>
                <w:highlight w:val="none"/>
              </w:rPr>
            </w:pPr>
          </w:p>
        </w:tc>
        <w:tc>
          <w:tcPr>
            <w:tcW w:w="2805" w:type="dxa"/>
            <w:noWrap w:val="0"/>
            <w:vAlign w:val="center"/>
          </w:tcPr>
          <w:p w14:paraId="1B01E699">
            <w:pPr>
              <w:spacing w:line="440" w:lineRule="exact"/>
              <w:jc w:val="center"/>
              <w:rPr>
                <w:rFonts w:hint="eastAsia" w:ascii="宋体" w:hAnsi="宋体" w:eastAsia="宋体" w:cs="宋体"/>
                <w:color w:val="auto"/>
                <w:sz w:val="24"/>
                <w:highlight w:val="none"/>
              </w:rPr>
            </w:pPr>
          </w:p>
        </w:tc>
      </w:tr>
      <w:tr w14:paraId="5D68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9" w:type="dxa"/>
            <w:gridSpan w:val="4"/>
            <w:noWrap w:val="0"/>
            <w:vAlign w:val="center"/>
          </w:tcPr>
          <w:p w14:paraId="39704422">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注：实际开工日期以总监理工程师签发的开工令为准。</w:t>
            </w:r>
          </w:p>
        </w:tc>
      </w:tr>
    </w:tbl>
    <w:p w14:paraId="5F4BC55F">
      <w:pPr>
        <w:numPr>
          <w:ilvl w:val="0"/>
          <w:numId w:val="3"/>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w:t>
      </w:r>
      <w:bookmarkStart w:id="417" w:name="_Toc318581170"/>
      <w:bookmarkStart w:id="418" w:name="_Toc312678013"/>
      <w:bookmarkStart w:id="419" w:name="_Toc312677487"/>
      <w:r>
        <w:rPr>
          <w:rFonts w:hint="eastAsia" w:ascii="宋体" w:hAnsi="宋体" w:eastAsia="宋体" w:cs="宋体"/>
          <w:color w:val="auto"/>
          <w:sz w:val="24"/>
          <w:highlight w:val="none"/>
        </w:rPr>
        <w:t>承包人原因造成工期延误（发包人或异常恶劣的气候原因造成工期延误除外），逾期竣（完）工违约金的计算方法为：</w:t>
      </w:r>
      <w:r>
        <w:rPr>
          <w:rFonts w:hint="eastAsia" w:ascii="宋体" w:hAnsi="宋体" w:eastAsia="宋体" w:cs="宋体"/>
          <w:b/>
          <w:color w:val="auto"/>
          <w:sz w:val="24"/>
          <w:highlight w:val="none"/>
          <w:u w:val="single"/>
        </w:rPr>
        <w:t>通过委托人内部组织的验收（初验）时间为准，</w:t>
      </w:r>
      <w:r>
        <w:rPr>
          <w:rFonts w:hint="eastAsia" w:ascii="宋体" w:hAnsi="宋体" w:eastAsia="宋体" w:cs="宋体"/>
          <w:color w:val="auto"/>
          <w:sz w:val="24"/>
          <w:highlight w:val="none"/>
        </w:rPr>
        <w:t>每延误1日的误期赔偿金额为</w:t>
      </w:r>
      <w:bookmarkEnd w:id="417"/>
      <w:bookmarkEnd w:id="418"/>
      <w:bookmarkEnd w:id="419"/>
      <w:r>
        <w:rPr>
          <w:rFonts w:hint="eastAsia" w:ascii="宋体" w:hAnsi="宋体" w:eastAsia="宋体" w:cs="宋体"/>
          <w:color w:val="auto"/>
          <w:sz w:val="24"/>
          <w:highlight w:val="none"/>
          <w:u w:val="single"/>
        </w:rPr>
        <w:t>5000元/天</w:t>
      </w:r>
      <w:r>
        <w:rPr>
          <w:rFonts w:hint="eastAsia" w:ascii="宋体" w:hAnsi="宋体" w:eastAsia="宋体" w:cs="宋体"/>
          <w:color w:val="auto"/>
          <w:sz w:val="24"/>
          <w:highlight w:val="none"/>
        </w:rPr>
        <w:t>。</w:t>
      </w:r>
    </w:p>
    <w:p w14:paraId="20527E35">
      <w:pPr>
        <w:spacing w:line="440" w:lineRule="exact"/>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（2）全部逾期完工违约金的总限额为不超过签约合同价的</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 xml:space="preserve">%。 </w:t>
      </w:r>
    </w:p>
    <w:p w14:paraId="42FA0B4D">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11.6工期提前</w:t>
      </w:r>
    </w:p>
    <w:p w14:paraId="62326A90">
      <w:pPr>
        <w:spacing w:line="440" w:lineRule="exact"/>
        <w:ind w:firstLine="46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工期提前的奖金约定</w:t>
      </w:r>
      <w:r>
        <w:rPr>
          <w:rFonts w:hint="eastAsia" w:ascii="宋体" w:hAnsi="宋体" w:eastAsia="宋体" w:cs="宋体"/>
          <w:b/>
          <w:bCs/>
          <w:color w:val="auto"/>
          <w:sz w:val="24"/>
          <w:highlight w:val="none"/>
          <w:u w:val="single"/>
        </w:rPr>
        <w:t xml:space="preserve">：/  。 </w:t>
      </w:r>
    </w:p>
    <w:p w14:paraId="2B600018">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12 暂停施工</w:t>
      </w:r>
    </w:p>
    <w:p w14:paraId="3DB7C248">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12.1承包人暂停施工的责任</w:t>
      </w:r>
    </w:p>
    <w:p w14:paraId="7C4D2EB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（5）承包人承担暂停施工责任的其他情形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1492FFF">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12.2发包人暂停施工的责任</w:t>
      </w:r>
    </w:p>
    <w:p w14:paraId="0A1998B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（3）发包人暂停施工责任的其他情形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A40CB1">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13 工程质量</w:t>
      </w:r>
    </w:p>
    <w:p w14:paraId="4BF6E012">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13.7质量评定</w:t>
      </w:r>
    </w:p>
    <w:p w14:paraId="00A9725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13.7.7工程质量等级标准为</w:t>
      </w:r>
      <w:r>
        <w:rPr>
          <w:rFonts w:hint="eastAsia" w:ascii="宋体" w:hAnsi="宋体" w:eastAsia="宋体" w:cs="宋体"/>
          <w:color w:val="auto"/>
          <w:sz w:val="24"/>
          <w:highlight w:val="none"/>
          <w:u w:val="single"/>
        </w:rPr>
        <w:t xml:space="preserve"> 合格 </w:t>
      </w:r>
      <w:r>
        <w:rPr>
          <w:rFonts w:hint="eastAsia" w:ascii="宋体" w:hAnsi="宋体" w:eastAsia="宋体" w:cs="宋体"/>
          <w:color w:val="auto"/>
          <w:sz w:val="24"/>
          <w:highlight w:val="none"/>
        </w:rPr>
        <w:t xml:space="preserve">。达到优良的奖金为 </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752C26B">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14 试验和检验</w:t>
      </w:r>
    </w:p>
    <w:p w14:paraId="6451929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14.1材料、工程设备和工程的试验和检验</w:t>
      </w:r>
    </w:p>
    <w:p w14:paraId="6D372532">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14.1.5水工金属结构、启闭机及机电产品进场后的交货检查和验收中，承包人负责，并保证质量和进度。</w:t>
      </w:r>
    </w:p>
    <w:p w14:paraId="4705D26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14.1.6本工程实行见证取样的试块、试件及有关材料：</w:t>
      </w:r>
      <w:r>
        <w:rPr>
          <w:rFonts w:hint="eastAsia" w:ascii="宋体" w:hAnsi="宋体" w:eastAsia="宋体" w:cs="宋体"/>
          <w:snapToGrid w:val="0"/>
          <w:color w:val="auto"/>
          <w:sz w:val="24"/>
          <w:highlight w:val="none"/>
          <w:u w:val="single"/>
        </w:rPr>
        <w:t>砼试块、砂浆试块、钢筋、水泥、砂石料、管材、井盖等第三方检测</w:t>
      </w:r>
      <w:r>
        <w:rPr>
          <w:rFonts w:hint="eastAsia" w:ascii="宋体" w:hAnsi="宋体" w:eastAsia="宋体" w:cs="宋体"/>
          <w:color w:val="auto"/>
          <w:sz w:val="24"/>
          <w:highlight w:val="none"/>
        </w:rPr>
        <w:t xml:space="preserve"> 。</w:t>
      </w:r>
    </w:p>
    <w:p w14:paraId="363A6D41">
      <w:pPr>
        <w:spacing w:line="42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15 变更</w:t>
      </w:r>
    </w:p>
    <w:p w14:paraId="1634E8CB">
      <w:pPr>
        <w:spacing w:line="4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15.5承包人的合理化建议 </w:t>
      </w:r>
    </w:p>
    <w:p w14:paraId="05698CA7">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15.5.2承包人实现合理化建议的奖励金额为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393C032">
      <w:pPr>
        <w:spacing w:line="4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15.8暂估价 </w:t>
      </w:r>
    </w:p>
    <w:p w14:paraId="2B6051B7">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15.8.1（1）发包人和承包人组织</w:t>
      </w:r>
      <w:r>
        <w:rPr>
          <w:rFonts w:hint="eastAsia" w:ascii="宋体" w:hAnsi="宋体" w:eastAsia="宋体" w:cs="宋体"/>
          <w:color w:val="auto"/>
          <w:sz w:val="24"/>
          <w:highlight w:val="none"/>
          <w:lang w:eastAsia="zh-CN"/>
        </w:rPr>
        <w:t>竞标</w:t>
      </w:r>
      <w:r>
        <w:rPr>
          <w:rFonts w:hint="eastAsia" w:ascii="宋体" w:hAnsi="宋体" w:eastAsia="宋体" w:cs="宋体"/>
          <w:color w:val="auto"/>
          <w:sz w:val="24"/>
          <w:highlight w:val="none"/>
        </w:rPr>
        <w:t>的暂估价项目：</w:t>
      </w:r>
      <w:r>
        <w:rPr>
          <w:rFonts w:hint="eastAsia" w:ascii="宋体" w:hAnsi="宋体" w:eastAsia="宋体" w:cs="宋体"/>
          <w:color w:val="auto"/>
          <w:sz w:val="24"/>
          <w:highlight w:val="none"/>
          <w:u w:val="single"/>
        </w:rPr>
        <w:t xml:space="preserve"> （签约后填入）；</w:t>
      </w:r>
      <w:r>
        <w:rPr>
          <w:rFonts w:hint="eastAsia" w:ascii="宋体" w:hAnsi="宋体" w:eastAsia="宋体" w:cs="宋体"/>
          <w:color w:val="auto"/>
          <w:sz w:val="24"/>
          <w:highlight w:val="none"/>
        </w:rPr>
        <w:t>发包人组织</w:t>
      </w:r>
      <w:r>
        <w:rPr>
          <w:rFonts w:hint="eastAsia" w:ascii="宋体" w:hAnsi="宋体" w:eastAsia="宋体" w:cs="宋体"/>
          <w:color w:val="auto"/>
          <w:sz w:val="24"/>
          <w:highlight w:val="none"/>
          <w:lang w:eastAsia="zh-CN"/>
        </w:rPr>
        <w:t>竞标</w:t>
      </w:r>
      <w:r>
        <w:rPr>
          <w:rFonts w:hint="eastAsia" w:ascii="宋体" w:hAnsi="宋体" w:eastAsia="宋体" w:cs="宋体"/>
          <w:color w:val="auto"/>
          <w:sz w:val="24"/>
          <w:highlight w:val="none"/>
        </w:rPr>
        <w:t>的暂估价项目</w:t>
      </w:r>
      <w:r>
        <w:rPr>
          <w:rFonts w:hint="eastAsia" w:ascii="宋体" w:hAnsi="宋体" w:eastAsia="宋体" w:cs="宋体"/>
          <w:color w:val="auto"/>
          <w:sz w:val="24"/>
          <w:highlight w:val="none"/>
          <w:u w:val="single"/>
        </w:rPr>
        <w:t xml:space="preserve">（签约后填入）。 </w:t>
      </w:r>
    </w:p>
    <w:p w14:paraId="38911ACB">
      <w:pPr>
        <w:spacing w:line="42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 xml:space="preserve">    （2）发包人和承包人以</w:t>
      </w:r>
      <w:r>
        <w:rPr>
          <w:rFonts w:hint="eastAsia" w:ascii="宋体" w:hAnsi="宋体" w:eastAsia="宋体" w:cs="宋体"/>
          <w:color w:val="auto"/>
          <w:sz w:val="24"/>
          <w:highlight w:val="none"/>
          <w:lang w:eastAsia="zh-CN"/>
        </w:rPr>
        <w:t>竞标</w:t>
      </w:r>
      <w:r>
        <w:rPr>
          <w:rFonts w:hint="eastAsia" w:ascii="宋体" w:hAnsi="宋体" w:eastAsia="宋体" w:cs="宋体"/>
          <w:color w:val="auto"/>
          <w:sz w:val="24"/>
          <w:highlight w:val="none"/>
        </w:rPr>
        <w:t xml:space="preserve">方式选择暂估价项目供应商或分包人时，双方的权利义务系： </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 </w:t>
      </w:r>
    </w:p>
    <w:p w14:paraId="692F3A76">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16 价格调整 </w:t>
      </w:r>
    </w:p>
    <w:p w14:paraId="6B83B9D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16.1物价波动引起的价格调整 </w:t>
      </w:r>
    </w:p>
    <w:p w14:paraId="0D4D9CD4">
      <w:pPr>
        <w:spacing w:line="360" w:lineRule="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市场价格波动是否调整合同价格的约定</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是</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风险幅度大于5%</w:t>
      </w:r>
      <w:r>
        <w:rPr>
          <w:rFonts w:hint="eastAsia" w:ascii="宋体" w:hAnsi="宋体" w:eastAsia="宋体" w:cs="宋体"/>
          <w:b/>
          <w:bCs/>
          <w:color w:val="auto"/>
          <w:sz w:val="24"/>
          <w:highlight w:val="none"/>
          <w:u w:val="single"/>
        </w:rPr>
        <w:t>；</w:t>
      </w:r>
    </w:p>
    <w:p w14:paraId="4C37BBA7">
      <w:pPr>
        <w:tabs>
          <w:tab w:val="left" w:pos="304"/>
        </w:tabs>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材料价格在施工期遇异常波动，调整条件及方式参照杭州市建委、杭州市财政局《关于进一步加强杭州市建设工程市场要素价格动态管理的指导意见》（杭建市发〔2018〕579号）文件执行，约定市场要素价格调整方式及价差计算方法。</w:t>
      </w:r>
    </w:p>
    <w:p w14:paraId="576EB9E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（一）材料价差调整计算方法：采用竣（完）工后一次性结算调价</w:t>
      </w:r>
    </w:p>
    <w:p w14:paraId="0073564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竣（完）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2E32112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①当单种规格材料价格上涨超过约定的风险幅度时，材料差价（正值）=〔合同工期内各月份信息价算术平均值-编制期信息价×（1+风险幅度）〕×单种规格材料用量。</w:t>
      </w:r>
    </w:p>
    <w:p w14:paraId="3983C49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②当单种规格材料价格下跌超过约定的风险幅度时，材料差价（负值）=〔合同工期内各月份信息价算术平均值-编制期信息价×（1-风险幅度)〕×单种规格材料用量。</w:t>
      </w:r>
    </w:p>
    <w:p w14:paraId="6CBE6F6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上述公式中的“单种规格材料用量”，是指可调规格材料原合同用量与联系单变更用量之和，材料包括工程实施过程中耗用的原材料、构配件、半产品、辅助材料和零件。“编制期信息价”，是指由工程造价管理机构在</w:t>
      </w:r>
      <w:r>
        <w:rPr>
          <w:rFonts w:hint="eastAsia" w:ascii="宋体" w:hAnsi="宋体" w:eastAsia="宋体" w:cs="宋体"/>
          <w:color w:val="auto"/>
          <w:sz w:val="24"/>
          <w:highlight w:val="none"/>
          <w:lang w:eastAsia="zh-CN"/>
        </w:rPr>
        <w:t>应标</w:t>
      </w:r>
      <w:r>
        <w:rPr>
          <w:rFonts w:hint="eastAsia" w:ascii="宋体" w:hAnsi="宋体" w:eastAsia="宋体" w:cs="宋体"/>
          <w:color w:val="auto"/>
          <w:sz w:val="24"/>
          <w:highlight w:val="none"/>
        </w:rPr>
        <w:t>截止日前28日历天所在月份造价信息正刊发布的当期信息价。所在月份信息价如遇工程造价管理机构发布信息价格调整的，则该月信息价格按所发布信息价执行天数加权平均。）</w:t>
      </w:r>
    </w:p>
    <w:p w14:paraId="775B5779">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注1：上述公式中的“单种规格材料”是指根据浙江省、杭州市信息价正刊发布的有单独序号或代码的原材料、构配件、半产品、辅助材料和零件，其中砼管桩、预制构件等成品、半成品不予拆分，园钢、螺纹钢采用综合价。本合同约定可调计算的材料包括：钢材、碎石、沙、水泥、混凝土、沥青砼、管材、阀门、井盖等) 。 </w:t>
      </w:r>
    </w:p>
    <w:p w14:paraId="2B907D45">
      <w:pPr>
        <w:spacing w:line="420" w:lineRule="exact"/>
        <w:rPr>
          <w:rFonts w:hint="eastAsia" w:ascii="宋体" w:hAnsi="宋体" w:eastAsia="宋体" w:cs="宋体"/>
          <w:color w:val="auto"/>
          <w:sz w:val="24"/>
          <w:highlight w:val="none"/>
          <w:u w:val="single"/>
        </w:rPr>
      </w:pPr>
      <w:r>
        <w:rPr>
          <w:rFonts w:hint="eastAsia" w:ascii="宋体" w:hAnsi="宋体" w:eastAsia="宋体" w:cs="宋体"/>
          <w:b/>
          <w:bCs/>
          <w:color w:val="auto"/>
          <w:sz w:val="28"/>
          <w:szCs w:val="28"/>
          <w:highlight w:val="none"/>
        </w:rPr>
        <w:t xml:space="preserve">17 计量与支付 </w:t>
      </w:r>
    </w:p>
    <w:p w14:paraId="5E524DAF">
      <w:pPr>
        <w:spacing w:line="4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17.2工程进度付款</w:t>
      </w:r>
    </w:p>
    <w:p w14:paraId="0F418815">
      <w:pPr>
        <w:spacing w:line="440" w:lineRule="exact"/>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关于付款周期的约定：</w:t>
      </w:r>
      <w:r>
        <w:rPr>
          <w:rFonts w:hint="eastAsia" w:ascii="宋体" w:hAnsi="宋体" w:eastAsia="宋体" w:cs="宋体"/>
          <w:b/>
          <w:bCs/>
          <w:color w:val="auto"/>
          <w:sz w:val="24"/>
          <w:highlight w:val="none"/>
          <w:u w:val="single"/>
          <w:lang w:val="en-US" w:eastAsia="zh-CN"/>
        </w:rPr>
        <w:t>具体签订和合同时明确。</w:t>
      </w:r>
    </w:p>
    <w:p w14:paraId="19484E8D">
      <w:pPr>
        <w:spacing w:line="44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▲严格落实民工工资支付和“无欠薪”专项治理工作各项要求，确保劳动者足额领取工资，确保不发生因欠薪引发重大群体性事件。</w:t>
      </w:r>
    </w:p>
    <w:p w14:paraId="33B52D13">
      <w:pPr>
        <w:ind w:firstLine="482" w:firstLineChars="200"/>
        <w:rPr>
          <w:rFonts w:hint="eastAsia" w:ascii="宋体" w:hAnsi="宋体" w:eastAsia="宋体" w:cs="宋体"/>
          <w:color w:val="auto"/>
          <w:highlight w:val="none"/>
          <w:u w:val="single"/>
        </w:rPr>
      </w:pPr>
      <w:r>
        <w:rPr>
          <w:rFonts w:hint="eastAsia" w:ascii="宋体" w:hAnsi="宋体" w:eastAsia="宋体" w:cs="宋体"/>
          <w:b/>
          <w:bCs/>
          <w:color w:val="auto"/>
          <w:sz w:val="24"/>
          <w:highlight w:val="none"/>
          <w:u w:val="single"/>
        </w:rPr>
        <w:t>承包人收取工程款之前，应向发包人提交相应金额的正规的工程款发票，发包人凭票付款，承包人未提交发票的，发包人有权拒绝付款</w:t>
      </w:r>
      <w:r>
        <w:rPr>
          <w:rFonts w:hint="eastAsia" w:ascii="宋体" w:hAnsi="宋体" w:eastAsia="宋体" w:cs="宋体"/>
          <w:color w:val="auto"/>
          <w:sz w:val="24"/>
          <w:highlight w:val="none"/>
          <w:u w:val="single"/>
        </w:rPr>
        <w:t>。</w:t>
      </w:r>
    </w:p>
    <w:p w14:paraId="2CB73CA7">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17.4质量保证金</w:t>
      </w:r>
    </w:p>
    <w:p w14:paraId="1D93BEB7">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17.4.1质量保证金采用以下第</w:t>
      </w:r>
      <w:r>
        <w:rPr>
          <w:rFonts w:hint="eastAsia" w:ascii="宋体" w:hAnsi="宋体" w:eastAsia="宋体" w:cs="宋体"/>
          <w:color w:val="auto"/>
          <w:sz w:val="24"/>
          <w:highlight w:val="none"/>
          <w:u w:val="single"/>
        </w:rPr>
        <w:t xml:space="preserve"> （3） </w:t>
      </w:r>
      <w:r>
        <w:rPr>
          <w:rFonts w:hint="eastAsia" w:ascii="宋体" w:hAnsi="宋体" w:eastAsia="宋体" w:cs="宋体"/>
          <w:color w:val="auto"/>
          <w:sz w:val="24"/>
          <w:highlight w:val="none"/>
        </w:rPr>
        <w:t>种方式：</w:t>
      </w:r>
    </w:p>
    <w:p w14:paraId="4058525D">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（1）质量保证金保函，保证金额为：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59BF5F89">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%的工程款；</w:t>
      </w:r>
    </w:p>
    <w:p w14:paraId="0FC9E882">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（3）其他方式:</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kern w:val="0"/>
          <w:sz w:val="24"/>
          <w:highlight w:val="none"/>
          <w:u w:val="single"/>
        </w:rPr>
        <w:t>工程决算审计价的</w:t>
      </w:r>
      <w:r>
        <w:rPr>
          <w:rFonts w:hint="eastAsia" w:ascii="宋体" w:hAnsi="宋体" w:eastAsia="宋体" w:cs="宋体"/>
          <w:b/>
          <w:bCs/>
          <w:color w:val="auto"/>
          <w:kern w:val="0"/>
          <w:sz w:val="24"/>
          <w:highlight w:val="none"/>
          <w:u w:val="single"/>
          <w:lang w:val="en-US" w:eastAsia="zh-CN"/>
        </w:rPr>
        <w:t>1.5</w:t>
      </w:r>
      <w:r>
        <w:rPr>
          <w:rFonts w:hint="eastAsia" w:ascii="宋体" w:hAnsi="宋体" w:eastAsia="宋体" w:cs="宋体"/>
          <w:b/>
          <w:bCs/>
          <w:color w:val="auto"/>
          <w:kern w:val="0"/>
          <w:sz w:val="24"/>
          <w:highlight w:val="none"/>
          <w:u w:val="single"/>
        </w:rPr>
        <w:t>%</w:t>
      </w:r>
      <w:r>
        <w:rPr>
          <w:rFonts w:hint="eastAsia" w:ascii="宋体" w:hAnsi="宋体" w:eastAsia="宋体" w:cs="宋体"/>
          <w:b/>
          <w:bCs/>
          <w:color w:val="auto"/>
          <w:kern w:val="0"/>
          <w:sz w:val="24"/>
          <w:highlight w:val="none"/>
          <w:u w:val="single"/>
          <w:lang w:eastAsia="zh-CN"/>
        </w:rPr>
        <w:t>（</w:t>
      </w:r>
      <w:r>
        <w:rPr>
          <w:rFonts w:hint="eastAsia" w:ascii="宋体" w:hAnsi="宋体" w:eastAsia="宋体" w:cs="宋体"/>
          <w:b/>
          <w:bCs/>
          <w:color w:val="auto"/>
          <w:kern w:val="0"/>
          <w:sz w:val="24"/>
          <w:highlight w:val="none"/>
          <w:u w:val="single"/>
          <w:lang w:val="en-US" w:eastAsia="zh-CN"/>
        </w:rPr>
        <w:t>按文件规定执行</w:t>
      </w:r>
      <w:r>
        <w:rPr>
          <w:rFonts w:hint="eastAsia" w:ascii="宋体" w:hAnsi="宋体" w:eastAsia="宋体" w:cs="宋体"/>
          <w:b/>
          <w:bCs/>
          <w:color w:val="auto"/>
          <w:kern w:val="0"/>
          <w:sz w:val="24"/>
          <w:highlight w:val="none"/>
          <w:u w:val="single"/>
          <w:lang w:eastAsia="zh-CN"/>
        </w:rPr>
        <w:t>）</w:t>
      </w:r>
      <w:r>
        <w:rPr>
          <w:rFonts w:hint="eastAsia" w:ascii="宋体" w:hAnsi="宋体" w:eastAsia="宋体" w:cs="宋体"/>
          <w:color w:val="auto"/>
          <w:kern w:val="0"/>
          <w:sz w:val="24"/>
          <w:highlight w:val="none"/>
          <w:u w:val="single"/>
        </w:rPr>
        <w:t>。</w:t>
      </w:r>
    </w:p>
    <w:p w14:paraId="0FF18130">
      <w:pPr>
        <w:autoSpaceDE w:val="0"/>
        <w:autoSpaceDN w:val="0"/>
        <w:adjustRightIn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17.4..2 质量保证金的扣留 </w:t>
      </w:r>
    </w:p>
    <w:p w14:paraId="17C011CE">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质量保证金的扣留采取以下第</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种方式：</w:t>
      </w:r>
    </w:p>
    <w:p w14:paraId="0A3B8CEF">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20A68BB0">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（2）工程决算审计后一次性扣留质量保证金；</w:t>
      </w:r>
    </w:p>
    <w:p w14:paraId="3C40BB70">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（3）其他扣留方式:</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2821709A">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关于质量保证金的补充约定：</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5404ADBF">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17.5竣工（完工）结算</w:t>
      </w:r>
    </w:p>
    <w:p w14:paraId="290E1620">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17.5.1竣工（完工）付款申请单</w:t>
      </w:r>
    </w:p>
    <w:p w14:paraId="27ECB0E0">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承包人应提交完工付款申请单一式 </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份。</w:t>
      </w:r>
    </w:p>
    <w:p w14:paraId="25826F22">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17.6最终结清</w:t>
      </w:r>
    </w:p>
    <w:p w14:paraId="2B7E28EC">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17.6.1最终结清申请单</w:t>
      </w:r>
    </w:p>
    <w:p w14:paraId="10CD8D8B">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承包人应提交最终结清申请单一式</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 xml:space="preserve"> 份。</w:t>
      </w:r>
    </w:p>
    <w:p w14:paraId="5B2A229F">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17.7竣（完）工财务决算</w:t>
      </w:r>
    </w:p>
    <w:p w14:paraId="45E4F625">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承包人应为竣（完）工财务决算编制提供的资料：</w:t>
      </w:r>
      <w:r>
        <w:rPr>
          <w:rFonts w:hint="eastAsia" w:ascii="宋体" w:hAnsi="宋体" w:eastAsia="宋体" w:cs="宋体"/>
          <w:snapToGrid w:val="0"/>
          <w:color w:val="auto"/>
          <w:sz w:val="24"/>
          <w:highlight w:val="none"/>
          <w:u w:val="single"/>
        </w:rPr>
        <w:t>财务决算所需的一切资料</w:t>
      </w:r>
      <w:r>
        <w:rPr>
          <w:rFonts w:hint="eastAsia" w:ascii="宋体" w:hAnsi="宋体" w:eastAsia="宋体" w:cs="宋体"/>
          <w:color w:val="auto"/>
          <w:sz w:val="24"/>
          <w:highlight w:val="none"/>
        </w:rPr>
        <w:t xml:space="preserve"> 。</w:t>
      </w:r>
    </w:p>
    <w:p w14:paraId="7D5CD489">
      <w:pPr>
        <w:spacing w:line="38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18 工程验收</w:t>
      </w:r>
    </w:p>
    <w:p w14:paraId="58F9A24E">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18.1验收工作分类</w:t>
      </w:r>
    </w:p>
    <w:p w14:paraId="54623E6C">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本工程法人验收包括： </w:t>
      </w:r>
      <w:r>
        <w:rPr>
          <w:rFonts w:hint="eastAsia" w:ascii="宋体" w:hAnsi="宋体" w:eastAsia="宋体" w:cs="宋体"/>
          <w:color w:val="auto"/>
          <w:sz w:val="24"/>
          <w:highlight w:val="none"/>
          <w:u w:val="single"/>
        </w:rPr>
        <w:t xml:space="preserve"> 分部工程、单位工程验收</w:t>
      </w:r>
      <w:r>
        <w:rPr>
          <w:rFonts w:hint="eastAsia" w:ascii="宋体" w:hAnsi="宋体" w:eastAsia="宋体" w:cs="宋体"/>
          <w:color w:val="auto"/>
          <w:sz w:val="24"/>
          <w:highlight w:val="none"/>
        </w:rPr>
        <w:t xml:space="preserve">；政府验收包括： </w:t>
      </w:r>
      <w:r>
        <w:rPr>
          <w:rFonts w:hint="eastAsia" w:ascii="宋体" w:hAnsi="宋体" w:eastAsia="宋体" w:cs="宋体"/>
          <w:color w:val="auto"/>
          <w:sz w:val="24"/>
          <w:highlight w:val="none"/>
          <w:u w:val="single"/>
        </w:rPr>
        <w:t xml:space="preserve"> 竣（完）工验收</w:t>
      </w:r>
      <w:r>
        <w:rPr>
          <w:rFonts w:hint="eastAsia" w:ascii="宋体" w:hAnsi="宋体" w:eastAsia="宋体" w:cs="宋体"/>
          <w:color w:val="auto"/>
          <w:sz w:val="24"/>
          <w:highlight w:val="none"/>
        </w:rPr>
        <w:t>。验收条件为：</w:t>
      </w:r>
      <w:r>
        <w:rPr>
          <w:rFonts w:hint="eastAsia" w:ascii="宋体" w:hAnsi="宋体" w:eastAsia="宋体" w:cs="宋体"/>
          <w:color w:val="auto"/>
          <w:sz w:val="24"/>
          <w:highlight w:val="none"/>
          <w:u w:val="single"/>
        </w:rPr>
        <w:t>相应工程完工（合同范围）</w:t>
      </w:r>
      <w:r>
        <w:rPr>
          <w:rFonts w:hint="eastAsia" w:ascii="宋体" w:hAnsi="宋体" w:eastAsia="宋体" w:cs="宋体"/>
          <w:color w:val="auto"/>
          <w:sz w:val="24"/>
          <w:highlight w:val="none"/>
        </w:rPr>
        <w:t xml:space="preserve"> ，验收程序为：</w:t>
      </w:r>
      <w:r>
        <w:rPr>
          <w:rFonts w:hint="eastAsia" w:ascii="宋体" w:hAnsi="宋体" w:eastAsia="宋体" w:cs="宋体"/>
          <w:color w:val="auto"/>
          <w:sz w:val="24"/>
          <w:highlight w:val="none"/>
          <w:u w:val="single"/>
        </w:rPr>
        <w:t>按《水利工程建设工程验收规程》（SL223-2008）</w:t>
      </w:r>
      <w:r>
        <w:rPr>
          <w:rFonts w:hint="eastAsia" w:ascii="宋体" w:hAnsi="宋体" w:eastAsia="宋体" w:cs="宋体"/>
          <w:color w:val="auto"/>
          <w:sz w:val="24"/>
          <w:highlight w:val="none"/>
        </w:rPr>
        <w:t xml:space="preserve"> 。</w:t>
      </w:r>
    </w:p>
    <w:p w14:paraId="6F66721F">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18.2分部工程验收</w:t>
      </w:r>
    </w:p>
    <w:p w14:paraId="3659FFD9">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18.2.2本工程由监理人主持的分部工程验收在监理合同中约定，其余由发包人主持。</w:t>
      </w:r>
    </w:p>
    <w:p w14:paraId="3AAFEA3E">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18.3单位工程验收</w:t>
      </w:r>
    </w:p>
    <w:p w14:paraId="0BE0BB02">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18.3.4提前投入使用的单位工程包括：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E0347BE">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18.5阶段验收</w:t>
      </w:r>
    </w:p>
    <w:p w14:paraId="62166C2B">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18.5.1本合同工程阶段验收类别包括：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DA0A2D3">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18.6专项验收</w:t>
      </w:r>
    </w:p>
    <w:p w14:paraId="464A6915">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18.6.2本合同工程专项验收类别包括：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B9131C">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18.7竣（完）工验收</w:t>
      </w:r>
    </w:p>
    <w:p w14:paraId="51F0FC4E">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18.7.3本工程 （需要、不需要）竣（完）工验收技术鉴定（蓄水安全鉴定）。</w:t>
      </w:r>
    </w:p>
    <w:p w14:paraId="3B19C778">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18.8施工期运行</w:t>
      </w:r>
    </w:p>
    <w:p w14:paraId="2165B448">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18.8.1需要在施工期运行的单位工程或工程设备为：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92D3EE0">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18.9试运行</w:t>
      </w:r>
    </w:p>
    <w:p w14:paraId="5F23D3C7">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18.9.1试运行的组织：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；费用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承担 。</w:t>
      </w:r>
    </w:p>
    <w:p w14:paraId="166066A4">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19 缺陷责任与保修责任</w:t>
      </w:r>
    </w:p>
    <w:p w14:paraId="66177249">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19.1缺陷责任期（工程质量保修期）的起算时间</w:t>
      </w:r>
    </w:p>
    <w:p w14:paraId="0B2D803D">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本工程缺陷责任期（工程质量保修期）为</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 xml:space="preserve"> 年。</w:t>
      </w:r>
    </w:p>
    <w:p w14:paraId="2E8DA6DB">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 保险</w:t>
      </w:r>
    </w:p>
    <w:p w14:paraId="390F0586">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20.1工程保险</w:t>
      </w:r>
    </w:p>
    <w:p w14:paraId="67A25EB8">
      <w:pPr>
        <w:spacing w:line="400" w:lineRule="exact"/>
        <w:ind w:firstLine="480" w:firstLineChars="200"/>
        <w:rPr>
          <w:rFonts w:hint="eastAsia" w:ascii="宋体" w:hAnsi="宋体" w:eastAsia="宋体" w:cs="宋体"/>
          <w:snapToGrid w:val="0"/>
          <w:color w:val="auto"/>
          <w:spacing w:val="-7"/>
          <w:sz w:val="24"/>
          <w:highlight w:val="none"/>
        </w:rPr>
      </w:pPr>
      <w:r>
        <w:rPr>
          <w:rFonts w:hint="eastAsia" w:ascii="宋体" w:hAnsi="宋体" w:eastAsia="宋体" w:cs="宋体"/>
          <w:snapToGrid w:val="0"/>
          <w:color w:val="auto"/>
          <w:sz w:val="24"/>
          <w:highlight w:val="none"/>
        </w:rPr>
        <w:t>建筑工程一切险投保人：</w:t>
      </w:r>
      <w:r>
        <w:rPr>
          <w:rFonts w:hint="eastAsia" w:ascii="宋体" w:hAnsi="宋体" w:eastAsia="宋体" w:cs="宋体"/>
          <w:b/>
          <w:color w:val="auto"/>
          <w:spacing w:val="-7"/>
          <w:sz w:val="24"/>
          <w:highlight w:val="none"/>
          <w:u w:val="single"/>
        </w:rPr>
        <w:t>由承包人投保，费用列入</w:t>
      </w:r>
      <w:r>
        <w:rPr>
          <w:rFonts w:hint="eastAsia" w:ascii="宋体" w:hAnsi="宋体" w:eastAsia="宋体" w:cs="宋体"/>
          <w:b/>
          <w:color w:val="auto"/>
          <w:spacing w:val="-7"/>
          <w:sz w:val="24"/>
          <w:highlight w:val="none"/>
          <w:u w:val="single"/>
          <w:lang w:eastAsia="zh-CN"/>
        </w:rPr>
        <w:t>应标文件</w:t>
      </w:r>
      <w:r>
        <w:rPr>
          <w:rFonts w:hint="eastAsia" w:ascii="宋体" w:hAnsi="宋体" w:eastAsia="宋体" w:cs="宋体"/>
          <w:b/>
          <w:color w:val="auto"/>
          <w:spacing w:val="-7"/>
          <w:sz w:val="24"/>
          <w:highlight w:val="none"/>
          <w:u w:val="single"/>
        </w:rPr>
        <w:t>；发包人凭保单支付保费</w:t>
      </w:r>
      <w:r>
        <w:rPr>
          <w:rFonts w:hint="eastAsia" w:ascii="宋体" w:hAnsi="宋体" w:eastAsia="宋体" w:cs="宋体"/>
          <w:snapToGrid w:val="0"/>
          <w:color w:val="auto"/>
          <w:spacing w:val="-7"/>
          <w:sz w:val="24"/>
          <w:highlight w:val="none"/>
        </w:rPr>
        <w:t>；</w:t>
      </w:r>
    </w:p>
    <w:p w14:paraId="3325211A">
      <w:pPr>
        <w:spacing w:line="40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投保内容：</w:t>
      </w:r>
      <w:r>
        <w:rPr>
          <w:rFonts w:hint="eastAsia" w:ascii="宋体" w:hAnsi="宋体" w:eastAsia="宋体" w:cs="宋体"/>
          <w:color w:val="auto"/>
          <w:sz w:val="24"/>
          <w:highlight w:val="none"/>
          <w:u w:val="single"/>
        </w:rPr>
        <w:t>本合同工程在建安工程施工过程中，因自然灾害或意外事故而引起一切损失等</w:t>
      </w:r>
      <w:r>
        <w:rPr>
          <w:rFonts w:hint="eastAsia" w:ascii="宋体" w:hAnsi="宋体" w:eastAsia="宋体" w:cs="宋体"/>
          <w:snapToGrid w:val="0"/>
          <w:color w:val="auto"/>
          <w:sz w:val="24"/>
          <w:highlight w:val="none"/>
        </w:rPr>
        <w:t>；</w:t>
      </w:r>
    </w:p>
    <w:p w14:paraId="23F1C28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保险金额、保险费率和保险期限：</w:t>
      </w:r>
      <w:r>
        <w:rPr>
          <w:rFonts w:hint="eastAsia" w:ascii="宋体" w:hAnsi="宋体" w:eastAsia="宋体" w:cs="宋体"/>
          <w:color w:val="auto"/>
          <w:sz w:val="24"/>
          <w:highlight w:val="none"/>
          <w:u w:val="single"/>
        </w:rPr>
        <w:t>按投保内容自行考虑报价，保险期限：开工日起直至本合同工程签发缺陷责任终止证书止（即合同工期＋缺陷责任期）</w:t>
      </w:r>
      <w:r>
        <w:rPr>
          <w:rFonts w:hint="eastAsia" w:ascii="宋体" w:hAnsi="宋体" w:eastAsia="宋体" w:cs="宋体"/>
          <w:snapToGrid w:val="0"/>
          <w:color w:val="auto"/>
          <w:sz w:val="24"/>
          <w:highlight w:val="none"/>
        </w:rPr>
        <w:t>。</w:t>
      </w:r>
    </w:p>
    <w:p w14:paraId="2FBD51CA">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20.4第三者责任险</w:t>
      </w:r>
    </w:p>
    <w:p w14:paraId="0BA299B8">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20.4.2第三者责任险的投保金额和保险费率由</w:t>
      </w:r>
      <w:r>
        <w:rPr>
          <w:rFonts w:hint="eastAsia" w:ascii="宋体" w:hAnsi="宋体" w:eastAsia="宋体" w:cs="宋体"/>
          <w:color w:val="auto"/>
          <w:sz w:val="24"/>
          <w:highlight w:val="none"/>
          <w:u w:val="single"/>
        </w:rPr>
        <w:t xml:space="preserve"> 承包人 </w:t>
      </w:r>
      <w:r>
        <w:rPr>
          <w:rFonts w:hint="eastAsia" w:ascii="宋体" w:hAnsi="宋体" w:eastAsia="宋体" w:cs="宋体"/>
          <w:color w:val="auto"/>
          <w:sz w:val="24"/>
          <w:highlight w:val="none"/>
        </w:rPr>
        <w:t>自行报价确定（必须填报），列《工程量清单》的其它费用。</w:t>
      </w:r>
    </w:p>
    <w:p w14:paraId="667D7303">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20.5其他保险</w:t>
      </w:r>
    </w:p>
    <w:p w14:paraId="08E72166">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需要投保的其他内容：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74CD59F1">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保险金额、保险费率和保险期限：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5B3E5D71">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20.6对各项保险的一般要求</w:t>
      </w:r>
    </w:p>
    <w:p w14:paraId="0BAF4FBB">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20.6.1保险凭证</w:t>
      </w:r>
    </w:p>
    <w:p w14:paraId="0463992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承包人提交保险凭证的期限：保险手续办理完毕后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天内提交 ；</w:t>
      </w:r>
    </w:p>
    <w:p w14:paraId="3332C97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保险条件： 。</w:t>
      </w:r>
    </w:p>
    <w:p w14:paraId="169AD8E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20.6.4保险金不足的补偿</w:t>
      </w:r>
    </w:p>
    <w:p w14:paraId="261B81AD">
      <w:pPr>
        <w:pStyle w:val="32"/>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承包人负责补偿的范围与金额：</w:t>
      </w:r>
      <w:r>
        <w:rPr>
          <w:rFonts w:hint="eastAsia" w:ascii="宋体" w:hAnsi="宋体" w:eastAsia="宋体" w:cs="宋体"/>
          <w:color w:val="auto"/>
          <w:sz w:val="24"/>
          <w:szCs w:val="24"/>
          <w:highlight w:val="none"/>
          <w:u w:val="single"/>
        </w:rPr>
        <w:t>保险金不足的补偿均由承包人负责；</w:t>
      </w:r>
    </w:p>
    <w:p w14:paraId="13AD9358">
      <w:pPr>
        <w:pStyle w:val="32"/>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发包人负责补偿的范围与金额 </w:t>
      </w:r>
      <w:r>
        <w:rPr>
          <w:rFonts w:hint="eastAsia" w:ascii="宋体" w:hAnsi="宋体" w:eastAsia="宋体" w:cs="宋体"/>
          <w:color w:val="auto"/>
          <w:sz w:val="24"/>
          <w:szCs w:val="24"/>
          <w:highlight w:val="none"/>
          <w:u w:val="single"/>
        </w:rPr>
        <w:t xml:space="preserve">由于本工程一切保险均由承包人负责投保，其费用均列入报价，故发包人不承担保险金不足的补偿  </w:t>
      </w:r>
      <w:r>
        <w:rPr>
          <w:rFonts w:hint="eastAsia" w:ascii="宋体" w:hAnsi="宋体" w:eastAsia="宋体" w:cs="宋体"/>
          <w:color w:val="auto"/>
          <w:sz w:val="24"/>
          <w:szCs w:val="24"/>
          <w:highlight w:val="none"/>
        </w:rPr>
        <w:t>。</w:t>
      </w:r>
    </w:p>
    <w:p w14:paraId="588808B3">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24 争议的解决</w:t>
      </w:r>
    </w:p>
    <w:p w14:paraId="072CA47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合同当事人友好协商解决不成、不愿提请争议评审或不接受争议评审组意见的，约定的合同争议解决方式：向</w:t>
      </w:r>
      <w:r>
        <w:rPr>
          <w:rFonts w:hint="eastAsia" w:ascii="宋体" w:hAnsi="宋体" w:eastAsia="宋体" w:cs="宋体"/>
          <w:color w:val="auto"/>
          <w:sz w:val="24"/>
          <w:highlight w:val="none"/>
          <w:u w:val="single"/>
        </w:rPr>
        <w:t>杭州市临安区</w:t>
      </w:r>
      <w:r>
        <w:rPr>
          <w:rFonts w:hint="eastAsia" w:ascii="宋体" w:hAnsi="宋体" w:eastAsia="宋体" w:cs="宋体"/>
          <w:color w:val="auto"/>
          <w:sz w:val="24"/>
          <w:highlight w:val="none"/>
        </w:rPr>
        <w:t xml:space="preserve">人民法院提起诉讼。 </w:t>
      </w:r>
    </w:p>
    <w:p w14:paraId="7F7F4FBB">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24.2 友好解决 </w:t>
      </w:r>
    </w:p>
    <w:p w14:paraId="53D72FD4">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补充：1）合同当事人可以就争议请第三方或区水行政主管部门进行调解，调解达成协议的，经双方签字并盖章后作为合同补充文件，双方均应遵照执行。 </w:t>
      </w:r>
    </w:p>
    <w:p w14:paraId="00C2151E">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24.3 争议评审 </w:t>
      </w:r>
    </w:p>
    <w:p w14:paraId="578EF623">
      <w:pPr>
        <w:spacing w:line="400" w:lineRule="exact"/>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 xml:space="preserve">    24.3.7补充：发包人或承包人不接受评审意见，可请区水行政主管部门进行调解。 </w:t>
      </w:r>
    </w:p>
    <w:p w14:paraId="7E01C93B">
      <w:pPr>
        <w:tabs>
          <w:tab w:val="left" w:pos="1123"/>
        </w:tabs>
        <w:spacing w:before="54"/>
        <w:rPr>
          <w:rFonts w:hint="eastAsia" w:ascii="宋体" w:hAnsi="宋体" w:eastAsia="宋体" w:cs="宋体"/>
          <w:color w:val="auto"/>
          <w:highlight w:val="none"/>
        </w:rPr>
        <w:sectPr>
          <w:headerReference r:id="rId8" w:type="default"/>
          <w:footerReference r:id="rId9" w:type="default"/>
          <w:pgSz w:w="12240" w:h="15840"/>
          <w:pgMar w:top="1417" w:right="1134" w:bottom="1134" w:left="1417" w:header="850" w:footer="680" w:gutter="0"/>
          <w:cols w:space="720" w:num="1"/>
        </w:sectPr>
      </w:pPr>
      <w:bookmarkStart w:id="420" w:name="1__一般约定"/>
      <w:bookmarkEnd w:id="420"/>
    </w:p>
    <w:p w14:paraId="53E1D40A">
      <w:pPr>
        <w:rPr>
          <w:rFonts w:hint="eastAsia" w:ascii="宋体" w:hAnsi="宋体" w:eastAsia="宋体" w:cs="宋体"/>
          <w:color w:val="auto"/>
          <w:kern w:val="0"/>
          <w:sz w:val="24"/>
          <w:highlight w:val="none"/>
        </w:rPr>
      </w:pPr>
    </w:p>
    <w:p w14:paraId="62FF4340">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其它补充条款：</w:t>
      </w:r>
    </w:p>
    <w:p w14:paraId="7B5296FB">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1、 本合同承包范围的工程结算由发包方委托有资质的中介机构进行审核，承包方应（按“浙价服[2009]84号”文件收费标准）承担审核追加费，由发包人从工程款中代扣代付。</w:t>
      </w:r>
    </w:p>
    <w:p w14:paraId="1A3740C9">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2、承包人签订合同时必须提交：施工现场作业人员（包含农民工）花名册和与承包人签订的劳动合同；如实际施工过程中，需更换现场作业人员，需经业主同意并重新提交以上两项资料。</w:t>
      </w:r>
    </w:p>
    <w:p w14:paraId="4F51D9AD">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承包人如拖欠或克扣农民工工资等情况，给发包人带来麻烦（如农民工到发包人处闹事、威胁等）的，每次罚款5万元并责令改正，情节严重的，计入镇信用档案并上报上级主管部门；施工过程中如出现以上问题，发包人有权上报上级主管部门并终止合同，承包人在收到发包人发出终止合同通知书后十五天内必须无条件自行清退出场完毕，并承担由此给发包人造成的一切损失。</w:t>
      </w:r>
    </w:p>
    <w:p w14:paraId="609CB853">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4、乙方所做工程在质保期内发生质量问题或受到投诉，乙方应负责免费维修且承担所发生的全部费用；对达不到甲方要求的，甲方有权委托第三方单位进行维修，产生的费用甲方有权在质保金中相应扣除。</w:t>
      </w:r>
    </w:p>
    <w:p w14:paraId="054B412D">
      <w:pPr>
        <w:adjustRightInd/>
        <w:ind w:firstLine="426" w:firstLineChars="177"/>
        <w:jc w:val="left"/>
        <w:rPr>
          <w:rFonts w:hint="eastAsia" w:ascii="宋体" w:hAnsi="宋体" w:eastAsia="宋体" w:cs="宋体"/>
          <w:snapToGrid w:val="0"/>
          <w:kern w:val="0"/>
          <w:szCs w:val="21"/>
        </w:rPr>
      </w:pPr>
      <w:r>
        <w:rPr>
          <w:rFonts w:hint="eastAsia" w:ascii="宋体" w:hAnsi="宋体" w:eastAsia="宋体" w:cs="宋体"/>
          <w:b/>
          <w:bCs/>
          <w:color w:val="auto"/>
          <w:sz w:val="24"/>
          <w:highlight w:val="none"/>
        </w:rPr>
        <w:t>5、若产生合同终止，清退出场的情形，工程视为验收不合格，所产生的一切后果，由承包人负责，产生的一切损失，均由承包人承担；工程质保期的维修保养问题，由双方协商解决，若承包人不愿承担维修保养任务的，相应费用必须扣除。</w:t>
      </w:r>
    </w:p>
    <w:p w14:paraId="7E7CE575">
      <w:pPr>
        <w:spacing w:before="162" w:line="440" w:lineRule="exact"/>
        <w:ind w:firstLine="480"/>
        <w:rPr>
          <w:rFonts w:ascii="宋体" w:hAnsi="宋体"/>
          <w:b/>
          <w:bCs/>
          <w:sz w:val="24"/>
        </w:rPr>
      </w:pPr>
      <w:r>
        <w:rPr>
          <w:rFonts w:ascii="宋体" w:hAnsi="宋体"/>
          <w:sz w:val="24"/>
          <w:u w:val="single"/>
        </w:rPr>
        <w:br w:type="page"/>
      </w:r>
      <w:bookmarkStart w:id="421" w:name="_Toc249091536"/>
      <w:bookmarkStart w:id="422" w:name="_Toc534620509"/>
      <w:r>
        <w:rPr>
          <w:rFonts w:hint="eastAsia" w:ascii="宋体" w:hAnsi="宋体"/>
          <w:b/>
          <w:bCs/>
          <w:sz w:val="24"/>
        </w:rPr>
        <w:t>附件1:</w:t>
      </w:r>
    </w:p>
    <w:bookmarkEnd w:id="421"/>
    <w:bookmarkEnd w:id="422"/>
    <w:p w14:paraId="4AAAE08A">
      <w:pPr>
        <w:adjustRightInd/>
        <w:spacing w:before="120" w:beforeLines="50" w:after="120" w:afterLines="50" w:line="288" w:lineRule="auto"/>
        <w:jc w:val="center"/>
        <w:rPr>
          <w:rFonts w:ascii="宋体" w:hAnsi="宋体"/>
          <w:snapToGrid w:val="0"/>
          <w:kern w:val="0"/>
          <w:szCs w:val="21"/>
        </w:rPr>
      </w:pPr>
      <w:r>
        <w:rPr>
          <w:rFonts w:ascii="宋体" w:hAnsi="宋体"/>
          <w:snapToGrid w:val="0"/>
          <w:kern w:val="0"/>
          <w:szCs w:val="21"/>
        </w:rPr>
        <w:t>工程质量保修书</w:t>
      </w:r>
    </w:p>
    <w:p w14:paraId="4E4E579E">
      <w:pPr>
        <w:adjustRightInd/>
        <w:spacing w:line="288" w:lineRule="auto"/>
        <w:ind w:firstLine="420" w:firstLineChars="200"/>
        <w:rPr>
          <w:rFonts w:ascii="宋体" w:hAnsi="宋体"/>
          <w:snapToGrid w:val="0"/>
          <w:kern w:val="0"/>
          <w:szCs w:val="21"/>
        </w:rPr>
      </w:pPr>
      <w:r>
        <w:rPr>
          <w:rFonts w:ascii="宋体" w:hAnsi="宋体"/>
          <w:snapToGrid w:val="0"/>
          <w:kern w:val="0"/>
          <w:szCs w:val="21"/>
        </w:rPr>
        <w:t>发包人（全称）：</w:t>
      </w:r>
      <w:r>
        <w:rPr>
          <w:rFonts w:ascii="宋体" w:hAnsi="宋体"/>
          <w:snapToGrid w:val="0"/>
          <w:kern w:val="0"/>
          <w:szCs w:val="21"/>
          <w:u w:val="single"/>
        </w:rPr>
        <w:t xml:space="preserve">  </w:t>
      </w:r>
      <w:bookmarkStart w:id="423" w:name="SOA_zyht_zlbx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23"/>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070AEA3">
      <w:pPr>
        <w:adjustRightInd/>
        <w:spacing w:line="288" w:lineRule="auto"/>
        <w:rPr>
          <w:rFonts w:ascii="宋体" w:hAnsi="宋体"/>
          <w:snapToGrid w:val="0"/>
          <w:kern w:val="0"/>
          <w:szCs w:val="21"/>
        </w:rPr>
      </w:pPr>
      <w:r>
        <w:rPr>
          <w:rFonts w:ascii="宋体" w:hAnsi="宋体"/>
          <w:snapToGrid w:val="0"/>
          <w:kern w:val="0"/>
          <w:szCs w:val="21"/>
        </w:rPr>
        <w:t>　　承包人（全称）：</w:t>
      </w:r>
      <w:r>
        <w:rPr>
          <w:rFonts w:ascii="宋体" w:hAnsi="宋体"/>
          <w:snapToGrid w:val="0"/>
          <w:kern w:val="0"/>
          <w:szCs w:val="21"/>
          <w:u w:val="single"/>
        </w:rPr>
        <w:t xml:space="preserve">  </w:t>
      </w:r>
      <w:bookmarkStart w:id="424" w:name="SOA_zyht_zlbxcbr"/>
      <w:r>
        <w:rPr>
          <w:rFonts w:ascii="宋体" w:hAnsi="宋体"/>
          <w:snapToGrid w:val="0"/>
          <w:kern w:val="0"/>
          <w:szCs w:val="21"/>
          <w:u w:val="single"/>
        </w:rPr>
        <w:t xml:space="preserve"> </w:t>
      </w:r>
      <w:bookmarkEnd w:id="424"/>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519122D">
      <w:pPr>
        <w:adjustRightInd/>
        <w:spacing w:line="288" w:lineRule="auto"/>
        <w:rPr>
          <w:rFonts w:ascii="宋体" w:hAnsi="宋体"/>
          <w:snapToGrid w:val="0"/>
          <w:kern w:val="0"/>
          <w:szCs w:val="21"/>
        </w:rPr>
      </w:pPr>
      <w:r>
        <w:rPr>
          <w:rFonts w:ascii="宋体" w:hAnsi="宋体"/>
          <w:snapToGrid w:val="0"/>
          <w:kern w:val="0"/>
          <w:szCs w:val="21"/>
        </w:rPr>
        <w:t>　　发包人和承包人根据《中华人民共和国建筑法》和《建设工程质量管理条例》，经协商一致就</w:t>
      </w:r>
      <w:r>
        <w:rPr>
          <w:rFonts w:ascii="宋体" w:hAnsi="宋体"/>
          <w:snapToGrid w:val="0"/>
          <w:kern w:val="0"/>
          <w:szCs w:val="21"/>
          <w:u w:val="single"/>
        </w:rPr>
        <w:t xml:space="preserve">  </w:t>
      </w:r>
      <w:bookmarkStart w:id="425" w:name="SOA_zyht_gcqc"/>
      <w:r>
        <w:rPr>
          <w:rFonts w:ascii="宋体" w:hAnsi="宋体"/>
          <w:snapToGrid w:val="0"/>
          <w:kern w:val="0"/>
          <w:szCs w:val="21"/>
          <w:u w:val="single"/>
        </w:rPr>
        <w:t xml:space="preserve"> </w:t>
      </w:r>
      <w:r>
        <w:rPr>
          <w:rFonts w:hint="eastAsia" w:ascii="宋体" w:hAnsi="宋体" w:cs="宋体"/>
          <w:b/>
          <w:snapToGrid w:val="0"/>
          <w:kern w:val="0"/>
          <w:szCs w:val="21"/>
          <w:u w:val="single"/>
        </w:rPr>
        <w:t xml:space="preserve">                   </w:t>
      </w:r>
      <w:r>
        <w:rPr>
          <w:rFonts w:ascii="宋体" w:hAnsi="宋体"/>
          <w:snapToGrid w:val="0"/>
          <w:kern w:val="0"/>
          <w:szCs w:val="21"/>
          <w:u w:val="single"/>
        </w:rPr>
        <w:t xml:space="preserve"> </w:t>
      </w:r>
      <w:bookmarkEnd w:id="425"/>
      <w:r>
        <w:rPr>
          <w:rFonts w:ascii="宋体" w:hAnsi="宋体"/>
          <w:snapToGrid w:val="0"/>
          <w:kern w:val="0"/>
          <w:szCs w:val="21"/>
          <w:u w:val="single"/>
        </w:rPr>
        <w:t xml:space="preserve">   </w:t>
      </w:r>
      <w:r>
        <w:rPr>
          <w:rFonts w:ascii="宋体" w:hAnsi="宋体"/>
          <w:snapToGrid w:val="0"/>
          <w:kern w:val="0"/>
          <w:szCs w:val="21"/>
        </w:rPr>
        <w:t>（工程全称）签订工程质量保修书。</w:t>
      </w:r>
    </w:p>
    <w:p w14:paraId="42A5E871">
      <w:pPr>
        <w:adjustRightInd/>
        <w:spacing w:line="288" w:lineRule="auto"/>
        <w:rPr>
          <w:rFonts w:ascii="宋体" w:hAnsi="宋体"/>
          <w:snapToGrid w:val="0"/>
          <w:kern w:val="0"/>
          <w:szCs w:val="21"/>
        </w:rPr>
      </w:pPr>
      <w:r>
        <w:rPr>
          <w:rFonts w:ascii="宋体" w:hAnsi="宋体"/>
          <w:snapToGrid w:val="0"/>
          <w:kern w:val="0"/>
          <w:szCs w:val="21"/>
        </w:rPr>
        <w:t>一、工程质量保修范围和内容</w:t>
      </w:r>
    </w:p>
    <w:p w14:paraId="251AD71A">
      <w:pPr>
        <w:adjustRightInd/>
        <w:spacing w:line="288" w:lineRule="auto"/>
        <w:rPr>
          <w:rFonts w:ascii="宋体" w:hAnsi="宋体"/>
          <w:snapToGrid w:val="0"/>
          <w:kern w:val="0"/>
          <w:szCs w:val="21"/>
        </w:rPr>
      </w:pPr>
      <w:r>
        <w:rPr>
          <w:rFonts w:ascii="宋体" w:hAnsi="宋体"/>
          <w:snapToGrid w:val="0"/>
          <w:kern w:val="0"/>
          <w:szCs w:val="21"/>
        </w:rPr>
        <w:t>　　承包人在质量保修期内，按照有关法律规定和合同约定，承担工程质量保修责任。</w:t>
      </w:r>
    </w:p>
    <w:p w14:paraId="359BEA4E">
      <w:pPr>
        <w:adjustRightInd/>
        <w:spacing w:line="288" w:lineRule="auto"/>
        <w:rPr>
          <w:rFonts w:ascii="宋体" w:hAnsi="宋体"/>
          <w:snapToGrid w:val="0"/>
          <w:kern w:val="0"/>
          <w:szCs w:val="21"/>
        </w:rPr>
      </w:pPr>
      <w:r>
        <w:rPr>
          <w:rFonts w:ascii="宋体" w:hAnsi="宋体"/>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C536F93">
      <w:pPr>
        <w:adjustRightInd/>
        <w:spacing w:line="288" w:lineRule="auto"/>
        <w:rPr>
          <w:rFonts w:ascii="宋体" w:hAnsi="宋体"/>
          <w:snapToGrid w:val="0"/>
          <w:kern w:val="0"/>
          <w:szCs w:val="21"/>
        </w:rPr>
      </w:pPr>
      <w:r>
        <w:rPr>
          <w:rFonts w:ascii="宋体" w:hAnsi="宋体"/>
          <w:snapToGrid w:val="0"/>
          <w:kern w:val="0"/>
          <w:szCs w:val="21"/>
          <w:u w:val="single"/>
        </w:rPr>
        <w:t xml:space="preserve">   </w:t>
      </w:r>
      <w:bookmarkStart w:id="426" w:name="SOA_zyht_gczlbxfw"/>
      <w:r>
        <w:rPr>
          <w:rFonts w:ascii="宋体" w:hAnsi="宋体"/>
          <w:snapToGrid w:val="0"/>
          <w:kern w:val="0"/>
          <w:szCs w:val="21"/>
          <w:u w:val="single"/>
        </w:rPr>
        <w:t xml:space="preserve">   </w:t>
      </w:r>
      <w:r>
        <w:rPr>
          <w:rFonts w:hint="eastAsia" w:ascii="宋体" w:hAnsi="宋体"/>
          <w:snapToGrid w:val="0"/>
          <w:kern w:val="0"/>
          <w:szCs w:val="21"/>
          <w:u w:val="single"/>
        </w:rPr>
        <w:t>双方约定对施工承包范围内的所有内容实行保修</w:t>
      </w:r>
      <w:r>
        <w:rPr>
          <w:rFonts w:ascii="宋体" w:hAnsi="宋体"/>
          <w:snapToGrid w:val="0"/>
          <w:kern w:val="0"/>
          <w:szCs w:val="21"/>
          <w:u w:val="single"/>
        </w:rPr>
        <w:t xml:space="preserve">   </w:t>
      </w:r>
      <w:bookmarkEnd w:id="426"/>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p>
    <w:p w14:paraId="3CAC740A">
      <w:pPr>
        <w:adjustRightInd/>
        <w:spacing w:line="288" w:lineRule="auto"/>
        <w:rPr>
          <w:rFonts w:ascii="宋体" w:hAnsi="宋体"/>
          <w:snapToGrid w:val="0"/>
          <w:kern w:val="0"/>
          <w:szCs w:val="21"/>
        </w:rPr>
      </w:pPr>
      <w:r>
        <w:rPr>
          <w:rFonts w:ascii="宋体" w:hAnsi="宋体"/>
          <w:snapToGrid w:val="0"/>
          <w:kern w:val="0"/>
          <w:szCs w:val="21"/>
        </w:rPr>
        <w:t>二、质量保修期</w:t>
      </w:r>
    </w:p>
    <w:p w14:paraId="7957C054">
      <w:pPr>
        <w:adjustRightInd/>
        <w:spacing w:line="288" w:lineRule="auto"/>
        <w:ind w:firstLine="420" w:firstLineChars="200"/>
        <w:rPr>
          <w:rFonts w:ascii="宋体" w:hAnsi="宋体"/>
          <w:snapToGrid w:val="0"/>
          <w:kern w:val="0"/>
          <w:szCs w:val="21"/>
        </w:rPr>
      </w:pPr>
      <w:r>
        <w:rPr>
          <w:rFonts w:ascii="宋体" w:hAnsi="宋体"/>
          <w:snapToGrid w:val="0"/>
          <w:kern w:val="0"/>
          <w:szCs w:val="21"/>
        </w:rPr>
        <w:t>根据《建设工程质量管理条例》及有关规定，工程的质量保修期如下：</w:t>
      </w:r>
    </w:p>
    <w:p w14:paraId="6264477F">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1．地基基础工程和主体结构工程为设计文件规定的工程合理使用年限；</w:t>
      </w:r>
    </w:p>
    <w:p w14:paraId="1B303F66">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屋面防水工程、有防水要求的卫生间、房间和外墙面的防渗</w:t>
      </w:r>
      <w:r>
        <w:rPr>
          <w:rFonts w:hint="eastAsia" w:ascii="宋体" w:hAnsi="宋体"/>
          <w:snapToGrid w:val="0"/>
          <w:kern w:val="0"/>
          <w:szCs w:val="21"/>
        </w:rPr>
        <w:t>为</w:t>
      </w:r>
      <w:r>
        <w:rPr>
          <w:rFonts w:hint="eastAsia" w:ascii="宋体" w:hAnsi="宋体"/>
          <w:snapToGrid w:val="0"/>
          <w:kern w:val="0"/>
          <w:szCs w:val="21"/>
          <w:u w:val="single"/>
        </w:rPr>
        <w:t xml:space="preserve"> 5 </w:t>
      </w:r>
      <w:r>
        <w:rPr>
          <w:rFonts w:ascii="宋体" w:hAnsi="宋体"/>
          <w:snapToGrid w:val="0"/>
          <w:kern w:val="0"/>
          <w:szCs w:val="21"/>
        </w:rPr>
        <w:t>年；</w:t>
      </w:r>
    </w:p>
    <w:p w14:paraId="41D6DA9E">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装修工程为</w:t>
      </w:r>
      <w:r>
        <w:rPr>
          <w:rFonts w:ascii="宋体" w:hAnsi="宋体"/>
          <w:snapToGrid w:val="0"/>
          <w:kern w:val="0"/>
          <w:szCs w:val="21"/>
          <w:u w:val="single"/>
        </w:rPr>
        <w:t xml:space="preserve">  </w:t>
      </w:r>
      <w:r>
        <w:rPr>
          <w:rFonts w:hint="eastAsia" w:ascii="宋体" w:hAnsi="宋体"/>
          <w:snapToGrid w:val="0"/>
          <w:kern w:val="0"/>
          <w:szCs w:val="21"/>
          <w:u w:val="single"/>
        </w:rPr>
        <w:t xml:space="preserve">2 </w:t>
      </w:r>
      <w:r>
        <w:rPr>
          <w:rFonts w:ascii="宋体" w:hAnsi="宋体"/>
          <w:snapToGrid w:val="0"/>
          <w:kern w:val="0"/>
          <w:szCs w:val="21"/>
          <w:u w:val="single"/>
        </w:rPr>
        <w:t xml:space="preserve"> </w:t>
      </w:r>
      <w:r>
        <w:rPr>
          <w:rFonts w:ascii="宋体" w:hAnsi="宋体"/>
          <w:snapToGrid w:val="0"/>
          <w:kern w:val="0"/>
          <w:szCs w:val="21"/>
        </w:rPr>
        <w:t>年；</w:t>
      </w:r>
    </w:p>
    <w:p w14:paraId="0B88B77C">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电气管线、给排水管道、设备安装工程为</w:t>
      </w:r>
      <w:bookmarkStart w:id="427" w:name="SOA_zyht_azbxnx"/>
      <w:r>
        <w:rPr>
          <w:rFonts w:ascii="宋体" w:hAnsi="宋体"/>
          <w:snapToGrid w:val="0"/>
          <w:kern w:val="0"/>
          <w:szCs w:val="21"/>
          <w:u w:val="single"/>
        </w:rPr>
        <w:t xml:space="preserve"> </w:t>
      </w:r>
      <w:bookmarkEnd w:id="427"/>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14:paraId="2B99AB98">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5．</w:t>
      </w:r>
      <w:r>
        <w:rPr>
          <w:rFonts w:ascii="宋体" w:hAnsi="宋体"/>
          <w:snapToGrid w:val="0"/>
          <w:kern w:val="0"/>
          <w:szCs w:val="21"/>
        </w:rPr>
        <w:t>供热与供冷系统为</w:t>
      </w:r>
      <w:r>
        <w:rPr>
          <w:rFonts w:ascii="宋体" w:hAnsi="宋体"/>
          <w:snapToGrid w:val="0"/>
          <w:kern w:val="0"/>
          <w:szCs w:val="21"/>
          <w:u w:val="single"/>
        </w:rPr>
        <w:t xml:space="preserve"> </w:t>
      </w:r>
      <w:bookmarkStart w:id="428" w:name="SOA_zyht_grbxnx"/>
      <w:r>
        <w:rPr>
          <w:rFonts w:hint="eastAsia" w:ascii="宋体" w:hAnsi="宋体"/>
          <w:snapToGrid w:val="0"/>
          <w:kern w:val="0"/>
          <w:szCs w:val="21"/>
          <w:u w:val="single"/>
        </w:rPr>
        <w:t>2</w:t>
      </w:r>
      <w:r>
        <w:rPr>
          <w:rFonts w:ascii="宋体" w:hAnsi="宋体"/>
          <w:snapToGrid w:val="0"/>
          <w:kern w:val="0"/>
          <w:szCs w:val="21"/>
          <w:u w:val="single"/>
        </w:rPr>
        <w:t xml:space="preserve"> </w:t>
      </w:r>
      <w:bookmarkEnd w:id="428"/>
      <w:r>
        <w:rPr>
          <w:rFonts w:ascii="宋体" w:hAnsi="宋体"/>
          <w:snapToGrid w:val="0"/>
          <w:kern w:val="0"/>
          <w:szCs w:val="21"/>
        </w:rPr>
        <w:t>个采暖期、供冷期；</w:t>
      </w:r>
    </w:p>
    <w:p w14:paraId="3333C038">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住宅小区内的给排水设施、道路等配套工程为</w:t>
      </w:r>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14:paraId="4641B3E1">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其他项目保修期限约定如下：</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p>
    <w:p w14:paraId="2C52ECF1">
      <w:pPr>
        <w:adjustRightInd/>
        <w:spacing w:line="288" w:lineRule="auto"/>
        <w:rPr>
          <w:rFonts w:ascii="宋体" w:hAnsi="宋体"/>
          <w:snapToGrid w:val="0"/>
          <w:kern w:val="0"/>
          <w:szCs w:val="21"/>
        </w:rPr>
      </w:pPr>
      <w:r>
        <w:rPr>
          <w:rFonts w:ascii="宋体" w:hAnsi="宋体"/>
          <w:snapToGrid w:val="0"/>
          <w:kern w:val="0"/>
          <w:szCs w:val="21"/>
        </w:rPr>
        <w:t>　　质量保修期自工程竣工验收合格之日起计算。</w:t>
      </w:r>
    </w:p>
    <w:p w14:paraId="597B7BB3">
      <w:pPr>
        <w:adjustRightInd/>
        <w:spacing w:line="288" w:lineRule="auto"/>
        <w:rPr>
          <w:rFonts w:ascii="宋体" w:hAnsi="宋体"/>
          <w:snapToGrid w:val="0"/>
          <w:kern w:val="0"/>
          <w:szCs w:val="21"/>
        </w:rPr>
      </w:pPr>
      <w:r>
        <w:rPr>
          <w:rFonts w:ascii="宋体" w:hAnsi="宋体"/>
          <w:snapToGrid w:val="0"/>
          <w:kern w:val="0"/>
          <w:szCs w:val="21"/>
        </w:rPr>
        <w:t>三、缺陷责任期</w:t>
      </w:r>
    </w:p>
    <w:p w14:paraId="3F979B69">
      <w:pPr>
        <w:adjustRightInd/>
        <w:spacing w:line="360" w:lineRule="auto"/>
        <w:ind w:firstLine="420" w:firstLineChars="200"/>
        <w:rPr>
          <w:rFonts w:ascii="宋体" w:hAnsi="宋体"/>
          <w:snapToGrid w:val="0"/>
          <w:kern w:val="0"/>
          <w:szCs w:val="21"/>
        </w:rPr>
      </w:pPr>
      <w:r>
        <w:rPr>
          <w:rFonts w:ascii="宋体" w:hAnsi="宋体"/>
          <w:snapToGrid w:val="0"/>
          <w:kern w:val="0"/>
          <w:szCs w:val="21"/>
        </w:rPr>
        <w:t>工程缺陷责任期为</w:t>
      </w:r>
      <w:bookmarkStart w:id="429" w:name="SOA_zyht_gcqxq"/>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12</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29"/>
      <w:r>
        <w:rPr>
          <w:rFonts w:ascii="宋体" w:hAnsi="宋体"/>
          <w:snapToGrid w:val="0"/>
          <w:kern w:val="0"/>
          <w:szCs w:val="21"/>
        </w:rPr>
        <w:t>个月，缺陷责任期自</w:t>
      </w:r>
      <w:r>
        <w:rPr>
          <w:rFonts w:hint="eastAsia" w:ascii="宋体" w:hAnsi="宋体"/>
          <w:snapToGrid w:val="0"/>
          <w:kern w:val="0"/>
          <w:szCs w:val="21"/>
        </w:rPr>
        <w:t>工程通过竣工验收合格之日</w:t>
      </w:r>
      <w:r>
        <w:rPr>
          <w:rFonts w:ascii="宋体" w:hAnsi="宋体"/>
          <w:snapToGrid w:val="0"/>
          <w:kern w:val="0"/>
          <w:szCs w:val="21"/>
        </w:rPr>
        <w:t>起计算。单位工程先于全部工程进行验收，单位工程缺陷责任期自单位工程</w:t>
      </w:r>
      <w:r>
        <w:rPr>
          <w:rFonts w:hint="eastAsia" w:ascii="宋体" w:hAnsi="宋体"/>
          <w:snapToGrid w:val="0"/>
          <w:kern w:val="0"/>
          <w:szCs w:val="21"/>
        </w:rPr>
        <w:t>验收合格之日</w:t>
      </w:r>
      <w:r>
        <w:rPr>
          <w:rFonts w:ascii="宋体" w:hAnsi="宋体"/>
          <w:snapToGrid w:val="0"/>
          <w:kern w:val="0"/>
          <w:szCs w:val="21"/>
        </w:rPr>
        <w:t>起</w:t>
      </w:r>
      <w:r>
        <w:rPr>
          <w:rFonts w:hint="eastAsia" w:ascii="宋体" w:hAnsi="宋体"/>
          <w:snapToGrid w:val="0"/>
          <w:kern w:val="0"/>
          <w:szCs w:val="21"/>
        </w:rPr>
        <w:t>计</w:t>
      </w:r>
      <w:r>
        <w:rPr>
          <w:rFonts w:ascii="宋体" w:hAnsi="宋体"/>
          <w:snapToGrid w:val="0"/>
          <w:kern w:val="0"/>
          <w:szCs w:val="21"/>
        </w:rPr>
        <w:t>算。</w:t>
      </w:r>
    </w:p>
    <w:p w14:paraId="268FE311">
      <w:pPr>
        <w:adjustRightInd/>
        <w:spacing w:line="288" w:lineRule="auto"/>
        <w:ind w:firstLine="420" w:firstLineChars="200"/>
        <w:rPr>
          <w:rFonts w:ascii="宋体" w:hAnsi="宋体"/>
          <w:snapToGrid w:val="0"/>
          <w:kern w:val="0"/>
          <w:szCs w:val="21"/>
        </w:rPr>
      </w:pPr>
      <w:r>
        <w:rPr>
          <w:rFonts w:ascii="宋体" w:hAnsi="宋体"/>
          <w:snapToGrid w:val="0"/>
          <w:kern w:val="0"/>
          <w:szCs w:val="21"/>
        </w:rPr>
        <w:t>缺陷责任期终止后，发包人应退还剩余的质量保证金。</w:t>
      </w:r>
    </w:p>
    <w:p w14:paraId="58E374E5">
      <w:pPr>
        <w:adjustRightInd/>
        <w:spacing w:line="288" w:lineRule="auto"/>
        <w:rPr>
          <w:rFonts w:ascii="宋体" w:hAnsi="宋体"/>
          <w:snapToGrid w:val="0"/>
          <w:kern w:val="0"/>
          <w:szCs w:val="21"/>
        </w:rPr>
      </w:pPr>
      <w:r>
        <w:rPr>
          <w:rFonts w:ascii="宋体" w:hAnsi="宋体"/>
          <w:snapToGrid w:val="0"/>
          <w:kern w:val="0"/>
          <w:szCs w:val="21"/>
        </w:rPr>
        <w:t>四、质量保修责任</w:t>
      </w:r>
    </w:p>
    <w:p w14:paraId="44ED8E61">
      <w:pPr>
        <w:adjustRightInd/>
        <w:spacing w:line="288" w:lineRule="auto"/>
        <w:ind w:left="105" w:leftChars="50" w:firstLine="430" w:firstLineChars="205"/>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属于保修范围、内容的项目，承包人应当在接到保修通知之日起7天内派人保修。承包人不在约定期限内派人保修的，发包人可以委托他人修理。</w:t>
      </w:r>
    </w:p>
    <w:p w14:paraId="2B587CF2">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发生紧急事故需抢修的，承包人在接到事故通知后，应当立即到达事故现场抢修。</w:t>
      </w:r>
    </w:p>
    <w:p w14:paraId="32A35529">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F8CEEF">
      <w:pPr>
        <w:adjustRightInd/>
        <w:spacing w:line="300" w:lineRule="auto"/>
        <w:ind w:left="420" w:leftChars="200" w:firstLine="105" w:firstLineChars="5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质量保修完成后，由发包人组织验收。</w:t>
      </w:r>
    </w:p>
    <w:p w14:paraId="6AD39F8B">
      <w:pPr>
        <w:adjustRightInd/>
        <w:spacing w:line="300" w:lineRule="auto"/>
        <w:rPr>
          <w:rFonts w:ascii="宋体" w:hAnsi="宋体"/>
          <w:snapToGrid w:val="0"/>
          <w:kern w:val="0"/>
          <w:szCs w:val="21"/>
        </w:rPr>
      </w:pPr>
      <w:r>
        <w:rPr>
          <w:rFonts w:ascii="宋体" w:hAnsi="宋体"/>
          <w:snapToGrid w:val="0"/>
          <w:kern w:val="0"/>
          <w:szCs w:val="21"/>
        </w:rPr>
        <w:t>五、保修费用</w:t>
      </w:r>
    </w:p>
    <w:p w14:paraId="556F54E1">
      <w:pPr>
        <w:adjustRightInd/>
        <w:spacing w:line="300" w:lineRule="auto"/>
        <w:ind w:firstLine="480"/>
        <w:rPr>
          <w:rFonts w:ascii="宋体" w:hAnsi="宋体"/>
          <w:snapToGrid w:val="0"/>
          <w:kern w:val="0"/>
          <w:szCs w:val="21"/>
        </w:rPr>
      </w:pPr>
      <w:r>
        <w:rPr>
          <w:rFonts w:ascii="宋体" w:hAnsi="宋体"/>
          <w:snapToGrid w:val="0"/>
          <w:kern w:val="0"/>
          <w:szCs w:val="21"/>
        </w:rPr>
        <w:t>保修费用由造成质量缺陷的责任方承担。</w:t>
      </w:r>
    </w:p>
    <w:p w14:paraId="7BB0E119">
      <w:pPr>
        <w:adjustRightInd/>
        <w:spacing w:line="360" w:lineRule="auto"/>
        <w:ind w:firstLine="600"/>
        <w:jc w:val="left"/>
        <w:rPr>
          <w:rFonts w:ascii="宋体" w:hAnsi="宋体"/>
          <w:snapToGrid w:val="0"/>
          <w:kern w:val="0"/>
          <w:szCs w:val="21"/>
          <w:u w:val="single"/>
        </w:rPr>
      </w:pPr>
      <w:r>
        <w:rPr>
          <w:rFonts w:ascii="宋体" w:hAnsi="宋体"/>
          <w:b/>
          <w:snapToGrid w:val="0"/>
          <w:kern w:val="0"/>
          <w:szCs w:val="21"/>
        </w:rPr>
        <w:t>六</w:t>
      </w:r>
      <w:r>
        <w:rPr>
          <w:rFonts w:ascii="宋体" w:hAnsi="宋体"/>
          <w:snapToGrid w:val="0"/>
          <w:kern w:val="0"/>
          <w:szCs w:val="21"/>
        </w:rPr>
        <w:t>、双方约定的其他工程质量保修事项：</w:t>
      </w:r>
      <w:r>
        <w:rPr>
          <w:rFonts w:hint="eastAsia" w:ascii="宋体" w:hAnsi="宋体"/>
          <w:snapToGrid w:val="0"/>
          <w:kern w:val="0"/>
          <w:szCs w:val="21"/>
          <w:u w:val="single"/>
        </w:rPr>
        <w:t>工程质量保证金在工程缺陷期满后，扣除相应的扣款（由于乙方维修不及时而甲方自行维修的费用）后，结清余款（无息）。</w:t>
      </w:r>
    </w:p>
    <w:p w14:paraId="4F4994E8">
      <w:pPr>
        <w:adjustRightInd/>
        <w:spacing w:line="360" w:lineRule="auto"/>
        <w:ind w:firstLine="600"/>
        <w:jc w:val="left"/>
        <w:rPr>
          <w:rFonts w:ascii="宋体" w:hAnsi="宋体"/>
          <w:snapToGrid w:val="0"/>
          <w:kern w:val="0"/>
          <w:szCs w:val="21"/>
        </w:rPr>
      </w:pPr>
      <w:r>
        <w:rPr>
          <w:rFonts w:hint="eastAsia" w:ascii="宋体" w:hAnsi="宋体"/>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kern w:val="0"/>
          <w:szCs w:val="21"/>
        </w:rPr>
        <w:t>。</w:t>
      </w:r>
    </w:p>
    <w:p w14:paraId="2314704C">
      <w:pPr>
        <w:adjustRightInd/>
        <w:spacing w:line="300" w:lineRule="auto"/>
        <w:ind w:firstLine="399" w:firstLineChars="190"/>
        <w:rPr>
          <w:rFonts w:ascii="宋体" w:hAnsi="宋体"/>
          <w:snapToGrid w:val="0"/>
          <w:kern w:val="0"/>
          <w:szCs w:val="21"/>
        </w:rPr>
      </w:pPr>
      <w:r>
        <w:rPr>
          <w:rFonts w:ascii="宋体" w:hAnsi="宋体"/>
          <w:snapToGrid w:val="0"/>
          <w:kern w:val="0"/>
          <w:szCs w:val="21"/>
        </w:rPr>
        <w:t>工程质量保修书由发包人、承包人在工程竣工验收前共同签署，作为施工合同附件，其有效期限至保修期满。</w:t>
      </w:r>
    </w:p>
    <w:p w14:paraId="0B7FE85E">
      <w:pPr>
        <w:adjustRightInd/>
        <w:spacing w:line="300" w:lineRule="auto"/>
        <w:rPr>
          <w:rFonts w:ascii="宋体" w:hAnsi="宋体"/>
          <w:snapToGrid w:val="0"/>
          <w:kern w:val="0"/>
          <w:szCs w:val="21"/>
        </w:rPr>
      </w:pPr>
      <w:r>
        <w:rPr>
          <w:rFonts w:ascii="宋体" w:hAnsi="宋体"/>
          <w:snapToGrid w:val="0"/>
          <w:kern w:val="0"/>
          <w:szCs w:val="21"/>
        </w:rPr>
        <w:t>发包人(公章)：</w:t>
      </w:r>
      <w:r>
        <w:rPr>
          <w:rFonts w:ascii="宋体" w:hAnsi="宋体"/>
          <w:snapToGrid w:val="0"/>
          <w:kern w:val="0"/>
          <w:szCs w:val="21"/>
          <w:u w:val="single"/>
        </w:rPr>
        <w:t xml:space="preserve"> </w:t>
      </w:r>
      <w:bookmarkStart w:id="430" w:name="SOA_zyht_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30"/>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承包人(公章)：</w:t>
      </w:r>
      <w:r>
        <w:rPr>
          <w:rFonts w:ascii="宋体" w:hAnsi="宋体"/>
          <w:snapToGrid w:val="0"/>
          <w:kern w:val="0"/>
          <w:szCs w:val="21"/>
          <w:u w:val="single"/>
        </w:rPr>
        <w:t></w:t>
      </w:r>
      <w:bookmarkStart w:id="431" w:name="SOA_zyht_c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31"/>
      <w:r>
        <w:rPr>
          <w:rFonts w:hint="eastAsia" w:ascii="宋体" w:hAnsi="宋体"/>
          <w:snapToGrid w:val="0"/>
          <w:kern w:val="0"/>
          <w:szCs w:val="21"/>
          <w:u w:val="single"/>
        </w:rPr>
        <w:t xml:space="preserve">  </w:t>
      </w:r>
    </w:p>
    <w:p w14:paraId="54FBE73A">
      <w:pPr>
        <w:adjustRightInd/>
        <w:spacing w:line="300" w:lineRule="auto"/>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bookmarkStart w:id="432" w:name="SOA_zyht_fbrdz"/>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32"/>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地  址：</w:t>
      </w:r>
      <w:r>
        <w:rPr>
          <w:rFonts w:ascii="宋体" w:hAnsi="宋体"/>
          <w:snapToGrid w:val="0"/>
          <w:kern w:val="0"/>
          <w:szCs w:val="21"/>
          <w:u w:val="single"/>
        </w:rPr>
        <w:t></w:t>
      </w:r>
      <w:bookmarkStart w:id="433" w:name="SOA_zyht_cbrdz"/>
      <w:r>
        <w:rPr>
          <w:rFonts w:ascii="宋体" w:hAnsi="宋体"/>
          <w:snapToGrid w:val="0"/>
          <w:kern w:val="0"/>
          <w:szCs w:val="21"/>
          <w:u w:val="single"/>
        </w:rPr>
        <w:t xml:space="preserve">      </w:t>
      </w:r>
      <w:bookmarkEnd w:id="433"/>
      <w:r>
        <w:rPr>
          <w:rFonts w:ascii="宋体" w:hAnsi="宋体"/>
          <w:snapToGrid w:val="0"/>
          <w:kern w:val="0"/>
          <w:szCs w:val="21"/>
          <w:u w:val="single"/>
        </w:rPr>
        <w:t></w:t>
      </w:r>
    </w:p>
    <w:p w14:paraId="28F8363E">
      <w:pPr>
        <w:adjustRightInd/>
        <w:spacing w:line="300" w:lineRule="auto"/>
        <w:rPr>
          <w:rFonts w:ascii="宋体" w:hAnsi="宋体"/>
          <w:snapToGrid w:val="0"/>
          <w:kern w:val="0"/>
          <w:szCs w:val="21"/>
        </w:rPr>
      </w:pPr>
      <w:r>
        <w:rPr>
          <w:rFonts w:ascii="宋体" w:hAnsi="宋体"/>
          <w:snapToGrid w:val="0"/>
          <w:kern w:val="0"/>
          <w:szCs w:val="21"/>
        </w:rPr>
        <w:t>法定代表人(签字)：</w:t>
      </w:r>
      <w:bookmarkStart w:id="434" w:name="SOA_zyht_fddbr1"/>
      <w:r>
        <w:rPr>
          <w:rFonts w:ascii="宋体" w:hAnsi="宋体"/>
          <w:snapToGrid w:val="0"/>
          <w:kern w:val="0"/>
          <w:szCs w:val="21"/>
          <w:u w:val="single"/>
        </w:rPr>
        <w:t xml:space="preserve">      </w:t>
      </w:r>
      <w:bookmarkEnd w:id="434"/>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法定代表人(签字)：</w:t>
      </w:r>
      <w:bookmarkStart w:id="435" w:name="SOA_zyht_fddbr2"/>
      <w:r>
        <w:rPr>
          <w:rFonts w:ascii="宋体" w:hAnsi="宋体"/>
          <w:snapToGrid w:val="0"/>
          <w:kern w:val="0"/>
          <w:szCs w:val="21"/>
          <w:u w:val="single"/>
        </w:rPr>
        <w:t xml:space="preserve">      </w:t>
      </w:r>
      <w:bookmarkEnd w:id="435"/>
      <w:r>
        <w:rPr>
          <w:rFonts w:hint="eastAsia" w:ascii="宋体" w:hAnsi="宋体"/>
          <w:snapToGrid w:val="0"/>
          <w:kern w:val="0"/>
          <w:szCs w:val="21"/>
          <w:u w:val="single"/>
        </w:rPr>
        <w:t xml:space="preserve">  </w:t>
      </w:r>
    </w:p>
    <w:p w14:paraId="12A382B8">
      <w:pPr>
        <w:adjustRightInd/>
        <w:spacing w:line="300" w:lineRule="auto"/>
        <w:rPr>
          <w:rFonts w:ascii="宋体" w:hAnsi="宋体"/>
          <w:snapToGrid w:val="0"/>
          <w:kern w:val="0"/>
          <w:szCs w:val="21"/>
        </w:rPr>
      </w:pPr>
      <w:r>
        <w:rPr>
          <w:rFonts w:ascii="宋体" w:hAnsi="宋体"/>
          <w:snapToGrid w:val="0"/>
          <w:kern w:val="0"/>
          <w:szCs w:val="21"/>
        </w:rPr>
        <w:t>委托代理人(签字)：</w:t>
      </w:r>
      <w:bookmarkStart w:id="436" w:name="SOA_zyht_wtdlr1"/>
      <w:r>
        <w:rPr>
          <w:rFonts w:ascii="宋体" w:hAnsi="宋体"/>
          <w:snapToGrid w:val="0"/>
          <w:kern w:val="0"/>
          <w:szCs w:val="21"/>
          <w:u w:val="single"/>
        </w:rPr>
        <w:t xml:space="preserve">      </w:t>
      </w:r>
      <w:bookmarkEnd w:id="436"/>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委托代理人(签字)：</w:t>
      </w:r>
      <w:bookmarkStart w:id="437" w:name="SOA_zyht_wtdlr2"/>
      <w:r>
        <w:rPr>
          <w:rFonts w:ascii="宋体" w:hAnsi="宋体"/>
          <w:snapToGrid w:val="0"/>
          <w:kern w:val="0"/>
          <w:szCs w:val="21"/>
          <w:u w:val="single"/>
        </w:rPr>
        <w:t xml:space="preserve">      </w:t>
      </w:r>
      <w:bookmarkEnd w:id="437"/>
      <w:r>
        <w:rPr>
          <w:rFonts w:hint="eastAsia" w:ascii="宋体" w:hAnsi="宋体"/>
          <w:snapToGrid w:val="0"/>
          <w:kern w:val="0"/>
          <w:szCs w:val="21"/>
          <w:u w:val="single"/>
        </w:rPr>
        <w:t xml:space="preserve">  </w:t>
      </w:r>
    </w:p>
    <w:p w14:paraId="1EE6CC7A">
      <w:pPr>
        <w:adjustRightInd/>
        <w:spacing w:line="300" w:lineRule="auto"/>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w:t>
      </w:r>
      <w:bookmarkStart w:id="438" w:name="SOA_zyht_fbrdh1"/>
      <w:r>
        <w:rPr>
          <w:rFonts w:ascii="宋体" w:hAnsi="宋体"/>
          <w:snapToGrid w:val="0"/>
          <w:kern w:val="0"/>
          <w:szCs w:val="21"/>
          <w:u w:val="single"/>
        </w:rPr>
        <w:t xml:space="preserve">      </w:t>
      </w:r>
      <w:bookmarkEnd w:id="438"/>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w:t>
      </w:r>
      <w:bookmarkStart w:id="439" w:name="SOA_zyht_cbrdh"/>
      <w:r>
        <w:rPr>
          <w:rFonts w:ascii="宋体" w:hAnsi="宋体"/>
          <w:snapToGrid w:val="0"/>
          <w:kern w:val="0"/>
          <w:szCs w:val="21"/>
          <w:u w:val="single"/>
        </w:rPr>
        <w:t xml:space="preserve">      </w:t>
      </w:r>
      <w:bookmarkEnd w:id="439"/>
      <w:r>
        <w:rPr>
          <w:rFonts w:ascii="宋体" w:hAnsi="宋体"/>
          <w:snapToGrid w:val="0"/>
          <w:kern w:val="0"/>
          <w:szCs w:val="21"/>
          <w:u w:val="single"/>
        </w:rPr>
        <w:t xml:space="preserve"> </w:t>
      </w:r>
    </w:p>
    <w:p w14:paraId="1AA1BB87">
      <w:pPr>
        <w:adjustRightInd/>
        <w:spacing w:line="300" w:lineRule="auto"/>
        <w:rPr>
          <w:rFonts w:ascii="宋体" w:hAnsi="宋体"/>
          <w:snapToGrid w:val="0"/>
          <w:kern w:val="0"/>
          <w:szCs w:val="21"/>
        </w:rPr>
      </w:pPr>
      <w:r>
        <w:rPr>
          <w:rFonts w:ascii="宋体" w:hAnsi="宋体"/>
          <w:snapToGrid w:val="0"/>
          <w:kern w:val="0"/>
          <w:szCs w:val="21"/>
        </w:rPr>
        <w:t>传  真：</w:t>
      </w:r>
      <w:r>
        <w:rPr>
          <w:rFonts w:hint="eastAsia" w:ascii="宋体" w:hAnsi="宋体"/>
          <w:snapToGrid w:val="0"/>
          <w:kern w:val="0"/>
          <w:szCs w:val="21"/>
          <w:u w:val="single"/>
        </w:rPr>
        <w:t xml:space="preserve">  </w:t>
      </w:r>
      <w:bookmarkStart w:id="440" w:name="SOA_zyht_fbrcz"/>
      <w:r>
        <w:rPr>
          <w:rFonts w:ascii="宋体" w:hAnsi="宋体"/>
          <w:snapToGrid w:val="0"/>
          <w:kern w:val="0"/>
          <w:szCs w:val="21"/>
          <w:u w:val="single"/>
        </w:rPr>
        <w:t xml:space="preserve">      </w:t>
      </w:r>
      <w:bookmarkEnd w:id="440"/>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传  真：</w:t>
      </w:r>
      <w:r>
        <w:rPr>
          <w:rFonts w:ascii="宋体" w:hAnsi="宋体"/>
          <w:snapToGrid w:val="0"/>
          <w:kern w:val="0"/>
          <w:szCs w:val="21"/>
          <w:u w:val="single"/>
        </w:rPr>
        <w:t></w:t>
      </w:r>
      <w:bookmarkStart w:id="441" w:name="SOA_zyht_cbrcz"/>
      <w:r>
        <w:rPr>
          <w:rFonts w:ascii="宋体" w:hAnsi="宋体"/>
          <w:snapToGrid w:val="0"/>
          <w:kern w:val="0"/>
          <w:szCs w:val="21"/>
          <w:u w:val="single"/>
        </w:rPr>
        <w:t xml:space="preserve">      </w:t>
      </w:r>
      <w:bookmarkEnd w:id="441"/>
      <w:r>
        <w:rPr>
          <w:rFonts w:ascii="宋体" w:hAnsi="宋体"/>
          <w:snapToGrid w:val="0"/>
          <w:kern w:val="0"/>
          <w:szCs w:val="21"/>
          <w:u w:val="single"/>
        </w:rPr>
        <w:t></w:t>
      </w:r>
      <w:r>
        <w:rPr>
          <w:rFonts w:hint="eastAsia" w:ascii="宋体" w:hAnsi="宋体"/>
          <w:snapToGrid w:val="0"/>
          <w:kern w:val="0"/>
          <w:szCs w:val="21"/>
          <w:u w:val="single"/>
        </w:rPr>
        <w:t xml:space="preserve"> </w:t>
      </w:r>
    </w:p>
    <w:p w14:paraId="54B945B4">
      <w:pPr>
        <w:adjustRightInd/>
        <w:spacing w:line="300" w:lineRule="auto"/>
        <w:rPr>
          <w:rFonts w:ascii="宋体" w:hAnsi="宋体"/>
          <w:snapToGrid w:val="0"/>
          <w:kern w:val="0"/>
          <w:szCs w:val="21"/>
        </w:rPr>
      </w:pPr>
      <w:r>
        <w:rPr>
          <w:rFonts w:ascii="宋体" w:hAnsi="宋体"/>
          <w:snapToGrid w:val="0"/>
          <w:kern w:val="0"/>
          <w:szCs w:val="21"/>
        </w:rPr>
        <w:t>开户银行：</w:t>
      </w:r>
      <w:bookmarkStart w:id="442" w:name="SOA_zyht_fbrkhyh"/>
      <w:r>
        <w:rPr>
          <w:rFonts w:ascii="宋体" w:hAnsi="宋体"/>
          <w:snapToGrid w:val="0"/>
          <w:kern w:val="0"/>
          <w:szCs w:val="21"/>
          <w:u w:val="single"/>
        </w:rPr>
        <w:t xml:space="preserve">      </w:t>
      </w:r>
      <w:bookmarkEnd w:id="442"/>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开户银行：</w:t>
      </w:r>
      <w:bookmarkStart w:id="443" w:name="SOA_zyht_cbrkhyh"/>
      <w:r>
        <w:rPr>
          <w:rFonts w:ascii="宋体" w:hAnsi="宋体"/>
          <w:snapToGrid w:val="0"/>
          <w:kern w:val="0"/>
          <w:szCs w:val="21"/>
          <w:u w:val="single"/>
        </w:rPr>
        <w:t xml:space="preserve">      </w:t>
      </w:r>
      <w:bookmarkEnd w:id="443"/>
      <w:r>
        <w:rPr>
          <w:rFonts w:hint="eastAsia" w:ascii="宋体" w:hAnsi="宋体"/>
          <w:snapToGrid w:val="0"/>
          <w:kern w:val="0"/>
          <w:szCs w:val="21"/>
          <w:u w:val="single"/>
        </w:rPr>
        <w:t xml:space="preserve">  </w:t>
      </w:r>
    </w:p>
    <w:p w14:paraId="0DEE7EBA">
      <w:pPr>
        <w:adjustRightInd/>
        <w:spacing w:line="300" w:lineRule="auto"/>
        <w:rPr>
          <w:rFonts w:ascii="宋体" w:hAnsi="宋体"/>
          <w:snapToGrid w:val="0"/>
          <w:kern w:val="0"/>
          <w:szCs w:val="21"/>
        </w:rPr>
      </w:pPr>
      <w:r>
        <w:rPr>
          <w:rFonts w:ascii="宋体" w:hAnsi="宋体"/>
          <w:snapToGrid w:val="0"/>
          <w:kern w:val="0"/>
          <w:szCs w:val="21"/>
        </w:rPr>
        <w:t>账  号：</w:t>
      </w:r>
      <w:r>
        <w:rPr>
          <w:rFonts w:ascii="宋体" w:hAnsi="宋体"/>
          <w:snapToGrid w:val="0"/>
          <w:kern w:val="0"/>
          <w:szCs w:val="21"/>
          <w:u w:val="single"/>
        </w:rPr>
        <w:t></w:t>
      </w:r>
      <w:bookmarkStart w:id="444" w:name="SOA_zyht_fbrzh"/>
      <w:r>
        <w:rPr>
          <w:rFonts w:ascii="宋体" w:hAnsi="宋体"/>
          <w:snapToGrid w:val="0"/>
          <w:kern w:val="0"/>
          <w:szCs w:val="21"/>
          <w:u w:val="single"/>
        </w:rPr>
        <w:t xml:space="preserve">      </w:t>
      </w:r>
      <w:bookmarkEnd w:id="444"/>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账</w:t>
      </w:r>
      <w:r>
        <w:rPr>
          <w:rFonts w:hint="eastAsia" w:ascii="宋体" w:hAnsi="宋体"/>
          <w:snapToGrid w:val="0"/>
          <w:kern w:val="0"/>
          <w:szCs w:val="21"/>
        </w:rPr>
        <w:t xml:space="preserve"> </w:t>
      </w:r>
      <w:r>
        <w:rPr>
          <w:rFonts w:ascii="宋体" w:hAnsi="宋体"/>
          <w:snapToGrid w:val="0"/>
          <w:kern w:val="0"/>
          <w:szCs w:val="21"/>
        </w:rPr>
        <w:t xml:space="preserve"> 号：</w:t>
      </w:r>
      <w:r>
        <w:rPr>
          <w:rFonts w:ascii="宋体" w:hAnsi="宋体"/>
          <w:snapToGrid w:val="0"/>
          <w:kern w:val="0"/>
          <w:szCs w:val="21"/>
          <w:u w:val="single"/>
        </w:rPr>
        <w:t></w:t>
      </w:r>
      <w:bookmarkStart w:id="445" w:name="SOA_zyht_cbrzh"/>
      <w:r>
        <w:rPr>
          <w:rFonts w:ascii="宋体" w:hAnsi="宋体"/>
          <w:snapToGrid w:val="0"/>
          <w:kern w:val="0"/>
          <w:szCs w:val="21"/>
          <w:u w:val="single"/>
        </w:rPr>
        <w:t xml:space="preserve">      </w:t>
      </w:r>
      <w:bookmarkEnd w:id="445"/>
      <w:r>
        <w:rPr>
          <w:rFonts w:hint="eastAsia" w:ascii="宋体" w:hAnsi="宋体"/>
          <w:snapToGrid w:val="0"/>
          <w:kern w:val="0"/>
          <w:szCs w:val="21"/>
          <w:u w:val="single"/>
        </w:rPr>
        <w:t xml:space="preserve">  </w:t>
      </w:r>
    </w:p>
    <w:p w14:paraId="41C4B163">
      <w:pPr>
        <w:adjustRightInd/>
        <w:spacing w:line="300" w:lineRule="auto"/>
        <w:rPr>
          <w:rFonts w:ascii="宋体" w:hAnsi="宋体"/>
          <w:snapToGrid w:val="0"/>
          <w:kern w:val="0"/>
          <w:szCs w:val="21"/>
        </w:rPr>
      </w:pPr>
      <w:r>
        <w:rPr>
          <w:rFonts w:ascii="宋体" w:hAnsi="宋体"/>
          <w:snapToGrid w:val="0"/>
          <w:kern w:val="0"/>
          <w:szCs w:val="21"/>
        </w:rPr>
        <w:t>邮政编码：</w:t>
      </w:r>
      <w:r>
        <w:rPr>
          <w:rFonts w:ascii="宋体" w:hAnsi="宋体"/>
          <w:snapToGrid w:val="0"/>
          <w:kern w:val="0"/>
          <w:szCs w:val="21"/>
          <w:u w:val="single"/>
        </w:rPr>
        <w:t xml:space="preserve"> </w:t>
      </w:r>
      <w:bookmarkStart w:id="446" w:name="SOA_zyht_fbryb"/>
      <w:r>
        <w:rPr>
          <w:rFonts w:ascii="宋体" w:hAnsi="宋体"/>
          <w:snapToGrid w:val="0"/>
          <w:kern w:val="0"/>
          <w:szCs w:val="21"/>
          <w:u w:val="single"/>
        </w:rPr>
        <w:t xml:space="preserve">      </w:t>
      </w:r>
      <w:bookmarkEnd w:id="446"/>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邮政编码：</w:t>
      </w:r>
      <w:r>
        <w:rPr>
          <w:rFonts w:ascii="宋体" w:hAnsi="宋体"/>
          <w:snapToGrid w:val="0"/>
          <w:kern w:val="0"/>
          <w:szCs w:val="21"/>
          <w:u w:val="single"/>
        </w:rPr>
        <w:t></w:t>
      </w:r>
      <w:bookmarkStart w:id="447" w:name="SOA_zyht_cbryb"/>
      <w:r>
        <w:rPr>
          <w:rFonts w:ascii="宋体" w:hAnsi="宋体"/>
          <w:snapToGrid w:val="0"/>
          <w:kern w:val="0"/>
          <w:szCs w:val="21"/>
          <w:u w:val="single"/>
        </w:rPr>
        <w:t xml:space="preserve">     </w:t>
      </w:r>
      <w:bookmarkEnd w:id="447"/>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14:paraId="320EA08A">
      <w:pPr>
        <w:spacing w:line="480" w:lineRule="auto"/>
        <w:jc w:val="center"/>
        <w:rPr>
          <w:rFonts w:ascii="宋体" w:hAnsi="宋体" w:cs="宋体"/>
          <w:b/>
          <w:sz w:val="28"/>
          <w:szCs w:val="28"/>
        </w:rPr>
      </w:pPr>
    </w:p>
    <w:p w14:paraId="43D1B7E3">
      <w:pPr>
        <w:spacing w:line="360" w:lineRule="auto"/>
        <w:ind w:left="-420" w:leftChars="-200" w:right="-420" w:rightChars="-200" w:firstLine="480" w:firstLineChars="200"/>
        <w:jc w:val="center"/>
        <w:outlineLvl w:val="0"/>
        <w:rPr>
          <w:rFonts w:ascii="宋体" w:hAnsi="宋体" w:cs="宋体"/>
          <w:sz w:val="24"/>
        </w:rPr>
      </w:pPr>
    </w:p>
    <w:p w14:paraId="30C79E83">
      <w:pPr>
        <w:spacing w:line="360" w:lineRule="auto"/>
        <w:ind w:left="-420" w:leftChars="-200" w:right="-420" w:rightChars="-200" w:firstLine="480" w:firstLineChars="200"/>
        <w:jc w:val="center"/>
        <w:outlineLvl w:val="0"/>
        <w:rPr>
          <w:rFonts w:ascii="宋体" w:hAnsi="宋体" w:cs="宋体"/>
          <w:sz w:val="24"/>
        </w:rPr>
        <w:sectPr>
          <w:headerReference r:id="rId10" w:type="first"/>
          <w:footerReference r:id="rId12" w:type="first"/>
          <w:footerReference r:id="rId11"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11"/>
      <w:r>
        <w:rPr>
          <w:rFonts w:hint="eastAsia" w:ascii="宋体" w:hAnsi="宋体" w:cs="宋体"/>
          <w:b/>
          <w:sz w:val="36"/>
          <w:szCs w:val="20"/>
        </w:rPr>
        <w:t xml:space="preserve"> </w:t>
      </w:r>
      <w:bookmarkEnd w:id="412"/>
      <w:r>
        <w:rPr>
          <w:rFonts w:hint="eastAsia" w:ascii="宋体" w:hAnsi="宋体" w:cs="宋体"/>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ascii="宋体" w:hAnsi="宋体" w:cs="宋体"/>
          <w:sz w:val="24"/>
        </w:rPr>
      </w:pPr>
      <w:r>
        <w:rPr>
          <w:rFonts w:hint="eastAsia" w:ascii="宋体" w:hAnsi="宋体" w:cs="宋体"/>
          <w:sz w:val="24"/>
        </w:rPr>
        <w:t>（采购人）、（采购代理机构）：</w:t>
      </w:r>
    </w:p>
    <w:p w14:paraId="088DDFE4">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0747175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F0566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41380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CDDB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082D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952A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1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3FCE0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E8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5907C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152D7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3B4367">
      <w:pPr>
        <w:widowControl/>
        <w:spacing w:line="360" w:lineRule="auto"/>
        <w:ind w:firstLine="480"/>
        <w:jc w:val="left"/>
        <w:rPr>
          <w:rFonts w:ascii="宋体" w:hAnsi="宋体" w:cs="宋体"/>
          <w:sz w:val="24"/>
        </w:rPr>
      </w:pPr>
    </w:p>
    <w:p w14:paraId="27BBBE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557B2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F9DB623">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3CCA65F9">
      <w:pPr>
        <w:rPr>
          <w:rFonts w:ascii="宋体" w:hAnsi="宋体" w:cs="宋体"/>
        </w:rPr>
      </w:pPr>
    </w:p>
    <w:p w14:paraId="2BA786C8">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3"/>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rPr>
        <w:t>（采购人）、（采购代理机构）：</w:t>
      </w:r>
    </w:p>
    <w:p w14:paraId="18873AEE">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B255C2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0FF23E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C289F9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1F72F2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CFFEB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15A1A0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79DC2C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2BDFC7">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A6E869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A184A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ED882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5924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C0EB59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4EF8E9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2669A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0CD252">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0C214547">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4612F05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3、我方承诺除商务技术偏离表列出的偏离外，我方响应采购文件的全部要求。对</w:t>
      </w:r>
      <w:r>
        <w:rPr>
          <w:rFonts w:hint="eastAsia" w:ascii="宋体" w:hAnsi="宋体" w:eastAsia="宋体" w:cs="宋体"/>
          <w:sz w:val="24"/>
          <w:lang w:val="en-US" w:eastAsia="zh-CN"/>
        </w:rPr>
        <w:t>响应</w:t>
      </w:r>
      <w:r>
        <w:rPr>
          <w:rFonts w:hint="eastAsia" w:ascii="宋体" w:hAnsi="宋体" w:eastAsia="宋体" w:cs="宋体"/>
          <w:sz w:val="24"/>
        </w:rPr>
        <w:t>文件中材料的真实性、合法性负责</w:t>
      </w:r>
      <w:r>
        <w:rPr>
          <w:rFonts w:hint="eastAsia" w:ascii="宋体" w:hAnsi="宋体" w:eastAsia="宋体" w:cs="宋体"/>
          <w:sz w:val="24"/>
          <w:lang w:eastAsia="zh-CN"/>
        </w:rPr>
        <w:t>，积极配合采购人、采购代理机构复核响应文件中的资料</w:t>
      </w:r>
      <w:r>
        <w:rPr>
          <w:rFonts w:hint="eastAsia" w:ascii="宋体" w:hAnsi="宋体" w:eastAsia="宋体" w:cs="宋体"/>
          <w:sz w:val="24"/>
        </w:rPr>
        <w:t>。</w:t>
      </w:r>
    </w:p>
    <w:p w14:paraId="142253B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4、如我方成交，我方承诺：</w:t>
      </w:r>
    </w:p>
    <w:p w14:paraId="4B5D454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5B6839D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63F21CF2">
      <w:pPr>
        <w:snapToGrid w:val="0"/>
        <w:spacing w:line="360" w:lineRule="auto"/>
        <w:ind w:left="420" w:leftChars="200" w:firstLine="480" w:firstLineChars="200"/>
        <w:rPr>
          <w:rFonts w:ascii="宋体" w:hAnsi="宋体" w:cs="宋体"/>
          <w:sz w:val="24"/>
        </w:rPr>
      </w:pPr>
      <w:r>
        <w:rPr>
          <w:rFonts w:hint="eastAsia" w:ascii="宋体" w:hAnsi="宋体" w:eastAsia="宋体" w:cs="宋体"/>
          <w:sz w:val="24"/>
        </w:rPr>
        <w:t>4.3按照采购文件要求提交履约保证金；</w:t>
      </w:r>
      <w:r>
        <w:rPr>
          <w:rFonts w:hint="eastAsia" w:ascii="宋体" w:hAnsi="宋体" w:cs="宋体"/>
          <w:sz w:val="24"/>
        </w:rPr>
        <w:t xml:space="preserve"> </w:t>
      </w:r>
    </w:p>
    <w:p w14:paraId="7BFFD39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14:paraId="006BC0A9">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6EDAB60">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016858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67F1BC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35AC6AE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251E56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1BED06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38019BB7">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DA7367E">
      <w:pPr>
        <w:snapToGrid w:val="0"/>
        <w:spacing w:line="360" w:lineRule="auto"/>
        <w:rPr>
          <w:rFonts w:ascii="宋体" w:hAnsi="宋体" w:cs="宋体"/>
          <w:color w:val="auto"/>
          <w:sz w:val="24"/>
        </w:rPr>
      </w:pPr>
    </w:p>
    <w:p w14:paraId="7A3FD01A">
      <w:pPr>
        <w:snapToGrid w:val="0"/>
        <w:spacing w:line="360" w:lineRule="auto"/>
        <w:rPr>
          <w:rFonts w:ascii="宋体" w:hAnsi="宋体" w:cs="宋体"/>
          <w:color w:val="auto"/>
          <w:sz w:val="24"/>
        </w:rPr>
      </w:pPr>
    </w:p>
    <w:p w14:paraId="664089D1">
      <w:pPr>
        <w:snapToGrid w:val="0"/>
        <w:spacing w:line="360" w:lineRule="auto"/>
        <w:rPr>
          <w:rFonts w:ascii="宋体" w:hAnsi="宋体" w:cs="宋体"/>
          <w:color w:val="auto"/>
          <w:sz w:val="24"/>
        </w:rPr>
      </w:pPr>
    </w:p>
    <w:p w14:paraId="0069B807">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C11984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3E2007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3E1E2A8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A6F745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50"/>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50"/>
              <w:adjustRightInd w:val="0"/>
              <w:spacing w:line="360" w:lineRule="auto"/>
              <w:rPr>
                <w:rFonts w:hAnsi="宋体" w:cs="宋体"/>
                <w:bCs/>
                <w:sz w:val="24"/>
              </w:rPr>
            </w:pPr>
            <w:r>
              <w:rPr>
                <w:rFonts w:hint="eastAsia" w:hAnsi="宋体" w:cs="宋体"/>
                <w:bCs/>
                <w:sz w:val="24"/>
              </w:rPr>
              <w:t>正面：                                 反面：</w:t>
            </w:r>
          </w:p>
          <w:p w14:paraId="05DD6DA9">
            <w:pPr>
              <w:pStyle w:val="150"/>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sz w:val="32"/>
          <w:szCs w:val="32"/>
        </w:rPr>
      </w:pPr>
      <w:r>
        <w:rPr>
          <w:rFonts w:hint="eastAsia" w:ascii="宋体" w:hAnsi="宋体" w:cs="宋体"/>
          <w:b/>
          <w:bCs/>
          <w:sz w:val="32"/>
          <w:szCs w:val="32"/>
        </w:rPr>
        <w:t>三、分包意向协议</w:t>
      </w:r>
    </w:p>
    <w:p w14:paraId="1337EB2F">
      <w:pPr>
        <w:widowControl/>
        <w:spacing w:line="360" w:lineRule="auto"/>
        <w:ind w:firstLine="120" w:firstLineChars="50"/>
        <w:jc w:val="left"/>
        <w:rPr>
          <w:rFonts w:ascii="宋体" w:hAnsi="宋体" w:cs="宋体"/>
          <w:sz w:val="24"/>
        </w:rPr>
      </w:pPr>
      <w:bookmarkStart w:id="448"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48"/>
    <w:p w14:paraId="78460CAC">
      <w:pPr>
        <w:snapToGrid w:val="0"/>
        <w:spacing w:line="360" w:lineRule="auto"/>
        <w:rPr>
          <w:rFonts w:ascii="宋体" w:hAnsi="宋体" w:cs="宋体"/>
          <w:kern w:val="0"/>
          <w:sz w:val="24"/>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80"/>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3858EEE1">
      <w:pPr>
        <w:jc w:val="center"/>
        <w:rPr>
          <w:rFonts w:ascii="宋体" w:hAnsi="宋体" w:cs="宋体"/>
          <w:b/>
          <w:kern w:val="0"/>
          <w:sz w:val="32"/>
          <w:szCs w:val="32"/>
        </w:rPr>
      </w:pPr>
    </w:p>
    <w:p w14:paraId="611C3AC8">
      <w:pPr>
        <w:jc w:val="center"/>
        <w:rPr>
          <w:rFonts w:ascii="宋体" w:hAnsi="宋体" w:cs="宋体"/>
          <w:b/>
          <w:kern w:val="0"/>
          <w:sz w:val="32"/>
          <w:szCs w:val="32"/>
        </w:rPr>
      </w:pPr>
    </w:p>
    <w:p w14:paraId="3D23DD20">
      <w:pPr>
        <w:jc w:val="center"/>
        <w:rPr>
          <w:rFonts w:ascii="宋体" w:hAnsi="宋体" w:cs="宋体"/>
          <w:b/>
          <w:kern w:val="0"/>
          <w:sz w:val="32"/>
          <w:szCs w:val="32"/>
        </w:rPr>
      </w:pPr>
    </w:p>
    <w:p w14:paraId="602F4DE8">
      <w:pPr>
        <w:jc w:val="center"/>
        <w:rPr>
          <w:rFonts w:ascii="宋体" w:hAnsi="宋体" w:cs="宋体"/>
          <w:b/>
          <w:kern w:val="0"/>
          <w:sz w:val="32"/>
          <w:szCs w:val="32"/>
        </w:rPr>
      </w:pPr>
    </w:p>
    <w:p w14:paraId="1B1B834D">
      <w:pPr>
        <w:snapToGrid w:val="0"/>
        <w:jc w:val="center"/>
        <w:rPr>
          <w:rFonts w:hint="eastAsia" w:ascii="宋体" w:hAnsi="宋体" w:cs="宋体"/>
          <w:b/>
          <w:bCs/>
          <w:sz w:val="32"/>
          <w:szCs w:val="32"/>
        </w:rPr>
      </w:pPr>
    </w:p>
    <w:p w14:paraId="53A532E2">
      <w:pPr>
        <w:snapToGrid w:val="0"/>
        <w:jc w:val="center"/>
        <w:rPr>
          <w:rFonts w:hint="eastAsia" w:ascii="宋体" w:hAnsi="宋体" w:cs="宋体"/>
          <w:b/>
          <w:bCs/>
          <w:sz w:val="32"/>
          <w:szCs w:val="32"/>
        </w:rPr>
      </w:pPr>
    </w:p>
    <w:p w14:paraId="433571D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A5B20D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lang w:eastAsia="zh-CN"/>
              </w:rPr>
              <w:t>响应</w:t>
            </w:r>
            <w:r>
              <w:rPr>
                <w:rFonts w:hint="eastAsia" w:cs="仿宋_GB2312" w:asciiTheme="minorEastAsia" w:hAnsiTheme="minorEastAsia" w:eastAsiaTheme="minorEastAsia"/>
                <w:b w:val="0"/>
                <w:bCs/>
                <w:color w:val="auto"/>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0BE6CBB7">
            <w:pPr>
              <w:snapToGrid w:val="0"/>
              <w:spacing w:line="360" w:lineRule="auto"/>
              <w:jc w:val="center"/>
              <w:rPr>
                <w:rFonts w:hint="eastAsia" w:ascii="宋体" w:hAnsi="宋体" w:cs="宋体"/>
                <w:b w:val="0"/>
                <w:bCs/>
                <w:color w:val="auto"/>
                <w:sz w:val="24"/>
                <w:vertAlign w:val="baseline"/>
              </w:rPr>
            </w:pPr>
          </w:p>
        </w:tc>
        <w:tc>
          <w:tcPr>
            <w:tcW w:w="3046" w:type="dxa"/>
          </w:tcPr>
          <w:p w14:paraId="55A2EE1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footerReference r:id="rId14" w:type="first"/>
          <w:footerReference r:id="rId13"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color w:val="auto"/>
          <w:kern w:val="0"/>
          <w:sz w:val="36"/>
          <w:szCs w:val="36"/>
        </w:rPr>
      </w:pPr>
    </w:p>
    <w:p w14:paraId="02B28562">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报价单…………………………………………………………………………（页码）</w:t>
      </w:r>
    </w:p>
    <w:p w14:paraId="17D54694">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）中小企业声明函………………………………………………………………（页码）</w:t>
      </w:r>
    </w:p>
    <w:p w14:paraId="3C505630">
      <w:pPr>
        <w:pStyle w:val="81"/>
        <w:rPr>
          <w:color w:val="auto"/>
        </w:rPr>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7" w:type="first"/>
          <w:headerReference r:id="rId15" w:type="default"/>
          <w:footerReference r:id="rId16"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w:t>
            </w:r>
            <w:r>
              <w:rPr>
                <w:rFonts w:hint="eastAsia" w:ascii="宋体" w:hAnsi="宋体" w:cs="宋体"/>
                <w:b/>
                <w:sz w:val="24"/>
                <w:lang w:val="en-US" w:eastAsia="zh-CN"/>
              </w:rPr>
              <w:t>折扣率</w:t>
            </w:r>
            <w:r>
              <w:rPr>
                <w:rFonts w:hint="eastAsia" w:ascii="宋体" w:hAnsi="宋体" w:cs="宋体"/>
                <w:b/>
                <w:sz w:val="24"/>
              </w:rPr>
              <w:t>）</w:t>
            </w:r>
          </w:p>
        </w:tc>
        <w:tc>
          <w:tcPr>
            <w:tcW w:w="7655" w:type="dxa"/>
            <w:gridSpan w:val="3"/>
            <w:vAlign w:val="center"/>
          </w:tcPr>
          <w:p w14:paraId="0BF55447">
            <w:pPr>
              <w:spacing w:line="360" w:lineRule="auto"/>
              <w:jc w:val="center"/>
              <w:rPr>
                <w:rFonts w:hint="eastAsia" w:ascii="宋体" w:hAnsi="宋体" w:eastAsia="宋体" w:cs="宋体"/>
                <w:sz w:val="24"/>
                <w:lang w:val="en-US" w:eastAsia="zh-CN"/>
              </w:rPr>
            </w:pPr>
            <w:r>
              <w:rPr>
                <w:rFonts w:hint="eastAsia" w:ascii="宋体" w:hAnsi="宋体" w:cs="宋体"/>
                <w:sz w:val="24"/>
                <w:u w:val="none"/>
                <w:lang w:val="en-US" w:eastAsia="zh-CN"/>
              </w:rPr>
              <w:t>预算价的</w:t>
            </w:r>
            <w:r>
              <w:rPr>
                <w:rFonts w:hint="eastAsia" w:ascii="宋体" w:hAnsi="宋体" w:cs="宋体"/>
                <w:sz w:val="24"/>
                <w:u w:val="single"/>
                <w:lang w:val="en-US" w:eastAsia="zh-CN"/>
              </w:rPr>
              <w:t xml:space="preserve">           </w:t>
            </w:r>
            <w:r>
              <w:rPr>
                <w:rFonts w:hint="eastAsia" w:ascii="宋体" w:hAnsi="宋体" w:cs="宋体"/>
                <w:sz w:val="24"/>
                <w:lang w:val="en-US" w:eastAsia="zh-CN"/>
              </w:rPr>
              <w:t>%</w:t>
            </w: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8F54DD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0F02BB51">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w:t>
      </w:r>
      <w:r>
        <w:rPr>
          <w:rFonts w:hint="eastAsia" w:ascii="宋体" w:hAnsi="宋体" w:cs="宋体"/>
          <w:kern w:val="0"/>
          <w:sz w:val="24"/>
          <w:lang w:val="zh-CN"/>
        </w:rPr>
        <w:t>业证书信息、品牌（如果有）、规格型号、数量、单价等予以公示。</w:t>
      </w:r>
    </w:p>
    <w:p w14:paraId="3236492D">
      <w:pPr>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本项目不要求供应商提供工程量清单报价，上传的工程量清单仅供供应商报价和最终结算参考依据，按照供应商的</w:t>
      </w:r>
      <w:r>
        <w:rPr>
          <w:rFonts w:hint="eastAsia" w:ascii="宋体" w:hAnsi="宋体" w:cs="宋体"/>
          <w:color w:val="auto"/>
          <w:kern w:val="0"/>
          <w:sz w:val="24"/>
          <w:highlight w:val="none"/>
          <w:lang w:val="en-US" w:eastAsia="zh-CN"/>
        </w:rPr>
        <w:t>报价折扣率</w:t>
      </w:r>
      <w:r>
        <w:rPr>
          <w:rFonts w:hint="eastAsia" w:ascii="宋体" w:hAnsi="宋体" w:cs="宋体"/>
          <w:color w:val="auto"/>
          <w:kern w:val="0"/>
          <w:sz w:val="24"/>
          <w:highlight w:val="none"/>
          <w:lang w:val="zh-CN"/>
        </w:rPr>
        <w:t>进行结算。为防止投标人恶意低价竞标，</w:t>
      </w:r>
      <w:r>
        <w:rPr>
          <w:rFonts w:hint="eastAsia" w:ascii="宋体" w:hAnsi="宋体" w:cs="宋体"/>
          <w:color w:val="auto"/>
          <w:kern w:val="0"/>
          <w:sz w:val="24"/>
          <w:highlight w:val="none"/>
          <w:lang w:val="en-US" w:eastAsia="zh-CN"/>
        </w:rPr>
        <w:t>预算价</w:t>
      </w:r>
      <w:r>
        <w:rPr>
          <w:rFonts w:hint="eastAsia" w:ascii="宋体" w:hAnsi="宋体" w:cs="宋体"/>
          <w:color w:val="auto"/>
          <w:kern w:val="0"/>
          <w:sz w:val="24"/>
          <w:highlight w:val="none"/>
          <w:lang w:val="zh-CN"/>
        </w:rPr>
        <w:t>的80％作为风险控制价。中标价低于风险控制价的，中标人还须向招标人提供风险控制价和中标价的差额担保，作为履约担保的一部分。</w:t>
      </w:r>
    </w:p>
    <w:p w14:paraId="1AD2BDB9">
      <w:pPr>
        <w:spacing w:line="360" w:lineRule="auto"/>
        <w:ind w:firstLine="482" w:firstLineChars="200"/>
        <w:rPr>
          <w:rFonts w:ascii="宋体" w:hAnsi="宋体" w:cs="宋体"/>
          <w:b/>
          <w:kern w:val="0"/>
          <w:sz w:val="24"/>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449" w:name="_Hlk101259491"/>
      <w:r>
        <w:rPr>
          <w:rFonts w:hint="eastAsia" w:ascii="宋体" w:hAnsi="宋体" w:eastAsia="宋体" w:cs="宋体"/>
          <w:sz w:val="32"/>
          <w:szCs w:val="32"/>
        </w:rPr>
        <w:t>（如果有）</w:t>
      </w:r>
      <w:bookmarkEnd w:id="449"/>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50" w:name="_Toc465665161"/>
      <w:r>
        <w:rPr>
          <w:rFonts w:hint="eastAsia" w:ascii="宋体" w:hAnsi="宋体" w:cs="宋体"/>
        </w:rPr>
        <w:t>附件</w:t>
      </w:r>
      <w:bookmarkEnd w:id="450"/>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451" w:name="OLE_LINK13"/>
      <w:bookmarkStart w:id="452" w:name="OLE_LINK14"/>
      <w:r>
        <w:rPr>
          <w:rFonts w:hint="eastAsia" w:ascii="宋体" w:hAnsi="宋体" w:cs="宋体"/>
          <w:b/>
          <w:spacing w:val="6"/>
          <w:sz w:val="32"/>
          <w:szCs w:val="32"/>
        </w:rPr>
        <w:t>残疾人福利性单位声明函</w:t>
      </w:r>
    </w:p>
    <w:bookmarkEnd w:id="451"/>
    <w:bookmarkEnd w:id="452"/>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ascii="宋体" w:hAnsi="宋体" w:cs="宋体"/>
          <w:sz w:val="24"/>
        </w:rPr>
      </w:pPr>
      <w:r>
        <w:rPr>
          <w:rFonts w:hint="eastAsia" w:ascii="宋体" w:hAnsi="宋体" w:cs="宋体"/>
          <w:sz w:val="24"/>
          <w:u w:val="single"/>
        </w:rPr>
        <w:t>（采购人）、（采购代理机构）</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9E44D47">
      <w:pPr>
        <w:autoSpaceDE w:val="0"/>
        <w:autoSpaceDN w:val="0"/>
        <w:jc w:val="center"/>
        <w:rPr>
          <w:rFonts w:ascii="宋体" w:hAnsi="宋体" w:cs="宋体"/>
          <w:b/>
          <w:spacing w:val="6"/>
          <w:sz w:val="32"/>
          <w:szCs w:val="32"/>
        </w:rPr>
      </w:pPr>
    </w:p>
    <w:p w14:paraId="161A37D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4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53"/>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footerReference r:id="rId20" w:type="first"/>
          <w:headerReference r:id="rId18" w:type="default"/>
          <w:footerReference r:id="rId19" w:type="default"/>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3"/>
        <w:ind w:left="664" w:leftChars="316" w:firstLine="229" w:firstLineChars="95"/>
        <w:rPr>
          <w:rFonts w:ascii="宋体" w:hAnsi="宋体" w:eastAsia="宋体" w:cs="宋体"/>
          <w:kern w:val="0"/>
          <w:sz w:val="24"/>
          <w:szCs w:val="24"/>
          <w:highlight w:val="none"/>
          <w:shd w:val="clear" w:color="auto" w:fill="auto"/>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highlight w:val="none"/>
          <w:shd w:val="clear" w:color="auto" w:fill="auto"/>
          <w:lang w:val="zh-CN"/>
        </w:rPr>
      </w:pPr>
      <w:r>
        <w:rPr>
          <w:rFonts w:hint="eastAsia" w:ascii="宋体" w:hAnsi="宋体" w:cs="宋体"/>
          <w:kern w:val="0"/>
          <w:sz w:val="24"/>
          <w:highlight w:val="none"/>
          <w:shd w:val="clear" w:color="auto" w:fill="auto"/>
          <w:lang w:val="zh-CN"/>
        </w:rPr>
        <w:t>二、分包供应商中小企业合同份额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54"/>
    </w:p>
    <w:p w14:paraId="4032CF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73A4E5">
      <w:pPr>
        <w:snapToGrid w:val="0"/>
        <w:spacing w:line="360" w:lineRule="auto"/>
        <w:ind w:firstLine="576"/>
        <w:rPr>
          <w:rFonts w:ascii="宋体" w:hAnsi="宋体" w:cs="宋体"/>
          <w:u w:val="single"/>
        </w:rPr>
      </w:pPr>
      <w:r>
        <w:rPr>
          <w:rFonts w:hint="eastAsia" w:ascii="宋体" w:hAnsi="宋体" w:cs="宋体"/>
          <w:u w:val="single"/>
        </w:rPr>
        <w:t xml:space="preserve">                                                                                  </w:t>
      </w:r>
    </w:p>
    <w:p w14:paraId="7F5B74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7AA83F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A34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C3900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C2278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CCCBF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8212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E93211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FC0043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8942966">
      <w:pPr>
        <w:autoSpaceDE w:val="0"/>
        <w:autoSpaceDN w:val="0"/>
        <w:jc w:val="center"/>
        <w:rPr>
          <w:rFonts w:ascii="宋体" w:hAnsi="宋体" w:cs="宋体"/>
          <w:b/>
          <w:spacing w:val="6"/>
          <w:sz w:val="32"/>
          <w:szCs w:val="32"/>
        </w:rPr>
      </w:pPr>
    </w:p>
    <w:p w14:paraId="3767B357">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highlight w:val="none"/>
          <w:shd w:val="clear" w:color="auto" w:fill="auto"/>
        </w:rPr>
      </w:pPr>
      <w:r>
        <w:rPr>
          <w:rFonts w:hint="eastAsia" w:ascii="宋体" w:hAnsi="宋体" w:cs="宋体"/>
          <w:b/>
          <w:sz w:val="32"/>
          <w:szCs w:val="32"/>
          <w:highlight w:val="none"/>
          <w:shd w:val="clear" w:color="auto" w:fill="auto"/>
        </w:rPr>
        <w:t>中小企业声明函（工程）</w:t>
      </w:r>
    </w:p>
    <w:p w14:paraId="74A36849">
      <w:pPr>
        <w:spacing w:line="360" w:lineRule="auto"/>
        <w:ind w:firstLine="360" w:firstLineChars="150"/>
        <w:jc w:val="left"/>
        <w:rPr>
          <w:rFonts w:ascii="宋体" w:hAnsi="宋体" w:cs="宋体"/>
          <w:sz w:val="24"/>
          <w:highlight w:val="none"/>
          <w:shd w:val="clear" w:color="auto" w:fill="auto"/>
        </w:rPr>
      </w:pPr>
      <w:r>
        <w:rPr>
          <w:rFonts w:hint="eastAsia" w:ascii="宋体" w:hAnsi="宋体" w:cs="宋体"/>
          <w:sz w:val="24"/>
          <w:highlight w:val="none"/>
          <w:shd w:val="clear" w:color="auto" w:fill="auto"/>
        </w:rPr>
        <w:t xml:space="preserve">本公司（联合体）郑重声明，根据《政府采购促进中小企业发展管理办法》（财库﹝2020﹞46 号）的规定，本公司（联合体）参加 </w:t>
      </w:r>
      <w:r>
        <w:rPr>
          <w:rFonts w:hint="eastAsia" w:ascii="宋体" w:hAnsi="宋体" w:cs="宋体"/>
          <w:sz w:val="24"/>
          <w:highlight w:val="none"/>
          <w:u w:val="single"/>
          <w:shd w:val="clear" w:color="auto" w:fill="auto"/>
        </w:rPr>
        <w:t xml:space="preserve">（采购人） </w:t>
      </w:r>
      <w:r>
        <w:rPr>
          <w:rFonts w:hint="eastAsia" w:ascii="宋体" w:hAnsi="宋体" w:cs="宋体"/>
          <w:sz w:val="24"/>
          <w:highlight w:val="none"/>
          <w:shd w:val="clear" w:color="auto" w:fill="auto"/>
        </w:rPr>
        <w:t>的</w:t>
      </w:r>
      <w:r>
        <w:rPr>
          <w:rFonts w:hint="eastAsia" w:ascii="宋体" w:hAnsi="宋体" w:cs="宋体"/>
          <w:sz w:val="24"/>
          <w:highlight w:val="none"/>
          <w:u w:val="single"/>
          <w:shd w:val="clear" w:color="auto" w:fill="auto"/>
        </w:rPr>
        <w:t xml:space="preserve"> （项目名称） </w:t>
      </w:r>
      <w:r>
        <w:rPr>
          <w:rFonts w:hint="eastAsia" w:ascii="宋体" w:hAnsi="宋体" w:cs="宋体"/>
          <w:sz w:val="24"/>
          <w:highlight w:val="none"/>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highlight w:val="none"/>
          <w:shd w:val="clear" w:color="auto" w:fill="auto"/>
        </w:rPr>
      </w:pPr>
      <w:r>
        <w:rPr>
          <w:rFonts w:hint="eastAsia" w:ascii="宋体" w:hAnsi="宋体" w:cs="宋体"/>
          <w:sz w:val="24"/>
          <w:highlight w:val="none"/>
          <w:shd w:val="clear" w:color="auto" w:fill="auto"/>
        </w:rPr>
        <w:t>1.</w:t>
      </w:r>
      <w:r>
        <w:rPr>
          <w:rFonts w:hint="eastAsia" w:ascii="宋体" w:hAnsi="宋体" w:cs="宋体"/>
          <w:highlight w:val="none"/>
          <w:shd w:val="clear" w:color="auto" w:fill="auto"/>
        </w:rPr>
        <w:t xml:space="preserve"> </w:t>
      </w:r>
      <w:r>
        <w:rPr>
          <w:rFonts w:hint="eastAsia" w:ascii="宋体" w:hAnsi="宋体" w:cs="宋体"/>
          <w:sz w:val="24"/>
          <w:highlight w:val="none"/>
          <w:u w:val="single"/>
          <w:shd w:val="clear" w:color="auto" w:fill="auto"/>
        </w:rPr>
        <w:t>（标的名称）</w:t>
      </w:r>
      <w:r>
        <w:rPr>
          <w:rFonts w:hint="eastAsia" w:ascii="宋体" w:hAnsi="宋体" w:cs="宋体"/>
          <w:sz w:val="24"/>
          <w:highlight w:val="none"/>
          <w:shd w:val="clear" w:color="auto" w:fill="auto"/>
        </w:rPr>
        <w:t xml:space="preserve">，属于 </w:t>
      </w:r>
      <w:r>
        <w:rPr>
          <w:rFonts w:hint="eastAsia" w:ascii="宋体" w:hAnsi="宋体" w:cs="宋体"/>
          <w:sz w:val="24"/>
          <w:highlight w:val="none"/>
          <w:u w:val="single"/>
          <w:shd w:val="clear" w:color="auto" w:fill="auto"/>
        </w:rPr>
        <w:t>（采购文件中明确的所属行业）</w:t>
      </w:r>
      <w:r>
        <w:rPr>
          <w:rFonts w:hint="eastAsia" w:ascii="宋体" w:hAnsi="宋体" w:cs="宋体"/>
          <w:sz w:val="24"/>
          <w:highlight w:val="none"/>
          <w:shd w:val="clear" w:color="auto" w:fill="auto"/>
        </w:rPr>
        <w:t xml:space="preserve"> ；承建（承接）企业为 </w:t>
      </w:r>
      <w:r>
        <w:rPr>
          <w:rFonts w:hint="eastAsia" w:ascii="宋体" w:hAnsi="宋体" w:cs="宋体"/>
          <w:sz w:val="24"/>
          <w:highlight w:val="none"/>
          <w:u w:val="single"/>
          <w:shd w:val="clear" w:color="auto" w:fill="auto"/>
        </w:rPr>
        <w:t>（企业名称）</w:t>
      </w:r>
      <w:r>
        <w:rPr>
          <w:rFonts w:hint="eastAsia" w:ascii="宋体" w:hAnsi="宋体" w:cs="宋体"/>
          <w:sz w:val="24"/>
          <w:highlight w:val="none"/>
          <w:shd w:val="clear" w:color="auto" w:fill="auto"/>
        </w:rPr>
        <w:t xml:space="preserve"> ，从业人员</w:t>
      </w:r>
      <w:r>
        <w:rPr>
          <w:rFonts w:hint="eastAsia" w:ascii="宋体" w:hAnsi="宋体" w:cs="宋体"/>
          <w:sz w:val="24"/>
          <w:highlight w:val="none"/>
          <w:u w:val="single"/>
          <w:shd w:val="clear" w:color="auto" w:fill="auto"/>
        </w:rPr>
        <w:t xml:space="preserve">   </w:t>
      </w:r>
      <w:r>
        <w:rPr>
          <w:rFonts w:hint="eastAsia" w:ascii="宋体" w:hAnsi="宋体" w:cs="宋体"/>
          <w:sz w:val="24"/>
          <w:highlight w:val="none"/>
          <w:shd w:val="clear" w:color="auto" w:fill="auto"/>
        </w:rPr>
        <w:t>人，营业收入为</w:t>
      </w:r>
      <w:r>
        <w:rPr>
          <w:rFonts w:hint="eastAsia" w:ascii="宋体" w:hAnsi="宋体" w:cs="宋体"/>
          <w:sz w:val="24"/>
          <w:highlight w:val="none"/>
          <w:u w:val="single"/>
          <w:shd w:val="clear" w:color="auto" w:fill="auto"/>
        </w:rPr>
        <w:t xml:space="preserve">  </w:t>
      </w:r>
      <w:r>
        <w:rPr>
          <w:rFonts w:hint="eastAsia" w:ascii="宋体" w:hAnsi="宋体" w:cs="宋体"/>
          <w:sz w:val="24"/>
          <w:highlight w:val="none"/>
          <w:shd w:val="clear" w:color="auto" w:fill="auto"/>
        </w:rPr>
        <w:t>万元，资产总额为</w:t>
      </w:r>
      <w:r>
        <w:rPr>
          <w:rFonts w:hint="eastAsia" w:ascii="宋体" w:hAnsi="宋体" w:cs="宋体"/>
          <w:sz w:val="24"/>
          <w:highlight w:val="none"/>
          <w:u w:val="single"/>
          <w:shd w:val="clear" w:color="auto" w:fill="auto"/>
        </w:rPr>
        <w:t xml:space="preserve">   </w:t>
      </w:r>
      <w:r>
        <w:rPr>
          <w:rFonts w:hint="eastAsia" w:ascii="宋体" w:hAnsi="宋体" w:cs="宋体"/>
          <w:sz w:val="24"/>
          <w:highlight w:val="none"/>
          <w:shd w:val="clear" w:color="auto" w:fill="auto"/>
        </w:rPr>
        <w:t>万元属于</w:t>
      </w:r>
      <w:r>
        <w:rPr>
          <w:rFonts w:hint="eastAsia" w:ascii="宋体" w:hAnsi="宋体" w:cs="宋体"/>
          <w:sz w:val="24"/>
          <w:highlight w:val="none"/>
          <w:u w:val="single"/>
          <w:shd w:val="clear" w:color="auto" w:fill="auto"/>
        </w:rPr>
        <w:t xml:space="preserve"> （中型企业、小型企业、微型企业） </w:t>
      </w:r>
      <w:r>
        <w:rPr>
          <w:rFonts w:hint="eastAsia" w:ascii="宋体" w:hAnsi="宋体" w:cs="宋体"/>
          <w:sz w:val="24"/>
          <w:highlight w:val="none"/>
          <w:shd w:val="clear" w:color="auto" w:fill="auto"/>
        </w:rPr>
        <w:t>；</w:t>
      </w:r>
    </w:p>
    <w:p w14:paraId="783ACD8D">
      <w:pPr>
        <w:spacing w:line="360" w:lineRule="auto"/>
        <w:ind w:firstLine="480" w:firstLineChars="200"/>
        <w:jc w:val="left"/>
        <w:rPr>
          <w:rFonts w:ascii="宋体" w:hAnsi="宋体" w:cs="宋体"/>
          <w:sz w:val="24"/>
        </w:rPr>
      </w:pPr>
      <w:r>
        <w:rPr>
          <w:rFonts w:hint="eastAsia" w:ascii="宋体" w:hAnsi="宋体" w:cs="宋体"/>
          <w:sz w:val="24"/>
          <w:highlight w:val="none"/>
          <w:shd w:val="clear" w:color="auto" w:fill="auto"/>
        </w:rPr>
        <w:t>2.</w:t>
      </w:r>
      <w:r>
        <w:rPr>
          <w:rFonts w:hint="eastAsia" w:ascii="宋体" w:hAnsi="宋体" w:cs="宋体"/>
          <w:highlight w:val="none"/>
          <w:shd w:val="clear" w:color="auto" w:fill="auto"/>
        </w:rPr>
        <w:t xml:space="preserve"> </w:t>
      </w:r>
      <w:r>
        <w:rPr>
          <w:rFonts w:hint="eastAsia" w:ascii="宋体" w:hAnsi="宋体" w:cs="宋体"/>
          <w:sz w:val="24"/>
          <w:highlight w:val="none"/>
          <w:u w:val="single"/>
          <w:shd w:val="clear" w:color="auto" w:fill="auto"/>
        </w:rPr>
        <w:t>（标的名称）</w:t>
      </w:r>
      <w:r>
        <w:rPr>
          <w:rFonts w:hint="eastAsia" w:ascii="宋体" w:hAnsi="宋体" w:cs="宋体"/>
          <w:sz w:val="24"/>
          <w:highlight w:val="none"/>
          <w:shd w:val="clear" w:color="auto" w:fill="auto"/>
        </w:rPr>
        <w:t xml:space="preserve">，属于 </w:t>
      </w:r>
      <w:r>
        <w:rPr>
          <w:rFonts w:hint="eastAsia" w:ascii="宋体" w:hAnsi="宋体" w:cs="宋体"/>
          <w:sz w:val="24"/>
          <w:highlight w:val="none"/>
          <w:u w:val="single"/>
          <w:shd w:val="clear" w:color="auto" w:fill="auto"/>
        </w:rPr>
        <w:t>（采购文件中明确的所属行业）</w:t>
      </w:r>
      <w:r>
        <w:rPr>
          <w:rFonts w:hint="eastAsia" w:ascii="宋体" w:hAnsi="宋体" w:cs="宋体"/>
          <w:sz w:val="24"/>
          <w:highlight w:val="none"/>
          <w:shd w:val="clear" w:color="auto" w:fill="auto"/>
        </w:rPr>
        <w:t xml:space="preserve"> ；承建（承接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3EF7230">
      <w:pPr>
        <w:spacing w:line="360" w:lineRule="auto"/>
        <w:ind w:firstLine="480" w:firstLineChars="200"/>
        <w:rPr>
          <w:rFonts w:ascii="宋体" w:hAnsi="宋体" w:cs="宋体"/>
          <w:sz w:val="24"/>
        </w:rPr>
      </w:pPr>
    </w:p>
    <w:p w14:paraId="1A0E92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2A01C65">
      <w:pPr>
        <w:snapToGrid w:val="0"/>
        <w:spacing w:line="360" w:lineRule="auto"/>
        <w:rPr>
          <w:rFonts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ECAE916">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color="auto" w:fill="auto"/>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rPr>
      </w:pPr>
    </w:p>
    <w:p w14:paraId="5F0D6597">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0B5A53B7">
      <w:pPr>
        <w:pStyle w:val="24"/>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55" w:name="_Toc36110187"/>
    <w:bookmarkStart w:id="456" w:name="_Toc131845147"/>
    <w:bookmarkStart w:id="457" w:name="_Toc164085800"/>
    <w:bookmarkStart w:id="458" w:name="_Toc91899912"/>
    <w:r>
      <w:rPr>
        <w:rFonts w:hint="eastAsia" w:ascii="仿宋_GB2312" w:eastAsia="仿宋_GB2312"/>
        <w:kern w:val="0"/>
        <w:szCs w:val="21"/>
      </w:rPr>
      <w:t xml:space="preserve"> 页</w:t>
    </w:r>
    <w:bookmarkEnd w:id="455"/>
    <w:bookmarkEnd w:id="456"/>
    <w:bookmarkEnd w:id="457"/>
    <w:bookmarkEnd w:id="4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39"/>
      <w:framePr w:wrap="around" w:vAnchor="text" w:hAnchor="margin" w:xAlign="right" w:y="1"/>
      <w:rPr>
        <w:rStyle w:val="72"/>
      </w:rPr>
    </w:pPr>
    <w:r>
      <w:fldChar w:fldCharType="begin"/>
    </w:r>
    <w:r>
      <w:rPr>
        <w:rStyle w:val="72"/>
      </w:rPr>
      <w:instrText xml:space="preserve">PAGE  </w:instrText>
    </w:r>
    <w:r>
      <w:fldChar w:fldCharType="end"/>
    </w:r>
  </w:p>
  <w:p w14:paraId="7185516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6292A">
    <w:pPr>
      <w:pStyle w:val="23"/>
      <w:spacing w:line="14" w:lineRule="auto"/>
      <w:rPr>
        <w:sz w:val="20"/>
      </w:rPr>
    </w:pPr>
    <w:r>
      <w:rPr>
        <w:rFonts w:ascii="宋体" w:hAnsi="宋体" w:cs="宋体"/>
        <w:szCs w:val="21"/>
        <w:lang w:val="zh-CN" w:bidi="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9460865</wp:posOffset>
              </wp:positionV>
              <wp:extent cx="16637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14:paraId="4CC2538E">
                          <w:pPr>
                            <w:spacing w:before="12"/>
                            <w:ind w:left="40"/>
                            <w:rPr>
                              <w:sz w:val="18"/>
                            </w:rPr>
                          </w:pPr>
                          <w:r>
                            <w:fldChar w:fldCharType="begin"/>
                          </w:r>
                          <w:r>
                            <w:rPr>
                              <w:sz w:val="18"/>
                            </w:rPr>
                            <w:instrText xml:space="preserve"> PAGE </w:instrText>
                          </w:r>
                          <w:r>
                            <w:fldChar w:fldCharType="separate"/>
                          </w:r>
                          <w:r>
                            <w:rPr>
                              <w:sz w:val="18"/>
                            </w:rPr>
                            <w:t>35</w:t>
                          </w:r>
                          <w:r>
                            <w:fldChar w:fldCharType="end"/>
                          </w:r>
                        </w:p>
                      </w:txbxContent>
                    </wps:txbx>
                    <wps:bodyPr lIns="0" tIns="0" rIns="0" bIns="0" upright="1"/>
                  </wps:wsp>
                </a:graphicData>
              </a:graphic>
            </wp:anchor>
          </w:drawing>
        </mc:Choice>
        <mc:Fallback>
          <w:pict>
            <v:shape id="_x0000_s1026" o:spid="_x0000_s1026" o:spt="202" type="#_x0000_t202" style="position:absolute;left:0pt;margin-top:744.95pt;height:12pt;width:13.1pt;mso-position-horizontal:center;mso-position-horizontal-relative:margin;mso-position-vertical-relative:page;z-index:251661312;mso-width-relative:page;mso-height-relative:page;" filled="f" stroked="f" coordsize="21600,21600" o:gfxdata="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zo/d/XAAAACQEAAA8AAAAAAAAAAQAgAAAAIgAAAGRycy9kb3ducmV2LnhtbFBL&#10;AQIUABQAAAAIAIdO4kBmn+VfvgEAAH8DAAAOAAAAAAAAAAEAIAAAACYBAABkcnMvZTJvRG9jLnht&#10;bFBLBQYAAAAABgAGAFkBAABWBQAAAAA=&#10;">
              <v:fill on="f" focussize="0,0"/>
              <v:stroke on="f"/>
              <v:imagedata o:title=""/>
              <o:lock v:ext="edit" aspectratio="f"/>
              <v:textbox inset="0mm,0mm,0mm,0mm">
                <w:txbxContent>
                  <w:p w14:paraId="4CC2538E">
                    <w:pPr>
                      <w:spacing w:before="12"/>
                      <w:ind w:left="40"/>
                      <w:rPr>
                        <w:sz w:val="18"/>
                      </w:rPr>
                    </w:pPr>
                    <w:r>
                      <w:fldChar w:fldCharType="begin"/>
                    </w:r>
                    <w:r>
                      <w:rPr>
                        <w:sz w:val="18"/>
                      </w:rPr>
                      <w:instrText xml:space="preserve"> PAGE </w:instrText>
                    </w:r>
                    <w:r>
                      <w:fldChar w:fldCharType="separate"/>
                    </w:r>
                    <w:r>
                      <w:rPr>
                        <w:sz w:val="18"/>
                      </w:rP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77E0">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384EE5F"/>
    <w:multiLevelType w:val="singleLevel"/>
    <w:tmpl w:val="9384EE5F"/>
    <w:lvl w:ilvl="0" w:tentative="0">
      <w:start w:val="5"/>
      <w:numFmt w:val="chineseCounting"/>
      <w:suff w:val="space"/>
      <w:lvlText w:val="第%1部分"/>
      <w:lvlJc w:val="left"/>
      <w:rPr>
        <w:rFonts w:hint="eastAsia"/>
      </w:rPr>
    </w:lvl>
  </w:abstractNum>
  <w:abstractNum w:abstractNumId="2">
    <w:nsid w:val="A6E14E7C"/>
    <w:multiLevelType w:val="singleLevel"/>
    <w:tmpl w:val="A6E14E7C"/>
    <w:lvl w:ilvl="0" w:tentative="0">
      <w:start w:val="1"/>
      <w:numFmt w:val="decimal"/>
      <w:suff w:val="nothing"/>
      <w:lvlText w:val="（%1）"/>
      <w:lvlJc w:val="left"/>
    </w:lvl>
  </w:abstractNum>
  <w:abstractNum w:abstractNumId="3">
    <w:nsid w:val="DCC218F4"/>
    <w:multiLevelType w:val="singleLevel"/>
    <w:tmpl w:val="DCC218F4"/>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607"/>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610"/>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0325CB"/>
    <w:rsid w:val="025F0711"/>
    <w:rsid w:val="026B2E25"/>
    <w:rsid w:val="02824D4D"/>
    <w:rsid w:val="02DC4B10"/>
    <w:rsid w:val="02DD76CE"/>
    <w:rsid w:val="02F36323"/>
    <w:rsid w:val="02F5619C"/>
    <w:rsid w:val="030D4449"/>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A6FDB"/>
    <w:rsid w:val="060E5941"/>
    <w:rsid w:val="06110FAF"/>
    <w:rsid w:val="061E21DC"/>
    <w:rsid w:val="06493CA7"/>
    <w:rsid w:val="065A6178"/>
    <w:rsid w:val="066F1CF3"/>
    <w:rsid w:val="06930BB8"/>
    <w:rsid w:val="07245D42"/>
    <w:rsid w:val="07264C62"/>
    <w:rsid w:val="0779354C"/>
    <w:rsid w:val="07797F74"/>
    <w:rsid w:val="07A46B95"/>
    <w:rsid w:val="08061376"/>
    <w:rsid w:val="083E6D05"/>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B74F5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7F358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B63EF"/>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86F5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E30E2"/>
    <w:rsid w:val="1C7725CD"/>
    <w:rsid w:val="1C88086E"/>
    <w:rsid w:val="1D266CE1"/>
    <w:rsid w:val="1D3963AF"/>
    <w:rsid w:val="1D3D0FE5"/>
    <w:rsid w:val="1D6A673C"/>
    <w:rsid w:val="1D9247AE"/>
    <w:rsid w:val="1DB16262"/>
    <w:rsid w:val="1DB567EC"/>
    <w:rsid w:val="1DF51A98"/>
    <w:rsid w:val="1E3D060F"/>
    <w:rsid w:val="1E3F7D2E"/>
    <w:rsid w:val="1E4134E4"/>
    <w:rsid w:val="1E5062B3"/>
    <w:rsid w:val="1E523514"/>
    <w:rsid w:val="1E714A66"/>
    <w:rsid w:val="1E802593"/>
    <w:rsid w:val="1E8B6156"/>
    <w:rsid w:val="1EA703CC"/>
    <w:rsid w:val="1EB7330C"/>
    <w:rsid w:val="1F0A0FF3"/>
    <w:rsid w:val="1F182E7D"/>
    <w:rsid w:val="1F5771FF"/>
    <w:rsid w:val="1F646BF6"/>
    <w:rsid w:val="1F904124"/>
    <w:rsid w:val="1FE868A9"/>
    <w:rsid w:val="20034907"/>
    <w:rsid w:val="20173E4B"/>
    <w:rsid w:val="204E48BC"/>
    <w:rsid w:val="20605D1D"/>
    <w:rsid w:val="208921B3"/>
    <w:rsid w:val="20973DEB"/>
    <w:rsid w:val="20B26522"/>
    <w:rsid w:val="20B44310"/>
    <w:rsid w:val="211116EB"/>
    <w:rsid w:val="216133FC"/>
    <w:rsid w:val="21C85928"/>
    <w:rsid w:val="21D56769"/>
    <w:rsid w:val="21E52EF3"/>
    <w:rsid w:val="21FB5D7B"/>
    <w:rsid w:val="22015E94"/>
    <w:rsid w:val="220B1C3D"/>
    <w:rsid w:val="221D1D20"/>
    <w:rsid w:val="22334A87"/>
    <w:rsid w:val="22A31EF1"/>
    <w:rsid w:val="22BE6801"/>
    <w:rsid w:val="22C73E32"/>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02162"/>
    <w:rsid w:val="258B00E2"/>
    <w:rsid w:val="259868E4"/>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92A9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C2EE3"/>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177184"/>
    <w:rsid w:val="2E4B082A"/>
    <w:rsid w:val="2E5D4E86"/>
    <w:rsid w:val="2E5D790B"/>
    <w:rsid w:val="2E9A3C18"/>
    <w:rsid w:val="2EBB0FEE"/>
    <w:rsid w:val="2EC63002"/>
    <w:rsid w:val="2F0A6B38"/>
    <w:rsid w:val="2F4A2072"/>
    <w:rsid w:val="2F803CE6"/>
    <w:rsid w:val="2F946CCB"/>
    <w:rsid w:val="2FD25781"/>
    <w:rsid w:val="2FDC745C"/>
    <w:rsid w:val="2FFD7934"/>
    <w:rsid w:val="30733ACD"/>
    <w:rsid w:val="308C3862"/>
    <w:rsid w:val="309379D8"/>
    <w:rsid w:val="30A270F7"/>
    <w:rsid w:val="30AA14F8"/>
    <w:rsid w:val="30DF1478"/>
    <w:rsid w:val="30EC586F"/>
    <w:rsid w:val="31293F09"/>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63836"/>
    <w:rsid w:val="38586797"/>
    <w:rsid w:val="38BC0149"/>
    <w:rsid w:val="38D87D1C"/>
    <w:rsid w:val="39636459"/>
    <w:rsid w:val="396B7F6C"/>
    <w:rsid w:val="399A3BF6"/>
    <w:rsid w:val="39B417A9"/>
    <w:rsid w:val="39FC5695"/>
    <w:rsid w:val="3A006D8E"/>
    <w:rsid w:val="3A204F94"/>
    <w:rsid w:val="3A3651E5"/>
    <w:rsid w:val="3A744481"/>
    <w:rsid w:val="3A8C7BEF"/>
    <w:rsid w:val="3A906246"/>
    <w:rsid w:val="3A9E536B"/>
    <w:rsid w:val="3AE90F51"/>
    <w:rsid w:val="3B2349B7"/>
    <w:rsid w:val="3B2714BA"/>
    <w:rsid w:val="3B616CFF"/>
    <w:rsid w:val="3B6259F6"/>
    <w:rsid w:val="3B976654"/>
    <w:rsid w:val="3BA10D74"/>
    <w:rsid w:val="3BA40D5C"/>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843AC"/>
    <w:rsid w:val="40592157"/>
    <w:rsid w:val="406E1CAE"/>
    <w:rsid w:val="40A0133A"/>
    <w:rsid w:val="40C31A53"/>
    <w:rsid w:val="40FF545D"/>
    <w:rsid w:val="410067C8"/>
    <w:rsid w:val="410127AD"/>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C15105"/>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2D7D0C"/>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6907DD"/>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14F46"/>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CBF559E"/>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494422"/>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D93544"/>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3E01C2A"/>
    <w:rsid w:val="742222F5"/>
    <w:rsid w:val="743467DF"/>
    <w:rsid w:val="74476126"/>
    <w:rsid w:val="746565D3"/>
    <w:rsid w:val="74706664"/>
    <w:rsid w:val="747F3682"/>
    <w:rsid w:val="7482461C"/>
    <w:rsid w:val="749C4185"/>
    <w:rsid w:val="75067759"/>
    <w:rsid w:val="752E6DCD"/>
    <w:rsid w:val="7551380D"/>
    <w:rsid w:val="755D394A"/>
    <w:rsid w:val="75600BE5"/>
    <w:rsid w:val="7564475C"/>
    <w:rsid w:val="7583797F"/>
    <w:rsid w:val="75D20F1D"/>
    <w:rsid w:val="75D67789"/>
    <w:rsid w:val="75DA2C18"/>
    <w:rsid w:val="75F54412"/>
    <w:rsid w:val="761D08E0"/>
    <w:rsid w:val="765D347C"/>
    <w:rsid w:val="76826699"/>
    <w:rsid w:val="76C87133"/>
    <w:rsid w:val="76CD08D5"/>
    <w:rsid w:val="76DB4B92"/>
    <w:rsid w:val="76FA12D1"/>
    <w:rsid w:val="77052AA4"/>
    <w:rsid w:val="77136511"/>
    <w:rsid w:val="77340A39"/>
    <w:rsid w:val="77351FD0"/>
    <w:rsid w:val="77472422"/>
    <w:rsid w:val="777F31F2"/>
    <w:rsid w:val="77D1700D"/>
    <w:rsid w:val="77EC04CC"/>
    <w:rsid w:val="78054217"/>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C0935"/>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B266E"/>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next w:val="40"/>
    <w:link w:val="383"/>
    <w:qFormat/>
    <w:uiPriority w:val="99"/>
    <w:pPr>
      <w:tabs>
        <w:tab w:val="center" w:pos="4153"/>
        <w:tab w:val="right" w:pos="8306"/>
      </w:tabs>
      <w:snapToGrid w:val="0"/>
      <w:jc w:val="left"/>
    </w:pPr>
    <w:rPr>
      <w:sz w:val="18"/>
      <w:szCs w:val="18"/>
    </w:rPr>
  </w:style>
  <w:style w:type="paragraph" w:styleId="40">
    <w:name w:val="toc 2"/>
    <w:basedOn w:val="1"/>
    <w:next w:val="1"/>
    <w:qFormat/>
    <w:uiPriority w:val="0"/>
    <w:pPr>
      <w:ind w:left="420" w:leftChars="200"/>
    </w:p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23"/>
    <w:link w:val="321"/>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39"/>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79"/>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84</Pages>
  <Words>98</Words>
  <Characters>104</Characters>
  <Lines>1</Lines>
  <Paragraphs>1</Paragraphs>
  <TotalTime>28</TotalTime>
  <ScaleCrop>false</ScaleCrop>
  <LinksUpToDate>false</LinksUpToDate>
  <CharactersWithSpaces>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十二°</cp:lastModifiedBy>
  <cp:lastPrinted>2021-12-28T03:06:00Z</cp:lastPrinted>
  <dcterms:modified xsi:type="dcterms:W3CDTF">2025-07-11T02:57:31Z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eyJoZGlkIjoiM2Y2ZDE0OGRiNGMyOTM0YjMwOTRiMDk4YTc1MWY0MjkiLCJ1c2VySWQiOiIyMjM2OTQ1MTQifQ==</vt:lpwstr>
  </property>
</Properties>
</file>