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hd w:val="clear"/>
        <w:spacing w:line="360" w:lineRule="auto"/>
        <w:jc w:val="center"/>
        <w:rPr>
          <w:rFonts w:ascii="宋体" w:hAnsi="宋体" w:cs="宋体"/>
          <w:b/>
          <w:color w:val="auto"/>
          <w:sz w:val="24"/>
          <w:highlight w:val="none"/>
        </w:rPr>
      </w:pPr>
    </w:p>
    <w:p w14:paraId="77A9557B">
      <w:pPr>
        <w:shd w:val="clear"/>
        <w:spacing w:line="360" w:lineRule="auto"/>
        <w:jc w:val="center"/>
        <w:rPr>
          <w:rFonts w:ascii="宋体" w:hAnsi="宋体" w:cs="宋体"/>
          <w:b/>
          <w:color w:val="auto"/>
          <w:sz w:val="24"/>
          <w:highlight w:val="none"/>
        </w:rPr>
      </w:pPr>
    </w:p>
    <w:p w14:paraId="61CBAEB4">
      <w:pPr>
        <w:shd w:val="clear"/>
        <w:adjustRightInd/>
        <w:spacing w:line="360" w:lineRule="auto"/>
        <w:jc w:val="center"/>
        <w:rPr>
          <w:rFonts w:ascii="宋体" w:hAnsi="宋体" w:cs="宋体"/>
          <w:b/>
          <w:color w:val="auto"/>
          <w:sz w:val="44"/>
          <w:szCs w:val="44"/>
          <w:highlight w:val="none"/>
        </w:rPr>
      </w:pPr>
    </w:p>
    <w:p w14:paraId="540799E8">
      <w:pPr>
        <w:shd w:val="clear"/>
        <w:spacing w:line="360" w:lineRule="auto"/>
        <w:jc w:val="center"/>
        <w:rPr>
          <w:rFonts w:ascii="宋体" w:hAnsi="宋体" w:cs="宋体"/>
          <w:b/>
          <w:color w:val="auto"/>
          <w:sz w:val="44"/>
          <w:szCs w:val="44"/>
          <w:highlight w:val="none"/>
        </w:rPr>
      </w:pPr>
    </w:p>
    <w:p w14:paraId="47548AC0">
      <w:pPr>
        <w:shd w:val="clear"/>
        <w:adjustRightInd/>
        <w:spacing w:line="360" w:lineRule="auto"/>
        <w:jc w:val="center"/>
        <w:rPr>
          <w:rFonts w:ascii="宋体" w:hAnsi="宋体" w:cs="宋体"/>
          <w:b/>
          <w:color w:val="auto"/>
          <w:sz w:val="48"/>
          <w:szCs w:val="48"/>
          <w:highlight w:val="none"/>
        </w:rPr>
      </w:pPr>
    </w:p>
    <w:p w14:paraId="499C1610">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胜蓝实验小学东新园校区维修改造工程</w:t>
      </w:r>
    </w:p>
    <w:p w14:paraId="695F9BF8">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2DE3E05">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501EA49F">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HSZB-2025-868</w:t>
      </w:r>
    </w:p>
    <w:p w14:paraId="2D98097E">
      <w:pPr>
        <w:shd w:val="clear"/>
        <w:adjustRightInd/>
        <w:spacing w:line="360" w:lineRule="auto"/>
        <w:rPr>
          <w:rFonts w:ascii="宋体" w:hAnsi="宋体" w:cs="宋体"/>
          <w:color w:val="auto"/>
          <w:sz w:val="28"/>
          <w:szCs w:val="20"/>
          <w:highlight w:val="none"/>
        </w:rPr>
      </w:pPr>
    </w:p>
    <w:p w14:paraId="52A46C03">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B2F3ED0">
      <w:pPr>
        <w:shd w:val="clear"/>
        <w:spacing w:line="360" w:lineRule="auto"/>
        <w:jc w:val="center"/>
        <w:rPr>
          <w:rFonts w:ascii="宋体" w:hAnsi="宋体" w:cs="宋体"/>
          <w:b/>
          <w:color w:val="auto"/>
          <w:sz w:val="44"/>
          <w:szCs w:val="44"/>
          <w:highlight w:val="none"/>
        </w:rPr>
      </w:pPr>
    </w:p>
    <w:p w14:paraId="00C6A9BE">
      <w:pPr>
        <w:shd w:val="clear"/>
        <w:spacing w:line="360" w:lineRule="auto"/>
        <w:jc w:val="center"/>
        <w:rPr>
          <w:rFonts w:ascii="宋体" w:hAnsi="宋体" w:cs="宋体"/>
          <w:color w:val="auto"/>
          <w:sz w:val="24"/>
          <w:highlight w:val="none"/>
        </w:rPr>
      </w:pPr>
    </w:p>
    <w:p w14:paraId="3693E0E1">
      <w:pPr>
        <w:shd w:val="clear"/>
        <w:spacing w:line="360" w:lineRule="auto"/>
        <w:jc w:val="center"/>
        <w:rPr>
          <w:rFonts w:ascii="宋体" w:hAnsi="宋体" w:cs="宋体"/>
          <w:color w:val="auto"/>
          <w:sz w:val="24"/>
          <w:highlight w:val="none"/>
        </w:rPr>
      </w:pPr>
    </w:p>
    <w:p w14:paraId="7382B24D">
      <w:pPr>
        <w:shd w:val="clear"/>
        <w:spacing w:line="360" w:lineRule="auto"/>
        <w:rPr>
          <w:rFonts w:ascii="宋体" w:hAnsi="宋体" w:cs="宋体"/>
          <w:color w:val="auto"/>
          <w:sz w:val="32"/>
          <w:szCs w:val="32"/>
          <w:highlight w:val="none"/>
        </w:rPr>
      </w:pPr>
    </w:p>
    <w:p w14:paraId="477B848B">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杭州市胜蓝实验小学</w:t>
      </w:r>
    </w:p>
    <w:p w14:paraId="3CEC253A">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08D8B6B8">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3284AE6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hd w:val="clear"/>
        <w:spacing w:line="360" w:lineRule="auto"/>
        <w:jc w:val="center"/>
        <w:rPr>
          <w:rFonts w:ascii="宋体" w:hAnsi="宋体" w:cs="宋体"/>
          <w:color w:val="auto"/>
          <w:sz w:val="24"/>
          <w:highlight w:val="none"/>
        </w:rPr>
      </w:pPr>
    </w:p>
    <w:p w14:paraId="2D381D25">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hd w:val="clear"/>
        <w:spacing w:line="360" w:lineRule="auto"/>
        <w:rPr>
          <w:rFonts w:ascii="宋体" w:hAnsi="宋体" w:cs="宋体"/>
          <w:color w:val="auto"/>
          <w:sz w:val="32"/>
          <w:szCs w:val="32"/>
          <w:highlight w:val="none"/>
        </w:rPr>
      </w:pPr>
    </w:p>
    <w:p w14:paraId="257C6D45">
      <w:pPr>
        <w:shd w:val="clear"/>
        <w:spacing w:line="360" w:lineRule="auto"/>
        <w:rPr>
          <w:rFonts w:ascii="宋体" w:hAnsi="宋体" w:cs="宋体"/>
          <w:color w:val="auto"/>
          <w:sz w:val="32"/>
          <w:szCs w:val="32"/>
          <w:highlight w:val="none"/>
        </w:rPr>
      </w:pPr>
    </w:p>
    <w:p w14:paraId="15932255">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hd w:val="clear"/>
        <w:spacing w:line="360" w:lineRule="auto"/>
        <w:ind w:firstLine="1280" w:firstLineChars="400"/>
        <w:rPr>
          <w:rFonts w:ascii="宋体" w:hAnsi="宋体" w:cs="宋体"/>
          <w:color w:val="auto"/>
          <w:sz w:val="32"/>
          <w:szCs w:val="32"/>
          <w:highlight w:val="none"/>
        </w:rPr>
      </w:pPr>
    </w:p>
    <w:p w14:paraId="76870372">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hd w:val="clear"/>
        <w:spacing w:line="360" w:lineRule="auto"/>
        <w:ind w:firstLine="549" w:firstLineChars="229"/>
        <w:rPr>
          <w:rFonts w:ascii="宋体" w:hAnsi="宋体" w:cs="宋体"/>
          <w:color w:val="auto"/>
          <w:sz w:val="24"/>
          <w:highlight w:val="none"/>
        </w:rPr>
      </w:pPr>
    </w:p>
    <w:p w14:paraId="3265EC67">
      <w:pPr>
        <w:shd w:val="clear"/>
        <w:spacing w:line="360" w:lineRule="auto"/>
        <w:ind w:firstLine="549" w:firstLineChars="229"/>
        <w:rPr>
          <w:rFonts w:ascii="宋体" w:hAnsi="宋体" w:cs="宋体"/>
          <w:color w:val="auto"/>
          <w:sz w:val="24"/>
          <w:highlight w:val="none"/>
        </w:rPr>
      </w:pPr>
    </w:p>
    <w:p w14:paraId="32A86F4F">
      <w:pPr>
        <w:shd w:val="clear"/>
        <w:spacing w:line="360" w:lineRule="auto"/>
        <w:ind w:firstLine="549" w:firstLineChars="229"/>
        <w:rPr>
          <w:rFonts w:ascii="宋体" w:hAnsi="宋体" w:cs="宋体"/>
          <w:color w:val="auto"/>
          <w:sz w:val="24"/>
          <w:highlight w:val="none"/>
        </w:rPr>
      </w:pPr>
    </w:p>
    <w:p w14:paraId="3976C189">
      <w:pPr>
        <w:shd w:val="clear"/>
        <w:spacing w:line="360" w:lineRule="auto"/>
        <w:ind w:firstLine="549" w:firstLineChars="229"/>
        <w:rPr>
          <w:rFonts w:ascii="宋体" w:hAnsi="宋体" w:cs="宋体"/>
          <w:color w:val="auto"/>
          <w:sz w:val="24"/>
          <w:highlight w:val="none"/>
        </w:rPr>
      </w:pPr>
    </w:p>
    <w:p w14:paraId="31C95E4F">
      <w:pPr>
        <w:shd w:val="clear"/>
        <w:spacing w:line="360" w:lineRule="auto"/>
        <w:ind w:firstLine="549" w:firstLineChars="229"/>
        <w:rPr>
          <w:rFonts w:ascii="宋体" w:hAnsi="宋体" w:cs="宋体"/>
          <w:color w:val="auto"/>
          <w:sz w:val="24"/>
          <w:highlight w:val="none"/>
        </w:rPr>
      </w:pPr>
    </w:p>
    <w:p w14:paraId="679C9843">
      <w:pPr>
        <w:shd w:val="clear"/>
        <w:spacing w:line="360" w:lineRule="auto"/>
        <w:ind w:firstLine="549" w:firstLineChars="229"/>
        <w:rPr>
          <w:rFonts w:ascii="宋体" w:hAnsi="宋体" w:cs="宋体"/>
          <w:color w:val="auto"/>
          <w:sz w:val="24"/>
          <w:highlight w:val="none"/>
        </w:rPr>
      </w:pPr>
    </w:p>
    <w:p w14:paraId="4F6FC5E8">
      <w:pPr>
        <w:shd w:val="clear"/>
        <w:spacing w:line="360" w:lineRule="auto"/>
        <w:ind w:firstLine="549" w:firstLineChars="229"/>
        <w:rPr>
          <w:rFonts w:ascii="宋体" w:hAnsi="宋体" w:cs="宋体"/>
          <w:color w:val="auto"/>
          <w:sz w:val="24"/>
          <w:highlight w:val="none"/>
        </w:rPr>
      </w:pPr>
    </w:p>
    <w:p w14:paraId="5ED83DF8">
      <w:pPr>
        <w:shd w:val="clear"/>
        <w:spacing w:line="360" w:lineRule="auto"/>
        <w:ind w:firstLine="549" w:firstLineChars="229"/>
        <w:rPr>
          <w:rFonts w:ascii="宋体" w:hAnsi="宋体" w:cs="宋体"/>
          <w:color w:val="auto"/>
          <w:sz w:val="24"/>
          <w:highlight w:val="none"/>
        </w:rPr>
      </w:pPr>
    </w:p>
    <w:p w14:paraId="000E2795">
      <w:pPr>
        <w:shd w:val="clear"/>
        <w:spacing w:line="360" w:lineRule="auto"/>
        <w:ind w:firstLine="549" w:firstLineChars="229"/>
        <w:rPr>
          <w:rFonts w:ascii="宋体" w:hAnsi="宋体" w:cs="宋体"/>
          <w:color w:val="auto"/>
          <w:sz w:val="24"/>
          <w:highlight w:val="none"/>
        </w:rPr>
      </w:pPr>
    </w:p>
    <w:p w14:paraId="1F5456DF">
      <w:pPr>
        <w:shd w:val="clear"/>
        <w:spacing w:line="360" w:lineRule="auto"/>
        <w:ind w:firstLine="549" w:firstLineChars="229"/>
        <w:rPr>
          <w:rFonts w:ascii="宋体" w:hAnsi="宋体" w:cs="宋体"/>
          <w:color w:val="auto"/>
          <w:sz w:val="24"/>
          <w:highlight w:val="none"/>
        </w:rPr>
      </w:pPr>
    </w:p>
    <w:p w14:paraId="63D05FD4">
      <w:pPr>
        <w:shd w:val="clear"/>
        <w:spacing w:line="360" w:lineRule="auto"/>
        <w:ind w:firstLine="549" w:firstLineChars="229"/>
        <w:rPr>
          <w:rFonts w:ascii="宋体" w:hAnsi="宋体" w:cs="宋体"/>
          <w:color w:val="auto"/>
          <w:sz w:val="24"/>
          <w:highlight w:val="none"/>
        </w:rPr>
      </w:pPr>
    </w:p>
    <w:p w14:paraId="2D4B33FC">
      <w:pPr>
        <w:shd w:val="clear"/>
        <w:spacing w:line="360" w:lineRule="auto"/>
        <w:ind w:firstLine="549" w:firstLineChars="229"/>
        <w:rPr>
          <w:rFonts w:ascii="宋体" w:hAnsi="宋体" w:cs="宋体"/>
          <w:color w:val="auto"/>
          <w:sz w:val="24"/>
          <w:highlight w:val="none"/>
        </w:rPr>
      </w:pPr>
    </w:p>
    <w:p w14:paraId="76F49541">
      <w:pPr>
        <w:shd w:val="clear"/>
        <w:spacing w:line="360" w:lineRule="auto"/>
        <w:rPr>
          <w:rFonts w:ascii="宋体" w:hAnsi="宋体" w:cs="宋体"/>
          <w:color w:val="auto"/>
          <w:sz w:val="24"/>
          <w:highlight w:val="none"/>
        </w:rPr>
      </w:pPr>
    </w:p>
    <w:p w14:paraId="3B8DF407">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胜蓝实验小学东新园校区维修改造工程</w:t>
      </w:r>
      <w:r>
        <w:rPr>
          <w:rFonts w:hint="eastAsia" w:ascii="宋体" w:hAnsi="宋体" w:cs="宋体"/>
          <w:color w:val="auto"/>
          <w:sz w:val="24"/>
          <w:highlight w:val="none"/>
        </w:rPr>
        <w:t>采购项目的潜在供应商应在政采云平台（</w:t>
      </w:r>
      <w:r>
        <w:rPr>
          <w:rFonts w:hint="eastAsia" w:ascii="宋体" w:hAnsi="宋体" w:eastAsia="宋体" w:cs="宋体"/>
          <w:snapToGrid/>
          <w:color w:val="auto"/>
          <w:kern w:val="2"/>
          <w:sz w:val="24"/>
          <w:szCs w:val="24"/>
          <w:highlight w:val="none"/>
          <w:u w:val="none"/>
        </w:rPr>
        <w:t>https://www.zcygov.cn/）获取（下载）采购文件，并于</w:t>
      </w:r>
      <w:r>
        <w:rPr>
          <w:rFonts w:hint="eastAsia" w:ascii="宋体" w:hAnsi="宋体" w:cs="宋体"/>
          <w:color w:val="auto"/>
          <w:spacing w:val="-4"/>
          <w:kern w:val="0"/>
          <w:sz w:val="24"/>
          <w:szCs w:val="24"/>
          <w:highlight w:val="none"/>
          <w:u w:val="none"/>
          <w:lang w:eastAsia="zh-CN"/>
        </w:rPr>
        <w:t>2025年07月07日</w:t>
      </w:r>
      <w:r>
        <w:rPr>
          <w:rFonts w:hint="eastAsia" w:ascii="宋体" w:hAnsi="宋体" w:eastAsia="宋体" w:cs="宋体"/>
          <w:color w:val="auto"/>
          <w:sz w:val="24"/>
          <w:highlight w:val="none"/>
          <w:u w:val="none"/>
          <w:lang w:val="en-US" w:eastAsia="zh-CN"/>
        </w:rPr>
        <w:t>09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分</w:t>
      </w:r>
      <w:r>
        <w:rPr>
          <w:rFonts w:hint="eastAsia" w:ascii="宋体" w:hAnsi="宋体" w:cs="宋体"/>
          <w:bCs/>
          <w:color w:val="auto"/>
          <w:sz w:val="24"/>
          <w:highlight w:val="none"/>
          <w:u w:val="non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hd w:val="clea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HSZB-2025-868</w:t>
      </w:r>
    </w:p>
    <w:p w14:paraId="5CFE6294">
      <w:pPr>
        <w:shd w:val="clea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胜蓝实验小学东新园校区维修改造工程</w:t>
      </w:r>
    </w:p>
    <w:p w14:paraId="2B322989">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pacing w:val="-4"/>
          <w:kern w:val="0"/>
          <w:sz w:val="24"/>
          <w:szCs w:val="24"/>
          <w:highlight w:val="none"/>
          <w:lang w:val="en-US" w:eastAsia="zh-CN"/>
        </w:rPr>
        <w:t>2719590.00</w:t>
      </w:r>
      <w:r>
        <w:rPr>
          <w:rFonts w:hint="eastAsia" w:ascii="宋体" w:hAnsi="宋体" w:cs="宋体"/>
          <w:color w:val="auto"/>
          <w:sz w:val="24"/>
          <w:highlight w:val="none"/>
        </w:rPr>
        <w:t xml:space="preserve">  </w:t>
      </w:r>
    </w:p>
    <w:p w14:paraId="24363695">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pacing w:val="-4"/>
          <w:kern w:val="0"/>
          <w:sz w:val="24"/>
          <w:szCs w:val="24"/>
          <w:highlight w:val="none"/>
          <w:lang w:val="en-US" w:eastAsia="zh-CN"/>
        </w:rPr>
        <w:t>2684043.00</w:t>
      </w:r>
      <w:r>
        <w:rPr>
          <w:rFonts w:hint="eastAsia" w:ascii="宋体" w:hAnsi="宋体" w:cs="宋体"/>
          <w:color w:val="auto"/>
          <w:sz w:val="24"/>
          <w:highlight w:val="none"/>
        </w:rPr>
        <w:t xml:space="preserve">  </w:t>
      </w:r>
    </w:p>
    <w:p w14:paraId="74C14250">
      <w:pPr>
        <w:pStyle w:val="7"/>
        <w:shd w:val="clea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pacing w:val="-4"/>
          <w:kern w:val="0"/>
          <w:sz w:val="24"/>
          <w:szCs w:val="24"/>
          <w:highlight w:val="none"/>
          <w:lang w:eastAsia="zh-CN"/>
        </w:rPr>
        <w:t>胜蓝实验小学东新园校区维修改造工程</w:t>
      </w:r>
      <w:r>
        <w:rPr>
          <w:rFonts w:hint="eastAsia" w:ascii="宋体" w:hAnsi="宋体" w:eastAsia="宋体" w:cs="宋体"/>
          <w:color w:val="auto"/>
          <w:spacing w:val="-4"/>
          <w:kern w:val="0"/>
          <w:sz w:val="24"/>
          <w:szCs w:val="24"/>
          <w:highlight w:val="none"/>
          <w:lang w:eastAsia="zh-CN"/>
        </w:rPr>
        <w:t xml:space="preserve"> </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w:t>
      </w:r>
      <w:r>
        <w:rPr>
          <w:rFonts w:hint="eastAsia" w:hAnsi="宋体" w:cs="宋体"/>
          <w:color w:val="auto"/>
          <w:spacing w:val="-4"/>
          <w:kern w:val="0"/>
          <w:sz w:val="24"/>
          <w:szCs w:val="24"/>
          <w:highlight w:val="none"/>
          <w:lang w:val="en-US" w:eastAsia="zh-CN"/>
        </w:rPr>
        <w:t>三</w:t>
      </w:r>
      <w:r>
        <w:rPr>
          <w:rFonts w:hint="eastAsia" w:ascii="宋体" w:hAnsi="宋体" w:eastAsia="宋体" w:cs="宋体"/>
          <w:color w:val="auto"/>
          <w:spacing w:val="-4"/>
          <w:kern w:val="0"/>
          <w:sz w:val="24"/>
          <w:szCs w:val="24"/>
          <w:highlight w:val="none"/>
          <w:lang w:eastAsia="zh-CN"/>
        </w:rPr>
        <w:t>部分</w:t>
      </w:r>
      <w:r>
        <w:rPr>
          <w:rFonts w:hint="eastAsia" w:ascii="宋体" w:hAnsi="宋体" w:eastAsia="宋体" w:cs="宋体"/>
          <w:color w:val="auto"/>
          <w:spacing w:val="-4"/>
          <w:kern w:val="0"/>
          <w:sz w:val="24"/>
          <w:szCs w:val="24"/>
          <w:highlight w:val="none"/>
        </w:rPr>
        <w:t>采购内容及需求。</w:t>
      </w:r>
    </w:p>
    <w:p w14:paraId="01233AD2">
      <w:pPr>
        <w:pStyle w:val="131"/>
        <w:shd w:val="clear"/>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pacing w:val="-4"/>
          <w:kern w:val="0"/>
          <w:sz w:val="24"/>
          <w:szCs w:val="24"/>
          <w:highlight w:val="none"/>
          <w:lang w:val="en-US" w:eastAsia="zh-CN"/>
        </w:rPr>
        <w:t>40日历天</w:t>
      </w:r>
    </w:p>
    <w:p w14:paraId="1313D475">
      <w:pPr>
        <w:pStyle w:val="7"/>
        <w:shd w:val="clear"/>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7"/>
        <w:shd w:val="clear"/>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7"/>
        <w:shd w:val="clear"/>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1"/>
        <w:shd w:val="clear"/>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3B3F13">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39ACC80E">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D68EEC">
      <w:pPr>
        <w:shd w:val="clea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EC8D774">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46E6D31C">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2386B89">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hd w:val="clea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0E8FFA66">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b/>
          <w:bCs/>
          <w:color w:val="auto"/>
          <w:sz w:val="24"/>
          <w:highlight w:val="none"/>
          <w:u w:val="single"/>
        </w:rPr>
        <w:t>具备建筑装修装饰工程专业承包二级及以上资质，且具有有效的《安全生产许可证》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《中华人民共和国建筑法》、《建筑业企业资质管理规定》</w:t>
      </w:r>
      <w:r>
        <w:rPr>
          <w:rFonts w:hint="eastAsia" w:ascii="宋体" w:hAnsi="宋体" w:cs="宋体"/>
          <w:b/>
          <w:bCs/>
          <w:color w:val="auto"/>
          <w:sz w:val="24"/>
          <w:highlight w:val="none"/>
          <w:u w:val="single"/>
          <w:lang w:eastAsia="zh-CN"/>
        </w:rPr>
        <w:t>、《安全生产许可证条例》(国务院令第397号)</w:t>
      </w:r>
      <w:r>
        <w:rPr>
          <w:rFonts w:hint="eastAsia" w:ascii="宋体" w:hAnsi="宋体" w:cs="宋体"/>
          <w:b/>
          <w:bCs/>
          <w:color w:val="auto"/>
          <w:sz w:val="24"/>
          <w:highlight w:val="none"/>
        </w:rPr>
        <w:t>。</w:t>
      </w:r>
    </w:p>
    <w:p w14:paraId="3BE7F34D">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pacing w:val="-4"/>
          <w:kern w:val="0"/>
          <w:sz w:val="24"/>
          <w:szCs w:val="24"/>
          <w:highlight w:val="none"/>
          <w:u w:val="single"/>
          <w:lang w:eastAsia="zh-CN"/>
        </w:rPr>
        <w:t>2025年07月07日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pacing w:val="-4"/>
          <w:kern w:val="0"/>
          <w:sz w:val="24"/>
          <w:szCs w:val="24"/>
          <w:highlight w:val="none"/>
          <w:u w:val="single"/>
          <w:lang w:eastAsia="zh-CN"/>
        </w:rPr>
        <w:t>2025年07月07日</w:t>
      </w:r>
      <w:r>
        <w:rPr>
          <w:rFonts w:hint="eastAsia" w:ascii="宋体" w:hAnsi="宋体" w:eastAsia="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DD1BE4A">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pacing w:val="-4"/>
          <w:kern w:val="0"/>
          <w:sz w:val="24"/>
          <w:szCs w:val="24"/>
          <w:highlight w:val="none"/>
          <w:u w:val="single"/>
          <w:lang w:eastAsia="zh-CN"/>
        </w:rPr>
        <w:t>2025年07月07日</w:t>
      </w:r>
      <w:r>
        <w:rPr>
          <w:rFonts w:hint="eastAsia" w:ascii="宋体" w:hAnsi="宋体" w:eastAsia="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76A47343">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C8B0B6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6E94F4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杭州市胜蓝实验小学</w:t>
      </w:r>
      <w:r>
        <w:rPr>
          <w:rFonts w:hint="eastAsia" w:ascii="宋体" w:hAnsi="宋体" w:cs="宋体"/>
          <w:color w:val="auto"/>
          <w:sz w:val="24"/>
          <w:highlight w:val="none"/>
        </w:rPr>
        <w:t xml:space="preserve"> </w:t>
      </w:r>
    </w:p>
    <w:p w14:paraId="2ADD2F9E">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址：杭州市拱墅区东新园小区孚信苑11号</w:t>
      </w:r>
    </w:p>
    <w:p w14:paraId="719B920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6FF91D9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项目联系人（询问）：莫红芳</w:t>
      </w:r>
    </w:p>
    <w:p w14:paraId="64F4AF0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项目联系方式（询问）：15505881585 </w:t>
      </w:r>
    </w:p>
    <w:p w14:paraId="14B4917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质疑联系人：余建康</w:t>
      </w:r>
    </w:p>
    <w:p w14:paraId="0B6768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质疑联系方式：15824011075</w:t>
      </w:r>
    </w:p>
    <w:p w14:paraId="4C2A1A6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D16F5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pacing w:val="-4"/>
          <w:kern w:val="0"/>
          <w:sz w:val="24"/>
          <w:szCs w:val="24"/>
          <w:highlight w:val="none"/>
        </w:rPr>
        <w:t>浙江豪圣建设项目管理有限公司</w:t>
      </w:r>
    </w:p>
    <w:p w14:paraId="130FE8A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pacing w:val="-4"/>
          <w:kern w:val="0"/>
          <w:sz w:val="24"/>
          <w:szCs w:val="24"/>
          <w:highlight w:val="none"/>
        </w:rPr>
        <w:t>杭州市拱墅区大关路179号远洋国际中心A座17楼1706室</w:t>
      </w:r>
    </w:p>
    <w:p w14:paraId="2605F68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5F34E5C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pacing w:val="-4"/>
          <w:kern w:val="0"/>
          <w:sz w:val="24"/>
          <w:szCs w:val="24"/>
          <w:highlight w:val="none"/>
        </w:rPr>
        <w:t>徐华卿、刘敏、曹剑斌、陈敏娇</w:t>
      </w:r>
      <w:r>
        <w:rPr>
          <w:rFonts w:hint="eastAsia" w:ascii="宋体" w:hAnsi="宋体" w:cs="宋体"/>
          <w:color w:val="auto"/>
          <w:sz w:val="24"/>
          <w:highlight w:val="none"/>
        </w:rPr>
        <w:t xml:space="preserve">          </w:t>
      </w:r>
    </w:p>
    <w:p w14:paraId="764DDB9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pacing w:val="-4"/>
          <w:kern w:val="0"/>
          <w:sz w:val="24"/>
          <w:szCs w:val="24"/>
          <w:highlight w:val="none"/>
        </w:rPr>
        <w:t>0571-87981527</w:t>
      </w:r>
    </w:p>
    <w:p w14:paraId="37BA6C7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pacing w:val="-4"/>
          <w:kern w:val="0"/>
          <w:sz w:val="24"/>
          <w:szCs w:val="24"/>
          <w:highlight w:val="none"/>
          <w:lang w:eastAsia="zh-CN"/>
        </w:rPr>
        <w:t>桑国坚</w:t>
      </w:r>
      <w:r>
        <w:rPr>
          <w:rFonts w:hint="eastAsia" w:ascii="宋体" w:hAnsi="宋体" w:cs="宋体"/>
          <w:color w:val="auto"/>
          <w:sz w:val="24"/>
          <w:highlight w:val="none"/>
        </w:rPr>
        <w:t xml:space="preserve">              </w:t>
      </w:r>
    </w:p>
    <w:p w14:paraId="16AB9C4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pacing w:val="-4"/>
          <w:kern w:val="0"/>
          <w:sz w:val="24"/>
          <w:szCs w:val="24"/>
          <w:highlight w:val="none"/>
          <w:lang w:eastAsia="zh-CN"/>
        </w:rPr>
        <w:t>0571-56386096</w:t>
      </w:r>
    </w:p>
    <w:p w14:paraId="7A721BB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1721D7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称：杭州市拱墅区财政局、浙江省政府采购行政裁决服务中心（杭州）</w:t>
      </w:r>
    </w:p>
    <w:p w14:paraId="611B2E4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杭州市上城区清泰街549号城建综合大楼11楼（快递仅限ems或顺丰）</w:t>
      </w:r>
    </w:p>
    <w:p w14:paraId="6E1216B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16DCD88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1CFF3F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0E6EED1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696272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344BCEC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6E678BF9">
      <w:pPr>
        <w:pStyle w:val="6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2F1A4256">
      <w:pPr>
        <w:pStyle w:val="6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1A19B19">
      <w:pPr>
        <w:rPr>
          <w:rFonts w:hint="eastAsia" w:hAnsi="宋体" w:cs="宋体"/>
          <w:b/>
          <w:snapToGrid/>
          <w:color w:val="auto"/>
          <w:sz w:val="36"/>
          <w:szCs w:val="20"/>
          <w:highlight w:val="none"/>
        </w:rPr>
      </w:pPr>
      <w:r>
        <w:rPr>
          <w:rFonts w:hint="eastAsia" w:hAnsi="宋体" w:cs="宋体"/>
          <w:b/>
          <w:snapToGrid/>
          <w:color w:val="auto"/>
          <w:sz w:val="36"/>
          <w:szCs w:val="20"/>
          <w:highlight w:val="none"/>
        </w:rPr>
        <w:br w:type="page"/>
      </w:r>
    </w:p>
    <w:p w14:paraId="33A47C6D">
      <w:pPr>
        <w:pStyle w:val="36"/>
        <w:shd w:val="clear"/>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85AC70A">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5"/>
              <w:shd w:val="clear"/>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胜蓝实验小学东新园校区维修改造工程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990839">
            <w:pPr>
              <w:pStyle w:val="5"/>
              <w:shd w:val="clear"/>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8D29F1">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8E0C16A">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0F199E7A">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劳务</w:t>
            </w:r>
            <w:r>
              <w:rPr>
                <w:rFonts w:hint="eastAsia" w:ascii="宋体" w:hAnsi="宋体" w:cs="宋体"/>
                <w:color w:val="auto"/>
                <w:sz w:val="24"/>
                <w:highlight w:val="none"/>
              </w:rPr>
              <w:t>工作分包。</w:t>
            </w:r>
          </w:p>
          <w:p w14:paraId="2B5D9CBB">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4CEB301">
            <w:pPr>
              <w:shd w:val="clear"/>
              <w:spacing w:line="360" w:lineRule="auto"/>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sz w:val="24"/>
                    <w:highlight w:val="none"/>
                  </w:rPr>
                  <w:sym w:font="Wingdings" w:char="F0FE"/>
                </w:r>
              </w:sdtContent>
            </w:sdt>
            <w:r>
              <w:rPr>
                <w:rFonts w:hint="eastAsia" w:ascii="宋体" w:hAnsi="宋体" w:eastAsia="宋体" w:cs="宋体"/>
                <w:color w:val="auto"/>
                <w:sz w:val="24"/>
                <w:highlight w:val="none"/>
              </w:rPr>
              <w:t>A不组织。</w:t>
            </w:r>
          </w:p>
          <w:p w14:paraId="29D64DF4">
            <w:pPr>
              <w:shd w:val="clear"/>
              <w:spacing w:line="360" w:lineRule="auto"/>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B组织，时间：      ,地点：      ，联系人：      ，联系方式：      。</w:t>
            </w:r>
          </w:p>
          <w:p w14:paraId="481BB1C7">
            <w:pPr>
              <w:shd w:val="clear"/>
              <w:spacing w:line="360" w:lineRule="auto"/>
              <w:rPr>
                <w:color w:val="auto"/>
                <w:highlight w:val="none"/>
              </w:rPr>
            </w:pPr>
            <w:r>
              <w:rPr>
                <w:rFonts w:hint="eastAsia" w:ascii="宋体" w:hAnsi="宋体" w:eastAsia="宋体" w:cs="宋体"/>
                <w:color w:val="auto"/>
                <w:sz w:val="24"/>
                <w:highlight w:val="none"/>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7D9B408">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C1147F">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CC6BB69">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FFE00">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382218">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3D9CA10A">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5CFFF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E7833E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34265B8">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8EF6D20">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ADDA8D">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hd w:val="clea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hd w:val="clear"/>
              <w:snapToGrid w:val="0"/>
              <w:spacing w:line="360" w:lineRule="auto"/>
              <w:jc w:val="center"/>
              <w:rPr>
                <w:rFonts w:ascii="宋体" w:hAnsi="宋体" w:cs="宋体"/>
                <w:b/>
                <w:color w:val="auto"/>
                <w:sz w:val="24"/>
                <w:highlight w:val="none"/>
              </w:rPr>
            </w:pPr>
          </w:p>
        </w:tc>
        <w:tc>
          <w:tcPr>
            <w:tcW w:w="6927" w:type="dxa"/>
            <w:vAlign w:val="center"/>
          </w:tcPr>
          <w:p w14:paraId="7D25C5B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2B071008">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1"/>
              <w:shd w:val="clear"/>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bidi="ar-SA"/>
              </w:rPr>
              <w:t xml:space="preserve">强制采购节能产品。产品：无    </w:t>
            </w:r>
          </w:p>
          <w:p w14:paraId="4D242922">
            <w:pPr>
              <w:pStyle w:val="81"/>
              <w:shd w:val="clea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☑优先采购节能产品。产品：LED筒灯</w:t>
            </w:r>
          </w:p>
          <w:p w14:paraId="760447D0">
            <w:pPr>
              <w:pStyle w:val="81"/>
              <w:shd w:val="clea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☑优先采购环保产品。产品：全玻自由门、石膏板、耐水腻子、无机涂料、防盗门、墙面装饰板、木壁柜、定做实木桌、消火栓门、防静电活动地板、混凝土、装饰灯</w:t>
            </w:r>
            <w:r>
              <w:rPr>
                <w:rFonts w:hint="eastAsia" w:ascii="宋体" w:hAnsi="宋体" w:eastAsia="宋体" w:cs="宋体"/>
                <w:color w:val="auto"/>
                <w:kern w:val="0"/>
                <w:sz w:val="24"/>
                <w:szCs w:val="24"/>
                <w:highlight w:val="none"/>
                <w:lang w:eastAsia="zh-CN"/>
              </w:rPr>
              <w:t>。</w:t>
            </w:r>
          </w:p>
          <w:p w14:paraId="7E097CB9">
            <w:pPr>
              <w:pStyle w:val="81"/>
              <w:shd w:val="clear"/>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2F39911">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4235191C">
            <w:pPr>
              <w:pStyle w:val="5"/>
              <w:shd w:val="clear"/>
              <w:rPr>
                <w:color w:val="auto"/>
                <w:highlight w:val="none"/>
              </w:rPr>
            </w:pPr>
          </w:p>
          <w:p w14:paraId="21AAEA73">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6"/>
              <w:shd w:val="clear"/>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浙江省杭州市大关路179号远洋国际中心A座1705</w:t>
            </w:r>
            <w:r>
              <w:rPr>
                <w:rFonts w:hint="eastAsia" w:ascii="宋体" w:hAnsi="宋体" w:eastAsia="宋体" w:cs="宋体"/>
                <w:color w:val="auto"/>
                <w:sz w:val="24"/>
                <w:szCs w:val="24"/>
                <w:highlight w:val="none"/>
                <w:u w:val="single"/>
              </w:rPr>
              <w:t xml:space="preserve"> </w:t>
            </w:r>
            <w:r>
              <w:rPr>
                <w:rFonts w:hint="eastAsia" w:hAnsi="宋体" w:cs="宋体"/>
                <w:color w:val="auto"/>
                <w:kern w:val="28"/>
                <w:sz w:val="24"/>
                <w:szCs w:val="24"/>
                <w:highlight w:val="none"/>
              </w:rPr>
              <w:t>；</w:t>
            </w:r>
          </w:p>
          <w:p w14:paraId="5088C7A8">
            <w:pPr>
              <w:pStyle w:val="36"/>
              <w:shd w:val="clear"/>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ascii="宋体" w:hAnsi="宋体" w:eastAsia="宋体" w:cs="宋体"/>
                <w:b w:val="0"/>
                <w:bCs w:val="0"/>
                <w:color w:val="auto"/>
                <w:kern w:val="28"/>
                <w:sz w:val="24"/>
                <w:szCs w:val="24"/>
                <w:highlight w:val="none"/>
                <w:u w:val="single"/>
              </w:rPr>
              <w:t>徐华卿</w:t>
            </w:r>
            <w:r>
              <w:rPr>
                <w:rFonts w:hint="eastAsia" w:hAnsi="宋体" w:cs="宋体"/>
                <w:b w:val="0"/>
                <w:bCs w:val="0"/>
                <w:color w:val="auto"/>
                <w:kern w:val="28"/>
                <w:sz w:val="24"/>
                <w:szCs w:val="24"/>
                <w:highlight w:val="none"/>
                <w:u w:val="single"/>
                <w:lang w:eastAsia="zh-CN"/>
              </w:rPr>
              <w:t>、</w:t>
            </w:r>
            <w:r>
              <w:rPr>
                <w:rFonts w:hint="eastAsia" w:hAnsi="宋体" w:cs="宋体"/>
                <w:b w:val="0"/>
                <w:bCs w:val="0"/>
                <w:color w:val="auto"/>
                <w:kern w:val="28"/>
                <w:sz w:val="24"/>
                <w:szCs w:val="24"/>
                <w:highlight w:val="none"/>
                <w:u w:val="single"/>
                <w:lang w:val="en-US" w:eastAsia="zh-CN"/>
              </w:rPr>
              <w:t>刘敏</w:t>
            </w:r>
            <w:r>
              <w:rPr>
                <w:rFonts w:hint="eastAsia" w:ascii="宋体" w:hAnsi="宋体" w:eastAsia="宋体" w:cs="宋体"/>
                <w:b w:val="0"/>
                <w:bCs w:val="0"/>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rPr>
              <w:t>0571-87981527</w:t>
            </w:r>
            <w:r>
              <w:rPr>
                <w:rFonts w:hint="eastAsia" w:hAnsi="宋体" w:cs="宋体"/>
                <w:color w:val="auto"/>
                <w:sz w:val="24"/>
                <w:szCs w:val="24"/>
                <w:highlight w:val="none"/>
              </w:rPr>
              <w:t>。</w:t>
            </w:r>
          </w:p>
          <w:p w14:paraId="339F717B">
            <w:pPr>
              <w:pStyle w:val="36"/>
              <w:shd w:val="clear"/>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hd w:val="clea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hd w:val="clea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55CD4040">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tr w14:paraId="7E17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14D4A880">
            <w:pPr>
              <w:shd w:val="clea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7C7A16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ascii="宋体" w:hAnsi="宋体" w:eastAsia="宋体" w:cs="宋体"/>
                <w:b/>
                <w:color w:val="auto"/>
                <w:sz w:val="24"/>
                <w:szCs w:val="24"/>
                <w:highlight w:val="none"/>
                <w:lang w:val="en-US" w:eastAsia="zh-CN"/>
              </w:rPr>
              <w:t>履约保证金</w:t>
            </w:r>
          </w:p>
        </w:tc>
        <w:tc>
          <w:tcPr>
            <w:tcW w:w="6927" w:type="dxa"/>
            <w:vAlign w:val="center"/>
          </w:tcPr>
          <w:p w14:paraId="2ECAAD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不要求提供</w:t>
            </w:r>
          </w:p>
          <w:p w14:paraId="0862C0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要求提供：</w:t>
            </w:r>
          </w:p>
          <w:p w14:paraId="67B25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金额为合同金额的</w:t>
            </w:r>
            <w:r>
              <w:rPr>
                <w:rFonts w:hint="eastAsia" w:ascii="宋体" w:hAnsi="宋体" w:eastAsia="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rPr>
              <w:t>%，接受接受转账/保函等形式。</w:t>
            </w:r>
          </w:p>
          <w:p w14:paraId="41B93BE2">
            <w:pPr>
              <w:shd w:val="clear"/>
              <w:spacing w:line="360" w:lineRule="auto"/>
              <w:rPr>
                <w:rFonts w:hint="eastAsia" w:ascii="宋体" w:hAnsi="宋体" w:cs="宋体"/>
                <w:snapToGrid w:val="0"/>
                <w:color w:val="auto"/>
                <w:kern w:val="28"/>
                <w:sz w:val="24"/>
                <w:highlight w:val="none"/>
              </w:rPr>
            </w:pPr>
            <w:r>
              <w:rPr>
                <w:rFonts w:hint="eastAsia" w:ascii="宋体" w:hAnsi="宋体" w:eastAsia="宋体" w:cs="宋体"/>
                <w:snapToGrid w:val="0"/>
                <w:color w:val="auto"/>
                <w:kern w:val="28"/>
                <w:sz w:val="24"/>
                <w:szCs w:val="24"/>
                <w:highlight w:val="none"/>
              </w:rPr>
              <w:t>1、合同签订后7个工作日内缴纳，经采购人验收合格确认中标人无违约行为无息返还给中标人。</w:t>
            </w:r>
          </w:p>
        </w:tc>
      </w:tr>
    </w:tbl>
    <w:p w14:paraId="377625E2">
      <w:pPr>
        <w:shd w:val="clear"/>
        <w:snapToGrid w:val="0"/>
        <w:spacing w:line="360" w:lineRule="auto"/>
        <w:jc w:val="center"/>
        <w:rPr>
          <w:rFonts w:ascii="宋体" w:hAnsi="宋体" w:cs="宋体"/>
          <w:b/>
          <w:color w:val="auto"/>
          <w:sz w:val="32"/>
          <w:szCs w:val="20"/>
          <w:highlight w:val="none"/>
        </w:rPr>
      </w:pPr>
    </w:p>
    <w:bookmarkEnd w:id="10"/>
    <w:p w14:paraId="5BFEF9FF">
      <w:pPr>
        <w:widowControl/>
        <w:shd w:val="clear"/>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3880117A">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hd w:val="clea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hd w:val="clea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hd w:val="clea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E5A4644">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4"/>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41AB35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7A92A18">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377D74CC">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3A4F651B">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2A9307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0CC08B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130CDB3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5E65DD6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2C64FE9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30FD8F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2ECEB4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E3E3B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DEDDB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545758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9C035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E976ED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5D3F50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03A6A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24F91C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2ECCAE1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484A5B7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86C25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3FFE2F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20F053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3F456C6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7FAB698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5EABC5F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26D3369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0CAAE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391C4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F844BD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E2FA7D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2205136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033A109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E83E9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14B2E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46495B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3D7341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812E70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1A78FEC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DFE45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183E9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477EF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14C09D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267E6AC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4A23F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293D6D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B92E6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82315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65A6B30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306D78D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70843EE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427E01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221CAD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9BFCC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74FC91C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592B04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0F0052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634152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DEF414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312AECD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B10CAD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7F59F66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33F0E6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17A1B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B0DAE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3ED983D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3CF7DF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49CFB3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5F854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473DF8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45D40E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0899B3E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05DC66C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718A580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483CBC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74E47F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7F003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A18629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E3F8B5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43A863C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483E3BD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72B164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49A42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734A3B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89E7D5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373C098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593E94A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52444F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501D8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7DA334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018AAD4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7122927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28D98EF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A54B1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FAB5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8A7CF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3C7FF6E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26C70B8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694F5F6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43C55F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189CC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13754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34B3221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494ADF2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FA5873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1FF970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48171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E5FA0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7A5B39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7E3D1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8EEA6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0EA7496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2487D1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0BF9B7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41E034B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098CB2A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4FE0F86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C35E84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0F3180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621094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7EF78F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0122CF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5DDC0BC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1C89E5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65E20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99D75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26809A0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4A4D664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759FB46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8E6F60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76F898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0B476A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4DCD016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0BE1084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58143FC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EACADF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4AF6D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5E8561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DBCC39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08584FD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26A122E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2A9792A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179053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B4BAF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C35121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2D3D94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42B84E0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5E7B06E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2579AF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57930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6D7BB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7C43ED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692465F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781145B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7A0015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660D2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FDCE6D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602125B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68A464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3301" w:type="dxa"/>
            <w:vAlign w:val="center"/>
          </w:tcPr>
          <w:p w14:paraId="4C2A1BD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2AD3BF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8434F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E607AF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7B5E362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6823B5D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61821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47FFE7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7026D8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0D4ACA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EB6E7A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A58EDF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374EFA7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48C8C2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0761A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18FBA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5F078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978AA8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02234A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244C7E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F8CC7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30F06D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14D417F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6F28C0F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6DA7536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248737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FC1263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7C90DB0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3DCED47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63A5232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8A12D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1D10BF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F37EFF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5FB596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200A2B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889F72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B07C0A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249FCA4B">
        <w:tblPrEx>
          <w:tblCellMar>
            <w:top w:w="0" w:type="dxa"/>
            <w:left w:w="108" w:type="dxa"/>
            <w:bottom w:w="0" w:type="dxa"/>
            <w:right w:w="108" w:type="dxa"/>
          </w:tblCellMar>
        </w:tblPrEx>
        <w:trPr>
          <w:trHeight w:val="567" w:hRule="atLeast"/>
          <w:jc w:val="center"/>
        </w:trPr>
        <w:tc>
          <w:tcPr>
            <w:tcW w:w="690" w:type="dxa"/>
            <w:vMerge w:val="continue"/>
            <w:vAlign w:val="center"/>
          </w:tcPr>
          <w:p w14:paraId="4BCB25E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143531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76B4D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1F647BE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FF4826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04925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147EE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CC73EA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99F0C0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3ED99D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3AA4A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3FC354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1E81BF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5EC103B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8D8ABC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6EE7087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27BDB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59C657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AE0210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5DF723F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E89F02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69EC7724">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447AC80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124B4E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FE1BBF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55DBE96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75F8E38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244BC77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75D9D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r>
      <w:tr w14:paraId="5A3E77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1D95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1972297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03F4680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244054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9EAB27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0D9F96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008316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582F9C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88D474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7056E9B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448FAA1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3B491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514292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57469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14A0ED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0953C20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6B81314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8D3E6A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79659D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0A4A0C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6A30F93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9A3506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25DE0BA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6E7C74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3EAC7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E546A9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4A3FAD9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14B9BAE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A17F1C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3A77B2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2C3D90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783EDE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5ABC822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74E8FB8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12F9838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EEE05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0E81F65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5"/>
        <w:shd w:val="clear"/>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5"/>
        <w:shd w:val="clear"/>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6"/>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6"/>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7"/>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6"/>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6"/>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6"/>
        <w:shd w:val="clear"/>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89"/>
        <w:shd w:val="clear" w:color="auto"/>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89"/>
        <w:shd w:val="clear" w:color="auto"/>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2A946174">
      <w:pPr>
        <w:shd w:val="clea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shd w:val="clea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DAA85B4">
      <w:pPr>
        <w:pStyle w:val="889"/>
        <w:shd w:val="clear" w:color="auto"/>
        <w:snapToGrid w:val="0"/>
        <w:spacing w:after="240" w:afterAutospacing="0" w:line="360" w:lineRule="auto"/>
        <w:ind w:firstLine="480" w:firstLineChars="200"/>
        <w:contextualSpacing/>
        <w:rPr>
          <w:rFonts w:hint="eastAsia"/>
          <w:color w:val="auto"/>
          <w:highlight w:val="none"/>
        </w:rPr>
      </w:pPr>
    </w:p>
    <w:p w14:paraId="0450B80C">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02FEA4B4">
      <w:pPr>
        <w:pStyle w:val="131"/>
        <w:shd w:val="clear"/>
        <w:snapToGrid w:val="0"/>
        <w:spacing w:before="0"/>
        <w:ind w:firstLine="360"/>
        <w:rPr>
          <w:rFonts w:ascii="宋体" w:hAnsi="宋体" w:cs="宋体"/>
          <w:color w:val="auto"/>
          <w:sz w:val="18"/>
          <w:szCs w:val="18"/>
          <w:highlight w:val="none"/>
        </w:rPr>
      </w:pPr>
    </w:p>
    <w:p w14:paraId="7B9523FB">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5"/>
        <w:shd w:val="clear"/>
        <w:rPr>
          <w:rFonts w:hAnsi="宋体" w:cs="宋体"/>
          <w:color w:val="auto"/>
          <w:sz w:val="18"/>
          <w:szCs w:val="18"/>
          <w:highlight w:val="none"/>
          <w:lang w:val="en-US"/>
        </w:rPr>
      </w:pPr>
    </w:p>
    <w:p w14:paraId="08EAEBA5">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6"/>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7"/>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5C627DA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hd w:val="clea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hd w:val="clea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1"/>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813BFC">
      <w:pPr>
        <w:pStyle w:val="131"/>
        <w:shd w:val="clear"/>
        <w:snapToGrid w:val="0"/>
        <w:spacing w:before="0"/>
        <w:ind w:firstLine="0" w:firstLineChars="0"/>
        <w:rPr>
          <w:rFonts w:ascii="宋体" w:hAnsi="宋体" w:cs="宋体"/>
          <w:b/>
          <w:color w:val="auto"/>
          <w:szCs w:val="24"/>
          <w:highlight w:val="none"/>
        </w:rPr>
      </w:pPr>
    </w:p>
    <w:p w14:paraId="4FA2F12E">
      <w:pPr>
        <w:pStyle w:val="131"/>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6"/>
        <w:shd w:val="clear"/>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6"/>
        <w:shd w:val="clear"/>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6"/>
        <w:shd w:val="clear"/>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6"/>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6"/>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6"/>
        <w:shd w:val="clear"/>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8"/>
        <w:shd w:val="clear"/>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1"/>
        <w:shd w:val="clear"/>
        <w:spacing w:before="0"/>
        <w:ind w:firstLine="643"/>
        <w:rPr>
          <w:rFonts w:ascii="宋体" w:hAnsi="宋体" w:cs="宋体"/>
          <w:b/>
          <w:color w:val="auto"/>
          <w:sz w:val="32"/>
          <w:highlight w:val="none"/>
        </w:rPr>
      </w:pPr>
    </w:p>
    <w:p w14:paraId="45C7E013">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7"/>
        <w:shd w:val="clear"/>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hd w:val="clear"/>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1"/>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1"/>
        <w:shd w:val="clear"/>
        <w:spacing w:before="0"/>
        <w:ind w:firstLine="0" w:firstLineChars="0"/>
        <w:rPr>
          <w:rFonts w:ascii="宋体" w:hAnsi="宋体" w:cs="宋体"/>
          <w:color w:val="auto"/>
          <w:kern w:val="0"/>
          <w:szCs w:val="24"/>
          <w:highlight w:val="none"/>
        </w:rPr>
      </w:pPr>
    </w:p>
    <w:p w14:paraId="6973DF5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hd w:val="clea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hd w:val="clear"/>
        <w:spacing w:line="360" w:lineRule="auto"/>
        <w:rPr>
          <w:rFonts w:ascii="宋体" w:hAnsi="宋体" w:cs="宋体"/>
          <w:b/>
          <w:color w:val="auto"/>
          <w:sz w:val="24"/>
          <w:highlight w:val="none"/>
        </w:rPr>
      </w:pPr>
    </w:p>
    <w:p w14:paraId="6B31059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8"/>
        <w:shd w:val="clear"/>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1"/>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1"/>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hd w:val="clear"/>
        <w:snapToGrid w:val="0"/>
        <w:spacing w:line="360" w:lineRule="auto"/>
        <w:ind w:left="120" w:leftChars="57" w:firstLine="482" w:firstLineChars="150"/>
        <w:jc w:val="center"/>
        <w:rPr>
          <w:rFonts w:ascii="宋体" w:hAnsi="宋体" w:cs="宋体"/>
          <w:b/>
          <w:color w:val="auto"/>
          <w:sz w:val="32"/>
          <w:highlight w:val="none"/>
        </w:rPr>
      </w:pPr>
    </w:p>
    <w:p w14:paraId="4975CE3E">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8"/>
        <w:shd w:val="clear"/>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8"/>
        <w:shd w:val="clear"/>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8"/>
        <w:shd w:val="clear"/>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shd w:val="clea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5"/>
        <w:shd w:val="clear"/>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5"/>
        <w:shd w:val="clear"/>
        <w:rPr>
          <w:color w:val="auto"/>
          <w:highlight w:val="none"/>
        </w:rPr>
      </w:pPr>
      <w:r>
        <w:rPr>
          <w:rFonts w:ascii="宋体" w:hAnsi="宋体" w:eastAsia="宋体" w:cs="Times New Roman"/>
          <w:b/>
          <w:bCs/>
          <w:color w:val="auto"/>
          <w:kern w:val="2"/>
          <w:sz w:val="24"/>
          <w:szCs w:val="32"/>
          <w:highlight w:val="none"/>
          <w:lang w:val="en-US"/>
        </w:rPr>
        <w:t>27.预付款</w:t>
      </w:r>
    </w:p>
    <w:p w14:paraId="7674042F">
      <w:pPr>
        <w:shd w:val="clea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shd w:val="clear"/>
        <w:rPr>
          <w:color w:val="auto"/>
          <w:highlight w:val="none"/>
        </w:rPr>
      </w:pPr>
    </w:p>
    <w:p w14:paraId="7AA8E11D">
      <w:pPr>
        <w:shd w:val="clear"/>
        <w:snapToGrid w:val="0"/>
        <w:spacing w:line="360" w:lineRule="auto"/>
        <w:ind w:firstLine="3357" w:firstLineChars="1045"/>
        <w:rPr>
          <w:rFonts w:ascii="宋体" w:hAnsi="宋体" w:cs="宋体"/>
          <w:b/>
          <w:color w:val="auto"/>
          <w:sz w:val="32"/>
          <w:highlight w:val="none"/>
        </w:rPr>
      </w:pPr>
    </w:p>
    <w:p w14:paraId="069C2720">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1"/>
        <w:shd w:val="clear"/>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1"/>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shd w:val="clear"/>
        <w:tabs>
          <w:tab w:val="left" w:pos="0"/>
        </w:tabs>
        <w:spacing w:line="360" w:lineRule="auto"/>
        <w:ind w:firstLine="480"/>
        <w:rPr>
          <w:rFonts w:ascii="宋体" w:hAnsi="宋体" w:cs="宋体"/>
          <w:color w:val="auto"/>
          <w:sz w:val="24"/>
          <w:highlight w:val="none"/>
        </w:rPr>
      </w:pPr>
    </w:p>
    <w:p w14:paraId="7496ED7D">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8"/>
        <w:shd w:val="clear"/>
        <w:spacing w:line="360" w:lineRule="auto"/>
        <w:ind w:firstLine="0" w:firstLineChars="0"/>
        <w:rPr>
          <w:rFonts w:cs="宋体"/>
          <w:b/>
          <w:color w:val="auto"/>
          <w:highlight w:val="none"/>
        </w:rPr>
      </w:pPr>
      <w:r>
        <w:rPr>
          <w:rFonts w:hint="eastAsia" w:cs="宋体"/>
          <w:b/>
          <w:color w:val="auto"/>
          <w:highlight w:val="none"/>
        </w:rPr>
        <w:t>30.验收</w:t>
      </w:r>
    </w:p>
    <w:p w14:paraId="62265F66">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5"/>
        <w:shd w:val="clear"/>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07468"/>
      <w:bookmarkEnd w:id="19"/>
      <w:bookmarkStart w:id="20" w:name="_Hlt68072990"/>
      <w:bookmarkEnd w:id="20"/>
      <w:bookmarkStart w:id="21" w:name="_Hlt75236101"/>
      <w:bookmarkEnd w:id="21"/>
      <w:bookmarkStart w:id="22" w:name="_Hlt75236011"/>
      <w:bookmarkEnd w:id="22"/>
      <w:bookmarkStart w:id="23" w:name="_Hlt68073093"/>
      <w:bookmarkEnd w:id="23"/>
      <w:bookmarkStart w:id="24" w:name="_Hlt74729768"/>
      <w:bookmarkEnd w:id="24"/>
      <w:bookmarkStart w:id="25" w:name="_Hlt68057669"/>
      <w:bookmarkEnd w:id="25"/>
      <w:bookmarkStart w:id="26" w:name="_Hlt68403820"/>
      <w:bookmarkEnd w:id="26"/>
      <w:bookmarkStart w:id="27" w:name="_Hlt74730295"/>
      <w:bookmarkEnd w:id="27"/>
      <w:bookmarkStart w:id="28" w:name="_Hlt68072998"/>
      <w:bookmarkEnd w:id="28"/>
      <w:bookmarkStart w:id="29" w:name="_Hlt74714665"/>
      <w:bookmarkEnd w:id="29"/>
      <w:bookmarkStart w:id="30" w:name="_Hlt75236290"/>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2"/>
        <w:shd w:val="clear"/>
        <w:rPr>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p>
    <w:bookmarkEnd w:id="13"/>
    <w:bookmarkEnd w:id="14"/>
    <w:p w14:paraId="60696D02">
      <w:pPr>
        <w:pStyle w:val="36"/>
        <w:shd w:val="clear"/>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5074DA87">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08EAAB9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kern w:val="2"/>
          <w:sz w:val="24"/>
          <w:szCs w:val="24"/>
          <w:highlight w:val="none"/>
          <w:lang w:val="en-US" w:eastAsia="zh-CN" w:bidi="ar"/>
        </w:rPr>
        <w:t>1.项目预算：</w:t>
      </w:r>
      <w:r>
        <w:rPr>
          <w:rFonts w:hint="eastAsia" w:ascii="宋体" w:hAnsi="宋体" w:cs="宋体"/>
          <w:color w:val="auto"/>
          <w:spacing w:val="-4"/>
          <w:kern w:val="0"/>
          <w:sz w:val="24"/>
          <w:szCs w:val="24"/>
          <w:highlight w:val="none"/>
          <w:lang w:val="en-US" w:eastAsia="zh-CN"/>
        </w:rPr>
        <w:t>271.9590</w:t>
      </w:r>
      <w:r>
        <w:rPr>
          <w:rFonts w:hint="eastAsia" w:ascii="宋体" w:hAnsi="宋体" w:eastAsia="宋体" w:cs="仿宋_GB2312"/>
          <w:color w:val="auto"/>
          <w:kern w:val="2"/>
          <w:sz w:val="24"/>
          <w:szCs w:val="24"/>
          <w:highlight w:val="none"/>
          <w:lang w:val="en-US" w:eastAsia="zh-CN" w:bidi="ar"/>
        </w:rPr>
        <w:t>万元，最</w:t>
      </w:r>
      <w:bookmarkStart w:id="550" w:name="_GoBack"/>
      <w:bookmarkEnd w:id="550"/>
      <w:r>
        <w:rPr>
          <w:rFonts w:hint="eastAsia" w:ascii="宋体" w:hAnsi="宋体" w:eastAsia="宋体" w:cs="仿宋_GB2312"/>
          <w:color w:val="auto"/>
          <w:kern w:val="2"/>
          <w:sz w:val="24"/>
          <w:szCs w:val="24"/>
          <w:highlight w:val="none"/>
          <w:lang w:val="en-US" w:eastAsia="zh-CN" w:bidi="ar"/>
        </w:rPr>
        <w:t>高限价</w:t>
      </w:r>
      <w:r>
        <w:rPr>
          <w:rFonts w:hint="eastAsia" w:ascii="宋体" w:hAnsi="宋体" w:cs="宋体"/>
          <w:color w:val="auto"/>
          <w:spacing w:val="-4"/>
          <w:kern w:val="0"/>
          <w:sz w:val="24"/>
          <w:szCs w:val="24"/>
          <w:highlight w:val="none"/>
          <w:lang w:val="en-US" w:eastAsia="zh-CN"/>
        </w:rPr>
        <w:t>268.4043</w:t>
      </w:r>
      <w:r>
        <w:rPr>
          <w:rFonts w:hint="eastAsia" w:ascii="宋体" w:hAnsi="宋体" w:eastAsia="宋体" w:cs="仿宋_GB2312"/>
          <w:color w:val="auto"/>
          <w:kern w:val="2"/>
          <w:sz w:val="24"/>
          <w:szCs w:val="24"/>
          <w:highlight w:val="none"/>
          <w:lang w:val="en-US" w:eastAsia="zh-CN" w:bidi="ar"/>
        </w:rPr>
        <w:t>万元。</w:t>
      </w:r>
    </w:p>
    <w:p w14:paraId="42E547E4">
      <w:pPr>
        <w:pStyle w:val="60"/>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color w:val="auto"/>
          <w:highlight w:val="none"/>
          <w:lang w:val="en-US"/>
        </w:rPr>
      </w:pPr>
      <w:r>
        <w:rPr>
          <w:rFonts w:hint="eastAsia" w:ascii="宋体" w:hAnsi="宋体" w:eastAsia="宋体" w:cs="宋体"/>
          <w:color w:val="auto"/>
          <w:kern w:val="0"/>
          <w:sz w:val="24"/>
          <w:szCs w:val="24"/>
          <w:highlight w:val="none"/>
          <w:lang w:val="en-US" w:eastAsia="zh-CN" w:bidi="ar"/>
        </w:rPr>
        <w:t>2.</w:t>
      </w:r>
      <w:r>
        <w:rPr>
          <w:rFonts w:hint="eastAsia" w:ascii="微软雅黑" w:hAnsi="微软雅黑" w:eastAsia="微软雅黑" w:cs="微软雅黑"/>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拟派建造师（项目经理）具有建筑工程专业贰级及以上建造师资格，且具有有效的三类人员B类证书；</w:t>
      </w:r>
    </w:p>
    <w:p w14:paraId="1B346AB0">
      <w:pPr>
        <w:shd w:val="clea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197AA2FB">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1.工程名称</w:t>
      </w:r>
    </w:p>
    <w:p w14:paraId="086A561B">
      <w:pPr>
        <w:keepNext w:val="0"/>
        <w:keepLines w:val="0"/>
        <w:widowControl w:val="0"/>
        <w:suppressLineNumbers w:val="0"/>
        <w:adjustRightInd w:val="0"/>
        <w:spacing w:before="0" w:beforeAutospacing="0" w:after="0" w:afterAutospacing="0" w:line="360" w:lineRule="auto"/>
        <w:ind w:left="210" w:leftChars="100" w:right="0" w:firstLine="240" w:firstLineChars="100"/>
        <w:jc w:val="left"/>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胜蓝实验小学东新园校区维修改造工程</w:t>
      </w:r>
      <w:r>
        <w:rPr>
          <w:rFonts w:hint="eastAsia" w:ascii="宋体" w:hAnsi="宋体" w:eastAsia="宋体" w:cs="宋体"/>
          <w:color w:val="auto"/>
          <w:kern w:val="2"/>
          <w:sz w:val="24"/>
          <w:szCs w:val="24"/>
          <w:highlight w:val="none"/>
          <w:lang w:val="en-US" w:eastAsia="zh-CN" w:bidi="ar"/>
        </w:rPr>
        <w:t>。</w:t>
      </w:r>
    </w:p>
    <w:p w14:paraId="29DA3525">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2.现场条件</w:t>
      </w:r>
    </w:p>
    <w:p w14:paraId="6442076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u w:val="single"/>
          <w:lang w:val="en-US" w:eastAsia="zh-CN" w:bidi="ar"/>
        </w:rPr>
        <w:t>已具备施工条件</w:t>
      </w:r>
    </w:p>
    <w:p w14:paraId="6B1020F3">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3.工程承包范围</w:t>
      </w:r>
    </w:p>
    <w:p w14:paraId="77ADB3A1">
      <w:pPr>
        <w:keepNext w:val="0"/>
        <w:keepLines w:val="0"/>
        <w:widowControl w:val="0"/>
        <w:suppressLineNumbers w:val="0"/>
        <w:adjustRightInd w:val="0"/>
        <w:spacing w:before="0" w:beforeAutospacing="0" w:after="0" w:afterAutospacing="0" w:line="360" w:lineRule="auto"/>
        <w:ind w:left="0" w:right="0" w:firstLine="482" w:firstLineChars="200"/>
        <w:jc w:val="left"/>
        <w:rPr>
          <w:rFonts w:hint="eastAsia" w:ascii="宋体" w:hAnsi="宋体" w:eastAsia="宋体" w:cs="仿宋_GB2312"/>
          <w:b/>
          <w:bCs/>
          <w:color w:val="auto"/>
          <w:sz w:val="24"/>
          <w:szCs w:val="24"/>
          <w:highlight w:val="none"/>
          <w:lang w:val="en-US"/>
        </w:rPr>
      </w:pPr>
      <w:r>
        <w:rPr>
          <w:rFonts w:hint="eastAsia" w:ascii="宋体" w:hAnsi="宋体" w:eastAsia="宋体" w:cs="仿宋_GB2312"/>
          <w:b/>
          <w:bCs/>
          <w:color w:val="auto"/>
          <w:kern w:val="2"/>
          <w:sz w:val="24"/>
          <w:szCs w:val="24"/>
          <w:highlight w:val="none"/>
          <w:lang w:val="en-US" w:eastAsia="zh-CN" w:bidi="ar"/>
        </w:rPr>
        <w:t>本工程包含学校操场翻新、学校大门大厅改造、专用教室装修等。</w:t>
      </w:r>
    </w:p>
    <w:p w14:paraId="52425217">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施工图、工程量清单及其编制说明、竞争性磋商文件中明确的内容为准，可能出现的施工图设计变更及根据发包人明确指令需在施工图范围外增加的工程量及施工图范围内减少的工程量。</w:t>
      </w:r>
    </w:p>
    <w:p w14:paraId="414F1FC1">
      <w:pPr>
        <w:keepNext w:val="0"/>
        <w:keepLines w:val="0"/>
        <w:widowControl w:val="0"/>
        <w:suppressLineNumbers w:val="0"/>
        <w:adjustRightInd w:val="0"/>
        <w:spacing w:before="0" w:beforeAutospacing="0" w:after="0" w:afterAutospacing="0" w:line="360" w:lineRule="auto"/>
        <w:ind w:left="210" w:leftChars="100" w:right="0" w:firstLine="240" w:firstLineChars="1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4.工程质量标准</w:t>
      </w:r>
    </w:p>
    <w:p w14:paraId="1FFD94D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工程施工中的所有材料、设备和施工质量均应符合下列技术规范的要求：</w:t>
      </w:r>
    </w:p>
    <w:p w14:paraId="46293F4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4.1本工程采用的技术规范</w:t>
      </w:r>
    </w:p>
    <w:p w14:paraId="797D5BF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（1）国家现行的设计规范。</w:t>
      </w:r>
    </w:p>
    <w:p w14:paraId="1A86D22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（2）国家现行的施工规范。</w:t>
      </w:r>
    </w:p>
    <w:p w14:paraId="7B1A5CC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（3）国家现行的验收规范。</w:t>
      </w:r>
    </w:p>
    <w:p w14:paraId="53834BA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（4）国家现行的质量验评标准。</w:t>
      </w:r>
    </w:p>
    <w:p w14:paraId="1533DE9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（5）国家及地方现行施工验收及施工安全技术规范。</w:t>
      </w:r>
    </w:p>
    <w:p w14:paraId="46AA001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4.2规范的获得由承包人自行解决。</w:t>
      </w:r>
    </w:p>
    <w:p w14:paraId="62FAF60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4.3在合同履行期间，若上述标准或规范有修改或重新颁布，承包人应遵照执行。</w:t>
      </w:r>
    </w:p>
    <w:p w14:paraId="0F4F49CF">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5.工程施工要求</w:t>
      </w:r>
    </w:p>
    <w:p w14:paraId="1377B2E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5.1本工程施工严格按照规范要求进行施工，达到各项拟定的设计指标；</w:t>
      </w:r>
    </w:p>
    <w:p w14:paraId="3FE45CE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5.2所有材料设备必须在检验合格经采购人同意后，方可用于本工程；</w:t>
      </w:r>
    </w:p>
    <w:p w14:paraId="500E2DC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5.3隐蔽工程必须经采购人检查、验收后，方可进行下一道工序；</w:t>
      </w:r>
    </w:p>
    <w:p w14:paraId="0EF9F42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5.4在免费保修期内，成交人对有缺陷的部位必须无偿地给予修理与更换，并承担一切由此引起的对采购人或第三者的直接损失，除非该缺陷是由于人为破坏或合同规定的不可抗因素造成的损坏。</w:t>
      </w:r>
    </w:p>
    <w:p w14:paraId="0EA9E57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5.5成交人必须对所承包的工程的质量负全部责任，其责任不因其他材料生产商提供的保证书而减轻或更改。</w:t>
      </w:r>
    </w:p>
    <w:p w14:paraId="3572A76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5.6施工时注意做好必要的劳动保护工作。</w:t>
      </w:r>
    </w:p>
    <w:p w14:paraId="4614BC47">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6.工程管理要求</w:t>
      </w:r>
    </w:p>
    <w:p w14:paraId="73FE666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6.1本工程发包范围内的工程项目，未经采购人同意一律不得分包。一经发现立即取消承包资格，作违约处理，并承担由此引起的一切经济损失。</w:t>
      </w:r>
    </w:p>
    <w:p w14:paraId="2CFA9CB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6.2成交人应严格按已确认施工技术方案组织施工，并无条件地接受采购人代表对施工质量的监督和管理。</w:t>
      </w:r>
    </w:p>
    <w:p w14:paraId="57B140F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6.3成交人在工程施工全过程中要认真做好产品保护。因失窃或失火造成的损失均由承包方负责，凡由此而损及采购人利益时，采购人将向成交人索赔。</w:t>
      </w:r>
    </w:p>
    <w:p w14:paraId="53BC5053">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7.工程主要材料（设备）要求  </w:t>
      </w:r>
    </w:p>
    <w:p w14:paraId="36D81D4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bookmarkStart w:id="32" w:name="_Toc66769197"/>
      <w:r>
        <w:rPr>
          <w:rFonts w:hint="eastAsia" w:ascii="宋体" w:hAnsi="宋体" w:eastAsia="宋体" w:cs="宋体"/>
          <w:color w:val="auto"/>
          <w:kern w:val="2"/>
          <w:sz w:val="24"/>
          <w:szCs w:val="24"/>
          <w:highlight w:val="none"/>
          <w:lang w:val="en-US" w:eastAsia="zh-CN" w:bidi="ar"/>
        </w:rPr>
        <w:t>7.1材料选择</w:t>
      </w:r>
      <w:bookmarkEnd w:id="32"/>
    </w:p>
    <w:p w14:paraId="10D1A98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本工程使用的原材料必须符合设计要求和施工规范的规定。</w:t>
      </w:r>
    </w:p>
    <w:p w14:paraId="215C423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实际施工过程中，发包人将严格检查验收进场原材料的合格证及质保书，如发现实样与质保书不符，应立即取样进行复查，对不合格的材料严禁用于本工程。</w:t>
      </w:r>
    </w:p>
    <w:p w14:paraId="7EBC18B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工程涉及的主要材料及零星材料，各磋商供应商须根据采购人要求及规范进行选材并报价，所有材料要求采用在行业内有一定知名度的品牌，材料生产厂家必须通过ISO质量认证，并符合环保要求，严禁选择不合设计要求的低档材料进行磋商报价及组织施工实施。</w:t>
      </w:r>
    </w:p>
    <w:p w14:paraId="692733F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bookmarkStart w:id="33" w:name="_Toc66769198"/>
      <w:r>
        <w:rPr>
          <w:rFonts w:hint="eastAsia" w:ascii="宋体" w:hAnsi="宋体" w:eastAsia="宋体" w:cs="宋体"/>
          <w:color w:val="auto"/>
          <w:kern w:val="2"/>
          <w:sz w:val="24"/>
          <w:szCs w:val="24"/>
          <w:highlight w:val="none"/>
          <w:lang w:val="en-US" w:eastAsia="zh-CN" w:bidi="ar"/>
        </w:rPr>
        <w:t>7.2设备材料选择</w:t>
      </w:r>
    </w:p>
    <w:p w14:paraId="65BE010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（1）所用各类设备材料须经发包人认可后方可使用。发包人保留在备选品牌之外选择设备材料的权力。</w:t>
      </w:r>
    </w:p>
    <w:p w14:paraId="485FD4E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（2）所用各类设备材料都应符合设计和国家规定的相关技术规范标准要求。</w:t>
      </w:r>
    </w:p>
    <w:p w14:paraId="2F4AB13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（3）所用各类设备材料均有质量合格证书。</w:t>
      </w:r>
    </w:p>
    <w:p w14:paraId="0895657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7.3设备材料的质量保证</w:t>
      </w:r>
    </w:p>
    <w:p w14:paraId="1E0A358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（1）在施工期间内，承包人对有缺陷的部位必须无偿地给予修正，并承担一切由此引起的对发包人或第三者的直接损失，除非该缺陷是由于人为破坏或合同规定的不可抗因素造成的损坏。</w:t>
      </w:r>
    </w:p>
    <w:p w14:paraId="33D52A4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承包人应对所选用的设备材料的技术满足度和质量负全部责任，其责任不因该品牌是否为发包人推荐减轻或更改。当承包人选定的产品质量达不到设计要求和招标文件要求的技术指标时，发包人保留更换的权利，且中标价不予调整。</w:t>
      </w:r>
      <w:bookmarkEnd w:id="33"/>
    </w:p>
    <w:p w14:paraId="5EE99D1F">
      <w:pPr>
        <w:keepNext w:val="0"/>
        <w:keepLines w:val="0"/>
        <w:widowControl w:val="0"/>
        <w:suppressLineNumbers w:val="0"/>
        <w:adjustRightInd w:val="0"/>
        <w:spacing w:before="0" w:beforeAutospacing="0" w:after="0" w:afterAutospacing="0" w:line="360" w:lineRule="auto"/>
        <w:ind w:left="0" w:right="0" w:firstLine="480" w:firstLineChars="200"/>
        <w:jc w:val="both"/>
        <w:rPr>
          <w:rFonts w:ascii="宋体" w:hAnsi="宋体" w:cs="仿宋_GB2312"/>
          <w:b/>
          <w:bCs/>
          <w:color w:val="auto"/>
          <w:sz w:val="24"/>
          <w:highlight w:val="none"/>
        </w:rPr>
      </w:pPr>
      <w:r>
        <w:rPr>
          <w:rFonts w:hint="eastAsia" w:ascii="宋体" w:hAnsi="宋体" w:eastAsia="宋体" w:cs="宋体"/>
          <w:color w:val="auto"/>
          <w:kern w:val="2"/>
          <w:sz w:val="24"/>
          <w:szCs w:val="24"/>
          <w:highlight w:val="none"/>
          <w:lang w:val="en-US" w:eastAsia="zh-CN" w:bidi="ar"/>
        </w:rPr>
        <w:t>7.4磋商供应商应按“主要材料（设备）推荐品牌”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调整。不予以实施和结算。</w:t>
      </w:r>
    </w:p>
    <w:p w14:paraId="7D05B1B5">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BAAE7DE">
      <w:pPr>
        <w:shd w:val="clea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s="仿宋_GB2312"/>
          <w:color w:val="auto"/>
          <w:kern w:val="2"/>
          <w:sz w:val="24"/>
          <w:szCs w:val="24"/>
          <w:highlight w:val="none"/>
          <w:u w:val="single"/>
          <w:lang w:val="en-US" w:eastAsia="zh-CN" w:bidi="ar"/>
        </w:rPr>
        <w:t>40日历天</w:t>
      </w:r>
    </w:p>
    <w:p w14:paraId="0AAC777F">
      <w:pPr>
        <w:shd w:val="clear"/>
        <w:spacing w:line="360" w:lineRule="auto"/>
        <w:ind w:left="210" w:leftChars="100"/>
        <w:jc w:val="left"/>
        <w:rPr>
          <w:rFonts w:hint="eastAsia" w:ascii="宋体" w:hAnsi="宋体" w:eastAsia="宋体" w:cs="仿宋_GB2312"/>
          <w:color w:val="auto"/>
          <w:kern w:val="2"/>
          <w:sz w:val="24"/>
          <w:szCs w:val="24"/>
          <w:highlight w:val="none"/>
          <w:lang w:val="en-US" w:eastAsia="zh-CN" w:bidi="ar"/>
        </w:rPr>
      </w:pPr>
      <w:r>
        <w:rPr>
          <w:rFonts w:hint="eastAsia" w:ascii="宋体" w:hAnsi="宋体" w:cs="仿宋_GB2312"/>
          <w:color w:val="auto"/>
          <w:sz w:val="24"/>
          <w:highlight w:val="none"/>
        </w:rPr>
        <w:t>2.工程地点：</w:t>
      </w:r>
      <w:r>
        <w:rPr>
          <w:rFonts w:hint="eastAsia" w:ascii="宋体" w:hAnsi="宋体" w:eastAsia="宋体" w:cs="仿宋_GB2312"/>
          <w:color w:val="auto"/>
          <w:kern w:val="2"/>
          <w:sz w:val="24"/>
          <w:szCs w:val="24"/>
          <w:highlight w:val="none"/>
          <w:lang w:val="en-US" w:eastAsia="zh-CN" w:bidi="ar"/>
        </w:rPr>
        <w:t>甲方指定地点</w:t>
      </w:r>
    </w:p>
    <w:p w14:paraId="1704CF94">
      <w:pPr>
        <w:shd w:val="clea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4"/>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5D2B62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5EC44DD1">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519" w:type="dxa"/>
            <w:shd w:val="clear" w:color="auto" w:fill="auto"/>
            <w:vAlign w:val="center"/>
          </w:tcPr>
          <w:p w14:paraId="0317E2C4">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shd w:val="clear" w:color="auto" w:fill="auto"/>
            <w:vAlign w:val="center"/>
          </w:tcPr>
          <w:p w14:paraId="667CC2C7">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2A50C50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rPr>
          <w:trHeight w:val="465" w:hRule="atLeast"/>
        </w:trPr>
        <w:tc>
          <w:tcPr>
            <w:tcW w:w="137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AB8296">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w:t>
            </w:r>
          </w:p>
        </w:tc>
        <w:tc>
          <w:tcPr>
            <w:tcW w:w="251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D3C090">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合同价的40%</w:t>
            </w:r>
          </w:p>
        </w:tc>
        <w:tc>
          <w:tcPr>
            <w:tcW w:w="584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14A901">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合同生效以及具备实施条件后5个工作日内</w:t>
            </w:r>
          </w:p>
        </w:tc>
      </w:tr>
      <w:tr w14:paraId="35A824F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c>
          <w:tcPr>
            <w:tcW w:w="137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21670C">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w:t>
            </w:r>
          </w:p>
        </w:tc>
        <w:tc>
          <w:tcPr>
            <w:tcW w:w="251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F31C0C">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合同价的85%并支付到账</w:t>
            </w:r>
          </w:p>
        </w:tc>
        <w:tc>
          <w:tcPr>
            <w:tcW w:w="584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E9475E">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工程竣工并上交完整的竣工资料、决算资料后，发包人收到承包人提供的同等金额的正规发票后5个工作日内 </w:t>
            </w:r>
          </w:p>
        </w:tc>
      </w:tr>
      <w:tr w14:paraId="0BEA9C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c>
          <w:tcPr>
            <w:tcW w:w="137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371F60">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w:t>
            </w:r>
          </w:p>
        </w:tc>
        <w:tc>
          <w:tcPr>
            <w:tcW w:w="251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CE0B99">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结算总价的100% </w:t>
            </w:r>
          </w:p>
        </w:tc>
        <w:tc>
          <w:tcPr>
            <w:tcW w:w="584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E74A56">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竣工验收合格、经结算审核确认(包括联系单的费用)，发包人收到承包人提供的同等金额的正规发票后5个工作日内(同时供应商另行向采购人缴纳质量保证金，以银行转账或银行保函形式，结算审核确认价的1.5%收取)。</w:t>
            </w:r>
          </w:p>
        </w:tc>
      </w:tr>
    </w:tbl>
    <w:p w14:paraId="0C8DC217">
      <w:pPr>
        <w:shd w:val="clea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540F6EB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详见采购合同</w:t>
      </w:r>
    </w:p>
    <w:p w14:paraId="0751B621">
      <w:pPr>
        <w:keepNext w:val="0"/>
        <w:keepLines w:val="0"/>
        <w:widowControl w:val="0"/>
        <w:suppressLineNumbers w:val="0"/>
        <w:adjustRightInd w:val="0"/>
        <w:spacing w:before="0" w:beforeAutospacing="0" w:after="0" w:afterAutospacing="0" w:line="360" w:lineRule="auto"/>
        <w:ind w:left="0" w:right="0" w:firstLine="240" w:firstLineChars="100"/>
        <w:jc w:val="both"/>
        <w:rPr>
          <w:rFonts w:hint="eastAsia" w:ascii="宋体" w:hAnsi="宋体" w:eastAsia="宋体" w:cs="仿宋_GB2312"/>
          <w:color w:val="auto"/>
          <w:sz w:val="24"/>
          <w:szCs w:val="24"/>
          <w:highlight w:val="none"/>
          <w:lang w:val="en-US"/>
        </w:rPr>
      </w:pPr>
      <w:r>
        <w:rPr>
          <w:rFonts w:hint="eastAsia" w:ascii="宋体" w:hAnsi="宋体" w:cs="仿宋_GB2312"/>
          <w:color w:val="auto"/>
          <w:sz w:val="24"/>
          <w:highlight w:val="none"/>
        </w:rPr>
        <w:t>5.</w:t>
      </w:r>
      <w:r>
        <w:rPr>
          <w:rFonts w:hint="eastAsia" w:ascii="宋体" w:hAnsi="宋体" w:eastAsia="宋体" w:cs="仿宋_GB2312"/>
          <w:color w:val="auto"/>
          <w:kern w:val="2"/>
          <w:sz w:val="24"/>
          <w:szCs w:val="24"/>
          <w:highlight w:val="none"/>
          <w:lang w:val="en-US" w:eastAsia="zh-CN" w:bidi="ar"/>
        </w:rPr>
        <w:t>履约担保</w:t>
      </w:r>
    </w:p>
    <w:p w14:paraId="7C42B444">
      <w:pPr>
        <w:shd w:val="clear"/>
        <w:spacing w:line="360" w:lineRule="auto"/>
        <w:ind w:left="210" w:leftChars="100"/>
        <w:jc w:val="left"/>
        <w:rPr>
          <w:color w:val="auto"/>
          <w:highlight w:val="none"/>
        </w:rPr>
      </w:pPr>
      <w:r>
        <w:rPr>
          <w:rFonts w:hint="eastAsia" w:ascii="宋体" w:hAnsi="宋体" w:eastAsia="宋体" w:cs="宋体"/>
          <w:color w:val="auto"/>
          <w:kern w:val="2"/>
          <w:sz w:val="24"/>
          <w:szCs w:val="24"/>
          <w:highlight w:val="none"/>
          <w:lang w:val="en-US" w:eastAsia="zh-CN" w:bidi="ar"/>
        </w:rPr>
        <w:t>承包人向发包人支付合同价1%的履约保证金。履约保证金可以以银行转账、由银行或保险公司出具的保函等形式</w:t>
      </w:r>
    </w:p>
    <w:p w14:paraId="2FC4E724">
      <w:pPr>
        <w:shd w:val="clea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5564E689">
      <w:pPr>
        <w:shd w:val="clear"/>
        <w:spacing w:line="360" w:lineRule="auto"/>
        <w:ind w:firstLine="480" w:firstLineChars="200"/>
        <w:jc w:val="left"/>
        <w:rPr>
          <w:rFonts w:ascii="宋体" w:hAnsi="宋体"/>
          <w:color w:val="auto"/>
          <w:sz w:val="24"/>
          <w:highlight w:val="none"/>
          <w:u w:val="single"/>
        </w:rPr>
      </w:pPr>
      <w:r>
        <w:rPr>
          <w:rFonts w:hint="eastAsia" w:ascii="宋体" w:hAnsi="宋体" w:eastAsia="宋体" w:cs="宋体"/>
          <w:color w:val="auto"/>
          <w:kern w:val="2"/>
          <w:sz w:val="24"/>
          <w:szCs w:val="24"/>
          <w:highlight w:val="none"/>
          <w:lang w:val="en-US" w:eastAsia="zh-CN" w:bidi="ar"/>
        </w:rPr>
        <w:t>详见采购合同</w:t>
      </w:r>
    </w:p>
    <w:p w14:paraId="16CA97C6">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5DC06DEB">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5.1针对本工程的特殊要求</w:t>
      </w:r>
    </w:p>
    <w:p w14:paraId="2AF511F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招标人不另行提供招标图施工范围以外的临时设施用地，施工单位不得在施工范围内住宿，必须遵守施工所在地管理方的管理规定，并配合物业、招标人和所在地管理方的管理。施工单位须根据现场实际情况自行考虑及报价。</w:t>
      </w:r>
    </w:p>
    <w:p w14:paraId="2CE471C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（2）施工单位需服从招标人和监理单位的协调、指令与要求，负责装修开工申报等工作，过程中产生的费用（包含须交纳物业的相关费用），需在投标报价中充分考虑，中标后不予调整。</w:t>
      </w:r>
    </w:p>
    <w:p w14:paraId="31272DE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（3）本工程在装修工程中产生的建筑垃圾等外运所产生的费用，施工单位应在报价中充分考虑，中标后不予调整。</w:t>
      </w:r>
    </w:p>
    <w:p w14:paraId="068373A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u w:val="single"/>
          <w:lang w:val="en-US" w:eastAsia="zh-CN" w:bidi="ar"/>
        </w:rPr>
        <w:t>场内施工用水、用电接管自行解决，水电费用按实际发生费用（装表计量）加损耗，由承包人自行向收费部门缴纳，或按照结算审定价的千分之五在结算时扣除。</w:t>
      </w:r>
    </w:p>
    <w:p w14:paraId="2E5A541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施工期间由于施工单位原因造成施工方案的更改，所增加的工程费用及工期一概不予调整，属施工技术组织措施失误造成的费用及延误工期均由施工单位承担。对施工组织设计的内容未在投标报价中体现的均视同优惠。</w:t>
      </w:r>
    </w:p>
    <w:p w14:paraId="79AEBB4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（6）装修完成后施工单位须做好卫生清理保洁，开荒等工作，产生的费用，施工单位应在报价中充分考虑，中标后不予调整。</w:t>
      </w:r>
    </w:p>
    <w:p w14:paraId="6ECA2BB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（7）凡招标文件中要求进入报价的费用若在施工单位的投标报价中不体现，均视同优惠或已进入投标总价。</w:t>
      </w:r>
    </w:p>
    <w:p w14:paraId="5375B7E0">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5.2推荐品牌</w:t>
      </w:r>
    </w:p>
    <w:p w14:paraId="6B0F0CE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（1）本项目主要材料品牌要求（如有）详见“工程量清单编制总说明”。除磋商文件明确的品牌外，欢迎其他能满足本项目技术需求且性能与所明确品牌、型号相当的产品参加。</w:t>
      </w:r>
    </w:p>
    <w:p w14:paraId="0E43361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欢迎采购人推荐品牌同档次及以上品牌（如有）参与投标。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77585D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招标人在工程量清单表1-6及材料品牌推荐表中对材料设备品牌及系列、规格、型号等有要求的，投标人应按要求选择，并在“备注栏”中注明。如未标明，则由招标人在要求范围内指定。</w:t>
      </w:r>
    </w:p>
    <w:p w14:paraId="5B9FD30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投标单位如在施工过程中若采用与招标同档次品牌，必须经发包人签证同意后实施，否则不予以实施和结算。</w:t>
      </w:r>
    </w:p>
    <w:tbl>
      <w:tblPr>
        <w:tblStyle w:val="6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3416"/>
        <w:gridCol w:w="1361"/>
        <w:gridCol w:w="1361"/>
        <w:gridCol w:w="1361"/>
        <w:gridCol w:w="1056"/>
      </w:tblGrid>
      <w:tr w14:paraId="10B9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34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299A8">
            <w:pPr>
              <w:keepNext w:val="0"/>
              <w:keepLines w:val="0"/>
              <w:widowControl/>
              <w:suppressLineNumbers w:val="0"/>
              <w:jc w:val="center"/>
              <w:textAlignment w:val="center"/>
              <w:rPr>
                <w:rFonts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1A00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品牌一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18EA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品牌二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92DB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品牌三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57301">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备注</w:t>
            </w:r>
          </w:p>
        </w:tc>
      </w:tr>
      <w:tr w14:paraId="08A6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0E79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C7EB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乳胶漆、油漆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4BB6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多乐士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ABEC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华润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0E11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立邦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BD3DC">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6771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C467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69C6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墙砖、地砖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5F31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马可波罗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595E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亚细亚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70BA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斯米克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C9680">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0008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F696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CB6C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细木工板、杉木板、免漆板</w:t>
            </w:r>
            <w:r>
              <w:rPr>
                <w:rFonts w:hint="eastAsia" w:ascii="Arial" w:hAnsi="Arial" w:eastAsia="宋体" w:cs="Arial"/>
                <w:i w:val="0"/>
                <w:iCs w:val="0"/>
                <w:color w:val="auto"/>
                <w:kern w:val="0"/>
                <w:sz w:val="20"/>
                <w:szCs w:val="20"/>
                <w:highlight w:val="none"/>
                <w:u w:val="none"/>
                <w:lang w:val="en-US" w:eastAsia="zh-CN" w:bidi="ar"/>
              </w:rPr>
              <w:t>、阻燃板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34E0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千年舟E0级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E4FD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兔宝宝E0级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16AB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莫干山E0级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CE503">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2FD0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C6DC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5A23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纸面石膏板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EC02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顶诺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705A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可耐福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2197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龙牌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D1079">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6754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C493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6608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轻钢龙骨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4A031">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顶诺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5964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可耐福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8631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龙牌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ECEBC">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59B1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F180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B052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钢制防盗门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C125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盼盼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6AAD1">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杭泰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5133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E0113">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5A37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3A38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2AD6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331D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浙江昊博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3609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欧派门业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260F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新多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1283D">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61EF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8274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6ED8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锁具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5443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固力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AB60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永固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BB5F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永安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99A26">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2E28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C6A9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B886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实木地板/实木复合地板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17D4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升佳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695A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圣象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D4FC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莫干山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1519B">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2B54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1DF9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9CA8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聚酯纤维吸音板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C863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佰家丽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0CFF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五羊艺冠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629A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龙瑾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6B061">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6F0A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600B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21CD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冰火板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8E73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纷雅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C699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晶美创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435A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易装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70F83">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0381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4F59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456E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软膜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FA77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广州朗域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4D6A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杜肯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0C04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柔力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5903E">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23C9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2AAF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EC3B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外墙涂料、真石漆、仿石漆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C50E1">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华润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F0DB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三棵树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87F7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传化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F37D5">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42CC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71D1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1C4A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石英石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B0B1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LG豪美思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580B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DuPont杜邦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BA70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三星星容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EC882">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6FD8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3CEF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E7D8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天然石材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719E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敏锐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A5BD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永兆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F337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环球石材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4B3D8">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23F4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AAEC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CD4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铝方通、铝板、U形天花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6DA4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保固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1055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乐思龙(深圳)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DCE2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欧斯宝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0EE41">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34A8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BB56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F5A1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铝合金窗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A540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广东凤铝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206D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奋安铝业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99EA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栋梁铝业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5EB5E">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5BE2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84E5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D9F1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玻璃(钢化、夹胶、单玻)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A2AA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南玻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C77B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信义玻璃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4AFB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福耀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B82EC">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07B3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4C00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D5A5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铝扣板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0DF2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宝兰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09BA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友邦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A21E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奥普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34999">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2BF6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E73E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6DFC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门锁及其五金配件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F4C8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海福乐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0B2B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汇泰龙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B02D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斯力高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A90F0">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1A96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9CA0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B772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E225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德力西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F1E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杭州白象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E68E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2AC7F">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205C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5FB5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C67D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开关、插座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0205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正泰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117D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公元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5768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鸿雁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4DD11">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2060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ED751">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F099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电缆、电线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DAF3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永通中策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3697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鸿兴雁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C740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浙江万马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91F84">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7149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1854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8BB5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照明灯具(含节能型光源)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8C24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2D88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三雄极光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FFC2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松下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39FDF">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6B45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B50E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EC06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消防应急照明、疏散指示灯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7CDE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超时代金盾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1D22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浙江台谊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E504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鸿雁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C7646">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627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4925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6CFF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吊扇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F61D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马卡龙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C36A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3649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8592A">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2F33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5C79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3A50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成人洁具、感应阀、龙头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9F06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FD17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国之四维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E793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法恩莎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A4496">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1BB6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43DE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E8F1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地漏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3A88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F77C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国之四维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1744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法恩莎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53480">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655C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BA7A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322A1">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PPR给水管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93EC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鸿雁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D934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中财管道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D748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金德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F0A1C">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3130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619A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22F5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UPVC排水管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C8BA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中财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2CDD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伟星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7B17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浙江伟星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D5EDA">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72A7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1AB0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2FE7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不锈钢管道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3E51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金羊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AF4C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吉博力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C09E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正同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FD4C8">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3916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7BE1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59DE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SBS防水卷材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33E2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东方雨虹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F8D2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杭州常合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F3A9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宇虹(潍坊)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99214">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4264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1434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00471">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防水涂料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3208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东方雨虹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42BD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江苏凯伦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C711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广东龙马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514C8">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0108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4366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273D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桥架、母线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3F67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杭州银汉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D7DE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杭州远大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08CA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江苏国贸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EF8F8">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78BA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B0C8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19DE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监控摄像机设备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FF96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海康威视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83A9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大华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A3CD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三星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144CE">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0B18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2030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9F4C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MU10砖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89F8F">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伊通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8B43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浙江开元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4A68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大山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C98AA">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0C17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EE84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F0D4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7CDC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尖峰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4869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钱潮水泥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18B3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三狮水泥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83A07">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3B9D2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3BAB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30F4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商品混凝土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920D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恒力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A337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钱潮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ABD5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西子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1FC16">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4530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D454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8922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普通钢材(钢板/型材)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65B3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宝钢股份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21AF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首钢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1CA2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沙钢集团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9F73B">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或相当于</w:t>
            </w:r>
          </w:p>
        </w:tc>
      </w:tr>
      <w:tr w14:paraId="442C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CECA2">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ascii="Arial" w:hAnsi="Arial" w:eastAsia="宋体" w:cs="Arial"/>
                <w:i w:val="0"/>
                <w:iCs w:val="0"/>
                <w:color w:val="auto"/>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94EC89">
            <w:pPr>
              <w:pStyle w:val="60"/>
              <w:keepNext w:val="0"/>
              <w:keepLines w:val="0"/>
              <w:widowControl/>
              <w:suppressLineNumbers w:val="0"/>
              <w:spacing w:before="0" w:beforeAutospacing="0" w:after="0" w:afterAutospacing="0"/>
              <w:ind w:left="0" w:right="0" w:firstLine="0"/>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塑胶、胶水</w:t>
            </w:r>
          </w:p>
          <w:p w14:paraId="72651C06">
            <w:pPr>
              <w:pStyle w:val="60"/>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iCs w:val="0"/>
                <w:color w:val="auto"/>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3D5339">
            <w:pPr>
              <w:pStyle w:val="60"/>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iCs w:val="0"/>
                <w:color w:val="auto"/>
                <w:kern w:val="0"/>
                <w:sz w:val="20"/>
                <w:szCs w:val="20"/>
                <w:highlight w:val="none"/>
                <w:u w:val="none"/>
                <w:lang w:val="en-US" w:eastAsia="zh-CN" w:bidi="ar"/>
              </w:rPr>
            </w:pPr>
            <w:r>
              <w:rPr>
                <w:rFonts w:hint="eastAsia" w:ascii="宋体" w:hAnsi="宋体" w:eastAsia="宋体" w:cs="宋体"/>
                <w:color w:val="auto"/>
                <w:sz w:val="22"/>
                <w:szCs w:val="22"/>
                <w:highlight w:val="none"/>
              </w:rPr>
              <w:t>爱上体育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F1215B">
            <w:pPr>
              <w:pStyle w:val="60"/>
              <w:keepNext w:val="0"/>
              <w:keepLines w:val="0"/>
              <w:widowControl/>
              <w:suppressLineNumbers w:val="0"/>
              <w:spacing w:before="0" w:beforeAutospacing="0" w:after="0" w:afterAutospacing="0"/>
              <w:ind w:left="0" w:right="0" w:firstLine="0"/>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宝力</w:t>
            </w:r>
          </w:p>
          <w:p w14:paraId="53121B2C">
            <w:pPr>
              <w:pStyle w:val="60"/>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iCs w:val="0"/>
                <w:color w:val="auto"/>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C04E27">
            <w:pPr>
              <w:pStyle w:val="60"/>
              <w:keepNext w:val="0"/>
              <w:keepLines w:val="0"/>
              <w:widowControl/>
              <w:suppressLineNumbers w:val="0"/>
              <w:spacing w:before="0" w:beforeAutospacing="0" w:after="0" w:afterAutospacing="0"/>
              <w:ind w:left="0" w:right="0" w:firstLine="0"/>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奥翔</w:t>
            </w:r>
          </w:p>
          <w:p w14:paraId="7C82BB95">
            <w:pPr>
              <w:pStyle w:val="60"/>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iCs w:val="0"/>
                <w:color w:val="auto"/>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9C22AF">
            <w:pPr>
              <w:jc w:val="center"/>
              <w:rPr>
                <w:rFonts w:hint="eastAsia"/>
                <w:color w:val="auto"/>
                <w:highlight w:val="none"/>
              </w:rPr>
            </w:pPr>
            <w:r>
              <w:rPr>
                <w:rFonts w:hint="eastAsia"/>
                <w:color w:val="auto"/>
                <w:highlight w:val="none"/>
              </w:rPr>
              <w:t>或相当于</w:t>
            </w:r>
          </w:p>
        </w:tc>
      </w:tr>
      <w:tr w14:paraId="5289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5E10B">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ascii="Arial" w:hAnsi="Arial" w:eastAsia="宋体" w:cs="Arial"/>
                <w:i w:val="0"/>
                <w:iCs w:val="0"/>
                <w:color w:val="auto"/>
                <w:kern w:val="0"/>
                <w:sz w:val="20"/>
                <w:szCs w:val="20"/>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731FC5">
            <w:pPr>
              <w:pStyle w:val="60"/>
              <w:keepNext w:val="0"/>
              <w:keepLines w:val="0"/>
              <w:widowControl/>
              <w:suppressLineNumbers w:val="0"/>
              <w:spacing w:before="0" w:beforeAutospacing="0" w:after="0" w:afterAutospacing="0"/>
              <w:ind w:left="0" w:right="0" w:firstLine="0"/>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人工草坪</w:t>
            </w:r>
          </w:p>
          <w:p w14:paraId="3965797A">
            <w:pPr>
              <w:pStyle w:val="60"/>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iCs w:val="0"/>
                <w:color w:val="auto"/>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C91242">
            <w:pPr>
              <w:pStyle w:val="60"/>
              <w:keepNext w:val="0"/>
              <w:keepLines w:val="0"/>
              <w:widowControl/>
              <w:suppressLineNumbers w:val="0"/>
              <w:spacing w:before="0" w:beforeAutospacing="0" w:after="0" w:afterAutospacing="0"/>
              <w:ind w:left="0" w:right="0" w:firstLine="0"/>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江苏共创</w:t>
            </w:r>
          </w:p>
          <w:p w14:paraId="0470DC58">
            <w:pPr>
              <w:pStyle w:val="60"/>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iCs w:val="0"/>
                <w:color w:val="auto"/>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3518C8">
            <w:pPr>
              <w:pStyle w:val="60"/>
              <w:keepNext w:val="0"/>
              <w:keepLines w:val="0"/>
              <w:widowControl/>
              <w:suppressLineNumbers w:val="0"/>
              <w:spacing w:before="0" w:beforeAutospacing="0" w:after="0" w:afterAutospacing="0"/>
              <w:ind w:left="0" w:right="0" w:firstLine="0"/>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扬州畅优</w:t>
            </w:r>
          </w:p>
          <w:p w14:paraId="6A871C86">
            <w:pPr>
              <w:pStyle w:val="60"/>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iCs w:val="0"/>
                <w:color w:val="auto"/>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2D072B">
            <w:pPr>
              <w:pStyle w:val="60"/>
              <w:keepNext w:val="0"/>
              <w:keepLines w:val="0"/>
              <w:widowControl/>
              <w:suppressLineNumbers w:val="0"/>
              <w:spacing w:before="0" w:beforeAutospacing="0" w:after="0" w:afterAutospacing="0"/>
              <w:ind w:left="0" w:right="0" w:firstLine="0"/>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常州宏光</w:t>
            </w:r>
          </w:p>
          <w:p w14:paraId="26D673FB">
            <w:pPr>
              <w:pStyle w:val="60"/>
              <w:keepNext w:val="0"/>
              <w:keepLines w:val="0"/>
              <w:widowControl/>
              <w:suppressLineNumbers w:val="0"/>
              <w:spacing w:before="0" w:beforeAutospacing="0" w:after="0" w:afterAutospacing="0"/>
              <w:ind w:left="0" w:leftChars="0" w:right="0" w:rightChars="0" w:firstLine="0" w:firstLineChars="0"/>
              <w:jc w:val="center"/>
              <w:rPr>
                <w:rFonts w:hint="default" w:ascii="Arial" w:hAnsi="Arial" w:eastAsia="宋体" w:cs="Arial"/>
                <w:i w:val="0"/>
                <w:iCs w:val="0"/>
                <w:color w:val="auto"/>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39C9E0">
            <w:pPr>
              <w:jc w:val="center"/>
              <w:rPr>
                <w:rFonts w:hint="eastAsia"/>
                <w:color w:val="auto"/>
                <w:highlight w:val="none"/>
              </w:rPr>
            </w:pPr>
            <w:r>
              <w:rPr>
                <w:rFonts w:hint="eastAsia"/>
                <w:color w:val="auto"/>
                <w:highlight w:val="none"/>
              </w:rPr>
              <w:t>或相当于</w:t>
            </w:r>
          </w:p>
        </w:tc>
      </w:tr>
    </w:tbl>
    <w:p w14:paraId="0E6CF0D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p>
    <w:p w14:paraId="662CC34E">
      <w:pPr>
        <w:widowControl/>
        <w:shd w:val="clear"/>
        <w:ind w:firstLine="720" w:firstLineChars="300"/>
        <w:jc w:val="left"/>
        <w:rPr>
          <w:rFonts w:ascii="宋体" w:hAnsi="宋体" w:cs="宋体"/>
          <w:bCs/>
          <w:color w:val="auto"/>
          <w:sz w:val="24"/>
          <w:highlight w:val="none"/>
        </w:rPr>
      </w:pPr>
    </w:p>
    <w:p w14:paraId="0BD03176">
      <w:pPr>
        <w:shd w:val="clear"/>
        <w:rPr>
          <w:rFonts w:ascii="宋体" w:hAnsi="宋体" w:cs="宋体"/>
          <w:snapToGrid w:val="0"/>
          <w:color w:val="auto"/>
          <w:kern w:val="0"/>
          <w:sz w:val="24"/>
          <w:highlight w:val="none"/>
        </w:rPr>
      </w:pPr>
    </w:p>
    <w:p w14:paraId="6A897983">
      <w:pPr>
        <w:shd w:val="clea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4" w:name="_Toc184312136"/>
      <w:bookmarkEnd w:id="34"/>
      <w:bookmarkStart w:id="35" w:name="_Toc184312096"/>
      <w:bookmarkEnd w:id="35"/>
      <w:bookmarkStart w:id="36" w:name="_Toc184312089"/>
      <w:bookmarkEnd w:id="36"/>
      <w:bookmarkStart w:id="37" w:name="_Toc184310294"/>
      <w:bookmarkEnd w:id="37"/>
      <w:bookmarkStart w:id="38" w:name="_Toc184308045"/>
      <w:bookmarkEnd w:id="38"/>
      <w:bookmarkStart w:id="39" w:name="_Toc184314442"/>
      <w:bookmarkEnd w:id="39"/>
      <w:bookmarkStart w:id="40" w:name="_Toc184314476"/>
      <w:bookmarkEnd w:id="40"/>
      <w:bookmarkStart w:id="41" w:name="_Toc184314482"/>
      <w:bookmarkEnd w:id="41"/>
      <w:bookmarkStart w:id="42" w:name="_Toc184308042"/>
      <w:bookmarkEnd w:id="42"/>
      <w:bookmarkStart w:id="43" w:name="_Toc184308084"/>
      <w:bookmarkEnd w:id="43"/>
      <w:bookmarkStart w:id="44" w:name="_Toc184314463"/>
      <w:bookmarkEnd w:id="44"/>
      <w:bookmarkStart w:id="45" w:name="_Toc184312076"/>
      <w:bookmarkEnd w:id="45"/>
      <w:bookmarkStart w:id="46" w:name="_Toc184312116"/>
      <w:bookmarkEnd w:id="46"/>
      <w:bookmarkStart w:id="47" w:name="_Toc184313302"/>
      <w:bookmarkEnd w:id="47"/>
      <w:bookmarkStart w:id="48" w:name="_Toc184308078"/>
      <w:bookmarkEnd w:id="48"/>
      <w:bookmarkStart w:id="49" w:name="_Toc184308088"/>
      <w:bookmarkEnd w:id="49"/>
      <w:bookmarkStart w:id="50" w:name="_Toc184308074"/>
      <w:bookmarkEnd w:id="50"/>
      <w:bookmarkStart w:id="51" w:name="_Toc184310302"/>
      <w:bookmarkEnd w:id="51"/>
      <w:bookmarkStart w:id="52" w:name="_Toc184314424"/>
      <w:bookmarkEnd w:id="52"/>
      <w:bookmarkStart w:id="53" w:name="_Toc184313304"/>
      <w:bookmarkEnd w:id="53"/>
      <w:bookmarkStart w:id="54" w:name="_Toc184310324"/>
      <w:bookmarkEnd w:id="54"/>
      <w:bookmarkStart w:id="55" w:name="_Toc184312123"/>
      <w:bookmarkEnd w:id="55"/>
      <w:bookmarkStart w:id="56" w:name="_Toc184310322"/>
      <w:bookmarkEnd w:id="56"/>
      <w:bookmarkStart w:id="57" w:name="_Toc184312112"/>
      <w:bookmarkEnd w:id="57"/>
      <w:bookmarkStart w:id="58" w:name="_Toc184308036"/>
      <w:bookmarkEnd w:id="58"/>
      <w:bookmarkStart w:id="59" w:name="_Toc184314420"/>
      <w:bookmarkEnd w:id="59"/>
      <w:bookmarkStart w:id="60" w:name="_Toc184314471"/>
      <w:bookmarkEnd w:id="60"/>
      <w:bookmarkStart w:id="61" w:name="_Toc184313278"/>
      <w:bookmarkEnd w:id="61"/>
      <w:bookmarkStart w:id="62" w:name="_Toc184310316"/>
      <w:bookmarkEnd w:id="62"/>
      <w:bookmarkStart w:id="63" w:name="_Toc184314452"/>
      <w:bookmarkEnd w:id="63"/>
      <w:bookmarkStart w:id="64" w:name="_Toc184310282"/>
      <w:bookmarkEnd w:id="64"/>
      <w:bookmarkStart w:id="65" w:name="_Toc184308093"/>
      <w:bookmarkEnd w:id="65"/>
      <w:bookmarkStart w:id="66" w:name="_Toc184313281"/>
      <w:bookmarkEnd w:id="66"/>
      <w:bookmarkStart w:id="67" w:name="_Toc184308048"/>
      <w:bookmarkEnd w:id="67"/>
      <w:bookmarkStart w:id="68" w:name="_Toc184310319"/>
      <w:bookmarkEnd w:id="68"/>
      <w:bookmarkStart w:id="69" w:name="_Toc184313283"/>
      <w:bookmarkEnd w:id="69"/>
      <w:bookmarkStart w:id="70" w:name="_Toc184310335"/>
      <w:bookmarkEnd w:id="70"/>
      <w:bookmarkStart w:id="71" w:name="_Toc184314411"/>
      <w:bookmarkEnd w:id="71"/>
      <w:bookmarkStart w:id="72" w:name="_Toc184314474"/>
      <w:bookmarkEnd w:id="72"/>
      <w:bookmarkStart w:id="73" w:name="_Toc184308095"/>
      <w:bookmarkEnd w:id="73"/>
      <w:bookmarkStart w:id="74" w:name="_Toc184308079"/>
      <w:bookmarkEnd w:id="74"/>
      <w:bookmarkStart w:id="75" w:name="_Toc184308047"/>
      <w:bookmarkEnd w:id="75"/>
      <w:bookmarkStart w:id="76" w:name="_Toc184313245"/>
      <w:bookmarkEnd w:id="76"/>
      <w:bookmarkStart w:id="77" w:name="_Toc184308055"/>
      <w:bookmarkEnd w:id="77"/>
      <w:bookmarkStart w:id="78" w:name="_Toc184314433"/>
      <w:bookmarkEnd w:id="78"/>
      <w:bookmarkStart w:id="79" w:name="_Toc184310337"/>
      <w:bookmarkEnd w:id="79"/>
      <w:bookmarkStart w:id="80" w:name="_Toc184313301"/>
      <w:bookmarkEnd w:id="80"/>
      <w:bookmarkStart w:id="81" w:name="_Toc184312119"/>
      <w:bookmarkEnd w:id="81"/>
      <w:bookmarkStart w:id="82" w:name="_Toc184313310"/>
      <w:bookmarkEnd w:id="82"/>
      <w:bookmarkStart w:id="83" w:name="_Toc184314418"/>
      <w:bookmarkEnd w:id="83"/>
      <w:bookmarkStart w:id="84" w:name="_Toc184314423"/>
      <w:bookmarkEnd w:id="84"/>
      <w:bookmarkStart w:id="85" w:name="_Toc184312091"/>
      <w:bookmarkEnd w:id="85"/>
      <w:bookmarkStart w:id="86" w:name="_Toc184312082"/>
      <w:bookmarkEnd w:id="86"/>
      <w:bookmarkStart w:id="87" w:name="_Toc184310280"/>
      <w:bookmarkEnd w:id="87"/>
      <w:bookmarkStart w:id="88" w:name="_Toc184313306"/>
      <w:bookmarkEnd w:id="88"/>
      <w:bookmarkStart w:id="89" w:name="_Toc184313250"/>
      <w:bookmarkEnd w:id="89"/>
      <w:bookmarkStart w:id="90" w:name="_Toc184310304"/>
      <w:bookmarkEnd w:id="90"/>
      <w:bookmarkStart w:id="91" w:name="_Toc184312072"/>
      <w:bookmarkEnd w:id="91"/>
      <w:bookmarkStart w:id="92" w:name="_Toc184308106"/>
      <w:bookmarkEnd w:id="92"/>
      <w:bookmarkStart w:id="93" w:name="_Toc184314415"/>
      <w:bookmarkEnd w:id="93"/>
      <w:bookmarkStart w:id="94" w:name="_Toc184313270"/>
      <w:bookmarkEnd w:id="94"/>
      <w:bookmarkStart w:id="95" w:name="_Toc184308040"/>
      <w:bookmarkEnd w:id="95"/>
      <w:bookmarkStart w:id="96" w:name="_Toc184308064"/>
      <w:bookmarkEnd w:id="96"/>
      <w:bookmarkStart w:id="97" w:name="_Toc184310340"/>
      <w:bookmarkEnd w:id="97"/>
      <w:bookmarkStart w:id="98" w:name="_Toc184314453"/>
      <w:bookmarkEnd w:id="98"/>
      <w:bookmarkStart w:id="99" w:name="_Toc184313299"/>
      <w:bookmarkEnd w:id="99"/>
      <w:bookmarkStart w:id="100" w:name="_Toc184308105"/>
      <w:bookmarkEnd w:id="100"/>
      <w:bookmarkStart w:id="101" w:name="_Toc184313287"/>
      <w:bookmarkEnd w:id="101"/>
      <w:bookmarkStart w:id="102" w:name="_Toc184312084"/>
      <w:bookmarkEnd w:id="102"/>
      <w:bookmarkStart w:id="103" w:name="_Toc184308083"/>
      <w:bookmarkEnd w:id="103"/>
      <w:bookmarkStart w:id="104" w:name="_Toc184314414"/>
      <w:bookmarkEnd w:id="104"/>
      <w:bookmarkStart w:id="105" w:name="_Toc184308039"/>
      <w:bookmarkEnd w:id="105"/>
      <w:bookmarkStart w:id="106" w:name="_Toc184314480"/>
      <w:bookmarkEnd w:id="106"/>
      <w:bookmarkStart w:id="107" w:name="_Toc184308041"/>
      <w:bookmarkEnd w:id="107"/>
      <w:bookmarkStart w:id="108" w:name="_Toc184308038"/>
      <w:bookmarkEnd w:id="108"/>
      <w:bookmarkStart w:id="109" w:name="_Toc184312090"/>
      <w:bookmarkEnd w:id="109"/>
      <w:bookmarkStart w:id="110" w:name="_Toc184313249"/>
      <w:bookmarkEnd w:id="110"/>
      <w:bookmarkStart w:id="111" w:name="_Toc184314447"/>
      <w:bookmarkEnd w:id="111"/>
      <w:bookmarkStart w:id="112" w:name="_Toc184314416"/>
      <w:bookmarkEnd w:id="112"/>
      <w:bookmarkStart w:id="113" w:name="_Toc184314446"/>
      <w:bookmarkEnd w:id="113"/>
      <w:bookmarkStart w:id="114" w:name="_Toc184314436"/>
      <w:bookmarkEnd w:id="114"/>
      <w:bookmarkStart w:id="115" w:name="_Toc184314427"/>
      <w:bookmarkEnd w:id="115"/>
      <w:bookmarkStart w:id="116" w:name="_Toc184308075"/>
      <w:bookmarkEnd w:id="116"/>
      <w:bookmarkStart w:id="117" w:name="_Toc184310321"/>
      <w:bookmarkEnd w:id="117"/>
      <w:bookmarkStart w:id="118" w:name="_Toc184314443"/>
      <w:bookmarkEnd w:id="118"/>
      <w:bookmarkStart w:id="119" w:name="_Toc184314437"/>
      <w:bookmarkEnd w:id="119"/>
      <w:bookmarkStart w:id="120" w:name="_Toc184314461"/>
      <w:bookmarkEnd w:id="120"/>
      <w:bookmarkStart w:id="121" w:name="_Toc184308058"/>
      <w:bookmarkEnd w:id="121"/>
      <w:bookmarkStart w:id="122" w:name="_Toc184314465"/>
      <w:bookmarkEnd w:id="122"/>
      <w:bookmarkStart w:id="123" w:name="_Toc184312097"/>
      <w:bookmarkEnd w:id="123"/>
      <w:bookmarkStart w:id="124" w:name="_Toc184310274"/>
      <w:bookmarkEnd w:id="124"/>
      <w:bookmarkStart w:id="125" w:name="_Toc184310290"/>
      <w:bookmarkEnd w:id="125"/>
      <w:bookmarkStart w:id="126" w:name="_Toc184314449"/>
      <w:bookmarkEnd w:id="126"/>
      <w:bookmarkStart w:id="127" w:name="_Toc184312125"/>
      <w:bookmarkEnd w:id="127"/>
      <w:bookmarkStart w:id="128" w:name="_Toc184308056"/>
      <w:bookmarkEnd w:id="128"/>
      <w:bookmarkStart w:id="129" w:name="_Toc184310327"/>
      <w:bookmarkEnd w:id="129"/>
      <w:bookmarkStart w:id="130" w:name="_Toc184308063"/>
      <w:bookmarkEnd w:id="130"/>
      <w:bookmarkStart w:id="131" w:name="_Toc184313286"/>
      <w:bookmarkEnd w:id="131"/>
      <w:bookmarkStart w:id="132" w:name="_Toc184314460"/>
      <w:bookmarkEnd w:id="132"/>
      <w:bookmarkStart w:id="133" w:name="_Toc184314419"/>
      <w:bookmarkEnd w:id="133"/>
      <w:bookmarkStart w:id="134" w:name="_Toc184310286"/>
      <w:bookmarkEnd w:id="134"/>
      <w:bookmarkStart w:id="135" w:name="_Toc184314478"/>
      <w:bookmarkEnd w:id="135"/>
      <w:bookmarkStart w:id="136" w:name="_Toc184313273"/>
      <w:bookmarkEnd w:id="136"/>
      <w:bookmarkStart w:id="137" w:name="_Toc184310301"/>
      <w:bookmarkEnd w:id="137"/>
      <w:bookmarkStart w:id="138" w:name="_Toc184310343"/>
      <w:bookmarkEnd w:id="138"/>
      <w:bookmarkStart w:id="139" w:name="_Toc184308050"/>
      <w:bookmarkEnd w:id="139"/>
      <w:bookmarkStart w:id="140" w:name="_Toc184310313"/>
      <w:bookmarkEnd w:id="140"/>
      <w:bookmarkStart w:id="141" w:name="_Toc184308061"/>
      <w:bookmarkEnd w:id="141"/>
      <w:bookmarkStart w:id="142" w:name="_Toc184313291"/>
      <w:bookmarkEnd w:id="142"/>
      <w:bookmarkStart w:id="143" w:name="_Toc184312139"/>
      <w:bookmarkEnd w:id="143"/>
      <w:bookmarkStart w:id="144" w:name="_Toc184314466"/>
      <w:bookmarkEnd w:id="144"/>
      <w:bookmarkStart w:id="145" w:name="_Toc184312124"/>
      <w:bookmarkEnd w:id="145"/>
      <w:bookmarkStart w:id="146" w:name="_Toc184312088"/>
      <w:bookmarkEnd w:id="146"/>
      <w:bookmarkStart w:id="147" w:name="_Toc184312106"/>
      <w:bookmarkEnd w:id="147"/>
      <w:bookmarkStart w:id="148" w:name="_Toc184314450"/>
      <w:bookmarkEnd w:id="148"/>
      <w:bookmarkStart w:id="149" w:name="_Toc184308073"/>
      <w:bookmarkEnd w:id="149"/>
      <w:bookmarkStart w:id="150" w:name="_Toc184310318"/>
      <w:bookmarkEnd w:id="150"/>
      <w:bookmarkStart w:id="151" w:name="_Toc184314467"/>
      <w:bookmarkEnd w:id="151"/>
      <w:bookmarkStart w:id="152" w:name="_Toc184310287"/>
      <w:bookmarkEnd w:id="152"/>
      <w:bookmarkStart w:id="153" w:name="_Toc184308102"/>
      <w:bookmarkEnd w:id="153"/>
      <w:bookmarkStart w:id="154" w:name="_Toc184314412"/>
      <w:bookmarkEnd w:id="154"/>
      <w:bookmarkStart w:id="155" w:name="_Toc184314473"/>
      <w:bookmarkEnd w:id="155"/>
      <w:bookmarkStart w:id="156" w:name="_Toc184312118"/>
      <w:bookmarkEnd w:id="156"/>
      <w:bookmarkStart w:id="157" w:name="_Toc184308043"/>
      <w:bookmarkEnd w:id="157"/>
      <w:bookmarkStart w:id="158" w:name="_Toc184313248"/>
      <w:bookmarkEnd w:id="158"/>
      <w:bookmarkStart w:id="159" w:name="_Toc184310291"/>
      <w:bookmarkEnd w:id="159"/>
      <w:bookmarkStart w:id="160" w:name="_Toc184308067"/>
      <w:bookmarkEnd w:id="160"/>
      <w:bookmarkStart w:id="161" w:name="_Toc184312115"/>
      <w:bookmarkEnd w:id="161"/>
      <w:bookmarkStart w:id="162" w:name="_Toc184310298"/>
      <w:bookmarkEnd w:id="162"/>
      <w:bookmarkStart w:id="163" w:name="_Toc184312101"/>
      <w:bookmarkEnd w:id="163"/>
      <w:bookmarkStart w:id="164" w:name="_Toc184314429"/>
      <w:bookmarkEnd w:id="164"/>
      <w:bookmarkStart w:id="165" w:name="_Toc184310312"/>
      <w:bookmarkEnd w:id="165"/>
      <w:bookmarkStart w:id="166" w:name="_Toc184310331"/>
      <w:bookmarkEnd w:id="166"/>
      <w:bookmarkStart w:id="167" w:name="_Toc184314413"/>
      <w:bookmarkEnd w:id="167"/>
      <w:bookmarkStart w:id="168" w:name="_Toc184308037"/>
      <w:bookmarkEnd w:id="168"/>
      <w:bookmarkStart w:id="169" w:name="_Toc184310299"/>
      <w:bookmarkEnd w:id="169"/>
      <w:bookmarkStart w:id="170" w:name="_Toc184313252"/>
      <w:bookmarkEnd w:id="170"/>
      <w:bookmarkStart w:id="171" w:name="_Toc184314432"/>
      <w:bookmarkEnd w:id="171"/>
      <w:bookmarkStart w:id="172" w:name="_Toc184313243"/>
      <w:bookmarkEnd w:id="172"/>
      <w:bookmarkStart w:id="173" w:name="_Toc184312093"/>
      <w:bookmarkEnd w:id="173"/>
      <w:bookmarkStart w:id="174" w:name="_Toc184310303"/>
      <w:bookmarkEnd w:id="174"/>
      <w:bookmarkStart w:id="175" w:name="_Toc184314456"/>
      <w:bookmarkEnd w:id="175"/>
      <w:bookmarkStart w:id="176" w:name="_Toc184312095"/>
      <w:bookmarkEnd w:id="176"/>
      <w:bookmarkStart w:id="177" w:name="_Toc184314434"/>
      <w:bookmarkEnd w:id="177"/>
      <w:bookmarkStart w:id="178" w:name="_Toc184314464"/>
      <w:bookmarkEnd w:id="178"/>
      <w:bookmarkStart w:id="179" w:name="_Toc184310275"/>
      <w:bookmarkEnd w:id="179"/>
      <w:bookmarkStart w:id="180" w:name="_Toc184308068"/>
      <w:bookmarkEnd w:id="180"/>
      <w:bookmarkStart w:id="181" w:name="_Toc184312087"/>
      <w:bookmarkEnd w:id="181"/>
      <w:bookmarkStart w:id="182" w:name="_Toc184308094"/>
      <w:bookmarkEnd w:id="182"/>
      <w:bookmarkStart w:id="183" w:name="_Toc184310334"/>
      <w:bookmarkEnd w:id="183"/>
      <w:bookmarkStart w:id="184" w:name="_Toc184313247"/>
      <w:bookmarkEnd w:id="184"/>
      <w:bookmarkStart w:id="185" w:name="_Toc184313256"/>
      <w:bookmarkEnd w:id="185"/>
      <w:bookmarkStart w:id="186" w:name="_Toc184312094"/>
      <w:bookmarkEnd w:id="186"/>
      <w:bookmarkStart w:id="187" w:name="_Toc184308080"/>
      <w:bookmarkEnd w:id="187"/>
      <w:bookmarkStart w:id="188" w:name="_Toc184310296"/>
      <w:bookmarkEnd w:id="188"/>
      <w:bookmarkStart w:id="189" w:name="_Toc184312137"/>
      <w:bookmarkEnd w:id="189"/>
      <w:bookmarkStart w:id="190" w:name="_Toc184312100"/>
      <w:bookmarkEnd w:id="190"/>
      <w:bookmarkStart w:id="191" w:name="_Toc184312117"/>
      <w:bookmarkEnd w:id="191"/>
      <w:bookmarkStart w:id="192" w:name="_Toc184308065"/>
      <w:bookmarkEnd w:id="192"/>
      <w:bookmarkStart w:id="193" w:name="_Toc184312113"/>
      <w:bookmarkEnd w:id="193"/>
      <w:bookmarkStart w:id="194" w:name="_Toc184313263"/>
      <w:bookmarkEnd w:id="194"/>
      <w:bookmarkStart w:id="195" w:name="_Toc184314440"/>
      <w:bookmarkEnd w:id="195"/>
      <w:bookmarkStart w:id="196" w:name="_Toc184310326"/>
      <w:bookmarkEnd w:id="196"/>
      <w:bookmarkStart w:id="197" w:name="_Toc184314469"/>
      <w:bookmarkEnd w:id="197"/>
      <w:bookmarkStart w:id="198" w:name="_Toc184313300"/>
      <w:bookmarkEnd w:id="198"/>
      <w:bookmarkStart w:id="199" w:name="_Toc184312099"/>
      <w:bookmarkEnd w:id="199"/>
      <w:bookmarkStart w:id="200" w:name="_Toc184314421"/>
      <w:bookmarkEnd w:id="200"/>
      <w:bookmarkStart w:id="201" w:name="_Toc184313277"/>
      <w:bookmarkEnd w:id="201"/>
      <w:bookmarkStart w:id="202" w:name="_Toc184312114"/>
      <w:bookmarkEnd w:id="202"/>
      <w:bookmarkStart w:id="203" w:name="_Toc184312128"/>
      <w:bookmarkEnd w:id="203"/>
      <w:bookmarkStart w:id="204" w:name="_Toc184313266"/>
      <w:bookmarkEnd w:id="204"/>
      <w:bookmarkStart w:id="205" w:name="_Toc184313309"/>
      <w:bookmarkEnd w:id="205"/>
      <w:bookmarkStart w:id="206" w:name="_Toc184310339"/>
      <w:bookmarkEnd w:id="206"/>
      <w:bookmarkStart w:id="207" w:name="_Toc184310315"/>
      <w:bookmarkEnd w:id="207"/>
      <w:bookmarkStart w:id="208" w:name="_Toc184310278"/>
      <w:bookmarkEnd w:id="208"/>
      <w:bookmarkStart w:id="209" w:name="_Toc184313241"/>
      <w:bookmarkEnd w:id="209"/>
      <w:bookmarkStart w:id="210" w:name="_Toc184310330"/>
      <w:bookmarkEnd w:id="210"/>
      <w:bookmarkStart w:id="211" w:name="_Toc184312071"/>
      <w:bookmarkEnd w:id="211"/>
      <w:bookmarkStart w:id="212" w:name="_Toc184313267"/>
      <w:bookmarkEnd w:id="212"/>
      <w:bookmarkStart w:id="213" w:name="_Toc184308069"/>
      <w:bookmarkEnd w:id="213"/>
      <w:bookmarkStart w:id="214" w:name="_Toc184314457"/>
      <w:bookmarkEnd w:id="214"/>
      <w:bookmarkStart w:id="215" w:name="_Toc184310317"/>
      <w:bookmarkEnd w:id="215"/>
      <w:bookmarkStart w:id="216" w:name="_Toc184313259"/>
      <w:bookmarkEnd w:id="216"/>
      <w:bookmarkStart w:id="217" w:name="_Toc184308101"/>
      <w:bookmarkEnd w:id="217"/>
      <w:bookmarkStart w:id="218" w:name="_Toc184310281"/>
      <w:bookmarkEnd w:id="218"/>
      <w:bookmarkStart w:id="219" w:name="_Toc184312081"/>
      <w:bookmarkEnd w:id="219"/>
      <w:bookmarkStart w:id="220" w:name="_Toc184308108"/>
      <w:bookmarkEnd w:id="220"/>
      <w:bookmarkStart w:id="221" w:name="_Toc184312122"/>
      <w:bookmarkEnd w:id="221"/>
      <w:bookmarkStart w:id="222" w:name="_Toc184313262"/>
      <w:bookmarkEnd w:id="222"/>
      <w:bookmarkStart w:id="223" w:name="_Toc184314422"/>
      <w:bookmarkEnd w:id="223"/>
      <w:bookmarkStart w:id="224" w:name="_Toc184308070"/>
      <w:bookmarkEnd w:id="224"/>
      <w:bookmarkStart w:id="225" w:name="_Toc184314425"/>
      <w:bookmarkEnd w:id="225"/>
      <w:bookmarkStart w:id="226" w:name="_Toc184314468"/>
      <w:bookmarkEnd w:id="226"/>
      <w:bookmarkStart w:id="227" w:name="_Toc184310293"/>
      <w:bookmarkEnd w:id="227"/>
      <w:bookmarkStart w:id="228" w:name="_Toc184312104"/>
      <w:bookmarkEnd w:id="228"/>
      <w:bookmarkStart w:id="229" w:name="_Toc184314435"/>
      <w:bookmarkEnd w:id="229"/>
      <w:bookmarkStart w:id="230" w:name="_Toc184312107"/>
      <w:bookmarkEnd w:id="230"/>
      <w:bookmarkStart w:id="231" w:name="_Toc184308076"/>
      <w:bookmarkEnd w:id="231"/>
      <w:bookmarkStart w:id="232" w:name="_Toc184313274"/>
      <w:bookmarkEnd w:id="232"/>
      <w:bookmarkStart w:id="233" w:name="_Toc184312138"/>
      <w:bookmarkEnd w:id="233"/>
      <w:bookmarkStart w:id="234" w:name="_Toc184312109"/>
      <w:bookmarkEnd w:id="234"/>
      <w:bookmarkStart w:id="235" w:name="_Toc184308054"/>
      <w:bookmarkEnd w:id="235"/>
      <w:bookmarkStart w:id="236" w:name="_Toc184312070"/>
      <w:bookmarkEnd w:id="236"/>
      <w:bookmarkStart w:id="237" w:name="_Toc184312098"/>
      <w:bookmarkEnd w:id="237"/>
      <w:bookmarkStart w:id="238" w:name="_Toc184313276"/>
      <w:bookmarkEnd w:id="238"/>
      <w:bookmarkStart w:id="239" w:name="_Toc184312074"/>
      <w:bookmarkEnd w:id="239"/>
      <w:bookmarkStart w:id="240" w:name="_Toc184312108"/>
      <w:bookmarkEnd w:id="240"/>
      <w:bookmarkStart w:id="241" w:name="_Toc184310279"/>
      <w:bookmarkEnd w:id="241"/>
      <w:bookmarkStart w:id="242" w:name="_Toc184308087"/>
      <w:bookmarkEnd w:id="242"/>
      <w:bookmarkStart w:id="243" w:name="_Toc184310329"/>
      <w:bookmarkEnd w:id="243"/>
      <w:bookmarkStart w:id="244" w:name="_Toc184313294"/>
      <w:bookmarkEnd w:id="244"/>
      <w:bookmarkStart w:id="245" w:name="_Toc184312075"/>
      <w:bookmarkEnd w:id="245"/>
      <w:bookmarkStart w:id="246" w:name="_Toc184308086"/>
      <w:bookmarkEnd w:id="246"/>
      <w:bookmarkStart w:id="247" w:name="_Toc184313275"/>
      <w:bookmarkEnd w:id="247"/>
      <w:bookmarkStart w:id="248" w:name="_Toc184313265"/>
      <w:bookmarkEnd w:id="248"/>
      <w:bookmarkStart w:id="249" w:name="_Toc184310285"/>
      <w:bookmarkEnd w:id="249"/>
      <w:bookmarkStart w:id="250" w:name="_Toc184312077"/>
      <w:bookmarkEnd w:id="250"/>
      <w:bookmarkStart w:id="251" w:name="_Toc184313284"/>
      <w:bookmarkEnd w:id="251"/>
      <w:bookmarkStart w:id="252" w:name="_Toc184310309"/>
      <w:bookmarkEnd w:id="252"/>
      <w:bookmarkStart w:id="253" w:name="_Toc184313258"/>
      <w:bookmarkEnd w:id="253"/>
      <w:bookmarkStart w:id="254" w:name="_Toc184313308"/>
      <w:bookmarkEnd w:id="254"/>
      <w:bookmarkStart w:id="255" w:name="_Toc184308092"/>
      <w:bookmarkEnd w:id="255"/>
      <w:bookmarkStart w:id="256" w:name="_Toc184313279"/>
      <w:bookmarkEnd w:id="256"/>
      <w:bookmarkStart w:id="257" w:name="_Toc184314455"/>
      <w:bookmarkEnd w:id="257"/>
      <w:bookmarkStart w:id="258" w:name="_Toc184308107"/>
      <w:bookmarkEnd w:id="258"/>
      <w:bookmarkStart w:id="259" w:name="_Toc184308059"/>
      <w:bookmarkEnd w:id="259"/>
      <w:bookmarkStart w:id="260" w:name="_Toc184312067"/>
      <w:bookmarkEnd w:id="260"/>
      <w:bookmarkStart w:id="261" w:name="_Toc184310288"/>
      <w:bookmarkEnd w:id="261"/>
      <w:bookmarkStart w:id="262" w:name="_Toc184313251"/>
      <w:bookmarkEnd w:id="262"/>
      <w:bookmarkStart w:id="263" w:name="_Toc184308044"/>
      <w:bookmarkEnd w:id="263"/>
      <w:bookmarkStart w:id="264" w:name="_Toc184308096"/>
      <w:bookmarkEnd w:id="264"/>
      <w:bookmarkStart w:id="265" w:name="_Toc184313239"/>
      <w:bookmarkEnd w:id="265"/>
      <w:bookmarkStart w:id="266" w:name="_Toc184313280"/>
      <w:bookmarkEnd w:id="266"/>
      <w:bookmarkStart w:id="267" w:name="_Toc184314441"/>
      <w:bookmarkEnd w:id="267"/>
      <w:bookmarkStart w:id="268" w:name="_Toc184313303"/>
      <w:bookmarkEnd w:id="268"/>
      <w:bookmarkStart w:id="269" w:name="_Toc184314417"/>
      <w:bookmarkEnd w:id="269"/>
      <w:bookmarkStart w:id="270" w:name="_Toc184312131"/>
      <w:bookmarkEnd w:id="270"/>
      <w:bookmarkStart w:id="271" w:name="_Toc184314458"/>
      <w:bookmarkEnd w:id="271"/>
      <w:bookmarkStart w:id="272" w:name="_Toc184308085"/>
      <w:bookmarkEnd w:id="272"/>
      <w:bookmarkStart w:id="273" w:name="_Toc184310314"/>
      <w:bookmarkEnd w:id="273"/>
      <w:bookmarkStart w:id="274" w:name="_Toc184310333"/>
      <w:bookmarkEnd w:id="274"/>
      <w:bookmarkStart w:id="275" w:name="_Toc184313298"/>
      <w:bookmarkEnd w:id="275"/>
      <w:bookmarkStart w:id="276" w:name="_Toc184313292"/>
      <w:bookmarkEnd w:id="276"/>
      <w:bookmarkStart w:id="277" w:name="_Toc184312073"/>
      <w:bookmarkEnd w:id="277"/>
      <w:bookmarkStart w:id="278" w:name="_Toc184310332"/>
      <w:bookmarkEnd w:id="278"/>
      <w:bookmarkStart w:id="279" w:name="_Toc184310325"/>
      <w:bookmarkEnd w:id="279"/>
      <w:bookmarkStart w:id="280" w:name="_Toc184314462"/>
      <w:bookmarkEnd w:id="280"/>
      <w:bookmarkStart w:id="281" w:name="_Toc184313242"/>
      <w:bookmarkEnd w:id="281"/>
      <w:bookmarkStart w:id="282" w:name="_Toc184310311"/>
      <w:bookmarkEnd w:id="282"/>
      <w:bookmarkStart w:id="283" w:name="_Toc184314454"/>
      <w:bookmarkEnd w:id="283"/>
      <w:bookmarkStart w:id="284" w:name="_Toc184308071"/>
      <w:bookmarkEnd w:id="284"/>
      <w:bookmarkStart w:id="285" w:name="_Toc184310292"/>
      <w:bookmarkEnd w:id="285"/>
      <w:bookmarkStart w:id="286" w:name="_Toc184312135"/>
      <w:bookmarkEnd w:id="286"/>
      <w:bookmarkStart w:id="287" w:name="_Toc184313271"/>
      <w:bookmarkEnd w:id="287"/>
      <w:bookmarkStart w:id="288" w:name="_Toc184308100"/>
      <w:bookmarkEnd w:id="288"/>
      <w:bookmarkStart w:id="289" w:name="_Toc184313307"/>
      <w:bookmarkEnd w:id="289"/>
      <w:bookmarkStart w:id="290" w:name="_Toc184310300"/>
      <w:bookmarkEnd w:id="290"/>
      <w:bookmarkStart w:id="291" w:name="_Toc184308049"/>
      <w:bookmarkEnd w:id="291"/>
      <w:bookmarkStart w:id="292" w:name="_Toc184312132"/>
      <w:bookmarkEnd w:id="292"/>
      <w:bookmarkStart w:id="293" w:name="_Toc184314439"/>
      <w:bookmarkEnd w:id="293"/>
      <w:bookmarkStart w:id="294" w:name="_Toc184313240"/>
      <w:bookmarkEnd w:id="294"/>
      <w:bookmarkStart w:id="295" w:name="_Toc184314481"/>
      <w:bookmarkEnd w:id="295"/>
      <w:bookmarkStart w:id="296" w:name="_Toc184310289"/>
      <w:bookmarkEnd w:id="296"/>
      <w:bookmarkStart w:id="297" w:name="_Toc184313253"/>
      <w:bookmarkEnd w:id="297"/>
      <w:bookmarkStart w:id="298" w:name="_Toc184310284"/>
      <w:bookmarkEnd w:id="298"/>
      <w:bookmarkStart w:id="299" w:name="_Toc184312083"/>
      <w:bookmarkEnd w:id="299"/>
      <w:bookmarkStart w:id="300" w:name="_Toc184310336"/>
      <w:bookmarkEnd w:id="300"/>
      <w:bookmarkStart w:id="301" w:name="_Toc184310320"/>
      <w:bookmarkEnd w:id="301"/>
      <w:bookmarkStart w:id="302" w:name="_Toc184314475"/>
      <w:bookmarkEnd w:id="302"/>
      <w:bookmarkStart w:id="303" w:name="_Toc184312092"/>
      <w:bookmarkEnd w:id="303"/>
      <w:bookmarkStart w:id="304" w:name="_Toc184313272"/>
      <w:bookmarkEnd w:id="304"/>
      <w:bookmarkStart w:id="305" w:name="_Toc184313282"/>
      <w:bookmarkEnd w:id="305"/>
      <w:bookmarkStart w:id="306" w:name="_Toc184310273"/>
      <w:bookmarkEnd w:id="306"/>
      <w:bookmarkStart w:id="307" w:name="_Toc184308053"/>
      <w:bookmarkEnd w:id="307"/>
      <w:bookmarkStart w:id="308" w:name="_Toc184310344"/>
      <w:bookmarkEnd w:id="308"/>
      <w:bookmarkStart w:id="309" w:name="_Toc184310342"/>
      <w:bookmarkEnd w:id="309"/>
      <w:bookmarkStart w:id="310" w:name="_Toc184313269"/>
      <w:bookmarkEnd w:id="310"/>
      <w:bookmarkStart w:id="311" w:name="_Toc184308077"/>
      <w:bookmarkEnd w:id="311"/>
      <w:bookmarkStart w:id="312" w:name="_Toc184308072"/>
      <w:bookmarkEnd w:id="312"/>
      <w:bookmarkStart w:id="313" w:name="_Toc184308104"/>
      <w:bookmarkEnd w:id="313"/>
      <w:bookmarkStart w:id="314" w:name="_Toc184312078"/>
      <w:bookmarkEnd w:id="314"/>
      <w:bookmarkStart w:id="315" w:name="_Toc184314477"/>
      <w:bookmarkEnd w:id="315"/>
      <w:bookmarkStart w:id="316" w:name="_Toc184310306"/>
      <w:bookmarkEnd w:id="316"/>
      <w:bookmarkStart w:id="317" w:name="_Toc184312085"/>
      <w:bookmarkEnd w:id="317"/>
      <w:bookmarkStart w:id="318" w:name="_Toc184308060"/>
      <w:bookmarkEnd w:id="318"/>
      <w:bookmarkStart w:id="319" w:name="_Toc184313285"/>
      <w:bookmarkEnd w:id="319"/>
      <w:bookmarkStart w:id="320" w:name="_Toc184310277"/>
      <w:bookmarkEnd w:id="320"/>
      <w:bookmarkStart w:id="321" w:name="_Toc184313296"/>
      <w:bookmarkEnd w:id="321"/>
      <w:bookmarkStart w:id="322" w:name="_Toc184313257"/>
      <w:bookmarkEnd w:id="322"/>
      <w:bookmarkStart w:id="323" w:name="_Toc184314479"/>
      <w:bookmarkEnd w:id="323"/>
      <w:bookmarkStart w:id="324" w:name="_Toc184310341"/>
      <w:bookmarkEnd w:id="324"/>
      <w:bookmarkStart w:id="325" w:name="_Toc184314438"/>
      <w:bookmarkEnd w:id="325"/>
      <w:bookmarkStart w:id="326" w:name="_Toc184313260"/>
      <w:bookmarkEnd w:id="326"/>
      <w:bookmarkStart w:id="327" w:name="_Toc184313290"/>
      <w:bookmarkEnd w:id="327"/>
      <w:bookmarkStart w:id="328" w:name="_Toc184308091"/>
      <w:bookmarkEnd w:id="328"/>
      <w:bookmarkStart w:id="329" w:name="_Toc184313264"/>
      <w:bookmarkEnd w:id="329"/>
      <w:bookmarkStart w:id="330" w:name="_Toc184308081"/>
      <w:bookmarkEnd w:id="330"/>
      <w:bookmarkStart w:id="331" w:name="_Toc184312068"/>
      <w:bookmarkEnd w:id="331"/>
      <w:bookmarkStart w:id="332" w:name="_Toc184312080"/>
      <w:bookmarkEnd w:id="332"/>
      <w:bookmarkStart w:id="333" w:name="_Toc184312127"/>
      <w:bookmarkEnd w:id="333"/>
      <w:bookmarkStart w:id="334" w:name="_Toc184313254"/>
      <w:bookmarkEnd w:id="334"/>
      <w:bookmarkStart w:id="335" w:name="_Toc184314444"/>
      <w:bookmarkEnd w:id="335"/>
      <w:bookmarkStart w:id="336" w:name="_Toc184310305"/>
      <w:bookmarkEnd w:id="336"/>
      <w:bookmarkStart w:id="337" w:name="_Toc184308057"/>
      <w:bookmarkEnd w:id="337"/>
      <w:bookmarkStart w:id="338" w:name="_Toc184308103"/>
      <w:bookmarkEnd w:id="338"/>
      <w:bookmarkStart w:id="339" w:name="_Toc184313255"/>
      <w:bookmarkEnd w:id="339"/>
      <w:bookmarkStart w:id="340" w:name="_Toc184314459"/>
      <w:bookmarkEnd w:id="340"/>
      <w:bookmarkStart w:id="341" w:name="_Toc184310307"/>
      <w:bookmarkEnd w:id="341"/>
      <w:bookmarkStart w:id="342" w:name="_Toc184313297"/>
      <w:bookmarkEnd w:id="342"/>
      <w:bookmarkStart w:id="343" w:name="_Toc184312130"/>
      <w:bookmarkEnd w:id="343"/>
      <w:bookmarkStart w:id="344" w:name="_Toc184314431"/>
      <w:bookmarkEnd w:id="344"/>
      <w:bookmarkStart w:id="345" w:name="_Toc184313238"/>
      <w:bookmarkEnd w:id="345"/>
      <w:bookmarkStart w:id="346" w:name="_Toc184312102"/>
      <w:bookmarkEnd w:id="346"/>
      <w:bookmarkStart w:id="347" w:name="_Toc184313261"/>
      <w:bookmarkEnd w:id="347"/>
      <w:bookmarkStart w:id="348" w:name="_Toc184314410"/>
      <w:bookmarkEnd w:id="348"/>
      <w:bookmarkStart w:id="349" w:name="_Toc184312111"/>
      <w:bookmarkEnd w:id="349"/>
      <w:bookmarkStart w:id="350" w:name="_Toc184313295"/>
      <w:bookmarkEnd w:id="350"/>
      <w:bookmarkStart w:id="351" w:name="_Toc184308090"/>
      <w:bookmarkEnd w:id="351"/>
      <w:bookmarkStart w:id="352" w:name="_Toc184310295"/>
      <w:bookmarkEnd w:id="352"/>
      <w:bookmarkStart w:id="353" w:name="_Toc184314428"/>
      <w:bookmarkEnd w:id="353"/>
      <w:bookmarkStart w:id="354" w:name="_Toc184314451"/>
      <w:bookmarkEnd w:id="354"/>
      <w:bookmarkStart w:id="355" w:name="_Toc184308062"/>
      <w:bookmarkEnd w:id="355"/>
      <w:bookmarkStart w:id="356" w:name="_Toc184313305"/>
      <w:bookmarkEnd w:id="356"/>
      <w:bookmarkStart w:id="357" w:name="_Toc184313246"/>
      <w:bookmarkEnd w:id="357"/>
      <w:bookmarkStart w:id="358" w:name="_Toc184312133"/>
      <w:bookmarkEnd w:id="358"/>
      <w:bookmarkStart w:id="359" w:name="_Toc184314445"/>
      <w:bookmarkEnd w:id="359"/>
      <w:bookmarkStart w:id="360" w:name="_Toc184314430"/>
      <w:bookmarkEnd w:id="360"/>
      <w:bookmarkStart w:id="361" w:name="_Toc184313244"/>
      <w:bookmarkEnd w:id="361"/>
      <w:bookmarkStart w:id="362" w:name="_Toc184312121"/>
      <w:bookmarkEnd w:id="362"/>
      <w:bookmarkStart w:id="363" w:name="_Toc184314472"/>
      <w:bookmarkEnd w:id="363"/>
      <w:bookmarkStart w:id="364" w:name="_Toc184308098"/>
      <w:bookmarkEnd w:id="364"/>
      <w:bookmarkStart w:id="365" w:name="_Toc184310283"/>
      <w:bookmarkEnd w:id="365"/>
      <w:bookmarkStart w:id="366" w:name="_Toc184310272"/>
      <w:bookmarkEnd w:id="366"/>
      <w:bookmarkStart w:id="367" w:name="_Toc184308052"/>
      <w:bookmarkEnd w:id="367"/>
      <w:bookmarkStart w:id="368" w:name="_Toc184310338"/>
      <w:bookmarkEnd w:id="368"/>
      <w:bookmarkStart w:id="369" w:name="_Toc184310297"/>
      <w:bookmarkEnd w:id="369"/>
      <w:bookmarkStart w:id="370" w:name="_Toc184310323"/>
      <w:bookmarkEnd w:id="370"/>
      <w:bookmarkStart w:id="371" w:name="_Toc184312134"/>
      <w:bookmarkEnd w:id="371"/>
      <w:bookmarkStart w:id="372" w:name="_Toc184312110"/>
      <w:bookmarkEnd w:id="372"/>
      <w:bookmarkStart w:id="373" w:name="_Toc184313293"/>
      <w:bookmarkEnd w:id="373"/>
      <w:bookmarkStart w:id="374" w:name="_Toc184312105"/>
      <w:bookmarkEnd w:id="374"/>
      <w:bookmarkStart w:id="375" w:name="_Toc184313288"/>
      <w:bookmarkEnd w:id="375"/>
      <w:bookmarkStart w:id="376" w:name="_Toc184312126"/>
      <w:bookmarkEnd w:id="376"/>
      <w:bookmarkStart w:id="377" w:name="_Toc184313289"/>
      <w:bookmarkEnd w:id="377"/>
      <w:bookmarkStart w:id="378" w:name="_Toc184314470"/>
      <w:bookmarkEnd w:id="378"/>
      <w:bookmarkStart w:id="379" w:name="_Toc184312069"/>
      <w:bookmarkEnd w:id="379"/>
      <w:bookmarkStart w:id="380" w:name="_Toc184312103"/>
      <w:bookmarkEnd w:id="380"/>
      <w:bookmarkStart w:id="381" w:name="_Toc184308051"/>
      <w:bookmarkEnd w:id="381"/>
      <w:bookmarkStart w:id="382" w:name="_Toc184310328"/>
      <w:bookmarkEnd w:id="382"/>
      <w:bookmarkStart w:id="383" w:name="_Toc184308046"/>
      <w:bookmarkEnd w:id="383"/>
      <w:bookmarkStart w:id="384" w:name="_Toc184308099"/>
      <w:bookmarkEnd w:id="384"/>
      <w:bookmarkStart w:id="385" w:name="_Toc184308089"/>
      <w:bookmarkEnd w:id="385"/>
      <w:bookmarkStart w:id="386" w:name="_Toc184310276"/>
      <w:bookmarkEnd w:id="386"/>
      <w:bookmarkStart w:id="387" w:name="_Toc184310308"/>
      <w:bookmarkEnd w:id="387"/>
      <w:bookmarkStart w:id="388" w:name="_Toc184314426"/>
      <w:bookmarkEnd w:id="388"/>
      <w:bookmarkStart w:id="389" w:name="_Toc184312120"/>
      <w:bookmarkEnd w:id="389"/>
      <w:bookmarkStart w:id="390" w:name="_Toc184308082"/>
      <w:bookmarkEnd w:id="390"/>
      <w:bookmarkStart w:id="391" w:name="_Toc184310310"/>
      <w:bookmarkEnd w:id="391"/>
      <w:bookmarkStart w:id="392" w:name="_Toc184313268"/>
      <w:bookmarkEnd w:id="392"/>
      <w:bookmarkStart w:id="393" w:name="_Toc184312086"/>
      <w:bookmarkEnd w:id="393"/>
      <w:bookmarkStart w:id="394" w:name="_Toc184312079"/>
      <w:bookmarkEnd w:id="394"/>
      <w:bookmarkStart w:id="395" w:name="_Toc184314448"/>
      <w:bookmarkEnd w:id="395"/>
      <w:bookmarkStart w:id="396" w:name="_Toc184308097"/>
      <w:bookmarkEnd w:id="396"/>
      <w:bookmarkStart w:id="397" w:name="_Toc184312129"/>
      <w:bookmarkEnd w:id="397"/>
      <w:bookmarkStart w:id="398" w:name="_Toc184308066"/>
      <w:bookmarkEnd w:id="398"/>
      <w:r>
        <w:rPr>
          <w:rFonts w:hint="eastAsia" w:ascii="宋体" w:hAnsi="宋体" w:cs="宋体"/>
          <w:b/>
          <w:color w:val="auto"/>
          <w:sz w:val="36"/>
          <w:szCs w:val="20"/>
          <w:highlight w:val="none"/>
        </w:rPr>
        <w:t xml:space="preserve"> 评审办法</w:t>
      </w:r>
    </w:p>
    <w:p w14:paraId="44F1DFB3">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10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57"/>
        <w:gridCol w:w="5996"/>
        <w:gridCol w:w="793"/>
        <w:gridCol w:w="1820"/>
      </w:tblGrid>
      <w:tr w14:paraId="5389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82A9B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rPr>
            </w:pPr>
            <w:bookmarkStart w:id="399" w:name="_Toc5504"/>
            <w:bookmarkStart w:id="400" w:name="_Toc20461"/>
            <w:r>
              <w:rPr>
                <w:rFonts w:hint="eastAsia" w:ascii="宋体" w:hAnsi="宋体" w:eastAsia="宋体" w:cs="宋体"/>
                <w:bCs/>
                <w:color w:val="auto"/>
                <w:sz w:val="24"/>
                <w:szCs w:val="24"/>
                <w:highlight w:val="none"/>
              </w:rPr>
              <w:t>序号</w:t>
            </w:r>
            <w:bookmarkEnd w:id="399"/>
            <w:bookmarkEnd w:id="400"/>
          </w:p>
        </w:tc>
        <w:tc>
          <w:tcPr>
            <w:tcW w:w="7053" w:type="dxa"/>
            <w:gridSpan w:val="2"/>
            <w:vAlign w:val="center"/>
          </w:tcPr>
          <w:p w14:paraId="4C9FAE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rPr>
            </w:pPr>
            <w:bookmarkStart w:id="401" w:name="_Toc22750"/>
            <w:bookmarkStart w:id="402" w:name="_Toc29596"/>
            <w:r>
              <w:rPr>
                <w:rFonts w:hint="eastAsia" w:ascii="宋体" w:hAnsi="宋体" w:eastAsia="宋体" w:cs="宋体"/>
                <w:bCs/>
                <w:color w:val="auto"/>
                <w:sz w:val="24"/>
                <w:szCs w:val="24"/>
                <w:highlight w:val="none"/>
              </w:rPr>
              <w:t>评审标准</w:t>
            </w:r>
            <w:bookmarkEnd w:id="401"/>
            <w:bookmarkEnd w:id="402"/>
          </w:p>
        </w:tc>
        <w:tc>
          <w:tcPr>
            <w:tcW w:w="793" w:type="dxa"/>
            <w:vAlign w:val="center"/>
          </w:tcPr>
          <w:p w14:paraId="56AFEC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rPr>
            </w:pPr>
            <w:bookmarkStart w:id="403" w:name="_Toc22722"/>
            <w:bookmarkStart w:id="404" w:name="_Toc6272"/>
            <w:r>
              <w:rPr>
                <w:rFonts w:hint="eastAsia" w:ascii="宋体" w:hAnsi="宋体" w:eastAsia="宋体" w:cs="宋体"/>
                <w:bCs/>
                <w:color w:val="auto"/>
                <w:sz w:val="24"/>
                <w:szCs w:val="24"/>
                <w:highlight w:val="none"/>
              </w:rPr>
              <w:t>权重</w:t>
            </w:r>
            <w:bookmarkEnd w:id="403"/>
            <w:bookmarkEnd w:id="404"/>
          </w:p>
        </w:tc>
        <w:tc>
          <w:tcPr>
            <w:tcW w:w="1820" w:type="dxa"/>
            <w:vAlign w:val="center"/>
          </w:tcPr>
          <w:p w14:paraId="52935C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Cs/>
                <w:color w:val="auto"/>
                <w:sz w:val="24"/>
                <w:szCs w:val="24"/>
                <w:highlight w:val="none"/>
              </w:rPr>
            </w:pPr>
            <w:bookmarkStart w:id="405" w:name="_Toc15463"/>
            <w:bookmarkStart w:id="406" w:name="_Toc20881"/>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405"/>
            <w:bookmarkEnd w:id="406"/>
          </w:p>
        </w:tc>
      </w:tr>
      <w:tr w14:paraId="5E5A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908316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07" w:name="_Toc4544"/>
            <w:bookmarkStart w:id="408" w:name="_Toc14925"/>
            <w:r>
              <w:rPr>
                <w:rFonts w:hint="eastAsia" w:ascii="宋体" w:hAnsi="宋体" w:eastAsia="宋体" w:cs="宋体"/>
                <w:color w:val="auto"/>
                <w:sz w:val="24"/>
                <w:szCs w:val="24"/>
                <w:highlight w:val="none"/>
              </w:rPr>
              <w:t>1</w:t>
            </w:r>
            <w:bookmarkEnd w:id="407"/>
            <w:bookmarkEnd w:id="408"/>
          </w:p>
        </w:tc>
        <w:tc>
          <w:tcPr>
            <w:tcW w:w="1057" w:type="dxa"/>
            <w:vAlign w:val="center"/>
          </w:tcPr>
          <w:p w14:paraId="5CAEB9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09" w:name="_Toc25294"/>
            <w:r>
              <w:rPr>
                <w:rFonts w:hint="eastAsia" w:ascii="宋体" w:hAnsi="宋体" w:eastAsia="宋体" w:cs="宋体"/>
                <w:color w:val="auto"/>
                <w:sz w:val="24"/>
                <w:szCs w:val="24"/>
                <w:highlight w:val="none"/>
                <w:lang w:val="en-US" w:eastAsia="zh-CN"/>
              </w:rPr>
              <w:t>企业业绩</w:t>
            </w:r>
            <w:bookmarkEnd w:id="409"/>
          </w:p>
        </w:tc>
        <w:tc>
          <w:tcPr>
            <w:tcW w:w="5996" w:type="dxa"/>
            <w:vAlign w:val="center"/>
          </w:tcPr>
          <w:p w14:paraId="3EAB35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0" w:name="_Toc27805"/>
            <w:r>
              <w:rPr>
                <w:rFonts w:hint="eastAsia" w:ascii="宋体" w:hAnsi="宋体" w:eastAsia="宋体" w:cs="宋体"/>
                <w:color w:val="auto"/>
                <w:sz w:val="24"/>
                <w:szCs w:val="24"/>
                <w:highlight w:val="none"/>
              </w:rPr>
              <w:t>供应商自202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年1月1日以来（以合同签订时间为准）完成过类似</w:t>
            </w:r>
            <w:r>
              <w:rPr>
                <w:rFonts w:hint="eastAsia" w:ascii="宋体" w:hAnsi="宋体" w:eastAsia="宋体" w:cs="宋体"/>
                <w:color w:val="auto"/>
                <w:sz w:val="24"/>
                <w:szCs w:val="24"/>
                <w:highlight w:val="none"/>
                <w:lang w:val="en-US" w:eastAsia="zh-CN"/>
              </w:rPr>
              <w:t>维修改造</w:t>
            </w:r>
            <w:r>
              <w:rPr>
                <w:rFonts w:hint="eastAsia" w:ascii="宋体" w:hAnsi="宋体" w:eastAsia="宋体" w:cs="宋体"/>
                <w:color w:val="auto"/>
                <w:sz w:val="24"/>
                <w:szCs w:val="24"/>
                <w:highlight w:val="none"/>
              </w:rPr>
              <w:t>项目的，每个得0.5分，最高1.5分。</w:t>
            </w:r>
            <w:bookmarkEnd w:id="410"/>
          </w:p>
          <w:p w14:paraId="6BBDB8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1" w:name="_Toc741"/>
            <w:r>
              <w:rPr>
                <w:rFonts w:hint="eastAsia" w:ascii="宋体" w:hAnsi="宋体" w:eastAsia="宋体" w:cs="宋体"/>
                <w:b/>
                <w:bCs/>
                <w:color w:val="auto"/>
                <w:sz w:val="24"/>
                <w:szCs w:val="24"/>
                <w:highlight w:val="none"/>
              </w:rPr>
              <w:t>【证明材料】合同关键页</w:t>
            </w:r>
            <w:r>
              <w:rPr>
                <w:rFonts w:hint="eastAsia" w:ascii="宋体" w:hAnsi="宋体" w:eastAsia="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rPr>
              <w:t>验收证明材料扫描件加盖公章，</w:t>
            </w:r>
            <w:r>
              <w:rPr>
                <w:rFonts w:hint="eastAsia" w:ascii="宋体" w:hAnsi="宋体" w:eastAsia="宋体" w:cs="宋体"/>
                <w:b/>
                <w:bCs/>
                <w:color w:val="auto"/>
                <w:sz w:val="24"/>
                <w:szCs w:val="24"/>
                <w:highlight w:val="none"/>
                <w:lang w:val="en-US" w:eastAsia="zh-CN"/>
              </w:rPr>
              <w:t>缺一</w:t>
            </w:r>
            <w:r>
              <w:rPr>
                <w:rFonts w:hint="eastAsia" w:ascii="宋体" w:hAnsi="宋体" w:eastAsia="宋体" w:cs="宋体"/>
                <w:b/>
                <w:bCs/>
                <w:color w:val="auto"/>
                <w:sz w:val="24"/>
                <w:szCs w:val="24"/>
                <w:highlight w:val="none"/>
              </w:rPr>
              <w:t>不得分；证明材料须体现类似项目要求，若不能体现，还须提供业主证明材料。</w:t>
            </w:r>
            <w:bookmarkEnd w:id="411"/>
          </w:p>
        </w:tc>
        <w:tc>
          <w:tcPr>
            <w:tcW w:w="793" w:type="dxa"/>
            <w:vAlign w:val="center"/>
          </w:tcPr>
          <w:p w14:paraId="79F311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12" w:name="_Toc11231"/>
            <w:r>
              <w:rPr>
                <w:rFonts w:hint="eastAsia" w:ascii="宋体" w:hAnsi="宋体" w:eastAsia="宋体" w:cs="宋体"/>
                <w:bCs/>
                <w:color w:val="auto"/>
                <w:sz w:val="24"/>
                <w:szCs w:val="24"/>
                <w:highlight w:val="none"/>
                <w:lang w:val="en-US" w:eastAsia="zh-CN"/>
              </w:rPr>
              <w:t>1.5</w:t>
            </w:r>
            <w:bookmarkEnd w:id="412"/>
          </w:p>
        </w:tc>
        <w:tc>
          <w:tcPr>
            <w:tcW w:w="1820" w:type="dxa"/>
            <w:vAlign w:val="center"/>
          </w:tcPr>
          <w:p w14:paraId="3D993E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p>
        </w:tc>
      </w:tr>
      <w:tr w14:paraId="680B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312AA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13" w:name="_Toc6319"/>
            <w:bookmarkStart w:id="414" w:name="_Toc21053"/>
            <w:r>
              <w:rPr>
                <w:rFonts w:hint="eastAsia" w:ascii="宋体" w:hAnsi="宋体" w:eastAsia="宋体" w:cs="宋体"/>
                <w:color w:val="auto"/>
                <w:sz w:val="24"/>
                <w:szCs w:val="24"/>
                <w:highlight w:val="none"/>
              </w:rPr>
              <w:t>2</w:t>
            </w:r>
            <w:bookmarkEnd w:id="413"/>
            <w:bookmarkEnd w:id="414"/>
          </w:p>
        </w:tc>
        <w:tc>
          <w:tcPr>
            <w:tcW w:w="1057" w:type="dxa"/>
            <w:vAlign w:val="center"/>
          </w:tcPr>
          <w:p w14:paraId="0539BC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15" w:name="_Toc22905"/>
            <w:r>
              <w:rPr>
                <w:rFonts w:hint="eastAsia" w:ascii="宋体" w:hAnsi="宋体" w:eastAsia="宋体" w:cs="宋体"/>
                <w:color w:val="auto"/>
                <w:sz w:val="24"/>
                <w:szCs w:val="24"/>
                <w:highlight w:val="none"/>
                <w:lang w:val="en-US" w:eastAsia="zh-CN"/>
              </w:rPr>
              <w:t>项目经理业绩</w:t>
            </w:r>
            <w:bookmarkEnd w:id="415"/>
          </w:p>
        </w:tc>
        <w:tc>
          <w:tcPr>
            <w:tcW w:w="5996" w:type="dxa"/>
            <w:vAlign w:val="center"/>
          </w:tcPr>
          <w:p w14:paraId="207417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6" w:name="_Toc1566"/>
            <w:r>
              <w:rPr>
                <w:rFonts w:hint="eastAsia" w:ascii="宋体" w:hAnsi="宋体" w:eastAsia="宋体" w:cs="宋体"/>
                <w:color w:val="auto"/>
                <w:sz w:val="24"/>
                <w:szCs w:val="24"/>
                <w:highlight w:val="none"/>
              </w:rPr>
              <w:t>拟派项目经理自202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年1月1日以来（以合同签订时间为准）以项目经理身份参与类似</w:t>
            </w:r>
            <w:r>
              <w:rPr>
                <w:rFonts w:hint="eastAsia" w:ascii="宋体" w:hAnsi="宋体" w:eastAsia="宋体" w:cs="宋体"/>
                <w:color w:val="auto"/>
                <w:sz w:val="24"/>
                <w:szCs w:val="24"/>
                <w:highlight w:val="none"/>
                <w:lang w:val="en-US" w:eastAsia="zh-CN"/>
              </w:rPr>
              <w:t>维修改造</w:t>
            </w:r>
            <w:r>
              <w:rPr>
                <w:rFonts w:hint="eastAsia" w:ascii="宋体" w:hAnsi="宋体" w:eastAsia="宋体" w:cs="宋体"/>
                <w:color w:val="auto"/>
                <w:sz w:val="24"/>
                <w:szCs w:val="24"/>
                <w:highlight w:val="none"/>
              </w:rPr>
              <w:t>项目得0.5分。</w:t>
            </w:r>
            <w:bookmarkEnd w:id="416"/>
          </w:p>
          <w:p w14:paraId="781CBD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7" w:name="_Toc25875"/>
            <w:r>
              <w:rPr>
                <w:rFonts w:hint="eastAsia" w:ascii="宋体" w:hAnsi="宋体" w:eastAsia="宋体" w:cs="宋体"/>
                <w:b/>
                <w:bCs/>
                <w:color w:val="auto"/>
                <w:sz w:val="24"/>
                <w:szCs w:val="24"/>
                <w:highlight w:val="none"/>
              </w:rPr>
              <w:t>【证明材料】合同关键页</w:t>
            </w:r>
            <w:r>
              <w:rPr>
                <w:rFonts w:hint="eastAsia" w:ascii="宋体" w:hAnsi="宋体" w:eastAsia="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rPr>
              <w:t>验收证明材料扫描件加盖公章，否则不得分；证明材料须体现类似项目要求，若不能体现，还须提供业主证明材料。</w:t>
            </w:r>
            <w:bookmarkEnd w:id="417"/>
          </w:p>
        </w:tc>
        <w:tc>
          <w:tcPr>
            <w:tcW w:w="793" w:type="dxa"/>
            <w:vAlign w:val="center"/>
          </w:tcPr>
          <w:p w14:paraId="1DF714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18" w:name="_Toc17335"/>
            <w:r>
              <w:rPr>
                <w:rFonts w:hint="eastAsia" w:ascii="宋体" w:hAnsi="宋体" w:eastAsia="宋体" w:cs="宋体"/>
                <w:bCs/>
                <w:color w:val="auto"/>
                <w:sz w:val="24"/>
                <w:szCs w:val="24"/>
                <w:highlight w:val="none"/>
                <w:lang w:val="en-US" w:eastAsia="zh-CN"/>
              </w:rPr>
              <w:t>0.5</w:t>
            </w:r>
            <w:bookmarkEnd w:id="418"/>
          </w:p>
        </w:tc>
        <w:tc>
          <w:tcPr>
            <w:tcW w:w="1820" w:type="dxa"/>
            <w:vAlign w:val="center"/>
          </w:tcPr>
          <w:p w14:paraId="2312E0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0D9A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67" w:type="dxa"/>
            <w:vAlign w:val="center"/>
          </w:tcPr>
          <w:p w14:paraId="1C3732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19" w:name="_Toc30389"/>
            <w:bookmarkStart w:id="420" w:name="_Toc1053"/>
            <w:r>
              <w:rPr>
                <w:rFonts w:hint="eastAsia" w:ascii="宋体" w:hAnsi="宋体" w:eastAsia="宋体" w:cs="宋体"/>
                <w:color w:val="auto"/>
                <w:sz w:val="24"/>
                <w:szCs w:val="24"/>
                <w:highlight w:val="none"/>
              </w:rPr>
              <w:t>3</w:t>
            </w:r>
            <w:bookmarkEnd w:id="419"/>
            <w:bookmarkEnd w:id="420"/>
          </w:p>
        </w:tc>
        <w:tc>
          <w:tcPr>
            <w:tcW w:w="1057" w:type="dxa"/>
            <w:vAlign w:val="center"/>
          </w:tcPr>
          <w:p w14:paraId="470B71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21" w:name="_Toc27819"/>
            <w:r>
              <w:rPr>
                <w:rFonts w:hint="eastAsia" w:ascii="宋体" w:hAnsi="宋体" w:eastAsia="宋体" w:cs="宋体"/>
                <w:color w:val="auto"/>
                <w:sz w:val="24"/>
                <w:szCs w:val="24"/>
                <w:highlight w:val="none"/>
                <w:lang w:val="en-US" w:eastAsia="zh-CN"/>
              </w:rPr>
              <w:t>认证体系</w:t>
            </w:r>
            <w:bookmarkEnd w:id="421"/>
          </w:p>
        </w:tc>
        <w:tc>
          <w:tcPr>
            <w:tcW w:w="5996" w:type="dxa"/>
            <w:vAlign w:val="center"/>
          </w:tcPr>
          <w:p w14:paraId="745E57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lang w:val="en-US" w:eastAsia="zh-CN"/>
              </w:rPr>
            </w:pPr>
            <w:bookmarkStart w:id="422" w:name="_Toc10990"/>
            <w:r>
              <w:rPr>
                <w:rFonts w:hint="eastAsia" w:ascii="宋体" w:hAnsi="宋体" w:eastAsia="宋体" w:cs="宋体"/>
                <w:color w:val="auto"/>
                <w:sz w:val="24"/>
                <w:szCs w:val="24"/>
                <w:highlight w:val="none"/>
              </w:rPr>
              <w:t>供应商具有有效的质量管理体系、环境管理体系、职业健康安全管理体系认证证书的，提供一个得1分，最高得3分</w:t>
            </w:r>
            <w:r>
              <w:rPr>
                <w:rFonts w:hint="eastAsia" w:ascii="宋体" w:hAnsi="宋体" w:eastAsia="宋体" w:cs="宋体"/>
                <w:color w:val="auto"/>
                <w:sz w:val="24"/>
                <w:szCs w:val="24"/>
                <w:highlight w:val="none"/>
                <w:lang w:eastAsia="zh-CN"/>
              </w:rPr>
              <w:t>。</w:t>
            </w:r>
            <w:bookmarkEnd w:id="422"/>
          </w:p>
          <w:p w14:paraId="128EAE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23" w:name="_Toc26854"/>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en-US" w:eastAsia="zh-CN"/>
              </w:rPr>
              <w:t>认证</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val="en-US" w:eastAsia="zh-CN"/>
              </w:rPr>
              <w:t>扫描</w:t>
            </w:r>
            <w:r>
              <w:rPr>
                <w:rFonts w:hint="eastAsia" w:ascii="宋体" w:hAnsi="宋体" w:eastAsia="宋体" w:cs="宋体"/>
                <w:b/>
                <w:bCs/>
                <w:color w:val="auto"/>
                <w:sz w:val="24"/>
                <w:szCs w:val="24"/>
                <w:highlight w:val="none"/>
              </w:rPr>
              <w:t>件加盖投标人公章以及全国认证认可信息公共服务平台（https://www.cnca.gov.cn）网页截图，</w:t>
            </w:r>
            <w:r>
              <w:rPr>
                <w:rFonts w:hint="eastAsia" w:ascii="宋体" w:hAnsi="宋体" w:eastAsia="宋体" w:cs="宋体"/>
                <w:b/>
                <w:bCs/>
                <w:color w:val="auto"/>
                <w:sz w:val="24"/>
                <w:szCs w:val="24"/>
                <w:highlight w:val="none"/>
                <w:lang w:val="en-US" w:eastAsia="zh-CN"/>
              </w:rPr>
              <w:t>缺一不得分</w:t>
            </w:r>
            <w:r>
              <w:rPr>
                <w:rFonts w:hint="eastAsia" w:ascii="宋体" w:hAnsi="宋体" w:eastAsia="宋体" w:cs="宋体"/>
                <w:b/>
                <w:bCs/>
                <w:color w:val="auto"/>
                <w:sz w:val="24"/>
                <w:szCs w:val="24"/>
                <w:highlight w:val="none"/>
              </w:rPr>
              <w:t>。</w:t>
            </w:r>
            <w:bookmarkEnd w:id="423"/>
          </w:p>
        </w:tc>
        <w:tc>
          <w:tcPr>
            <w:tcW w:w="793" w:type="dxa"/>
            <w:vAlign w:val="center"/>
          </w:tcPr>
          <w:p w14:paraId="2FF776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lang w:val="en-US" w:eastAsia="zh-CN"/>
              </w:rPr>
            </w:pPr>
            <w:bookmarkStart w:id="424" w:name="_Toc31013"/>
            <w:r>
              <w:rPr>
                <w:rFonts w:hint="eastAsia" w:ascii="宋体" w:hAnsi="宋体" w:eastAsia="宋体" w:cs="宋体"/>
                <w:bCs/>
                <w:color w:val="auto"/>
                <w:sz w:val="24"/>
                <w:szCs w:val="24"/>
                <w:highlight w:val="none"/>
                <w:lang w:val="en-US" w:eastAsia="zh-CN"/>
              </w:rPr>
              <w:t>3</w:t>
            </w:r>
            <w:bookmarkEnd w:id="424"/>
          </w:p>
        </w:tc>
        <w:tc>
          <w:tcPr>
            <w:tcW w:w="1820" w:type="dxa"/>
            <w:vAlign w:val="center"/>
          </w:tcPr>
          <w:p w14:paraId="35F52D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2E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67" w:type="dxa"/>
            <w:vAlign w:val="center"/>
          </w:tcPr>
          <w:p w14:paraId="03D6DA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25" w:name="_Toc3230"/>
            <w:r>
              <w:rPr>
                <w:rFonts w:hint="eastAsia" w:ascii="宋体" w:hAnsi="宋体" w:eastAsia="宋体" w:cs="宋体"/>
                <w:color w:val="auto"/>
                <w:sz w:val="24"/>
                <w:szCs w:val="24"/>
                <w:highlight w:val="none"/>
                <w:lang w:val="en-US" w:eastAsia="zh-CN"/>
              </w:rPr>
              <w:t>4</w:t>
            </w:r>
            <w:bookmarkEnd w:id="425"/>
          </w:p>
        </w:tc>
        <w:tc>
          <w:tcPr>
            <w:tcW w:w="1057" w:type="dxa"/>
            <w:vAlign w:val="center"/>
          </w:tcPr>
          <w:p w14:paraId="324EDA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26" w:name="_Toc23939"/>
            <w:r>
              <w:rPr>
                <w:rFonts w:hint="eastAsia" w:ascii="宋体" w:hAnsi="宋体" w:eastAsia="宋体" w:cs="宋体"/>
                <w:b/>
                <w:color w:val="auto"/>
                <w:sz w:val="24"/>
                <w:szCs w:val="24"/>
                <w:highlight w:val="none"/>
              </w:rPr>
              <w:t>政府采购政策</w:t>
            </w:r>
            <w:bookmarkEnd w:id="426"/>
          </w:p>
        </w:tc>
        <w:tc>
          <w:tcPr>
            <w:tcW w:w="5996" w:type="dxa"/>
            <w:vAlign w:val="center"/>
          </w:tcPr>
          <w:p w14:paraId="7D290F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val="0"/>
                <w:bCs w:val="0"/>
                <w:color w:val="auto"/>
                <w:sz w:val="24"/>
                <w:szCs w:val="24"/>
                <w:highlight w:val="none"/>
              </w:rPr>
            </w:pPr>
            <w:bookmarkStart w:id="427" w:name="_Toc276"/>
            <w:r>
              <w:rPr>
                <w:rFonts w:hint="eastAsia" w:ascii="宋体" w:hAnsi="宋体" w:eastAsia="宋体" w:cs="宋体"/>
                <w:b w:val="0"/>
                <w:bCs w:val="0"/>
                <w:color w:val="auto"/>
                <w:sz w:val="24"/>
                <w:szCs w:val="24"/>
                <w:highlight w:val="none"/>
              </w:rPr>
              <w:t>用于本项目的材料列入政府采购节能产品（已列入强制要求的除外）、环境标志产品品目清单范围的，节能产品1分，环境标志产品1分，本项累计最高得2分。</w:t>
            </w:r>
            <w:bookmarkEnd w:id="427"/>
          </w:p>
          <w:p w14:paraId="46BAC8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28" w:name="_Toc27413"/>
            <w:r>
              <w:rPr>
                <w:rFonts w:hint="eastAsia" w:ascii="宋体" w:hAnsi="宋体" w:eastAsia="宋体" w:cs="宋体"/>
                <w:b/>
                <w:bCs/>
                <w:color w:val="auto"/>
                <w:sz w:val="24"/>
                <w:szCs w:val="24"/>
                <w:highlight w:val="none"/>
              </w:rPr>
              <w:t>【证明材料】依据国家确定的认证机构出具的、处于有效期之内的节能产品、环境标志产品认证证书或产品认证证明材料，否则不得分）。</w:t>
            </w:r>
            <w:bookmarkEnd w:id="428"/>
          </w:p>
        </w:tc>
        <w:tc>
          <w:tcPr>
            <w:tcW w:w="793" w:type="dxa"/>
            <w:vAlign w:val="center"/>
          </w:tcPr>
          <w:p w14:paraId="5072A1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29" w:name="_Toc10408"/>
            <w:r>
              <w:rPr>
                <w:rFonts w:hint="eastAsia" w:ascii="宋体" w:hAnsi="宋体" w:eastAsia="宋体" w:cs="宋体"/>
                <w:bCs/>
                <w:color w:val="auto"/>
                <w:sz w:val="24"/>
                <w:szCs w:val="24"/>
                <w:highlight w:val="none"/>
                <w:lang w:val="en-US" w:eastAsia="zh-CN"/>
              </w:rPr>
              <w:t>2</w:t>
            </w:r>
            <w:bookmarkEnd w:id="429"/>
          </w:p>
        </w:tc>
        <w:tc>
          <w:tcPr>
            <w:tcW w:w="1820" w:type="dxa"/>
            <w:vAlign w:val="center"/>
          </w:tcPr>
          <w:p w14:paraId="0BC617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3FE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67" w:type="dxa"/>
            <w:vMerge w:val="restart"/>
            <w:vAlign w:val="center"/>
          </w:tcPr>
          <w:p w14:paraId="035F3F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30" w:name="_Toc20503"/>
            <w:r>
              <w:rPr>
                <w:rFonts w:hint="eastAsia" w:ascii="宋体" w:hAnsi="宋体" w:eastAsia="宋体" w:cs="宋体"/>
                <w:color w:val="auto"/>
                <w:sz w:val="24"/>
                <w:szCs w:val="24"/>
                <w:highlight w:val="none"/>
                <w:lang w:val="en-US" w:eastAsia="zh-CN"/>
              </w:rPr>
              <w:t>5</w:t>
            </w:r>
            <w:bookmarkEnd w:id="430"/>
          </w:p>
        </w:tc>
        <w:tc>
          <w:tcPr>
            <w:tcW w:w="1057" w:type="dxa"/>
            <w:vMerge w:val="restart"/>
            <w:vAlign w:val="center"/>
          </w:tcPr>
          <w:p w14:paraId="556956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31" w:name="_Toc130"/>
            <w:r>
              <w:rPr>
                <w:rFonts w:hint="eastAsia" w:ascii="宋体" w:hAnsi="宋体" w:eastAsia="宋体" w:cs="宋体"/>
                <w:b w:val="0"/>
                <w:bCs w:val="0"/>
                <w:color w:val="auto"/>
                <w:sz w:val="24"/>
                <w:szCs w:val="24"/>
                <w:highlight w:val="none"/>
              </w:rPr>
              <w:t>总体概述</w:t>
            </w:r>
            <w:bookmarkEnd w:id="431"/>
          </w:p>
        </w:tc>
        <w:tc>
          <w:tcPr>
            <w:tcW w:w="5996" w:type="dxa"/>
            <w:vAlign w:val="center"/>
          </w:tcPr>
          <w:p w14:paraId="0D58D7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32" w:name="_Toc25995"/>
            <w:r>
              <w:rPr>
                <w:rFonts w:hint="eastAsia" w:ascii="宋体" w:hAnsi="宋体" w:eastAsia="宋体" w:cs="宋体"/>
                <w:b w:val="0"/>
                <w:bCs w:val="0"/>
                <w:color w:val="auto"/>
                <w:sz w:val="24"/>
                <w:szCs w:val="24"/>
                <w:highlight w:val="none"/>
              </w:rPr>
              <w:t>工程概况、施工组织总体设想和方案：根据方案的全面性、合理性以及对本项目的针对性进行评审。（评审分值为3分或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32"/>
          </w:p>
        </w:tc>
        <w:tc>
          <w:tcPr>
            <w:tcW w:w="793" w:type="dxa"/>
            <w:vAlign w:val="center"/>
          </w:tcPr>
          <w:p w14:paraId="5103E9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33" w:name="_Toc21573"/>
            <w:r>
              <w:rPr>
                <w:rFonts w:hint="eastAsia" w:ascii="宋体" w:hAnsi="宋体" w:eastAsia="宋体" w:cs="宋体"/>
                <w:bCs/>
                <w:color w:val="auto"/>
                <w:sz w:val="24"/>
                <w:szCs w:val="24"/>
                <w:highlight w:val="none"/>
                <w:lang w:val="en-US" w:eastAsia="zh-CN"/>
              </w:rPr>
              <w:t>3</w:t>
            </w:r>
            <w:bookmarkEnd w:id="433"/>
          </w:p>
        </w:tc>
        <w:tc>
          <w:tcPr>
            <w:tcW w:w="1820" w:type="dxa"/>
            <w:vAlign w:val="center"/>
          </w:tcPr>
          <w:p w14:paraId="19E85A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4D2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4FCE72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vAlign w:val="center"/>
          </w:tcPr>
          <w:p w14:paraId="1724D38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vAlign w:val="center"/>
          </w:tcPr>
          <w:p w14:paraId="53C711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34" w:name="_Toc27780"/>
            <w:r>
              <w:rPr>
                <w:rFonts w:hint="eastAsia" w:ascii="宋体" w:hAnsi="宋体" w:eastAsia="宋体" w:cs="宋体"/>
                <w:b w:val="0"/>
                <w:bCs w:val="0"/>
                <w:color w:val="auto"/>
                <w:sz w:val="24"/>
                <w:szCs w:val="24"/>
                <w:highlight w:val="none"/>
              </w:rPr>
              <w:t>施工阶段划分：根据施工划分的</w:t>
            </w:r>
            <w:r>
              <w:rPr>
                <w:rFonts w:hint="eastAsia" w:ascii="宋体" w:hAnsi="宋体" w:eastAsia="宋体" w:cs="宋体"/>
                <w:b w:val="0"/>
                <w:bCs w:val="0"/>
                <w:color w:val="auto"/>
                <w:sz w:val="24"/>
                <w:szCs w:val="24"/>
                <w:highlight w:val="none"/>
                <w:lang w:val="en-US" w:eastAsia="zh-CN"/>
              </w:rPr>
              <w:t>针对性、</w:t>
            </w:r>
            <w:r>
              <w:rPr>
                <w:rFonts w:hint="eastAsia" w:ascii="宋体" w:hAnsi="宋体" w:eastAsia="宋体" w:cs="宋体"/>
                <w:b w:val="0"/>
                <w:bCs w:val="0"/>
                <w:color w:val="auto"/>
                <w:sz w:val="24"/>
                <w:szCs w:val="24"/>
                <w:highlight w:val="none"/>
              </w:rPr>
              <w:t>合理性，与采购需求及实际特点的符合程度进行评审。（评审分值为3分或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34"/>
          </w:p>
        </w:tc>
        <w:tc>
          <w:tcPr>
            <w:tcW w:w="793" w:type="dxa"/>
            <w:vAlign w:val="center"/>
          </w:tcPr>
          <w:p w14:paraId="0AA19F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35" w:name="_Toc31924"/>
            <w:r>
              <w:rPr>
                <w:rFonts w:hint="eastAsia" w:ascii="宋体" w:hAnsi="宋体" w:eastAsia="宋体" w:cs="宋体"/>
                <w:bCs/>
                <w:color w:val="auto"/>
                <w:sz w:val="24"/>
                <w:szCs w:val="24"/>
                <w:highlight w:val="none"/>
                <w:lang w:val="en-US" w:eastAsia="zh-CN"/>
              </w:rPr>
              <w:t>3</w:t>
            </w:r>
            <w:bookmarkEnd w:id="435"/>
          </w:p>
        </w:tc>
        <w:tc>
          <w:tcPr>
            <w:tcW w:w="1820" w:type="dxa"/>
            <w:vAlign w:val="center"/>
          </w:tcPr>
          <w:p w14:paraId="47A241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CE9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4DDA81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36" w:name="_Toc28365"/>
            <w:r>
              <w:rPr>
                <w:rFonts w:hint="eastAsia" w:ascii="宋体" w:hAnsi="宋体" w:eastAsia="宋体" w:cs="宋体"/>
                <w:color w:val="auto"/>
                <w:sz w:val="24"/>
                <w:szCs w:val="24"/>
                <w:highlight w:val="none"/>
                <w:lang w:val="en-US" w:eastAsia="zh-CN"/>
              </w:rPr>
              <w:t>6</w:t>
            </w:r>
            <w:bookmarkEnd w:id="436"/>
          </w:p>
        </w:tc>
        <w:tc>
          <w:tcPr>
            <w:tcW w:w="1057" w:type="dxa"/>
            <w:vMerge w:val="restart"/>
            <w:vAlign w:val="center"/>
          </w:tcPr>
          <w:p w14:paraId="0B484D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37" w:name="_Toc26676"/>
            <w:r>
              <w:rPr>
                <w:rFonts w:hint="eastAsia" w:ascii="宋体" w:hAnsi="宋体" w:eastAsia="宋体" w:cs="宋体"/>
                <w:b w:val="0"/>
                <w:bCs w:val="0"/>
                <w:color w:val="auto"/>
                <w:sz w:val="24"/>
                <w:szCs w:val="24"/>
                <w:highlight w:val="none"/>
              </w:rPr>
              <w:t>重难点分析</w:t>
            </w:r>
            <w:r>
              <w:rPr>
                <w:rFonts w:hint="eastAsia" w:ascii="宋体" w:hAnsi="宋体" w:eastAsia="宋体" w:cs="宋体"/>
                <w:b w:val="0"/>
                <w:bCs w:val="0"/>
                <w:color w:val="auto"/>
                <w:sz w:val="24"/>
                <w:szCs w:val="24"/>
                <w:highlight w:val="none"/>
                <w:lang w:val="en-US" w:eastAsia="zh-CN"/>
              </w:rPr>
              <w:t>及控制措施</w:t>
            </w:r>
            <w:bookmarkEnd w:id="437"/>
          </w:p>
        </w:tc>
        <w:tc>
          <w:tcPr>
            <w:tcW w:w="5996" w:type="dxa"/>
            <w:vAlign w:val="center"/>
          </w:tcPr>
          <w:p w14:paraId="56688E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38" w:name="_Toc9691"/>
            <w:r>
              <w:rPr>
                <w:rFonts w:hint="eastAsia" w:ascii="宋体" w:hAnsi="宋体" w:eastAsia="宋体" w:cs="宋体"/>
                <w:b w:val="0"/>
                <w:bCs w:val="0"/>
                <w:color w:val="auto"/>
                <w:sz w:val="24"/>
                <w:szCs w:val="24"/>
                <w:highlight w:val="none"/>
              </w:rPr>
              <w:t>施工方案重难点分析：根据重难点分析方案</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完善性、符合性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合理性</w:t>
            </w:r>
            <w:r>
              <w:rPr>
                <w:rFonts w:hint="eastAsia" w:ascii="宋体" w:hAnsi="宋体" w:eastAsia="宋体" w:cs="宋体"/>
                <w:b w:val="0"/>
                <w:bCs w:val="0"/>
                <w:color w:val="auto"/>
                <w:sz w:val="24"/>
                <w:szCs w:val="24"/>
                <w:highlight w:val="none"/>
              </w:rPr>
              <w:t>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38"/>
          </w:p>
        </w:tc>
        <w:tc>
          <w:tcPr>
            <w:tcW w:w="793" w:type="dxa"/>
            <w:vAlign w:val="center"/>
          </w:tcPr>
          <w:p w14:paraId="409942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39" w:name="_Toc25731"/>
            <w:r>
              <w:rPr>
                <w:rFonts w:hint="eastAsia" w:ascii="宋体" w:hAnsi="宋体" w:eastAsia="宋体" w:cs="宋体"/>
                <w:bCs/>
                <w:color w:val="auto"/>
                <w:sz w:val="24"/>
                <w:szCs w:val="24"/>
                <w:highlight w:val="none"/>
                <w:lang w:val="en-US" w:eastAsia="zh-CN"/>
              </w:rPr>
              <w:t>3</w:t>
            </w:r>
            <w:bookmarkEnd w:id="439"/>
          </w:p>
        </w:tc>
        <w:tc>
          <w:tcPr>
            <w:tcW w:w="1820" w:type="dxa"/>
            <w:vAlign w:val="center"/>
          </w:tcPr>
          <w:p w14:paraId="0F54BF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C54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91FB7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vAlign w:val="center"/>
          </w:tcPr>
          <w:p w14:paraId="70E127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vAlign w:val="center"/>
          </w:tcPr>
          <w:p w14:paraId="403452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40" w:name="_Toc8739"/>
            <w:r>
              <w:rPr>
                <w:rFonts w:hint="eastAsia" w:ascii="宋体" w:hAnsi="宋体" w:eastAsia="宋体" w:cs="宋体"/>
                <w:b w:val="0"/>
                <w:bCs w:val="0"/>
                <w:color w:val="auto"/>
                <w:sz w:val="24"/>
                <w:szCs w:val="24"/>
                <w:highlight w:val="none"/>
              </w:rPr>
              <w:t>施工重难点对应控制措施：根据</w:t>
            </w:r>
            <w:r>
              <w:rPr>
                <w:rFonts w:hint="eastAsia" w:ascii="宋体" w:hAnsi="宋体" w:eastAsia="宋体" w:cs="宋体"/>
                <w:b w:val="0"/>
                <w:bCs w:val="0"/>
                <w:color w:val="auto"/>
                <w:sz w:val="24"/>
                <w:szCs w:val="24"/>
                <w:highlight w:val="none"/>
                <w:lang w:val="en-US" w:eastAsia="zh-CN"/>
              </w:rPr>
              <w:t>控制</w:t>
            </w:r>
            <w:r>
              <w:rPr>
                <w:rFonts w:hint="eastAsia" w:ascii="宋体" w:hAnsi="宋体" w:eastAsia="宋体" w:cs="宋体"/>
                <w:b w:val="0"/>
                <w:bCs w:val="0"/>
                <w:color w:val="auto"/>
                <w:sz w:val="24"/>
                <w:szCs w:val="24"/>
                <w:highlight w:val="none"/>
              </w:rPr>
              <w:t>措施的科学性、</w:t>
            </w:r>
            <w:r>
              <w:rPr>
                <w:rFonts w:hint="eastAsia" w:ascii="宋体" w:hAnsi="宋体" w:eastAsia="宋体" w:cs="宋体"/>
                <w:b w:val="0"/>
                <w:bCs w:val="0"/>
                <w:color w:val="auto"/>
                <w:sz w:val="24"/>
                <w:szCs w:val="24"/>
                <w:highlight w:val="none"/>
                <w:lang w:val="en-US" w:eastAsia="zh-CN"/>
              </w:rPr>
              <w:t>可行</w:t>
            </w:r>
            <w:r>
              <w:rPr>
                <w:rFonts w:hint="eastAsia" w:ascii="宋体" w:hAnsi="宋体" w:eastAsia="宋体" w:cs="宋体"/>
                <w:b w:val="0"/>
                <w:bCs w:val="0"/>
                <w:color w:val="auto"/>
                <w:sz w:val="24"/>
                <w:szCs w:val="24"/>
                <w:highlight w:val="none"/>
              </w:rPr>
              <w:t>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合理性</w:t>
            </w:r>
            <w:r>
              <w:rPr>
                <w:rFonts w:hint="eastAsia" w:ascii="宋体" w:hAnsi="宋体" w:eastAsia="宋体" w:cs="宋体"/>
                <w:b w:val="0"/>
                <w:bCs w:val="0"/>
                <w:color w:val="auto"/>
                <w:sz w:val="24"/>
                <w:szCs w:val="24"/>
                <w:highlight w:val="none"/>
              </w:rPr>
              <w:t>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40"/>
          </w:p>
        </w:tc>
        <w:tc>
          <w:tcPr>
            <w:tcW w:w="793" w:type="dxa"/>
            <w:vAlign w:val="center"/>
          </w:tcPr>
          <w:p w14:paraId="517456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41" w:name="_Toc6954"/>
            <w:r>
              <w:rPr>
                <w:rFonts w:hint="eastAsia" w:ascii="宋体" w:hAnsi="宋体" w:eastAsia="宋体" w:cs="宋体"/>
                <w:bCs/>
                <w:color w:val="auto"/>
                <w:sz w:val="24"/>
                <w:szCs w:val="24"/>
                <w:highlight w:val="none"/>
                <w:lang w:val="en-US" w:eastAsia="zh-CN"/>
              </w:rPr>
              <w:t>3</w:t>
            </w:r>
            <w:bookmarkEnd w:id="441"/>
          </w:p>
        </w:tc>
        <w:tc>
          <w:tcPr>
            <w:tcW w:w="1820" w:type="dxa"/>
            <w:vAlign w:val="center"/>
          </w:tcPr>
          <w:p w14:paraId="310271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241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F5B2F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42" w:name="_Toc32333"/>
            <w:r>
              <w:rPr>
                <w:rFonts w:hint="eastAsia" w:ascii="宋体" w:hAnsi="宋体" w:eastAsia="宋体" w:cs="宋体"/>
                <w:color w:val="auto"/>
                <w:sz w:val="24"/>
                <w:szCs w:val="24"/>
                <w:highlight w:val="none"/>
                <w:lang w:val="en-US" w:eastAsia="zh-CN"/>
              </w:rPr>
              <w:t>7</w:t>
            </w:r>
            <w:bookmarkEnd w:id="442"/>
          </w:p>
        </w:tc>
        <w:tc>
          <w:tcPr>
            <w:tcW w:w="1057" w:type="dxa"/>
            <w:shd w:val="clear" w:color="auto" w:fill="auto"/>
            <w:vAlign w:val="center"/>
          </w:tcPr>
          <w:p w14:paraId="5DDB4C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43" w:name="_Toc32366"/>
            <w:r>
              <w:rPr>
                <w:rFonts w:hint="eastAsia" w:ascii="宋体" w:hAnsi="宋体" w:eastAsia="宋体" w:cs="宋体"/>
                <w:color w:val="auto"/>
                <w:sz w:val="24"/>
                <w:szCs w:val="24"/>
                <w:highlight w:val="none"/>
                <w:lang w:val="en-US" w:eastAsia="zh-CN"/>
              </w:rPr>
              <w:t>进度计划</w:t>
            </w:r>
            <w:bookmarkEnd w:id="443"/>
          </w:p>
        </w:tc>
        <w:tc>
          <w:tcPr>
            <w:tcW w:w="5996" w:type="dxa"/>
            <w:shd w:val="clear" w:color="auto" w:fill="auto"/>
            <w:vAlign w:val="center"/>
          </w:tcPr>
          <w:p w14:paraId="6728A3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44" w:name="_Toc1246"/>
            <w:r>
              <w:rPr>
                <w:rFonts w:hint="eastAsia" w:ascii="宋体" w:hAnsi="宋体" w:eastAsia="宋体" w:cs="宋体"/>
                <w:b w:val="0"/>
                <w:bCs w:val="0"/>
                <w:color w:val="auto"/>
                <w:sz w:val="24"/>
                <w:szCs w:val="24"/>
                <w:highlight w:val="none"/>
              </w:rPr>
              <w:t>施工各阶段进度计划及施工施工进度计划网络图：根据施工进度计划的</w:t>
            </w:r>
            <w:r>
              <w:rPr>
                <w:rFonts w:hint="eastAsia" w:ascii="宋体" w:hAnsi="宋体" w:eastAsia="宋体" w:cs="宋体"/>
                <w:b w:val="0"/>
                <w:bCs w:val="0"/>
                <w:color w:val="auto"/>
                <w:sz w:val="24"/>
                <w:szCs w:val="24"/>
                <w:highlight w:val="none"/>
                <w:lang w:val="en-US" w:eastAsia="zh-CN"/>
              </w:rPr>
              <w:t>科学性、</w:t>
            </w:r>
            <w:r>
              <w:rPr>
                <w:rFonts w:hint="eastAsia" w:ascii="宋体" w:hAnsi="宋体" w:eastAsia="宋体" w:cs="宋体"/>
                <w:b w:val="0"/>
                <w:bCs w:val="0"/>
                <w:color w:val="auto"/>
                <w:sz w:val="24"/>
                <w:szCs w:val="24"/>
                <w:highlight w:val="none"/>
              </w:rPr>
              <w:t>合理性、可行性、对本项目的针对性以及网络图表达的清晰程度、内容完善度以及内容的合理性、可行性进行评审。（评审分值为</w:t>
            </w:r>
            <w:r>
              <w:rPr>
                <w:rFonts w:hint="eastAsia" w:ascii="宋体" w:hAnsi="宋体" w:eastAsia="宋体" w:cs="宋体"/>
                <w:b w:val="0"/>
                <w:bCs w:val="0"/>
                <w:color w:val="auto"/>
                <w:sz w:val="24"/>
                <w:szCs w:val="24"/>
                <w:highlight w:val="none"/>
                <w:lang w:val="en-US" w:eastAsia="zh-CN"/>
              </w:rPr>
              <w:t>4分或3.5分或</w:t>
            </w:r>
            <w:r>
              <w:rPr>
                <w:rFonts w:hint="eastAsia" w:ascii="宋体" w:hAnsi="宋体" w:eastAsia="宋体" w:cs="宋体"/>
                <w:b w:val="0"/>
                <w:bCs w:val="0"/>
                <w:color w:val="auto"/>
                <w:sz w:val="24"/>
                <w:szCs w:val="24"/>
                <w:highlight w:val="none"/>
              </w:rPr>
              <w:t>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44"/>
          </w:p>
        </w:tc>
        <w:tc>
          <w:tcPr>
            <w:tcW w:w="793" w:type="dxa"/>
            <w:shd w:val="clear" w:color="auto" w:fill="auto"/>
            <w:vAlign w:val="center"/>
          </w:tcPr>
          <w:p w14:paraId="0D8C7D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45" w:name="_Toc4807"/>
            <w:r>
              <w:rPr>
                <w:rFonts w:hint="eastAsia" w:ascii="宋体" w:hAnsi="宋体" w:eastAsia="宋体" w:cs="宋体"/>
                <w:bCs/>
                <w:color w:val="auto"/>
                <w:sz w:val="24"/>
                <w:szCs w:val="24"/>
                <w:highlight w:val="none"/>
                <w:lang w:val="en-US" w:eastAsia="zh-CN"/>
              </w:rPr>
              <w:t>4</w:t>
            </w:r>
            <w:bookmarkEnd w:id="445"/>
          </w:p>
        </w:tc>
        <w:tc>
          <w:tcPr>
            <w:tcW w:w="1820" w:type="dxa"/>
            <w:vAlign w:val="center"/>
          </w:tcPr>
          <w:p w14:paraId="55C61C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65D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349F06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46" w:name="_Toc9292"/>
            <w:r>
              <w:rPr>
                <w:rFonts w:hint="eastAsia" w:ascii="宋体" w:hAnsi="宋体" w:eastAsia="宋体" w:cs="宋体"/>
                <w:color w:val="auto"/>
                <w:sz w:val="24"/>
                <w:szCs w:val="24"/>
                <w:highlight w:val="none"/>
                <w:lang w:val="en-US" w:eastAsia="zh-CN"/>
              </w:rPr>
              <w:t>8</w:t>
            </w:r>
            <w:bookmarkEnd w:id="446"/>
          </w:p>
        </w:tc>
        <w:tc>
          <w:tcPr>
            <w:tcW w:w="1057" w:type="dxa"/>
            <w:vMerge w:val="restart"/>
            <w:shd w:val="clear" w:color="auto" w:fill="auto"/>
            <w:vAlign w:val="center"/>
          </w:tcPr>
          <w:p w14:paraId="5DFBE9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47" w:name="_Toc8497"/>
            <w:r>
              <w:rPr>
                <w:rFonts w:hint="eastAsia" w:ascii="宋体" w:hAnsi="宋体" w:eastAsia="宋体" w:cs="宋体"/>
                <w:b w:val="0"/>
                <w:bCs w:val="0"/>
                <w:color w:val="auto"/>
                <w:sz w:val="24"/>
                <w:szCs w:val="24"/>
                <w:highlight w:val="none"/>
              </w:rPr>
              <w:t>劳动力、材料投入安排</w:t>
            </w:r>
            <w:bookmarkEnd w:id="447"/>
          </w:p>
        </w:tc>
        <w:tc>
          <w:tcPr>
            <w:tcW w:w="5996" w:type="dxa"/>
            <w:shd w:val="clear" w:color="auto" w:fill="auto"/>
            <w:vAlign w:val="center"/>
          </w:tcPr>
          <w:p w14:paraId="317E20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48" w:name="_Toc11417"/>
            <w:r>
              <w:rPr>
                <w:rFonts w:hint="eastAsia" w:ascii="宋体" w:hAnsi="宋体" w:eastAsia="宋体" w:cs="宋体"/>
                <w:b w:val="0"/>
                <w:bCs w:val="0"/>
                <w:color w:val="auto"/>
                <w:sz w:val="24"/>
                <w:szCs w:val="24"/>
                <w:highlight w:val="none"/>
              </w:rPr>
              <w:t>劳动力投入安排：根据安排的科学性、合理性，以及整体考虑的全面性，对采购项目实施的有利程度进行评审。（评审分值为3分或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48"/>
          </w:p>
        </w:tc>
        <w:tc>
          <w:tcPr>
            <w:tcW w:w="793" w:type="dxa"/>
            <w:shd w:val="clear" w:color="auto" w:fill="auto"/>
            <w:vAlign w:val="center"/>
          </w:tcPr>
          <w:p w14:paraId="038BDC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49" w:name="_Toc201"/>
            <w:r>
              <w:rPr>
                <w:rFonts w:hint="eastAsia" w:ascii="宋体" w:hAnsi="宋体" w:eastAsia="宋体" w:cs="宋体"/>
                <w:bCs/>
                <w:color w:val="auto"/>
                <w:sz w:val="24"/>
                <w:szCs w:val="24"/>
                <w:highlight w:val="none"/>
                <w:lang w:val="en-US" w:eastAsia="zh-CN"/>
              </w:rPr>
              <w:t>3</w:t>
            </w:r>
            <w:bookmarkEnd w:id="449"/>
          </w:p>
        </w:tc>
        <w:tc>
          <w:tcPr>
            <w:tcW w:w="1820" w:type="dxa"/>
            <w:vAlign w:val="center"/>
          </w:tcPr>
          <w:p w14:paraId="7C74F4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379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91813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13F1E9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7AB0E6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rPr>
            </w:pPr>
            <w:bookmarkStart w:id="450" w:name="_Toc27373"/>
            <w:r>
              <w:rPr>
                <w:rFonts w:hint="eastAsia" w:ascii="宋体" w:hAnsi="宋体" w:eastAsia="宋体" w:cs="宋体"/>
                <w:b w:val="0"/>
                <w:bCs w:val="0"/>
                <w:color w:val="auto"/>
                <w:sz w:val="24"/>
                <w:szCs w:val="24"/>
                <w:highlight w:val="none"/>
              </w:rPr>
              <w:t>材料投入安排：根据安排的科学性、合理性，以及整体考虑的全面性，对采购项目实施的有利程度进行评审。（评审分值为3分或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50"/>
          </w:p>
        </w:tc>
        <w:tc>
          <w:tcPr>
            <w:tcW w:w="793" w:type="dxa"/>
            <w:shd w:val="clear" w:color="auto" w:fill="auto"/>
            <w:vAlign w:val="center"/>
          </w:tcPr>
          <w:p w14:paraId="7678F5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51" w:name="_Toc23193"/>
            <w:r>
              <w:rPr>
                <w:rFonts w:hint="eastAsia" w:ascii="宋体" w:hAnsi="宋体" w:eastAsia="宋体" w:cs="宋体"/>
                <w:bCs/>
                <w:color w:val="auto"/>
                <w:sz w:val="24"/>
                <w:szCs w:val="24"/>
                <w:highlight w:val="none"/>
                <w:lang w:val="en-US" w:eastAsia="zh-CN"/>
              </w:rPr>
              <w:t>3</w:t>
            </w:r>
            <w:bookmarkEnd w:id="451"/>
          </w:p>
        </w:tc>
        <w:tc>
          <w:tcPr>
            <w:tcW w:w="1820" w:type="dxa"/>
            <w:vAlign w:val="center"/>
          </w:tcPr>
          <w:p w14:paraId="38B2BA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81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67" w:type="dxa"/>
            <w:vAlign w:val="center"/>
          </w:tcPr>
          <w:p w14:paraId="2FE0B0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52" w:name="_Toc6847"/>
            <w:r>
              <w:rPr>
                <w:rFonts w:hint="eastAsia" w:ascii="宋体" w:hAnsi="宋体" w:eastAsia="宋体" w:cs="宋体"/>
                <w:color w:val="auto"/>
                <w:sz w:val="24"/>
                <w:szCs w:val="24"/>
                <w:highlight w:val="none"/>
                <w:lang w:val="en-US" w:eastAsia="zh-CN"/>
              </w:rPr>
              <w:t>9</w:t>
            </w:r>
            <w:bookmarkEnd w:id="452"/>
          </w:p>
        </w:tc>
        <w:tc>
          <w:tcPr>
            <w:tcW w:w="1057" w:type="dxa"/>
            <w:shd w:val="clear" w:color="auto" w:fill="auto"/>
            <w:vAlign w:val="center"/>
          </w:tcPr>
          <w:p w14:paraId="1054D7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53" w:name="_Toc8320"/>
            <w:r>
              <w:rPr>
                <w:rFonts w:hint="eastAsia" w:ascii="宋体" w:hAnsi="宋体" w:eastAsia="宋体" w:cs="宋体"/>
                <w:b w:val="0"/>
                <w:bCs w:val="0"/>
                <w:color w:val="auto"/>
                <w:sz w:val="24"/>
                <w:szCs w:val="24"/>
                <w:highlight w:val="none"/>
              </w:rPr>
              <w:t>施工材料选用</w:t>
            </w:r>
            <w:bookmarkEnd w:id="453"/>
          </w:p>
        </w:tc>
        <w:tc>
          <w:tcPr>
            <w:tcW w:w="5996" w:type="dxa"/>
            <w:shd w:val="clear" w:color="auto" w:fill="auto"/>
            <w:vAlign w:val="center"/>
          </w:tcPr>
          <w:p w14:paraId="667311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54" w:name="_Toc8593"/>
            <w:r>
              <w:rPr>
                <w:rFonts w:hint="eastAsia" w:ascii="宋体" w:hAnsi="宋体" w:eastAsia="宋体" w:cs="宋体"/>
                <w:b w:val="0"/>
                <w:bCs w:val="0"/>
                <w:color w:val="auto"/>
                <w:sz w:val="24"/>
                <w:szCs w:val="24"/>
                <w:highlight w:val="none"/>
              </w:rPr>
              <w:t>施工材料选用、品牌情况；根据选用的施工材料对项目需求的满足程度，对项目实施的有利程度进行评审。（评审分值为</w:t>
            </w:r>
            <w:r>
              <w:rPr>
                <w:rFonts w:hint="eastAsia" w:ascii="宋体" w:hAnsi="宋体" w:eastAsia="宋体" w:cs="宋体"/>
                <w:b w:val="0"/>
                <w:bCs w:val="0"/>
                <w:color w:val="auto"/>
                <w:sz w:val="24"/>
                <w:szCs w:val="24"/>
                <w:highlight w:val="none"/>
                <w:lang w:val="en-US" w:eastAsia="zh-CN"/>
              </w:rPr>
              <w:t>5分或4分或3分或2分或1分或0分</w:t>
            </w:r>
            <w:r>
              <w:rPr>
                <w:rFonts w:hint="eastAsia" w:ascii="宋体" w:hAnsi="宋体" w:eastAsia="宋体" w:cs="宋体"/>
                <w:b w:val="0"/>
                <w:bCs w:val="0"/>
                <w:color w:val="auto"/>
                <w:sz w:val="24"/>
                <w:szCs w:val="24"/>
                <w:highlight w:val="none"/>
              </w:rPr>
              <w:t>）</w:t>
            </w:r>
            <w:bookmarkEnd w:id="454"/>
          </w:p>
        </w:tc>
        <w:tc>
          <w:tcPr>
            <w:tcW w:w="793" w:type="dxa"/>
            <w:shd w:val="clear" w:color="auto" w:fill="auto"/>
            <w:vAlign w:val="center"/>
          </w:tcPr>
          <w:p w14:paraId="44D77E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55" w:name="_Toc30870"/>
            <w:r>
              <w:rPr>
                <w:rFonts w:hint="eastAsia" w:ascii="宋体" w:hAnsi="宋体" w:eastAsia="宋体" w:cs="宋体"/>
                <w:bCs/>
                <w:color w:val="auto"/>
                <w:sz w:val="24"/>
                <w:szCs w:val="24"/>
                <w:highlight w:val="none"/>
                <w:lang w:val="en-US" w:eastAsia="zh-CN"/>
              </w:rPr>
              <w:t>5</w:t>
            </w:r>
            <w:bookmarkEnd w:id="455"/>
          </w:p>
        </w:tc>
        <w:tc>
          <w:tcPr>
            <w:tcW w:w="1820" w:type="dxa"/>
            <w:vAlign w:val="center"/>
          </w:tcPr>
          <w:p w14:paraId="1250CE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201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A547E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56" w:name="_Toc29006"/>
            <w:r>
              <w:rPr>
                <w:rFonts w:hint="eastAsia" w:ascii="宋体" w:hAnsi="宋体" w:eastAsia="宋体" w:cs="宋体"/>
                <w:color w:val="auto"/>
                <w:sz w:val="24"/>
                <w:szCs w:val="24"/>
                <w:highlight w:val="none"/>
                <w:lang w:val="en-US" w:eastAsia="zh-CN"/>
              </w:rPr>
              <w:t>10</w:t>
            </w:r>
            <w:bookmarkEnd w:id="456"/>
          </w:p>
        </w:tc>
        <w:tc>
          <w:tcPr>
            <w:tcW w:w="1057" w:type="dxa"/>
            <w:vMerge w:val="restart"/>
            <w:shd w:val="clear" w:color="auto" w:fill="auto"/>
            <w:vAlign w:val="center"/>
          </w:tcPr>
          <w:p w14:paraId="41B584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57" w:name="_Toc10370"/>
            <w:r>
              <w:rPr>
                <w:rFonts w:hint="eastAsia" w:ascii="宋体" w:hAnsi="宋体" w:eastAsia="宋体" w:cs="宋体"/>
                <w:color w:val="auto"/>
                <w:sz w:val="24"/>
                <w:szCs w:val="24"/>
                <w:highlight w:val="none"/>
                <w:lang w:val="en-US" w:eastAsia="zh-CN"/>
              </w:rPr>
              <w:t>施工质量保障方案</w:t>
            </w:r>
            <w:bookmarkEnd w:id="457"/>
          </w:p>
        </w:tc>
        <w:tc>
          <w:tcPr>
            <w:tcW w:w="5996" w:type="dxa"/>
            <w:shd w:val="clear" w:color="auto" w:fill="auto"/>
            <w:vAlign w:val="center"/>
          </w:tcPr>
          <w:p w14:paraId="3DA795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58" w:name="_Toc3780"/>
            <w:r>
              <w:rPr>
                <w:rFonts w:hint="eastAsia" w:ascii="宋体" w:hAnsi="宋体" w:eastAsia="宋体" w:cs="宋体"/>
                <w:b w:val="0"/>
                <w:bCs w:val="0"/>
                <w:color w:val="auto"/>
                <w:sz w:val="24"/>
                <w:szCs w:val="24"/>
                <w:highlight w:val="none"/>
              </w:rPr>
              <w:t>施工过程中</w:t>
            </w:r>
            <w:r>
              <w:rPr>
                <w:rFonts w:hint="eastAsia" w:ascii="宋体" w:hAnsi="宋体" w:eastAsia="宋体" w:cs="宋体"/>
                <w:b w:val="0"/>
                <w:bCs w:val="0"/>
                <w:color w:val="auto"/>
                <w:sz w:val="24"/>
                <w:szCs w:val="24"/>
                <w:highlight w:val="none"/>
                <w:lang w:val="en-US" w:eastAsia="zh-CN"/>
              </w:rPr>
              <w:t>质量</w:t>
            </w:r>
            <w:r>
              <w:rPr>
                <w:rFonts w:hint="eastAsia" w:ascii="宋体" w:hAnsi="宋体" w:eastAsia="宋体" w:cs="宋体"/>
                <w:b w:val="0"/>
                <w:bCs w:val="0"/>
                <w:color w:val="auto"/>
                <w:sz w:val="24"/>
                <w:szCs w:val="24"/>
                <w:highlight w:val="none"/>
              </w:rPr>
              <w:t>保障方案：根据方案的全面性、科学性、合理性进行评审。（评审分值为3分或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58"/>
          </w:p>
        </w:tc>
        <w:tc>
          <w:tcPr>
            <w:tcW w:w="793" w:type="dxa"/>
            <w:shd w:val="clear" w:color="auto" w:fill="auto"/>
            <w:vAlign w:val="center"/>
          </w:tcPr>
          <w:p w14:paraId="179B75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59" w:name="_Toc10386"/>
            <w:r>
              <w:rPr>
                <w:rFonts w:hint="eastAsia" w:ascii="宋体" w:hAnsi="宋体" w:eastAsia="宋体" w:cs="宋体"/>
                <w:bCs/>
                <w:color w:val="auto"/>
                <w:sz w:val="24"/>
                <w:szCs w:val="24"/>
                <w:highlight w:val="none"/>
                <w:lang w:val="en-US" w:eastAsia="zh-CN"/>
              </w:rPr>
              <w:t>3</w:t>
            </w:r>
            <w:bookmarkEnd w:id="459"/>
          </w:p>
        </w:tc>
        <w:tc>
          <w:tcPr>
            <w:tcW w:w="1820" w:type="dxa"/>
            <w:vAlign w:val="center"/>
          </w:tcPr>
          <w:p w14:paraId="4697D2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2FC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67" w:type="dxa"/>
            <w:vMerge w:val="continue"/>
            <w:vAlign w:val="center"/>
          </w:tcPr>
          <w:p w14:paraId="0F631D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05444E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0A62627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lang w:eastAsia="zh-CN"/>
              </w:rPr>
            </w:pPr>
            <w:bookmarkStart w:id="460" w:name="_Toc25818"/>
            <w:r>
              <w:rPr>
                <w:rFonts w:hint="eastAsia" w:ascii="宋体" w:hAnsi="宋体" w:eastAsia="宋体" w:cs="宋体"/>
                <w:b w:val="0"/>
                <w:bCs w:val="0"/>
                <w:color w:val="auto"/>
                <w:sz w:val="24"/>
                <w:szCs w:val="24"/>
                <w:highlight w:val="none"/>
              </w:rPr>
              <w:t>施工完毕后自检方案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根据方案的全面性、科学性、合理性进行评审。（评审分值为3分或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0"/>
          </w:p>
        </w:tc>
        <w:tc>
          <w:tcPr>
            <w:tcW w:w="793" w:type="dxa"/>
            <w:shd w:val="clear" w:color="auto" w:fill="auto"/>
            <w:vAlign w:val="center"/>
          </w:tcPr>
          <w:p w14:paraId="18749B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61" w:name="_Toc1183"/>
            <w:r>
              <w:rPr>
                <w:rFonts w:hint="eastAsia" w:ascii="宋体" w:hAnsi="宋体" w:eastAsia="宋体" w:cs="宋体"/>
                <w:bCs/>
                <w:color w:val="auto"/>
                <w:sz w:val="24"/>
                <w:szCs w:val="24"/>
                <w:highlight w:val="none"/>
                <w:lang w:val="en-US" w:eastAsia="zh-CN"/>
              </w:rPr>
              <w:t>3</w:t>
            </w:r>
            <w:bookmarkEnd w:id="461"/>
          </w:p>
        </w:tc>
        <w:tc>
          <w:tcPr>
            <w:tcW w:w="1820" w:type="dxa"/>
            <w:vAlign w:val="center"/>
          </w:tcPr>
          <w:p w14:paraId="60F67F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179A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01FC7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62" w:name="_Toc4709"/>
            <w:r>
              <w:rPr>
                <w:rFonts w:hint="eastAsia" w:ascii="宋体" w:hAnsi="宋体" w:eastAsia="宋体" w:cs="宋体"/>
                <w:color w:val="auto"/>
                <w:sz w:val="24"/>
                <w:szCs w:val="24"/>
                <w:highlight w:val="none"/>
                <w:lang w:val="en-US" w:eastAsia="zh-CN"/>
              </w:rPr>
              <w:t>11</w:t>
            </w:r>
            <w:bookmarkEnd w:id="462"/>
          </w:p>
        </w:tc>
        <w:tc>
          <w:tcPr>
            <w:tcW w:w="1057" w:type="dxa"/>
            <w:vMerge w:val="restart"/>
            <w:shd w:val="clear" w:color="auto" w:fill="auto"/>
            <w:vAlign w:val="center"/>
          </w:tcPr>
          <w:p w14:paraId="45F3DC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63" w:name="_Toc8449"/>
            <w:r>
              <w:rPr>
                <w:rFonts w:hint="eastAsia" w:ascii="宋体" w:hAnsi="宋体" w:eastAsia="宋体" w:cs="宋体"/>
                <w:color w:val="auto"/>
                <w:sz w:val="24"/>
                <w:szCs w:val="24"/>
                <w:highlight w:val="none"/>
                <w:lang w:val="en-US" w:eastAsia="zh-CN"/>
              </w:rPr>
              <w:t>安全文明施工</w:t>
            </w:r>
            <w:bookmarkEnd w:id="463"/>
          </w:p>
        </w:tc>
        <w:tc>
          <w:tcPr>
            <w:tcW w:w="5996" w:type="dxa"/>
            <w:shd w:val="clear" w:color="auto" w:fill="auto"/>
            <w:vAlign w:val="center"/>
          </w:tcPr>
          <w:p w14:paraId="3A1ADF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64" w:name="_Toc4052"/>
            <w:r>
              <w:rPr>
                <w:rFonts w:hint="eastAsia" w:ascii="宋体" w:hAnsi="宋体" w:eastAsia="宋体" w:cs="宋体"/>
                <w:b w:val="0"/>
                <w:bCs w:val="0"/>
                <w:color w:val="auto"/>
                <w:sz w:val="24"/>
                <w:szCs w:val="24"/>
                <w:highlight w:val="none"/>
              </w:rPr>
              <w:t>文明施工管理制：根据</w:t>
            </w:r>
            <w:r>
              <w:rPr>
                <w:rFonts w:hint="eastAsia" w:ascii="宋体" w:hAnsi="宋体" w:eastAsia="宋体" w:cs="宋体"/>
                <w:b w:val="0"/>
                <w:bCs w:val="0"/>
                <w:color w:val="auto"/>
                <w:sz w:val="24"/>
                <w:szCs w:val="24"/>
                <w:highlight w:val="none"/>
                <w:lang w:val="en-US" w:eastAsia="zh-CN"/>
              </w:rPr>
              <w:t>管理制度</w:t>
            </w:r>
            <w:r>
              <w:rPr>
                <w:rFonts w:hint="eastAsia" w:ascii="宋体" w:hAnsi="宋体" w:eastAsia="宋体" w:cs="宋体"/>
                <w:b w:val="0"/>
                <w:bCs w:val="0"/>
                <w:color w:val="auto"/>
                <w:sz w:val="24"/>
                <w:szCs w:val="24"/>
                <w:highlight w:val="none"/>
              </w:rPr>
              <w:t>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4"/>
          </w:p>
        </w:tc>
        <w:tc>
          <w:tcPr>
            <w:tcW w:w="793" w:type="dxa"/>
            <w:shd w:val="clear" w:color="auto" w:fill="auto"/>
            <w:vAlign w:val="center"/>
          </w:tcPr>
          <w:p w14:paraId="6BA36F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65" w:name="_Toc27671"/>
            <w:r>
              <w:rPr>
                <w:rFonts w:hint="eastAsia" w:ascii="宋体" w:hAnsi="宋体" w:eastAsia="宋体" w:cs="宋体"/>
                <w:bCs/>
                <w:color w:val="auto"/>
                <w:sz w:val="24"/>
                <w:szCs w:val="24"/>
                <w:highlight w:val="none"/>
                <w:lang w:val="en-US" w:eastAsia="zh-CN"/>
              </w:rPr>
              <w:t>3</w:t>
            </w:r>
            <w:bookmarkEnd w:id="465"/>
          </w:p>
        </w:tc>
        <w:tc>
          <w:tcPr>
            <w:tcW w:w="1820" w:type="dxa"/>
            <w:vAlign w:val="center"/>
          </w:tcPr>
          <w:p w14:paraId="562B1B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02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207C450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7993BD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6C8286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rPr>
            </w:pPr>
            <w:bookmarkStart w:id="466" w:name="_Toc13064"/>
            <w:r>
              <w:rPr>
                <w:rFonts w:hint="eastAsia" w:ascii="宋体" w:hAnsi="宋体" w:eastAsia="宋体" w:cs="宋体"/>
                <w:b w:val="0"/>
                <w:bCs w:val="0"/>
                <w:color w:val="auto"/>
                <w:sz w:val="24"/>
                <w:szCs w:val="24"/>
                <w:highlight w:val="none"/>
              </w:rPr>
              <w:t>降噪文明施工保证措施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管理制度</w:t>
            </w:r>
            <w:r>
              <w:rPr>
                <w:rFonts w:hint="eastAsia" w:ascii="宋体" w:hAnsi="宋体" w:eastAsia="宋体" w:cs="宋体"/>
                <w:b w:val="0"/>
                <w:bCs w:val="0"/>
                <w:color w:val="auto"/>
                <w:sz w:val="24"/>
                <w:szCs w:val="24"/>
                <w:highlight w:val="none"/>
              </w:rPr>
              <w:t>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6"/>
          </w:p>
        </w:tc>
        <w:tc>
          <w:tcPr>
            <w:tcW w:w="793" w:type="dxa"/>
            <w:shd w:val="clear" w:color="auto" w:fill="auto"/>
            <w:vAlign w:val="center"/>
          </w:tcPr>
          <w:p w14:paraId="00ABC69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67" w:name="_Toc2361"/>
            <w:r>
              <w:rPr>
                <w:rFonts w:hint="eastAsia" w:ascii="宋体" w:hAnsi="宋体" w:eastAsia="宋体" w:cs="宋体"/>
                <w:bCs/>
                <w:color w:val="auto"/>
                <w:sz w:val="24"/>
                <w:szCs w:val="24"/>
                <w:highlight w:val="none"/>
                <w:lang w:val="en-US" w:eastAsia="zh-CN"/>
              </w:rPr>
              <w:t>3</w:t>
            </w:r>
            <w:bookmarkEnd w:id="467"/>
          </w:p>
        </w:tc>
        <w:tc>
          <w:tcPr>
            <w:tcW w:w="1820" w:type="dxa"/>
            <w:vAlign w:val="center"/>
          </w:tcPr>
          <w:p w14:paraId="78B77A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A07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02045A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10B0B4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194703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lang w:eastAsia="zh-CN"/>
              </w:rPr>
            </w:pPr>
            <w:bookmarkStart w:id="468" w:name="_Toc2828"/>
            <w:r>
              <w:rPr>
                <w:rFonts w:hint="eastAsia" w:ascii="宋体" w:hAnsi="宋体" w:eastAsia="宋体" w:cs="宋体"/>
                <w:b w:val="0"/>
                <w:bCs w:val="0"/>
                <w:color w:val="auto"/>
                <w:sz w:val="24"/>
                <w:szCs w:val="24"/>
                <w:highlight w:val="none"/>
              </w:rPr>
              <w:t>防尘文明施工保证措施等措施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管理制度</w:t>
            </w:r>
            <w:r>
              <w:rPr>
                <w:rFonts w:hint="eastAsia" w:ascii="宋体" w:hAnsi="宋体" w:eastAsia="宋体" w:cs="宋体"/>
                <w:b w:val="0"/>
                <w:bCs w:val="0"/>
                <w:color w:val="auto"/>
                <w:sz w:val="24"/>
                <w:szCs w:val="24"/>
                <w:highlight w:val="none"/>
              </w:rPr>
              <w:t>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8"/>
          </w:p>
        </w:tc>
        <w:tc>
          <w:tcPr>
            <w:tcW w:w="793" w:type="dxa"/>
            <w:shd w:val="clear" w:color="auto" w:fill="auto"/>
            <w:vAlign w:val="center"/>
          </w:tcPr>
          <w:p w14:paraId="411E08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69" w:name="_Toc10251"/>
            <w:r>
              <w:rPr>
                <w:rFonts w:hint="eastAsia" w:ascii="宋体" w:hAnsi="宋体" w:eastAsia="宋体" w:cs="宋体"/>
                <w:bCs/>
                <w:color w:val="auto"/>
                <w:sz w:val="24"/>
                <w:szCs w:val="24"/>
                <w:highlight w:val="none"/>
                <w:lang w:val="en-US" w:eastAsia="zh-CN"/>
              </w:rPr>
              <w:t>3</w:t>
            </w:r>
            <w:bookmarkEnd w:id="469"/>
          </w:p>
        </w:tc>
        <w:tc>
          <w:tcPr>
            <w:tcW w:w="1820" w:type="dxa"/>
            <w:vAlign w:val="center"/>
          </w:tcPr>
          <w:p w14:paraId="354D22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481F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CC8FA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0" w:name="_Toc6808"/>
            <w:r>
              <w:rPr>
                <w:rFonts w:hint="eastAsia" w:ascii="宋体" w:hAnsi="宋体" w:eastAsia="宋体" w:cs="宋体"/>
                <w:color w:val="auto"/>
                <w:sz w:val="24"/>
                <w:szCs w:val="24"/>
                <w:highlight w:val="none"/>
                <w:lang w:val="en-US" w:eastAsia="zh-CN"/>
              </w:rPr>
              <w:t>12</w:t>
            </w:r>
            <w:bookmarkEnd w:id="470"/>
          </w:p>
        </w:tc>
        <w:tc>
          <w:tcPr>
            <w:tcW w:w="1057" w:type="dxa"/>
            <w:shd w:val="clear" w:color="auto" w:fill="auto"/>
            <w:vAlign w:val="center"/>
          </w:tcPr>
          <w:p w14:paraId="072945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71" w:name="_Toc4996"/>
            <w:r>
              <w:rPr>
                <w:rFonts w:hint="eastAsia" w:ascii="宋体" w:hAnsi="宋体" w:eastAsia="宋体" w:cs="宋体"/>
                <w:b w:val="0"/>
                <w:bCs w:val="0"/>
                <w:color w:val="auto"/>
                <w:sz w:val="24"/>
                <w:szCs w:val="24"/>
                <w:highlight w:val="none"/>
                <w:lang w:val="en-US" w:eastAsia="zh-CN"/>
              </w:rPr>
              <w:t>成品保护措施</w:t>
            </w:r>
            <w:bookmarkEnd w:id="471"/>
          </w:p>
        </w:tc>
        <w:tc>
          <w:tcPr>
            <w:tcW w:w="5996" w:type="dxa"/>
            <w:shd w:val="clear" w:color="auto" w:fill="auto"/>
            <w:vAlign w:val="center"/>
          </w:tcPr>
          <w:p w14:paraId="688862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72" w:name="_Toc28533"/>
            <w:r>
              <w:rPr>
                <w:rFonts w:hint="eastAsia" w:ascii="宋体" w:hAnsi="宋体" w:cs="宋体"/>
                <w:color w:val="auto"/>
                <w:sz w:val="24"/>
                <w:highlight w:val="none"/>
              </w:rPr>
              <w:t>项目实施过程中针对成品保护和现有环境的各项措施</w:t>
            </w:r>
            <w:r>
              <w:rPr>
                <w:rFonts w:hint="eastAsia" w:ascii="宋体" w:hAnsi="宋体" w:eastAsia="宋体" w:cs="宋体"/>
                <w:b w:val="0"/>
                <w:bCs w:val="0"/>
                <w:color w:val="auto"/>
                <w:sz w:val="24"/>
                <w:szCs w:val="24"/>
                <w:highlight w:val="none"/>
              </w:rPr>
              <w:t>：根据措施的全面性、科学性、合理性进行评审。（评审分值为</w:t>
            </w:r>
            <w:r>
              <w:rPr>
                <w:rFonts w:hint="eastAsia" w:ascii="宋体" w:hAnsi="宋体" w:eastAsia="宋体" w:cs="宋体"/>
                <w:b w:val="0"/>
                <w:bCs w:val="0"/>
                <w:color w:val="auto"/>
                <w:sz w:val="24"/>
                <w:szCs w:val="24"/>
                <w:highlight w:val="none"/>
                <w:lang w:val="en-US" w:eastAsia="zh-CN"/>
              </w:rPr>
              <w:t>4分或3.5分或</w:t>
            </w:r>
            <w:r>
              <w:rPr>
                <w:rFonts w:hint="eastAsia" w:ascii="宋体" w:hAnsi="宋体" w:eastAsia="宋体" w:cs="宋体"/>
                <w:b w:val="0"/>
                <w:bCs w:val="0"/>
                <w:color w:val="auto"/>
                <w:sz w:val="24"/>
                <w:szCs w:val="24"/>
                <w:highlight w:val="none"/>
              </w:rPr>
              <w:t>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72"/>
          </w:p>
        </w:tc>
        <w:tc>
          <w:tcPr>
            <w:tcW w:w="793" w:type="dxa"/>
            <w:shd w:val="clear" w:color="auto" w:fill="auto"/>
            <w:vAlign w:val="center"/>
          </w:tcPr>
          <w:p w14:paraId="5CDD34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73" w:name="_Toc7730"/>
            <w:r>
              <w:rPr>
                <w:rFonts w:hint="eastAsia" w:ascii="宋体" w:hAnsi="宋体" w:eastAsia="宋体" w:cs="宋体"/>
                <w:bCs/>
                <w:color w:val="auto"/>
                <w:sz w:val="24"/>
                <w:szCs w:val="24"/>
                <w:highlight w:val="none"/>
                <w:lang w:val="en-US" w:eastAsia="zh-CN"/>
              </w:rPr>
              <w:t>4</w:t>
            </w:r>
            <w:bookmarkEnd w:id="473"/>
          </w:p>
        </w:tc>
        <w:tc>
          <w:tcPr>
            <w:tcW w:w="1820" w:type="dxa"/>
            <w:vAlign w:val="center"/>
          </w:tcPr>
          <w:p w14:paraId="087197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28BC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7" w:type="dxa"/>
            <w:vAlign w:val="center"/>
          </w:tcPr>
          <w:p w14:paraId="6B4D55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4" w:name="_Toc17985"/>
            <w:r>
              <w:rPr>
                <w:rFonts w:hint="eastAsia" w:ascii="宋体" w:hAnsi="宋体" w:eastAsia="宋体" w:cs="宋体"/>
                <w:color w:val="auto"/>
                <w:sz w:val="24"/>
                <w:szCs w:val="24"/>
                <w:highlight w:val="none"/>
                <w:lang w:val="en-US" w:eastAsia="zh-CN"/>
              </w:rPr>
              <w:t>13</w:t>
            </w:r>
            <w:bookmarkEnd w:id="474"/>
          </w:p>
        </w:tc>
        <w:tc>
          <w:tcPr>
            <w:tcW w:w="1057" w:type="dxa"/>
            <w:shd w:val="clear" w:color="auto" w:fill="auto"/>
            <w:vAlign w:val="center"/>
          </w:tcPr>
          <w:p w14:paraId="46CB86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5" w:name="_Toc32116"/>
            <w:r>
              <w:rPr>
                <w:rFonts w:hint="eastAsia" w:ascii="宋体" w:hAnsi="宋体" w:eastAsia="宋体" w:cs="宋体"/>
                <w:color w:val="auto"/>
                <w:sz w:val="24"/>
                <w:szCs w:val="24"/>
                <w:highlight w:val="none"/>
                <w:lang w:val="en-US" w:eastAsia="zh-CN"/>
              </w:rPr>
              <w:t>服务承诺</w:t>
            </w:r>
            <w:bookmarkEnd w:id="475"/>
          </w:p>
        </w:tc>
        <w:tc>
          <w:tcPr>
            <w:tcW w:w="5996" w:type="dxa"/>
            <w:shd w:val="clear" w:color="auto" w:fill="auto"/>
            <w:vAlign w:val="center"/>
          </w:tcPr>
          <w:p w14:paraId="62084E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76" w:name="_Toc9512"/>
            <w:r>
              <w:rPr>
                <w:rFonts w:hint="eastAsia" w:ascii="宋体" w:hAnsi="宋体" w:eastAsia="宋体" w:cs="宋体"/>
                <w:b w:val="0"/>
                <w:bCs w:val="0"/>
                <w:color w:val="auto"/>
                <w:sz w:val="24"/>
                <w:szCs w:val="24"/>
                <w:highlight w:val="none"/>
              </w:rPr>
              <w:t>服从采购人协调和统一管理及配合措施、特殊服务承诺情况：根据措施的全面性、科学性、合理性以及服务承诺对采购项目的有利程度进行评审。（评审分值为3分或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76"/>
          </w:p>
        </w:tc>
        <w:tc>
          <w:tcPr>
            <w:tcW w:w="793" w:type="dxa"/>
            <w:shd w:val="clear" w:color="auto" w:fill="auto"/>
            <w:vAlign w:val="center"/>
          </w:tcPr>
          <w:p w14:paraId="05A173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77" w:name="_Toc29645"/>
            <w:r>
              <w:rPr>
                <w:rFonts w:hint="eastAsia" w:ascii="宋体" w:hAnsi="宋体" w:eastAsia="宋体" w:cs="宋体"/>
                <w:bCs/>
                <w:color w:val="auto"/>
                <w:sz w:val="24"/>
                <w:szCs w:val="24"/>
                <w:highlight w:val="none"/>
                <w:lang w:val="en-US" w:eastAsia="zh-CN"/>
              </w:rPr>
              <w:t>3</w:t>
            </w:r>
            <w:bookmarkEnd w:id="477"/>
          </w:p>
        </w:tc>
        <w:tc>
          <w:tcPr>
            <w:tcW w:w="1820" w:type="dxa"/>
            <w:vAlign w:val="center"/>
          </w:tcPr>
          <w:p w14:paraId="04CE4A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1B8D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CBD5F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8" w:name="_Toc28044"/>
            <w:r>
              <w:rPr>
                <w:rFonts w:hint="eastAsia" w:ascii="宋体" w:hAnsi="宋体" w:eastAsia="宋体" w:cs="宋体"/>
                <w:color w:val="auto"/>
                <w:sz w:val="24"/>
                <w:szCs w:val="24"/>
                <w:highlight w:val="none"/>
                <w:lang w:val="en-US" w:eastAsia="zh-CN"/>
              </w:rPr>
              <w:t>14</w:t>
            </w:r>
            <w:bookmarkEnd w:id="478"/>
          </w:p>
        </w:tc>
        <w:tc>
          <w:tcPr>
            <w:tcW w:w="1057" w:type="dxa"/>
            <w:shd w:val="clear" w:color="auto" w:fill="auto"/>
            <w:vAlign w:val="center"/>
          </w:tcPr>
          <w:p w14:paraId="7521F6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9" w:name="_Toc27255"/>
            <w:r>
              <w:rPr>
                <w:rFonts w:hint="eastAsia" w:ascii="宋体" w:hAnsi="宋体" w:eastAsia="宋体" w:cs="宋体"/>
                <w:color w:val="auto"/>
                <w:sz w:val="24"/>
                <w:szCs w:val="24"/>
                <w:highlight w:val="none"/>
                <w:lang w:val="en-US" w:eastAsia="zh-CN"/>
              </w:rPr>
              <w:t>到位率承诺</w:t>
            </w:r>
            <w:bookmarkEnd w:id="479"/>
          </w:p>
        </w:tc>
        <w:tc>
          <w:tcPr>
            <w:tcW w:w="5996" w:type="dxa"/>
            <w:shd w:val="clear" w:color="auto" w:fill="auto"/>
            <w:vAlign w:val="center"/>
          </w:tcPr>
          <w:p w14:paraId="6EE890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80" w:name="_Toc9132"/>
            <w:r>
              <w:rPr>
                <w:rFonts w:hint="eastAsia" w:ascii="宋体" w:hAnsi="宋体" w:eastAsia="宋体" w:cs="宋体"/>
                <w:b w:val="0"/>
                <w:bCs w:val="0"/>
                <w:color w:val="auto"/>
                <w:sz w:val="24"/>
                <w:szCs w:val="24"/>
                <w:highlight w:val="none"/>
              </w:rPr>
              <w:t>项目经理承诺到位率。承诺到位率达到达到</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%的，得1分；达到</w:t>
            </w:r>
            <w:r>
              <w:rPr>
                <w:rFonts w:hint="eastAsia" w:ascii="宋体" w:hAnsi="宋体" w:eastAsia="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rPr>
              <w:t>%及以上的，得2分。</w:t>
            </w:r>
            <w:bookmarkEnd w:id="480"/>
          </w:p>
        </w:tc>
        <w:tc>
          <w:tcPr>
            <w:tcW w:w="793" w:type="dxa"/>
            <w:shd w:val="clear" w:color="auto" w:fill="auto"/>
            <w:vAlign w:val="center"/>
          </w:tcPr>
          <w:p w14:paraId="23F96B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81" w:name="_Toc23773"/>
            <w:r>
              <w:rPr>
                <w:rFonts w:hint="eastAsia" w:ascii="宋体" w:hAnsi="宋体" w:eastAsia="宋体" w:cs="宋体"/>
                <w:bCs/>
                <w:color w:val="auto"/>
                <w:sz w:val="24"/>
                <w:szCs w:val="24"/>
                <w:highlight w:val="none"/>
                <w:lang w:val="en-US" w:eastAsia="zh-CN"/>
              </w:rPr>
              <w:t>2</w:t>
            </w:r>
            <w:bookmarkEnd w:id="481"/>
          </w:p>
        </w:tc>
        <w:tc>
          <w:tcPr>
            <w:tcW w:w="1820" w:type="dxa"/>
            <w:vAlign w:val="center"/>
          </w:tcPr>
          <w:p w14:paraId="5ED87F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533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EED2B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2" w:name="_Toc25804"/>
            <w:r>
              <w:rPr>
                <w:rFonts w:hint="eastAsia" w:ascii="宋体" w:hAnsi="宋体" w:eastAsia="宋体" w:cs="宋体"/>
                <w:color w:val="auto"/>
                <w:sz w:val="24"/>
                <w:szCs w:val="24"/>
                <w:highlight w:val="none"/>
                <w:lang w:val="en-US" w:eastAsia="zh-CN"/>
              </w:rPr>
              <w:t>15</w:t>
            </w:r>
            <w:bookmarkEnd w:id="482"/>
          </w:p>
        </w:tc>
        <w:tc>
          <w:tcPr>
            <w:tcW w:w="1057" w:type="dxa"/>
            <w:shd w:val="clear" w:color="auto" w:fill="auto"/>
            <w:vAlign w:val="center"/>
          </w:tcPr>
          <w:p w14:paraId="7D209C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3" w:name="_Toc19627"/>
            <w:r>
              <w:rPr>
                <w:rFonts w:hint="eastAsia" w:ascii="宋体" w:hAnsi="宋体" w:eastAsia="宋体" w:cs="宋体"/>
                <w:color w:val="auto"/>
                <w:sz w:val="24"/>
                <w:szCs w:val="24"/>
                <w:highlight w:val="none"/>
                <w:lang w:val="en-US" w:eastAsia="zh-CN"/>
              </w:rPr>
              <w:t>主要服务人员</w:t>
            </w:r>
            <w:bookmarkEnd w:id="483"/>
          </w:p>
        </w:tc>
        <w:tc>
          <w:tcPr>
            <w:tcW w:w="5996" w:type="dxa"/>
            <w:shd w:val="clear" w:color="auto" w:fill="auto"/>
            <w:vAlign w:val="center"/>
          </w:tcPr>
          <w:p w14:paraId="695A0C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84" w:name="_Toc1909"/>
            <w:r>
              <w:rPr>
                <w:rFonts w:hint="eastAsia" w:ascii="宋体" w:hAnsi="宋体" w:eastAsia="宋体" w:cs="宋体"/>
                <w:b w:val="0"/>
                <w:bCs w:val="0"/>
                <w:color w:val="auto"/>
                <w:sz w:val="24"/>
                <w:szCs w:val="24"/>
                <w:highlight w:val="none"/>
              </w:rPr>
              <w:t>项目管理班子其他人员配置：技术负责人、安全员、施工员、质量员、材料员、资料员、预算员，配置齐全的，得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分，每缺一项扣1分，本项分值扣完为止。需提供上述人员相应证书及在本单位缴纳社保的证明材料（开标前三月任意一月社保缴纳证明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安全员不得兼任。）</w:t>
            </w:r>
            <w:bookmarkEnd w:id="484"/>
          </w:p>
        </w:tc>
        <w:tc>
          <w:tcPr>
            <w:tcW w:w="793" w:type="dxa"/>
            <w:shd w:val="clear" w:color="auto" w:fill="auto"/>
            <w:vAlign w:val="center"/>
          </w:tcPr>
          <w:p w14:paraId="26B2E9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85" w:name="_Toc27539"/>
            <w:r>
              <w:rPr>
                <w:rFonts w:hint="eastAsia" w:ascii="宋体" w:hAnsi="宋体" w:eastAsia="宋体" w:cs="宋体"/>
                <w:bCs/>
                <w:color w:val="auto"/>
                <w:sz w:val="24"/>
                <w:szCs w:val="24"/>
                <w:highlight w:val="none"/>
                <w:lang w:val="en-US" w:eastAsia="zh-CN"/>
              </w:rPr>
              <w:t>5</w:t>
            </w:r>
            <w:bookmarkEnd w:id="485"/>
          </w:p>
        </w:tc>
        <w:tc>
          <w:tcPr>
            <w:tcW w:w="1820" w:type="dxa"/>
            <w:vAlign w:val="center"/>
          </w:tcPr>
          <w:p w14:paraId="0CC304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50B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DE8895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6" w:name="_Toc32442"/>
            <w:r>
              <w:rPr>
                <w:rFonts w:hint="eastAsia" w:ascii="宋体" w:hAnsi="宋体" w:eastAsia="宋体" w:cs="宋体"/>
                <w:color w:val="auto"/>
                <w:sz w:val="24"/>
                <w:szCs w:val="24"/>
                <w:highlight w:val="none"/>
                <w:lang w:val="en-US" w:eastAsia="zh-CN"/>
              </w:rPr>
              <w:t>16</w:t>
            </w:r>
            <w:bookmarkEnd w:id="486"/>
          </w:p>
        </w:tc>
        <w:tc>
          <w:tcPr>
            <w:tcW w:w="1057" w:type="dxa"/>
            <w:shd w:val="clear" w:color="auto" w:fill="auto"/>
            <w:vAlign w:val="center"/>
          </w:tcPr>
          <w:p w14:paraId="443572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7" w:name="_Toc20468"/>
            <w:r>
              <w:rPr>
                <w:rFonts w:hint="eastAsia" w:ascii="宋体" w:hAnsi="宋体" w:eastAsia="宋体" w:cs="宋体"/>
                <w:b w:val="0"/>
                <w:bCs w:val="0"/>
                <w:color w:val="auto"/>
                <w:sz w:val="24"/>
                <w:szCs w:val="24"/>
                <w:highlight w:val="none"/>
              </w:rPr>
              <w:t>突发事件</w:t>
            </w:r>
            <w:r>
              <w:rPr>
                <w:rFonts w:hint="eastAsia" w:ascii="宋体" w:hAnsi="宋体" w:eastAsia="宋体" w:cs="宋体"/>
                <w:b w:val="0"/>
                <w:bCs w:val="0"/>
                <w:color w:val="auto"/>
                <w:sz w:val="24"/>
                <w:szCs w:val="24"/>
                <w:highlight w:val="none"/>
                <w:lang w:val="en-US" w:eastAsia="zh-CN"/>
              </w:rPr>
              <w:t>处理方案</w:t>
            </w:r>
            <w:bookmarkEnd w:id="487"/>
          </w:p>
        </w:tc>
        <w:tc>
          <w:tcPr>
            <w:tcW w:w="5996" w:type="dxa"/>
            <w:shd w:val="clear" w:color="auto" w:fill="auto"/>
            <w:vAlign w:val="center"/>
          </w:tcPr>
          <w:p w14:paraId="6181A1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88" w:name="_Toc8362"/>
            <w:r>
              <w:rPr>
                <w:rFonts w:hint="eastAsia" w:ascii="宋体" w:hAnsi="宋体" w:eastAsia="宋体" w:cs="宋体"/>
                <w:b w:val="0"/>
                <w:bCs w:val="0"/>
                <w:color w:val="auto"/>
                <w:sz w:val="24"/>
                <w:szCs w:val="24"/>
                <w:highlight w:val="none"/>
              </w:rPr>
              <w:t>突发事件应急措施及处理方案：根据方案的针对性、科学性、可行性进行评审。（评审分值为3分或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88"/>
          </w:p>
        </w:tc>
        <w:tc>
          <w:tcPr>
            <w:tcW w:w="793" w:type="dxa"/>
            <w:shd w:val="clear" w:color="auto" w:fill="auto"/>
            <w:vAlign w:val="center"/>
          </w:tcPr>
          <w:p w14:paraId="50304E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89" w:name="_Toc29704"/>
            <w:r>
              <w:rPr>
                <w:rFonts w:hint="eastAsia" w:ascii="宋体" w:hAnsi="宋体" w:eastAsia="宋体" w:cs="宋体"/>
                <w:bCs/>
                <w:color w:val="auto"/>
                <w:sz w:val="24"/>
                <w:szCs w:val="24"/>
                <w:highlight w:val="none"/>
                <w:lang w:val="en-US" w:eastAsia="zh-CN"/>
              </w:rPr>
              <w:t>3</w:t>
            </w:r>
            <w:bookmarkEnd w:id="489"/>
          </w:p>
        </w:tc>
        <w:tc>
          <w:tcPr>
            <w:tcW w:w="1820" w:type="dxa"/>
            <w:vAlign w:val="center"/>
          </w:tcPr>
          <w:p w14:paraId="49EA6E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03F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64533E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90" w:name="_Toc12636"/>
            <w:r>
              <w:rPr>
                <w:rFonts w:hint="eastAsia" w:ascii="宋体" w:hAnsi="宋体" w:eastAsia="宋体" w:cs="宋体"/>
                <w:color w:val="auto"/>
                <w:sz w:val="24"/>
                <w:szCs w:val="24"/>
                <w:highlight w:val="none"/>
                <w:lang w:val="en-US" w:eastAsia="zh-CN"/>
              </w:rPr>
              <w:t>17</w:t>
            </w:r>
            <w:bookmarkEnd w:id="490"/>
          </w:p>
        </w:tc>
        <w:tc>
          <w:tcPr>
            <w:tcW w:w="1057" w:type="dxa"/>
            <w:shd w:val="clear" w:color="auto" w:fill="auto"/>
            <w:vAlign w:val="center"/>
          </w:tcPr>
          <w:p w14:paraId="69F1BB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color w:val="auto"/>
                <w:kern w:val="2"/>
                <w:sz w:val="24"/>
                <w:szCs w:val="24"/>
                <w:highlight w:val="none"/>
                <w:lang w:val="en-US" w:eastAsia="zh-CN" w:bidi="ar-SA"/>
              </w:rPr>
            </w:pPr>
            <w:bookmarkStart w:id="491" w:name="_Toc31563"/>
            <w:r>
              <w:rPr>
                <w:rFonts w:hint="eastAsia" w:ascii="宋体" w:hAnsi="宋体" w:eastAsia="宋体" w:cs="宋体"/>
                <w:color w:val="auto"/>
                <w:sz w:val="24"/>
                <w:szCs w:val="24"/>
                <w:highlight w:val="none"/>
                <w:lang w:val="en-US" w:eastAsia="zh-CN"/>
              </w:rPr>
              <w:t>保修服务</w:t>
            </w:r>
            <w:bookmarkEnd w:id="491"/>
          </w:p>
        </w:tc>
        <w:tc>
          <w:tcPr>
            <w:tcW w:w="5996" w:type="dxa"/>
            <w:shd w:val="clear" w:color="auto" w:fill="auto"/>
            <w:vAlign w:val="center"/>
          </w:tcPr>
          <w:p w14:paraId="6E49C3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92" w:name="_Toc24364"/>
            <w:r>
              <w:rPr>
                <w:rFonts w:hint="eastAsia" w:ascii="宋体" w:hAnsi="宋体" w:eastAsia="宋体" w:cs="宋体"/>
                <w:b w:val="0"/>
                <w:bCs w:val="0"/>
                <w:color w:val="auto"/>
                <w:sz w:val="24"/>
                <w:szCs w:val="24"/>
                <w:highlight w:val="none"/>
              </w:rPr>
              <w:t>工程保修期、维护响应时间：根据工程保修期承诺情况以及保修期内维护响应时间的及时性、合理性进行评审。（评审分值为</w:t>
            </w:r>
            <w:r>
              <w:rPr>
                <w:rFonts w:hint="eastAsia" w:ascii="宋体" w:hAnsi="宋体" w:eastAsia="宋体" w:cs="宋体"/>
                <w:b w:val="0"/>
                <w:bCs w:val="0"/>
                <w:color w:val="auto"/>
                <w:sz w:val="24"/>
                <w:szCs w:val="24"/>
                <w:highlight w:val="none"/>
                <w:lang w:val="en-US" w:eastAsia="zh-CN"/>
              </w:rPr>
              <w:t>4分或3.5分或</w:t>
            </w:r>
            <w:r>
              <w:rPr>
                <w:rFonts w:hint="eastAsia" w:ascii="宋体" w:hAnsi="宋体" w:eastAsia="宋体" w:cs="宋体"/>
                <w:b w:val="0"/>
                <w:bCs w:val="0"/>
                <w:color w:val="auto"/>
                <w:sz w:val="24"/>
                <w:szCs w:val="24"/>
                <w:highlight w:val="none"/>
              </w:rPr>
              <w:t>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92"/>
          </w:p>
        </w:tc>
        <w:tc>
          <w:tcPr>
            <w:tcW w:w="793" w:type="dxa"/>
            <w:shd w:val="clear" w:color="auto" w:fill="auto"/>
            <w:vAlign w:val="center"/>
          </w:tcPr>
          <w:p w14:paraId="53E7E5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93" w:name="_Toc22574"/>
            <w:r>
              <w:rPr>
                <w:rFonts w:hint="eastAsia" w:ascii="宋体" w:hAnsi="宋体" w:eastAsia="宋体" w:cs="宋体"/>
                <w:bCs/>
                <w:color w:val="auto"/>
                <w:sz w:val="24"/>
                <w:szCs w:val="24"/>
                <w:highlight w:val="none"/>
                <w:lang w:val="en-US" w:eastAsia="zh-CN"/>
              </w:rPr>
              <w:t>4</w:t>
            </w:r>
            <w:bookmarkEnd w:id="493"/>
          </w:p>
        </w:tc>
        <w:tc>
          <w:tcPr>
            <w:tcW w:w="1820" w:type="dxa"/>
            <w:vAlign w:val="center"/>
          </w:tcPr>
          <w:p w14:paraId="14260E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082E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DFEBB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94" w:name="_Toc555"/>
            <w:r>
              <w:rPr>
                <w:rFonts w:hint="eastAsia" w:ascii="宋体" w:hAnsi="宋体" w:eastAsia="宋体" w:cs="宋体"/>
                <w:color w:val="auto"/>
                <w:sz w:val="24"/>
                <w:szCs w:val="24"/>
                <w:highlight w:val="none"/>
                <w:lang w:val="en-US" w:eastAsia="zh-CN"/>
              </w:rPr>
              <w:t>18</w:t>
            </w:r>
            <w:bookmarkEnd w:id="494"/>
          </w:p>
        </w:tc>
        <w:tc>
          <w:tcPr>
            <w:tcW w:w="1057" w:type="dxa"/>
            <w:vAlign w:val="center"/>
          </w:tcPr>
          <w:p w14:paraId="704D90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95" w:name="_Toc31833"/>
            <w:bookmarkStart w:id="496" w:name="_Toc13738"/>
            <w:r>
              <w:rPr>
                <w:rFonts w:hint="eastAsia" w:ascii="宋体" w:hAnsi="宋体" w:eastAsia="宋体" w:cs="宋体"/>
                <w:color w:val="auto"/>
                <w:sz w:val="24"/>
                <w:szCs w:val="24"/>
                <w:highlight w:val="none"/>
                <w:lang w:val="en-US" w:eastAsia="zh-CN"/>
              </w:rPr>
              <w:t>报价</w:t>
            </w:r>
            <w:bookmarkEnd w:id="495"/>
          </w:p>
        </w:tc>
        <w:tc>
          <w:tcPr>
            <w:tcW w:w="5996" w:type="dxa"/>
            <w:vAlign w:val="center"/>
          </w:tcPr>
          <w:p w14:paraId="540EAB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97" w:name="_Toc16339"/>
            <w:r>
              <w:rPr>
                <w:rFonts w:hint="eastAsia" w:ascii="宋体" w:hAnsi="宋体" w:eastAsia="宋体" w:cs="宋体"/>
                <w:color w:val="auto"/>
                <w:sz w:val="24"/>
                <w:szCs w:val="24"/>
                <w:highlight w:val="none"/>
              </w:rPr>
              <w:t>有效最后报价的最低价作为评审基准价，其最低报价为满分；按［最后报价得分=（评审基准价/最后报价）*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0］的计算公式计算。</w:t>
            </w:r>
            <w:bookmarkEnd w:id="496"/>
            <w:bookmarkEnd w:id="497"/>
          </w:p>
          <w:p w14:paraId="545E7BD8">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p w14:paraId="2DCD749C">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因落实政府采购政策需要进行价格调整的，以调整后的价格计算评审基准价和最后报价。</w:t>
            </w:r>
          </w:p>
        </w:tc>
        <w:tc>
          <w:tcPr>
            <w:tcW w:w="793" w:type="dxa"/>
            <w:vAlign w:val="center"/>
          </w:tcPr>
          <w:p w14:paraId="27F4C0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98" w:name="_Toc20487"/>
            <w:r>
              <w:rPr>
                <w:rFonts w:hint="eastAsia" w:ascii="宋体" w:hAnsi="宋体" w:eastAsia="宋体" w:cs="宋体"/>
                <w:bCs/>
                <w:color w:val="auto"/>
                <w:sz w:val="24"/>
                <w:szCs w:val="24"/>
                <w:highlight w:val="none"/>
                <w:lang w:val="en-US" w:eastAsia="zh-CN"/>
              </w:rPr>
              <w:t>30</w:t>
            </w:r>
            <w:bookmarkEnd w:id="498"/>
          </w:p>
        </w:tc>
        <w:tc>
          <w:tcPr>
            <w:tcW w:w="1820" w:type="dxa"/>
            <w:vAlign w:val="center"/>
          </w:tcPr>
          <w:p w14:paraId="0EDDCC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99" w:name="_Toc26385"/>
            <w:bookmarkStart w:id="500" w:name="_Toc20804"/>
            <w:r>
              <w:rPr>
                <w:rFonts w:hint="eastAsia" w:ascii="宋体" w:hAnsi="宋体" w:eastAsia="宋体" w:cs="宋体"/>
                <w:color w:val="auto"/>
                <w:sz w:val="24"/>
                <w:szCs w:val="24"/>
                <w:highlight w:val="none"/>
              </w:rPr>
              <w:t>/</w:t>
            </w:r>
            <w:bookmarkEnd w:id="499"/>
            <w:bookmarkEnd w:id="500"/>
          </w:p>
        </w:tc>
      </w:tr>
      <w:tr w14:paraId="5334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F291D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240" w:firstLineChars="100"/>
              <w:textAlignment w:val="auto"/>
              <w:outlineLvl w:val="0"/>
              <w:rPr>
                <w:rFonts w:hint="eastAsia" w:ascii="宋体" w:hAnsi="宋体" w:eastAsia="宋体" w:cs="宋体"/>
                <w:color w:val="auto"/>
                <w:sz w:val="24"/>
                <w:szCs w:val="24"/>
                <w:highlight w:val="none"/>
              </w:rPr>
            </w:pPr>
          </w:p>
        </w:tc>
        <w:tc>
          <w:tcPr>
            <w:tcW w:w="1057" w:type="dxa"/>
            <w:vAlign w:val="center"/>
          </w:tcPr>
          <w:p w14:paraId="2759F0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240" w:firstLineChars="100"/>
              <w:textAlignment w:val="auto"/>
              <w:outlineLvl w:val="0"/>
              <w:rPr>
                <w:rFonts w:hint="eastAsia" w:ascii="宋体" w:hAnsi="宋体" w:eastAsia="宋体" w:cs="宋体"/>
                <w:color w:val="auto"/>
                <w:sz w:val="24"/>
                <w:szCs w:val="24"/>
                <w:highlight w:val="none"/>
              </w:rPr>
            </w:pPr>
          </w:p>
        </w:tc>
        <w:tc>
          <w:tcPr>
            <w:tcW w:w="5996" w:type="dxa"/>
            <w:vAlign w:val="center"/>
          </w:tcPr>
          <w:p w14:paraId="1F9EE256">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注意：不得以特定金额的业绩作为评审因素</w:t>
            </w:r>
          </w:p>
        </w:tc>
        <w:tc>
          <w:tcPr>
            <w:tcW w:w="793" w:type="dxa"/>
            <w:vAlign w:val="center"/>
          </w:tcPr>
          <w:p w14:paraId="60531F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120" w:firstLineChars="50"/>
              <w:textAlignment w:val="auto"/>
              <w:outlineLvl w:val="0"/>
              <w:rPr>
                <w:rFonts w:hint="eastAsia" w:ascii="宋体" w:hAnsi="宋体" w:eastAsia="宋体" w:cs="宋体"/>
                <w:color w:val="auto"/>
                <w:sz w:val="24"/>
                <w:szCs w:val="24"/>
                <w:highlight w:val="none"/>
              </w:rPr>
            </w:pPr>
          </w:p>
        </w:tc>
        <w:tc>
          <w:tcPr>
            <w:tcW w:w="1820" w:type="dxa"/>
            <w:vAlign w:val="center"/>
          </w:tcPr>
          <w:p w14:paraId="471B21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p>
        </w:tc>
      </w:tr>
    </w:tbl>
    <w:p w14:paraId="649929C5">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shd w:val="clea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hd w:val="clea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hd w:val="clea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hd w:val="clea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hd w:val="clea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hd w:val="clea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hd w:val="clea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1"/>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hd w:val="clea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p w14:paraId="19D4E22F">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1"/>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8"/>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shd w:val="clear"/>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81"/>
        <w:keepNext w:val="0"/>
        <w:keepLines w:val="0"/>
        <w:pageBreakBefore w:val="0"/>
        <w:shd w:val="clear"/>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shd w:val="clear"/>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shd w:val="clear"/>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8"/>
        <w:shd w:val="clear"/>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8"/>
        <w:shd w:val="clear"/>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8"/>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8"/>
        <w:shd w:val="clear"/>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8"/>
        <w:shd w:val="clear"/>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8"/>
        <w:shd w:val="clear"/>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8"/>
        <w:shd w:val="clear"/>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8"/>
        <w:shd w:val="clear"/>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8"/>
        <w:shd w:val="clear"/>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8"/>
        <w:shd w:val="clear"/>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8"/>
        <w:shd w:val="clear"/>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8"/>
        <w:shd w:val="clear"/>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4DB75B67">
      <w:pPr>
        <w:shd w:val="clear"/>
        <w:spacing w:line="360" w:lineRule="auto"/>
        <w:jc w:val="center"/>
        <w:outlineLvl w:val="0"/>
        <w:rPr>
          <w:rFonts w:ascii="宋体" w:hAnsi="宋体" w:cs="宋体"/>
          <w:b/>
          <w:color w:val="auto"/>
          <w:sz w:val="36"/>
          <w:szCs w:val="36"/>
          <w:highlight w:val="none"/>
        </w:rPr>
      </w:pPr>
      <w:bookmarkStart w:id="501" w:name="第五部分"/>
      <w:bookmarkStart w:id="502" w:name="_Toc86217003"/>
      <w:r>
        <w:rPr>
          <w:rFonts w:hint="eastAsia" w:ascii="宋体" w:hAnsi="宋体" w:cs="宋体"/>
          <w:b/>
          <w:color w:val="auto"/>
          <w:sz w:val="36"/>
          <w:szCs w:val="36"/>
          <w:highlight w:val="none"/>
        </w:rPr>
        <w:t>第五部分 拟签订的合同文本</w:t>
      </w:r>
    </w:p>
    <w:p w14:paraId="1C3D918D">
      <w:pPr>
        <w:spacing w:line="400" w:lineRule="exact"/>
        <w:ind w:firstLine="480" w:firstLineChars="200"/>
        <w:jc w:val="left"/>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参考住房城乡建设部、原国家工商行政管理总局制定的《建设工程施工合同（示范文本）》（GF-2017-0201）。</w:t>
      </w:r>
    </w:p>
    <w:p w14:paraId="0105A2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第一部分  合同协议书</w:t>
      </w:r>
    </w:p>
    <w:p w14:paraId="5032C950">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发包人（全称）：</w:t>
      </w:r>
    </w:p>
    <w:p w14:paraId="4761E1BF">
      <w:pPr>
        <w:snapToGrid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承包人（全称）：</w:t>
      </w:r>
      <w:r>
        <w:rPr>
          <w:rFonts w:hint="eastAsia" w:ascii="宋体" w:hAnsi="宋体" w:eastAsia="宋体" w:cs="宋体"/>
          <w:b/>
          <w:bCs/>
          <w:color w:val="auto"/>
          <w:sz w:val="24"/>
          <w:highlight w:val="none"/>
          <w:u w:val="single"/>
        </w:rPr>
        <w:t xml:space="preserve">            </w:t>
      </w:r>
    </w:p>
    <w:p w14:paraId="111E3F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施工及有关事项协商一致，共同达成如下协议：</w:t>
      </w:r>
    </w:p>
    <w:p w14:paraId="5088CFEE">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p>
    <w:p w14:paraId="2B9DB833">
      <w:pPr>
        <w:snapToGrid w:val="0"/>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1.工程名称：</w:t>
      </w:r>
      <w:r>
        <w:rPr>
          <w:rFonts w:hint="eastAsia" w:ascii="宋体" w:hAnsi="宋体" w:eastAsia="宋体" w:cs="宋体"/>
          <w:color w:val="auto"/>
          <w:sz w:val="24"/>
          <w:highlight w:val="none"/>
          <w:u w:val="single"/>
        </w:rPr>
        <w:t xml:space="preserve">                    </w:t>
      </w:r>
    </w:p>
    <w:p w14:paraId="5CB055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2.工程地点： </w:t>
      </w:r>
    </w:p>
    <w:p w14:paraId="73BD48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3.工程立项批准文号：</w:t>
      </w:r>
      <w:r>
        <w:rPr>
          <w:rFonts w:hint="eastAsia" w:ascii="宋体" w:hAnsi="宋体" w:eastAsia="宋体" w:cs="宋体"/>
          <w:b/>
          <w:bCs/>
          <w:color w:val="auto"/>
          <w:sz w:val="24"/>
          <w:highlight w:val="none"/>
          <w:u w:val="single"/>
        </w:rPr>
        <w:t xml:space="preserve">   /   </w:t>
      </w:r>
    </w:p>
    <w:p w14:paraId="3F80BA8A">
      <w:pPr>
        <w:snapToGrid w:val="0"/>
        <w:spacing w:line="360"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4.资金来源：</w:t>
      </w:r>
      <w:r>
        <w:rPr>
          <w:rFonts w:hint="eastAsia" w:ascii="宋体" w:hAnsi="宋体" w:eastAsia="宋体" w:cs="宋体"/>
          <w:b/>
          <w:bCs/>
          <w:color w:val="auto"/>
          <w:sz w:val="24"/>
          <w:highlight w:val="none"/>
          <w:u w:val="single"/>
        </w:rPr>
        <w:t xml:space="preserve"> 财政投资   </w:t>
      </w:r>
    </w:p>
    <w:p w14:paraId="488107FD">
      <w:pPr>
        <w:snapToGrid w:val="0"/>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5.工程内容：</w:t>
      </w:r>
      <w:r>
        <w:rPr>
          <w:rFonts w:hint="eastAsia" w:ascii="宋体" w:hAnsi="宋体" w:eastAsia="宋体" w:cs="宋体"/>
          <w:b/>
          <w:bCs/>
          <w:color w:val="auto"/>
          <w:sz w:val="24"/>
          <w:highlight w:val="none"/>
          <w:u w:val="single"/>
        </w:rPr>
        <w:t>施工图范围内的维修工程，具体内容以施工图及工程量清单为准。</w:t>
      </w:r>
    </w:p>
    <w:p w14:paraId="191C562B">
      <w:pPr>
        <w:snapToGrid w:val="0"/>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6.工程承包范围：</w:t>
      </w:r>
      <w:r>
        <w:rPr>
          <w:rFonts w:hint="eastAsia" w:ascii="宋体" w:hAnsi="宋体" w:eastAsia="宋体" w:cs="宋体"/>
          <w:b/>
          <w:color w:val="auto"/>
          <w:sz w:val="24"/>
          <w:highlight w:val="none"/>
          <w:u w:val="single"/>
        </w:rPr>
        <w:t>施工图、工程量清单及其编制说明、竞争性磋商文件中明确的内容为准，可能出现的施工图设计变更及根据发包人明确指令需在施工图范围外增加的工程量及施工图范围内减少的工程量。</w:t>
      </w:r>
    </w:p>
    <w:p w14:paraId="6F22809E">
      <w:pPr>
        <w:snapToGrid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二、合同工期</w:t>
      </w:r>
    </w:p>
    <w:p w14:paraId="19AD14C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计划开工日期：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月   日。</w:t>
      </w:r>
    </w:p>
    <w:p w14:paraId="2003C96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计划竣工日期：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月   日。</w:t>
      </w:r>
    </w:p>
    <w:p w14:paraId="4C5322F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工期总日历天数：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天。工期总日历天数与根据前述计划开竣工日期计算的工期天数不一致的，以工期总日历天数为准。</w:t>
      </w:r>
    </w:p>
    <w:p w14:paraId="2C71BC7E">
      <w:pPr>
        <w:snapToGrid w:val="0"/>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三、质量标准</w:t>
      </w:r>
    </w:p>
    <w:p w14:paraId="2259084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工程质量符合</w:t>
      </w:r>
      <w:r>
        <w:rPr>
          <w:rFonts w:hint="eastAsia" w:ascii="宋体" w:hAnsi="宋体" w:eastAsia="宋体" w:cs="宋体"/>
          <w:b/>
          <w:bCs/>
          <w:color w:val="auto"/>
          <w:sz w:val="24"/>
          <w:highlight w:val="none"/>
          <w:u w:val="single"/>
        </w:rPr>
        <w:t>合格</w:t>
      </w:r>
      <w:r>
        <w:rPr>
          <w:rFonts w:hint="eastAsia" w:ascii="宋体" w:hAnsi="宋体" w:eastAsia="宋体" w:cs="宋体"/>
          <w:color w:val="auto"/>
          <w:sz w:val="24"/>
          <w:highlight w:val="none"/>
        </w:rPr>
        <w:t>标准。</w:t>
      </w:r>
    </w:p>
    <w:p w14:paraId="4C9FC28B">
      <w:pPr>
        <w:snapToGrid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四、签约合同价与合同价格形式</w:t>
      </w:r>
      <w:r>
        <w:rPr>
          <w:rFonts w:hint="eastAsia" w:ascii="宋体" w:hAnsi="宋体" w:eastAsia="宋体" w:cs="宋体"/>
          <w:b/>
          <w:bCs/>
          <w:color w:val="auto"/>
          <w:sz w:val="24"/>
          <w:highlight w:val="none"/>
        </w:rPr>
        <w:tab/>
      </w:r>
    </w:p>
    <w:p w14:paraId="27F72929">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1.签约合同价为：人民币（大写）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4FF2DB7E">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其中：（1）安全文明施工费：人民币（大写）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32DB4332">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（2）材料和工程设备暂估价金额：人民币（大写）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20ADA7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（3）专业工程暂估价金额：人民币（大写）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410017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（4）暂列金额：人民币（大写）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3BA454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2.合同价格形式：</w:t>
      </w:r>
      <w:r>
        <w:rPr>
          <w:rFonts w:hint="eastAsia" w:ascii="宋体" w:hAnsi="宋体" w:eastAsia="宋体" w:cs="宋体"/>
          <w:b/>
          <w:bCs/>
          <w:color w:val="auto"/>
          <w:sz w:val="24"/>
          <w:highlight w:val="none"/>
          <w:u w:val="single"/>
        </w:rPr>
        <w:t>固定单价合同</w:t>
      </w:r>
      <w:r>
        <w:rPr>
          <w:rFonts w:hint="eastAsia" w:ascii="宋体" w:hAnsi="宋体" w:eastAsia="宋体" w:cs="宋体"/>
          <w:color w:val="auto"/>
          <w:sz w:val="24"/>
          <w:highlight w:val="none"/>
        </w:rPr>
        <w:t>。</w:t>
      </w:r>
    </w:p>
    <w:p w14:paraId="2A4E1A58">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五、项目经理</w:t>
      </w:r>
    </w:p>
    <w:p w14:paraId="115574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承包人项目经理：</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667924A">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六、合同文件构成</w:t>
      </w:r>
    </w:p>
    <w:p w14:paraId="1E63DF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78914B2D">
      <w:pPr>
        <w:autoSpaceDE w:val="0"/>
        <w:autoSpaceDN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w:t>
      </w:r>
    </w:p>
    <w:p w14:paraId="78FDE844">
      <w:pPr>
        <w:autoSpaceDE w:val="0"/>
        <w:autoSpaceDN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3FC480B3">
      <w:pPr>
        <w:autoSpaceDE w:val="0"/>
        <w:autoSpaceDN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七、承诺</w:t>
      </w:r>
    </w:p>
    <w:p w14:paraId="708A20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1.发包人承诺按照法律规定履行项目审批手续、筹集工程建设资金并按照合同约定的期限和方式支付合同价款。</w:t>
      </w:r>
    </w:p>
    <w:p w14:paraId="7E10A7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2.承包人承诺按照法律规定及合同约定组织完成工程施工，确保工程质量和安全，不进行转包及违法分包，并在缺陷责任期及保修期内承担相应的工程维修责任。</w:t>
      </w:r>
    </w:p>
    <w:p w14:paraId="5FF7D7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3.发包人和承包人通过招磋商形式签订合同的，双方理解并承诺不再就同一工程另行签订与合同实质性内容相背离的协议。</w:t>
      </w:r>
    </w:p>
    <w:p w14:paraId="4209EA80">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八、词语含义</w:t>
      </w:r>
    </w:p>
    <w:p w14:paraId="1175FD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本协议书中词语含义与第二部分通用合同条款中赋予的含义相同。</w:t>
      </w:r>
    </w:p>
    <w:p w14:paraId="767AB42A">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九、签订时间及地点</w:t>
      </w:r>
    </w:p>
    <w:p w14:paraId="5C5EAF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日在</w:t>
      </w:r>
      <w:r>
        <w:rPr>
          <w:rFonts w:hint="eastAsia" w:ascii="宋体" w:hAnsi="宋体" w:eastAsia="宋体" w:cs="宋体"/>
          <w:color w:val="auto"/>
          <w:sz w:val="24"/>
          <w:highlight w:val="none"/>
          <w:u w:val="single"/>
        </w:rPr>
        <w:t xml:space="preserve">  杭州市  </w:t>
      </w:r>
      <w:r>
        <w:rPr>
          <w:rFonts w:hint="eastAsia" w:ascii="宋体" w:hAnsi="宋体" w:eastAsia="宋体" w:cs="宋体"/>
          <w:color w:val="auto"/>
          <w:sz w:val="24"/>
          <w:highlight w:val="none"/>
        </w:rPr>
        <w:t>签订。</w:t>
      </w:r>
    </w:p>
    <w:p w14:paraId="3780F369">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十、补充协议</w:t>
      </w:r>
    </w:p>
    <w:p w14:paraId="6906D869">
      <w:pP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合同未尽事宜，合同当事人另行签订补充协议，补充协议是合同的组成部分。</w:t>
      </w:r>
    </w:p>
    <w:p w14:paraId="46A9291C">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十一、合同生效</w:t>
      </w:r>
    </w:p>
    <w:p w14:paraId="629ADF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w:t>
      </w:r>
      <w:r>
        <w:rPr>
          <w:rFonts w:hint="eastAsia" w:ascii="宋体" w:hAnsi="宋体" w:eastAsia="宋体" w:cs="宋体"/>
          <w:color w:val="auto"/>
          <w:sz w:val="24"/>
          <w:highlight w:val="none"/>
          <w:u w:val="single"/>
        </w:rPr>
        <w:t xml:space="preserve">  签订之日  </w:t>
      </w:r>
      <w:r>
        <w:rPr>
          <w:rFonts w:hint="eastAsia" w:ascii="宋体" w:hAnsi="宋体" w:eastAsia="宋体" w:cs="宋体"/>
          <w:color w:val="auto"/>
          <w:sz w:val="24"/>
          <w:highlight w:val="none"/>
        </w:rPr>
        <w:t>生效。</w:t>
      </w:r>
    </w:p>
    <w:p w14:paraId="6A795027">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十二、合同份数</w:t>
      </w:r>
    </w:p>
    <w:p w14:paraId="4B04CA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份；如正本与副本有不一致处，以正本为准，均具有同等法律效力。</w:t>
      </w:r>
    </w:p>
    <w:p w14:paraId="11E9A903">
      <w:pPr>
        <w:snapToGrid w:val="0"/>
        <w:spacing w:line="360" w:lineRule="auto"/>
        <w:ind w:firstLine="480" w:firstLineChars="200"/>
        <w:rPr>
          <w:rFonts w:hint="eastAsia" w:ascii="宋体" w:hAnsi="宋体" w:eastAsia="宋体" w:cs="宋体"/>
          <w:color w:val="auto"/>
          <w:sz w:val="24"/>
          <w:highlight w:val="none"/>
        </w:rPr>
      </w:pPr>
    </w:p>
    <w:p w14:paraId="4C0593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  (公章)                              承包人：  (公章)</w:t>
      </w:r>
    </w:p>
    <w:p w14:paraId="0CF5DDC6">
      <w:pPr>
        <w:snapToGrid w:val="0"/>
        <w:spacing w:line="360" w:lineRule="auto"/>
        <w:ind w:firstLine="480" w:firstLineChars="200"/>
        <w:rPr>
          <w:rFonts w:hint="eastAsia" w:ascii="宋体" w:hAnsi="宋体" w:eastAsia="宋体" w:cs="宋体"/>
          <w:color w:val="auto"/>
          <w:sz w:val="24"/>
          <w:highlight w:val="none"/>
        </w:rPr>
      </w:pPr>
    </w:p>
    <w:p w14:paraId="4F499D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                    法定代表人或其委托代理人：</w:t>
      </w:r>
    </w:p>
    <w:p w14:paraId="562222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                                        （签字或盖章）</w:t>
      </w:r>
    </w:p>
    <w:p w14:paraId="769AECD1">
      <w:pPr>
        <w:snapToGrid w:val="0"/>
        <w:spacing w:line="360" w:lineRule="auto"/>
        <w:ind w:firstLine="480" w:firstLineChars="200"/>
        <w:rPr>
          <w:rFonts w:hint="eastAsia" w:ascii="宋体" w:hAnsi="宋体" w:eastAsia="宋体" w:cs="宋体"/>
          <w:color w:val="auto"/>
          <w:sz w:val="24"/>
          <w:highlight w:val="none"/>
        </w:rPr>
      </w:pPr>
    </w:p>
    <w:p w14:paraId="307C17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                           统一社会信用代码：       </w:t>
      </w:r>
    </w:p>
    <w:p w14:paraId="239B49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    </w:t>
      </w:r>
    </w:p>
    <w:p w14:paraId="17672C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   </w:t>
      </w:r>
    </w:p>
    <w:p w14:paraId="6C138D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   </w:t>
      </w:r>
    </w:p>
    <w:p w14:paraId="451FC09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 </w:t>
      </w:r>
    </w:p>
    <w:p w14:paraId="6E2C85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   </w:t>
      </w:r>
    </w:p>
    <w:p w14:paraId="3D038F87">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第二部分 通用合同条款（略）</w:t>
      </w:r>
    </w:p>
    <w:p w14:paraId="4CA607E2">
      <w:pPr>
        <w:spacing w:line="360" w:lineRule="auto"/>
        <w:ind w:firstLine="480" w:firstLineChars="200"/>
        <w:rPr>
          <w:rFonts w:hint="eastAsia" w:ascii="宋体" w:hAnsi="宋体" w:eastAsia="宋体" w:cs="宋体"/>
          <w:color w:val="auto"/>
          <w:sz w:val="24"/>
          <w:highlight w:val="none"/>
        </w:rPr>
      </w:pPr>
    </w:p>
    <w:p w14:paraId="18893A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通用合同条款采用住房城乡建设部、国家工商行政管理总局制定的《建设工程施工合同（示范文本）》（GF-2017-0201）的通用合同条款。</w:t>
      </w:r>
    </w:p>
    <w:p w14:paraId="63A097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第三部分  专用合同条款</w:t>
      </w:r>
    </w:p>
    <w:p w14:paraId="22D9F30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1、一般约定</w:t>
      </w:r>
    </w:p>
    <w:p w14:paraId="1E4CAC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1.1词语定义</w:t>
      </w:r>
    </w:p>
    <w:p w14:paraId="7E7739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1.1.1合同</w:t>
      </w:r>
    </w:p>
    <w:p w14:paraId="3EDB6D51">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highlight w:val="none"/>
        </w:rPr>
        <w:t>1.1.1.1其他合同文件包括：</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kern w:val="0"/>
          <w:sz w:val="24"/>
          <w:highlight w:val="none"/>
          <w:u w:val="single"/>
        </w:rPr>
        <w:t xml:space="preserve">施工组织设计，竞争性磋商文件及招标答疑。 </w:t>
      </w:r>
    </w:p>
    <w:p w14:paraId="02FD91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1.1.2合同当事人及其他相关方：</w:t>
      </w:r>
    </w:p>
    <w:p w14:paraId="54B149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1.1.2.1发包人代表：</w:t>
      </w:r>
    </w:p>
    <w:p w14:paraId="305AC7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25B473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6C8E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52CB2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ED99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1.1.2.2承包人</w:t>
      </w:r>
      <w:r>
        <w:rPr>
          <w:rFonts w:hint="eastAsia" w:ascii="宋体" w:hAnsi="宋体" w:eastAsia="宋体" w:cs="宋体"/>
          <w:color w:val="auto"/>
          <w:sz w:val="24"/>
          <w:highlight w:val="none"/>
        </w:rPr>
        <w:t>项目经理：</w:t>
      </w:r>
    </w:p>
    <w:p w14:paraId="4CB57A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w:t>
      </w:r>
    </w:p>
    <w:p w14:paraId="692F0B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p>
    <w:p w14:paraId="4CDD9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建造师执业资格等级：</w:t>
      </w:r>
      <w:r>
        <w:rPr>
          <w:rFonts w:hint="eastAsia" w:ascii="宋体" w:hAnsi="宋体" w:eastAsia="宋体" w:cs="宋体"/>
          <w:color w:val="auto"/>
          <w:sz w:val="24"/>
          <w:highlight w:val="none"/>
          <w:u w:val="single"/>
        </w:rPr>
        <w:t></w:t>
      </w:r>
    </w:p>
    <w:p w14:paraId="6C6A81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建造师注册证书号：</w:t>
      </w:r>
      <w:r>
        <w:rPr>
          <w:rFonts w:hint="eastAsia" w:ascii="宋体" w:hAnsi="宋体" w:eastAsia="宋体" w:cs="宋体"/>
          <w:color w:val="auto"/>
          <w:sz w:val="24"/>
          <w:highlight w:val="none"/>
          <w:u w:val="single"/>
        </w:rPr>
        <w:t></w:t>
      </w:r>
    </w:p>
    <w:p w14:paraId="4CFE2E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建造师执业印章号：</w:t>
      </w:r>
      <w:r>
        <w:rPr>
          <w:rFonts w:hint="eastAsia" w:ascii="宋体" w:hAnsi="宋体" w:eastAsia="宋体" w:cs="宋体"/>
          <w:color w:val="auto"/>
          <w:sz w:val="24"/>
          <w:highlight w:val="none"/>
          <w:u w:val="single"/>
        </w:rPr>
        <w:t></w:t>
      </w:r>
    </w:p>
    <w:p w14:paraId="4E5A38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安全生产考核合格证书号：</w:t>
      </w:r>
      <w:r>
        <w:rPr>
          <w:rFonts w:hint="eastAsia" w:ascii="宋体" w:hAnsi="宋体" w:eastAsia="宋体" w:cs="宋体"/>
          <w:color w:val="auto"/>
          <w:sz w:val="24"/>
          <w:highlight w:val="none"/>
          <w:u w:val="single"/>
        </w:rPr>
        <w:t></w:t>
      </w:r>
    </w:p>
    <w:p w14:paraId="76326A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p>
    <w:p w14:paraId="07377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1.1.2.3监理人全称：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74EA2D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总监理工程师：</w:t>
      </w:r>
    </w:p>
    <w:p w14:paraId="56D70E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34E50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E6DC6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监理工程师执业资格证书号：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4546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45596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1.1.2.4设计人全称：</w:t>
      </w:r>
      <w:r>
        <w:rPr>
          <w:rFonts w:hint="eastAsia" w:ascii="宋体" w:hAnsi="宋体" w:eastAsia="宋体" w:cs="宋体"/>
          <w:color w:val="auto"/>
          <w:sz w:val="24"/>
          <w:highlight w:val="none"/>
          <w:u w:val="single"/>
        </w:rPr>
        <w:t xml:space="preserve">                      </w:t>
      </w:r>
    </w:p>
    <w:p w14:paraId="6269B6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设计人代表：</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C96C7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F5DB7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1.1.3工程和设备</w:t>
      </w:r>
    </w:p>
    <w:p w14:paraId="195760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1.1.3.7作为施工现场组成部分的其他场所包括：</w:t>
      </w:r>
      <w:r>
        <w:rPr>
          <w:rFonts w:hint="eastAsia" w:ascii="宋体" w:hAnsi="宋体" w:eastAsia="宋体" w:cs="宋体"/>
          <w:color w:val="auto"/>
          <w:sz w:val="24"/>
          <w:highlight w:val="none"/>
          <w:u w:val="single"/>
        </w:rPr>
        <w:t xml:space="preserve">  /  </w:t>
      </w:r>
    </w:p>
    <w:p w14:paraId="48201A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1.1.3.9永久占地包括：</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实施工程需永久占用的土地</w:t>
      </w:r>
      <w:r>
        <w:rPr>
          <w:rFonts w:hint="eastAsia" w:ascii="宋体" w:hAnsi="宋体" w:eastAsia="宋体" w:cs="宋体"/>
          <w:color w:val="auto"/>
          <w:kern w:val="0"/>
          <w:sz w:val="24"/>
          <w:highlight w:val="none"/>
          <w:u w:val="single"/>
        </w:rPr>
        <w:t>。</w:t>
      </w:r>
    </w:p>
    <w:p w14:paraId="12A958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1.1.3.10临时占地包括：</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为实施工程需临时占用的土地</w:t>
      </w:r>
      <w:r>
        <w:rPr>
          <w:rFonts w:hint="eastAsia" w:ascii="宋体" w:hAnsi="宋体" w:eastAsia="宋体" w:cs="宋体"/>
          <w:color w:val="auto"/>
          <w:kern w:val="0"/>
          <w:sz w:val="24"/>
          <w:highlight w:val="none"/>
          <w:u w:val="single"/>
        </w:rPr>
        <w:t>。</w:t>
      </w:r>
    </w:p>
    <w:p w14:paraId="05C11F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1.3法律 </w:t>
      </w:r>
    </w:p>
    <w:p w14:paraId="5CEAAE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适用于合同的其他规范性文件：</w:t>
      </w:r>
    </w:p>
    <w:p w14:paraId="3242FFAB">
      <w:pPr>
        <w:spacing w:line="360" w:lineRule="auto"/>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（1）关于印发《杭州市建设工程工程量清单计价实施细则》（2018年修订）的通知（杭建市发【2018】578号）</w:t>
      </w:r>
    </w:p>
    <w:p w14:paraId="4F57237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 xml:space="preserve">（2）《关于进一步加强建筑施工领域企业安全生产工作的实施意见》的通知 （杭建工发〔2011〕130号） </w:t>
      </w:r>
    </w:p>
    <w:p w14:paraId="5CF8EFC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（3）《关于进一步加强建设工程安全质量物联网管理应用平台建设的通知》（</w:t>
      </w:r>
      <w:r>
        <w:rPr>
          <w:rFonts w:hint="eastAsia" w:ascii="宋体" w:hAnsi="宋体" w:eastAsia="宋体" w:cs="宋体"/>
          <w:b/>
          <w:bCs/>
          <w:color w:val="auto"/>
          <w:kern w:val="0"/>
          <w:sz w:val="24"/>
          <w:highlight w:val="none"/>
          <w:u w:val="single"/>
        </w:rPr>
        <w:t xml:space="preserve">杭建工发【2012】426号） </w:t>
      </w:r>
    </w:p>
    <w:p w14:paraId="5513E48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u w:val="single"/>
        </w:rPr>
        <w:t xml:space="preserve">（4）《杭州市人民政府办公厅关于印发杭州市建设工程推广应用预拌砂浆管理办法的通知》（杭政办函（2011）32号） </w:t>
      </w:r>
    </w:p>
    <w:p w14:paraId="77323E0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（5）</w:t>
      </w:r>
      <w:r>
        <w:rPr>
          <w:rFonts w:hint="eastAsia" w:ascii="宋体" w:hAnsi="宋体" w:eastAsia="宋体" w:cs="宋体"/>
          <w:b/>
          <w:bCs/>
          <w:color w:val="auto"/>
          <w:kern w:val="0"/>
          <w:sz w:val="24"/>
          <w:highlight w:val="none"/>
          <w:u w:val="single"/>
        </w:rPr>
        <w:t>《关于落实建筑工棚安装空调事宜的通知》（</w:t>
      </w:r>
      <w:r>
        <w:rPr>
          <w:rFonts w:hint="eastAsia" w:ascii="宋体" w:hAnsi="宋体" w:eastAsia="宋体" w:cs="宋体"/>
          <w:b/>
          <w:bCs/>
          <w:color w:val="auto"/>
          <w:sz w:val="24"/>
          <w:highlight w:val="none"/>
          <w:u w:val="single"/>
        </w:rPr>
        <w:t xml:space="preserve">杭建工发【2011】237号） </w:t>
      </w:r>
    </w:p>
    <w:p w14:paraId="5D831EA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（6）《关于进一步加强杭州市建设工程市场要素价格动态管理的指导意见》（杭建市发【2018】579号）</w:t>
      </w:r>
    </w:p>
    <w:p w14:paraId="0A3B29C3">
      <w:pPr>
        <w:spacing w:line="360" w:lineRule="auto"/>
        <w:ind w:firstLine="482" w:firstLineChars="200"/>
        <w:rPr>
          <w:rFonts w:hint="eastAsia" w:ascii="宋体" w:hAnsi="宋体" w:eastAsia="宋体" w:cs="宋体"/>
          <w:color w:val="auto"/>
          <w:kern w:val="0"/>
          <w:sz w:val="24"/>
          <w:highlight w:val="none"/>
          <w:u w:val="single"/>
        </w:rPr>
      </w:pPr>
      <w:r>
        <w:rPr>
          <w:rFonts w:hint="eastAsia" w:ascii="宋体" w:hAnsi="宋体" w:eastAsia="宋体" w:cs="宋体"/>
          <w:b/>
          <w:bCs/>
          <w:color w:val="auto"/>
          <w:sz w:val="24"/>
          <w:highlight w:val="none"/>
          <w:u w:val="single"/>
        </w:rPr>
        <w:t>（7）新工艺、新技术的约定：</w:t>
      </w:r>
      <w:r>
        <w:rPr>
          <w:rFonts w:hint="eastAsia" w:ascii="宋体" w:hAnsi="宋体" w:eastAsia="宋体" w:cs="宋体"/>
          <w:color w:val="auto"/>
          <w:kern w:val="0"/>
          <w:sz w:val="24"/>
          <w:highlight w:val="none"/>
          <w:u w:val="single"/>
        </w:rPr>
        <w:t xml:space="preserve">    /   </w:t>
      </w:r>
    </w:p>
    <w:p w14:paraId="1ABDC97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（8）其他：</w:t>
      </w:r>
    </w:p>
    <w:p w14:paraId="7DE60FA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《杭州市建筑市场管理若干规定》（杭州市人民政府令第277号）</w:t>
      </w:r>
    </w:p>
    <w:p w14:paraId="7DF443F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《杭州市建设工程文明施工管理规定》（杭州市人民政府令第278号）</w:t>
      </w:r>
    </w:p>
    <w:p w14:paraId="1EDFB4E5">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《杭州市政府投资项目概算管理办法（试行）》（杭发改投资[2013]422号）</w:t>
      </w:r>
    </w:p>
    <w:p w14:paraId="072B7329">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《杭州市政府投资项目工程变更管理暂行办法》（杭财建[2013]1246号）</w:t>
      </w:r>
    </w:p>
    <w:p w14:paraId="28EDA7B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《关于进一步明确本市政府投资项目工程结算审查费用管理相关事项的通知》（杭财基[2014]109号）</w:t>
      </w:r>
    </w:p>
    <w:p w14:paraId="4046E2D4">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《杭州市拱墅区住房和城市建设局关于印发加强拱墅区政府投资项目工程总承包管理的实施意见的通知》（拱住建局【2016】101号）</w:t>
      </w:r>
    </w:p>
    <w:p w14:paraId="7A78BB53">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《关于进一步规范区政府投资建设项目工程变更管理的通知（试行）》的通知（拱建管办[2021]1号）</w:t>
      </w:r>
    </w:p>
    <w:p w14:paraId="04B756F7">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（《杭州市拱墅区人民政府办公室关于印发拱墅区政府投资项目审计办法的通知》（拱政办发〔2018〕13号）</w:t>
      </w:r>
    </w:p>
    <w:p w14:paraId="0890064B">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《关于在区城建系统各单位深化开展“廉政文化进工地”活动的通知》（拱驻建纪【2013】2号）</w:t>
      </w:r>
    </w:p>
    <w:p w14:paraId="184E2671">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《拱墅区“平安工地”创建工作建设标准》</w:t>
      </w:r>
    </w:p>
    <w:p w14:paraId="09258390">
      <w:pPr>
        <w:pStyle w:val="967"/>
        <w:ind w:firstLine="442" w:firstLineChars="200"/>
        <w:rPr>
          <w:rFonts w:hint="eastAsia" w:ascii="宋体" w:hAnsi="宋体" w:eastAsia="宋体" w:cs="宋体"/>
          <w:color w:val="auto"/>
          <w:highlight w:val="none"/>
        </w:rPr>
      </w:pPr>
      <w:r>
        <w:rPr>
          <w:rFonts w:hint="eastAsia" w:ascii="宋体" w:hAnsi="宋体" w:eastAsia="宋体" w:cs="宋体"/>
          <w:b/>
          <w:bCs/>
          <w:color w:val="auto"/>
          <w:szCs w:val="21"/>
          <w:highlight w:val="none"/>
          <w:u w:val="single"/>
        </w:rPr>
        <w:t>拱教局2023（67）号文件、拱教局2022（98）号文件</w:t>
      </w:r>
    </w:p>
    <w:p w14:paraId="7F34DBDD">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《拱墅区2019年度大气污染综合整治工作方案》</w:t>
      </w:r>
    </w:p>
    <w:p w14:paraId="29E3A21A">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1CCE79D1">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杭州市城乡建设委员会《关于开展建设领域保证金专项清理规范的通知》（杭建市发〔 2016 〕339 号）。</w:t>
      </w:r>
    </w:p>
    <w:p w14:paraId="38240D82">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浙江省人民政府办公厅《关于深化企业减负担降成本改革的若干意见》浙政办发【 2017 】 48号 ；</w:t>
      </w:r>
    </w:p>
    <w:p w14:paraId="5A27121C">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《杭州市拱墅区人民政府关于进一步加强学校（幼儿园）建设的实施意见》（拱政发〔2014〕16号）</w:t>
      </w:r>
    </w:p>
    <w:p w14:paraId="27EEACDE">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《中小学合成材料面层运动场地》（GB36246-2018）。 </w:t>
      </w:r>
    </w:p>
    <w:p w14:paraId="0A6A7B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1.4标准和规范          </w:t>
      </w:r>
    </w:p>
    <w:p w14:paraId="3209B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1.4.1适用于工程的标准规范包括：</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按通用条款；</w:t>
      </w:r>
    </w:p>
    <w:p w14:paraId="396D0F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1.4.2发包人提供国外标准、规范的名称：</w:t>
      </w:r>
      <w:r>
        <w:rPr>
          <w:rFonts w:hint="eastAsia" w:ascii="宋体" w:hAnsi="宋体" w:eastAsia="宋体" w:cs="宋体"/>
          <w:color w:val="auto"/>
          <w:kern w:val="0"/>
          <w:sz w:val="24"/>
          <w:highlight w:val="none"/>
          <w:u w:val="single"/>
        </w:rPr>
        <w:t xml:space="preserve">    /    </w:t>
      </w:r>
    </w:p>
    <w:p w14:paraId="27F893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发包人提供国外标准、规范的份数：</w:t>
      </w:r>
      <w:r>
        <w:rPr>
          <w:rFonts w:hint="eastAsia" w:ascii="宋体" w:hAnsi="宋体" w:eastAsia="宋体" w:cs="宋体"/>
          <w:color w:val="auto"/>
          <w:kern w:val="0"/>
          <w:sz w:val="24"/>
          <w:highlight w:val="none"/>
          <w:u w:val="single"/>
        </w:rPr>
        <w:t xml:space="preserve">    /    </w:t>
      </w:r>
    </w:p>
    <w:p w14:paraId="0646C0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发包人提供国外标准、规范的名称：</w:t>
      </w:r>
      <w:r>
        <w:rPr>
          <w:rFonts w:hint="eastAsia" w:ascii="宋体" w:hAnsi="宋体" w:eastAsia="宋体" w:cs="宋体"/>
          <w:color w:val="auto"/>
          <w:kern w:val="0"/>
          <w:sz w:val="24"/>
          <w:highlight w:val="none"/>
          <w:u w:val="single"/>
        </w:rPr>
        <w:t xml:space="preserve">     /    </w:t>
      </w:r>
    </w:p>
    <w:p w14:paraId="634A0D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1.4.3发包人对工程的技术标准和功能要求的特殊要求：</w:t>
      </w:r>
      <w:r>
        <w:rPr>
          <w:rFonts w:hint="eastAsia" w:ascii="宋体" w:hAnsi="宋体" w:eastAsia="宋体" w:cs="宋体"/>
          <w:b/>
          <w:bCs/>
          <w:color w:val="auto"/>
          <w:sz w:val="24"/>
          <w:highlight w:val="none"/>
          <w:u w:val="single"/>
        </w:rPr>
        <w:t>国家或行业如有新的技术标准和功能要求，则要求从新</w:t>
      </w:r>
      <w:r>
        <w:rPr>
          <w:rFonts w:hint="eastAsia" w:ascii="宋体" w:hAnsi="宋体" w:eastAsia="宋体" w:cs="宋体"/>
          <w:color w:val="auto"/>
          <w:sz w:val="24"/>
          <w:highlight w:val="none"/>
          <w:u w:val="single"/>
        </w:rPr>
        <w:t>。</w:t>
      </w:r>
    </w:p>
    <w:p w14:paraId="2AFA6E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1.5合同文件的优先顺序为：</w:t>
      </w:r>
    </w:p>
    <w:p w14:paraId="64626CA6">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（1）合同协议书；</w:t>
      </w:r>
    </w:p>
    <w:p w14:paraId="2EEEF924">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（2）中标通知书（或项目发承包基本情况表）；</w:t>
      </w:r>
    </w:p>
    <w:p w14:paraId="20D8B5F1">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（3）磋商函及其附录（如果有）；</w:t>
      </w:r>
    </w:p>
    <w:p w14:paraId="34C8AC8D">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（4）专用合同条款及其附件；</w:t>
      </w:r>
    </w:p>
    <w:p w14:paraId="11907A70">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（5）通用合同条款；</w:t>
      </w:r>
    </w:p>
    <w:p w14:paraId="6EB5CCAA">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（6）技术标准和要求；</w:t>
      </w:r>
    </w:p>
    <w:p w14:paraId="4F797584">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（7）图纸；</w:t>
      </w:r>
    </w:p>
    <w:p w14:paraId="019E2831">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（8）已标价工程量清单或预算书；</w:t>
      </w:r>
    </w:p>
    <w:p w14:paraId="2B788E1C">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（9）其他合同文件：</w:t>
      </w:r>
    </w:p>
    <w:p w14:paraId="4AF08564">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①施工组织设计；</w:t>
      </w:r>
    </w:p>
    <w:p w14:paraId="083A1BA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u w:val="single"/>
        </w:rPr>
        <w:t>②</w:t>
      </w:r>
      <w:r>
        <w:rPr>
          <w:rFonts w:hint="eastAsia" w:ascii="宋体" w:hAnsi="宋体" w:eastAsia="宋体" w:cs="宋体"/>
          <w:b/>
          <w:bCs/>
          <w:color w:val="auto"/>
          <w:sz w:val="24"/>
          <w:highlight w:val="none"/>
          <w:u w:val="single"/>
        </w:rPr>
        <w:t>竞争性磋商文件及招标答疑。</w:t>
      </w:r>
    </w:p>
    <w:p w14:paraId="384432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1.6图纸和承包人文件</w:t>
      </w:r>
      <w:r>
        <w:rPr>
          <w:rFonts w:hint="eastAsia" w:ascii="宋体" w:hAnsi="宋体" w:eastAsia="宋体" w:cs="宋体"/>
          <w:color w:val="auto"/>
          <w:sz w:val="24"/>
          <w:highlight w:val="none"/>
        </w:rPr>
        <w:tab/>
      </w:r>
    </w:p>
    <w:p w14:paraId="2B431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1.6.1图纸的提供</w:t>
      </w:r>
    </w:p>
    <w:p w14:paraId="48F54B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发包人向承包人提供图纸的期限：</w:t>
      </w:r>
      <w:r>
        <w:rPr>
          <w:rFonts w:hint="eastAsia" w:ascii="宋体" w:hAnsi="宋体" w:eastAsia="宋体" w:cs="宋体"/>
          <w:b/>
          <w:bCs/>
          <w:color w:val="auto"/>
          <w:sz w:val="24"/>
          <w:highlight w:val="none"/>
          <w:u w:val="single"/>
        </w:rPr>
        <w:t>开工前十五天；</w:t>
      </w:r>
    </w:p>
    <w:p w14:paraId="05594A91">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发包人向承包人提供图纸的数量：</w:t>
      </w:r>
      <w:r>
        <w:rPr>
          <w:rFonts w:hint="eastAsia" w:ascii="宋体" w:hAnsi="宋体" w:eastAsia="宋体" w:cs="宋体"/>
          <w:b/>
          <w:bCs/>
          <w:color w:val="auto"/>
          <w:sz w:val="24"/>
          <w:highlight w:val="none"/>
          <w:u w:val="single"/>
        </w:rPr>
        <w:t>陆套施工图纸(不包括竣工图)，如承包人额外需要提供施工图纸的，则额外增加的施工图纸的制作费由承包人承担</w:t>
      </w:r>
      <w:r>
        <w:rPr>
          <w:rFonts w:hint="eastAsia" w:ascii="宋体" w:hAnsi="宋体" w:eastAsia="宋体" w:cs="宋体"/>
          <w:color w:val="auto"/>
          <w:sz w:val="24"/>
          <w:highlight w:val="none"/>
          <w:u w:val="single"/>
        </w:rPr>
        <w:t>；</w:t>
      </w:r>
    </w:p>
    <w:p w14:paraId="4D8E41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发包人向承包人提供图纸的内容：</w:t>
      </w:r>
      <w:r>
        <w:rPr>
          <w:rFonts w:hint="eastAsia" w:ascii="宋体" w:hAnsi="宋体" w:eastAsia="宋体" w:cs="宋体"/>
          <w:b/>
          <w:bCs/>
          <w:color w:val="auto"/>
          <w:sz w:val="24"/>
          <w:highlight w:val="none"/>
          <w:u w:val="single"/>
        </w:rPr>
        <w:t>承包范围内的全套施工图纸、设计联系单等</w:t>
      </w:r>
      <w:r>
        <w:rPr>
          <w:rFonts w:hint="eastAsia" w:ascii="宋体" w:hAnsi="宋体" w:eastAsia="宋体" w:cs="宋体"/>
          <w:color w:val="auto"/>
          <w:sz w:val="24"/>
          <w:highlight w:val="none"/>
          <w:u w:val="single"/>
        </w:rPr>
        <w:t>。</w:t>
      </w:r>
    </w:p>
    <w:p w14:paraId="65867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1.6.4承包人文件</w:t>
      </w:r>
    </w:p>
    <w:p w14:paraId="71DB192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需要由承包人提供的文件，包括：</w:t>
      </w:r>
      <w:r>
        <w:rPr>
          <w:rFonts w:hint="eastAsia" w:ascii="宋体" w:hAnsi="宋体" w:eastAsia="宋体" w:cs="宋体"/>
          <w:b/>
          <w:bCs/>
          <w:color w:val="auto"/>
          <w:sz w:val="24"/>
          <w:highlight w:val="none"/>
          <w:u w:val="single"/>
        </w:rPr>
        <w:t>施工组织设计、进度计划等</w:t>
      </w:r>
      <w:r>
        <w:rPr>
          <w:rFonts w:hint="eastAsia" w:ascii="宋体" w:hAnsi="宋体" w:eastAsia="宋体" w:cs="宋体"/>
          <w:color w:val="auto"/>
          <w:sz w:val="24"/>
          <w:highlight w:val="none"/>
          <w:u w:val="single"/>
        </w:rPr>
        <w:t>；</w:t>
      </w:r>
    </w:p>
    <w:p w14:paraId="7D610E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承包人提供的文件的期限为：</w:t>
      </w:r>
      <w:r>
        <w:rPr>
          <w:rFonts w:hint="eastAsia" w:ascii="宋体" w:hAnsi="宋体" w:eastAsia="宋体" w:cs="宋体"/>
          <w:b/>
          <w:bCs/>
          <w:color w:val="auto"/>
          <w:sz w:val="24"/>
          <w:highlight w:val="none"/>
          <w:u w:val="single"/>
        </w:rPr>
        <w:t>合同签订后五个工作日内</w:t>
      </w:r>
      <w:r>
        <w:rPr>
          <w:rFonts w:hint="eastAsia" w:ascii="宋体" w:hAnsi="宋体" w:eastAsia="宋体" w:cs="宋体"/>
          <w:color w:val="auto"/>
          <w:sz w:val="24"/>
          <w:highlight w:val="none"/>
          <w:u w:val="single"/>
        </w:rPr>
        <w:t>；</w:t>
      </w:r>
    </w:p>
    <w:p w14:paraId="0F646EE0">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承包人提供的文件的数量为：</w:t>
      </w:r>
      <w:r>
        <w:rPr>
          <w:rFonts w:hint="eastAsia" w:ascii="宋体" w:hAnsi="宋体" w:eastAsia="宋体" w:cs="宋体"/>
          <w:b/>
          <w:bCs/>
          <w:color w:val="auto"/>
          <w:sz w:val="24"/>
          <w:highlight w:val="none"/>
          <w:u w:val="single"/>
        </w:rPr>
        <w:t>一式三份</w:t>
      </w:r>
      <w:r>
        <w:rPr>
          <w:rFonts w:hint="eastAsia" w:ascii="宋体" w:hAnsi="宋体" w:eastAsia="宋体" w:cs="宋体"/>
          <w:color w:val="auto"/>
          <w:sz w:val="24"/>
          <w:highlight w:val="none"/>
          <w:u w:val="single"/>
        </w:rPr>
        <w:t>；</w:t>
      </w:r>
    </w:p>
    <w:p w14:paraId="1AFE47B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承包人提供的文件的形式为：</w:t>
      </w:r>
      <w:r>
        <w:rPr>
          <w:rFonts w:hint="eastAsia" w:ascii="宋体" w:hAnsi="宋体" w:eastAsia="宋体" w:cs="宋体"/>
          <w:b/>
          <w:bCs/>
          <w:color w:val="auto"/>
          <w:sz w:val="24"/>
          <w:highlight w:val="none"/>
          <w:u w:val="single"/>
        </w:rPr>
        <w:t>书面形式</w:t>
      </w:r>
      <w:r>
        <w:rPr>
          <w:rFonts w:hint="eastAsia" w:ascii="宋体" w:hAnsi="宋体" w:eastAsia="宋体" w:cs="宋体"/>
          <w:color w:val="auto"/>
          <w:sz w:val="24"/>
          <w:highlight w:val="none"/>
          <w:u w:val="single"/>
        </w:rPr>
        <w:t>；</w:t>
      </w:r>
    </w:p>
    <w:p w14:paraId="2812F8A0">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发包人审批承包人文件的期限：</w:t>
      </w:r>
      <w:r>
        <w:rPr>
          <w:rFonts w:hint="eastAsia" w:ascii="宋体" w:hAnsi="宋体" w:eastAsia="宋体" w:cs="宋体"/>
          <w:b/>
          <w:bCs/>
          <w:color w:val="auto"/>
          <w:sz w:val="24"/>
          <w:highlight w:val="none"/>
          <w:u w:val="single"/>
        </w:rPr>
        <w:t>收到承包人齐全的文件资料后10个工作日内</w:t>
      </w:r>
      <w:r>
        <w:rPr>
          <w:rFonts w:hint="eastAsia" w:ascii="宋体" w:hAnsi="宋体" w:eastAsia="宋体" w:cs="宋体"/>
          <w:color w:val="auto"/>
          <w:sz w:val="24"/>
          <w:highlight w:val="none"/>
          <w:u w:val="single"/>
        </w:rPr>
        <w:t>。</w:t>
      </w:r>
    </w:p>
    <w:p w14:paraId="7AD8D9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1.6.5现场图纸准备</w:t>
      </w:r>
    </w:p>
    <w:p w14:paraId="6C1294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关于现场图纸准备的约定：</w:t>
      </w:r>
      <w:r>
        <w:rPr>
          <w:rFonts w:hint="eastAsia" w:ascii="宋体" w:hAnsi="宋体" w:eastAsia="宋体" w:cs="宋体"/>
          <w:b/>
          <w:bCs/>
          <w:color w:val="auto"/>
          <w:sz w:val="24"/>
          <w:highlight w:val="none"/>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eastAsia="宋体" w:cs="宋体"/>
          <w:color w:val="auto"/>
          <w:sz w:val="24"/>
          <w:highlight w:val="none"/>
          <w:u w:val="single"/>
        </w:rPr>
        <w:t>。</w:t>
      </w:r>
    </w:p>
    <w:p w14:paraId="1FE0C4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1.7联络</w:t>
      </w:r>
    </w:p>
    <w:p w14:paraId="0CD17C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1.7.1发包人和承包人应当在</w:t>
      </w:r>
      <w:r>
        <w:rPr>
          <w:rFonts w:hint="eastAsia" w:ascii="宋体" w:hAnsi="宋体" w:eastAsia="宋体" w:cs="宋体"/>
          <w:b/>
          <w:bCs/>
          <w:color w:val="auto"/>
          <w:sz w:val="24"/>
          <w:highlight w:val="none"/>
          <w:u w:val="single"/>
        </w:rPr>
        <w:t xml:space="preserve">3  </w:t>
      </w:r>
      <w:r>
        <w:rPr>
          <w:rFonts w:hint="eastAsia" w:ascii="宋体" w:hAnsi="宋体" w:eastAsia="宋体" w:cs="宋体"/>
          <w:color w:val="auto"/>
          <w:kern w:val="0"/>
          <w:sz w:val="24"/>
          <w:highlight w:val="none"/>
        </w:rPr>
        <w:t>天内将与合同有关的通知、批准、证明、证书、指示、指令、要求、请求、同意、意见、确定和决定等书面函件送达对方当事人。</w:t>
      </w:r>
    </w:p>
    <w:p w14:paraId="5BADE1F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发包人、承包人及监理人接收文件的地点：</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施工现场办公室；</w:t>
      </w:r>
    </w:p>
    <w:p w14:paraId="38C2DF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1.10交通运输</w:t>
      </w:r>
    </w:p>
    <w:p w14:paraId="27166C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1.10.1出入现场的权利</w:t>
      </w:r>
    </w:p>
    <w:p w14:paraId="225EBA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关于出入现场的权利的约定：</w:t>
      </w:r>
      <w:r>
        <w:rPr>
          <w:rFonts w:hint="eastAsia" w:ascii="宋体" w:hAnsi="宋体" w:eastAsia="宋体" w:cs="宋体"/>
          <w:b/>
          <w:bCs/>
          <w:color w:val="auto"/>
          <w:sz w:val="24"/>
          <w:highlight w:val="none"/>
          <w:u w:val="single"/>
        </w:rPr>
        <w:t>按通用条款 。</w:t>
      </w:r>
    </w:p>
    <w:p w14:paraId="271C6C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1.10.3场内交通</w:t>
      </w:r>
    </w:p>
    <w:p w14:paraId="0870459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关于场外交通和场内交通的边界的约定：</w:t>
      </w:r>
      <w:r>
        <w:rPr>
          <w:rFonts w:hint="eastAsia" w:ascii="宋体" w:hAnsi="宋体" w:eastAsia="宋体" w:cs="宋体"/>
          <w:b/>
          <w:bCs/>
          <w:color w:val="auto"/>
          <w:sz w:val="24"/>
          <w:highlight w:val="none"/>
          <w:u w:val="single"/>
        </w:rPr>
        <w:t>由发包人根据现场条件划定，承包人无条件服从。</w:t>
      </w:r>
    </w:p>
    <w:p w14:paraId="562A498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关于发包人向承包人免费提供满足工程施工需要的场内道路和交通设施的约定：</w:t>
      </w:r>
      <w:r>
        <w:rPr>
          <w:rFonts w:hint="eastAsia" w:ascii="宋体" w:hAnsi="宋体" w:eastAsia="宋体" w:cs="宋体"/>
          <w:b/>
          <w:bCs/>
          <w:color w:val="auto"/>
          <w:sz w:val="24"/>
          <w:highlight w:val="none"/>
          <w:u w:val="single"/>
        </w:rPr>
        <w:t>按通用条款 。</w:t>
      </w:r>
    </w:p>
    <w:p w14:paraId="2F53CF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1.10.4超大件和超重件的运输</w:t>
      </w:r>
    </w:p>
    <w:p w14:paraId="3D4D68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运输超大件或超重件所需的道路和桥梁临时加固改造费用和其他有关费用由</w:t>
      </w:r>
      <w:r>
        <w:rPr>
          <w:rFonts w:hint="eastAsia" w:ascii="宋体" w:hAnsi="宋体" w:eastAsia="宋体" w:cs="宋体"/>
          <w:b/>
          <w:bCs/>
          <w:color w:val="auto"/>
          <w:sz w:val="24"/>
          <w:highlight w:val="none"/>
          <w:u w:val="single"/>
        </w:rPr>
        <w:t xml:space="preserve">承包人 </w:t>
      </w:r>
      <w:r>
        <w:rPr>
          <w:rFonts w:hint="eastAsia" w:ascii="宋体" w:hAnsi="宋体" w:eastAsia="宋体" w:cs="宋体"/>
          <w:color w:val="auto"/>
          <w:sz w:val="24"/>
          <w:highlight w:val="none"/>
        </w:rPr>
        <w:t>承担。</w:t>
      </w:r>
    </w:p>
    <w:p w14:paraId="5DA263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本工程的超大件：</w:t>
      </w:r>
      <w:r>
        <w:rPr>
          <w:rFonts w:hint="eastAsia" w:ascii="宋体" w:hAnsi="宋体" w:eastAsia="宋体" w:cs="宋体"/>
          <w:color w:val="auto"/>
          <w:kern w:val="0"/>
          <w:sz w:val="24"/>
          <w:highlight w:val="none"/>
          <w:u w:val="single"/>
        </w:rPr>
        <w:t xml:space="preserve">/    </w:t>
      </w:r>
    </w:p>
    <w:p w14:paraId="39BE1E3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本工程的超重件：</w:t>
      </w:r>
      <w:r>
        <w:rPr>
          <w:rFonts w:hint="eastAsia" w:ascii="宋体" w:hAnsi="宋体" w:eastAsia="宋体" w:cs="宋体"/>
          <w:color w:val="auto"/>
          <w:kern w:val="0"/>
          <w:sz w:val="24"/>
          <w:highlight w:val="none"/>
          <w:u w:val="single"/>
        </w:rPr>
        <w:t xml:space="preserve">/    </w:t>
      </w:r>
    </w:p>
    <w:p w14:paraId="4D993A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1.11知识产权</w:t>
      </w:r>
    </w:p>
    <w:p w14:paraId="0A62843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归发包人。 </w:t>
      </w:r>
    </w:p>
    <w:p w14:paraId="00781DE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关于发包人提供的上述文件的使用限制的要求：</w:t>
      </w:r>
      <w:r>
        <w:rPr>
          <w:rFonts w:hint="eastAsia" w:ascii="宋体" w:hAnsi="宋体" w:eastAsia="宋体" w:cs="宋体"/>
          <w:b/>
          <w:bCs/>
          <w:color w:val="auto"/>
          <w:sz w:val="24"/>
          <w:highlight w:val="none"/>
          <w:u w:val="single"/>
        </w:rPr>
        <w:t>未经发包人同意，不得向他人提供，否则发包人有权解除合同并有权向承包人进行索赔。</w:t>
      </w:r>
    </w:p>
    <w:p w14:paraId="1B202FE4">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1.11.2 关于承包人为实施工程所编制文件的著作权的归属：</w:t>
      </w:r>
      <w:r>
        <w:rPr>
          <w:rFonts w:hint="eastAsia" w:ascii="宋体" w:hAnsi="宋体" w:eastAsia="宋体" w:cs="宋体"/>
          <w:b/>
          <w:bCs/>
          <w:color w:val="auto"/>
          <w:sz w:val="24"/>
          <w:highlight w:val="none"/>
          <w:u w:val="single"/>
        </w:rPr>
        <w:t xml:space="preserve">按通用条款。 </w:t>
      </w:r>
    </w:p>
    <w:p w14:paraId="3CD9F2C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关于承包人提供的上述文件的使用限制的要求：</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用于本工程。 </w:t>
      </w:r>
    </w:p>
    <w:p w14:paraId="104497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 承包人在施工过程中所采用的专利、专有技术、技术秘密的使用费的承担方式：</w:t>
      </w:r>
      <w:r>
        <w:rPr>
          <w:rFonts w:hint="eastAsia" w:ascii="宋体" w:hAnsi="宋体" w:eastAsia="宋体" w:cs="宋体"/>
          <w:b/>
          <w:bCs/>
          <w:color w:val="auto"/>
          <w:sz w:val="24"/>
          <w:highlight w:val="none"/>
          <w:u w:val="single"/>
        </w:rPr>
        <w:t>（除发包人指明外）承包人在施工过程中所采用的专利、专有技术、技术秘密的使用费包含在合同价款内。</w:t>
      </w:r>
    </w:p>
    <w:p w14:paraId="32851B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1.13工程量清单错误的修正</w:t>
      </w:r>
    </w:p>
    <w:p w14:paraId="376B34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出现工程量清单错误时，是否调整合同价格：</w:t>
      </w:r>
      <w:r>
        <w:rPr>
          <w:rFonts w:hint="eastAsia" w:ascii="宋体" w:hAnsi="宋体" w:eastAsia="宋体" w:cs="宋体"/>
          <w:b/>
          <w:bCs/>
          <w:color w:val="auto"/>
          <w:sz w:val="24"/>
          <w:highlight w:val="none"/>
          <w:u w:val="single"/>
        </w:rPr>
        <w:t xml:space="preserve">  是  </w:t>
      </w:r>
      <w:r>
        <w:rPr>
          <w:rFonts w:hint="eastAsia" w:ascii="宋体" w:hAnsi="宋体" w:eastAsia="宋体" w:cs="宋体"/>
          <w:b/>
          <w:bCs/>
          <w:color w:val="auto"/>
          <w:sz w:val="24"/>
          <w:highlight w:val="none"/>
        </w:rPr>
        <w:t>；</w:t>
      </w:r>
    </w:p>
    <w:p w14:paraId="26C866F0">
      <w:pPr>
        <w:spacing w:line="360"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允许调整合同价格的工程量偏差范围：</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按本专用条款第10.4.1条执行；</w:t>
      </w:r>
    </w:p>
    <w:p w14:paraId="7121D76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调整合同价格的修正时间：</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3A50AE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2、发包人</w:t>
      </w:r>
    </w:p>
    <w:p w14:paraId="443FA3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发包人应根据工程所需配备发包人代表，同时配备1-2名相关人员到岗履职。</w:t>
      </w:r>
    </w:p>
    <w:p w14:paraId="58711A0E">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发包人对发包人代表的授权范围如下：</w:t>
      </w:r>
      <w:r>
        <w:rPr>
          <w:rFonts w:hint="eastAsia" w:ascii="宋体" w:hAnsi="宋体" w:eastAsia="宋体" w:cs="宋体"/>
          <w:b/>
          <w:color w:val="auto"/>
          <w:sz w:val="24"/>
          <w:highlight w:val="none"/>
          <w:u w:val="single"/>
        </w:rPr>
        <w:t>对质量、成本、安全、进度进行全面管理，但涉及合同价格变更、安全事故、质量事故等重大事项的处理须经发包人加盖公章方有效。</w:t>
      </w:r>
    </w:p>
    <w:p w14:paraId="060164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2.4施工现场、施工条件和基础资料的提供</w:t>
      </w:r>
    </w:p>
    <w:p w14:paraId="7E83EA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2.4.1提供施工现场</w:t>
      </w:r>
    </w:p>
    <w:p w14:paraId="25B5F02D">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关于发包人移交施工现场的期限要求：</w:t>
      </w:r>
      <w:r>
        <w:rPr>
          <w:rFonts w:hint="eastAsia" w:ascii="宋体" w:hAnsi="宋体" w:eastAsia="宋体" w:cs="宋体"/>
          <w:b/>
          <w:bCs/>
          <w:color w:val="auto"/>
          <w:sz w:val="24"/>
          <w:highlight w:val="none"/>
          <w:u w:val="single"/>
        </w:rPr>
        <w:t xml:space="preserve"> 开工日期7天前移交。</w:t>
      </w:r>
    </w:p>
    <w:p w14:paraId="4FCBBB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2.4.2提供施工条件</w:t>
      </w:r>
    </w:p>
    <w:p w14:paraId="55F44051">
      <w:pPr>
        <w:autoSpaceDE w:val="0"/>
        <w:autoSpaceDN w:val="0"/>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关于发包人应负责提供施工所需要的条件，包括：</w:t>
      </w:r>
      <w:r>
        <w:rPr>
          <w:rFonts w:hint="eastAsia" w:ascii="宋体" w:hAnsi="宋体" w:eastAsia="宋体" w:cs="宋体"/>
          <w:b/>
          <w:bCs/>
          <w:color w:val="auto"/>
          <w:sz w:val="24"/>
          <w:highlight w:val="none"/>
          <w:u w:val="single"/>
        </w:rPr>
        <w:t xml:space="preserve">按通用条款 </w:t>
      </w:r>
      <w:r>
        <w:rPr>
          <w:rFonts w:hint="eastAsia" w:ascii="宋体" w:hAnsi="宋体" w:eastAsia="宋体" w:cs="宋体"/>
          <w:color w:val="auto"/>
          <w:sz w:val="24"/>
          <w:highlight w:val="none"/>
        </w:rPr>
        <w:t>。</w:t>
      </w:r>
    </w:p>
    <w:p w14:paraId="165454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2.5资金来源证明及支付担保</w:t>
      </w:r>
    </w:p>
    <w:p w14:paraId="3C3A4349">
      <w:pPr>
        <w:spacing w:line="360" w:lineRule="auto"/>
        <w:ind w:firstLine="480" w:firstLineChars="200"/>
        <w:rPr>
          <w:rFonts w:hint="eastAsia" w:ascii="宋体" w:hAnsi="宋体" w:eastAsia="宋体" w:cs="宋体"/>
          <w:b/>
          <w:bCs/>
          <w:strike/>
          <w:color w:val="auto"/>
          <w:sz w:val="24"/>
          <w:highlight w:val="none"/>
          <w:u w:val="single"/>
        </w:rPr>
      </w:pPr>
      <w:r>
        <w:rPr>
          <w:rFonts w:hint="eastAsia" w:ascii="宋体" w:hAnsi="宋体" w:eastAsia="宋体" w:cs="宋体"/>
          <w:color w:val="auto"/>
          <w:sz w:val="24"/>
          <w:highlight w:val="none"/>
        </w:rPr>
        <w:t>发包人提供资金来源证明的期限要求：</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23415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发包人是否提供支付担保：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324ACC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发包人提供支付担保的形式：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1057B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3、承包人</w:t>
      </w:r>
    </w:p>
    <w:p w14:paraId="7A63A1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3.1承包人的一般义务</w:t>
      </w:r>
    </w:p>
    <w:p w14:paraId="5B48F3C4">
      <w:pPr>
        <w:spacing w:line="360"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kern w:val="0"/>
          <w:sz w:val="24"/>
          <w:highlight w:val="none"/>
        </w:rPr>
        <w:t>（5）</w:t>
      </w:r>
      <w:r>
        <w:rPr>
          <w:rFonts w:hint="eastAsia" w:ascii="宋体" w:hAnsi="宋体" w:eastAsia="宋体" w:cs="宋体"/>
          <w:color w:val="auto"/>
          <w:sz w:val="24"/>
          <w:highlight w:val="none"/>
        </w:rPr>
        <w:t>承包人提交的竣工资料的内容：</w:t>
      </w:r>
      <w:r>
        <w:rPr>
          <w:rFonts w:hint="eastAsia" w:ascii="宋体" w:hAnsi="宋体" w:eastAsia="宋体" w:cs="宋体"/>
          <w:b/>
          <w:bCs/>
          <w:color w:val="auto"/>
          <w:sz w:val="24"/>
          <w:highlight w:val="none"/>
          <w:u w:val="single"/>
        </w:rPr>
        <w:t>竣工图纸和竣工资料（包括影像资料）、电子版竣工图光盘</w:t>
      </w:r>
      <w:r>
        <w:rPr>
          <w:rFonts w:hint="eastAsia" w:ascii="宋体" w:hAnsi="宋体" w:eastAsia="宋体" w:cs="宋体"/>
          <w:color w:val="auto"/>
          <w:sz w:val="24"/>
          <w:highlight w:val="none"/>
        </w:rPr>
        <w:t>。</w:t>
      </w:r>
    </w:p>
    <w:p w14:paraId="18BC96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承包人需要提交的竣工资料套数：</w:t>
      </w:r>
      <w:r>
        <w:rPr>
          <w:rFonts w:hint="eastAsia" w:ascii="宋体" w:hAnsi="宋体" w:eastAsia="宋体" w:cs="宋体"/>
          <w:b/>
          <w:bCs/>
          <w:color w:val="auto"/>
          <w:sz w:val="24"/>
          <w:highlight w:val="none"/>
          <w:u w:val="single"/>
        </w:rPr>
        <w:t>陆套</w:t>
      </w:r>
      <w:r>
        <w:rPr>
          <w:rFonts w:hint="eastAsia" w:ascii="宋体" w:hAnsi="宋体" w:eastAsia="宋体" w:cs="宋体"/>
          <w:color w:val="auto"/>
          <w:sz w:val="24"/>
          <w:highlight w:val="none"/>
        </w:rPr>
        <w:t>。</w:t>
      </w:r>
    </w:p>
    <w:p w14:paraId="15DBD1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承包人提交的竣工资料的费用承担：</w:t>
      </w:r>
      <w:r>
        <w:rPr>
          <w:rFonts w:hint="eastAsia" w:ascii="宋体" w:hAnsi="宋体" w:eastAsia="宋体" w:cs="宋体"/>
          <w:b/>
          <w:bCs/>
          <w:color w:val="auto"/>
          <w:sz w:val="24"/>
          <w:highlight w:val="none"/>
          <w:u w:val="single"/>
        </w:rPr>
        <w:t>由承包人承担</w:t>
      </w:r>
      <w:r>
        <w:rPr>
          <w:rFonts w:hint="eastAsia" w:ascii="宋体" w:hAnsi="宋体" w:eastAsia="宋体" w:cs="宋体"/>
          <w:color w:val="auto"/>
          <w:sz w:val="24"/>
          <w:highlight w:val="none"/>
        </w:rPr>
        <w:t>。</w:t>
      </w:r>
    </w:p>
    <w:p w14:paraId="2CFCA4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承包人提交的竣工资料移交时间：</w:t>
      </w:r>
      <w:r>
        <w:rPr>
          <w:rFonts w:hint="eastAsia" w:ascii="宋体" w:hAnsi="宋体" w:eastAsia="宋体" w:cs="宋体"/>
          <w:b/>
          <w:bCs/>
          <w:color w:val="auto"/>
          <w:sz w:val="24"/>
          <w:highlight w:val="none"/>
          <w:u w:val="single"/>
        </w:rPr>
        <w:t>工程竣工验收合格后10天内</w:t>
      </w:r>
      <w:r>
        <w:rPr>
          <w:rFonts w:hint="eastAsia" w:ascii="宋体" w:hAnsi="宋体" w:eastAsia="宋体" w:cs="宋体"/>
          <w:color w:val="auto"/>
          <w:sz w:val="24"/>
          <w:highlight w:val="none"/>
        </w:rPr>
        <w:t>。</w:t>
      </w:r>
    </w:p>
    <w:p w14:paraId="73320F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承包人提交的竣工资料形式要求：</w:t>
      </w:r>
      <w:r>
        <w:rPr>
          <w:rFonts w:hint="eastAsia" w:ascii="宋体" w:hAnsi="宋体" w:eastAsia="宋体" w:cs="宋体"/>
          <w:b/>
          <w:bCs/>
          <w:color w:val="auto"/>
          <w:sz w:val="24"/>
          <w:highlight w:val="none"/>
          <w:u w:val="single"/>
        </w:rPr>
        <w:t>符合城建档案管理部门相关规定的</w:t>
      </w:r>
      <w:r>
        <w:rPr>
          <w:rFonts w:hint="eastAsia" w:ascii="宋体" w:hAnsi="宋体" w:eastAsia="宋体" w:cs="宋体"/>
          <w:b/>
          <w:color w:val="auto"/>
          <w:sz w:val="24"/>
          <w:highlight w:val="none"/>
          <w:u w:val="single"/>
        </w:rPr>
        <w:t>纸质、电子文本</w:t>
      </w:r>
      <w:r>
        <w:rPr>
          <w:rFonts w:hint="eastAsia" w:ascii="宋体" w:hAnsi="宋体" w:eastAsia="宋体" w:cs="宋体"/>
          <w:color w:val="auto"/>
          <w:sz w:val="24"/>
          <w:highlight w:val="none"/>
        </w:rPr>
        <w:t>。</w:t>
      </w:r>
    </w:p>
    <w:p w14:paraId="629649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（6）承包人应履行的其他义务：</w:t>
      </w:r>
      <w:bookmarkStart w:id="503" w:name="_Hlk169521009"/>
      <w:r>
        <w:rPr>
          <w:rFonts w:hint="eastAsia" w:ascii="宋体" w:hAnsi="宋体" w:eastAsia="宋体" w:cs="宋体"/>
          <w:b/>
          <w:bCs/>
          <w:color w:val="auto"/>
          <w:sz w:val="24"/>
          <w:highlight w:val="none"/>
          <w:u w:val="single"/>
        </w:rPr>
        <w:t>场内施工用水、用电接管自行解决，水电费用按实际发生费用（装表计量）加损耗，由承包人自行向收费部门缴纳，或按照结算审定价的千分之五在结算时扣除。</w:t>
      </w:r>
      <w:bookmarkEnd w:id="503"/>
      <w:r>
        <w:rPr>
          <w:rFonts w:hint="eastAsia" w:ascii="宋体" w:hAnsi="宋体" w:eastAsia="宋体" w:cs="宋体"/>
          <w:b/>
          <w:bCs/>
          <w:color w:val="auto"/>
          <w:sz w:val="24"/>
          <w:highlight w:val="none"/>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3A9DEF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3.2项目经理</w:t>
      </w:r>
    </w:p>
    <w:p w14:paraId="57FC86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承包人对项目经理的授权范围如下：</w:t>
      </w:r>
      <w:r>
        <w:rPr>
          <w:rFonts w:hint="eastAsia" w:ascii="宋体" w:hAnsi="宋体" w:eastAsia="宋体" w:cs="宋体"/>
          <w:b/>
          <w:bCs/>
          <w:color w:val="auto"/>
          <w:sz w:val="24"/>
          <w:highlight w:val="none"/>
          <w:u w:val="single"/>
        </w:rPr>
        <w:t>受承包人委托全面负责工程安全、质量、进度、投资四大控制要素，完善合同、信息、组织管理体系，做好安全监督，文明标准化现场工作。</w:t>
      </w:r>
    </w:p>
    <w:p w14:paraId="0DD06E7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关于项目经理每月在施工现场的时间要求：</w:t>
      </w:r>
      <w:r>
        <w:rPr>
          <w:rFonts w:hint="eastAsia" w:ascii="宋体" w:hAnsi="宋体" w:eastAsia="宋体" w:cs="宋体"/>
          <w:b/>
          <w:bCs/>
          <w:color w:val="auto"/>
          <w:sz w:val="24"/>
          <w:highlight w:val="none"/>
          <w:u w:val="single"/>
        </w:rPr>
        <w:t>每月不少于22日历天。</w:t>
      </w:r>
    </w:p>
    <w:p w14:paraId="102997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承包人未提交劳动合同，以及没有为项目经理缴纳社会保险证明的违约责任：</w:t>
      </w:r>
      <w:r>
        <w:rPr>
          <w:rFonts w:hint="eastAsia" w:ascii="宋体" w:hAnsi="宋体" w:eastAsia="宋体" w:cs="宋体"/>
          <w:b/>
          <w:bCs/>
          <w:color w:val="auto"/>
          <w:sz w:val="24"/>
          <w:highlight w:val="none"/>
          <w:u w:val="single"/>
        </w:rPr>
        <w:t>将被视为承包人违约，发包人将没收部分或全部履约保证金，直至单方面解除本施工合同。</w:t>
      </w:r>
    </w:p>
    <w:p w14:paraId="26ADA62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项目经理未经批准，擅自离开施工现场的违约责任：</w:t>
      </w:r>
      <w:r>
        <w:rPr>
          <w:rFonts w:hint="eastAsia" w:ascii="宋体" w:hAnsi="宋体" w:eastAsia="宋体" w:cs="宋体"/>
          <w:b/>
          <w:bCs/>
          <w:color w:val="auto"/>
          <w:sz w:val="24"/>
          <w:highlight w:val="none"/>
          <w:u w:val="single"/>
        </w:rPr>
        <w:t>擅自离开施工现场每一天，处罚人民币1000元/天，上述扣款在支付进度款中逐期扣除。</w:t>
      </w:r>
    </w:p>
    <w:p w14:paraId="6ECB6D1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3.2.3承包人擅自更换项目经理的违约责任：</w:t>
      </w:r>
    </w:p>
    <w:p w14:paraId="0D243C0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（1）</w:t>
      </w:r>
      <w:r>
        <w:rPr>
          <w:rFonts w:hint="eastAsia" w:ascii="宋体" w:hAnsi="宋体" w:eastAsia="宋体" w:cs="宋体"/>
          <w:b/>
          <w:bCs/>
          <w:color w:val="auto"/>
          <w:kern w:val="0"/>
          <w:sz w:val="24"/>
          <w:highlight w:val="none"/>
        </w:rPr>
        <w:t>承包人确需更换项目经理的，继任项目经理注册执业资格、管理经验的约定：</w:t>
      </w:r>
      <w:r>
        <w:rPr>
          <w:rFonts w:hint="eastAsia" w:ascii="宋体" w:hAnsi="宋体" w:eastAsia="宋体" w:cs="宋体"/>
          <w:b/>
          <w:bCs/>
          <w:color w:val="auto"/>
          <w:sz w:val="24"/>
          <w:highlight w:val="none"/>
          <w:u w:val="single"/>
        </w:rPr>
        <w:t>均要求等同于或高于被更换项目经理。</w:t>
      </w:r>
    </w:p>
    <w:p w14:paraId="421EE4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承包人擅自更换项目经理的违约责任：</w:t>
      </w:r>
      <w:r>
        <w:rPr>
          <w:rFonts w:hint="eastAsia" w:ascii="宋体" w:hAnsi="宋体" w:eastAsia="宋体" w:cs="宋体"/>
          <w:b/>
          <w:bCs/>
          <w:color w:val="auto"/>
          <w:sz w:val="24"/>
          <w:highlight w:val="none"/>
          <w:u w:val="single"/>
        </w:rPr>
        <w:t>未经发包人及相关行政主管部门同意，擅自更换项目经理时，将被视为承包人违约，发包人将没收部分或全部履约保证金，直至单方面解除本施工合同。</w:t>
      </w:r>
    </w:p>
    <w:p w14:paraId="36414DE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3.2.4承包人无正当理由拒绝更换项目经理的违约责任：</w:t>
      </w:r>
      <w:r>
        <w:rPr>
          <w:rFonts w:hint="eastAsia" w:ascii="宋体" w:hAnsi="宋体" w:eastAsia="宋体" w:cs="宋体"/>
          <w:b/>
          <w:bCs/>
          <w:color w:val="auto"/>
          <w:sz w:val="24"/>
          <w:highlight w:val="none"/>
          <w:u w:val="single"/>
        </w:rPr>
        <w:t>将被视为承包人违约，发包人将没收部分或全部履约保证金，直至单方面解除本施工合同。</w:t>
      </w:r>
    </w:p>
    <w:p w14:paraId="0255C5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3.3承包人人员</w:t>
      </w:r>
    </w:p>
    <w:p w14:paraId="2F8B3B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3.3.1承包人提交项目管理机构及施工现场管理人员安排报告的期限：</w:t>
      </w:r>
      <w:r>
        <w:rPr>
          <w:rFonts w:hint="eastAsia" w:ascii="宋体" w:hAnsi="宋体" w:eastAsia="宋体" w:cs="宋体"/>
          <w:b/>
          <w:bCs/>
          <w:color w:val="auto"/>
          <w:sz w:val="24"/>
          <w:highlight w:val="none"/>
          <w:u w:val="single"/>
        </w:rPr>
        <w:t>开工前七天</w:t>
      </w:r>
      <w:r>
        <w:rPr>
          <w:rFonts w:hint="eastAsia" w:ascii="宋体" w:hAnsi="宋体" w:eastAsia="宋体" w:cs="宋体"/>
          <w:color w:val="auto"/>
          <w:sz w:val="24"/>
          <w:highlight w:val="none"/>
        </w:rPr>
        <w:t>。</w:t>
      </w:r>
    </w:p>
    <w:p w14:paraId="0B7790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3.3.2 承包人需更换主要施工管理人员的，继任人员的数量、注册执业资格、管理经验的约定：</w:t>
      </w:r>
      <w:r>
        <w:rPr>
          <w:rFonts w:hint="eastAsia" w:ascii="宋体" w:hAnsi="宋体" w:eastAsia="宋体" w:cs="宋体"/>
          <w:b/>
          <w:bCs/>
          <w:color w:val="auto"/>
          <w:sz w:val="24"/>
          <w:highlight w:val="none"/>
          <w:u w:val="single"/>
        </w:rPr>
        <w:t>均要求等同于或高于被更换主要施工管理人员。</w:t>
      </w:r>
    </w:p>
    <w:p w14:paraId="04FF87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3.3.3承包人无正当理由拒绝撤换主要施工管理人员的违约责任：</w:t>
      </w:r>
      <w:r>
        <w:rPr>
          <w:rFonts w:hint="eastAsia" w:ascii="宋体" w:hAnsi="宋体" w:eastAsia="宋体" w:cs="宋体"/>
          <w:b/>
          <w:bCs/>
          <w:color w:val="auto"/>
          <w:sz w:val="24"/>
          <w:highlight w:val="none"/>
          <w:u w:val="single"/>
        </w:rPr>
        <w:t>将被视为承包人违约，发包人将没收部分或全部履约保证金，直至单方面解除本施工合同。</w:t>
      </w:r>
    </w:p>
    <w:p w14:paraId="59F564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3.3.4 承包人主要施工管理人员离开施工现场的批准要求：</w:t>
      </w:r>
      <w:r>
        <w:rPr>
          <w:rFonts w:hint="eastAsia" w:ascii="宋体" w:hAnsi="宋体" w:eastAsia="宋体" w:cs="宋体"/>
          <w:b/>
          <w:bCs/>
          <w:color w:val="auto"/>
          <w:sz w:val="24"/>
          <w:highlight w:val="none"/>
          <w:u w:val="single"/>
        </w:rPr>
        <w:t>离开前向发包人代表提出书面报告，发包人代表同意后方可离开施工现场。</w:t>
      </w:r>
    </w:p>
    <w:p w14:paraId="3620DE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3.3.5承包人擅自更换主要施工管理人员的违约责任：</w:t>
      </w:r>
      <w:r>
        <w:rPr>
          <w:rFonts w:hint="eastAsia" w:ascii="宋体" w:hAnsi="宋体" w:eastAsia="宋体" w:cs="宋体"/>
          <w:b/>
          <w:bCs/>
          <w:color w:val="auto"/>
          <w:sz w:val="24"/>
          <w:highlight w:val="none"/>
          <w:u w:val="single"/>
        </w:rPr>
        <w:t>未经发包人及相关行政主管部门同意，擅自更换主要施工管理人员时，将被视为承包人违约，发包人将没收部分或全部履约保证金，直至单方面解除本施工合同。</w:t>
      </w:r>
    </w:p>
    <w:p w14:paraId="260D78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承包人主要施工管理人员擅自离开施工现场的违约责任：</w:t>
      </w:r>
      <w:r>
        <w:rPr>
          <w:rFonts w:hint="eastAsia" w:ascii="宋体" w:hAnsi="宋体" w:eastAsia="宋体" w:cs="宋体"/>
          <w:b/>
          <w:bCs/>
          <w:color w:val="auto"/>
          <w:sz w:val="24"/>
          <w:highlight w:val="none"/>
          <w:u w:val="single"/>
        </w:rPr>
        <w:t>擅自离开施工现场每一天，处罚人民币400元/天，上述扣款在支付进度款中逐期扣除。</w:t>
      </w:r>
    </w:p>
    <w:p w14:paraId="6DDAC5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3.5分包</w:t>
      </w:r>
    </w:p>
    <w:p w14:paraId="7CCD60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3.5.1分包的一般约定</w:t>
      </w:r>
    </w:p>
    <w:p w14:paraId="6DFAB5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禁止分包的工程包括：</w:t>
      </w:r>
      <w:r>
        <w:rPr>
          <w:rFonts w:hint="eastAsia" w:ascii="宋体" w:hAnsi="宋体" w:eastAsia="宋体" w:cs="宋体"/>
          <w:b/>
          <w:bCs/>
          <w:color w:val="auto"/>
          <w:sz w:val="24"/>
          <w:highlight w:val="none"/>
          <w:u w:val="single"/>
        </w:rPr>
        <w:t>主体结构、关键性工作等其他国家现行法律、法规明令禁止分包的内容。</w:t>
      </w:r>
      <w:r>
        <w:rPr>
          <w:rFonts w:hint="eastAsia" w:ascii="宋体" w:hAnsi="宋体" w:eastAsia="宋体" w:cs="宋体"/>
          <w:b/>
          <w:color w:val="auto"/>
          <w:sz w:val="24"/>
          <w:highlight w:val="none"/>
          <w:u w:val="single"/>
        </w:rPr>
        <w:t>未经发包人书面同意，不得分包。</w:t>
      </w:r>
    </w:p>
    <w:p w14:paraId="4603B5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主体结构、关键性工作的范围：</w:t>
      </w:r>
      <w:r>
        <w:rPr>
          <w:rFonts w:hint="eastAsia" w:ascii="宋体" w:hAnsi="宋体" w:eastAsia="宋体" w:cs="宋体"/>
          <w:b/>
          <w:bCs/>
          <w:color w:val="auto"/>
          <w:sz w:val="24"/>
          <w:highlight w:val="none"/>
          <w:u w:val="single"/>
        </w:rPr>
        <w:t>按通用条款或国家现行法律、法规执行。</w:t>
      </w:r>
    </w:p>
    <w:p w14:paraId="175A2C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3.5.2分包的确定</w:t>
      </w:r>
    </w:p>
    <w:p w14:paraId="796687B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允许分包的专业工程包括：</w:t>
      </w:r>
      <w:r>
        <w:rPr>
          <w:rFonts w:hint="eastAsia" w:ascii="宋体" w:hAnsi="宋体" w:eastAsia="宋体" w:cs="宋体"/>
          <w:b/>
          <w:bCs/>
          <w:color w:val="auto"/>
          <w:sz w:val="24"/>
          <w:highlight w:val="none"/>
          <w:u w:val="single"/>
        </w:rPr>
        <w:t>合同签订时明确。</w:t>
      </w:r>
    </w:p>
    <w:p w14:paraId="6D7173E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其他关于分包的约定：</w:t>
      </w:r>
      <w:r>
        <w:rPr>
          <w:rFonts w:hint="eastAsia" w:ascii="宋体" w:hAnsi="宋体" w:eastAsia="宋体" w:cs="宋体"/>
          <w:b/>
          <w:bCs/>
          <w:color w:val="auto"/>
          <w:sz w:val="24"/>
          <w:highlight w:val="none"/>
          <w:u w:val="single"/>
        </w:rPr>
        <w:t>合同签订时明确。</w:t>
      </w:r>
    </w:p>
    <w:p w14:paraId="34798C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3.5.4分包合同价款</w:t>
      </w:r>
    </w:p>
    <w:p w14:paraId="361AE9B1">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关于分包合同价款支付的约定：</w:t>
      </w:r>
      <w:r>
        <w:rPr>
          <w:rFonts w:hint="eastAsia" w:ascii="宋体" w:hAnsi="宋体" w:eastAsia="宋体" w:cs="宋体"/>
          <w:b/>
          <w:bCs/>
          <w:color w:val="auto"/>
          <w:sz w:val="24"/>
          <w:highlight w:val="none"/>
          <w:u w:val="single"/>
        </w:rPr>
        <w:t>合同签订时明确。</w:t>
      </w:r>
    </w:p>
    <w:p w14:paraId="4183E9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3.6工程照管与成品、半成品保护</w:t>
      </w:r>
    </w:p>
    <w:p w14:paraId="7CA71736">
      <w:pPr>
        <w:spacing w:line="360" w:lineRule="auto"/>
        <w:ind w:firstLine="480" w:firstLineChars="200"/>
        <w:rPr>
          <w:rFonts w:hint="eastAsia" w:ascii="宋体" w:hAnsi="宋体" w:eastAsia="宋体" w:cs="宋体"/>
          <w:b/>
          <w:bCs/>
          <w:color w:val="auto"/>
          <w:kern w:val="0"/>
          <w:sz w:val="24"/>
          <w:highlight w:val="none"/>
          <w:u w:val="single"/>
        </w:rPr>
      </w:pPr>
      <w:r>
        <w:rPr>
          <w:rFonts w:hint="eastAsia" w:ascii="宋体" w:hAnsi="宋体" w:eastAsia="宋体" w:cs="宋体"/>
          <w:color w:val="auto"/>
          <w:kern w:val="0"/>
          <w:sz w:val="24"/>
          <w:highlight w:val="none"/>
        </w:rPr>
        <w:t>承包人负责照管工程及工程相关的材料、工程设备的起始时间：</w:t>
      </w:r>
      <w:r>
        <w:rPr>
          <w:rFonts w:hint="eastAsia" w:ascii="宋体" w:hAnsi="宋体" w:eastAsia="宋体" w:cs="宋体"/>
          <w:b/>
          <w:bCs/>
          <w:color w:val="auto"/>
          <w:sz w:val="24"/>
          <w:highlight w:val="none"/>
          <w:u w:val="single"/>
        </w:rPr>
        <w:t>按通用条款。</w:t>
      </w:r>
    </w:p>
    <w:p w14:paraId="31325C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3.7履约担保</w:t>
      </w:r>
    </w:p>
    <w:p w14:paraId="740A7B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承包人是否提供履约担保：</w:t>
      </w:r>
      <w:r>
        <w:rPr>
          <w:rFonts w:hint="eastAsia" w:ascii="宋体" w:hAnsi="宋体" w:eastAsia="宋体" w:cs="宋体"/>
          <w:b/>
          <w:bCs/>
          <w:color w:val="auto"/>
          <w:sz w:val="24"/>
          <w:highlight w:val="none"/>
          <w:u w:val="single"/>
        </w:rPr>
        <w:t xml:space="preserve">   是   </w:t>
      </w:r>
      <w:r>
        <w:rPr>
          <w:rFonts w:hint="eastAsia" w:ascii="宋体" w:hAnsi="宋体" w:eastAsia="宋体" w:cs="宋体"/>
          <w:color w:val="auto"/>
          <w:sz w:val="24"/>
          <w:highlight w:val="none"/>
        </w:rPr>
        <w:t>。</w:t>
      </w:r>
    </w:p>
    <w:p w14:paraId="511EFC6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承包人提供履约担保的形式、金额及期限的：</w:t>
      </w:r>
      <w:r>
        <w:rPr>
          <w:rFonts w:hint="eastAsia" w:ascii="宋体" w:hAnsi="宋体" w:eastAsia="宋体" w:cs="宋体"/>
          <w:color w:val="auto"/>
          <w:sz w:val="24"/>
          <w:highlight w:val="none"/>
          <w:u w:val="single"/>
        </w:rPr>
        <w:t>承包人向发包人支付合同价1%的履约保证金。履约保证金可以以银行转账、由银行或保险公司出具的保函等形式。验收合格后无息退还。</w:t>
      </w:r>
    </w:p>
    <w:p w14:paraId="2CC610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4、监理人</w:t>
      </w:r>
    </w:p>
    <w:p w14:paraId="4577B0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4.1监理人的一般规定</w:t>
      </w:r>
    </w:p>
    <w:p w14:paraId="1BB051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关于监理人的监理内容：</w:t>
      </w:r>
      <w:r>
        <w:rPr>
          <w:rFonts w:hint="eastAsia" w:ascii="宋体" w:hAnsi="宋体" w:eastAsia="宋体" w:cs="宋体"/>
          <w:b/>
          <w:bCs/>
          <w:color w:val="auto"/>
          <w:sz w:val="24"/>
          <w:highlight w:val="none"/>
          <w:u w:val="single"/>
        </w:rPr>
        <w:t>本工程实施范围内的所有内容</w:t>
      </w:r>
      <w:r>
        <w:rPr>
          <w:rFonts w:hint="eastAsia" w:ascii="宋体" w:hAnsi="宋体" w:eastAsia="宋体" w:cs="宋体"/>
          <w:color w:val="auto"/>
          <w:sz w:val="24"/>
          <w:highlight w:val="none"/>
        </w:rPr>
        <w:t>。</w:t>
      </w:r>
    </w:p>
    <w:p w14:paraId="562416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关于监理人的监理权限：</w:t>
      </w:r>
      <w:r>
        <w:rPr>
          <w:rFonts w:hint="eastAsia" w:ascii="宋体" w:hAnsi="宋体" w:eastAsia="宋体" w:cs="宋体"/>
          <w:b/>
          <w:bCs/>
          <w:color w:val="auto"/>
          <w:sz w:val="24"/>
          <w:highlight w:val="none"/>
          <w:u w:val="single"/>
        </w:rPr>
        <w:t>按本工程监理合同执行</w:t>
      </w:r>
      <w:r>
        <w:rPr>
          <w:rFonts w:hint="eastAsia" w:ascii="宋体" w:hAnsi="宋体" w:eastAsia="宋体" w:cs="宋体"/>
          <w:color w:val="auto"/>
          <w:sz w:val="24"/>
          <w:highlight w:val="none"/>
        </w:rPr>
        <w:t>。</w:t>
      </w:r>
    </w:p>
    <w:p w14:paraId="417F43D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关于监理人在施工现场的办公场所、生活场所的提供和费用承担的约定：</w:t>
      </w:r>
      <w:r>
        <w:rPr>
          <w:rFonts w:hint="eastAsia" w:ascii="宋体" w:hAnsi="宋体" w:eastAsia="宋体" w:cs="宋体"/>
          <w:b/>
          <w:bCs/>
          <w:color w:val="auto"/>
          <w:sz w:val="24"/>
          <w:highlight w:val="none"/>
          <w:u w:val="single"/>
        </w:rPr>
        <w:t>由承包人解决并承担相关费用。</w:t>
      </w:r>
    </w:p>
    <w:p w14:paraId="4A59D9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4.2监理人员</w:t>
      </w:r>
    </w:p>
    <w:p w14:paraId="73E6F6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关于监理人的其他约定：</w:t>
      </w:r>
    </w:p>
    <w:p w14:paraId="7E7904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需要取得发包人批准才能行使的职权：</w:t>
      </w:r>
    </w:p>
    <w:p w14:paraId="03BE82D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A 涉及全局进度的工程暂停；</w:t>
      </w:r>
    </w:p>
    <w:p w14:paraId="3EAD3E8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B 变更的估价；</w:t>
      </w:r>
    </w:p>
    <w:p w14:paraId="1743A5A5">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C 部分工程分包；</w:t>
      </w:r>
    </w:p>
    <w:p w14:paraId="1936690F">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D 索赔的支付；</w:t>
      </w:r>
    </w:p>
    <w:p w14:paraId="57692E2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E 有关暂列金额的使用；</w:t>
      </w:r>
    </w:p>
    <w:p w14:paraId="791D6A5B">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F 涉及改变原设计意图或影响原设计结构的补充图纸和指示。</w:t>
      </w:r>
    </w:p>
    <w:p w14:paraId="788628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5、工程质量</w:t>
      </w:r>
    </w:p>
    <w:p w14:paraId="4DCBE7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5.1质量要求</w:t>
      </w:r>
    </w:p>
    <w:p w14:paraId="2280CE9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5.1.1特殊质量标准和要求：</w:t>
      </w:r>
      <w:r>
        <w:rPr>
          <w:rFonts w:hint="eastAsia" w:ascii="宋体" w:hAnsi="宋体" w:eastAsia="宋体" w:cs="宋体"/>
          <w:b/>
          <w:bCs/>
          <w:color w:val="auto"/>
          <w:sz w:val="24"/>
          <w:highlight w:val="none"/>
          <w:u w:val="single"/>
        </w:rPr>
        <w:t>符合（工程施工质量验收规范）合格标准。</w:t>
      </w:r>
    </w:p>
    <w:p w14:paraId="42827A4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关于工程奖项的约定：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299E6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5.3隐蔽工程检查</w:t>
      </w:r>
    </w:p>
    <w:p w14:paraId="052EE3F4">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5.3.2承包人提前通知监理人隐蔽工程检查的期限的约定：</w:t>
      </w:r>
      <w:r>
        <w:rPr>
          <w:rFonts w:hint="eastAsia" w:ascii="宋体" w:hAnsi="宋体" w:eastAsia="宋体" w:cs="宋体"/>
          <w:b/>
          <w:bCs/>
          <w:color w:val="auto"/>
          <w:sz w:val="24"/>
          <w:highlight w:val="none"/>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72EBBF9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有防水要求的地方，均应进行防水试验，并通过验收；未进行防水验收即进入下一道工序的，除补充进行验收外，且发包人每次扣罚违约金1万元，上述扣款在工程进度款中逐期扣除。</w:t>
      </w:r>
    </w:p>
    <w:p w14:paraId="5922B7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监理人不能按时进行检查时，应提前</w:t>
      </w:r>
      <w:r>
        <w:rPr>
          <w:rFonts w:hint="eastAsia" w:ascii="宋体" w:hAnsi="宋体" w:eastAsia="宋体" w:cs="宋体"/>
          <w:b/>
          <w:bCs/>
          <w:color w:val="auto"/>
          <w:sz w:val="24"/>
          <w:highlight w:val="none"/>
          <w:u w:val="single"/>
        </w:rPr>
        <w:t xml:space="preserve"> 24 </w:t>
      </w:r>
      <w:r>
        <w:rPr>
          <w:rFonts w:hint="eastAsia" w:ascii="宋体" w:hAnsi="宋体" w:eastAsia="宋体" w:cs="宋体"/>
          <w:color w:val="auto"/>
          <w:sz w:val="24"/>
          <w:highlight w:val="none"/>
        </w:rPr>
        <w:t>小时提交书面延期要求。</w:t>
      </w:r>
    </w:p>
    <w:p w14:paraId="23F26F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b/>
          <w:bCs/>
          <w:color w:val="auto"/>
          <w:sz w:val="24"/>
          <w:highlight w:val="none"/>
          <w:u w:val="single"/>
        </w:rPr>
        <w:t xml:space="preserve"> 48 </w:t>
      </w:r>
      <w:r>
        <w:rPr>
          <w:rFonts w:hint="eastAsia" w:ascii="宋体" w:hAnsi="宋体" w:eastAsia="宋体" w:cs="宋体"/>
          <w:color w:val="auto"/>
          <w:sz w:val="24"/>
          <w:highlight w:val="none"/>
        </w:rPr>
        <w:t>小时。</w:t>
      </w:r>
    </w:p>
    <w:p w14:paraId="2699DF1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6、安全文明施工与环境保护</w:t>
      </w:r>
    </w:p>
    <w:p w14:paraId="781072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6.1安全文明施工</w:t>
      </w:r>
    </w:p>
    <w:p w14:paraId="29F6869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6.1.1项目安全生产的达标目标及相应事项的约定：</w:t>
      </w:r>
      <w:r>
        <w:rPr>
          <w:rFonts w:hint="eastAsia" w:ascii="宋体" w:hAnsi="宋体" w:eastAsia="宋体" w:cs="宋体"/>
          <w:b/>
          <w:bCs/>
          <w:color w:val="auto"/>
          <w:sz w:val="24"/>
          <w:highlight w:val="none"/>
          <w:u w:val="single"/>
        </w:rPr>
        <w:t>施工现场按照《建筑施工安全检查标准》（JGJ59-2011）评定达到“合格”标准。</w:t>
      </w:r>
    </w:p>
    <w:p w14:paraId="7195662E">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6.1.4关于治安保卫的特别约定：</w:t>
      </w:r>
      <w:r>
        <w:rPr>
          <w:rFonts w:hint="eastAsia" w:ascii="宋体" w:hAnsi="宋体" w:eastAsia="宋体" w:cs="宋体"/>
          <w:b/>
          <w:bCs/>
          <w:color w:val="auto"/>
          <w:sz w:val="24"/>
          <w:highlight w:val="none"/>
          <w:u w:val="single"/>
        </w:rPr>
        <w:t>由承包人与当地公安部门协商，在现场建立治安管理机构或联防组织，统一管理施工场地的治安保卫事项，履行合同工程的治安保卫职责，发包人做好配合。</w:t>
      </w:r>
    </w:p>
    <w:p w14:paraId="0B7DD61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关于编制施工场地治安管理计划的约定：</w:t>
      </w:r>
      <w:r>
        <w:rPr>
          <w:rFonts w:hint="eastAsia" w:ascii="宋体" w:hAnsi="宋体" w:eastAsia="宋体" w:cs="宋体"/>
          <w:b/>
          <w:bCs/>
          <w:color w:val="auto"/>
          <w:sz w:val="24"/>
          <w:highlight w:val="none"/>
          <w:u w:val="single"/>
        </w:rPr>
        <w:t>由承包人在开工后7日内编制施工场地治安管理计划，制定应对突发治安事件的紧急预案。</w:t>
      </w:r>
    </w:p>
    <w:p w14:paraId="758A1E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6.1.5文明施工</w:t>
      </w:r>
    </w:p>
    <w:p w14:paraId="4EC588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合同当事人对文明施工的要求：</w:t>
      </w:r>
    </w:p>
    <w:p w14:paraId="0B10000A">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（1）遵守地方政府和有关部门对施工场地交通、环卫、安全和施工噪音等管理规定，并办理相关审批手续。</w:t>
      </w:r>
    </w:p>
    <w:p w14:paraId="7FDE40D1">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（2）</w:t>
      </w:r>
      <w:r>
        <w:rPr>
          <w:rFonts w:hint="eastAsia" w:ascii="宋体" w:hAnsi="宋体" w:eastAsia="宋体" w:cs="宋体"/>
          <w:b/>
          <w:color w:val="auto"/>
          <w:sz w:val="24"/>
          <w:highlight w:val="none"/>
          <w:u w:val="single"/>
        </w:rPr>
        <w:t>施工时承包人应严格遵守施工现场管理规定，服从物业单位的管理，采取有效措施尽量减小尘土和噪音污染。</w:t>
      </w:r>
      <w:r>
        <w:rPr>
          <w:rFonts w:hint="eastAsia" w:ascii="宋体" w:hAnsi="宋体" w:eastAsia="宋体" w:cs="宋体"/>
          <w:b/>
          <w:bCs/>
          <w:color w:val="auto"/>
          <w:kern w:val="0"/>
          <w:sz w:val="24"/>
          <w:highlight w:val="none"/>
          <w:u w:val="single"/>
        </w:rPr>
        <w:t xml:space="preserve"> </w:t>
      </w:r>
    </w:p>
    <w:p w14:paraId="0C69932E">
      <w:pPr>
        <w:pStyle w:val="724"/>
        <w:spacing w:line="360" w:lineRule="auto"/>
        <w:ind w:firstLine="482" w:firstLineChars="200"/>
        <w:jc w:val="both"/>
        <w:rPr>
          <w:rFonts w:hint="eastAsia" w:ascii="宋体" w:hAnsi="宋体" w:eastAsia="宋体" w:cs="宋体"/>
          <w:b/>
          <w:color w:val="auto"/>
          <w:kern w:val="2"/>
          <w:szCs w:val="24"/>
          <w:highlight w:val="none"/>
          <w:u w:val="single"/>
        </w:rPr>
      </w:pPr>
      <w:r>
        <w:rPr>
          <w:rFonts w:hint="eastAsia" w:ascii="宋体" w:hAnsi="宋体" w:eastAsia="宋体" w:cs="宋体"/>
          <w:b/>
          <w:color w:val="auto"/>
          <w:kern w:val="2"/>
          <w:szCs w:val="24"/>
          <w:highlight w:val="none"/>
          <w:u w:val="single"/>
        </w:rPr>
        <w:t>如发包人要求须暂停施工，承包人须无条件服从，并采取夜间加班等措施保证工程进度不拖延，加班等所需全部费用包含在合同报价中，不得以发包人要求暂停施工为由调整合同价格。</w:t>
      </w:r>
    </w:p>
    <w:p w14:paraId="49400BED">
      <w:pPr>
        <w:pStyle w:val="724"/>
        <w:spacing w:line="360" w:lineRule="auto"/>
        <w:ind w:firstLine="482" w:firstLineChars="200"/>
        <w:jc w:val="both"/>
        <w:rPr>
          <w:rFonts w:hint="eastAsia" w:ascii="宋体" w:hAnsi="宋体" w:eastAsia="宋体" w:cs="宋体"/>
          <w:b/>
          <w:color w:val="auto"/>
          <w:kern w:val="2"/>
          <w:szCs w:val="24"/>
          <w:highlight w:val="none"/>
          <w:u w:val="single"/>
        </w:rPr>
      </w:pPr>
      <w:r>
        <w:rPr>
          <w:rFonts w:hint="eastAsia" w:ascii="宋体" w:hAnsi="宋体" w:eastAsia="宋体" w:cs="宋体"/>
          <w:b/>
          <w:color w:val="auto"/>
          <w:kern w:val="2"/>
          <w:szCs w:val="24"/>
          <w:highlight w:val="none"/>
          <w:u w:val="single"/>
        </w:rPr>
        <w:t>如因发包人原因导致施工暂停时间较多通过夜间加班也无法确保工期的，工期延长时间须经发包人、监理人审核同意。</w:t>
      </w:r>
    </w:p>
    <w:p w14:paraId="39165020">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80CAAFA">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（4）承包人应对进入施工现场的施工人员进行人员安全文明施工教育，配备必须的劳动保护用具，保证工程的施工安全和人身安全。</w:t>
      </w:r>
    </w:p>
    <w:p w14:paraId="0907FA03">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（5）承包人由于违反安全操作规范，被政府有关部门处罚，如通报批评、警告和罚款等，承包人承担一切责任，并每被查处一次，发包人每次扣罚违约金5000元，</w:t>
      </w:r>
      <w:r>
        <w:rPr>
          <w:rFonts w:hint="eastAsia" w:ascii="宋体" w:hAnsi="宋体" w:eastAsia="宋体" w:cs="宋体"/>
          <w:b/>
          <w:bCs/>
          <w:color w:val="auto"/>
          <w:sz w:val="24"/>
          <w:highlight w:val="none"/>
          <w:u w:val="single"/>
        </w:rPr>
        <w:t>上述扣款在工程进度款中逐期扣除。</w:t>
      </w:r>
    </w:p>
    <w:p w14:paraId="120EF99E">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eastAsia="宋体" w:cs="宋体"/>
          <w:b/>
          <w:bCs/>
          <w:color w:val="auto"/>
          <w:sz w:val="24"/>
          <w:highlight w:val="none"/>
          <w:u w:val="single"/>
        </w:rPr>
        <w:t>上述扣款在工程进度款中逐期扣除</w:t>
      </w:r>
      <w:r>
        <w:rPr>
          <w:rFonts w:hint="eastAsia" w:ascii="宋体" w:hAnsi="宋体" w:eastAsia="宋体" w:cs="宋体"/>
          <w:b/>
          <w:bCs/>
          <w:color w:val="auto"/>
          <w:kern w:val="0"/>
          <w:sz w:val="24"/>
          <w:highlight w:val="none"/>
          <w:u w:val="single"/>
        </w:rPr>
        <w:t>。</w:t>
      </w:r>
    </w:p>
    <w:p w14:paraId="638AE289">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（7）发包人或监理工程师有权对承包人的安全施工状况进行检查，发现有违反安全施工情况的，有权提出整改要求，承包人须按要求进行整改。</w:t>
      </w:r>
    </w:p>
    <w:p w14:paraId="62218E30">
      <w:pPr>
        <w:spacing w:line="360" w:lineRule="auto"/>
        <w:ind w:firstLine="482" w:firstLineChars="200"/>
        <w:rPr>
          <w:rFonts w:hint="eastAsia" w:ascii="宋体" w:hAnsi="宋体" w:eastAsia="宋体" w:cs="宋体"/>
          <w:b/>
          <w:bCs/>
          <w:color w:val="auto"/>
          <w:kern w:val="0"/>
          <w:sz w:val="24"/>
          <w:highlight w:val="none"/>
          <w:u w:val="single"/>
        </w:rPr>
      </w:pPr>
      <w:bookmarkStart w:id="504" w:name="_Hlk169521044"/>
      <w:r>
        <w:rPr>
          <w:rFonts w:hint="eastAsia" w:ascii="宋体" w:hAnsi="宋体" w:eastAsia="宋体" w:cs="宋体"/>
          <w:b/>
          <w:bCs/>
          <w:color w:val="auto"/>
          <w:kern w:val="0"/>
          <w:sz w:val="24"/>
          <w:highlight w:val="none"/>
          <w:u w:val="single"/>
        </w:rPr>
        <w:t>（8）施工期间，控制施工噪音和制定车辆等进出方案等，因在市中心，请考虑综合因素，提前现场考察，避免投诉，文明安全施工，并制定施工预案。</w:t>
      </w:r>
    </w:p>
    <w:bookmarkEnd w:id="504"/>
    <w:p w14:paraId="3C58C145">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（9）上述手续办理费用约定如下： 由承包人承担。</w:t>
      </w:r>
    </w:p>
    <w:p w14:paraId="33FB5B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6.1.6关于安全文明施工费支付比例和支付期限的约定，按以下</w:t>
      </w:r>
      <w:r>
        <w:rPr>
          <w:rFonts w:hint="eastAsia" w:ascii="宋体" w:hAnsi="宋体" w:eastAsia="宋体" w:cs="宋体"/>
          <w:color w:val="auto"/>
          <w:sz w:val="24"/>
          <w:highlight w:val="none"/>
          <w:u w:val="single"/>
        </w:rPr>
        <w:t>第（1）种方式</w:t>
      </w:r>
      <w:r>
        <w:rPr>
          <w:rFonts w:hint="eastAsia" w:ascii="宋体" w:hAnsi="宋体" w:eastAsia="宋体" w:cs="宋体"/>
          <w:color w:val="auto"/>
          <w:sz w:val="24"/>
          <w:highlight w:val="none"/>
        </w:rPr>
        <w:t>约定：</w:t>
      </w:r>
    </w:p>
    <w:p w14:paraId="4CE837EF">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u w:val="single"/>
        </w:rPr>
        <w:t>（1）安全文明施工费总额的60%包含在工程预付款中支付，剩余部分根据工程进度在进度款中支付</w:t>
      </w:r>
      <w:r>
        <w:rPr>
          <w:rFonts w:hint="eastAsia" w:ascii="宋体" w:hAnsi="宋体" w:eastAsia="宋体" w:cs="宋体"/>
          <w:b/>
          <w:bCs/>
          <w:color w:val="auto"/>
          <w:kern w:val="0"/>
          <w:sz w:val="24"/>
          <w:highlight w:val="none"/>
        </w:rPr>
        <w:t>。</w:t>
      </w:r>
    </w:p>
    <w:p w14:paraId="03B6A0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（2）其他： / </w:t>
      </w:r>
      <w:r>
        <w:rPr>
          <w:rFonts w:hint="eastAsia" w:ascii="宋体" w:hAnsi="宋体" w:eastAsia="宋体" w:cs="宋体"/>
          <w:color w:val="auto"/>
          <w:kern w:val="0"/>
          <w:sz w:val="24"/>
          <w:highlight w:val="none"/>
        </w:rPr>
        <w:t>。</w:t>
      </w:r>
    </w:p>
    <w:p w14:paraId="103AC5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7、工期和进度</w:t>
      </w:r>
    </w:p>
    <w:p w14:paraId="39AD00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7.1施工组织设计</w:t>
      </w:r>
    </w:p>
    <w:p w14:paraId="3D03F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7.1.1合</w:t>
      </w:r>
      <w:r>
        <w:rPr>
          <w:rFonts w:hint="eastAsia" w:ascii="宋体" w:hAnsi="宋体" w:eastAsia="宋体" w:cs="宋体"/>
          <w:color w:val="auto"/>
          <w:kern w:val="0"/>
          <w:sz w:val="24"/>
          <w:highlight w:val="none"/>
        </w:rPr>
        <w:t>同当事人约定的施工组织设计应包括的其他内容：</w:t>
      </w:r>
      <w:r>
        <w:rPr>
          <w:rFonts w:hint="eastAsia" w:ascii="宋体" w:hAnsi="宋体" w:eastAsia="宋体" w:cs="宋体"/>
          <w:b/>
          <w:bCs/>
          <w:color w:val="auto"/>
          <w:sz w:val="24"/>
          <w:highlight w:val="none"/>
          <w:u w:val="single"/>
        </w:rPr>
        <w:t>按《通用合同条款》7.1.1条执行</w:t>
      </w:r>
      <w:r>
        <w:rPr>
          <w:rFonts w:hint="eastAsia" w:ascii="宋体" w:hAnsi="宋体" w:eastAsia="宋体" w:cs="宋体"/>
          <w:color w:val="auto"/>
          <w:sz w:val="24"/>
          <w:highlight w:val="none"/>
        </w:rPr>
        <w:t>。</w:t>
      </w:r>
    </w:p>
    <w:p w14:paraId="5C9FBF65">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7.1.2</w:t>
      </w:r>
      <w:r>
        <w:rPr>
          <w:rFonts w:hint="eastAsia" w:ascii="宋体" w:hAnsi="宋体" w:eastAsia="宋体" w:cs="宋体"/>
          <w:color w:val="auto"/>
          <w:kern w:val="0"/>
          <w:sz w:val="24"/>
          <w:highlight w:val="none"/>
        </w:rPr>
        <w:t>施工组织设计的提交和修改</w:t>
      </w:r>
    </w:p>
    <w:p w14:paraId="777E65BF">
      <w:pPr>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承包人提交详细施工组织设计的期限的约定：</w:t>
      </w:r>
      <w:r>
        <w:rPr>
          <w:rFonts w:hint="eastAsia" w:ascii="宋体" w:hAnsi="宋体" w:eastAsia="宋体" w:cs="宋体"/>
          <w:b/>
          <w:bCs/>
          <w:color w:val="auto"/>
          <w:sz w:val="24"/>
          <w:highlight w:val="none"/>
          <w:u w:val="single"/>
        </w:rPr>
        <w:t>合同签订后5天内提供详细施工组织设计（施工方案）和进度计划。</w:t>
      </w:r>
    </w:p>
    <w:p w14:paraId="47124B5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发包人和监理人在收到详细的施工组织设计后确认或提出修改意见的期限：</w:t>
      </w:r>
      <w:r>
        <w:rPr>
          <w:rFonts w:hint="eastAsia" w:ascii="宋体" w:hAnsi="宋体" w:eastAsia="宋体" w:cs="宋体"/>
          <w:b/>
          <w:bCs/>
          <w:color w:val="auto"/>
          <w:sz w:val="24"/>
          <w:highlight w:val="none"/>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23E14B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7.2施工进度计划</w:t>
      </w:r>
    </w:p>
    <w:p w14:paraId="152039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7.2.2施工进度计划的修订</w:t>
      </w:r>
    </w:p>
    <w:p w14:paraId="105C42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发包人和监理人在收到修订的施工进度计划后确认或提出修改意见的期限：</w:t>
      </w:r>
      <w:r>
        <w:rPr>
          <w:rFonts w:hint="eastAsia" w:ascii="宋体" w:hAnsi="宋体" w:eastAsia="宋体" w:cs="宋体"/>
          <w:b/>
          <w:bCs/>
          <w:color w:val="auto"/>
          <w:sz w:val="24"/>
          <w:highlight w:val="none"/>
          <w:u w:val="single"/>
        </w:rPr>
        <w:t>收到完整资料后7天内确认或提出修改意见。</w:t>
      </w:r>
      <w:r>
        <w:rPr>
          <w:rFonts w:hint="eastAsia" w:ascii="宋体" w:hAnsi="宋体" w:eastAsia="宋体" w:cs="宋体"/>
          <w:color w:val="auto"/>
          <w:sz w:val="24"/>
          <w:highlight w:val="none"/>
        </w:rPr>
        <w:t>发包人、监理单位对施工进度计划的确认是对施工进度计划可行性的确认，并不是对所涉费用的确认，也不免除承包人对施工进度计划应承担的责任。</w:t>
      </w:r>
    </w:p>
    <w:p w14:paraId="3E6647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7.3开工</w:t>
      </w:r>
    </w:p>
    <w:p w14:paraId="74CC00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7.3.1开工准备</w:t>
      </w:r>
    </w:p>
    <w:p w14:paraId="51444F1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关于承包人提交</w:t>
      </w:r>
      <w:r>
        <w:rPr>
          <w:rFonts w:hint="eastAsia" w:ascii="宋体" w:hAnsi="宋体" w:eastAsia="宋体" w:cs="宋体"/>
          <w:color w:val="auto"/>
          <w:kern w:val="0"/>
          <w:sz w:val="24"/>
          <w:highlight w:val="none"/>
        </w:rPr>
        <w:t>工程开工报审表的期限：</w:t>
      </w:r>
      <w:r>
        <w:rPr>
          <w:rFonts w:hint="eastAsia" w:ascii="宋体" w:hAnsi="宋体" w:eastAsia="宋体" w:cs="宋体"/>
          <w:b/>
          <w:bCs/>
          <w:color w:val="auto"/>
          <w:sz w:val="24"/>
          <w:highlight w:val="none"/>
          <w:u w:val="single"/>
        </w:rPr>
        <w:t>开工日期前7天。</w:t>
      </w:r>
    </w:p>
    <w:p w14:paraId="449ADA54">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关于发包人应完成的其他开工准备工作及期限：</w:t>
      </w:r>
      <w:r>
        <w:rPr>
          <w:rFonts w:hint="eastAsia" w:ascii="宋体" w:hAnsi="宋体" w:eastAsia="宋体" w:cs="宋体"/>
          <w:b/>
          <w:bCs/>
          <w:color w:val="auto"/>
          <w:sz w:val="24"/>
          <w:highlight w:val="none"/>
          <w:u w:val="single"/>
        </w:rPr>
        <w:t>开工日期前7天。</w:t>
      </w:r>
    </w:p>
    <w:p w14:paraId="03B6B27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关于承包人应完成的其他开工准备工作及期限：</w:t>
      </w:r>
      <w:r>
        <w:rPr>
          <w:rFonts w:hint="eastAsia" w:ascii="宋体" w:hAnsi="宋体" w:eastAsia="宋体" w:cs="宋体"/>
          <w:b/>
          <w:bCs/>
          <w:color w:val="auto"/>
          <w:sz w:val="24"/>
          <w:highlight w:val="none"/>
          <w:u w:val="single"/>
        </w:rPr>
        <w:t>开工日期前7天。</w:t>
      </w:r>
    </w:p>
    <w:p w14:paraId="12E952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7.3.2开工通知</w:t>
      </w:r>
    </w:p>
    <w:p w14:paraId="1C1F23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因发包人原因造成监理人未能在计划开工日期之日起</w:t>
      </w:r>
      <w:r>
        <w:rPr>
          <w:rFonts w:hint="eastAsia" w:ascii="宋体" w:hAnsi="宋体" w:eastAsia="宋体" w:cs="宋体"/>
          <w:b/>
          <w:bCs/>
          <w:color w:val="auto"/>
          <w:sz w:val="24"/>
          <w:highlight w:val="none"/>
          <w:u w:val="single"/>
        </w:rPr>
        <w:t xml:space="preserve"> 90 </w:t>
      </w:r>
      <w:r>
        <w:rPr>
          <w:rFonts w:hint="eastAsia" w:ascii="宋体" w:hAnsi="宋体" w:eastAsia="宋体" w:cs="宋体"/>
          <w:color w:val="auto"/>
          <w:sz w:val="24"/>
          <w:highlight w:val="none"/>
        </w:rPr>
        <w:t>天内发出开工通知的，承包人有权提出价格调整要求，或者解除合同。</w:t>
      </w:r>
    </w:p>
    <w:p w14:paraId="71ADDA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7.4测量放线</w:t>
      </w:r>
    </w:p>
    <w:p w14:paraId="35B6585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7.4.1发包人通过监理人向承包人提供测量基准点、基准线和水准点及其书面资料的期限：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F6748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7.5工期延误</w:t>
      </w:r>
    </w:p>
    <w:p w14:paraId="284CF4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7.5.1因发包人原因导致工期延误</w:t>
      </w:r>
    </w:p>
    <w:p w14:paraId="2B3CA2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（7）因发包人原因导致工期延误的其他情形：</w:t>
      </w:r>
      <w:r>
        <w:rPr>
          <w:rFonts w:hint="eastAsia" w:ascii="宋体" w:hAnsi="宋体" w:eastAsia="宋体" w:cs="宋体"/>
          <w:color w:val="auto"/>
          <w:sz w:val="24"/>
          <w:highlight w:val="none"/>
          <w:u w:val="single"/>
        </w:rPr>
        <w:t xml:space="preserve"> /  </w:t>
      </w:r>
    </w:p>
    <w:p w14:paraId="5024469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①重大设计变更引起的工期延误；</w:t>
      </w:r>
    </w:p>
    <w:p w14:paraId="1AB50C1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②其他：不可抗力。</w:t>
      </w:r>
    </w:p>
    <w:p w14:paraId="2E9C89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7.5.2因承包人原因导致工期延误</w:t>
      </w:r>
    </w:p>
    <w:p w14:paraId="464BE7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因承包人原因造成工期延误，逾期竣工违约金的计算方法为：</w:t>
      </w:r>
      <w:r>
        <w:rPr>
          <w:rFonts w:hint="eastAsia" w:ascii="宋体" w:hAnsi="宋体" w:eastAsia="宋体" w:cs="宋体"/>
          <w:b/>
          <w:bCs/>
          <w:color w:val="auto"/>
          <w:sz w:val="24"/>
          <w:highlight w:val="none"/>
          <w:u w:val="single"/>
        </w:rPr>
        <w:t>因承包人原因造成延误工期每延误一天，扣罚2000元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68EAB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因承包人原因造成工期延误，逾期竣工违约金的上限：</w:t>
      </w:r>
      <w:r>
        <w:rPr>
          <w:rFonts w:hint="eastAsia" w:ascii="宋体" w:hAnsi="宋体" w:eastAsia="宋体" w:cs="宋体"/>
          <w:b/>
          <w:bCs/>
          <w:color w:val="auto"/>
          <w:sz w:val="24"/>
          <w:highlight w:val="none"/>
          <w:u w:val="single"/>
        </w:rPr>
        <w:t xml:space="preserve"> / </w:t>
      </w:r>
      <w:r>
        <w:rPr>
          <w:rFonts w:hint="eastAsia" w:ascii="宋体" w:hAnsi="宋体" w:eastAsia="宋体" w:cs="宋体"/>
          <w:color w:val="auto"/>
          <w:sz w:val="24"/>
          <w:highlight w:val="none"/>
        </w:rPr>
        <w:t>。</w:t>
      </w:r>
    </w:p>
    <w:p w14:paraId="0F72FC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7.6不利物质条件</w:t>
      </w:r>
    </w:p>
    <w:p w14:paraId="494175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不利物质条件的其他情形和有关约定：</w:t>
      </w:r>
    </w:p>
    <w:p w14:paraId="6F4AAA8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（1）施工场地周围地下管线  </w:t>
      </w:r>
      <w:r>
        <w:rPr>
          <w:rFonts w:hint="eastAsia" w:ascii="宋体" w:hAnsi="宋体" w:eastAsia="宋体" w:cs="宋体"/>
          <w:b/>
          <w:bCs/>
          <w:color w:val="auto"/>
          <w:sz w:val="24"/>
          <w:highlight w:val="none"/>
        </w:rPr>
        <w:t>；</w:t>
      </w:r>
    </w:p>
    <w:p w14:paraId="1E7D05B7">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（2）地下障碍物和污染物  </w:t>
      </w:r>
      <w:r>
        <w:rPr>
          <w:rFonts w:hint="eastAsia" w:ascii="宋体" w:hAnsi="宋体" w:eastAsia="宋体" w:cs="宋体"/>
          <w:b/>
          <w:bCs/>
          <w:color w:val="auto"/>
          <w:sz w:val="24"/>
          <w:highlight w:val="none"/>
        </w:rPr>
        <w:t>；</w:t>
      </w:r>
    </w:p>
    <w:p w14:paraId="3D50FCF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（3）其他 </w:t>
      </w:r>
    </w:p>
    <w:p w14:paraId="6704A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7.7异常恶劣的气候条件</w:t>
      </w:r>
    </w:p>
    <w:p w14:paraId="3813CCB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发包人和承包人同意以下情形视为异常恶劣的气候条件：</w:t>
      </w:r>
      <w:r>
        <w:rPr>
          <w:rFonts w:hint="eastAsia" w:ascii="宋体" w:hAnsi="宋体" w:eastAsia="宋体" w:cs="宋体"/>
          <w:b/>
          <w:bCs/>
          <w:color w:val="auto"/>
          <w:sz w:val="24"/>
          <w:highlight w:val="none"/>
          <w:u w:val="single"/>
        </w:rPr>
        <w:t>持续半小时10级及10级以上的台风、3小时内降雨量达50毫米、6小时内降雪量达15毫米、日气温超过40度或低于零下10度</w:t>
      </w:r>
      <w:r>
        <w:rPr>
          <w:rFonts w:hint="eastAsia" w:ascii="宋体" w:hAnsi="宋体" w:eastAsia="宋体" w:cs="宋体"/>
          <w:b/>
          <w:bCs/>
          <w:color w:val="auto"/>
          <w:sz w:val="24"/>
          <w:highlight w:val="none"/>
        </w:rPr>
        <w:t>。</w:t>
      </w:r>
    </w:p>
    <w:p w14:paraId="6AA278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7.8提前竣工的奖励</w:t>
      </w:r>
    </w:p>
    <w:p w14:paraId="760234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7.8.2提前竣工的奖励：</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w:t>
      </w:r>
    </w:p>
    <w:p w14:paraId="4DAEC4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8、材料与设备</w:t>
      </w:r>
    </w:p>
    <w:p w14:paraId="44C2B9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8.4材料与工程设备的保管与使用</w:t>
      </w:r>
    </w:p>
    <w:p w14:paraId="7D415FF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8.4.1发包人供应的材料设备的保管费用的承担：</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00A79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8.6样品</w:t>
      </w:r>
    </w:p>
    <w:p w14:paraId="3CF4E0DA">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8.6.1样品的报送与封存</w:t>
      </w:r>
    </w:p>
    <w:p w14:paraId="1962DDEB">
      <w:pPr>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需要承包人报送样品的材料或工程设备，样品的种类、名称、规格、数量要求：</w:t>
      </w:r>
      <w:r>
        <w:rPr>
          <w:rFonts w:hint="eastAsia" w:ascii="宋体" w:hAnsi="宋体" w:eastAsia="宋体" w:cs="宋体"/>
          <w:b/>
          <w:bCs/>
          <w:color w:val="auto"/>
          <w:sz w:val="24"/>
          <w:highlight w:val="none"/>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eastAsia="宋体" w:cs="宋体"/>
          <w:color w:val="auto"/>
          <w:sz w:val="24"/>
          <w:highlight w:val="none"/>
        </w:rPr>
        <w:t>。</w:t>
      </w:r>
    </w:p>
    <w:p w14:paraId="00E848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8.8施工设备和临时设施</w:t>
      </w:r>
    </w:p>
    <w:p w14:paraId="6A27BA53">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8.8.1承包人提供的施工设备和临时设施</w:t>
      </w:r>
    </w:p>
    <w:p w14:paraId="1123F984">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关于修建临时设施费用承担的约定：</w:t>
      </w:r>
      <w:r>
        <w:rPr>
          <w:rFonts w:hint="eastAsia" w:ascii="宋体" w:hAnsi="宋体" w:eastAsia="宋体" w:cs="宋体"/>
          <w:b/>
          <w:bCs/>
          <w:color w:val="auto"/>
          <w:sz w:val="24"/>
          <w:highlight w:val="none"/>
          <w:u w:val="single"/>
        </w:rPr>
        <w:t>由承包人自行考虑，相关费用计入报价。</w:t>
      </w:r>
    </w:p>
    <w:p w14:paraId="2C2809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9、试验与检验</w:t>
      </w:r>
    </w:p>
    <w:p w14:paraId="16FF92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9.1试验设备与试验人员</w:t>
      </w:r>
    </w:p>
    <w:p w14:paraId="65A1B0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9.1.2试验设备</w:t>
      </w:r>
    </w:p>
    <w:p w14:paraId="0705817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施工现场需要配置的试验场所：</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由承包人提供 </w:t>
      </w:r>
    </w:p>
    <w:p w14:paraId="7944D7B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施工现场需要配备的试验设备：</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由承包人提供 </w:t>
      </w:r>
    </w:p>
    <w:p w14:paraId="61159D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施工现场需要具备的其他试验条件：</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由承包人提供 </w:t>
      </w:r>
    </w:p>
    <w:p w14:paraId="154B9694">
      <w:pPr>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9.3</w:t>
      </w:r>
      <w:r>
        <w:rPr>
          <w:rFonts w:hint="eastAsia" w:ascii="宋体" w:hAnsi="宋体" w:eastAsia="宋体" w:cs="宋体"/>
          <w:color w:val="auto"/>
          <w:kern w:val="0"/>
          <w:sz w:val="24"/>
          <w:highlight w:val="none"/>
        </w:rPr>
        <w:t>材料、工程设备和工程的试验和检验</w:t>
      </w:r>
    </w:p>
    <w:p w14:paraId="0FDC74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试验、检测单位资质条件约定：</w:t>
      </w:r>
      <w:r>
        <w:rPr>
          <w:rFonts w:hint="eastAsia" w:ascii="宋体" w:hAnsi="宋体" w:eastAsia="宋体" w:cs="宋体"/>
          <w:b/>
          <w:bCs/>
          <w:color w:val="auto"/>
          <w:sz w:val="24"/>
          <w:highlight w:val="none"/>
          <w:u w:val="single"/>
        </w:rPr>
        <w:t>按有关规定执行；</w:t>
      </w:r>
    </w:p>
    <w:p w14:paraId="17779A15">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kern w:val="0"/>
          <w:sz w:val="24"/>
          <w:highlight w:val="none"/>
        </w:rPr>
        <w:t>试验、检测单位选择约定：</w:t>
      </w:r>
      <w:r>
        <w:rPr>
          <w:rFonts w:hint="eastAsia" w:ascii="宋体" w:hAnsi="宋体" w:eastAsia="宋体" w:cs="宋体"/>
          <w:b/>
          <w:bCs/>
          <w:color w:val="auto"/>
          <w:sz w:val="24"/>
          <w:highlight w:val="none"/>
          <w:u w:val="single"/>
        </w:rPr>
        <w:t>报监理及发包人审核批准；</w:t>
      </w:r>
    </w:p>
    <w:p w14:paraId="625ED1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试验、检测费用约定：</w:t>
      </w:r>
      <w:r>
        <w:rPr>
          <w:rFonts w:hint="eastAsia" w:ascii="宋体" w:hAnsi="宋体" w:eastAsia="宋体" w:cs="宋体"/>
          <w:b/>
          <w:bCs/>
          <w:color w:val="auto"/>
          <w:sz w:val="24"/>
          <w:highlight w:val="none"/>
          <w:u w:val="single"/>
        </w:rPr>
        <w:t xml:space="preserve"> 按有关规定执行。</w:t>
      </w:r>
    </w:p>
    <w:p w14:paraId="6A8B72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现场工艺试验 </w:t>
      </w:r>
    </w:p>
    <w:p w14:paraId="02A1753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现场工艺试验的有关约定：</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按通用条款 </w:t>
      </w:r>
    </w:p>
    <w:p w14:paraId="071AAB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10、变更</w:t>
      </w:r>
    </w:p>
    <w:p w14:paraId="253421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10.1变更的范围</w:t>
      </w:r>
    </w:p>
    <w:p w14:paraId="5BFB136A">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关于变更的范围的约定：</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按通用条款  </w:t>
      </w:r>
    </w:p>
    <w:p w14:paraId="4A24B6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10.1.1关于变更范围的约定：按照《杭州市政府投资项目工程变更管理暂行办法》（杭财建[2013]1246号）中工程变更的相关规定。</w:t>
      </w:r>
    </w:p>
    <w:p w14:paraId="7D826D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10.1.2因承包人擅自变更设计发生的费用和由此导致发包人的直接损失，由承包人承担，延误的工期不予顺延。</w:t>
      </w:r>
    </w:p>
    <w:p w14:paraId="0FB0FF8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10.1.3承包人提出的合理化建议涉及到的工程变更，须经发包人同意并办理相关变更审查手续。未经同意擅自更改的，承包人承担由此产生的费用，并赔偿发包人的有关损失，延误的工期不予顺延。</w:t>
      </w:r>
    </w:p>
    <w:p w14:paraId="1448BB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10.4变更估价</w:t>
      </w:r>
    </w:p>
    <w:p w14:paraId="455CAA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10.4.1变更估价原则</w:t>
      </w:r>
    </w:p>
    <w:p w14:paraId="0EF317EC">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关于变更估价的约定: </w:t>
      </w:r>
    </w:p>
    <w:p w14:paraId="1EE9829E">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（1）已标价工程量清单或预算书有相同项目的，按照相同项目单价确定。</w:t>
      </w:r>
    </w:p>
    <w:p w14:paraId="7F449E9E">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（2）已标价工程量清单或预算书中无相同项目，但有类似项目的，参照类似项目的单价确定。</w:t>
      </w:r>
    </w:p>
    <w:p w14:paraId="06860E9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5FEA354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②清单项目某一特征或工程内容变化，不影响其他特征及工程内容价格的，其他特征组合标准不变，仅调整发生变化的组合子目价格。</w:t>
      </w:r>
    </w:p>
    <w:p w14:paraId="370AEC1D">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（3）已标价工程量清单或预算书中无相同项目及类似项目单价的，其单价的确定，按以下约定：</w:t>
      </w:r>
    </w:p>
    <w:p w14:paraId="3910F00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59D4E7B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57C9AFD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按照《建设工程工程量清单计价规范》（GB50500-2013）9.6.2条规定，增加部分的工程量的综合单价应予调低，减少后剩余部分的工程量的综合单价应予调高，可按下列公式调整:</w:t>
      </w:r>
    </w:p>
    <w:p w14:paraId="6F6BC7EF">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凡合价金额占合同总价2%及以上的分部分项清单项目，</w:t>
      </w:r>
    </w:p>
    <w:p w14:paraId="14E20D3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①当Q1&gt;1.15Q0时:    S=1.15Q0×P0+（Q1-1.15 Q0）×P1</w:t>
      </w:r>
    </w:p>
    <w:p w14:paraId="3F20E3E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②当Q1&lt;0.85Q0时:    S=Q1×P1</w:t>
      </w:r>
    </w:p>
    <w:p w14:paraId="6BD3B2E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凡合价金额占合同总价不到2%的分部分项清单项目，</w:t>
      </w:r>
    </w:p>
    <w:p w14:paraId="3382A17B">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③当Q1&gt;1.25Q0时:    S=1.25Q0×P0+（Q1-1.25 Q0）×P1</w:t>
      </w:r>
    </w:p>
    <w:p w14:paraId="3579BEA1">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④当Q1&lt;0.75Q0时:    S=Q1×P1</w:t>
      </w:r>
    </w:p>
    <w:p w14:paraId="1A930341">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式中 S——调整后某一分部分项工程费结算价；</w:t>
      </w:r>
    </w:p>
    <w:p w14:paraId="14F0832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Q1——最终完成的工程量；</w:t>
      </w:r>
    </w:p>
    <w:p w14:paraId="69E3F49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Q0——招标工程量清单中列出的工程量；</w:t>
      </w:r>
    </w:p>
    <w:p w14:paraId="692A1525">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P0——承包人在已标价工程量清单中填报的综合单价</w:t>
      </w:r>
    </w:p>
    <w:p w14:paraId="0E7A2EA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P1——按照最终完成工程量重新调整后的综合单价，按本合同第10.4.1条（3）款计算结果和P0比较，在工程量增加时，若计算结果大于P0的,取 P1= P0，在工程量减少时，若计算结果小于P0的,取P1= P0。</w:t>
      </w:r>
    </w:p>
    <w:p w14:paraId="005D242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（5）其他：</w:t>
      </w:r>
    </w:p>
    <w:p w14:paraId="103F967A">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727C784C">
      <w:pPr>
        <w:pStyle w:val="967"/>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②工程变更管理按《杭州市政府投资项目工程变更管理暂行办法》（杭财建[2013]1246号）和拱教局2022（98）号文件执行，未履行规定程序的联系单，不得纳入工程结算。</w:t>
      </w:r>
    </w:p>
    <w:p w14:paraId="2C1FE9BD">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5F56B387">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1C3220E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4A25161C">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u w:val="single"/>
        </w:rPr>
        <w:t>⑥发包人与承包人在询标过程中，涉及到合同价款结算有须明确或澄清的事项包括：</w:t>
      </w:r>
      <w:r>
        <w:rPr>
          <w:rFonts w:hint="eastAsia" w:ascii="宋体" w:hAnsi="宋体" w:eastAsia="宋体" w:cs="宋体"/>
          <w:color w:val="auto"/>
          <w:sz w:val="24"/>
          <w:highlight w:val="none"/>
          <w:u w:val="single"/>
        </w:rPr>
        <w:t xml:space="preserve">   /   </w:t>
      </w:r>
    </w:p>
    <w:p w14:paraId="0BCE01FF">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u w:val="single"/>
        </w:rPr>
        <w:t>⑦本工程结算造价以国家审计或财政评审为准。</w:t>
      </w:r>
    </w:p>
    <w:p w14:paraId="792F5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10.5承包人的合理化建议</w:t>
      </w:r>
    </w:p>
    <w:p w14:paraId="27CD5DE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监理人审查承包人合理化建议的期限：</w:t>
      </w:r>
      <w:r>
        <w:rPr>
          <w:rFonts w:hint="eastAsia" w:ascii="宋体" w:hAnsi="宋体" w:eastAsia="宋体" w:cs="宋体"/>
          <w:b/>
          <w:bCs/>
          <w:color w:val="auto"/>
          <w:sz w:val="24"/>
          <w:highlight w:val="none"/>
          <w:u w:val="single"/>
        </w:rPr>
        <w:t xml:space="preserve">按通用条款 </w:t>
      </w:r>
    </w:p>
    <w:p w14:paraId="0C9940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发包人审批承包人合理化建议的期限：</w:t>
      </w:r>
      <w:r>
        <w:rPr>
          <w:rFonts w:hint="eastAsia" w:ascii="宋体" w:hAnsi="宋体" w:eastAsia="宋体" w:cs="宋体"/>
          <w:b/>
          <w:bCs/>
          <w:color w:val="auto"/>
          <w:sz w:val="24"/>
          <w:highlight w:val="none"/>
          <w:u w:val="single"/>
        </w:rPr>
        <w:t xml:space="preserve">按通用条款 </w:t>
      </w:r>
    </w:p>
    <w:p w14:paraId="6E3D6B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承包人提出的合理化建议降低了合同价格或者提高了工程经济效益的奖励的方法和金额为：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54E4A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10.7暂估价</w:t>
      </w:r>
    </w:p>
    <w:p w14:paraId="678FC2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暂估价材料和工程设备的明细详见附件11：《</w:t>
      </w:r>
      <w:r>
        <w:rPr>
          <w:rFonts w:hint="eastAsia" w:ascii="宋体" w:hAnsi="宋体" w:eastAsia="宋体" w:cs="宋体"/>
          <w:color w:val="auto"/>
          <w:sz w:val="24"/>
          <w:highlight w:val="none"/>
        </w:rPr>
        <w:t>暂估价一览表》</w:t>
      </w:r>
      <w:r>
        <w:rPr>
          <w:rFonts w:hint="eastAsia" w:ascii="宋体" w:hAnsi="宋体" w:eastAsia="宋体" w:cs="宋体"/>
          <w:color w:val="auto"/>
          <w:kern w:val="0"/>
          <w:sz w:val="24"/>
          <w:highlight w:val="none"/>
        </w:rPr>
        <w:t>。</w:t>
      </w:r>
    </w:p>
    <w:p w14:paraId="112534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10.7.1依法必须招标的暂估价项目</w:t>
      </w:r>
    </w:p>
    <w:p w14:paraId="5B5B7B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对于依法必须招标的暂估价项目的确认和批准采取第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种方式确定。</w:t>
      </w:r>
    </w:p>
    <w:p w14:paraId="5FA359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10.7.2不属于依法必须招标的暂估价项目</w:t>
      </w:r>
    </w:p>
    <w:p w14:paraId="18B83C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对于不属于依法必须招标的暂估价项目的确认和批准采取第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种方式确定。</w:t>
      </w:r>
    </w:p>
    <w:p w14:paraId="6EFAA05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1FE5F7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承包人直接实施的暂估价项目的约定：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45E92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10.8暂列金额</w:t>
      </w:r>
    </w:p>
    <w:p w14:paraId="4B20C44F">
      <w:pPr>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合同当事人关于暂列金额使用的约定：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4317E71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11、价格调整</w:t>
      </w:r>
    </w:p>
    <w:p w14:paraId="07090F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p>
    <w:p w14:paraId="01A0EF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市场价格波动是否调整合同价格的约定：</w:t>
      </w:r>
      <w:r>
        <w:rPr>
          <w:rFonts w:hint="eastAsia" w:ascii="宋体" w:hAnsi="宋体" w:eastAsia="宋体" w:cs="宋体"/>
          <w:color w:val="auto"/>
          <w:kern w:val="0"/>
          <w:sz w:val="24"/>
          <w:highlight w:val="none"/>
          <w:u w:val="single"/>
        </w:rPr>
        <w:t>调整</w:t>
      </w:r>
      <w:r>
        <w:rPr>
          <w:rFonts w:hint="eastAsia" w:ascii="宋体" w:hAnsi="宋体" w:eastAsia="宋体" w:cs="宋体"/>
          <w:color w:val="auto"/>
          <w:sz w:val="24"/>
          <w:highlight w:val="none"/>
        </w:rPr>
        <w:t>。</w:t>
      </w:r>
    </w:p>
    <w:p w14:paraId="161129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因市场价格波动调整合同价格，采用以下第</w:t>
      </w:r>
      <w:r>
        <w:rPr>
          <w:rFonts w:hint="eastAsia" w:ascii="宋体" w:hAnsi="宋体" w:eastAsia="宋体" w:cs="宋体"/>
          <w:b/>
          <w:bCs/>
          <w:color w:val="auto"/>
          <w:sz w:val="24"/>
          <w:highlight w:val="none"/>
          <w:u w:val="single"/>
        </w:rPr>
        <w:t xml:space="preserve">  3   </w:t>
      </w:r>
      <w:r>
        <w:rPr>
          <w:rFonts w:hint="eastAsia" w:ascii="宋体" w:hAnsi="宋体" w:eastAsia="宋体" w:cs="宋体"/>
          <w:color w:val="auto"/>
          <w:sz w:val="24"/>
          <w:highlight w:val="none"/>
        </w:rPr>
        <w:t>种方式对合同价格进行调整：</w:t>
      </w:r>
    </w:p>
    <w:p w14:paraId="2B6603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03B0CF1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关于各可调因子、定值和变值权重，以及基本价格指数及其来源的约定：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31053B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30B9F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（2）关于基准价格的约定：。</w:t>
      </w:r>
    </w:p>
    <w:p w14:paraId="69788B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08B27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571F5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③承包人在已标价工程量清单或预算书中载明的材料单价等于基准单价的：专用合同条款合同履行期间材料单价涨跌幅以基准单价为基础超过±%时，其超过部分据实调整。</w:t>
      </w:r>
    </w:p>
    <w:p w14:paraId="7FED8D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第3种方式：</w:t>
      </w:r>
      <w:r>
        <w:rPr>
          <w:rFonts w:hint="eastAsia" w:ascii="宋体" w:hAnsi="宋体" w:eastAsia="宋体" w:cs="宋体"/>
          <w:b/>
          <w:bCs/>
          <w:color w:val="auto"/>
          <w:sz w:val="24"/>
          <w:highlight w:val="none"/>
          <w:u w:val="single"/>
        </w:rPr>
        <w:t>采用政策性文件进行价格调整</w:t>
      </w:r>
      <w:r>
        <w:rPr>
          <w:rFonts w:hint="eastAsia" w:ascii="宋体" w:hAnsi="宋体" w:eastAsia="宋体" w:cs="宋体"/>
          <w:b/>
          <w:bCs/>
          <w:color w:val="auto"/>
          <w:sz w:val="24"/>
          <w:highlight w:val="none"/>
        </w:rPr>
        <w:t>。</w:t>
      </w:r>
    </w:p>
    <w:p w14:paraId="5767F2DC">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政府投资工程因市场价格波动引起的调整：</w:t>
      </w:r>
      <w:r>
        <w:rPr>
          <w:rFonts w:hint="eastAsia" w:ascii="宋体" w:hAnsi="宋体" w:eastAsia="宋体" w:cs="宋体"/>
          <w:color w:val="auto"/>
          <w:kern w:val="0"/>
          <w:sz w:val="24"/>
          <w:highlight w:val="none"/>
          <w:u w:val="single"/>
        </w:rPr>
        <w:t>按《关于进一步加强杭州市建设工程市场要素价格动态管理的指导意见》(杭建市发〔2018）579号)文执行。</w:t>
      </w:r>
    </w:p>
    <w:p w14:paraId="49DCB5C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其中：</w:t>
      </w:r>
    </w:p>
    <w:p w14:paraId="333603D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1、风险范围及幅度的约定：</w:t>
      </w:r>
    </w:p>
    <w:p w14:paraId="3A3ED8BA">
      <w:pPr>
        <w:widowControl/>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（1）人工价格风险幅度为5%；</w:t>
      </w:r>
    </w:p>
    <w:p w14:paraId="180D2E31">
      <w:pPr>
        <w:widowControl/>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（2）单种规格材料价格风险幅度为5%；</w:t>
      </w:r>
    </w:p>
    <w:p w14:paraId="4CB1C0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2、材料价款动态调整结算方式采用以下</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第（3）种方式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约定：</w:t>
      </w:r>
    </w:p>
    <w:p w14:paraId="5A2E1404">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（1）按时间进度分段结算： /  。</w:t>
      </w:r>
    </w:p>
    <w:p w14:paraId="34C2C1E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（2）按工程形象部位(目标)分段结算：/  。</w:t>
      </w:r>
    </w:p>
    <w:p w14:paraId="2E96B78E">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（3）竣工后一次性结算调价。 </w:t>
      </w:r>
    </w:p>
    <w:p w14:paraId="670C923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6852E4D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①当单种规格材料价格上涨超过约定的风险幅度时，材料差价（正值）=〔合同工期内各月份信息价算术平均值-编制期信息价×（1+风险幅度）〕×单种规格材料用量。</w:t>
      </w:r>
    </w:p>
    <w:p w14:paraId="4F22965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②当单种规格材料价格下跌超过约定的风险幅度时，材料差价（负值）=〔合同工期内各月份信息价算术平均值-编制期信息价×（1-风险幅度)〕×单种规格材料用量。</w:t>
      </w:r>
    </w:p>
    <w:p w14:paraId="7CEDD6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4B3D748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3、非承包人原因引起的延期，经发包人、监理单位审批同意顺延后，经批准的顺延工期可计入合同工期，未经审批同意，不得延长合同工期。</w:t>
      </w:r>
    </w:p>
    <w:p w14:paraId="0FAB46B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4、承包人办理工程结算时必须向审核部门提供预算软件导出的带有计价软件格式的电子结算文件。</w:t>
      </w:r>
    </w:p>
    <w:p w14:paraId="38C4A9C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12、合同价格、计量与支付</w:t>
      </w:r>
    </w:p>
    <w:p w14:paraId="6BB131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12.1合同价格形式</w:t>
      </w:r>
    </w:p>
    <w:p w14:paraId="07CC58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w:t>
      </w:r>
    </w:p>
    <w:p w14:paraId="4572A4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综合单价包含的风险范围：</w:t>
      </w:r>
    </w:p>
    <w:p w14:paraId="5A21E49D">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 xml:space="preserve">（1）应由承包人承担的工、料、机在磋商编制期或预算书编制期与合同实施期间所发生的市场价格波动。 </w:t>
      </w:r>
    </w:p>
    <w:p w14:paraId="614C431C">
      <w:pPr>
        <w:widowControl/>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u w:val="single"/>
        </w:rPr>
        <w:t>（2）其他：按通用条款</w:t>
      </w:r>
    </w:p>
    <w:p w14:paraId="45B76E7A">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风险费用的计算方法：</w:t>
      </w:r>
      <w:r>
        <w:rPr>
          <w:rFonts w:hint="eastAsia" w:ascii="宋体" w:hAnsi="宋体" w:eastAsia="宋体" w:cs="宋体"/>
          <w:b/>
          <w:bCs/>
          <w:color w:val="auto"/>
          <w:kern w:val="0"/>
          <w:sz w:val="24"/>
          <w:highlight w:val="none"/>
          <w:u w:val="single"/>
        </w:rPr>
        <w:t>风险因素范围内的风险费用不在合同价外另行计列及调整。</w:t>
      </w:r>
    </w:p>
    <w:p w14:paraId="291607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p>
    <w:p w14:paraId="4D3CCA80">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（1）市场价格波动引起的调整按本合同11.1约定计算。</w:t>
      </w:r>
    </w:p>
    <w:p w14:paraId="303171AF">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 xml:space="preserve">（2）其他：  / </w:t>
      </w:r>
    </w:p>
    <w:p w14:paraId="73E310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2、总价合同。</w:t>
      </w:r>
    </w:p>
    <w:p w14:paraId="6900CF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总价包含的风险范围：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F23FB3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26A72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8C1524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3、其他价格方式：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B7DFA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预付款</w:t>
      </w:r>
    </w:p>
    <w:p w14:paraId="6AEFE0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 预付款的支付</w:t>
      </w:r>
    </w:p>
    <w:p w14:paraId="0F7FC0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预付款支付比例或金额：</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合同总价的40%</w:t>
      </w:r>
      <w:r>
        <w:rPr>
          <w:rFonts w:hint="eastAsia" w:ascii="宋体" w:hAnsi="宋体" w:eastAsia="宋体" w:cs="宋体"/>
          <w:color w:val="auto"/>
          <w:sz w:val="24"/>
          <w:highlight w:val="none"/>
          <w:u w:val="single"/>
        </w:rPr>
        <w:t xml:space="preserve"> 。</w:t>
      </w:r>
    </w:p>
    <w:p w14:paraId="3309EC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预付款支付期限：</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合同生效以及具备实施条件后 5个工作日内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BF4B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预付款扣回的方式：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BB36D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D8F53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承包人提交预付款担保的期限：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E8A33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预付款担保的形式为：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6D612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12.3计量</w:t>
      </w:r>
    </w:p>
    <w:p w14:paraId="4D9E22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12.3.1计量原则</w:t>
      </w:r>
    </w:p>
    <w:p w14:paraId="46AA7B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工程量计算规则：</w:t>
      </w:r>
    </w:p>
    <w:p w14:paraId="155C3314">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u w:val="single"/>
        </w:rPr>
        <w:t xml:space="preserve"> 实行工程量清单计价的工程项目，其工程量的计算规则应按国家标准工程量计算规范及省级行业主管部门颁布的补充规定执行。</w:t>
      </w:r>
    </w:p>
    <w:p w14:paraId="0D20444F">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u w:val="single"/>
        </w:rPr>
        <w:t>不实行工程量清单计价的工程项目，工程量的计算规则应按省、市行业主管部门颁布的各专业工程定额的工程量计算规则执行。</w:t>
      </w:r>
    </w:p>
    <w:p w14:paraId="29E94D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12.3.2计量周期</w:t>
      </w:r>
    </w:p>
    <w:p w14:paraId="764D7B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关于计量周期的约定：</w:t>
      </w:r>
      <w:r>
        <w:rPr>
          <w:rFonts w:hint="eastAsia" w:ascii="宋体" w:hAnsi="宋体" w:eastAsia="宋体" w:cs="宋体"/>
          <w:b/>
          <w:bCs/>
          <w:color w:val="auto"/>
          <w:sz w:val="24"/>
          <w:highlight w:val="none"/>
          <w:u w:val="single"/>
        </w:rPr>
        <w:t>每月25日前提交已完工程量报告</w:t>
      </w:r>
      <w:r>
        <w:rPr>
          <w:rFonts w:hint="eastAsia" w:ascii="宋体" w:hAnsi="宋体" w:eastAsia="宋体" w:cs="宋体"/>
          <w:color w:val="auto"/>
          <w:sz w:val="24"/>
          <w:highlight w:val="none"/>
        </w:rPr>
        <w:t>。</w:t>
      </w:r>
    </w:p>
    <w:p w14:paraId="158CF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12.3.3单价合同的计量</w:t>
      </w:r>
    </w:p>
    <w:p w14:paraId="5C3583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关于单价合同计量的约定：</w:t>
      </w:r>
      <w:r>
        <w:rPr>
          <w:rFonts w:hint="eastAsia" w:ascii="宋体" w:hAnsi="宋体" w:eastAsia="宋体" w:cs="宋体"/>
          <w:b/>
          <w:bCs/>
          <w:color w:val="auto"/>
          <w:sz w:val="24"/>
          <w:highlight w:val="none"/>
          <w:u w:val="single"/>
        </w:rPr>
        <w:t xml:space="preserve">按通用条款 </w:t>
      </w:r>
      <w:r>
        <w:rPr>
          <w:rFonts w:hint="eastAsia" w:ascii="宋体" w:hAnsi="宋体" w:eastAsia="宋体" w:cs="宋体"/>
          <w:color w:val="auto"/>
          <w:sz w:val="24"/>
          <w:highlight w:val="none"/>
        </w:rPr>
        <w:t>。</w:t>
      </w:r>
    </w:p>
    <w:p w14:paraId="0C12A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12.3.4总价合同的计量</w:t>
      </w:r>
    </w:p>
    <w:p w14:paraId="434D4B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关于总价合同计量的约定：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7551A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12.3.5总价合同采用支付分解表计量支付的，是否适用第</w:t>
      </w:r>
      <w:r>
        <w:rPr>
          <w:rFonts w:hint="eastAsia" w:ascii="宋体" w:hAnsi="宋体" w:eastAsia="宋体" w:cs="宋体"/>
          <w:color w:val="auto"/>
          <w:kern w:val="0"/>
          <w:sz w:val="24"/>
          <w:highlight w:val="none"/>
        </w:rPr>
        <w:t xml:space="preserve">12.3.4 </w:t>
      </w:r>
      <w:r>
        <w:rPr>
          <w:rFonts w:hint="eastAsia" w:ascii="宋体" w:hAnsi="宋体" w:eastAsia="宋体" w:cs="宋体"/>
          <w:color w:val="auto"/>
          <w:sz w:val="24"/>
          <w:highlight w:val="none"/>
        </w:rPr>
        <w:t>项</w:t>
      </w:r>
      <w:r>
        <w:rPr>
          <w:rFonts w:hint="eastAsia" w:ascii="宋体" w:hAnsi="宋体" w:eastAsia="宋体" w:cs="宋体"/>
          <w:color w:val="auto"/>
          <w:kern w:val="0"/>
          <w:sz w:val="24"/>
          <w:highlight w:val="none"/>
        </w:rPr>
        <w:t>〔总价合同的计量〕</w:t>
      </w:r>
      <w:r>
        <w:rPr>
          <w:rFonts w:hint="eastAsia" w:ascii="宋体" w:hAnsi="宋体" w:eastAsia="宋体" w:cs="宋体"/>
          <w:color w:val="auto"/>
          <w:sz w:val="24"/>
          <w:highlight w:val="none"/>
        </w:rPr>
        <w:t>约定进行计量：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6E0CD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12.3.6其他价格形式合同的计量</w:t>
      </w:r>
    </w:p>
    <w:p w14:paraId="5943386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其他价格形式的计量方式和程序：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2D719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12.4工程进度款支付</w:t>
      </w:r>
    </w:p>
    <w:p w14:paraId="11051C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12.4.1付款周期</w:t>
      </w:r>
    </w:p>
    <w:p w14:paraId="0C2209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关于付款周期的约定：</w:t>
      </w:r>
    </w:p>
    <w:p w14:paraId="10CE9A4B">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（1）合同生效以及具备实施条件后，5个工作日，由发包方向承包人支付合同价的40%并支付到账；</w:t>
      </w:r>
    </w:p>
    <w:p w14:paraId="6101F0BB">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（2）工程竣工并上交完整的竣工资料、决算资料后，发包人收到承包人提供的同等金额的正规发票后5个工作日内，由发包方向承包人支付至合同价的85%并支付到账；</w:t>
      </w:r>
    </w:p>
    <w:p w14:paraId="227D2CB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竣工验收合格、经结算审核确认(包括联系单的费用)，发包人收到承包人提供的同等金额的正规发票后5个工作日内同时乙方另行向甲方缴纳结算审核确认价的1.5%收取质量保证金，以银行转账或银行保函形式，质量保证金待保修期满后退还（无息）。由发包方向承包人支付至结算总价的100%并支付到账。</w:t>
      </w:r>
    </w:p>
    <w:p w14:paraId="37287EAF">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（4）工程承包人收取工程款时应开具符合税务部门要求的正式的建筑安装工程发票, 发包人凭票付款，承包人未提交发票的，发包人有权拒绝付款；</w:t>
      </w:r>
    </w:p>
    <w:p w14:paraId="2790C72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（5）承包人清楚本工程为政府工程，如因支付审批流程致使付款延迟的，不视为发包人违约。</w:t>
      </w:r>
    </w:p>
    <w:p w14:paraId="783428BB">
      <w:pPr>
        <w:pStyle w:val="2"/>
        <w:rPr>
          <w:rFonts w:hint="eastAsia" w:ascii="宋体" w:hAnsi="宋体" w:eastAsia="宋体" w:cs="宋体"/>
          <w:color w:val="auto"/>
          <w:highlight w:val="none"/>
        </w:rPr>
      </w:pPr>
    </w:p>
    <w:p w14:paraId="040B95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12.4.2进度付款申请单的编制</w:t>
      </w:r>
    </w:p>
    <w:p w14:paraId="4B7DD945">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关于进度付款申请单编制的约定：</w:t>
      </w:r>
      <w:r>
        <w:rPr>
          <w:rFonts w:hint="eastAsia" w:ascii="宋体" w:hAnsi="宋体" w:eastAsia="宋体" w:cs="宋体"/>
          <w:b/>
          <w:bCs/>
          <w:color w:val="auto"/>
          <w:sz w:val="24"/>
          <w:highlight w:val="none"/>
          <w:u w:val="single"/>
        </w:rPr>
        <w:t>不考虑因变更、索赔、合同约定应增加的金额。</w:t>
      </w:r>
    </w:p>
    <w:p w14:paraId="36050E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12.4.3进度付款申请单的提交</w:t>
      </w:r>
    </w:p>
    <w:p w14:paraId="7AF9B8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（1）单价合同进度付款申请单提交的约定：</w:t>
      </w:r>
      <w:r>
        <w:rPr>
          <w:rFonts w:hint="eastAsia" w:ascii="宋体" w:hAnsi="宋体" w:eastAsia="宋体" w:cs="宋体"/>
          <w:b/>
          <w:bCs/>
          <w:color w:val="auto"/>
          <w:sz w:val="24"/>
          <w:highlight w:val="none"/>
          <w:u w:val="single"/>
        </w:rPr>
        <w:t>按通用条款。</w:t>
      </w:r>
    </w:p>
    <w:p w14:paraId="59358E1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（2）总价合同进度付款申请单提交的约定：</w:t>
      </w:r>
      <w:r>
        <w:rPr>
          <w:rFonts w:hint="eastAsia" w:ascii="宋体" w:hAnsi="宋体" w:eastAsia="宋体" w:cs="宋体"/>
          <w:color w:val="auto"/>
          <w:sz w:val="24"/>
          <w:highlight w:val="none"/>
          <w:u w:val="single"/>
        </w:rPr>
        <w:t xml:space="preserve">      /        </w:t>
      </w:r>
    </w:p>
    <w:p w14:paraId="7699BF6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（3）其他价格形式合同进度付款申请单提交的约定：</w:t>
      </w:r>
      <w:r>
        <w:rPr>
          <w:rFonts w:hint="eastAsia" w:ascii="宋体" w:hAnsi="宋体" w:eastAsia="宋体" w:cs="宋体"/>
          <w:color w:val="auto"/>
          <w:sz w:val="24"/>
          <w:highlight w:val="none"/>
          <w:u w:val="single"/>
        </w:rPr>
        <w:t xml:space="preserve">   /   </w:t>
      </w:r>
    </w:p>
    <w:p w14:paraId="034FEC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12.4.4进度款审核和支付</w:t>
      </w:r>
    </w:p>
    <w:p w14:paraId="2C201D8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（1）监理人审查并报送发包人的期限：</w:t>
      </w:r>
      <w:r>
        <w:rPr>
          <w:rFonts w:hint="eastAsia" w:ascii="宋体" w:hAnsi="宋体" w:eastAsia="宋体" w:cs="宋体"/>
          <w:b/>
          <w:bCs/>
          <w:color w:val="auto"/>
          <w:sz w:val="24"/>
          <w:highlight w:val="none"/>
          <w:u w:val="single"/>
        </w:rPr>
        <w:t xml:space="preserve">按通用条款。 </w:t>
      </w:r>
    </w:p>
    <w:p w14:paraId="67194CE3">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发包人完成审批并签发进度款支付证书的期限：</w:t>
      </w:r>
      <w:r>
        <w:rPr>
          <w:rFonts w:hint="eastAsia" w:ascii="宋体" w:hAnsi="宋体" w:eastAsia="宋体" w:cs="宋体"/>
          <w:b/>
          <w:bCs/>
          <w:color w:val="auto"/>
          <w:sz w:val="24"/>
          <w:highlight w:val="none"/>
          <w:u w:val="single"/>
        </w:rPr>
        <w:t>按通用条款。</w:t>
      </w:r>
    </w:p>
    <w:p w14:paraId="50A77B94">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（2）发包人支付进度款的期限：</w:t>
      </w:r>
      <w:r>
        <w:rPr>
          <w:rFonts w:hint="eastAsia" w:ascii="宋体" w:hAnsi="宋体" w:eastAsia="宋体" w:cs="宋体"/>
          <w:b/>
          <w:bCs/>
          <w:color w:val="auto"/>
          <w:sz w:val="24"/>
          <w:highlight w:val="none"/>
          <w:u w:val="single"/>
        </w:rPr>
        <w:t xml:space="preserve">按通用条款。 </w:t>
      </w:r>
    </w:p>
    <w:p w14:paraId="443CB1C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发包人逾期支付进度款的违约金的计算方式：</w:t>
      </w:r>
      <w:r>
        <w:rPr>
          <w:rFonts w:hint="eastAsia" w:ascii="宋体" w:hAnsi="宋体" w:eastAsia="宋体" w:cs="宋体"/>
          <w:color w:val="auto"/>
          <w:sz w:val="24"/>
          <w:highlight w:val="none"/>
          <w:u w:val="single"/>
        </w:rPr>
        <w:t xml:space="preserve">     /         </w:t>
      </w:r>
    </w:p>
    <w:p w14:paraId="677E32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12.4.6支付分解表的编制</w:t>
      </w:r>
    </w:p>
    <w:p w14:paraId="6F5AE29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2、总价合同支付分解表的编制与审批：</w:t>
      </w:r>
      <w:r>
        <w:rPr>
          <w:rFonts w:hint="eastAsia" w:ascii="宋体" w:hAnsi="宋体" w:eastAsia="宋体" w:cs="宋体"/>
          <w:color w:val="auto"/>
          <w:sz w:val="24"/>
          <w:highlight w:val="none"/>
          <w:u w:val="single"/>
        </w:rPr>
        <w:t xml:space="preserve">        /          </w:t>
      </w:r>
    </w:p>
    <w:p w14:paraId="0CB2D7A7">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3、单价合同的总价项目支付分解表的编制与审批：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4407E8A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13、验收和工程试车</w:t>
      </w:r>
    </w:p>
    <w:p w14:paraId="7E741C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13.1分部分项工程验收</w:t>
      </w:r>
    </w:p>
    <w:p w14:paraId="4775C3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13.1.2监理人不能按时进行验收时，应提前</w:t>
      </w:r>
      <w:r>
        <w:rPr>
          <w:rFonts w:hint="eastAsia" w:ascii="宋体" w:hAnsi="宋体" w:eastAsia="宋体" w:cs="宋体"/>
          <w:color w:val="auto"/>
          <w:sz w:val="24"/>
          <w:highlight w:val="none"/>
          <w:u w:val="single"/>
        </w:rPr>
        <w:t>24</w:t>
      </w:r>
      <w:r>
        <w:rPr>
          <w:rFonts w:hint="eastAsia" w:ascii="宋体" w:hAnsi="宋体" w:eastAsia="宋体" w:cs="宋体"/>
          <w:color w:val="auto"/>
          <w:sz w:val="24"/>
          <w:highlight w:val="none"/>
        </w:rPr>
        <w:t>小时提交书面延期要求。</w:t>
      </w:r>
    </w:p>
    <w:p w14:paraId="0BD9C21F">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 xml:space="preserve">48 </w:t>
      </w:r>
      <w:r>
        <w:rPr>
          <w:rFonts w:hint="eastAsia" w:ascii="宋体" w:hAnsi="宋体" w:eastAsia="宋体" w:cs="宋体"/>
          <w:color w:val="auto"/>
          <w:sz w:val="24"/>
          <w:highlight w:val="none"/>
        </w:rPr>
        <w:t>小时。</w:t>
      </w:r>
    </w:p>
    <w:p w14:paraId="3BF8D0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13.2竣工验收</w:t>
      </w:r>
    </w:p>
    <w:p w14:paraId="536BD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13.2.2竣工验收程序</w:t>
      </w:r>
    </w:p>
    <w:p w14:paraId="6A5D613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关于竣工验收程序的约定：</w:t>
      </w:r>
      <w:r>
        <w:rPr>
          <w:rFonts w:hint="eastAsia" w:ascii="宋体" w:hAnsi="宋体" w:eastAsia="宋体" w:cs="宋体"/>
          <w:b/>
          <w:bCs/>
          <w:color w:val="auto"/>
          <w:sz w:val="24"/>
          <w:highlight w:val="none"/>
          <w:u w:val="single"/>
        </w:rPr>
        <w:t xml:space="preserve">按通用条款执行。 </w:t>
      </w:r>
    </w:p>
    <w:p w14:paraId="1B678BD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发包人不按照本项约定组织竣工验收、颁发工程接收证书的违约金的计算方法：</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sz w:val="24"/>
          <w:highlight w:val="none"/>
        </w:rPr>
        <w:t>。</w:t>
      </w:r>
    </w:p>
    <w:p w14:paraId="6E6BAF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13.2.5移交、接收全部与部分工程</w:t>
      </w:r>
    </w:p>
    <w:p w14:paraId="3426CB8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承包人向发包人移交工程的期限：</w:t>
      </w:r>
      <w:r>
        <w:rPr>
          <w:rFonts w:hint="eastAsia" w:ascii="宋体" w:hAnsi="宋体" w:eastAsia="宋体" w:cs="宋体"/>
          <w:b/>
          <w:bCs/>
          <w:color w:val="auto"/>
          <w:sz w:val="24"/>
          <w:highlight w:val="none"/>
          <w:u w:val="single"/>
        </w:rPr>
        <w:t xml:space="preserve">按通用条款执行。 </w:t>
      </w:r>
    </w:p>
    <w:p w14:paraId="4F59E89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发包人未按本合同约定接收全部或部分工程的，违约金的计算方法为：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73D6CD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承包人未按时移交工程的，违约金的计算方法为：</w:t>
      </w:r>
      <w:r>
        <w:rPr>
          <w:rFonts w:hint="eastAsia" w:ascii="宋体" w:hAnsi="宋体" w:eastAsia="宋体" w:cs="宋体"/>
          <w:b/>
          <w:bCs/>
          <w:color w:val="auto"/>
          <w:sz w:val="24"/>
          <w:highlight w:val="none"/>
          <w:u w:val="single"/>
        </w:rPr>
        <w:t>/。</w:t>
      </w:r>
    </w:p>
    <w:p w14:paraId="1A85F2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13.3工程试车</w:t>
      </w:r>
    </w:p>
    <w:p w14:paraId="1FBA32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4529958F">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highlight w:val="none"/>
        </w:rPr>
        <w:t>工程试车内容：</w:t>
      </w:r>
      <w:r>
        <w:rPr>
          <w:rFonts w:hint="eastAsia" w:ascii="宋体" w:hAnsi="宋体" w:eastAsia="宋体" w:cs="宋体"/>
          <w:b/>
          <w:bCs/>
          <w:color w:val="auto"/>
          <w:sz w:val="24"/>
          <w:highlight w:val="none"/>
          <w:u w:val="single"/>
        </w:rPr>
        <w:t xml:space="preserve">所有试车费用承包人已在合同价中包干。 </w:t>
      </w:r>
    </w:p>
    <w:p w14:paraId="675B6F0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（1）单机无负荷试车费用由</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承担；</w:t>
      </w:r>
    </w:p>
    <w:p w14:paraId="39BE74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（2）无负荷联动试车费用由</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承担。</w:t>
      </w:r>
    </w:p>
    <w:p w14:paraId="5A814A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13.3.3投料试车</w:t>
      </w:r>
    </w:p>
    <w:p w14:paraId="2D10186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关于投料试车相关事项的约定：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D83F5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13.6竣工退场</w:t>
      </w:r>
    </w:p>
    <w:p w14:paraId="2A64014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13.6.1竣工退场</w:t>
      </w:r>
    </w:p>
    <w:p w14:paraId="5990B0CA">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承包人完成竣工退场的期限：</w:t>
      </w:r>
      <w:r>
        <w:rPr>
          <w:rFonts w:hint="eastAsia" w:ascii="宋体" w:hAnsi="宋体" w:eastAsia="宋体" w:cs="宋体"/>
          <w:b/>
          <w:bCs/>
          <w:color w:val="auto"/>
          <w:sz w:val="24"/>
          <w:highlight w:val="none"/>
          <w:u w:val="single"/>
        </w:rPr>
        <w:t xml:space="preserve">10天内。 </w:t>
      </w:r>
    </w:p>
    <w:p w14:paraId="1EDB2C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14、竣工结算</w:t>
      </w:r>
    </w:p>
    <w:p w14:paraId="594A9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14.1竣工付款申请</w:t>
      </w:r>
    </w:p>
    <w:p w14:paraId="1E69BA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承包人提交竣工付款申请单的期限：</w:t>
      </w:r>
      <w:r>
        <w:rPr>
          <w:rFonts w:hint="eastAsia" w:ascii="宋体" w:hAnsi="宋体" w:eastAsia="宋体" w:cs="宋体"/>
          <w:b/>
          <w:bCs/>
          <w:color w:val="auto"/>
          <w:sz w:val="24"/>
          <w:highlight w:val="none"/>
          <w:u w:val="single"/>
        </w:rPr>
        <w:t>工程竣工验收报告经发包人认可后的28天内。</w:t>
      </w:r>
    </w:p>
    <w:p w14:paraId="592EDF3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竣工付款申请单应包括的内容：</w:t>
      </w:r>
      <w:r>
        <w:rPr>
          <w:rFonts w:hint="eastAsia" w:ascii="宋体" w:hAnsi="宋体" w:eastAsia="宋体" w:cs="宋体"/>
          <w:b/>
          <w:bCs/>
          <w:color w:val="auto"/>
          <w:sz w:val="24"/>
          <w:highlight w:val="none"/>
          <w:u w:val="single"/>
        </w:rPr>
        <w:t>完整的竣工结算书及相关资料。</w:t>
      </w:r>
    </w:p>
    <w:p w14:paraId="763573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14.2竣工结算审核</w:t>
      </w:r>
    </w:p>
    <w:p w14:paraId="7BAB5C1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14.2.1发包人审批竣工付款申请单的期限：</w:t>
      </w:r>
      <w:r>
        <w:rPr>
          <w:rFonts w:hint="eastAsia" w:ascii="宋体" w:hAnsi="宋体" w:eastAsia="宋体" w:cs="宋体"/>
          <w:b/>
          <w:bCs/>
          <w:color w:val="auto"/>
          <w:sz w:val="24"/>
          <w:highlight w:val="none"/>
          <w:u w:val="single"/>
        </w:rPr>
        <w:t>竣工结算书文件核对期限是（承包人未按照前述14.1中约定的时限内递交完整的竣工结算书文件及相关资料的，以下关于核对期限的约定将不对发包人产生效力）：</w:t>
      </w:r>
    </w:p>
    <w:p w14:paraId="77F9118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（1）工程造价500万元以下的单项工程，从收到完整的竣工结算书之日起（20）工作日；</w:t>
      </w:r>
    </w:p>
    <w:p w14:paraId="29218DC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（2）工程造价500-2000万元的单项工程，从收到完整的竣工结算书之日起（30）工作日；</w:t>
      </w:r>
    </w:p>
    <w:p w14:paraId="074803C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（3）工程造价2000-5000万元的单项工程，从收到完整的竣工结算书之日起（45）工作日；</w:t>
      </w:r>
    </w:p>
    <w:p w14:paraId="70C4A00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（4）工程造价5000万元以上的单项工程，从收到完整的竣工结算书之日起（60）工作日。</w:t>
      </w:r>
    </w:p>
    <w:p w14:paraId="423C577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发包人完成竣工付款的期限：</w:t>
      </w:r>
      <w:r>
        <w:rPr>
          <w:rFonts w:hint="eastAsia" w:ascii="宋体" w:hAnsi="宋体" w:eastAsia="宋体" w:cs="宋体"/>
          <w:b/>
          <w:color w:val="auto"/>
          <w:sz w:val="24"/>
          <w:highlight w:val="none"/>
          <w:u w:val="single"/>
        </w:rPr>
        <w:t>发包人在收到第三方审计单位出具的竣工结算审计结果文件后1个月内办理工程款结算审批会签。</w:t>
      </w:r>
    </w:p>
    <w:p w14:paraId="1FF3E36C">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关于竣工付款证书异议部分复核的方式和程序：</w:t>
      </w:r>
      <w:r>
        <w:rPr>
          <w:rFonts w:hint="eastAsia" w:ascii="宋体" w:hAnsi="宋体" w:eastAsia="宋体" w:cs="宋体"/>
          <w:b/>
          <w:bCs/>
          <w:color w:val="auto"/>
          <w:sz w:val="24"/>
          <w:highlight w:val="none"/>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6A68576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3FED50C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3、发包人收到承包人再次提交的补充资料和修改的竣工结算文件后，在（20）日内予以复核，修正核对意见，并通知承包人。</w:t>
      </w:r>
    </w:p>
    <w:p w14:paraId="0E41882A">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4、发、承包人均对修正核对意见无异议的，应于7日内在竣工结算核对意见上签字确认。</w:t>
      </w:r>
    </w:p>
    <w:p w14:paraId="031175E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4FE3B1D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14.2.3 承包人必须保证施工过程所提出的签证内容是合法的、真实的，并不由于发包人和监理工程师的确认而免除承包人的责任。</w:t>
      </w:r>
    </w:p>
    <w:p w14:paraId="6D2A9066">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14.2.4承包人未按14.1约定时间提交完整的竣工结算书及相关资料的，违约金的计算方法为：</w:t>
      </w:r>
      <w:r>
        <w:rPr>
          <w:rFonts w:hint="eastAsia" w:ascii="宋体" w:hAnsi="宋体" w:eastAsia="宋体" w:cs="宋体"/>
          <w:b/>
          <w:bCs/>
          <w:color w:val="auto"/>
          <w:sz w:val="24"/>
          <w:highlight w:val="none"/>
          <w:u w:val="single"/>
        </w:rPr>
        <w:t>每延误一天扣罚合同总价千分之五，直至扣完合同总价剩余款项为止</w:t>
      </w:r>
      <w:r>
        <w:rPr>
          <w:rFonts w:hint="eastAsia" w:ascii="宋体" w:hAnsi="宋体" w:eastAsia="宋体" w:cs="宋体"/>
          <w:color w:val="auto"/>
          <w:sz w:val="24"/>
          <w:highlight w:val="none"/>
        </w:rPr>
        <w:t>。</w:t>
      </w:r>
    </w:p>
    <w:p w14:paraId="14F27D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14.4最终结清</w:t>
      </w:r>
    </w:p>
    <w:p w14:paraId="35BB3B1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14.4.1最终结清申请单</w:t>
      </w:r>
    </w:p>
    <w:p w14:paraId="6AD6C87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承包人提交最终结清申请单的份数：</w:t>
      </w:r>
      <w:r>
        <w:rPr>
          <w:rFonts w:hint="eastAsia" w:ascii="宋体" w:hAnsi="宋体" w:eastAsia="宋体" w:cs="宋体"/>
          <w:b/>
          <w:bCs/>
          <w:color w:val="auto"/>
          <w:sz w:val="24"/>
          <w:highlight w:val="none"/>
          <w:u w:val="single"/>
        </w:rPr>
        <w:t xml:space="preserve">  两份 </w:t>
      </w:r>
    </w:p>
    <w:p w14:paraId="4CD507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承包人提交最终结算申请单的期限：</w:t>
      </w:r>
      <w:r>
        <w:rPr>
          <w:rFonts w:hint="eastAsia" w:ascii="宋体" w:hAnsi="宋体" w:eastAsia="宋体" w:cs="宋体"/>
          <w:b/>
          <w:bCs/>
          <w:color w:val="auto"/>
          <w:sz w:val="24"/>
          <w:highlight w:val="none"/>
          <w:u w:val="single"/>
        </w:rPr>
        <w:t xml:space="preserve">保修期满后7天内 </w:t>
      </w:r>
    </w:p>
    <w:p w14:paraId="239EA7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14.4.2 最终结清证书和支付</w:t>
      </w:r>
    </w:p>
    <w:p w14:paraId="189A47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（1）发包人完成最终结清申请单的审批并颁发最终结清证书的期限：</w:t>
      </w:r>
      <w:r>
        <w:rPr>
          <w:rFonts w:hint="eastAsia" w:ascii="宋体" w:hAnsi="宋体" w:eastAsia="宋体" w:cs="宋体"/>
          <w:b/>
          <w:bCs/>
          <w:color w:val="auto"/>
          <w:sz w:val="24"/>
          <w:highlight w:val="none"/>
          <w:u w:val="single"/>
        </w:rPr>
        <w:t>收到最终结清申请单后30天内。</w:t>
      </w:r>
    </w:p>
    <w:p w14:paraId="71AF92B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（2）发包人完成支付的期限：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79C8C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15、缺陷责任期与保修</w:t>
      </w:r>
    </w:p>
    <w:p w14:paraId="4BD7A2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15.2缺陷责任期</w:t>
      </w:r>
    </w:p>
    <w:p w14:paraId="2A8EC8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42BD31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15.3质量保证金</w:t>
      </w:r>
    </w:p>
    <w:p w14:paraId="6F11E30C">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关于是否扣留质量保证金的约定：</w:t>
      </w:r>
      <w:r>
        <w:rPr>
          <w:rFonts w:hint="eastAsia" w:ascii="宋体" w:hAnsi="宋体" w:eastAsia="宋体" w:cs="宋体"/>
          <w:b/>
          <w:bCs/>
          <w:color w:val="auto"/>
          <w:sz w:val="24"/>
          <w:highlight w:val="none"/>
          <w:u w:val="single"/>
        </w:rPr>
        <w:t>是</w:t>
      </w:r>
    </w:p>
    <w:p w14:paraId="1C40486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 xml:space="preserve">15.3.1 </w:t>
      </w:r>
      <w:r>
        <w:rPr>
          <w:rFonts w:hint="eastAsia" w:ascii="宋体" w:hAnsi="宋体" w:eastAsia="宋体" w:cs="宋体"/>
          <w:color w:val="auto"/>
          <w:sz w:val="24"/>
          <w:highlight w:val="none"/>
        </w:rPr>
        <w:t>质量保证金采用以下</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的方式。</w:t>
      </w:r>
    </w:p>
    <w:p w14:paraId="69279493">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（1）质量保证金保函，保证金额为：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2E7BCBD5">
      <w:pPr>
        <w:autoSpaceDE w:val="0"/>
        <w:autoSpaceDN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sz w:val="24"/>
          <w:highlight w:val="none"/>
          <w:u w:val="single"/>
        </w:rPr>
        <w:t>/</w:t>
      </w:r>
    </w:p>
    <w:p w14:paraId="5E476A97">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结算审核确认价的1.5%作为质量保证金(以银行转账或银行保函形式)</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 xml:space="preserve"> </w:t>
      </w:r>
    </w:p>
    <w:p w14:paraId="74D116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15.3.2 质量保证金的扣留 </w:t>
      </w:r>
    </w:p>
    <w:p w14:paraId="144F3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质量保证金的扣留采取以下第</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种方式：</w:t>
      </w:r>
    </w:p>
    <w:p w14:paraId="3F136B6C">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670CF017">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（2）工程竣工结算时一次性扣留质量保证金；</w:t>
      </w:r>
    </w:p>
    <w:p w14:paraId="766384BC">
      <w:pPr>
        <w:autoSpaceDE w:val="0"/>
        <w:autoSpaceDN w:val="0"/>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（3）其他扣留方式：</w:t>
      </w:r>
      <w:r>
        <w:rPr>
          <w:rFonts w:hint="eastAsia" w:ascii="宋体" w:hAnsi="宋体" w:eastAsia="宋体" w:cs="宋体"/>
          <w:color w:val="auto"/>
          <w:sz w:val="24"/>
          <w:highlight w:val="none"/>
          <w:u w:val="single"/>
        </w:rPr>
        <w:t>工程竣工，结算审核完成后，由承包人直接转账至发包人账户</w:t>
      </w:r>
      <w:r>
        <w:rPr>
          <w:rFonts w:hint="eastAsia" w:ascii="宋体" w:hAnsi="宋体" w:eastAsia="宋体" w:cs="宋体"/>
          <w:color w:val="auto"/>
          <w:kern w:val="0"/>
          <w:sz w:val="24"/>
          <w:highlight w:val="none"/>
          <w:u w:val="single"/>
        </w:rPr>
        <w:t>。</w:t>
      </w:r>
    </w:p>
    <w:p w14:paraId="62E80D17">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关于质量保证金的补充约定：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7B4B21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15.4保修</w:t>
      </w:r>
    </w:p>
    <w:p w14:paraId="0C576F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15.4.1保修责任</w:t>
      </w:r>
    </w:p>
    <w:p w14:paraId="1164B9BD">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工程保修期为：</w:t>
      </w:r>
      <w:r>
        <w:rPr>
          <w:rFonts w:hint="eastAsia" w:ascii="宋体" w:hAnsi="宋体" w:eastAsia="宋体" w:cs="宋体"/>
          <w:b/>
          <w:bCs/>
          <w:color w:val="auto"/>
          <w:kern w:val="0"/>
          <w:sz w:val="24"/>
          <w:highlight w:val="none"/>
          <w:u w:val="single"/>
        </w:rPr>
        <w:t xml:space="preserve">  详见《工程质量保修书》</w:t>
      </w:r>
      <w:r>
        <w:rPr>
          <w:rFonts w:hint="eastAsia" w:ascii="宋体" w:hAnsi="宋体" w:eastAsia="宋体" w:cs="宋体"/>
          <w:color w:val="auto"/>
          <w:kern w:val="0"/>
          <w:sz w:val="24"/>
          <w:highlight w:val="none"/>
          <w:u w:val="single"/>
        </w:rPr>
        <w:t>。</w:t>
      </w:r>
    </w:p>
    <w:p w14:paraId="603632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15.4.3修复通知</w:t>
      </w:r>
    </w:p>
    <w:p w14:paraId="1A372E85">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承包人收到保修通知并到达工程现场的合理时间：</w:t>
      </w:r>
      <w:r>
        <w:rPr>
          <w:rFonts w:hint="eastAsia" w:ascii="宋体" w:hAnsi="宋体" w:eastAsia="宋体" w:cs="宋体"/>
          <w:b/>
          <w:bCs/>
          <w:color w:val="auto"/>
          <w:kern w:val="0"/>
          <w:sz w:val="24"/>
          <w:highlight w:val="none"/>
          <w:u w:val="single"/>
        </w:rPr>
        <w:t xml:space="preserve"> 24小时内</w:t>
      </w:r>
      <w:r>
        <w:rPr>
          <w:rFonts w:hint="eastAsia" w:ascii="宋体" w:hAnsi="宋体" w:eastAsia="宋体" w:cs="宋体"/>
          <w:color w:val="auto"/>
          <w:kern w:val="0"/>
          <w:sz w:val="24"/>
          <w:highlight w:val="none"/>
          <w:u w:val="single"/>
        </w:rPr>
        <w:t>。</w:t>
      </w:r>
    </w:p>
    <w:p w14:paraId="52006D2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16、违约</w:t>
      </w:r>
    </w:p>
    <w:p w14:paraId="756813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16.1发包人违约</w:t>
      </w:r>
    </w:p>
    <w:p w14:paraId="34C33D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16.1.1发包人违约的情形</w:t>
      </w:r>
    </w:p>
    <w:p w14:paraId="410BD481">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发包人违约的其他情形：</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7DE42C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16.1.2 发包人违约的责任</w:t>
      </w:r>
    </w:p>
    <w:p w14:paraId="3585A00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发包人违约责任的承担方式和计算方法：</w:t>
      </w:r>
    </w:p>
    <w:p w14:paraId="625A1792">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（1）因发包人原因未能在计划开工日期前7天内下达开工通知的违约责任：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54717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0367072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228B2EC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508F4610">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（5）因发包人违反合同约定造成暂停施工的违约责任：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237FBA9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7626FAF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（7）其他：</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5076BF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16.1.3 因发包人违约解除合同</w:t>
      </w:r>
    </w:p>
    <w:p w14:paraId="768D4B16">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承包人按16.1.1项〔发包人违约的情形〕约定暂停施工满</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天后发包人仍不纠正其违约行为并致使合同目的不能实现的，承包人有权解除合同。</w:t>
      </w:r>
    </w:p>
    <w:p w14:paraId="25868F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承包人违约</w:t>
      </w:r>
    </w:p>
    <w:p w14:paraId="3640675B">
      <w:pPr>
        <w:spacing w:line="360" w:lineRule="auto"/>
        <w:ind w:firstLine="480" w:firstLineChars="200"/>
        <w:rPr>
          <w:rFonts w:hint="eastAsia" w:ascii="宋体" w:hAnsi="宋体" w:eastAsia="宋体" w:cs="宋体"/>
          <w:strike/>
          <w:color w:val="auto"/>
          <w:kern w:val="0"/>
          <w:sz w:val="24"/>
          <w:highlight w:val="none"/>
        </w:rPr>
      </w:pPr>
      <w:r>
        <w:rPr>
          <w:rFonts w:hint="eastAsia" w:ascii="宋体" w:hAnsi="宋体" w:eastAsia="宋体" w:cs="宋体"/>
          <w:color w:val="auto"/>
          <w:kern w:val="0"/>
          <w:sz w:val="24"/>
          <w:highlight w:val="none"/>
        </w:rPr>
        <w:t xml:space="preserve">16.2.1 承包人违约的情形 </w:t>
      </w:r>
    </w:p>
    <w:p w14:paraId="5FC9E86C">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承包人违约的其他情形：</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5FE653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16.2.2承包人违约的责任</w:t>
      </w:r>
    </w:p>
    <w:p w14:paraId="221753B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highlight w:val="none"/>
        </w:rPr>
        <w:t>承包人违约责任的承担方式和计算方法：</w:t>
      </w:r>
      <w:r>
        <w:rPr>
          <w:rFonts w:hint="eastAsia" w:ascii="宋体" w:hAnsi="宋体" w:eastAsia="宋体" w:cs="宋体"/>
          <w:b/>
          <w:bCs/>
          <w:color w:val="auto"/>
          <w:sz w:val="24"/>
          <w:highlight w:val="none"/>
          <w:u w:val="single"/>
        </w:rPr>
        <w:t xml:space="preserve">                                      </w:t>
      </w:r>
    </w:p>
    <w:p w14:paraId="73F2A4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16.2.3 因承包人违约解除合同</w:t>
      </w:r>
    </w:p>
    <w:p w14:paraId="3E9E0F0E">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关于承包人违约解除合同的特别约定：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50B46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30A8E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17、不可抗力 </w:t>
      </w:r>
    </w:p>
    <w:p w14:paraId="370ABB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17.1不可抗力的确认</w:t>
      </w:r>
    </w:p>
    <w:p w14:paraId="31C89510">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除通用合同条款约定的不可抗力事件之外，视为不可抗力的其他情形：</w:t>
      </w:r>
      <w:r>
        <w:rPr>
          <w:rFonts w:hint="eastAsia" w:ascii="宋体" w:hAnsi="宋体" w:eastAsia="宋体" w:cs="宋体"/>
          <w:b/>
          <w:bCs/>
          <w:color w:val="auto"/>
          <w:sz w:val="24"/>
          <w:highlight w:val="none"/>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eastAsia="宋体" w:cs="宋体"/>
          <w:b/>
          <w:bCs/>
          <w:color w:val="auto"/>
          <w:kern w:val="0"/>
          <w:sz w:val="24"/>
          <w:highlight w:val="none"/>
        </w:rPr>
        <w:t>。</w:t>
      </w:r>
    </w:p>
    <w:p w14:paraId="770B66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17.4因不可抗力解除合同</w:t>
      </w:r>
    </w:p>
    <w:p w14:paraId="0B56AF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合同解除后，发包人应在商定或确定发包人应支付款项后</w:t>
      </w:r>
      <w:r>
        <w:rPr>
          <w:rFonts w:hint="eastAsia" w:ascii="宋体" w:hAnsi="宋体" w:eastAsia="宋体" w:cs="宋体"/>
          <w:color w:val="auto"/>
          <w:sz w:val="24"/>
          <w:highlight w:val="none"/>
          <w:u w:val="single"/>
        </w:rPr>
        <w:t>28</w:t>
      </w:r>
      <w:r>
        <w:rPr>
          <w:rFonts w:hint="eastAsia" w:ascii="宋体" w:hAnsi="宋体" w:eastAsia="宋体" w:cs="宋体"/>
          <w:color w:val="auto"/>
          <w:sz w:val="24"/>
          <w:highlight w:val="none"/>
        </w:rPr>
        <w:t xml:space="preserve">天内完成款项的支付。 </w:t>
      </w:r>
    </w:p>
    <w:p w14:paraId="178583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18、保险</w:t>
      </w:r>
    </w:p>
    <w:p w14:paraId="7809E5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18.1工程保险</w:t>
      </w:r>
    </w:p>
    <w:p w14:paraId="2EAACE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关于工程保险的特别约定：</w:t>
      </w:r>
      <w:r>
        <w:rPr>
          <w:rFonts w:hint="eastAsia" w:ascii="宋体" w:hAnsi="宋体" w:eastAsia="宋体" w:cs="宋体"/>
          <w:b/>
          <w:bCs/>
          <w:color w:val="auto"/>
          <w:kern w:val="0"/>
          <w:sz w:val="24"/>
          <w:highlight w:val="none"/>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eastAsia="宋体" w:cs="宋体"/>
          <w:color w:val="auto"/>
          <w:kern w:val="0"/>
          <w:sz w:val="24"/>
          <w:highlight w:val="none"/>
        </w:rPr>
        <w:t>。</w:t>
      </w:r>
    </w:p>
    <w:p w14:paraId="69BC85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18.3其他保险</w:t>
      </w:r>
    </w:p>
    <w:p w14:paraId="0054C2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关于其他保险的约定：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4EAE364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承包人是否应为其施工设备等办理财产保险：</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C64E7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18.7通知义务</w:t>
      </w:r>
    </w:p>
    <w:p w14:paraId="160E700D">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关于变更保险合同时的通知义务的约定：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2ED72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20、争议解决</w:t>
      </w:r>
    </w:p>
    <w:p w14:paraId="2A4C63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20.3争议评审</w:t>
      </w:r>
    </w:p>
    <w:p w14:paraId="4F8FD2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合同当事人是否同意将工程争议提交争议评审小组决定：</w:t>
      </w:r>
      <w:r>
        <w:rPr>
          <w:rFonts w:hint="eastAsia" w:ascii="宋体" w:hAnsi="宋体" w:eastAsia="宋体" w:cs="宋体"/>
          <w:b/>
          <w:bCs/>
          <w:color w:val="auto"/>
          <w:sz w:val="24"/>
          <w:highlight w:val="none"/>
          <w:u w:val="single"/>
        </w:rPr>
        <w:t>不同意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w:t>
      </w:r>
    </w:p>
    <w:p w14:paraId="5B92DF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20.3.1争议评审小组的确定</w:t>
      </w:r>
    </w:p>
    <w:p w14:paraId="2C835D7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争议评审小组成员的确定：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6A4BD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选定争议评审员的期限：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917DD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争议评审小组成员的报酬承担方式：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397A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B926C48">
      <w:pPr>
        <w:autoSpaceDE w:val="0"/>
        <w:autoSpaceDN w:val="0"/>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20.3.2争议评审小组的决定</w:t>
      </w:r>
    </w:p>
    <w:p w14:paraId="4B50D2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合同当事人关于本项的约定：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6B422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20.4仲裁或诉讼</w:t>
      </w:r>
    </w:p>
    <w:p w14:paraId="778BE2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因合同及合同有关事项发生的争议，双方当事人一致同意按下列解决方式中第</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4C76AF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提交 / 仲裁委员会申请仲裁</w:t>
      </w:r>
      <w:r>
        <w:rPr>
          <w:rFonts w:hint="eastAsia" w:ascii="宋体" w:hAnsi="宋体" w:eastAsia="宋体" w:cs="宋体"/>
          <w:color w:val="auto"/>
          <w:sz w:val="24"/>
          <w:highlight w:val="none"/>
        </w:rPr>
        <w:t>；</w:t>
      </w:r>
    </w:p>
    <w:p w14:paraId="004995E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u w:val="single"/>
        </w:rPr>
        <w:t>依法向 工程所在地 人民法院起诉</w:t>
      </w:r>
      <w:r>
        <w:rPr>
          <w:rFonts w:hint="eastAsia" w:ascii="宋体" w:hAnsi="宋体" w:eastAsia="宋体" w:cs="宋体"/>
          <w:color w:val="auto"/>
          <w:sz w:val="24"/>
          <w:highlight w:val="none"/>
        </w:rPr>
        <w:t>。</w:t>
      </w:r>
    </w:p>
    <w:p w14:paraId="2207E24F">
      <w:pPr>
        <w:spacing w:line="360" w:lineRule="auto"/>
        <w:ind w:firstLine="480" w:firstLineChars="20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21、其他补充事项的约定：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2381B70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p w14:paraId="425891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协议书附件：</w:t>
      </w:r>
    </w:p>
    <w:p w14:paraId="5ADED0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附件1：承包人承揽工程项目一览表</w:t>
      </w:r>
    </w:p>
    <w:p w14:paraId="30FDF6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专用合同条款附件：</w:t>
      </w:r>
    </w:p>
    <w:p w14:paraId="19E99A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附件2：发包人供应材料设备一览表</w:t>
      </w:r>
    </w:p>
    <w:p w14:paraId="31D361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附件3：工程质量保修书</w:t>
      </w:r>
    </w:p>
    <w:p w14:paraId="1560F5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附件4：主要建设工程文件目录</w:t>
      </w:r>
    </w:p>
    <w:p w14:paraId="43BADE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附件5：承包人用于本工程施工的机械设备表</w:t>
      </w:r>
    </w:p>
    <w:p w14:paraId="72F1E3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附件6：承包人主要施工管理人员表</w:t>
      </w:r>
    </w:p>
    <w:p w14:paraId="449ED7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附件7：分包人主要施工管理人员表</w:t>
      </w:r>
    </w:p>
    <w:p w14:paraId="1CC351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附件8：履约担保格式</w:t>
      </w:r>
    </w:p>
    <w:p w14:paraId="0C11A1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附件9：预付款担保格式</w:t>
      </w:r>
    </w:p>
    <w:p w14:paraId="1B76385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附件10：支付担保格式</w:t>
      </w:r>
      <w:r>
        <w:rPr>
          <w:rFonts w:hint="eastAsia" w:ascii="宋体" w:hAnsi="宋体" w:eastAsia="宋体" w:cs="宋体"/>
          <w:b/>
          <w:color w:val="auto"/>
          <w:sz w:val="24"/>
          <w:highlight w:val="none"/>
        </w:rPr>
        <w:t>（财政性投资项目按相关规定执行）</w:t>
      </w:r>
    </w:p>
    <w:p w14:paraId="215CE8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附件11：暂估价一览表</w:t>
      </w:r>
    </w:p>
    <w:p w14:paraId="544978EC">
      <w:pPr>
        <w:spacing w:line="360" w:lineRule="auto"/>
        <w:jc w:val="left"/>
        <w:rPr>
          <w:rFonts w:hint="eastAsia" w:ascii="宋体" w:hAnsi="宋体" w:eastAsia="宋体" w:cs="宋体"/>
          <w:color w:val="auto"/>
          <w:szCs w:val="21"/>
          <w:highlight w:val="none"/>
        </w:rPr>
        <w:sectPr>
          <w:headerReference r:id="rId8" w:type="first"/>
          <w:footerReference r:id="rId11" w:type="first"/>
          <w:headerReference r:id="rId7" w:type="default"/>
          <w:footerReference r:id="rId9" w:type="default"/>
          <w:footerReference r:id="rId10" w:type="even"/>
          <w:pgSz w:w="11906" w:h="16838"/>
          <w:pgMar w:top="1418" w:right="1555" w:bottom="1418" w:left="1531" w:header="851" w:footer="992" w:gutter="0"/>
          <w:cols w:space="720" w:num="1"/>
          <w:titlePg/>
          <w:docGrid w:type="lines" w:linePitch="312" w:charSpace="0"/>
        </w:sectPr>
      </w:pPr>
    </w:p>
    <w:p w14:paraId="21B0D904">
      <w:pPr>
        <w:spacing w:before="156" w:beforeLines="50" w:after="156" w:afterLines="50"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w:t>
      </w:r>
    </w:p>
    <w:p w14:paraId="18823BC8">
      <w:pPr>
        <w:spacing w:before="156" w:beforeLines="50" w:after="156"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承包人承揽工程项目一览表</w:t>
      </w:r>
    </w:p>
    <w:tbl>
      <w:tblPr>
        <w:tblStyle w:val="6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1C33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73C2C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单位工程名称</w:t>
            </w:r>
          </w:p>
        </w:tc>
        <w:tc>
          <w:tcPr>
            <w:tcW w:w="1843" w:type="dxa"/>
            <w:tcBorders>
              <w:top w:val="single" w:color="auto" w:sz="12" w:space="0"/>
              <w:bottom w:val="double" w:color="auto" w:sz="6" w:space="0"/>
            </w:tcBorders>
            <w:vAlign w:val="center"/>
          </w:tcPr>
          <w:p w14:paraId="3A849B0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建设规模</w:t>
            </w:r>
          </w:p>
        </w:tc>
        <w:tc>
          <w:tcPr>
            <w:tcW w:w="1417" w:type="dxa"/>
            <w:tcBorders>
              <w:top w:val="single" w:color="auto" w:sz="12" w:space="0"/>
              <w:bottom w:val="double" w:color="auto" w:sz="6" w:space="0"/>
            </w:tcBorders>
            <w:vAlign w:val="center"/>
          </w:tcPr>
          <w:p w14:paraId="0C3BEB3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建筑面积(m2)</w:t>
            </w:r>
          </w:p>
        </w:tc>
        <w:tc>
          <w:tcPr>
            <w:tcW w:w="2410" w:type="dxa"/>
            <w:tcBorders>
              <w:top w:val="single" w:color="auto" w:sz="12" w:space="0"/>
              <w:bottom w:val="double" w:color="auto" w:sz="6" w:space="0"/>
            </w:tcBorders>
            <w:vAlign w:val="center"/>
          </w:tcPr>
          <w:p w14:paraId="71BB02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结构形式</w:t>
            </w:r>
          </w:p>
        </w:tc>
        <w:tc>
          <w:tcPr>
            <w:tcW w:w="850" w:type="dxa"/>
            <w:tcBorders>
              <w:top w:val="single" w:color="auto" w:sz="12" w:space="0"/>
              <w:bottom w:val="double" w:color="auto" w:sz="6" w:space="0"/>
            </w:tcBorders>
            <w:vAlign w:val="center"/>
          </w:tcPr>
          <w:p w14:paraId="2E54511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层数</w:t>
            </w:r>
          </w:p>
        </w:tc>
        <w:tc>
          <w:tcPr>
            <w:tcW w:w="1560" w:type="dxa"/>
            <w:tcBorders>
              <w:top w:val="single" w:color="auto" w:sz="12" w:space="0"/>
              <w:bottom w:val="double" w:color="auto" w:sz="6" w:space="0"/>
            </w:tcBorders>
            <w:vAlign w:val="center"/>
          </w:tcPr>
          <w:p w14:paraId="73B6ADD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生产能力</w:t>
            </w:r>
          </w:p>
        </w:tc>
        <w:tc>
          <w:tcPr>
            <w:tcW w:w="2126" w:type="dxa"/>
            <w:tcBorders>
              <w:top w:val="single" w:color="auto" w:sz="12" w:space="0"/>
              <w:bottom w:val="double" w:color="auto" w:sz="6" w:space="0"/>
            </w:tcBorders>
            <w:vAlign w:val="center"/>
          </w:tcPr>
          <w:p w14:paraId="4238524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设备安装内容</w:t>
            </w:r>
          </w:p>
        </w:tc>
        <w:tc>
          <w:tcPr>
            <w:tcW w:w="1417" w:type="dxa"/>
            <w:tcBorders>
              <w:top w:val="single" w:color="auto" w:sz="12" w:space="0"/>
              <w:bottom w:val="double" w:color="auto" w:sz="6" w:space="0"/>
            </w:tcBorders>
            <w:vAlign w:val="center"/>
          </w:tcPr>
          <w:p w14:paraId="05B905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合同价格（元）</w:t>
            </w:r>
          </w:p>
        </w:tc>
        <w:tc>
          <w:tcPr>
            <w:tcW w:w="851" w:type="dxa"/>
            <w:tcBorders>
              <w:top w:val="single" w:color="auto" w:sz="12" w:space="0"/>
              <w:bottom w:val="double" w:color="auto" w:sz="6" w:space="0"/>
            </w:tcBorders>
            <w:vAlign w:val="center"/>
          </w:tcPr>
          <w:p w14:paraId="2610D5D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开工日期</w:t>
            </w:r>
          </w:p>
        </w:tc>
        <w:tc>
          <w:tcPr>
            <w:tcW w:w="850" w:type="dxa"/>
            <w:tcBorders>
              <w:top w:val="single" w:color="auto" w:sz="12" w:space="0"/>
              <w:bottom w:val="double" w:color="auto" w:sz="6" w:space="0"/>
            </w:tcBorders>
            <w:vAlign w:val="center"/>
          </w:tcPr>
          <w:p w14:paraId="6EE8BD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竣工日期</w:t>
            </w:r>
          </w:p>
        </w:tc>
      </w:tr>
      <w:tr w14:paraId="5F2A2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A4245C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double" w:color="auto" w:sz="6" w:space="0"/>
              <w:bottom w:val="single" w:color="auto" w:sz="6" w:space="0"/>
            </w:tcBorders>
            <w:vAlign w:val="center"/>
          </w:tcPr>
          <w:p w14:paraId="0B7B34C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double" w:color="auto" w:sz="6" w:space="0"/>
              <w:bottom w:val="single" w:color="auto" w:sz="6" w:space="0"/>
            </w:tcBorders>
            <w:vAlign w:val="center"/>
          </w:tcPr>
          <w:p w14:paraId="10A3FE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double" w:color="auto" w:sz="6" w:space="0"/>
              <w:bottom w:val="single" w:color="auto" w:sz="6" w:space="0"/>
            </w:tcBorders>
            <w:vAlign w:val="center"/>
          </w:tcPr>
          <w:p w14:paraId="7E6355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double" w:color="auto" w:sz="6" w:space="0"/>
              <w:bottom w:val="single" w:color="auto" w:sz="6" w:space="0"/>
            </w:tcBorders>
            <w:vAlign w:val="center"/>
          </w:tcPr>
          <w:p w14:paraId="43D64C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double" w:color="auto" w:sz="6" w:space="0"/>
              <w:bottom w:val="single" w:color="auto" w:sz="6" w:space="0"/>
            </w:tcBorders>
            <w:vAlign w:val="center"/>
          </w:tcPr>
          <w:p w14:paraId="0F3741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double" w:color="auto" w:sz="6" w:space="0"/>
              <w:bottom w:val="single" w:color="auto" w:sz="6" w:space="0"/>
            </w:tcBorders>
            <w:vAlign w:val="center"/>
          </w:tcPr>
          <w:p w14:paraId="55E75B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double" w:color="auto" w:sz="6" w:space="0"/>
              <w:bottom w:val="single" w:color="auto" w:sz="6" w:space="0"/>
            </w:tcBorders>
            <w:vAlign w:val="center"/>
          </w:tcPr>
          <w:p w14:paraId="27B8077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vAlign w:val="center"/>
          </w:tcPr>
          <w:p w14:paraId="5A02CF2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double" w:color="auto" w:sz="6" w:space="0"/>
              <w:bottom w:val="single" w:color="auto" w:sz="6" w:space="0"/>
            </w:tcBorders>
            <w:vAlign w:val="center"/>
          </w:tcPr>
          <w:p w14:paraId="38D1AE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C1E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00E5C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720371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0932FC2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040137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3DC1757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41C4F2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3B89E5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342CE5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3979A9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0B59B91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4491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C546A0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1D752BB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331B181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317934C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11EA962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6F8E2F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3CC7E8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5C3BAC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7857D5D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5CB3AE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03CC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3323F4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29B2969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43479B6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2D21D75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064F40C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29741A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662E8F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234887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307A715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645A88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007D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72107B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0931653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470431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06EA773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BEBB8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4D165E1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6E255A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2A18286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7BD30CE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AA2BBB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0CAD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77C030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7B8D311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72A0DE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208B69F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1F6DF25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57F6CE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326AFD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4D90E1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A2042A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52AAE2C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59F7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09DFB5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47BF0B4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072142C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220BA7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3427D59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7738F37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5EE1FE1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1EDE9A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5CDB919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E6C8E6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9574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0E2D55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791F133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3831100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4D41B24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C61AC7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7A22BE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21E8A5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7519E9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7E14BA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7C54B95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F816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34ADA5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69A7D61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66CCDB9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5C1119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1703A87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02619CE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75CCA64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4712D3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38531A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6726330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B195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1D0F19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27D029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77DEC8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38BAD17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720379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0A5B31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679715F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2A322F1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6244A1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7E04D9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07F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71DC7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0C79EE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3CB80A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7B783E2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4EF5FE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4E22A0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217587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34D1A5A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69CC822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65AA22D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0C511C6A">
      <w:pPr>
        <w:spacing w:line="440" w:lineRule="exact"/>
        <w:rPr>
          <w:rFonts w:hint="eastAsia" w:ascii="宋体" w:hAnsi="宋体" w:eastAsia="宋体" w:cs="宋体"/>
          <w:b/>
          <w:color w:val="auto"/>
          <w:sz w:val="24"/>
          <w:highlight w:val="none"/>
        </w:rPr>
        <w:sectPr>
          <w:pgSz w:w="16838" w:h="11906" w:orient="landscape"/>
          <w:pgMar w:top="1135" w:right="1418" w:bottom="1531" w:left="1418" w:header="851" w:footer="992" w:gutter="0"/>
          <w:cols w:space="720" w:num="1"/>
          <w:titlePg/>
          <w:docGrid w:type="linesAndChars" w:linePitch="312" w:charSpace="0"/>
        </w:sectPr>
      </w:pPr>
    </w:p>
    <w:p w14:paraId="1EBBBC1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w:t>
      </w:r>
    </w:p>
    <w:p w14:paraId="232A9C70">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发包人供应材料设备一览表</w:t>
      </w:r>
    </w:p>
    <w:tbl>
      <w:tblPr>
        <w:tblStyle w:val="64"/>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287A3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34C03A5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276" w:type="dxa"/>
            <w:tcBorders>
              <w:top w:val="single" w:color="auto" w:sz="12" w:space="0"/>
              <w:bottom w:val="double" w:color="auto" w:sz="6" w:space="0"/>
            </w:tcBorders>
            <w:vAlign w:val="center"/>
          </w:tcPr>
          <w:p w14:paraId="4D8C258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  材料、</w:t>
            </w:r>
          </w:p>
          <w:p w14:paraId="14879B49">
            <w:pPr>
              <w:pStyle w:val="25"/>
              <w:keepNext/>
              <w:keepLines w:val="0"/>
              <w:suppressLineNumbers w:val="0"/>
              <w:spacing w:before="0" w:beforeAutospacing="0" w:afterAutospacing="0" w:line="440" w:lineRule="exact"/>
              <w:ind w:left="0"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设备品种</w:t>
            </w:r>
          </w:p>
        </w:tc>
        <w:tc>
          <w:tcPr>
            <w:tcW w:w="1162" w:type="dxa"/>
            <w:tcBorders>
              <w:top w:val="single" w:color="auto" w:sz="12" w:space="0"/>
              <w:bottom w:val="double" w:color="auto" w:sz="6" w:space="0"/>
            </w:tcBorders>
            <w:vAlign w:val="center"/>
          </w:tcPr>
          <w:p w14:paraId="315CF5B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规格型号</w:t>
            </w:r>
          </w:p>
        </w:tc>
        <w:tc>
          <w:tcPr>
            <w:tcW w:w="940" w:type="dxa"/>
            <w:tcBorders>
              <w:top w:val="single" w:color="auto" w:sz="12" w:space="0"/>
              <w:bottom w:val="double" w:color="auto" w:sz="6" w:space="0"/>
            </w:tcBorders>
            <w:vAlign w:val="center"/>
          </w:tcPr>
          <w:p w14:paraId="564A6DA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851" w:type="dxa"/>
            <w:tcBorders>
              <w:top w:val="single" w:color="auto" w:sz="12" w:space="0"/>
              <w:bottom w:val="double" w:color="auto" w:sz="6" w:space="0"/>
            </w:tcBorders>
            <w:vAlign w:val="center"/>
          </w:tcPr>
          <w:p w14:paraId="005D7E2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044" w:type="dxa"/>
            <w:tcBorders>
              <w:top w:val="single" w:color="auto" w:sz="12" w:space="0"/>
              <w:bottom w:val="double" w:color="auto" w:sz="6" w:space="0"/>
            </w:tcBorders>
            <w:vAlign w:val="center"/>
          </w:tcPr>
          <w:p w14:paraId="1DBD79E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731" w:type="dxa"/>
            <w:tcBorders>
              <w:top w:val="single" w:color="auto" w:sz="12" w:space="0"/>
              <w:bottom w:val="double" w:color="auto" w:sz="6" w:space="0"/>
            </w:tcBorders>
            <w:vAlign w:val="center"/>
          </w:tcPr>
          <w:p w14:paraId="08F993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质量等级</w:t>
            </w:r>
          </w:p>
        </w:tc>
        <w:tc>
          <w:tcPr>
            <w:tcW w:w="851" w:type="dxa"/>
            <w:tcBorders>
              <w:top w:val="single" w:color="auto" w:sz="12" w:space="0"/>
              <w:bottom w:val="double" w:color="auto" w:sz="6" w:space="0"/>
            </w:tcBorders>
            <w:vAlign w:val="center"/>
          </w:tcPr>
          <w:p w14:paraId="698FA61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供应时间</w:t>
            </w:r>
          </w:p>
        </w:tc>
        <w:tc>
          <w:tcPr>
            <w:tcW w:w="1314" w:type="dxa"/>
            <w:tcBorders>
              <w:top w:val="single" w:color="auto" w:sz="12" w:space="0"/>
              <w:bottom w:val="double" w:color="auto" w:sz="6" w:space="0"/>
            </w:tcBorders>
            <w:vAlign w:val="center"/>
          </w:tcPr>
          <w:p w14:paraId="46E3DFE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送达地点</w:t>
            </w:r>
          </w:p>
        </w:tc>
        <w:tc>
          <w:tcPr>
            <w:tcW w:w="730" w:type="dxa"/>
            <w:tcBorders>
              <w:top w:val="single" w:color="auto" w:sz="12" w:space="0"/>
              <w:bottom w:val="double" w:color="auto" w:sz="6" w:space="0"/>
            </w:tcBorders>
            <w:vAlign w:val="center"/>
          </w:tcPr>
          <w:p w14:paraId="2F10899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71506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7387AB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double" w:color="auto" w:sz="6" w:space="0"/>
              <w:bottom w:val="single" w:color="auto" w:sz="6" w:space="0"/>
            </w:tcBorders>
            <w:vAlign w:val="center"/>
          </w:tcPr>
          <w:p w14:paraId="36BDB4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tcBorders>
              <w:top w:val="double" w:color="auto" w:sz="6" w:space="0"/>
              <w:bottom w:val="single" w:color="auto" w:sz="6" w:space="0"/>
            </w:tcBorders>
            <w:vAlign w:val="center"/>
          </w:tcPr>
          <w:p w14:paraId="26C97C5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tcBorders>
              <w:top w:val="double" w:color="auto" w:sz="6" w:space="0"/>
              <w:bottom w:val="single" w:color="auto" w:sz="6" w:space="0"/>
            </w:tcBorders>
            <w:vAlign w:val="center"/>
          </w:tcPr>
          <w:p w14:paraId="1AB4A6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vAlign w:val="center"/>
          </w:tcPr>
          <w:p w14:paraId="1F69DD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tcBorders>
              <w:top w:val="double" w:color="auto" w:sz="6" w:space="0"/>
              <w:bottom w:val="single" w:color="auto" w:sz="6" w:space="0"/>
            </w:tcBorders>
            <w:vAlign w:val="center"/>
          </w:tcPr>
          <w:p w14:paraId="3B720E0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tcBorders>
              <w:top w:val="double" w:color="auto" w:sz="6" w:space="0"/>
              <w:bottom w:val="single" w:color="auto" w:sz="6" w:space="0"/>
            </w:tcBorders>
            <w:vAlign w:val="center"/>
          </w:tcPr>
          <w:p w14:paraId="2191F89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vAlign w:val="center"/>
          </w:tcPr>
          <w:p w14:paraId="77FA99F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tcBorders>
              <w:top w:val="double" w:color="auto" w:sz="6" w:space="0"/>
              <w:bottom w:val="single" w:color="auto" w:sz="6" w:space="0"/>
            </w:tcBorders>
            <w:vAlign w:val="center"/>
          </w:tcPr>
          <w:p w14:paraId="63F15BC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tcBorders>
              <w:top w:val="double" w:color="auto" w:sz="6" w:space="0"/>
              <w:bottom w:val="single" w:color="auto" w:sz="6" w:space="0"/>
            </w:tcBorders>
            <w:vAlign w:val="center"/>
          </w:tcPr>
          <w:p w14:paraId="3D5B441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9521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3563B4B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nil"/>
            </w:tcBorders>
            <w:vAlign w:val="center"/>
          </w:tcPr>
          <w:p w14:paraId="4D1825F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tcBorders>
              <w:top w:val="nil"/>
            </w:tcBorders>
            <w:vAlign w:val="center"/>
          </w:tcPr>
          <w:p w14:paraId="327681D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tcBorders>
              <w:top w:val="nil"/>
            </w:tcBorders>
            <w:vAlign w:val="center"/>
          </w:tcPr>
          <w:p w14:paraId="0760565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15DD59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tcBorders>
              <w:top w:val="nil"/>
            </w:tcBorders>
            <w:vAlign w:val="center"/>
          </w:tcPr>
          <w:p w14:paraId="67B0A3F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tcBorders>
              <w:top w:val="nil"/>
            </w:tcBorders>
            <w:vAlign w:val="center"/>
          </w:tcPr>
          <w:p w14:paraId="7E904E2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0112B97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tcBorders>
              <w:top w:val="nil"/>
            </w:tcBorders>
            <w:vAlign w:val="center"/>
          </w:tcPr>
          <w:p w14:paraId="46628E0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tcBorders>
              <w:top w:val="nil"/>
            </w:tcBorders>
            <w:vAlign w:val="center"/>
          </w:tcPr>
          <w:p w14:paraId="4DEEB2E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E718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CE9180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554C118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624A007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4C0203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04576B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28B718D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134140E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964CD3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3B21A04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140DBF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EF3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377A97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70AD56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44D4D5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341E408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079D62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3BE975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06486B5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34BD54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2F4206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130899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DDAB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466C13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651055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3EA7DB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48ACF8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ECDD0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28C6B6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6A468C1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F7A639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054A97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19A303E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933A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B1F35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2758EC8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1975DF5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5A04E0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082DD8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61E3D2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7C0777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582B3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423B1C7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70C10D9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6327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CE006C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0971205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53F282D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19927F2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4239C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052E5B3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5E6DC1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33B146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32E27D2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35E7BC6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0AB1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81BCF8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4DF5A2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63699E4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65EA570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6A19485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66F9E0B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1B2DB60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3ACE8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5B5525E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6C9BD0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2EB9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E5BFDF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1A2AB6E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73B7DBB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6F75CC5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152DB2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151555D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6E8B429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F86961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1939A8B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540AF1D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B6A6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31722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099A6DA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046CECC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61C4F4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5BEF1F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7F8FCE5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4AEBE0D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561E18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5B90C3B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5BB21F5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47D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C00ABB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0C7D88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6DCA9F7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11546BB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EB4995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216BFE0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46FDB8A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0EA18B2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6665132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4E9C251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DEAA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ABB449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7D431EF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13078F9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241BA38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535DB44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4CD91A9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3FDF2D0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FCEB17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677B193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78833DE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10B67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E4E16F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4D459A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4181080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0E1EE27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51E3DAB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2D4A30E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12434EB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B2F5D7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232113F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4707C8F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0FE81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436150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9D29E6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50142AA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30B593A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40EE239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0AD935D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49F38A5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1F0E200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7BEF04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1B7C702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C34E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3B7AC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42E1DDE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6E0B27A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3CFC529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6F90B2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0B2D95A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6ED33A9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87C075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0932E6A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00C68DA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69DCA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48EF91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2BF5CF1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1016EEB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5ACFB26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CFBD27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13C4F54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0603199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FF953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5AF4F9F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0326281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6B63B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0DAA38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EBF5C7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3E4BEBF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01A86AB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5132F0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3C00B22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01BF82D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2B0BF74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051B4CD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035EEAD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798B7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CB0AE9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5126E16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5BA1DA5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6B426F6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EB9CCC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68F1542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0D35DA4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6045AB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5018244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4934617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14:paraId="2DD3318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附件3：</w:t>
      </w:r>
    </w:p>
    <w:p w14:paraId="1A202F83">
      <w:pPr>
        <w:autoSpaceDE w:val="0"/>
        <w:autoSpaceDN w:val="0"/>
        <w:spacing w:line="360" w:lineRule="auto"/>
        <w:ind w:left="360" w:right="525" w:rightChars="250" w:firstLine="643"/>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房屋建筑工程质量保修书</w:t>
      </w:r>
    </w:p>
    <w:p w14:paraId="5FCB66CA">
      <w:pPr>
        <w:autoSpaceDE w:val="0"/>
        <w:autoSpaceDN w:val="0"/>
        <w:spacing w:line="400" w:lineRule="exact"/>
        <w:ind w:right="525" w:rightChars="2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r>
        <w:rPr>
          <w:rFonts w:hint="eastAsia" w:ascii="宋体" w:hAnsi="宋体" w:eastAsia="宋体" w:cs="宋体"/>
          <w:color w:val="auto"/>
          <w:sz w:val="24"/>
          <w:highlight w:val="none"/>
        </w:rPr>
        <w:t>包人（全称）：</w:t>
      </w:r>
      <w:r>
        <w:rPr>
          <w:rFonts w:hint="eastAsia" w:ascii="宋体" w:hAnsi="宋体" w:eastAsia="宋体" w:cs="宋体"/>
          <w:color w:val="auto"/>
          <w:sz w:val="24"/>
          <w:highlight w:val="none"/>
          <w:u w:val="single"/>
        </w:rPr>
        <w:t xml:space="preserve">                    </w:t>
      </w:r>
    </w:p>
    <w:p w14:paraId="1933480D">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rPr>
        <w:t xml:space="preserve">                    </w:t>
      </w:r>
    </w:p>
    <w:p w14:paraId="5F5FC714">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发包人、承包人根据《中华人民共和国建筑法》、《建设工程质量管理条例》和《房屋建筑工程质量保修办法》，经协商一致，对签定工程质量保修书。</w:t>
      </w:r>
    </w:p>
    <w:p w14:paraId="7865387B">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一、工程质量保修范围和内容</w:t>
      </w:r>
    </w:p>
    <w:p w14:paraId="5E34CE4D">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承包人在质量保修期内，按照有关法律、法规、规章的管理规定和双方约定，承担本工程质量保修责任。</w:t>
      </w:r>
    </w:p>
    <w:p w14:paraId="2ADB577C">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质量保修范围包括地基基础工程、主体结构工程，屋面防水工程、外墙面防水工程的防渗漏，电气管线、给排水管道、设备安装和装修工程，以及双方约定的其他项目。具体保修的内容，双方约定如下：</w:t>
      </w:r>
      <w:r>
        <w:rPr>
          <w:rFonts w:hint="eastAsia" w:ascii="宋体" w:hAnsi="宋体" w:eastAsia="宋体" w:cs="宋体"/>
          <w:b/>
          <w:bCs/>
          <w:color w:val="auto"/>
          <w:kern w:val="0"/>
          <w:sz w:val="24"/>
          <w:highlight w:val="none"/>
          <w:u w:val="single"/>
        </w:rPr>
        <w:t xml:space="preserve"> 承包人承包范围内的所有内容 </w:t>
      </w:r>
      <w:r>
        <w:rPr>
          <w:rFonts w:hint="eastAsia" w:ascii="宋体" w:hAnsi="宋体" w:eastAsia="宋体" w:cs="宋体"/>
          <w:b/>
          <w:bCs/>
          <w:color w:val="auto"/>
          <w:kern w:val="0"/>
          <w:sz w:val="24"/>
          <w:highlight w:val="none"/>
        </w:rPr>
        <w:t>。</w:t>
      </w:r>
    </w:p>
    <w:p w14:paraId="3BB7FF06">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二、质量保修期</w:t>
      </w:r>
    </w:p>
    <w:p w14:paraId="1CBF4DE4">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双方根据《建设工程质量管理条例》及有关规定，约定本工程的质量保修期如下：</w:t>
      </w:r>
    </w:p>
    <w:p w14:paraId="721BECF5">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1、地基基础工程和主体结构工程为设计文件规定的该工程合理使用年限；</w:t>
      </w:r>
    </w:p>
    <w:p w14:paraId="345E57A2">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本工程屋面防水工程、外墙面防水工程的防渗漏</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 xml:space="preserve">  5  </w:t>
      </w:r>
      <w:r>
        <w:rPr>
          <w:rFonts w:hint="eastAsia" w:ascii="宋体" w:hAnsi="宋体" w:eastAsia="宋体" w:cs="宋体"/>
          <w:color w:val="auto"/>
          <w:kern w:val="0"/>
          <w:sz w:val="24"/>
          <w:highlight w:val="none"/>
        </w:rPr>
        <w:t>年；</w:t>
      </w:r>
    </w:p>
    <w:p w14:paraId="2254B998">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3、装修工程为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2760CA98">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4、电气管线、给排水管道、设备安装工程为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474902E8">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5、供热与供冷系统为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个采暖期、供冷期；</w:t>
      </w:r>
    </w:p>
    <w:p w14:paraId="57016861">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6、住宅小区内的给排水设施、道路等配套工程为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6C0E32DE">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7、其他项目保修期限：</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77C2627C">
      <w:pPr>
        <w:autoSpaceDE w:val="0"/>
        <w:autoSpaceDN w:val="0"/>
        <w:spacing w:line="400" w:lineRule="exact"/>
        <w:ind w:right="-6"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 xml:space="preserve">质量保修期自工程整体移交接收单位之日起计算。 </w:t>
      </w:r>
    </w:p>
    <w:p w14:paraId="7749285A">
      <w:pPr>
        <w:numPr>
          <w:ilvl w:val="0"/>
          <w:numId w:val="1"/>
        </w:num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质量保修责任</w:t>
      </w:r>
    </w:p>
    <w:p w14:paraId="4C9E07E5">
      <w:pPr>
        <w:widowControl/>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1、属于保修范围和内容的项目，承包人应在接到修理通知之日后24小时内派人修理。承包人不在约定期限内派人修理，发包人可委托其他人员修理，产生的费用由承包人加倍支付。</w:t>
      </w:r>
    </w:p>
    <w:p w14:paraId="65A1B820">
      <w:pPr>
        <w:widowControl/>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2、发生紧急抢修事故的，承包人接到事故通知后，应立即（2小时内）到达事故现场抢修。</w:t>
      </w:r>
    </w:p>
    <w:p w14:paraId="08219EF6">
      <w:pPr>
        <w:widowControl/>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0CDBF61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遇下列特殊情况时，在承包人到达之前，承包人同意发包人可以先行采取应急措施处理：</w:t>
      </w:r>
    </w:p>
    <w:p w14:paraId="6D7CCF6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4．1发生紧急抢修事故时，为避免损失进一步扩大；</w:t>
      </w:r>
    </w:p>
    <w:p w14:paraId="682EB18F">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4．2直接影响到业主正常生活，威胁业主人身财产及公司财产安全时。</w:t>
      </w:r>
    </w:p>
    <w:p w14:paraId="625EABDD">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四、保修费用</w:t>
      </w:r>
    </w:p>
    <w:p w14:paraId="64F43338">
      <w:pPr>
        <w:autoSpaceDE w:val="0"/>
        <w:autoSpaceDN w:val="0"/>
        <w:spacing w:line="400" w:lineRule="exact"/>
        <w:ind w:right="525" w:rightChars="25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保修费用由造成质量缺陷的责任方承担。</w:t>
      </w:r>
    </w:p>
    <w:p w14:paraId="075DE7CE">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五、其他</w:t>
      </w:r>
    </w:p>
    <w:p w14:paraId="38927200">
      <w:pPr>
        <w:autoSpaceDE w:val="0"/>
        <w:autoSpaceDN w:val="0"/>
        <w:spacing w:line="400" w:lineRule="exact"/>
        <w:ind w:right="525" w:rightChars="250"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双方约定的其他工程质量保修事宜：</w:t>
      </w:r>
    </w:p>
    <w:p w14:paraId="652C2B43">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本工程质量保修书，由施工合同发包人、承包人双方在施工合同签订时共同签署，作为施工合同附件，其有效期限至保修期满。</w:t>
      </w:r>
    </w:p>
    <w:p w14:paraId="6A848B32">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p>
    <w:p w14:paraId="79DCDF8B">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发包人（公章）：                           承包人（公章）：</w:t>
      </w:r>
    </w:p>
    <w:p w14:paraId="2978C44B">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90F4133">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                 法定代表人（签字或盖章）</w:t>
      </w:r>
    </w:p>
    <w:p w14:paraId="7944EDBB">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p>
    <w:p w14:paraId="64612594">
      <w:pPr>
        <w:spacing w:line="400" w:lineRule="exac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月  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月  日</w:t>
      </w:r>
    </w:p>
    <w:p w14:paraId="7DEB8856">
      <w:pPr>
        <w:spacing w:line="400" w:lineRule="exact"/>
        <w:rPr>
          <w:rFonts w:hint="eastAsia" w:ascii="宋体" w:hAnsi="宋体" w:eastAsia="宋体" w:cs="宋体"/>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4FDA48D2">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附件4：</w:t>
      </w:r>
    </w:p>
    <w:p w14:paraId="04288A9E">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主要建设工程文件目录</w:t>
      </w:r>
    </w:p>
    <w:tbl>
      <w:tblPr>
        <w:tblStyle w:val="6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9F0B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25A793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文件名称</w:t>
            </w:r>
          </w:p>
        </w:tc>
        <w:tc>
          <w:tcPr>
            <w:tcW w:w="1276" w:type="dxa"/>
            <w:tcBorders>
              <w:top w:val="single" w:color="auto" w:sz="12" w:space="0"/>
              <w:bottom w:val="double" w:color="auto" w:sz="6" w:space="0"/>
            </w:tcBorders>
            <w:vAlign w:val="center"/>
          </w:tcPr>
          <w:p w14:paraId="03E8CDB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套数</w:t>
            </w:r>
          </w:p>
        </w:tc>
        <w:tc>
          <w:tcPr>
            <w:tcW w:w="1450" w:type="dxa"/>
            <w:tcBorders>
              <w:top w:val="single" w:color="auto" w:sz="12" w:space="0"/>
              <w:bottom w:val="double" w:color="auto" w:sz="6" w:space="0"/>
            </w:tcBorders>
            <w:vAlign w:val="center"/>
          </w:tcPr>
          <w:p w14:paraId="152952D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费用（元）</w:t>
            </w:r>
          </w:p>
        </w:tc>
        <w:tc>
          <w:tcPr>
            <w:tcW w:w="1243" w:type="dxa"/>
            <w:tcBorders>
              <w:top w:val="single" w:color="auto" w:sz="12" w:space="0"/>
              <w:bottom w:val="double" w:color="auto" w:sz="6" w:space="0"/>
            </w:tcBorders>
            <w:vAlign w:val="center"/>
          </w:tcPr>
          <w:p w14:paraId="6D5C5FD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w:t>
            </w:r>
          </w:p>
        </w:tc>
        <w:tc>
          <w:tcPr>
            <w:tcW w:w="1450" w:type="dxa"/>
            <w:tcBorders>
              <w:top w:val="single" w:color="auto" w:sz="12" w:space="0"/>
              <w:bottom w:val="double" w:color="auto" w:sz="6" w:space="0"/>
            </w:tcBorders>
          </w:tcPr>
          <w:p w14:paraId="0BD4C0F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1667" w:type="dxa"/>
            <w:tcBorders>
              <w:top w:val="single" w:color="auto" w:sz="12" w:space="0"/>
              <w:bottom w:val="double" w:color="auto" w:sz="6" w:space="0"/>
            </w:tcBorders>
          </w:tcPr>
          <w:p w14:paraId="7BFBE79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33F01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366BA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double" w:color="auto" w:sz="6" w:space="0"/>
              <w:bottom w:val="single" w:color="auto" w:sz="6" w:space="0"/>
            </w:tcBorders>
            <w:vAlign w:val="center"/>
          </w:tcPr>
          <w:p w14:paraId="4712A78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double" w:color="auto" w:sz="6" w:space="0"/>
              <w:bottom w:val="single" w:color="auto" w:sz="6" w:space="0"/>
            </w:tcBorders>
            <w:vAlign w:val="center"/>
          </w:tcPr>
          <w:p w14:paraId="31B1B5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tcBorders>
              <w:top w:val="double" w:color="auto" w:sz="6" w:space="0"/>
              <w:bottom w:val="single" w:color="auto" w:sz="6" w:space="0"/>
            </w:tcBorders>
            <w:vAlign w:val="center"/>
          </w:tcPr>
          <w:p w14:paraId="0988A4E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double" w:color="auto" w:sz="6" w:space="0"/>
              <w:bottom w:val="single" w:color="auto" w:sz="6" w:space="0"/>
            </w:tcBorders>
            <w:vAlign w:val="center"/>
          </w:tcPr>
          <w:p w14:paraId="5A2A26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tcBorders>
              <w:top w:val="double" w:color="auto" w:sz="6" w:space="0"/>
              <w:bottom w:val="single" w:color="auto" w:sz="6" w:space="0"/>
            </w:tcBorders>
            <w:vAlign w:val="center"/>
          </w:tcPr>
          <w:p w14:paraId="1E18AE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16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D83FA5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nil"/>
            </w:tcBorders>
            <w:vAlign w:val="center"/>
          </w:tcPr>
          <w:p w14:paraId="6B274FB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nil"/>
            </w:tcBorders>
            <w:vAlign w:val="center"/>
          </w:tcPr>
          <w:p w14:paraId="5E2917B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tcBorders>
              <w:top w:val="nil"/>
            </w:tcBorders>
            <w:vAlign w:val="center"/>
          </w:tcPr>
          <w:p w14:paraId="697F75D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nil"/>
            </w:tcBorders>
            <w:vAlign w:val="center"/>
          </w:tcPr>
          <w:p w14:paraId="59D9637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tcBorders>
              <w:top w:val="nil"/>
            </w:tcBorders>
            <w:vAlign w:val="center"/>
          </w:tcPr>
          <w:p w14:paraId="03C9D7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5245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A470E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3308F0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78F5EF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0DF359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4BC2168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6FE73D3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9FFC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38EE9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7C270C7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0115649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2CC062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B954E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59FDD5C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1778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56657F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2248DED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098D41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620D39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3071C66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17D42A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1230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7C31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578609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4C1ACF1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3B87E46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752E41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720627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A5F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830D81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34DF64D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792C6E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389A57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1423D36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3D7130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8605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0C6C7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33AAC60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397B29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44EFEC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434CBD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720802C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291E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203234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2D6E653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7F2DCEC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1B63E79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2B95B2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7BEB07A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79FBF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182A0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7B50DF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8A3852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643959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0722E6A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60F6DFF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E49E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2878EE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3582128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5A0E94D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7C720D3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E711D5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14806FB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1EE20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3AE0A1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16C5676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2E1C8E7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18935AD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81055C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55B86AB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4D6B8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FD7954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6C85F4D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A0EE39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83D67D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46C4F94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0D9CA4D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917A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259481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262E8AF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295266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0EF00C8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2A1C495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1A375D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6619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B8360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7A125DE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2DA8A74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3A272D1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0BF95EF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78BDDA0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2404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900F79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052701C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447BB8F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973796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E053B8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69CAC0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19122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95BB9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094A67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0669A77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1E4AB72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360559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11C04B3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646F2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D9F5A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0CB3297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504AB3D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CE2116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7C17AA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048B05E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697B1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BF120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3B225F7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0B6484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BFFAE0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7AC3FB0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4B8286D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bl>
    <w:p w14:paraId="334FCF28">
      <w:pPr>
        <w:spacing w:line="440" w:lineRule="exact"/>
        <w:rPr>
          <w:rFonts w:hint="eastAsia" w:ascii="宋体" w:hAnsi="宋体" w:eastAsia="宋体" w:cs="宋体"/>
          <w:color w:val="auto"/>
          <w:sz w:val="24"/>
          <w:highlight w:val="none"/>
        </w:rPr>
      </w:pPr>
    </w:p>
    <w:p w14:paraId="17CAF36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w:t>
      </w:r>
      <w:bookmarkStart w:id="505" w:name="_Toc296347226"/>
      <w:bookmarkStart w:id="506" w:name="_Toc296891267"/>
      <w:bookmarkStart w:id="507" w:name="_Toc296346728"/>
      <w:bookmarkStart w:id="508" w:name="_Toc296891055"/>
      <w:bookmarkStart w:id="509" w:name="_Toc267261698"/>
      <w:bookmarkStart w:id="510" w:name="_Toc296944566"/>
      <w:bookmarkStart w:id="511" w:name="_Toc296503227"/>
      <w:r>
        <w:rPr>
          <w:rFonts w:hint="eastAsia" w:ascii="宋体" w:hAnsi="宋体" w:eastAsia="宋体" w:cs="宋体"/>
          <w:color w:val="auto"/>
          <w:sz w:val="24"/>
          <w:highlight w:val="none"/>
        </w:rPr>
        <w:t>件5：</w:t>
      </w:r>
    </w:p>
    <w:bookmarkEnd w:id="505"/>
    <w:bookmarkEnd w:id="506"/>
    <w:bookmarkEnd w:id="507"/>
    <w:bookmarkEnd w:id="508"/>
    <w:bookmarkEnd w:id="509"/>
    <w:bookmarkEnd w:id="510"/>
    <w:bookmarkEnd w:id="511"/>
    <w:p w14:paraId="5FE83691">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承包人用于本工程施工的机械设备表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EDA7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6A82407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418" w:type="dxa"/>
            <w:tcBorders>
              <w:top w:val="single" w:color="auto" w:sz="12" w:space="0"/>
              <w:bottom w:val="double" w:color="auto" w:sz="6" w:space="0"/>
            </w:tcBorders>
            <w:vAlign w:val="center"/>
          </w:tcPr>
          <w:p w14:paraId="21EF6B9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机械或设备名称</w:t>
            </w:r>
          </w:p>
        </w:tc>
        <w:tc>
          <w:tcPr>
            <w:tcW w:w="850" w:type="dxa"/>
            <w:tcBorders>
              <w:top w:val="single" w:color="auto" w:sz="12" w:space="0"/>
              <w:bottom w:val="double" w:color="auto" w:sz="6" w:space="0"/>
            </w:tcBorders>
            <w:vAlign w:val="center"/>
          </w:tcPr>
          <w:p w14:paraId="78FE9A2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规格型号</w:t>
            </w:r>
          </w:p>
        </w:tc>
        <w:tc>
          <w:tcPr>
            <w:tcW w:w="1058" w:type="dxa"/>
            <w:tcBorders>
              <w:top w:val="single" w:color="auto" w:sz="12" w:space="0"/>
              <w:bottom w:val="double" w:color="auto" w:sz="6" w:space="0"/>
            </w:tcBorders>
            <w:vAlign w:val="center"/>
          </w:tcPr>
          <w:p w14:paraId="5A6D9DE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880" w:type="dxa"/>
            <w:tcBorders>
              <w:top w:val="single" w:color="auto" w:sz="12" w:space="0"/>
              <w:bottom w:val="double" w:color="auto" w:sz="6" w:space="0"/>
            </w:tcBorders>
            <w:vAlign w:val="center"/>
          </w:tcPr>
          <w:p w14:paraId="3A4F233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产地</w:t>
            </w:r>
          </w:p>
        </w:tc>
        <w:tc>
          <w:tcPr>
            <w:tcW w:w="1020" w:type="dxa"/>
            <w:tcBorders>
              <w:top w:val="single" w:color="auto" w:sz="12" w:space="0"/>
              <w:bottom w:val="double" w:color="auto" w:sz="6" w:space="0"/>
            </w:tcBorders>
            <w:vAlign w:val="center"/>
          </w:tcPr>
          <w:p w14:paraId="0908058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制造年份</w:t>
            </w:r>
          </w:p>
        </w:tc>
        <w:tc>
          <w:tcPr>
            <w:tcW w:w="1480" w:type="dxa"/>
            <w:tcBorders>
              <w:top w:val="single" w:color="auto" w:sz="12" w:space="0"/>
              <w:bottom w:val="double" w:color="auto" w:sz="6" w:space="0"/>
            </w:tcBorders>
            <w:vAlign w:val="center"/>
          </w:tcPr>
          <w:p w14:paraId="13C9A7A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额定功率(kW)</w:t>
            </w:r>
          </w:p>
        </w:tc>
        <w:tc>
          <w:tcPr>
            <w:tcW w:w="1020" w:type="dxa"/>
            <w:tcBorders>
              <w:top w:val="single" w:color="auto" w:sz="12" w:space="0"/>
              <w:bottom w:val="double" w:color="auto" w:sz="6" w:space="0"/>
            </w:tcBorders>
            <w:vAlign w:val="center"/>
          </w:tcPr>
          <w:p w14:paraId="3A31525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生产能力</w:t>
            </w:r>
          </w:p>
        </w:tc>
        <w:tc>
          <w:tcPr>
            <w:tcW w:w="921" w:type="dxa"/>
            <w:tcBorders>
              <w:top w:val="single" w:color="auto" w:sz="12" w:space="0"/>
              <w:bottom w:val="double" w:color="auto" w:sz="6" w:space="0"/>
            </w:tcBorders>
            <w:vAlign w:val="center"/>
          </w:tcPr>
          <w:p w14:paraId="11308E9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0C80C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DD57A6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vAlign w:val="center"/>
          </w:tcPr>
          <w:p w14:paraId="31C69B4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double" w:color="auto" w:sz="6" w:space="0"/>
              <w:bottom w:val="single" w:color="auto" w:sz="6" w:space="0"/>
            </w:tcBorders>
            <w:vAlign w:val="center"/>
          </w:tcPr>
          <w:p w14:paraId="2B402A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tcBorders>
              <w:top w:val="double" w:color="auto" w:sz="6" w:space="0"/>
              <w:bottom w:val="single" w:color="auto" w:sz="6" w:space="0"/>
            </w:tcBorders>
            <w:vAlign w:val="center"/>
          </w:tcPr>
          <w:p w14:paraId="57B4921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tcBorders>
              <w:top w:val="double" w:color="auto" w:sz="6" w:space="0"/>
              <w:bottom w:val="single" w:color="auto" w:sz="6" w:space="0"/>
            </w:tcBorders>
            <w:vAlign w:val="center"/>
          </w:tcPr>
          <w:p w14:paraId="455558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double" w:color="auto" w:sz="6" w:space="0"/>
              <w:bottom w:val="single" w:color="auto" w:sz="6" w:space="0"/>
            </w:tcBorders>
            <w:vAlign w:val="center"/>
          </w:tcPr>
          <w:p w14:paraId="763A497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tcBorders>
              <w:top w:val="double" w:color="auto" w:sz="6" w:space="0"/>
              <w:bottom w:val="single" w:color="auto" w:sz="6" w:space="0"/>
            </w:tcBorders>
            <w:vAlign w:val="center"/>
          </w:tcPr>
          <w:p w14:paraId="352034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double" w:color="auto" w:sz="6" w:space="0"/>
              <w:bottom w:val="single" w:color="auto" w:sz="6" w:space="0"/>
            </w:tcBorders>
            <w:vAlign w:val="center"/>
          </w:tcPr>
          <w:p w14:paraId="2F87A18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tcBorders>
              <w:top w:val="double" w:color="auto" w:sz="6" w:space="0"/>
              <w:bottom w:val="single" w:color="auto" w:sz="6" w:space="0"/>
            </w:tcBorders>
            <w:vAlign w:val="center"/>
          </w:tcPr>
          <w:p w14:paraId="014D45F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B95B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338E89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vAlign w:val="center"/>
          </w:tcPr>
          <w:p w14:paraId="793F87C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15482E1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tcBorders>
              <w:top w:val="nil"/>
            </w:tcBorders>
            <w:vAlign w:val="center"/>
          </w:tcPr>
          <w:p w14:paraId="0D1CF1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tcBorders>
              <w:top w:val="nil"/>
            </w:tcBorders>
            <w:vAlign w:val="center"/>
          </w:tcPr>
          <w:p w14:paraId="2A71A64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nil"/>
            </w:tcBorders>
            <w:vAlign w:val="center"/>
          </w:tcPr>
          <w:p w14:paraId="6505302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tcBorders>
              <w:top w:val="nil"/>
            </w:tcBorders>
            <w:vAlign w:val="center"/>
          </w:tcPr>
          <w:p w14:paraId="131669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nil"/>
            </w:tcBorders>
            <w:vAlign w:val="center"/>
          </w:tcPr>
          <w:p w14:paraId="5DEC22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tcBorders>
              <w:top w:val="nil"/>
            </w:tcBorders>
            <w:vAlign w:val="center"/>
          </w:tcPr>
          <w:p w14:paraId="46EE35E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8B6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A862E6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08AFDA5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5D585E9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223109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4E5442A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118E7C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2253C6E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03029C3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163057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5D9C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56A2C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2BB085A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2E039F0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5BF876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65EFBDB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394D46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649F517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4F04504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73880F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BA13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F36B08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001E0B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1BAFB20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3E4E121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54189FC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4FB72BB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4115578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6ACB07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09E685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ED23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36C82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14E531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379E48D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4E5D91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769C73C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6B13026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534FB9D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3498CB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64C258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A4AE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2CA602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18D8282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3789A5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369497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7D7E7BF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78673FC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2C07597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30FEFFE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41ACB9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9400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6319FF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78D1EE3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28AD86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240DF5E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469E8B9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4B5EB5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0B646F4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270C95A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28D548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BBD1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8C1CA5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4D7C0DB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2B26584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79167EB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6F088FF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3687F43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18B1853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D50DD5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5247E8D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4A9E2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04762E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1DA8FC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76F7EF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209DEC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657F370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5C6F582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369551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195C798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0BAEC3E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A8B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146D37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052A5FA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45A38B9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2E2DF89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34A78F0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B27D4C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621A446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24BE53F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34A922C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29E5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EC203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741A290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2AA47D7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036DC6D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2572486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2C505B8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21D4282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3153F6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412E271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22B3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0057C3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5D7C0AE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ABAF21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70E75D8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76FD301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A2B711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1F9DA3B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D9E9E0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4922ABF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172C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00B86A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353AAAC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26B6B83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4AC6C01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45C5356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399FCAC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4233EE6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5D4D5CF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7BF3C25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0898E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A687DE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55B41D5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9D601B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220DDB4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08A0D83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D9408D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53238C1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5C2882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62EF122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65336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C72685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7C18ED3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6350AE7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29411B1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41B811E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4D9288C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0996224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5FAE759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42E1A2E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A603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FF36D3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38B0F5C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7D27CD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610BDC8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1F182FA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DE85F1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5694341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0E9F4E9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1097CB5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1C94D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92D6EE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6F04555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144A675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056A1BD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52BACE4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388B5C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0EB2D61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DCCAD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3035D76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0D34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568792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63FCF12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9BD895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774BA73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2C5A377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C0E349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680410F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F0CCA7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28BF600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bl>
    <w:p w14:paraId="53B6D25E">
      <w:pPr>
        <w:spacing w:line="440" w:lineRule="exact"/>
        <w:rPr>
          <w:rFonts w:hint="eastAsia" w:ascii="宋体" w:hAnsi="宋体" w:eastAsia="宋体" w:cs="宋体"/>
          <w:color w:val="auto"/>
          <w:sz w:val="24"/>
          <w:highlight w:val="none"/>
        </w:rPr>
      </w:pPr>
    </w:p>
    <w:p w14:paraId="27B151D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w:t>
      </w:r>
      <w:bookmarkStart w:id="512" w:name="_Toc296891268"/>
      <w:bookmarkStart w:id="513" w:name="_Toc296944567"/>
      <w:bookmarkStart w:id="514" w:name="_Toc296503228"/>
      <w:bookmarkStart w:id="515" w:name="_Toc296347227"/>
      <w:bookmarkStart w:id="516" w:name="_Toc267261699"/>
      <w:bookmarkStart w:id="517" w:name="_Toc296891056"/>
      <w:bookmarkStart w:id="518" w:name="_Toc296346729"/>
      <w:r>
        <w:rPr>
          <w:rFonts w:hint="eastAsia" w:ascii="宋体" w:hAnsi="宋体" w:eastAsia="宋体" w:cs="宋体"/>
          <w:color w:val="auto"/>
          <w:sz w:val="24"/>
          <w:highlight w:val="none"/>
        </w:rPr>
        <w:t>件6：</w:t>
      </w:r>
    </w:p>
    <w:bookmarkEnd w:id="512"/>
    <w:bookmarkEnd w:id="513"/>
    <w:bookmarkEnd w:id="514"/>
    <w:bookmarkEnd w:id="515"/>
    <w:bookmarkEnd w:id="516"/>
    <w:bookmarkEnd w:id="517"/>
    <w:bookmarkEnd w:id="518"/>
    <w:p w14:paraId="589C8775">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D57C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80566C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18" w:type="dxa"/>
            <w:tcBorders>
              <w:top w:val="single" w:color="auto" w:sz="12" w:space="0"/>
              <w:bottom w:val="double" w:color="auto" w:sz="6" w:space="0"/>
            </w:tcBorders>
            <w:vAlign w:val="center"/>
          </w:tcPr>
          <w:p w14:paraId="5243A60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34" w:type="dxa"/>
            <w:tcBorders>
              <w:top w:val="single" w:color="auto" w:sz="12" w:space="0"/>
              <w:bottom w:val="double" w:color="auto" w:sz="6" w:space="0"/>
            </w:tcBorders>
            <w:vAlign w:val="center"/>
          </w:tcPr>
          <w:p w14:paraId="0844F89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34" w:type="dxa"/>
            <w:tcBorders>
              <w:top w:val="single" w:color="auto" w:sz="12" w:space="0"/>
              <w:bottom w:val="double" w:color="auto" w:sz="6" w:space="0"/>
            </w:tcBorders>
            <w:vAlign w:val="center"/>
          </w:tcPr>
          <w:p w14:paraId="59018C7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52" w:type="dxa"/>
            <w:tcBorders>
              <w:top w:val="single" w:color="auto" w:sz="12" w:space="0"/>
              <w:bottom w:val="double" w:color="auto" w:sz="6" w:space="0"/>
            </w:tcBorders>
            <w:vAlign w:val="center"/>
          </w:tcPr>
          <w:p w14:paraId="2B76F31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25BCD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7CC8283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7E919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95FCA8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18" w:type="dxa"/>
            <w:tcBorders>
              <w:top w:val="nil"/>
            </w:tcBorders>
            <w:vAlign w:val="center"/>
          </w:tcPr>
          <w:p w14:paraId="4AEAAEC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14:paraId="2841136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14:paraId="6391B52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tcBorders>
              <w:top w:val="nil"/>
            </w:tcBorders>
            <w:vAlign w:val="center"/>
          </w:tcPr>
          <w:p w14:paraId="67DF5A2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50EC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315AFFB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0B12076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DB292B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56B28AC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1A84005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3E894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43A06B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31203EF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3D1C9B8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0D87E91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20680D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9402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325C78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4B64964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CE614E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51BBFBF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3BD1E4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F174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2D96D93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4FEBF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ADAE65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18" w:type="dxa"/>
            <w:vAlign w:val="center"/>
          </w:tcPr>
          <w:p w14:paraId="0AC41F9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0FC478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0951134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065D9A0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352E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96F161D">
            <w:pPr>
              <w:pStyle w:val="25"/>
              <w:keepNext/>
              <w:keepLines w:val="0"/>
              <w:suppressLineNumbers w:val="0"/>
              <w:spacing w:before="0" w:beforeAutospacing="0" w:afterAutospacing="0" w:line="440" w:lineRule="exact"/>
              <w:ind w:left="63" w:right="63"/>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18" w:type="dxa"/>
            <w:vAlign w:val="center"/>
          </w:tcPr>
          <w:p w14:paraId="25B0235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1487B0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04A56F4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59AAAA4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600C7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F042E0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18" w:type="dxa"/>
            <w:vAlign w:val="center"/>
          </w:tcPr>
          <w:p w14:paraId="7E6776F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24B2B0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8BEBB5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4825752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6E92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887B83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18" w:type="dxa"/>
            <w:vAlign w:val="center"/>
          </w:tcPr>
          <w:p w14:paraId="69B42F2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08235C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5E55CCC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1C9D3A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0C78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95C15A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18" w:type="dxa"/>
            <w:vAlign w:val="center"/>
          </w:tcPr>
          <w:p w14:paraId="6CB8260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F988D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A888DF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73BC103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48134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0CB4B5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18" w:type="dxa"/>
            <w:vAlign w:val="center"/>
          </w:tcPr>
          <w:p w14:paraId="22165FD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F66772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8F686D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149F8D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3A5C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7C99CE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18" w:type="dxa"/>
            <w:vAlign w:val="center"/>
          </w:tcPr>
          <w:p w14:paraId="7C95C3E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188866C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3DBCA9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61F8DF9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43EEF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A7D5AE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18" w:type="dxa"/>
            <w:vAlign w:val="center"/>
          </w:tcPr>
          <w:p w14:paraId="261407A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975BD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502F78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DDF8B4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2825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2C61FD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45C1662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778021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1F4063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49A0379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4771C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DB535E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2BE2A70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312EA0F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4E2135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500E161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C180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3C66A7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1DEEE14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044FB1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161983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8186CF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93C2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073C5D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547934B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8E88DD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1C95B1B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5CFA00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C773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48313A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03966EC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3D23773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14A267E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578F5B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39943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57C778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13027CD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17C152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0454DB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2DC354A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36F23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672B11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tcBorders>
              <w:bottom w:val="single" w:color="auto" w:sz="12" w:space="0"/>
            </w:tcBorders>
            <w:vAlign w:val="center"/>
          </w:tcPr>
          <w:p w14:paraId="7900D1F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2F84C2C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1332484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tcBorders>
              <w:bottom w:val="single" w:color="auto" w:sz="12" w:space="0"/>
            </w:tcBorders>
            <w:vAlign w:val="center"/>
          </w:tcPr>
          <w:p w14:paraId="0B0AC34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bl>
    <w:p w14:paraId="57C59335">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19" w:name="_Toc267261701"/>
    </w:p>
    <w:p w14:paraId="6B77BB4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附件7：</w:t>
      </w:r>
    </w:p>
    <w:p w14:paraId="7B79D690">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分包人主要施工管理人员表</w:t>
      </w:r>
    </w:p>
    <w:tbl>
      <w:tblPr>
        <w:tblStyle w:val="64"/>
        <w:tblW w:w="96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0"/>
        <w:gridCol w:w="1402"/>
        <w:gridCol w:w="1121"/>
        <w:gridCol w:w="1121"/>
        <w:gridCol w:w="4204"/>
      </w:tblGrid>
      <w:tr w14:paraId="19B1C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50" w:type="dxa"/>
            <w:tcBorders>
              <w:top w:val="single" w:color="auto" w:sz="12" w:space="0"/>
              <w:bottom w:val="double" w:color="auto" w:sz="6" w:space="0"/>
            </w:tcBorders>
            <w:vAlign w:val="center"/>
          </w:tcPr>
          <w:p w14:paraId="6DAA178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02" w:type="dxa"/>
            <w:tcBorders>
              <w:top w:val="single" w:color="auto" w:sz="12" w:space="0"/>
              <w:bottom w:val="double" w:color="auto" w:sz="6" w:space="0"/>
            </w:tcBorders>
            <w:vAlign w:val="center"/>
          </w:tcPr>
          <w:p w14:paraId="716948A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21" w:type="dxa"/>
            <w:tcBorders>
              <w:top w:val="single" w:color="auto" w:sz="12" w:space="0"/>
              <w:bottom w:val="double" w:color="auto" w:sz="6" w:space="0"/>
            </w:tcBorders>
            <w:vAlign w:val="center"/>
          </w:tcPr>
          <w:p w14:paraId="21F6261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21" w:type="dxa"/>
            <w:tcBorders>
              <w:top w:val="single" w:color="auto" w:sz="12" w:space="0"/>
              <w:bottom w:val="double" w:color="auto" w:sz="6" w:space="0"/>
            </w:tcBorders>
            <w:vAlign w:val="center"/>
          </w:tcPr>
          <w:p w14:paraId="384B3CF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04" w:type="dxa"/>
            <w:tcBorders>
              <w:top w:val="single" w:color="auto" w:sz="12" w:space="0"/>
              <w:bottom w:val="double" w:color="auto" w:sz="6" w:space="0"/>
            </w:tcBorders>
            <w:vAlign w:val="center"/>
          </w:tcPr>
          <w:p w14:paraId="20064E7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4891C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9698" w:type="dxa"/>
            <w:gridSpan w:val="5"/>
            <w:tcBorders>
              <w:top w:val="double" w:color="auto" w:sz="6" w:space="0"/>
            </w:tcBorders>
            <w:vAlign w:val="center"/>
          </w:tcPr>
          <w:p w14:paraId="61C0B24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0CB3C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top w:val="nil"/>
              <w:bottom w:val="nil"/>
            </w:tcBorders>
            <w:vAlign w:val="center"/>
          </w:tcPr>
          <w:p w14:paraId="304E35A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02" w:type="dxa"/>
            <w:tcBorders>
              <w:top w:val="nil"/>
            </w:tcBorders>
            <w:vAlign w:val="center"/>
          </w:tcPr>
          <w:p w14:paraId="6A16110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top w:val="nil"/>
            </w:tcBorders>
            <w:vAlign w:val="center"/>
          </w:tcPr>
          <w:p w14:paraId="3EC1F23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top w:val="nil"/>
            </w:tcBorders>
            <w:vAlign w:val="center"/>
          </w:tcPr>
          <w:p w14:paraId="1CA4944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tcBorders>
              <w:top w:val="nil"/>
            </w:tcBorders>
            <w:vAlign w:val="center"/>
          </w:tcPr>
          <w:p w14:paraId="2E4ED83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DF0B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bottom w:val="nil"/>
            </w:tcBorders>
            <w:vAlign w:val="center"/>
          </w:tcPr>
          <w:p w14:paraId="6BE623C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3634368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5A08E45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27B2C4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14A31F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F8AB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top w:val="nil"/>
              <w:bottom w:val="nil"/>
            </w:tcBorders>
            <w:vAlign w:val="center"/>
          </w:tcPr>
          <w:p w14:paraId="19D1EB6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02" w:type="dxa"/>
            <w:vAlign w:val="center"/>
          </w:tcPr>
          <w:p w14:paraId="0AE9347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6E79B44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CE0DE1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0F17B52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FA91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top w:val="nil"/>
              <w:bottom w:val="nil"/>
            </w:tcBorders>
            <w:vAlign w:val="center"/>
          </w:tcPr>
          <w:p w14:paraId="2C3BFBA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3A3B8AA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0108AAB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06A3EB6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26F2CA9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146A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9698" w:type="dxa"/>
            <w:gridSpan w:val="5"/>
            <w:vAlign w:val="center"/>
          </w:tcPr>
          <w:p w14:paraId="3FA5329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7CD76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2C3B5EB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02" w:type="dxa"/>
            <w:vAlign w:val="center"/>
          </w:tcPr>
          <w:p w14:paraId="345052D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E5694B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75FBD6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9DC1CF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894D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1414CBD6">
            <w:pPr>
              <w:pStyle w:val="25"/>
              <w:keepNext/>
              <w:keepLines w:val="0"/>
              <w:suppressLineNumbers w:val="0"/>
              <w:spacing w:before="0" w:beforeAutospacing="0" w:afterAutospacing="0" w:line="440" w:lineRule="exact"/>
              <w:ind w:left="63" w:right="63"/>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02" w:type="dxa"/>
            <w:vAlign w:val="center"/>
          </w:tcPr>
          <w:p w14:paraId="68A15D7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6FD6AF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94C27C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0AC0B0C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FAA5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64DB405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02" w:type="dxa"/>
            <w:vAlign w:val="center"/>
          </w:tcPr>
          <w:p w14:paraId="7DB92CB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766CB5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5FEFBB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62A7953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F4CE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352AE0F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02" w:type="dxa"/>
            <w:vAlign w:val="center"/>
          </w:tcPr>
          <w:p w14:paraId="6DE4DC8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011B59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326C3F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1DECBD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2844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565E277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02" w:type="dxa"/>
            <w:vAlign w:val="center"/>
          </w:tcPr>
          <w:p w14:paraId="68DF4DA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1086F8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C0E6F5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1C66F72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93E6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543D425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02" w:type="dxa"/>
            <w:vAlign w:val="center"/>
          </w:tcPr>
          <w:p w14:paraId="6E876CA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51697EF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153973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6052F7B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2DE8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5C00F71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02" w:type="dxa"/>
            <w:vAlign w:val="center"/>
          </w:tcPr>
          <w:p w14:paraId="43A93AE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15FF5B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6FB227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E8CD8B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F8B3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restart"/>
            <w:vAlign w:val="center"/>
          </w:tcPr>
          <w:p w14:paraId="775AFFC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02" w:type="dxa"/>
            <w:vAlign w:val="center"/>
          </w:tcPr>
          <w:p w14:paraId="40C1A9F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9C36D3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29BE58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4634CD7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A093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3D291C0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04DA9C9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EAD996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0199455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295BE30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A33B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6E21331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419FE67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4A3D89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32C6E8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6D28CB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9A23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0A3E624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2318AA9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71E863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56659BB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37D416B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31B8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restart"/>
            <w:vAlign w:val="center"/>
          </w:tcPr>
          <w:p w14:paraId="629C242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02" w:type="dxa"/>
            <w:vAlign w:val="center"/>
          </w:tcPr>
          <w:p w14:paraId="7A2548C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B59A15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66E802F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226BA67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62D2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16D8461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7F12022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676A83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16C5B7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C57BEB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DC4D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850" w:type="dxa"/>
            <w:vMerge w:val="continue"/>
            <w:tcBorders>
              <w:bottom w:val="single" w:color="auto" w:sz="12" w:space="0"/>
            </w:tcBorders>
            <w:vAlign w:val="center"/>
          </w:tcPr>
          <w:p w14:paraId="1CC6E6E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tcBorders>
              <w:bottom w:val="single" w:color="auto" w:sz="12" w:space="0"/>
            </w:tcBorders>
            <w:vAlign w:val="center"/>
          </w:tcPr>
          <w:p w14:paraId="49C622D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bottom w:val="single" w:color="auto" w:sz="12" w:space="0"/>
            </w:tcBorders>
            <w:vAlign w:val="center"/>
          </w:tcPr>
          <w:p w14:paraId="4AC7573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bottom w:val="single" w:color="auto" w:sz="12" w:space="0"/>
            </w:tcBorders>
            <w:vAlign w:val="center"/>
          </w:tcPr>
          <w:p w14:paraId="37A33ED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tcBorders>
              <w:bottom w:val="single" w:color="auto" w:sz="12" w:space="0"/>
            </w:tcBorders>
            <w:vAlign w:val="center"/>
          </w:tcPr>
          <w:p w14:paraId="27E71D9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bl>
    <w:p w14:paraId="7E89D1C6">
      <w:pPr>
        <w:spacing w:before="120" w:beforeLines="50" w:after="120" w:afterLines="50" w:line="440" w:lineRule="exact"/>
        <w:jc w:val="center"/>
        <w:rPr>
          <w:rFonts w:hint="eastAsia" w:ascii="宋体" w:hAnsi="宋体" w:eastAsia="宋体" w:cs="宋体"/>
          <w:color w:val="auto"/>
          <w:sz w:val="24"/>
          <w:highlight w:val="none"/>
        </w:rPr>
      </w:pPr>
    </w:p>
    <w:p w14:paraId="642F15D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bookmarkStart w:id="520" w:name="_Toc296503231"/>
      <w:bookmarkStart w:id="521" w:name="_Toc296891059"/>
      <w:bookmarkStart w:id="522" w:name="_Toc296347230"/>
      <w:bookmarkStart w:id="523" w:name="_Toc296891271"/>
      <w:bookmarkStart w:id="524" w:name="_Toc296944570"/>
      <w:bookmarkStart w:id="525" w:name="_Toc296346732"/>
      <w:r>
        <w:rPr>
          <w:rFonts w:hint="eastAsia" w:ascii="宋体" w:hAnsi="宋体" w:eastAsia="宋体" w:cs="宋体"/>
          <w:color w:val="auto"/>
          <w:sz w:val="24"/>
          <w:highlight w:val="none"/>
        </w:rPr>
        <w:t>件8：</w:t>
      </w:r>
    </w:p>
    <w:bookmarkEnd w:id="519"/>
    <w:bookmarkEnd w:id="520"/>
    <w:bookmarkEnd w:id="521"/>
    <w:bookmarkEnd w:id="522"/>
    <w:bookmarkEnd w:id="523"/>
    <w:bookmarkEnd w:id="524"/>
    <w:bookmarkEnd w:id="525"/>
    <w:p w14:paraId="7D6640C8">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w:t>
      </w:r>
    </w:p>
    <w:p w14:paraId="56D02AC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（发包人名称）：</w:t>
      </w:r>
    </w:p>
    <w:p w14:paraId="0B05B9FC">
      <w:pPr>
        <w:spacing w:line="440" w:lineRule="exact"/>
        <w:rPr>
          <w:rFonts w:hint="eastAsia" w:ascii="宋体" w:hAnsi="宋体" w:eastAsia="宋体" w:cs="宋体"/>
          <w:color w:val="auto"/>
          <w:szCs w:val="21"/>
          <w:highlight w:val="none"/>
        </w:rPr>
      </w:pPr>
    </w:p>
    <w:p w14:paraId="75BCB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（发包人名称，以下简称“发包人”）与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（承包人名称）（以下称“承包人”）于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6439BB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5E165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2.担保有效期自你方与承包人签订的合同生效之日起至你方签发或应签发工程接收证书之日止。</w:t>
      </w:r>
    </w:p>
    <w:p w14:paraId="02F4BD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3.在本担保有效期内，因承包人违反合同约定的义务给你方造成经济损失时，我方在收到你方以书面形式提出的在担保金额内的赔偿要求后，在7天内无条件支付。</w:t>
      </w:r>
    </w:p>
    <w:p w14:paraId="0216E5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4.你方和承包人按合同约定变更合同时，我方承担本担保规定的义务不变。</w:t>
      </w:r>
    </w:p>
    <w:p w14:paraId="436EC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5.因本保函发生的纠纷，可由双方协商解决，协商不成的，任何一方均可向工程所在地人民法院起诉。</w:t>
      </w:r>
    </w:p>
    <w:p w14:paraId="0CEC00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6.本保函自我方法定代表人（或其授权代理人）签字并加盖公章之日起生效。</w:t>
      </w:r>
    </w:p>
    <w:p w14:paraId="54CC01B7">
      <w:pPr>
        <w:spacing w:line="360" w:lineRule="auto"/>
        <w:rPr>
          <w:rFonts w:hint="eastAsia" w:ascii="宋体" w:hAnsi="宋体" w:eastAsia="宋体" w:cs="宋体"/>
          <w:color w:val="auto"/>
          <w:szCs w:val="21"/>
          <w:highlight w:val="none"/>
        </w:rPr>
      </w:pPr>
    </w:p>
    <w:p w14:paraId="316AAC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 保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646422D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70985F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208264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455F6E5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7919DF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709ED7D5">
      <w:pPr>
        <w:spacing w:line="360" w:lineRule="auto"/>
        <w:jc w:val="left"/>
        <w:rPr>
          <w:rFonts w:hint="eastAsia" w:ascii="宋体" w:hAnsi="宋体" w:eastAsia="宋体" w:cs="宋体"/>
          <w:color w:val="auto"/>
          <w:szCs w:val="21"/>
          <w:highlight w:val="none"/>
          <w:u w:val="single"/>
        </w:rPr>
      </w:pPr>
    </w:p>
    <w:p w14:paraId="18CAED1C">
      <w:pPr>
        <w:spacing w:line="360" w:lineRule="auto"/>
        <w:ind w:left="1329" w:hanging="1329" w:hangingChars="63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BF6FFD9">
      <w:pPr>
        <w:spacing w:line="360" w:lineRule="auto"/>
        <w:ind w:left="1519" w:hanging="1519" w:hangingChars="633"/>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w:t>
      </w:r>
      <w:bookmarkStart w:id="526" w:name="_Toc296346733"/>
      <w:bookmarkStart w:id="527" w:name="_Toc296503232"/>
      <w:bookmarkStart w:id="528" w:name="_Toc296347231"/>
      <w:bookmarkStart w:id="529" w:name="_Toc267261702"/>
      <w:bookmarkStart w:id="530" w:name="_Toc296891060"/>
      <w:bookmarkStart w:id="531" w:name="_Toc296891272"/>
      <w:bookmarkStart w:id="532" w:name="_Toc296944571"/>
      <w:r>
        <w:rPr>
          <w:rFonts w:hint="eastAsia" w:ascii="宋体" w:hAnsi="宋体" w:eastAsia="宋体" w:cs="宋体"/>
          <w:color w:val="auto"/>
          <w:sz w:val="24"/>
          <w:highlight w:val="none"/>
        </w:rPr>
        <w:t>件9 ：</w:t>
      </w:r>
    </w:p>
    <w:bookmarkEnd w:id="526"/>
    <w:bookmarkEnd w:id="527"/>
    <w:bookmarkEnd w:id="528"/>
    <w:bookmarkEnd w:id="529"/>
    <w:bookmarkEnd w:id="530"/>
    <w:bookmarkEnd w:id="531"/>
    <w:bookmarkEnd w:id="532"/>
    <w:p w14:paraId="0DC1F5E9">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w:t>
      </w:r>
    </w:p>
    <w:p w14:paraId="6503A9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（发包人名称）：</w:t>
      </w:r>
    </w:p>
    <w:p w14:paraId="5888E816">
      <w:pPr>
        <w:spacing w:line="360" w:lineRule="auto"/>
        <w:rPr>
          <w:rFonts w:hint="eastAsia" w:ascii="宋体" w:hAnsi="宋体" w:eastAsia="宋体" w:cs="宋体"/>
          <w:color w:val="auto"/>
          <w:szCs w:val="21"/>
          <w:highlight w:val="none"/>
        </w:rPr>
      </w:pPr>
    </w:p>
    <w:p w14:paraId="173C74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（承包人名称）（以下称“承包人”）与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（发包人名称）（以下简称“发包人”）于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53FC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62C8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2.担保有效期自预付款支付给承包人起生效，至你方签发的进度款支付证书说明已完全扣清止。</w:t>
      </w:r>
    </w:p>
    <w:p w14:paraId="17C319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2C157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4.你方和承包人按合同约定变更合同时，我方承担本保函规定的义务不变。</w:t>
      </w:r>
    </w:p>
    <w:p w14:paraId="3E4A035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5.因本保函发生的纠纷，可由双方协商解决，协商不成的，任何一方均可向工程所在地人民法院起诉。</w:t>
      </w:r>
    </w:p>
    <w:p w14:paraId="386EDF0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6.本保函自我方法定代表人（或其授权代理人）签字并加盖公章之日起生效。</w:t>
      </w:r>
    </w:p>
    <w:p w14:paraId="106EA86C">
      <w:pPr>
        <w:spacing w:line="360" w:lineRule="auto"/>
        <w:rPr>
          <w:rFonts w:hint="eastAsia" w:ascii="宋体" w:hAnsi="宋体" w:eastAsia="宋体" w:cs="宋体"/>
          <w:color w:val="auto"/>
          <w:szCs w:val="21"/>
          <w:highlight w:val="none"/>
        </w:rPr>
      </w:pPr>
    </w:p>
    <w:p w14:paraId="003FF667">
      <w:pPr>
        <w:spacing w:line="360" w:lineRule="auto"/>
        <w:rPr>
          <w:rFonts w:hint="eastAsia" w:ascii="宋体" w:hAnsi="宋体" w:eastAsia="宋体" w:cs="宋体"/>
          <w:color w:val="auto"/>
          <w:szCs w:val="21"/>
          <w:highlight w:val="none"/>
        </w:rPr>
      </w:pPr>
    </w:p>
    <w:p w14:paraId="30DC85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16FEBA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54DEF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59DD4C0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19BA17E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1334130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4FCB7F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CDB2762">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color w:val="auto"/>
          <w:sz w:val="24"/>
          <w:highlight w:val="none"/>
        </w:rPr>
        <w:t>附</w:t>
      </w:r>
      <w:bookmarkStart w:id="533" w:name="_Toc296944572"/>
      <w:bookmarkStart w:id="534" w:name="_Toc296503233"/>
      <w:bookmarkStart w:id="535" w:name="_Toc296347232"/>
      <w:bookmarkStart w:id="536" w:name="_Toc296891061"/>
      <w:bookmarkStart w:id="537" w:name="_Toc296346734"/>
      <w:bookmarkStart w:id="538" w:name="_Toc296891273"/>
      <w:r>
        <w:rPr>
          <w:rFonts w:hint="eastAsia" w:ascii="宋体" w:hAnsi="宋体" w:eastAsia="宋体" w:cs="宋体"/>
          <w:color w:val="auto"/>
          <w:sz w:val="24"/>
          <w:highlight w:val="none"/>
        </w:rPr>
        <w:t xml:space="preserve">件10:  </w:t>
      </w:r>
    </w:p>
    <w:bookmarkEnd w:id="533"/>
    <w:bookmarkEnd w:id="534"/>
    <w:bookmarkEnd w:id="535"/>
    <w:bookmarkEnd w:id="536"/>
    <w:bookmarkEnd w:id="537"/>
    <w:bookmarkEnd w:id="538"/>
    <w:p w14:paraId="0E82B75E">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支付担保</w:t>
      </w:r>
    </w:p>
    <w:p w14:paraId="47C13FAE">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w:t>
      </w:r>
    </w:p>
    <w:p w14:paraId="5BB4C855">
      <w:pPr>
        <w:spacing w:line="440" w:lineRule="exact"/>
        <w:jc w:val="left"/>
        <w:rPr>
          <w:rFonts w:hint="eastAsia" w:ascii="宋体" w:hAnsi="宋体" w:eastAsia="宋体" w:cs="宋体"/>
          <w:color w:val="auto"/>
          <w:szCs w:val="21"/>
          <w:highlight w:val="none"/>
        </w:rPr>
      </w:pPr>
    </w:p>
    <w:p w14:paraId="417641B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鉴于你方作为承包人已经与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70C3E55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14:paraId="26422EF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1.我方的保证范围是主合同约定的工程款。</w:t>
      </w:r>
    </w:p>
    <w:p w14:paraId="5410BD61">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2.本保函所称主合同约定的工程款是指主合同约定的除工程质量保证金以外的合同价款。</w:t>
      </w:r>
    </w:p>
    <w:p w14:paraId="213E118D">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3.我方保证的金额是主合同约定的工程款的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%，数额最高不超过人民币元（大写：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534037F">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14:paraId="1776FE9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1.我方保证的方式为：连带责任保证。</w:t>
      </w:r>
    </w:p>
    <w:p w14:paraId="4B11F6CB">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2.我方保证的期间为：自本合同生效之日起至主合同约定的工程款支付完毕之日后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p w14:paraId="0B35A0F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3.你方与发包人协议变更工程款支付日期的，经我方书面同意后，保证期间按照变更后的支付日期做相应调整。</w:t>
      </w:r>
    </w:p>
    <w:p w14:paraId="236CE7B1">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14:paraId="2401417A">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我方承担保证责任的形式是代为支付。发包人未按主合同约定向你方支付工程款的，由我方在保证金额内代为支付。</w:t>
      </w:r>
    </w:p>
    <w:p w14:paraId="5F39A66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41B2C43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1.你方要求我方承担保证责任的，应向我方发出书面索赔通知及发包人未支付主合同约定工程款的证明材料。索赔通知应写明要求索赔的金额，支付款项应到达的账号。</w:t>
      </w:r>
    </w:p>
    <w:p w14:paraId="021F692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0A119C7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3.我方收到你方的书面索赔通知及相应的证明材料后７天内无条件支付。</w:t>
      </w:r>
    </w:p>
    <w:p w14:paraId="60AD3E6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14:paraId="713FE1D4">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1.在本保函承诺的保证期间内，你方未书面向我方主张保证责任的，自保证期间届满次日起，我方保证责任解除。</w:t>
      </w:r>
    </w:p>
    <w:p w14:paraId="3AC76C9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2.发包人按主合同约定履行了工程款的全部支付义务的，自本保函承诺的保证期间届满次日起，我方保证责任解除。</w:t>
      </w:r>
    </w:p>
    <w:p w14:paraId="0F9CB58B">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3.我方按照本保函向你方履行保证责任所支付金额达到本保函保证金额时，自我方向你方支付（支付款项从我方账户划出）之日起，保证责任即解除。</w:t>
      </w:r>
    </w:p>
    <w:p w14:paraId="09ED583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4.按照法律法规的规定或出现应解除我方保证责任的其他情形的，我方在本保函项下的保证责任亦解除。</w:t>
      </w:r>
    </w:p>
    <w:p w14:paraId="715CCFDF">
      <w:pPr>
        <w:spacing w:line="312" w:lineRule="auto"/>
        <w:jc w:val="left"/>
        <w:rPr>
          <w:rFonts w:hint="eastAsia" w:ascii="宋体" w:hAnsi="宋体" w:eastAsia="宋体" w:cs="宋体"/>
          <w:color w:val="auto"/>
          <w:szCs w:val="21"/>
          <w:highlight w:val="none"/>
        </w:rPr>
      </w:pPr>
    </w:p>
    <w:p w14:paraId="109FA53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5.我方解除保证责任后，你方应自我方保证责任解除之日起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个工作日内，将本保函原件返还我方。</w:t>
      </w:r>
    </w:p>
    <w:p w14:paraId="5790C9A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6893D8E3">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1.因你方违约致使发包人不能履行义务的，我方不承担保证责任。</w:t>
      </w:r>
    </w:p>
    <w:p w14:paraId="0AF46D8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2.依照法律法规的规定或你方与发包人的另行约定，免除发包人部分或全部义务的，我方亦免除其相应的保证责任。</w:t>
      </w:r>
    </w:p>
    <w:p w14:paraId="5E1AD7EA">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46DA203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4.因不可抗力造成发包人不能履行义务的，我方不承担保证责任。</w:t>
      </w:r>
    </w:p>
    <w:p w14:paraId="3912F9FB">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七、争议解决</w:t>
      </w:r>
    </w:p>
    <w:p w14:paraId="280CF2C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因本保函或本保函相关事项发生的纠纷，可由双方协商解决，协商不成的，按下列第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种方式解决：</w:t>
      </w:r>
    </w:p>
    <w:p w14:paraId="13CA283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仲裁委员会申请仲裁；</w:t>
      </w:r>
    </w:p>
    <w:p w14:paraId="4D7585BE">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工程所在地</w:t>
      </w:r>
      <w:r>
        <w:rPr>
          <w:rFonts w:hint="eastAsia" w:ascii="宋体" w:hAnsi="宋体" w:eastAsia="宋体" w:cs="宋体"/>
          <w:color w:val="auto"/>
          <w:szCs w:val="21"/>
          <w:highlight w:val="none"/>
        </w:rPr>
        <w:t>人民法院起诉。</w:t>
      </w:r>
    </w:p>
    <w:p w14:paraId="3098B9F8">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14:paraId="6E2320C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本保函自我方法定代表人（或其授权代理人）签字并加盖公章之日起生效。</w:t>
      </w:r>
    </w:p>
    <w:p w14:paraId="54AE6423">
      <w:pPr>
        <w:spacing w:line="312" w:lineRule="auto"/>
        <w:ind w:firstLine="420" w:firstLineChars="200"/>
        <w:jc w:val="left"/>
        <w:rPr>
          <w:rFonts w:hint="eastAsia" w:ascii="宋体" w:hAnsi="宋体" w:eastAsia="宋体" w:cs="宋体"/>
          <w:color w:val="auto"/>
          <w:szCs w:val="21"/>
          <w:highlight w:val="none"/>
        </w:rPr>
      </w:pPr>
    </w:p>
    <w:p w14:paraId="414482BC">
      <w:pPr>
        <w:spacing w:line="312" w:lineRule="auto"/>
        <w:ind w:firstLine="420" w:firstLineChars="200"/>
        <w:jc w:val="left"/>
        <w:rPr>
          <w:rFonts w:hint="eastAsia" w:ascii="宋体" w:hAnsi="宋体" w:eastAsia="宋体" w:cs="宋体"/>
          <w:color w:val="auto"/>
          <w:szCs w:val="21"/>
          <w:highlight w:val="none"/>
        </w:rPr>
      </w:pPr>
    </w:p>
    <w:p w14:paraId="7C582EF9">
      <w:pPr>
        <w:spacing w:line="312" w:lineRule="auto"/>
        <w:ind w:right="6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E0F0E00">
      <w:pPr>
        <w:spacing w:line="312" w:lineRule="auto"/>
        <w:ind w:right="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02990679">
      <w:pPr>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4399F5B9">
      <w:pPr>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047482AB">
      <w:pPr>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04C5970B">
      <w:pPr>
        <w:spacing w:line="312" w:lineRule="auto"/>
        <w:ind w:right="150" w:firstLine="420" w:firstLineChars="200"/>
        <w:jc w:val="left"/>
        <w:rPr>
          <w:rFonts w:hint="eastAsia" w:ascii="宋体" w:hAnsi="宋体" w:eastAsia="宋体" w:cs="宋体"/>
          <w:color w:val="auto"/>
          <w:szCs w:val="21"/>
          <w:highlight w:val="none"/>
          <w:u w:val="single"/>
        </w:rPr>
      </w:pPr>
    </w:p>
    <w:p w14:paraId="2B4027F6">
      <w:pPr>
        <w:spacing w:line="312" w:lineRule="auto"/>
        <w:ind w:right="150"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749CD3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附件11：</w:t>
      </w:r>
    </w:p>
    <w:p w14:paraId="45530123">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11-1：材料暂估价表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E670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C5F781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984" w:type="dxa"/>
            <w:tcBorders>
              <w:top w:val="single" w:color="auto" w:sz="12" w:space="0"/>
              <w:bottom w:val="double" w:color="auto" w:sz="6" w:space="0"/>
            </w:tcBorders>
          </w:tcPr>
          <w:p w14:paraId="158F55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名称</w:t>
            </w:r>
          </w:p>
        </w:tc>
        <w:tc>
          <w:tcPr>
            <w:tcW w:w="851" w:type="dxa"/>
            <w:tcBorders>
              <w:top w:val="single" w:color="auto" w:sz="12" w:space="0"/>
              <w:bottom w:val="double" w:color="auto" w:sz="6" w:space="0"/>
            </w:tcBorders>
          </w:tcPr>
          <w:p w14:paraId="36DDBF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774" w:type="dxa"/>
            <w:tcBorders>
              <w:top w:val="single" w:color="auto" w:sz="12" w:space="0"/>
              <w:bottom w:val="double" w:color="auto" w:sz="6" w:space="0"/>
            </w:tcBorders>
          </w:tcPr>
          <w:p w14:paraId="740E1E4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352" w:type="dxa"/>
            <w:tcBorders>
              <w:top w:val="single" w:color="auto" w:sz="12" w:space="0"/>
              <w:bottom w:val="double" w:color="auto" w:sz="6" w:space="0"/>
            </w:tcBorders>
          </w:tcPr>
          <w:p w14:paraId="5CAC04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1418" w:type="dxa"/>
            <w:tcBorders>
              <w:top w:val="single" w:color="auto" w:sz="12" w:space="0"/>
              <w:bottom w:val="double" w:color="auto" w:sz="6" w:space="0"/>
            </w:tcBorders>
          </w:tcPr>
          <w:p w14:paraId="4E28F45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合价（元）</w:t>
            </w:r>
          </w:p>
        </w:tc>
        <w:tc>
          <w:tcPr>
            <w:tcW w:w="1701" w:type="dxa"/>
            <w:tcBorders>
              <w:top w:val="single" w:color="auto" w:sz="12" w:space="0"/>
              <w:bottom w:val="double" w:color="auto" w:sz="6" w:space="0"/>
            </w:tcBorders>
          </w:tcPr>
          <w:p w14:paraId="1433483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3CC52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144580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double" w:color="auto" w:sz="6" w:space="0"/>
              <w:bottom w:val="single" w:color="auto" w:sz="6" w:space="0"/>
            </w:tcBorders>
          </w:tcPr>
          <w:p w14:paraId="55F30A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tcPr>
          <w:p w14:paraId="67E8613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double" w:color="auto" w:sz="6" w:space="0"/>
              <w:bottom w:val="single" w:color="auto" w:sz="6" w:space="0"/>
            </w:tcBorders>
          </w:tcPr>
          <w:p w14:paraId="58E587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double" w:color="auto" w:sz="6" w:space="0"/>
              <w:bottom w:val="single" w:color="auto" w:sz="6" w:space="0"/>
            </w:tcBorders>
          </w:tcPr>
          <w:p w14:paraId="78982FC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tcPr>
          <w:p w14:paraId="016E7AE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double" w:color="auto" w:sz="6" w:space="0"/>
              <w:bottom w:val="single" w:color="auto" w:sz="6" w:space="0"/>
            </w:tcBorders>
          </w:tcPr>
          <w:p w14:paraId="066DC90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8A14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2FA18C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nil"/>
            </w:tcBorders>
          </w:tcPr>
          <w:p w14:paraId="7F95A88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tcPr>
          <w:p w14:paraId="2B6FA7F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nil"/>
            </w:tcBorders>
          </w:tcPr>
          <w:p w14:paraId="758AEB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nil"/>
            </w:tcBorders>
          </w:tcPr>
          <w:p w14:paraId="6D85A9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tcPr>
          <w:p w14:paraId="3BBB3E6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nil"/>
            </w:tcBorders>
          </w:tcPr>
          <w:p w14:paraId="19554E1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D95C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44E63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43FBA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BDE914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47924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6722B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502BB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4E4EE4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4BA9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A6109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ED817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30F1E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616E79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7BF9BA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CC2D2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907A11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4F9E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AB807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F6C9FD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53CB49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4E851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F89B8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1691CB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88016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2608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7E3C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FE850B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E6C61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EDAE07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DE2DC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434413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5B9578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83C1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BAB46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4A7539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23DC9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766309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6622B2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F1F4AE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E88FC1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6192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E014C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38B38B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F0AC2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AE4FC2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DA9458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1DDD13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5B1190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7682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1E1F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7B4A7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886B2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2850AA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4F78A4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77FBF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AE8FE1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B9B1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E87B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1DE360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4CB86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EF8B1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5BA40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54AC7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0D80D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78E9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27EE3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1EB2B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5F252B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C5CA4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9238B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3B23C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7CF52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BA9A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647FB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1840F1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2445C3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393A3D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2016FE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C2EFA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1146940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221A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AFB2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0521C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918183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C65174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D3A9B7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4C6BFA2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56797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EF9F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AC95F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8015EE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7A26C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D21C2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32FA45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5C11A9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C24E8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F4D6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2CAA4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78C2B1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75D38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E5B62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2E3AD5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37E40F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D902E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F38A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27308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57D418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147780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DD4E0B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ABC9D9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0F6D2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7F14D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90C5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97D2F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785CA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2B504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57CA6D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A182A4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C1A4F1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858FD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E6E7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30F9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6D553B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0F9C8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98DF71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64C513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8D3B4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CD264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D89D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40D1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7A782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04DE4C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74E27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C5F223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8B176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1B2174C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699DC7F4">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11-2：工程设备暂估价表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1C86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50CB9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984" w:type="dxa"/>
            <w:tcBorders>
              <w:top w:val="single" w:color="auto" w:sz="12" w:space="0"/>
              <w:bottom w:val="double" w:color="auto" w:sz="6" w:space="0"/>
            </w:tcBorders>
          </w:tcPr>
          <w:p w14:paraId="3427DB0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名称</w:t>
            </w:r>
          </w:p>
        </w:tc>
        <w:tc>
          <w:tcPr>
            <w:tcW w:w="851" w:type="dxa"/>
            <w:tcBorders>
              <w:top w:val="single" w:color="auto" w:sz="12" w:space="0"/>
              <w:bottom w:val="double" w:color="auto" w:sz="6" w:space="0"/>
            </w:tcBorders>
          </w:tcPr>
          <w:p w14:paraId="780A1E1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774" w:type="dxa"/>
            <w:tcBorders>
              <w:top w:val="single" w:color="auto" w:sz="12" w:space="0"/>
              <w:bottom w:val="double" w:color="auto" w:sz="6" w:space="0"/>
            </w:tcBorders>
          </w:tcPr>
          <w:p w14:paraId="373138F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352" w:type="dxa"/>
            <w:tcBorders>
              <w:top w:val="single" w:color="auto" w:sz="12" w:space="0"/>
              <w:bottom w:val="double" w:color="auto" w:sz="6" w:space="0"/>
            </w:tcBorders>
          </w:tcPr>
          <w:p w14:paraId="76622E4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1418" w:type="dxa"/>
            <w:tcBorders>
              <w:top w:val="single" w:color="auto" w:sz="12" w:space="0"/>
              <w:bottom w:val="double" w:color="auto" w:sz="6" w:space="0"/>
            </w:tcBorders>
          </w:tcPr>
          <w:p w14:paraId="2F95FA2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合价（元）</w:t>
            </w:r>
          </w:p>
        </w:tc>
        <w:tc>
          <w:tcPr>
            <w:tcW w:w="1701" w:type="dxa"/>
            <w:tcBorders>
              <w:top w:val="single" w:color="auto" w:sz="12" w:space="0"/>
              <w:bottom w:val="double" w:color="auto" w:sz="6" w:space="0"/>
            </w:tcBorders>
          </w:tcPr>
          <w:p w14:paraId="27AAE2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1BB49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154823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double" w:color="auto" w:sz="6" w:space="0"/>
              <w:bottom w:val="single" w:color="auto" w:sz="6" w:space="0"/>
            </w:tcBorders>
          </w:tcPr>
          <w:p w14:paraId="02155F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tcPr>
          <w:p w14:paraId="090E44B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double" w:color="auto" w:sz="6" w:space="0"/>
              <w:bottom w:val="single" w:color="auto" w:sz="6" w:space="0"/>
            </w:tcBorders>
          </w:tcPr>
          <w:p w14:paraId="036FFC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double" w:color="auto" w:sz="6" w:space="0"/>
              <w:bottom w:val="single" w:color="auto" w:sz="6" w:space="0"/>
            </w:tcBorders>
          </w:tcPr>
          <w:p w14:paraId="7A3A66A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tcPr>
          <w:p w14:paraId="2D818AB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double" w:color="auto" w:sz="6" w:space="0"/>
              <w:bottom w:val="single" w:color="auto" w:sz="6" w:space="0"/>
            </w:tcBorders>
          </w:tcPr>
          <w:p w14:paraId="5DB2495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45CB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96FC60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nil"/>
            </w:tcBorders>
          </w:tcPr>
          <w:p w14:paraId="500C6C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tcPr>
          <w:p w14:paraId="07AF58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nil"/>
            </w:tcBorders>
          </w:tcPr>
          <w:p w14:paraId="6CE484F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nil"/>
            </w:tcBorders>
          </w:tcPr>
          <w:p w14:paraId="15CEDC7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tcPr>
          <w:p w14:paraId="3BEC932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nil"/>
            </w:tcBorders>
          </w:tcPr>
          <w:p w14:paraId="7DD520E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3728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2F1D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B8CD9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576525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741F6B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8A301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0816E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07715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5794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B0DA0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7A9AF7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3BC34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638EF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144DE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A10AC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CBA63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FEC3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C7306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F99727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CC9AAF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FB03D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730DF2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8ECC3B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E1DFF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E47E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0087B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063F32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57471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7F24641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220982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77ADD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F96FB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E3AD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71310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C7304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378FC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37F78B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C47A78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3F1C63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D4E41B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B350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D5A7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C83BA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49EBC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8C462A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109F52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660F2B3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EF8D5F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32FC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1CCFF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5628D1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0CAC5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E0E6B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A3DAA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AC1893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DB9279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FAF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1D623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E4EC1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E5702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B0C44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0B0ED0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E816BD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61342E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04A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0CE94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85DBE2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F54C01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15A686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4652CC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873F9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42F05F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5151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A75F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F155D1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1A0A02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A2CFAD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AA001E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477658D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23BA4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D863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2448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F0C3E9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3CB28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3E97F3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FC3328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E7670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0C3404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9F54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EE1C3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CBC69D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335B9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F1352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35314A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54B96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FCBD6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99D1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F240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5AFF9B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B0CA71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F74137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31BE0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F73E2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BBDC0E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1047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DB195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567962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1F7A8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51217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2291BD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E1F1D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ABC332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8A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6D590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7FCC0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66924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AB3EC7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38337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6BEFFC7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0B47F7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145E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7159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38C40F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6A5EC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675564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E7AD84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9C8CFE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7DC80C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4522E9F0">
      <w:pPr>
        <w:spacing w:line="440" w:lineRule="exact"/>
        <w:rPr>
          <w:rFonts w:hint="eastAsia" w:ascii="宋体" w:hAnsi="宋体" w:eastAsia="宋体" w:cs="宋体"/>
          <w:color w:val="auto"/>
          <w:sz w:val="24"/>
          <w:highlight w:val="none"/>
        </w:rPr>
      </w:pPr>
    </w:p>
    <w:p w14:paraId="67756A43">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11-3：专业工程暂估价表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AF60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E7A708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984" w:type="dxa"/>
            <w:tcBorders>
              <w:top w:val="single" w:color="auto" w:sz="12" w:space="0"/>
              <w:bottom w:val="double" w:color="auto" w:sz="6" w:space="0"/>
            </w:tcBorders>
          </w:tcPr>
          <w:p w14:paraId="5A3B72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名称</w:t>
            </w:r>
          </w:p>
        </w:tc>
        <w:tc>
          <w:tcPr>
            <w:tcW w:w="851" w:type="dxa"/>
            <w:tcBorders>
              <w:top w:val="single" w:color="auto" w:sz="12" w:space="0"/>
              <w:bottom w:val="double" w:color="auto" w:sz="6" w:space="0"/>
            </w:tcBorders>
          </w:tcPr>
          <w:p w14:paraId="35A5D1E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774" w:type="dxa"/>
            <w:tcBorders>
              <w:top w:val="single" w:color="auto" w:sz="12" w:space="0"/>
              <w:bottom w:val="double" w:color="auto" w:sz="6" w:space="0"/>
            </w:tcBorders>
          </w:tcPr>
          <w:p w14:paraId="3572667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352" w:type="dxa"/>
            <w:tcBorders>
              <w:top w:val="single" w:color="auto" w:sz="12" w:space="0"/>
              <w:bottom w:val="double" w:color="auto" w:sz="6" w:space="0"/>
            </w:tcBorders>
          </w:tcPr>
          <w:p w14:paraId="00D2552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1418" w:type="dxa"/>
            <w:tcBorders>
              <w:top w:val="single" w:color="auto" w:sz="12" w:space="0"/>
              <w:bottom w:val="double" w:color="auto" w:sz="6" w:space="0"/>
            </w:tcBorders>
          </w:tcPr>
          <w:p w14:paraId="201A66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合价（元）</w:t>
            </w:r>
          </w:p>
        </w:tc>
        <w:tc>
          <w:tcPr>
            <w:tcW w:w="1701" w:type="dxa"/>
            <w:tcBorders>
              <w:top w:val="single" w:color="auto" w:sz="12" w:space="0"/>
              <w:bottom w:val="double" w:color="auto" w:sz="6" w:space="0"/>
            </w:tcBorders>
          </w:tcPr>
          <w:p w14:paraId="2FE1F80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436E0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B06F3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double" w:color="auto" w:sz="6" w:space="0"/>
              <w:bottom w:val="single" w:color="auto" w:sz="6" w:space="0"/>
            </w:tcBorders>
          </w:tcPr>
          <w:p w14:paraId="74BC40F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tcPr>
          <w:p w14:paraId="7514EF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double" w:color="auto" w:sz="6" w:space="0"/>
              <w:bottom w:val="single" w:color="auto" w:sz="6" w:space="0"/>
            </w:tcBorders>
          </w:tcPr>
          <w:p w14:paraId="3F3B9B0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double" w:color="auto" w:sz="6" w:space="0"/>
              <w:bottom w:val="single" w:color="auto" w:sz="6" w:space="0"/>
            </w:tcBorders>
          </w:tcPr>
          <w:p w14:paraId="6CB7845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tcPr>
          <w:p w14:paraId="575D79F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double" w:color="auto" w:sz="6" w:space="0"/>
              <w:bottom w:val="single" w:color="auto" w:sz="6" w:space="0"/>
            </w:tcBorders>
          </w:tcPr>
          <w:p w14:paraId="381CC99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DF5F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FD808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nil"/>
            </w:tcBorders>
          </w:tcPr>
          <w:p w14:paraId="4DCFD01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tcPr>
          <w:p w14:paraId="387001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nil"/>
            </w:tcBorders>
          </w:tcPr>
          <w:p w14:paraId="3BFAC1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nil"/>
            </w:tcBorders>
          </w:tcPr>
          <w:p w14:paraId="1DDA25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tcPr>
          <w:p w14:paraId="54EF729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nil"/>
            </w:tcBorders>
          </w:tcPr>
          <w:p w14:paraId="010CAA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5F02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F485F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FC4E5D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FB26C6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AF4A81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6E0846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E44DA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27D8F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CC57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2D47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614E3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A7174D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D9B67B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DE7BA7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DEA3EC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E772B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8A58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C45F9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B9423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D29C5E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769A9DF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4A9EAD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5A1F3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1006EC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585E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20E24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29553E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5C0687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17347E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E9A8A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9BEC26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6340A9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6FCA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A5F93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356581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27D810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3CAF4E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C213C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22254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A032DB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F960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2F849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7FE13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930D25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71036A3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B0F9D4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1123F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41187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C07F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BD606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E27542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5D48A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5D04A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2CC993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E1EEE2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3A3553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A270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D1DC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6057DE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BBC11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9050F7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22E2DA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09A441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9324FA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751A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4C233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4EEFB1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F22CD7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5300A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F18F8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C092D5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71E0F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8C2C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6409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2DE45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429C9B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22BE9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9AE031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3B9D8D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BC03BC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9702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8519E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74039D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5F7D56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FC2CA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EE43FC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56FA5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72B76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A5A1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4F5D9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2C5DB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B8728F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B3B938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796746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1FDA59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AC533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212E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56BB0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35189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A16E52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B61D77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393E95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C6A904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F2DFB6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3A58F350">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16134F5">
      <w:pPr>
        <w:shd w:val="clea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501"/>
      <w:r>
        <w:rPr>
          <w:rFonts w:hint="eastAsia" w:ascii="宋体" w:hAnsi="宋体" w:cs="宋体"/>
          <w:b/>
          <w:color w:val="auto"/>
          <w:sz w:val="36"/>
          <w:szCs w:val="20"/>
          <w:highlight w:val="none"/>
        </w:rPr>
        <w:t xml:space="preserve"> </w:t>
      </w:r>
      <w:bookmarkEnd w:id="502"/>
      <w:r>
        <w:rPr>
          <w:rFonts w:hint="eastAsia" w:ascii="宋体" w:hAnsi="宋体" w:cs="宋体"/>
          <w:b/>
          <w:color w:val="auto"/>
          <w:sz w:val="36"/>
          <w:szCs w:val="20"/>
          <w:highlight w:val="none"/>
        </w:rPr>
        <w:t>应提交的有关格式范例</w:t>
      </w:r>
    </w:p>
    <w:p w14:paraId="7DFEFC3A">
      <w:pPr>
        <w:shd w:val="clear"/>
        <w:spacing w:line="360" w:lineRule="auto"/>
        <w:jc w:val="center"/>
        <w:outlineLvl w:val="0"/>
        <w:rPr>
          <w:rFonts w:ascii="宋体" w:hAnsi="宋体" w:cs="宋体"/>
          <w:b/>
          <w:color w:val="auto"/>
          <w:kern w:val="0"/>
          <w:sz w:val="36"/>
          <w:szCs w:val="36"/>
          <w:highlight w:val="none"/>
        </w:rPr>
      </w:pPr>
    </w:p>
    <w:p w14:paraId="7EE66AEB">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hd w:val="clear"/>
        <w:spacing w:line="360" w:lineRule="auto"/>
        <w:jc w:val="center"/>
        <w:outlineLvl w:val="0"/>
        <w:rPr>
          <w:rFonts w:ascii="宋体" w:hAnsi="宋体" w:cs="宋体"/>
          <w:b/>
          <w:color w:val="auto"/>
          <w:kern w:val="0"/>
          <w:sz w:val="36"/>
          <w:szCs w:val="36"/>
          <w:highlight w:val="none"/>
        </w:rPr>
      </w:pPr>
    </w:p>
    <w:p w14:paraId="463A749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hd w:val="clear"/>
        <w:snapToGrid w:val="0"/>
        <w:spacing w:line="360" w:lineRule="auto"/>
        <w:ind w:firstLine="480" w:firstLineChars="200"/>
        <w:rPr>
          <w:rFonts w:ascii="宋体" w:hAnsi="宋体" w:cs="宋体"/>
          <w:color w:val="auto"/>
          <w:sz w:val="24"/>
          <w:highlight w:val="none"/>
        </w:rPr>
      </w:pPr>
    </w:p>
    <w:p w14:paraId="4922933F">
      <w:pPr>
        <w:shd w:val="clear"/>
        <w:spacing w:line="360" w:lineRule="auto"/>
        <w:ind w:firstLine="480" w:firstLineChars="200"/>
        <w:rPr>
          <w:rFonts w:ascii="宋体" w:hAnsi="宋体" w:cs="宋体"/>
          <w:color w:val="auto"/>
          <w:sz w:val="24"/>
          <w:highlight w:val="none"/>
        </w:rPr>
      </w:pPr>
    </w:p>
    <w:p w14:paraId="5D151BC0">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杭州市胜蓝实验小学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088DDFE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胜蓝实验小学东新园校区维修改造工程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HSZB-2025-868</w:t>
      </w:r>
      <w:r>
        <w:rPr>
          <w:rFonts w:hint="eastAsia" w:ascii="宋体" w:hAnsi="宋体" w:cs="宋体"/>
          <w:color w:val="auto"/>
          <w:sz w:val="24"/>
          <w:highlight w:val="none"/>
        </w:rPr>
        <w:t>】政府采购活动，郑重承诺：</w:t>
      </w:r>
    </w:p>
    <w:p w14:paraId="07471751">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152D72">
      <w:pPr>
        <w:shd w:val="clear"/>
        <w:snapToGrid w:val="0"/>
        <w:spacing w:line="360" w:lineRule="auto"/>
        <w:ind w:right="480"/>
        <w:jc w:val="center"/>
        <w:rPr>
          <w:rFonts w:ascii="宋体" w:hAnsi="宋体" w:cs="宋体"/>
          <w:b/>
          <w:color w:val="auto"/>
          <w:kern w:val="0"/>
          <w:sz w:val="32"/>
          <w:szCs w:val="32"/>
          <w:highlight w:val="none"/>
        </w:rPr>
        <w:sectPr>
          <w:headerReference r:id="rId16" w:type="first"/>
          <w:footerReference r:id="rId18" w:type="first"/>
          <w:footerReference r:id="rId17" w:type="default"/>
          <w:pgSz w:w="11906" w:h="16838"/>
          <w:pgMar w:top="1440" w:right="1080" w:bottom="1440" w:left="1080" w:header="851" w:footer="992" w:gutter="0"/>
          <w:cols w:space="720" w:num="1"/>
          <w:titlePg/>
          <w:docGrid w:linePitch="312" w:charSpace="0"/>
        </w:sectPr>
      </w:pPr>
    </w:p>
    <w:p w14:paraId="7D9FF88D">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F5D06AE">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hd w:val="clear"/>
        <w:spacing w:line="360" w:lineRule="auto"/>
        <w:ind w:firstLine="480"/>
        <w:jc w:val="left"/>
        <w:rPr>
          <w:rFonts w:ascii="宋体" w:hAnsi="宋体" w:cs="宋体"/>
          <w:color w:val="auto"/>
          <w:sz w:val="24"/>
          <w:highlight w:val="none"/>
        </w:rPr>
      </w:pPr>
    </w:p>
    <w:p w14:paraId="27BBBE1F">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hd w:val="clear"/>
        <w:spacing w:line="360" w:lineRule="auto"/>
        <w:ind w:left="150"/>
        <w:jc w:val="center"/>
        <w:rPr>
          <w:rFonts w:ascii="宋体" w:hAnsi="宋体" w:cs="宋体"/>
          <w:b/>
          <w:color w:val="auto"/>
          <w:kern w:val="0"/>
          <w:sz w:val="32"/>
          <w:szCs w:val="32"/>
          <w:highlight w:val="none"/>
        </w:rPr>
      </w:pPr>
    </w:p>
    <w:p w14:paraId="51174462">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shd w:val="clear"/>
        <w:rPr>
          <w:rFonts w:ascii="宋体" w:hAnsi="宋体" w:cs="宋体"/>
          <w:color w:val="auto"/>
          <w:highlight w:val="none"/>
        </w:rPr>
      </w:pPr>
    </w:p>
    <w:p w14:paraId="2BA786C8">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5"/>
        <w:shd w:val="clear"/>
        <w:rPr>
          <w:rFonts w:ascii="宋体" w:hAnsi="宋体" w:cs="宋体"/>
          <w:b w:val="0"/>
          <w:color w:val="auto"/>
          <w:kern w:val="0"/>
          <w:sz w:val="36"/>
          <w:szCs w:val="36"/>
          <w:highlight w:val="none"/>
        </w:rPr>
      </w:pPr>
    </w:p>
    <w:p w14:paraId="74F898BC">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B0C9B61">
      <w:pPr>
        <w:shd w:val="clea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杭州市胜蓝实验小学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18873AE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胜蓝实验小学东新园校区维修改造工程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HSZB-2025-868</w:t>
      </w:r>
      <w:r>
        <w:rPr>
          <w:rFonts w:hint="eastAsia" w:ascii="宋体" w:hAnsi="宋体" w:cs="宋体"/>
          <w:color w:val="auto"/>
          <w:sz w:val="24"/>
          <w:highlight w:val="none"/>
        </w:rPr>
        <w:t>】采购的有关活动，并对此项目提交响应文件及报价。为此：</w:t>
      </w:r>
    </w:p>
    <w:p w14:paraId="334BB61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2"/>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306655B">
      <w:pPr>
        <w:shd w:val="clear"/>
        <w:snapToGrid w:val="0"/>
        <w:spacing w:line="360" w:lineRule="auto"/>
        <w:ind w:firstLine="480" w:firstLineChars="200"/>
        <w:rPr>
          <w:rFonts w:ascii="宋体" w:hAnsi="宋体" w:cs="宋体"/>
          <w:color w:val="auto"/>
          <w:sz w:val="24"/>
          <w:highlight w:val="none"/>
        </w:rPr>
      </w:pPr>
    </w:p>
    <w:p w14:paraId="142253B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5CC3895D">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hd w:val="clear"/>
        <w:snapToGrid w:val="0"/>
        <w:spacing w:line="360" w:lineRule="auto"/>
        <w:jc w:val="center"/>
        <w:rPr>
          <w:rFonts w:ascii="宋体" w:hAnsi="宋体" w:cs="宋体"/>
          <w:b/>
          <w:color w:val="auto"/>
          <w:kern w:val="0"/>
          <w:sz w:val="32"/>
          <w:szCs w:val="32"/>
          <w:highlight w:val="none"/>
        </w:rPr>
      </w:pPr>
    </w:p>
    <w:p w14:paraId="575A18AD">
      <w:pPr>
        <w:shd w:val="clear"/>
        <w:snapToGrid w:val="0"/>
        <w:spacing w:line="360" w:lineRule="auto"/>
        <w:rPr>
          <w:rFonts w:ascii="宋体" w:hAnsi="宋体" w:cs="宋体"/>
          <w:color w:val="auto"/>
          <w:sz w:val="24"/>
          <w:highlight w:val="none"/>
        </w:rPr>
      </w:pPr>
    </w:p>
    <w:p w14:paraId="3CEB5F15">
      <w:pPr>
        <w:shd w:val="clear"/>
        <w:jc w:val="center"/>
        <w:rPr>
          <w:rFonts w:ascii="宋体" w:hAnsi="宋体" w:cs="宋体"/>
          <w:b/>
          <w:color w:val="auto"/>
          <w:kern w:val="0"/>
          <w:sz w:val="32"/>
          <w:szCs w:val="32"/>
          <w:highlight w:val="none"/>
        </w:rPr>
      </w:pPr>
    </w:p>
    <w:p w14:paraId="293E1D2D">
      <w:pPr>
        <w:shd w:val="clea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杭州市胜蓝实验小学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67F1BC8">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胜蓝实验小学东新园校区维修改造工程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hd w:val="clear"/>
        <w:snapToGrid w:val="0"/>
        <w:spacing w:line="360" w:lineRule="auto"/>
        <w:rPr>
          <w:rFonts w:ascii="宋体" w:hAnsi="宋体" w:cs="宋体"/>
          <w:color w:val="auto"/>
          <w:sz w:val="24"/>
          <w:highlight w:val="none"/>
        </w:rPr>
      </w:pPr>
    </w:p>
    <w:p w14:paraId="7A3FD01A">
      <w:pPr>
        <w:shd w:val="clear"/>
        <w:snapToGrid w:val="0"/>
        <w:spacing w:line="360" w:lineRule="auto"/>
        <w:rPr>
          <w:rFonts w:ascii="宋体" w:hAnsi="宋体" w:cs="宋体"/>
          <w:color w:val="auto"/>
          <w:sz w:val="24"/>
          <w:highlight w:val="none"/>
        </w:rPr>
      </w:pPr>
    </w:p>
    <w:p w14:paraId="664089D1">
      <w:pPr>
        <w:shd w:val="clear"/>
        <w:snapToGrid w:val="0"/>
        <w:spacing w:line="360" w:lineRule="auto"/>
        <w:rPr>
          <w:rFonts w:ascii="宋体" w:hAnsi="宋体" w:cs="宋体"/>
          <w:color w:val="auto"/>
          <w:sz w:val="24"/>
          <w:highlight w:val="none"/>
        </w:rPr>
      </w:pPr>
    </w:p>
    <w:p w14:paraId="0069B807">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杭州市胜蓝实验小学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3E20071">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胜蓝实验小学东新园校区维修改造工程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shd w:val="clear"/>
        <w:jc w:val="center"/>
        <w:rPr>
          <w:rFonts w:ascii="宋体" w:hAnsi="宋体" w:cs="宋体"/>
          <w:b/>
          <w:color w:val="auto"/>
          <w:kern w:val="0"/>
          <w:sz w:val="32"/>
          <w:szCs w:val="32"/>
          <w:highlight w:val="none"/>
        </w:rPr>
      </w:pPr>
    </w:p>
    <w:p w14:paraId="4EFF91B2">
      <w:pPr>
        <w:shd w:val="clear"/>
        <w:jc w:val="center"/>
        <w:rPr>
          <w:rFonts w:ascii="宋体" w:hAnsi="宋体" w:cs="宋体"/>
          <w:b/>
          <w:color w:val="auto"/>
          <w:kern w:val="0"/>
          <w:sz w:val="32"/>
          <w:szCs w:val="32"/>
          <w:highlight w:val="none"/>
        </w:rPr>
      </w:pPr>
    </w:p>
    <w:p w14:paraId="1B73AD52">
      <w:pPr>
        <w:shd w:val="clear"/>
        <w:jc w:val="center"/>
        <w:rPr>
          <w:rFonts w:ascii="宋体" w:hAnsi="宋体" w:cs="宋体"/>
          <w:b/>
          <w:color w:val="auto"/>
          <w:kern w:val="0"/>
          <w:sz w:val="32"/>
          <w:szCs w:val="32"/>
          <w:highlight w:val="none"/>
        </w:rPr>
      </w:pPr>
    </w:p>
    <w:p w14:paraId="36D3348E">
      <w:pPr>
        <w:shd w:val="clear"/>
        <w:rPr>
          <w:rFonts w:ascii="宋体" w:hAnsi="宋体" w:cs="宋体"/>
          <w:color w:val="auto"/>
          <w:highlight w:val="none"/>
        </w:rPr>
      </w:pPr>
    </w:p>
    <w:p w14:paraId="27479325">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hd w:val="clear"/>
        <w:snapToGrid w:val="0"/>
        <w:jc w:val="center"/>
        <w:rPr>
          <w:rFonts w:hint="eastAsia" w:ascii="宋体" w:hAnsi="宋体" w:cs="宋体"/>
          <w:b/>
          <w:bCs/>
          <w:color w:val="auto"/>
          <w:sz w:val="32"/>
          <w:szCs w:val="32"/>
          <w:highlight w:val="none"/>
          <w:lang w:val="zh-CN"/>
        </w:rPr>
      </w:pPr>
    </w:p>
    <w:p w14:paraId="7503DE52">
      <w:pPr>
        <w:shd w:val="clear"/>
        <w:snapToGrid w:val="0"/>
        <w:jc w:val="center"/>
        <w:rPr>
          <w:rFonts w:hint="eastAsia" w:ascii="宋体" w:hAnsi="宋体" w:cs="宋体"/>
          <w:b/>
          <w:bCs/>
          <w:color w:val="auto"/>
          <w:sz w:val="32"/>
          <w:szCs w:val="32"/>
          <w:highlight w:val="none"/>
          <w:lang w:val="zh-CN"/>
        </w:rPr>
      </w:pPr>
    </w:p>
    <w:p w14:paraId="5913899A">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49"/>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49"/>
              <w:shd w:val="clear"/>
              <w:adjustRightInd w:val="0"/>
              <w:spacing w:line="360" w:lineRule="auto"/>
              <w:rPr>
                <w:rFonts w:hAnsi="宋体" w:cs="宋体"/>
                <w:bCs/>
                <w:color w:val="auto"/>
                <w:sz w:val="24"/>
                <w:highlight w:val="none"/>
              </w:rPr>
            </w:pPr>
          </w:p>
        </w:tc>
      </w:tr>
    </w:tbl>
    <w:p w14:paraId="79821ADD">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shd w:val="clear"/>
        <w:jc w:val="center"/>
        <w:rPr>
          <w:rFonts w:ascii="宋体" w:hAnsi="宋体" w:cs="宋体"/>
          <w:b/>
          <w:color w:val="auto"/>
          <w:kern w:val="0"/>
          <w:sz w:val="32"/>
          <w:szCs w:val="32"/>
          <w:highlight w:val="none"/>
        </w:rPr>
      </w:pPr>
    </w:p>
    <w:p w14:paraId="31AC59AB">
      <w:pPr>
        <w:shd w:val="clear"/>
        <w:jc w:val="center"/>
        <w:rPr>
          <w:rFonts w:ascii="宋体" w:hAnsi="宋体" w:cs="宋体"/>
          <w:b/>
          <w:color w:val="auto"/>
          <w:kern w:val="0"/>
          <w:sz w:val="32"/>
          <w:szCs w:val="32"/>
          <w:highlight w:val="none"/>
        </w:rPr>
      </w:pPr>
    </w:p>
    <w:p w14:paraId="06433F0C">
      <w:pPr>
        <w:shd w:val="clear"/>
        <w:jc w:val="center"/>
        <w:rPr>
          <w:rFonts w:ascii="宋体" w:hAnsi="宋体" w:cs="宋体"/>
          <w:b/>
          <w:color w:val="auto"/>
          <w:kern w:val="0"/>
          <w:sz w:val="32"/>
          <w:szCs w:val="32"/>
          <w:highlight w:val="none"/>
        </w:rPr>
      </w:pPr>
    </w:p>
    <w:p w14:paraId="6D46462B">
      <w:pPr>
        <w:shd w:val="clear"/>
        <w:jc w:val="center"/>
        <w:rPr>
          <w:rFonts w:ascii="宋体" w:hAnsi="宋体" w:cs="宋体"/>
          <w:b/>
          <w:color w:val="auto"/>
          <w:kern w:val="0"/>
          <w:sz w:val="32"/>
          <w:szCs w:val="32"/>
          <w:highlight w:val="none"/>
        </w:rPr>
      </w:pPr>
    </w:p>
    <w:p w14:paraId="64520BA0">
      <w:pPr>
        <w:shd w:val="clear"/>
        <w:jc w:val="center"/>
        <w:rPr>
          <w:rFonts w:ascii="宋体" w:hAnsi="宋体" w:cs="宋体"/>
          <w:b/>
          <w:color w:val="auto"/>
          <w:kern w:val="0"/>
          <w:sz w:val="32"/>
          <w:szCs w:val="32"/>
          <w:highlight w:val="none"/>
        </w:rPr>
      </w:pPr>
    </w:p>
    <w:p w14:paraId="5BFAF008">
      <w:pPr>
        <w:shd w:val="clear"/>
        <w:jc w:val="center"/>
        <w:rPr>
          <w:rFonts w:ascii="宋体" w:hAnsi="宋体" w:cs="宋体"/>
          <w:b/>
          <w:color w:val="auto"/>
          <w:kern w:val="0"/>
          <w:sz w:val="32"/>
          <w:szCs w:val="32"/>
          <w:highlight w:val="none"/>
        </w:rPr>
      </w:pPr>
    </w:p>
    <w:p w14:paraId="327C72FA">
      <w:pPr>
        <w:shd w:val="clear"/>
        <w:jc w:val="center"/>
        <w:rPr>
          <w:rFonts w:ascii="宋体" w:hAnsi="宋体" w:cs="宋体"/>
          <w:b/>
          <w:color w:val="auto"/>
          <w:kern w:val="0"/>
          <w:sz w:val="32"/>
          <w:szCs w:val="32"/>
          <w:highlight w:val="none"/>
        </w:rPr>
      </w:pPr>
    </w:p>
    <w:p w14:paraId="6768D3B9">
      <w:pPr>
        <w:shd w:val="clear"/>
        <w:jc w:val="center"/>
        <w:rPr>
          <w:rFonts w:ascii="宋体" w:hAnsi="宋体" w:cs="宋体"/>
          <w:b/>
          <w:color w:val="auto"/>
          <w:kern w:val="0"/>
          <w:sz w:val="32"/>
          <w:szCs w:val="32"/>
          <w:highlight w:val="none"/>
        </w:rPr>
      </w:pPr>
    </w:p>
    <w:p w14:paraId="5E8062F0">
      <w:pPr>
        <w:shd w:val="clear"/>
        <w:jc w:val="center"/>
        <w:rPr>
          <w:rFonts w:ascii="宋体" w:hAnsi="宋体" w:cs="宋体"/>
          <w:b/>
          <w:color w:val="auto"/>
          <w:kern w:val="0"/>
          <w:sz w:val="32"/>
          <w:szCs w:val="32"/>
          <w:highlight w:val="none"/>
        </w:rPr>
      </w:pPr>
    </w:p>
    <w:p w14:paraId="56407390">
      <w:pPr>
        <w:shd w:val="clear"/>
        <w:jc w:val="center"/>
        <w:rPr>
          <w:rFonts w:ascii="宋体" w:hAnsi="宋体" w:cs="宋体"/>
          <w:b/>
          <w:color w:val="auto"/>
          <w:kern w:val="0"/>
          <w:sz w:val="32"/>
          <w:szCs w:val="32"/>
          <w:highlight w:val="none"/>
        </w:rPr>
      </w:pPr>
    </w:p>
    <w:p w14:paraId="60F02B42">
      <w:pPr>
        <w:shd w:val="clea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hd w:val="clear"/>
        <w:spacing w:line="360" w:lineRule="auto"/>
        <w:ind w:firstLine="120" w:firstLineChars="50"/>
        <w:jc w:val="left"/>
        <w:rPr>
          <w:rFonts w:ascii="宋体" w:hAnsi="宋体" w:cs="宋体"/>
          <w:color w:val="auto"/>
          <w:sz w:val="24"/>
          <w:highlight w:val="none"/>
        </w:rPr>
      </w:pPr>
      <w:bookmarkStart w:id="53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539"/>
    <w:p w14:paraId="78460CAC">
      <w:pPr>
        <w:shd w:val="clear"/>
        <w:snapToGrid w:val="0"/>
        <w:spacing w:line="360" w:lineRule="auto"/>
        <w:rPr>
          <w:rFonts w:ascii="宋体" w:hAnsi="宋体" w:cs="宋体"/>
          <w:color w:val="auto"/>
          <w:kern w:val="0"/>
          <w:sz w:val="24"/>
          <w:highlight w:val="none"/>
        </w:rPr>
      </w:pPr>
    </w:p>
    <w:p w14:paraId="7CF35D5A">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shd w:val="clea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shd w:val="clea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1904B3DF">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shd w:val="clea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5"/>
              <w:shd w:val="clear"/>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shd w:val="clea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shd w:val="clea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shd w:val="clea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shd w:val="clea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hd w:val="clea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shd w:val="clea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shd w:val="clea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shd w:val="clea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hd w:val="clea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shd w:val="clear"/>
              <w:rPr>
                <w:rFonts w:hint="eastAsia" w:ascii="宋体" w:hAnsi="宋体" w:cs="宋体"/>
                <w:color w:val="auto"/>
                <w:kern w:val="0"/>
                <w:sz w:val="24"/>
                <w:highlight w:val="none"/>
              </w:rPr>
            </w:pPr>
          </w:p>
        </w:tc>
        <w:tc>
          <w:tcPr>
            <w:tcW w:w="1418" w:type="dxa"/>
            <w:vAlign w:val="center"/>
          </w:tcPr>
          <w:p w14:paraId="4AD41BDA">
            <w:pPr>
              <w:shd w:val="clea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shd w:val="clea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hd w:val="clea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shd w:val="clear"/>
              <w:rPr>
                <w:rFonts w:hint="eastAsia" w:ascii="宋体" w:hAnsi="宋体" w:cs="宋体"/>
                <w:color w:val="auto"/>
                <w:kern w:val="0"/>
                <w:sz w:val="24"/>
                <w:highlight w:val="none"/>
              </w:rPr>
            </w:pPr>
          </w:p>
        </w:tc>
        <w:tc>
          <w:tcPr>
            <w:tcW w:w="1418" w:type="dxa"/>
            <w:vAlign w:val="center"/>
          </w:tcPr>
          <w:p w14:paraId="20BCB9CE">
            <w:pPr>
              <w:shd w:val="clea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81"/>
        <w:shd w:val="clear"/>
        <w:rPr>
          <w:color w:val="auto"/>
          <w:highlight w:val="none"/>
        </w:rPr>
      </w:pPr>
    </w:p>
    <w:p w14:paraId="69CC33B6">
      <w:pPr>
        <w:shd w:val="clear"/>
        <w:jc w:val="center"/>
        <w:rPr>
          <w:rFonts w:ascii="宋体" w:hAnsi="宋体" w:cs="宋体"/>
          <w:b/>
          <w:color w:val="auto"/>
          <w:kern w:val="0"/>
          <w:sz w:val="32"/>
          <w:szCs w:val="32"/>
          <w:highlight w:val="none"/>
        </w:rPr>
      </w:pPr>
    </w:p>
    <w:p w14:paraId="26266A54">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shd w:val="clear"/>
        <w:jc w:val="center"/>
        <w:rPr>
          <w:rFonts w:ascii="宋体" w:hAnsi="宋体" w:cs="宋体"/>
          <w:b/>
          <w:color w:val="auto"/>
          <w:kern w:val="0"/>
          <w:sz w:val="32"/>
          <w:szCs w:val="32"/>
          <w:highlight w:val="none"/>
        </w:rPr>
      </w:pPr>
    </w:p>
    <w:p w14:paraId="574CD4B3">
      <w:pPr>
        <w:shd w:val="clear"/>
        <w:jc w:val="center"/>
        <w:rPr>
          <w:rFonts w:ascii="宋体" w:hAnsi="宋体" w:cs="宋体"/>
          <w:b/>
          <w:color w:val="auto"/>
          <w:kern w:val="0"/>
          <w:sz w:val="32"/>
          <w:szCs w:val="32"/>
          <w:highlight w:val="none"/>
        </w:rPr>
      </w:pPr>
    </w:p>
    <w:p w14:paraId="32105FB2">
      <w:pPr>
        <w:shd w:val="clear"/>
        <w:jc w:val="center"/>
        <w:rPr>
          <w:rFonts w:ascii="宋体" w:hAnsi="宋体" w:cs="宋体"/>
          <w:b/>
          <w:color w:val="auto"/>
          <w:kern w:val="0"/>
          <w:sz w:val="32"/>
          <w:szCs w:val="32"/>
          <w:highlight w:val="none"/>
        </w:rPr>
      </w:pPr>
    </w:p>
    <w:p w14:paraId="2FE72B19">
      <w:pPr>
        <w:shd w:val="clear"/>
        <w:jc w:val="center"/>
        <w:rPr>
          <w:rFonts w:ascii="宋体" w:hAnsi="宋体" w:cs="宋体"/>
          <w:b/>
          <w:color w:val="auto"/>
          <w:kern w:val="0"/>
          <w:sz w:val="32"/>
          <w:szCs w:val="32"/>
          <w:highlight w:val="none"/>
        </w:rPr>
      </w:pPr>
    </w:p>
    <w:p w14:paraId="3858EEE1">
      <w:pPr>
        <w:shd w:val="clear"/>
        <w:jc w:val="center"/>
        <w:rPr>
          <w:rFonts w:ascii="宋体" w:hAnsi="宋体" w:cs="宋体"/>
          <w:b/>
          <w:color w:val="auto"/>
          <w:kern w:val="0"/>
          <w:sz w:val="32"/>
          <w:szCs w:val="32"/>
          <w:highlight w:val="none"/>
        </w:rPr>
      </w:pPr>
    </w:p>
    <w:p w14:paraId="611C3AC8">
      <w:pPr>
        <w:shd w:val="clear"/>
        <w:jc w:val="center"/>
        <w:rPr>
          <w:rFonts w:ascii="宋体" w:hAnsi="宋体" w:cs="宋体"/>
          <w:b/>
          <w:color w:val="auto"/>
          <w:kern w:val="0"/>
          <w:sz w:val="32"/>
          <w:szCs w:val="32"/>
          <w:highlight w:val="none"/>
        </w:rPr>
      </w:pPr>
    </w:p>
    <w:p w14:paraId="3D23DD20">
      <w:pPr>
        <w:shd w:val="clear"/>
        <w:jc w:val="center"/>
        <w:rPr>
          <w:rFonts w:ascii="宋体" w:hAnsi="宋体" w:cs="宋体"/>
          <w:b/>
          <w:color w:val="auto"/>
          <w:kern w:val="0"/>
          <w:sz w:val="32"/>
          <w:szCs w:val="32"/>
          <w:highlight w:val="none"/>
        </w:rPr>
      </w:pPr>
    </w:p>
    <w:p w14:paraId="602F4DE8">
      <w:pPr>
        <w:shd w:val="clear"/>
        <w:jc w:val="center"/>
        <w:rPr>
          <w:rFonts w:ascii="宋体" w:hAnsi="宋体" w:cs="宋体"/>
          <w:b/>
          <w:color w:val="auto"/>
          <w:kern w:val="0"/>
          <w:sz w:val="32"/>
          <w:szCs w:val="32"/>
          <w:highlight w:val="none"/>
        </w:rPr>
      </w:pPr>
    </w:p>
    <w:p w14:paraId="433571D5">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hd w:val="clea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hd w:val="clea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hd w:val="clea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hd w:val="clea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hd w:val="clea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hd w:val="clea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hd w:val="clea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hd w:val="clea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shd w:val="clear"/>
        <w:jc w:val="center"/>
        <w:rPr>
          <w:rFonts w:ascii="宋体" w:hAnsi="宋体" w:cs="宋体"/>
          <w:b/>
          <w:color w:val="auto"/>
          <w:kern w:val="0"/>
          <w:sz w:val="32"/>
          <w:szCs w:val="32"/>
          <w:highlight w:val="none"/>
        </w:rPr>
      </w:pPr>
    </w:p>
    <w:p w14:paraId="1BF7E7E8">
      <w:pPr>
        <w:shd w:val="clear"/>
        <w:jc w:val="center"/>
        <w:rPr>
          <w:rFonts w:ascii="宋体" w:hAnsi="宋体" w:cs="宋体"/>
          <w:b/>
          <w:color w:val="auto"/>
          <w:kern w:val="0"/>
          <w:sz w:val="32"/>
          <w:szCs w:val="32"/>
          <w:highlight w:val="none"/>
        </w:rPr>
      </w:pPr>
    </w:p>
    <w:p w14:paraId="7E5C7E9A">
      <w:pPr>
        <w:shd w:val="clear"/>
        <w:jc w:val="center"/>
        <w:rPr>
          <w:rFonts w:ascii="宋体" w:hAnsi="宋体" w:cs="宋体"/>
          <w:b/>
          <w:color w:val="auto"/>
          <w:kern w:val="0"/>
          <w:sz w:val="32"/>
          <w:szCs w:val="32"/>
          <w:highlight w:val="none"/>
        </w:rPr>
      </w:pPr>
    </w:p>
    <w:p w14:paraId="44201491">
      <w:pPr>
        <w:shd w:val="clear"/>
        <w:jc w:val="center"/>
        <w:rPr>
          <w:rFonts w:ascii="宋体" w:hAnsi="宋体" w:cs="宋体"/>
          <w:b/>
          <w:color w:val="auto"/>
          <w:kern w:val="0"/>
          <w:sz w:val="32"/>
          <w:szCs w:val="32"/>
          <w:highlight w:val="none"/>
        </w:rPr>
      </w:pPr>
    </w:p>
    <w:p w14:paraId="4B09B182">
      <w:pPr>
        <w:shd w:val="clear"/>
        <w:jc w:val="center"/>
        <w:rPr>
          <w:rFonts w:ascii="宋体" w:hAnsi="宋体" w:cs="宋体"/>
          <w:b/>
          <w:color w:val="auto"/>
          <w:kern w:val="0"/>
          <w:sz w:val="32"/>
          <w:szCs w:val="32"/>
          <w:highlight w:val="none"/>
        </w:rPr>
      </w:pPr>
    </w:p>
    <w:p w14:paraId="0C0D62C4">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shd w:val="clea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shd w:val="clea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shd w:val="clear"/>
              <w:jc w:val="center"/>
              <w:rPr>
                <w:rFonts w:ascii="宋体" w:hAnsi="宋体" w:cs="宋体"/>
                <w:b/>
                <w:color w:val="auto"/>
                <w:kern w:val="0"/>
                <w:sz w:val="32"/>
                <w:szCs w:val="32"/>
                <w:highlight w:val="none"/>
              </w:rPr>
            </w:pPr>
          </w:p>
        </w:tc>
        <w:tc>
          <w:tcPr>
            <w:tcW w:w="3546" w:type="dxa"/>
          </w:tcPr>
          <w:p w14:paraId="21E43F1F">
            <w:pPr>
              <w:shd w:val="clear"/>
              <w:jc w:val="center"/>
              <w:rPr>
                <w:rFonts w:ascii="宋体" w:hAnsi="宋体" w:cs="宋体"/>
                <w:b/>
                <w:color w:val="auto"/>
                <w:kern w:val="0"/>
                <w:sz w:val="32"/>
                <w:szCs w:val="32"/>
                <w:highlight w:val="none"/>
              </w:rPr>
            </w:pPr>
          </w:p>
        </w:tc>
        <w:tc>
          <w:tcPr>
            <w:tcW w:w="1276" w:type="dxa"/>
          </w:tcPr>
          <w:p w14:paraId="148377FE">
            <w:pPr>
              <w:shd w:val="clea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shd w:val="clear"/>
              <w:jc w:val="center"/>
              <w:rPr>
                <w:rFonts w:ascii="宋体" w:hAnsi="宋体" w:cs="宋体"/>
                <w:b/>
                <w:color w:val="auto"/>
                <w:kern w:val="0"/>
                <w:sz w:val="32"/>
                <w:szCs w:val="32"/>
                <w:highlight w:val="none"/>
              </w:rPr>
            </w:pPr>
          </w:p>
        </w:tc>
        <w:tc>
          <w:tcPr>
            <w:tcW w:w="3546" w:type="dxa"/>
          </w:tcPr>
          <w:p w14:paraId="50380F21">
            <w:pPr>
              <w:shd w:val="clear"/>
              <w:jc w:val="center"/>
              <w:rPr>
                <w:rFonts w:ascii="宋体" w:hAnsi="宋体" w:cs="宋体"/>
                <w:b/>
                <w:color w:val="auto"/>
                <w:kern w:val="0"/>
                <w:sz w:val="32"/>
                <w:szCs w:val="32"/>
                <w:highlight w:val="none"/>
              </w:rPr>
            </w:pPr>
          </w:p>
        </w:tc>
        <w:tc>
          <w:tcPr>
            <w:tcW w:w="1276" w:type="dxa"/>
          </w:tcPr>
          <w:p w14:paraId="0742FC2D">
            <w:pPr>
              <w:shd w:val="clea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shd w:val="clear"/>
              <w:jc w:val="center"/>
              <w:rPr>
                <w:rFonts w:ascii="宋体" w:hAnsi="宋体" w:cs="宋体"/>
                <w:b/>
                <w:color w:val="auto"/>
                <w:kern w:val="0"/>
                <w:sz w:val="32"/>
                <w:szCs w:val="32"/>
                <w:highlight w:val="none"/>
              </w:rPr>
            </w:pPr>
          </w:p>
        </w:tc>
        <w:tc>
          <w:tcPr>
            <w:tcW w:w="3546" w:type="dxa"/>
          </w:tcPr>
          <w:p w14:paraId="312C83F0">
            <w:pPr>
              <w:shd w:val="clear"/>
              <w:jc w:val="center"/>
              <w:rPr>
                <w:rFonts w:ascii="宋体" w:hAnsi="宋体" w:cs="宋体"/>
                <w:b/>
                <w:color w:val="auto"/>
                <w:kern w:val="0"/>
                <w:sz w:val="32"/>
                <w:szCs w:val="32"/>
                <w:highlight w:val="none"/>
              </w:rPr>
            </w:pPr>
          </w:p>
        </w:tc>
        <w:tc>
          <w:tcPr>
            <w:tcW w:w="1276" w:type="dxa"/>
          </w:tcPr>
          <w:p w14:paraId="22536C21">
            <w:pPr>
              <w:shd w:val="clear"/>
              <w:jc w:val="center"/>
              <w:rPr>
                <w:rFonts w:ascii="宋体" w:hAnsi="宋体" w:cs="宋体"/>
                <w:b/>
                <w:color w:val="auto"/>
                <w:kern w:val="0"/>
                <w:sz w:val="32"/>
                <w:szCs w:val="32"/>
                <w:highlight w:val="none"/>
              </w:rPr>
            </w:pPr>
          </w:p>
        </w:tc>
      </w:tr>
    </w:tbl>
    <w:p w14:paraId="781432C6">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shd w:val="clear"/>
        <w:jc w:val="center"/>
        <w:rPr>
          <w:rFonts w:ascii="宋体" w:hAnsi="宋体" w:cs="宋体"/>
          <w:b/>
          <w:color w:val="auto"/>
          <w:kern w:val="0"/>
          <w:sz w:val="32"/>
          <w:szCs w:val="32"/>
          <w:highlight w:val="none"/>
        </w:rPr>
      </w:pPr>
    </w:p>
    <w:p w14:paraId="11571757">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81"/>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81"/>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hd w:val="clear"/>
        <w:spacing w:line="360" w:lineRule="auto"/>
        <w:ind w:right="420"/>
        <w:rPr>
          <w:rFonts w:ascii="宋体" w:hAnsi="宋体" w:cs="宋体"/>
          <w:color w:val="auto"/>
          <w:sz w:val="24"/>
          <w:highlight w:val="none"/>
        </w:rPr>
      </w:pPr>
    </w:p>
    <w:p w14:paraId="0ECBEF48">
      <w:pPr>
        <w:shd w:val="clear"/>
        <w:ind w:firstLine="1911" w:firstLineChars="595"/>
        <w:rPr>
          <w:rFonts w:ascii="宋体" w:hAnsi="宋体" w:cs="宋体"/>
          <w:b/>
          <w:bCs/>
          <w:color w:val="auto"/>
          <w:sz w:val="32"/>
          <w:szCs w:val="32"/>
          <w:highlight w:val="none"/>
        </w:rPr>
        <w:sectPr>
          <w:footerReference r:id="rId20" w:type="first"/>
          <w:footerReference r:id="rId19" w:type="default"/>
          <w:pgSz w:w="11906" w:h="16838"/>
          <w:pgMar w:top="1440" w:right="1080" w:bottom="1440" w:left="1080" w:header="851" w:footer="992" w:gutter="0"/>
          <w:cols w:space="720" w:num="1"/>
          <w:titlePg/>
          <w:docGrid w:linePitch="312" w:charSpace="0"/>
        </w:sectPr>
      </w:pPr>
    </w:p>
    <w:p w14:paraId="650D8727">
      <w:pPr>
        <w:shd w:val="clea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hd w:val="clear"/>
        <w:snapToGrid w:val="0"/>
        <w:spacing w:line="360" w:lineRule="auto"/>
        <w:rPr>
          <w:rFonts w:ascii="宋体" w:hAnsi="宋体" w:cs="宋体"/>
          <w:color w:val="auto"/>
          <w:sz w:val="24"/>
          <w:highlight w:val="none"/>
        </w:rPr>
      </w:pPr>
    </w:p>
    <w:p w14:paraId="1DEA6C93">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杭州市胜蓝实验小学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82FDD26">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shd w:val="clear"/>
        <w:autoSpaceDE w:val="0"/>
        <w:autoSpaceDN w:val="0"/>
        <w:spacing w:line="360" w:lineRule="auto"/>
        <w:ind w:left="2"/>
        <w:jc w:val="left"/>
        <w:rPr>
          <w:rFonts w:ascii="宋体" w:hAnsi="宋体" w:cs="宋体"/>
          <w:color w:val="auto"/>
          <w:kern w:val="0"/>
          <w:sz w:val="24"/>
          <w:highlight w:val="none"/>
          <w:lang w:val="zh-CN"/>
        </w:rPr>
      </w:pPr>
    </w:p>
    <w:p w14:paraId="39023F8C">
      <w:pPr>
        <w:shd w:val="clear"/>
        <w:autoSpaceDE w:val="0"/>
        <w:autoSpaceDN w:val="0"/>
        <w:spacing w:line="360" w:lineRule="auto"/>
        <w:ind w:left="2"/>
        <w:jc w:val="left"/>
        <w:rPr>
          <w:rFonts w:ascii="宋体" w:hAnsi="宋体" w:cs="宋体"/>
          <w:color w:val="auto"/>
          <w:kern w:val="0"/>
          <w:sz w:val="24"/>
          <w:highlight w:val="none"/>
          <w:lang w:val="zh-CN"/>
        </w:rPr>
      </w:pPr>
    </w:p>
    <w:p w14:paraId="19A22D62">
      <w:pPr>
        <w:shd w:val="clear"/>
        <w:autoSpaceDE w:val="0"/>
        <w:autoSpaceDN w:val="0"/>
        <w:spacing w:line="360" w:lineRule="auto"/>
        <w:ind w:left="2"/>
        <w:jc w:val="left"/>
        <w:rPr>
          <w:rFonts w:ascii="宋体" w:hAnsi="宋体" w:cs="宋体"/>
          <w:color w:val="auto"/>
          <w:kern w:val="0"/>
          <w:sz w:val="24"/>
          <w:highlight w:val="none"/>
          <w:lang w:val="zh-CN"/>
        </w:rPr>
      </w:pPr>
    </w:p>
    <w:p w14:paraId="6EC4271B">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hd w:val="clear"/>
        <w:spacing w:line="360" w:lineRule="auto"/>
        <w:jc w:val="center"/>
        <w:rPr>
          <w:rFonts w:ascii="宋体" w:hAnsi="宋体" w:cs="宋体"/>
          <w:b/>
          <w:bCs/>
          <w:color w:val="auto"/>
          <w:sz w:val="24"/>
          <w:highlight w:val="none"/>
        </w:rPr>
      </w:pPr>
    </w:p>
    <w:p w14:paraId="546571CA">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092211">
      <w:pPr>
        <w:shd w:val="clea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hd w:val="clear"/>
        <w:spacing w:line="360" w:lineRule="auto"/>
        <w:jc w:val="center"/>
        <w:outlineLvl w:val="0"/>
        <w:rPr>
          <w:rFonts w:ascii="宋体" w:hAnsi="宋体" w:cs="宋体"/>
          <w:b/>
          <w:color w:val="auto"/>
          <w:kern w:val="0"/>
          <w:sz w:val="36"/>
          <w:szCs w:val="36"/>
          <w:highlight w:val="none"/>
        </w:rPr>
      </w:pPr>
    </w:p>
    <w:p w14:paraId="02B28562">
      <w:pPr>
        <w:numPr>
          <w:ilvl w:val="0"/>
          <w:numId w:val="2"/>
        </w:num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2"/>
        <w:shd w:val="clear"/>
        <w:rPr>
          <w:color w:val="auto"/>
          <w:highlight w:val="none"/>
        </w:rPr>
      </w:pPr>
    </w:p>
    <w:p w14:paraId="63EC58DD">
      <w:pPr>
        <w:shd w:val="clear"/>
        <w:snapToGrid w:val="0"/>
        <w:spacing w:line="360" w:lineRule="auto"/>
        <w:ind w:right="480"/>
        <w:jc w:val="center"/>
        <w:rPr>
          <w:rFonts w:ascii="宋体" w:hAnsi="宋体" w:cs="宋体"/>
          <w:b/>
          <w:color w:val="auto"/>
          <w:kern w:val="0"/>
          <w:sz w:val="32"/>
          <w:szCs w:val="32"/>
          <w:highlight w:val="none"/>
        </w:rPr>
      </w:pPr>
    </w:p>
    <w:p w14:paraId="488E17BF">
      <w:pPr>
        <w:shd w:val="clear"/>
        <w:snapToGrid w:val="0"/>
        <w:spacing w:line="360" w:lineRule="auto"/>
        <w:ind w:right="480"/>
        <w:jc w:val="center"/>
        <w:rPr>
          <w:rFonts w:ascii="宋体" w:hAnsi="宋体" w:cs="宋体"/>
          <w:b/>
          <w:color w:val="auto"/>
          <w:kern w:val="0"/>
          <w:sz w:val="32"/>
          <w:szCs w:val="32"/>
          <w:highlight w:val="none"/>
        </w:rPr>
      </w:pPr>
    </w:p>
    <w:p w14:paraId="17108EDC">
      <w:pPr>
        <w:shd w:val="clear"/>
        <w:snapToGrid w:val="0"/>
        <w:spacing w:line="360" w:lineRule="auto"/>
        <w:ind w:right="480"/>
        <w:jc w:val="center"/>
        <w:rPr>
          <w:rFonts w:ascii="宋体" w:hAnsi="宋体" w:cs="宋体"/>
          <w:b/>
          <w:color w:val="auto"/>
          <w:kern w:val="0"/>
          <w:sz w:val="32"/>
          <w:szCs w:val="32"/>
          <w:highlight w:val="none"/>
        </w:rPr>
      </w:pPr>
    </w:p>
    <w:p w14:paraId="6859EF7A">
      <w:pPr>
        <w:shd w:val="clear"/>
        <w:snapToGrid w:val="0"/>
        <w:spacing w:line="360" w:lineRule="auto"/>
        <w:ind w:right="480"/>
        <w:jc w:val="center"/>
        <w:rPr>
          <w:rFonts w:ascii="宋体" w:hAnsi="宋体" w:cs="宋体"/>
          <w:b/>
          <w:color w:val="auto"/>
          <w:kern w:val="0"/>
          <w:sz w:val="32"/>
          <w:szCs w:val="32"/>
          <w:highlight w:val="none"/>
        </w:rPr>
      </w:pPr>
    </w:p>
    <w:p w14:paraId="4EDA764B">
      <w:pPr>
        <w:shd w:val="clear"/>
        <w:snapToGrid w:val="0"/>
        <w:spacing w:line="360" w:lineRule="auto"/>
        <w:ind w:right="480"/>
        <w:jc w:val="center"/>
        <w:rPr>
          <w:rFonts w:ascii="宋体" w:hAnsi="宋体" w:cs="宋体"/>
          <w:b/>
          <w:color w:val="auto"/>
          <w:kern w:val="0"/>
          <w:sz w:val="32"/>
          <w:szCs w:val="32"/>
          <w:highlight w:val="none"/>
        </w:rPr>
      </w:pPr>
    </w:p>
    <w:p w14:paraId="60CEE197">
      <w:pPr>
        <w:shd w:val="clear"/>
        <w:snapToGrid w:val="0"/>
        <w:spacing w:line="360" w:lineRule="auto"/>
        <w:ind w:right="480"/>
        <w:jc w:val="center"/>
        <w:rPr>
          <w:rFonts w:ascii="宋体" w:hAnsi="宋体" w:cs="宋体"/>
          <w:b/>
          <w:color w:val="auto"/>
          <w:kern w:val="0"/>
          <w:sz w:val="32"/>
          <w:szCs w:val="32"/>
          <w:highlight w:val="none"/>
        </w:rPr>
      </w:pPr>
    </w:p>
    <w:p w14:paraId="1F18C8EA">
      <w:pPr>
        <w:shd w:val="clear"/>
        <w:snapToGrid w:val="0"/>
        <w:spacing w:line="360" w:lineRule="auto"/>
        <w:ind w:right="480"/>
        <w:jc w:val="center"/>
        <w:rPr>
          <w:rFonts w:ascii="宋体" w:hAnsi="宋体" w:cs="宋体"/>
          <w:b/>
          <w:color w:val="auto"/>
          <w:kern w:val="0"/>
          <w:sz w:val="32"/>
          <w:szCs w:val="32"/>
          <w:highlight w:val="none"/>
        </w:rPr>
      </w:pPr>
    </w:p>
    <w:p w14:paraId="1EA7F655">
      <w:pPr>
        <w:shd w:val="clear"/>
        <w:snapToGrid w:val="0"/>
        <w:spacing w:line="360" w:lineRule="auto"/>
        <w:ind w:right="480"/>
        <w:jc w:val="center"/>
        <w:rPr>
          <w:rFonts w:ascii="宋体" w:hAnsi="宋体" w:cs="宋体"/>
          <w:b/>
          <w:color w:val="auto"/>
          <w:kern w:val="0"/>
          <w:sz w:val="32"/>
          <w:szCs w:val="32"/>
          <w:highlight w:val="none"/>
        </w:rPr>
      </w:pPr>
    </w:p>
    <w:p w14:paraId="2B8CE194">
      <w:pPr>
        <w:shd w:val="clear"/>
        <w:snapToGrid w:val="0"/>
        <w:spacing w:line="360" w:lineRule="auto"/>
        <w:ind w:right="480"/>
        <w:jc w:val="center"/>
        <w:rPr>
          <w:rFonts w:ascii="宋体" w:hAnsi="宋体" w:cs="宋体"/>
          <w:b/>
          <w:color w:val="auto"/>
          <w:kern w:val="0"/>
          <w:sz w:val="32"/>
          <w:szCs w:val="32"/>
          <w:highlight w:val="none"/>
        </w:rPr>
      </w:pPr>
    </w:p>
    <w:p w14:paraId="60888567">
      <w:pPr>
        <w:shd w:val="clear"/>
        <w:snapToGrid w:val="0"/>
        <w:spacing w:line="360" w:lineRule="auto"/>
        <w:ind w:right="480"/>
        <w:jc w:val="center"/>
        <w:rPr>
          <w:rFonts w:ascii="宋体" w:hAnsi="宋体" w:cs="宋体"/>
          <w:b/>
          <w:color w:val="auto"/>
          <w:kern w:val="0"/>
          <w:sz w:val="32"/>
          <w:szCs w:val="32"/>
          <w:highlight w:val="none"/>
        </w:rPr>
      </w:pPr>
    </w:p>
    <w:p w14:paraId="66E9BB39">
      <w:pPr>
        <w:shd w:val="clear"/>
        <w:snapToGrid w:val="0"/>
        <w:spacing w:line="360" w:lineRule="auto"/>
        <w:ind w:right="480"/>
        <w:jc w:val="center"/>
        <w:rPr>
          <w:rFonts w:ascii="宋体" w:hAnsi="宋体" w:cs="宋体"/>
          <w:b/>
          <w:color w:val="auto"/>
          <w:kern w:val="0"/>
          <w:sz w:val="32"/>
          <w:szCs w:val="32"/>
          <w:highlight w:val="none"/>
        </w:rPr>
      </w:pPr>
    </w:p>
    <w:p w14:paraId="593F9A87">
      <w:pPr>
        <w:shd w:val="clear"/>
        <w:snapToGrid w:val="0"/>
        <w:spacing w:line="360" w:lineRule="auto"/>
        <w:ind w:right="480"/>
        <w:jc w:val="center"/>
        <w:rPr>
          <w:rFonts w:ascii="宋体" w:hAnsi="宋体" w:cs="宋体"/>
          <w:b/>
          <w:color w:val="auto"/>
          <w:kern w:val="0"/>
          <w:sz w:val="32"/>
          <w:szCs w:val="32"/>
          <w:highlight w:val="none"/>
        </w:rPr>
      </w:pPr>
    </w:p>
    <w:p w14:paraId="72665943">
      <w:pPr>
        <w:shd w:val="clear"/>
        <w:snapToGrid w:val="0"/>
        <w:spacing w:line="360" w:lineRule="auto"/>
        <w:ind w:right="480"/>
        <w:jc w:val="center"/>
        <w:rPr>
          <w:rFonts w:ascii="宋体" w:hAnsi="宋体" w:cs="宋体"/>
          <w:b/>
          <w:color w:val="auto"/>
          <w:kern w:val="0"/>
          <w:sz w:val="32"/>
          <w:szCs w:val="32"/>
          <w:highlight w:val="none"/>
        </w:rPr>
      </w:pPr>
    </w:p>
    <w:p w14:paraId="2297D2A2">
      <w:pPr>
        <w:shd w:val="clear"/>
        <w:snapToGrid w:val="0"/>
        <w:spacing w:line="360" w:lineRule="auto"/>
        <w:ind w:right="480"/>
        <w:jc w:val="center"/>
        <w:rPr>
          <w:rFonts w:ascii="宋体" w:hAnsi="宋体" w:cs="宋体"/>
          <w:b/>
          <w:color w:val="auto"/>
          <w:kern w:val="0"/>
          <w:sz w:val="32"/>
          <w:szCs w:val="32"/>
          <w:highlight w:val="none"/>
        </w:rPr>
      </w:pPr>
    </w:p>
    <w:p w14:paraId="746A1DB3">
      <w:pPr>
        <w:shd w:val="clear"/>
        <w:snapToGrid w:val="0"/>
        <w:spacing w:line="360" w:lineRule="auto"/>
        <w:ind w:right="480"/>
        <w:jc w:val="center"/>
        <w:rPr>
          <w:rFonts w:ascii="宋体" w:hAnsi="宋体" w:cs="宋体"/>
          <w:b/>
          <w:color w:val="auto"/>
          <w:kern w:val="0"/>
          <w:sz w:val="32"/>
          <w:szCs w:val="32"/>
          <w:highlight w:val="none"/>
        </w:rPr>
      </w:pPr>
    </w:p>
    <w:p w14:paraId="54493331">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3" w:type="first"/>
          <w:headerReference r:id="rId21" w:type="default"/>
          <w:footerReference r:id="rId22"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杭州市胜蓝实验小学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EAD0015">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胜蓝实验小学东新园校区维修改造工程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HSZB-2025-868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hd w:val="clear"/>
              <w:spacing w:line="360" w:lineRule="auto"/>
              <w:jc w:val="center"/>
              <w:rPr>
                <w:rFonts w:ascii="宋体" w:hAnsi="宋体" w:cs="宋体"/>
                <w:b/>
                <w:color w:val="auto"/>
                <w:sz w:val="24"/>
                <w:highlight w:val="none"/>
              </w:rPr>
            </w:pPr>
          </w:p>
          <w:p w14:paraId="1F6AAF9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D61ED5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hd w:val="clear"/>
              <w:spacing w:line="360" w:lineRule="auto"/>
              <w:jc w:val="center"/>
              <w:rPr>
                <w:rFonts w:ascii="宋体" w:hAnsi="宋体" w:cs="宋体"/>
                <w:b/>
                <w:color w:val="auto"/>
                <w:sz w:val="24"/>
                <w:highlight w:val="none"/>
              </w:rPr>
            </w:pPr>
          </w:p>
          <w:p w14:paraId="7074A6B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hd w:val="clear"/>
              <w:spacing w:line="36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hd w:val="clear"/>
              <w:snapToGrid w:val="0"/>
              <w:spacing w:line="360" w:lineRule="auto"/>
              <w:jc w:val="center"/>
              <w:rPr>
                <w:rFonts w:ascii="宋体" w:hAnsi="宋体" w:cs="宋体"/>
                <w:color w:val="auto"/>
                <w:sz w:val="24"/>
                <w:highlight w:val="none"/>
              </w:rPr>
            </w:pPr>
          </w:p>
        </w:tc>
        <w:tc>
          <w:tcPr>
            <w:tcW w:w="1843" w:type="dxa"/>
            <w:vAlign w:val="center"/>
          </w:tcPr>
          <w:p w14:paraId="1E2F5915">
            <w:pPr>
              <w:shd w:val="clear"/>
              <w:snapToGrid w:val="0"/>
              <w:spacing w:line="360" w:lineRule="auto"/>
              <w:jc w:val="center"/>
              <w:rPr>
                <w:rFonts w:ascii="宋体" w:hAnsi="宋体" w:cs="宋体"/>
                <w:color w:val="auto"/>
                <w:sz w:val="24"/>
                <w:highlight w:val="none"/>
              </w:rPr>
            </w:pPr>
          </w:p>
        </w:tc>
        <w:tc>
          <w:tcPr>
            <w:tcW w:w="3118" w:type="dxa"/>
            <w:vAlign w:val="center"/>
          </w:tcPr>
          <w:p w14:paraId="052ECF62">
            <w:pPr>
              <w:shd w:val="clear"/>
              <w:snapToGrid w:val="0"/>
              <w:spacing w:line="360" w:lineRule="auto"/>
              <w:jc w:val="center"/>
              <w:rPr>
                <w:rFonts w:ascii="宋体" w:hAnsi="宋体" w:cs="宋体"/>
                <w:color w:val="auto"/>
                <w:sz w:val="24"/>
                <w:highlight w:val="none"/>
              </w:rPr>
            </w:pPr>
          </w:p>
        </w:tc>
        <w:tc>
          <w:tcPr>
            <w:tcW w:w="2552" w:type="dxa"/>
            <w:vAlign w:val="center"/>
          </w:tcPr>
          <w:p w14:paraId="28D0496E">
            <w:pPr>
              <w:shd w:val="clear"/>
              <w:spacing w:line="360" w:lineRule="auto"/>
              <w:jc w:val="center"/>
              <w:rPr>
                <w:rFonts w:ascii="宋体" w:hAnsi="宋体" w:cs="宋体"/>
                <w:color w:val="auto"/>
                <w:sz w:val="24"/>
                <w:highlight w:val="none"/>
              </w:rPr>
            </w:pPr>
          </w:p>
        </w:tc>
        <w:tc>
          <w:tcPr>
            <w:tcW w:w="1984" w:type="dxa"/>
            <w:vAlign w:val="center"/>
          </w:tcPr>
          <w:p w14:paraId="438E67FF">
            <w:pPr>
              <w:shd w:val="clear"/>
              <w:spacing w:line="360" w:lineRule="auto"/>
              <w:jc w:val="center"/>
              <w:rPr>
                <w:rFonts w:ascii="宋体" w:hAnsi="宋体" w:cs="宋体"/>
                <w:color w:val="auto"/>
                <w:sz w:val="24"/>
                <w:highlight w:val="none"/>
              </w:rPr>
            </w:pPr>
          </w:p>
        </w:tc>
        <w:tc>
          <w:tcPr>
            <w:tcW w:w="3119" w:type="dxa"/>
            <w:vAlign w:val="center"/>
          </w:tcPr>
          <w:p w14:paraId="624E6030">
            <w:pPr>
              <w:shd w:val="clea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hd w:val="clea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hd w:val="clear"/>
              <w:spacing w:line="360" w:lineRule="auto"/>
              <w:jc w:val="center"/>
              <w:rPr>
                <w:rFonts w:ascii="宋体" w:hAnsi="宋体" w:cs="宋体"/>
                <w:color w:val="auto"/>
                <w:sz w:val="24"/>
                <w:highlight w:val="none"/>
              </w:rPr>
            </w:pPr>
          </w:p>
        </w:tc>
      </w:tr>
    </w:tbl>
    <w:p w14:paraId="7BBC2BED">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hd w:val="clear"/>
        <w:spacing w:line="360" w:lineRule="auto"/>
        <w:ind w:firstLine="482" w:firstLineChars="200"/>
        <w:rPr>
          <w:rFonts w:ascii="宋体" w:hAnsi="宋体" w:cs="宋体"/>
          <w:b/>
          <w:color w:val="auto"/>
          <w:kern w:val="0"/>
          <w:sz w:val="24"/>
          <w:highlight w:val="none"/>
        </w:rPr>
      </w:pPr>
    </w:p>
    <w:p w14:paraId="073DF63C">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4C0BF4E">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shd w:val="clea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shd w:val="clea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17477E6C">
      <w:pPr>
        <w:pStyle w:val="63"/>
        <w:shd w:val="clear"/>
        <w:ind w:firstLine="480"/>
        <w:rPr>
          <w:rFonts w:cs="宋体"/>
          <w:color w:val="auto"/>
          <w:sz w:val="24"/>
          <w:highlight w:val="none"/>
        </w:rPr>
      </w:pPr>
    </w:p>
    <w:p w14:paraId="1007982D">
      <w:pPr>
        <w:pStyle w:val="63"/>
        <w:shd w:val="clear"/>
        <w:ind w:firstLine="480"/>
        <w:rPr>
          <w:rFonts w:cs="宋体"/>
          <w:color w:val="auto"/>
          <w:sz w:val="24"/>
          <w:highlight w:val="none"/>
        </w:rPr>
        <w:sectPr>
          <w:footerReference r:id="rId27" w:type="first"/>
          <w:headerReference r:id="rId24" w:type="default"/>
          <w:footerReference r:id="rId25" w:type="default"/>
          <w:footerReference r:id="rId26" w:type="even"/>
          <w:pgSz w:w="11906" w:h="16838"/>
          <w:pgMar w:top="1440" w:right="1080" w:bottom="1440" w:left="1080" w:header="851" w:footer="992" w:gutter="0"/>
          <w:cols w:space="720" w:num="1"/>
          <w:titlePg/>
          <w:docGrid w:linePitch="312" w:charSpace="0"/>
        </w:sectPr>
      </w:pPr>
    </w:p>
    <w:p w14:paraId="58C65A9B">
      <w:pPr>
        <w:pStyle w:val="693"/>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0" w:name="_Hlk101259491"/>
      <w:r>
        <w:rPr>
          <w:rFonts w:hint="eastAsia" w:ascii="宋体" w:hAnsi="宋体" w:eastAsia="宋体" w:cs="宋体"/>
          <w:color w:val="auto"/>
          <w:sz w:val="32"/>
          <w:szCs w:val="32"/>
          <w:highlight w:val="none"/>
        </w:rPr>
        <w:t>（如果有）</w:t>
      </w:r>
      <w:bookmarkEnd w:id="540"/>
    </w:p>
    <w:p w14:paraId="67413327">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4"/>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bookmarkStart w:id="541" w:name="_Toc465665161"/>
      <w:r>
        <w:rPr>
          <w:rFonts w:hint="eastAsia" w:ascii="宋体" w:hAnsi="宋体" w:cs="宋体"/>
          <w:color w:val="auto"/>
          <w:highlight w:val="none"/>
        </w:rPr>
        <w:t>附件</w:t>
      </w:r>
      <w:bookmarkEnd w:id="541"/>
    </w:p>
    <w:p w14:paraId="413A710A">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hd w:val="clear"/>
        <w:spacing w:line="360" w:lineRule="auto"/>
        <w:jc w:val="center"/>
        <w:rPr>
          <w:rFonts w:ascii="宋体" w:hAnsi="宋体" w:cs="宋体"/>
          <w:b/>
          <w:color w:val="auto"/>
          <w:spacing w:val="6"/>
          <w:sz w:val="32"/>
          <w:szCs w:val="32"/>
          <w:highlight w:val="none"/>
        </w:rPr>
      </w:pPr>
      <w:bookmarkStart w:id="542" w:name="OLE_LINK14"/>
      <w:bookmarkStart w:id="543" w:name="OLE_LINK13"/>
      <w:r>
        <w:rPr>
          <w:rFonts w:hint="eastAsia" w:ascii="宋体" w:hAnsi="宋体" w:cs="宋体"/>
          <w:b/>
          <w:color w:val="auto"/>
          <w:spacing w:val="6"/>
          <w:sz w:val="32"/>
          <w:szCs w:val="32"/>
          <w:highlight w:val="none"/>
        </w:rPr>
        <w:t>残疾人福利性单位声明函</w:t>
      </w:r>
    </w:p>
    <w:bookmarkEnd w:id="542"/>
    <w:bookmarkEnd w:id="543"/>
    <w:p w14:paraId="151A1878">
      <w:pPr>
        <w:shd w:val="clear"/>
        <w:spacing w:line="360" w:lineRule="auto"/>
        <w:rPr>
          <w:rFonts w:ascii="宋体" w:hAnsi="宋体" w:cs="宋体"/>
          <w:b/>
          <w:color w:val="auto"/>
          <w:spacing w:val="6"/>
          <w:sz w:val="30"/>
          <w:szCs w:val="30"/>
          <w:highlight w:val="none"/>
        </w:rPr>
      </w:pPr>
    </w:p>
    <w:p w14:paraId="79EC5A0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hd w:val="clear"/>
        <w:spacing w:line="360" w:lineRule="auto"/>
        <w:ind w:firstLine="480" w:firstLineChars="200"/>
        <w:rPr>
          <w:rFonts w:ascii="宋体" w:hAnsi="宋体" w:cs="宋体"/>
          <w:color w:val="auto"/>
          <w:sz w:val="24"/>
          <w:highlight w:val="none"/>
        </w:rPr>
      </w:pPr>
    </w:p>
    <w:p w14:paraId="0D2C993D">
      <w:pPr>
        <w:shd w:val="clear"/>
        <w:spacing w:line="360" w:lineRule="auto"/>
        <w:ind w:firstLine="480" w:firstLineChars="200"/>
        <w:rPr>
          <w:rFonts w:ascii="宋体" w:hAnsi="宋体" w:cs="宋体"/>
          <w:color w:val="auto"/>
          <w:sz w:val="24"/>
          <w:highlight w:val="none"/>
        </w:rPr>
      </w:pPr>
    </w:p>
    <w:p w14:paraId="68A22BCC">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hd w:val="clear"/>
        <w:spacing w:line="360" w:lineRule="auto"/>
        <w:ind w:firstLine="480" w:firstLineChars="200"/>
        <w:rPr>
          <w:rFonts w:ascii="宋体" w:hAnsi="宋体" w:cs="宋体"/>
          <w:color w:val="auto"/>
          <w:sz w:val="24"/>
          <w:highlight w:val="none"/>
        </w:rPr>
      </w:pPr>
    </w:p>
    <w:p w14:paraId="08E57F31">
      <w:pPr>
        <w:shd w:val="clear"/>
        <w:spacing w:line="360" w:lineRule="auto"/>
        <w:ind w:firstLine="420" w:firstLineChars="200"/>
        <w:rPr>
          <w:rFonts w:ascii="宋体" w:hAnsi="宋体" w:cs="宋体"/>
          <w:color w:val="auto"/>
          <w:highlight w:val="none"/>
        </w:rPr>
      </w:pPr>
    </w:p>
    <w:p w14:paraId="355C403E">
      <w:pPr>
        <w:shd w:val="clear"/>
        <w:spacing w:line="360" w:lineRule="auto"/>
        <w:ind w:firstLine="420" w:firstLineChars="200"/>
        <w:rPr>
          <w:rFonts w:ascii="宋体" w:hAnsi="宋体" w:cs="宋体"/>
          <w:color w:val="auto"/>
          <w:highlight w:val="none"/>
        </w:rPr>
      </w:pPr>
    </w:p>
    <w:p w14:paraId="035CBC35">
      <w:pPr>
        <w:shd w:val="clear"/>
        <w:spacing w:line="360" w:lineRule="auto"/>
        <w:ind w:firstLine="420" w:firstLineChars="200"/>
        <w:rPr>
          <w:rFonts w:ascii="宋体" w:hAnsi="宋体" w:cs="宋体"/>
          <w:color w:val="auto"/>
          <w:highlight w:val="none"/>
        </w:rPr>
      </w:pPr>
    </w:p>
    <w:p w14:paraId="48E48972">
      <w:pPr>
        <w:shd w:val="clear"/>
        <w:spacing w:line="360" w:lineRule="auto"/>
        <w:ind w:firstLine="420" w:firstLineChars="200"/>
        <w:rPr>
          <w:rFonts w:ascii="宋体" w:hAnsi="宋体" w:cs="宋体"/>
          <w:color w:val="auto"/>
          <w:highlight w:val="none"/>
        </w:rPr>
      </w:pPr>
    </w:p>
    <w:p w14:paraId="1F4F731C">
      <w:pPr>
        <w:shd w:val="clear"/>
        <w:spacing w:line="360" w:lineRule="auto"/>
        <w:rPr>
          <w:rFonts w:ascii="宋体" w:hAnsi="宋体" w:cs="宋体"/>
          <w:b/>
          <w:color w:val="auto"/>
          <w:sz w:val="24"/>
          <w:highlight w:val="none"/>
        </w:rPr>
      </w:pPr>
    </w:p>
    <w:p w14:paraId="405B7C14">
      <w:pPr>
        <w:shd w:val="clear"/>
        <w:spacing w:line="360" w:lineRule="auto"/>
        <w:rPr>
          <w:rFonts w:ascii="宋体" w:hAnsi="宋体" w:cs="宋体"/>
          <w:b/>
          <w:color w:val="auto"/>
          <w:sz w:val="24"/>
          <w:highlight w:val="none"/>
        </w:rPr>
      </w:pPr>
    </w:p>
    <w:p w14:paraId="1ACE45DA">
      <w:pPr>
        <w:shd w:val="clear"/>
        <w:spacing w:line="360" w:lineRule="auto"/>
        <w:rPr>
          <w:rFonts w:ascii="宋体" w:hAnsi="宋体" w:cs="宋体"/>
          <w:b/>
          <w:color w:val="auto"/>
          <w:sz w:val="24"/>
          <w:highlight w:val="none"/>
        </w:rPr>
      </w:pPr>
    </w:p>
    <w:p w14:paraId="1417E6C8">
      <w:pPr>
        <w:shd w:val="clear"/>
        <w:spacing w:line="360" w:lineRule="auto"/>
        <w:rPr>
          <w:rFonts w:ascii="宋体" w:hAnsi="宋体" w:cs="宋体"/>
          <w:b/>
          <w:color w:val="auto"/>
          <w:sz w:val="24"/>
          <w:highlight w:val="none"/>
        </w:rPr>
      </w:pPr>
    </w:p>
    <w:p w14:paraId="6B8286EB">
      <w:pPr>
        <w:shd w:val="clear"/>
        <w:spacing w:line="360" w:lineRule="auto"/>
        <w:rPr>
          <w:rFonts w:ascii="宋体" w:hAnsi="宋体" w:cs="宋体"/>
          <w:b/>
          <w:color w:val="auto"/>
          <w:sz w:val="24"/>
          <w:highlight w:val="none"/>
        </w:rPr>
      </w:pPr>
    </w:p>
    <w:p w14:paraId="52E26A08">
      <w:pPr>
        <w:shd w:val="clear"/>
        <w:spacing w:line="360" w:lineRule="auto"/>
        <w:rPr>
          <w:rFonts w:ascii="宋体" w:hAnsi="宋体" w:cs="宋体"/>
          <w:b/>
          <w:color w:val="auto"/>
          <w:sz w:val="24"/>
          <w:highlight w:val="none"/>
        </w:rPr>
      </w:pPr>
    </w:p>
    <w:p w14:paraId="633211AF">
      <w:pPr>
        <w:shd w:val="clear"/>
        <w:spacing w:line="360" w:lineRule="auto"/>
        <w:rPr>
          <w:rFonts w:ascii="宋体" w:hAnsi="宋体" w:cs="宋体"/>
          <w:b/>
          <w:color w:val="auto"/>
          <w:sz w:val="24"/>
          <w:highlight w:val="none"/>
        </w:rPr>
      </w:pPr>
    </w:p>
    <w:p w14:paraId="435CA4DE">
      <w:pPr>
        <w:shd w:val="clear"/>
        <w:spacing w:line="360" w:lineRule="auto"/>
        <w:rPr>
          <w:rFonts w:ascii="宋体" w:hAnsi="宋体" w:cs="宋体"/>
          <w:b/>
          <w:color w:val="auto"/>
          <w:sz w:val="24"/>
          <w:highlight w:val="none"/>
        </w:rPr>
      </w:pPr>
    </w:p>
    <w:p w14:paraId="68364347">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hd w:val="clear"/>
        <w:spacing w:line="360" w:lineRule="auto"/>
        <w:jc w:val="center"/>
        <w:rPr>
          <w:rFonts w:ascii="宋体" w:hAnsi="宋体" w:cs="宋体"/>
          <w:b/>
          <w:bCs/>
          <w:color w:val="auto"/>
          <w:sz w:val="24"/>
          <w:highlight w:val="none"/>
        </w:rPr>
      </w:pPr>
    </w:p>
    <w:p w14:paraId="1B60A9E4">
      <w:pPr>
        <w:shd w:val="clear"/>
        <w:spacing w:line="360" w:lineRule="auto"/>
        <w:rPr>
          <w:rFonts w:ascii="宋体" w:hAnsi="宋体" w:cs="宋体"/>
          <w:b/>
          <w:color w:val="auto"/>
          <w:sz w:val="24"/>
          <w:highlight w:val="none"/>
        </w:rPr>
      </w:pPr>
    </w:p>
    <w:p w14:paraId="21B996F4">
      <w:pPr>
        <w:shd w:val="clear"/>
        <w:spacing w:line="360" w:lineRule="auto"/>
        <w:rPr>
          <w:rFonts w:ascii="宋体" w:hAnsi="宋体" w:cs="宋体"/>
          <w:b/>
          <w:color w:val="auto"/>
          <w:sz w:val="24"/>
          <w:highlight w:val="none"/>
        </w:rPr>
      </w:pPr>
    </w:p>
    <w:p w14:paraId="54F3B77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hd w:val="clear"/>
        <w:spacing w:line="360" w:lineRule="auto"/>
        <w:ind w:firstLine="600" w:firstLineChars="200"/>
        <w:jc w:val="left"/>
        <w:rPr>
          <w:rFonts w:ascii="宋体" w:hAnsi="宋体" w:cs="宋体"/>
          <w:color w:val="auto"/>
          <w:sz w:val="30"/>
          <w:szCs w:val="30"/>
          <w:highlight w:val="none"/>
        </w:rPr>
      </w:pPr>
    </w:p>
    <w:p w14:paraId="452D6D07">
      <w:pPr>
        <w:shd w:val="clear"/>
        <w:spacing w:line="360" w:lineRule="auto"/>
        <w:jc w:val="center"/>
        <w:rPr>
          <w:rFonts w:ascii="宋体" w:hAnsi="宋体" w:cs="宋体"/>
          <w:b/>
          <w:color w:val="auto"/>
          <w:spacing w:val="6"/>
          <w:sz w:val="32"/>
          <w:szCs w:val="32"/>
          <w:highlight w:val="none"/>
        </w:rPr>
      </w:pPr>
    </w:p>
    <w:p w14:paraId="233B5FEB">
      <w:pPr>
        <w:shd w:val="clear"/>
        <w:spacing w:line="360" w:lineRule="auto"/>
        <w:jc w:val="center"/>
        <w:rPr>
          <w:rFonts w:ascii="宋体" w:hAnsi="宋体" w:cs="宋体"/>
          <w:b/>
          <w:color w:val="auto"/>
          <w:spacing w:val="6"/>
          <w:sz w:val="32"/>
          <w:szCs w:val="32"/>
          <w:highlight w:val="none"/>
        </w:rPr>
      </w:pPr>
    </w:p>
    <w:p w14:paraId="29D1721D">
      <w:pPr>
        <w:shd w:val="clear"/>
        <w:spacing w:line="360" w:lineRule="auto"/>
        <w:jc w:val="center"/>
        <w:rPr>
          <w:rFonts w:ascii="宋体" w:hAnsi="宋体" w:cs="宋体"/>
          <w:b/>
          <w:color w:val="auto"/>
          <w:spacing w:val="6"/>
          <w:sz w:val="32"/>
          <w:szCs w:val="32"/>
          <w:highlight w:val="none"/>
        </w:rPr>
      </w:pPr>
    </w:p>
    <w:p w14:paraId="0CBDB787">
      <w:pPr>
        <w:shd w:val="clear"/>
        <w:spacing w:line="360" w:lineRule="auto"/>
        <w:jc w:val="center"/>
        <w:rPr>
          <w:rFonts w:ascii="宋体" w:hAnsi="宋体" w:cs="宋体"/>
          <w:b/>
          <w:color w:val="auto"/>
          <w:spacing w:val="6"/>
          <w:sz w:val="32"/>
          <w:szCs w:val="32"/>
          <w:highlight w:val="none"/>
        </w:rPr>
      </w:pPr>
    </w:p>
    <w:p w14:paraId="56421284">
      <w:pPr>
        <w:shd w:val="clear"/>
        <w:spacing w:line="360" w:lineRule="auto"/>
        <w:jc w:val="center"/>
        <w:rPr>
          <w:rFonts w:ascii="宋体" w:hAnsi="宋体" w:cs="宋体"/>
          <w:b/>
          <w:color w:val="auto"/>
          <w:spacing w:val="6"/>
          <w:sz w:val="32"/>
          <w:szCs w:val="32"/>
          <w:highlight w:val="none"/>
        </w:rPr>
      </w:pPr>
    </w:p>
    <w:p w14:paraId="2DF6CA52">
      <w:pPr>
        <w:shd w:val="clear"/>
        <w:spacing w:line="360" w:lineRule="auto"/>
        <w:jc w:val="center"/>
        <w:rPr>
          <w:rFonts w:ascii="宋体" w:hAnsi="宋体" w:cs="宋体"/>
          <w:b/>
          <w:color w:val="auto"/>
          <w:spacing w:val="6"/>
          <w:sz w:val="32"/>
          <w:szCs w:val="32"/>
          <w:highlight w:val="none"/>
        </w:rPr>
      </w:pPr>
    </w:p>
    <w:p w14:paraId="65F67E81">
      <w:pPr>
        <w:shd w:val="clear"/>
        <w:spacing w:line="360" w:lineRule="auto"/>
        <w:jc w:val="center"/>
        <w:rPr>
          <w:rFonts w:ascii="宋体" w:hAnsi="宋体" w:cs="宋体"/>
          <w:b/>
          <w:color w:val="auto"/>
          <w:spacing w:val="6"/>
          <w:sz w:val="32"/>
          <w:szCs w:val="32"/>
          <w:highlight w:val="none"/>
        </w:rPr>
      </w:pPr>
    </w:p>
    <w:p w14:paraId="6B94D379">
      <w:pPr>
        <w:shd w:val="clear"/>
        <w:spacing w:line="360" w:lineRule="auto"/>
        <w:jc w:val="center"/>
        <w:rPr>
          <w:rFonts w:ascii="宋体" w:hAnsi="宋体" w:cs="宋体"/>
          <w:b/>
          <w:color w:val="auto"/>
          <w:spacing w:val="6"/>
          <w:sz w:val="32"/>
          <w:szCs w:val="32"/>
          <w:highlight w:val="none"/>
        </w:rPr>
      </w:pPr>
    </w:p>
    <w:p w14:paraId="3AB4F57C">
      <w:pPr>
        <w:shd w:val="clear"/>
        <w:spacing w:line="360" w:lineRule="auto"/>
        <w:jc w:val="center"/>
        <w:rPr>
          <w:rFonts w:ascii="宋体" w:hAnsi="宋体" w:cs="宋体"/>
          <w:b/>
          <w:color w:val="auto"/>
          <w:spacing w:val="6"/>
          <w:sz w:val="32"/>
          <w:szCs w:val="32"/>
          <w:highlight w:val="none"/>
        </w:rPr>
      </w:pPr>
    </w:p>
    <w:p w14:paraId="07E016CC">
      <w:pPr>
        <w:shd w:val="clear"/>
        <w:spacing w:line="360" w:lineRule="auto"/>
        <w:jc w:val="center"/>
        <w:rPr>
          <w:rFonts w:ascii="宋体" w:hAnsi="宋体" w:cs="宋体"/>
          <w:b/>
          <w:color w:val="auto"/>
          <w:spacing w:val="6"/>
          <w:sz w:val="32"/>
          <w:szCs w:val="32"/>
          <w:highlight w:val="none"/>
        </w:rPr>
      </w:pPr>
    </w:p>
    <w:p w14:paraId="3FBAC3F4">
      <w:pPr>
        <w:shd w:val="clear"/>
        <w:spacing w:line="360" w:lineRule="auto"/>
        <w:jc w:val="center"/>
        <w:rPr>
          <w:rFonts w:ascii="宋体" w:hAnsi="宋体" w:cs="宋体"/>
          <w:b/>
          <w:color w:val="auto"/>
          <w:spacing w:val="6"/>
          <w:sz w:val="32"/>
          <w:szCs w:val="32"/>
          <w:highlight w:val="none"/>
        </w:rPr>
      </w:pPr>
    </w:p>
    <w:p w14:paraId="49067CDB">
      <w:pPr>
        <w:shd w:val="clear"/>
        <w:spacing w:line="360" w:lineRule="auto"/>
        <w:jc w:val="center"/>
        <w:rPr>
          <w:rFonts w:ascii="宋体" w:hAnsi="宋体" w:cs="宋体"/>
          <w:b/>
          <w:color w:val="auto"/>
          <w:spacing w:val="6"/>
          <w:sz w:val="32"/>
          <w:szCs w:val="32"/>
          <w:highlight w:val="none"/>
        </w:rPr>
      </w:pPr>
    </w:p>
    <w:p w14:paraId="169B5423">
      <w:pPr>
        <w:shd w:val="clear"/>
        <w:spacing w:line="360" w:lineRule="auto"/>
        <w:jc w:val="left"/>
        <w:rPr>
          <w:rFonts w:ascii="宋体" w:hAnsi="宋体" w:cs="宋体"/>
          <w:b/>
          <w:color w:val="auto"/>
          <w:spacing w:val="6"/>
          <w:sz w:val="32"/>
          <w:szCs w:val="32"/>
          <w:highlight w:val="none"/>
        </w:rPr>
      </w:pPr>
    </w:p>
    <w:p w14:paraId="37952ECC">
      <w:pPr>
        <w:shd w:val="clear"/>
        <w:spacing w:line="360" w:lineRule="auto"/>
        <w:jc w:val="left"/>
        <w:rPr>
          <w:rFonts w:ascii="宋体" w:hAnsi="宋体" w:cs="宋体"/>
          <w:b/>
          <w:color w:val="auto"/>
          <w:spacing w:val="6"/>
          <w:sz w:val="32"/>
          <w:szCs w:val="32"/>
          <w:highlight w:val="none"/>
        </w:rPr>
      </w:pPr>
    </w:p>
    <w:p w14:paraId="2AE7DA74">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hd w:val="clear"/>
        <w:spacing w:line="360" w:lineRule="auto"/>
        <w:jc w:val="center"/>
        <w:rPr>
          <w:rFonts w:ascii="宋体" w:hAnsi="宋体" w:cs="宋体"/>
          <w:b/>
          <w:color w:val="auto"/>
          <w:sz w:val="24"/>
          <w:highlight w:val="none"/>
        </w:rPr>
      </w:pPr>
    </w:p>
    <w:p w14:paraId="510526A2">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hd w:val="clear"/>
        <w:spacing w:line="360" w:lineRule="auto"/>
        <w:rPr>
          <w:rFonts w:ascii="宋体" w:hAnsi="宋体" w:cs="宋体"/>
          <w:b/>
          <w:color w:val="auto"/>
          <w:sz w:val="24"/>
          <w:highlight w:val="none"/>
        </w:rPr>
      </w:pPr>
    </w:p>
    <w:p w14:paraId="391F358A">
      <w:pPr>
        <w:shd w:val="clear"/>
        <w:spacing w:line="360" w:lineRule="auto"/>
        <w:rPr>
          <w:rFonts w:ascii="宋体" w:hAnsi="宋体" w:cs="宋体"/>
          <w:b/>
          <w:color w:val="auto"/>
          <w:sz w:val="24"/>
          <w:highlight w:val="none"/>
        </w:rPr>
      </w:pPr>
    </w:p>
    <w:p w14:paraId="40B879D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hd w:val="clear"/>
        <w:spacing w:line="360" w:lineRule="auto"/>
        <w:rPr>
          <w:rFonts w:ascii="宋体" w:hAnsi="宋体" w:cs="宋体"/>
          <w:b/>
          <w:color w:val="auto"/>
          <w:sz w:val="24"/>
          <w:highlight w:val="none"/>
        </w:rPr>
      </w:pPr>
    </w:p>
    <w:p w14:paraId="01A3E497">
      <w:pPr>
        <w:shd w:val="clear"/>
        <w:autoSpaceDE w:val="0"/>
        <w:autoSpaceDN w:val="0"/>
        <w:jc w:val="center"/>
        <w:rPr>
          <w:rFonts w:ascii="宋体" w:hAnsi="宋体" w:cs="宋体"/>
          <w:b/>
          <w:color w:val="auto"/>
          <w:spacing w:val="6"/>
          <w:sz w:val="32"/>
          <w:szCs w:val="32"/>
          <w:highlight w:val="none"/>
        </w:rPr>
      </w:pPr>
    </w:p>
    <w:p w14:paraId="0A9ADBB5">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hd w:val="clear"/>
        <w:spacing w:line="360" w:lineRule="auto"/>
        <w:rPr>
          <w:rFonts w:ascii="宋体" w:hAnsi="宋体" w:cs="宋体"/>
          <w:color w:val="auto"/>
          <w:sz w:val="24"/>
          <w:highlight w:val="none"/>
          <w:u w:val="single"/>
        </w:rPr>
      </w:pPr>
    </w:p>
    <w:p w14:paraId="116D9B3B">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杭州市胜蓝实验小学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p>
    <w:p w14:paraId="6D8C7B8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胜蓝实验小学东新园校区维修改造工程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HSZB-2025-868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hd w:val="clear"/>
        <w:spacing w:line="360" w:lineRule="auto"/>
        <w:ind w:firstLine="494"/>
        <w:rPr>
          <w:rFonts w:ascii="宋体" w:hAnsi="宋体" w:cs="宋体"/>
          <w:color w:val="auto"/>
          <w:sz w:val="24"/>
          <w:highlight w:val="none"/>
        </w:rPr>
      </w:pPr>
    </w:p>
    <w:p w14:paraId="28580D7F">
      <w:pPr>
        <w:shd w:val="clear"/>
        <w:spacing w:line="360" w:lineRule="auto"/>
        <w:ind w:firstLine="494"/>
        <w:rPr>
          <w:rFonts w:ascii="宋体" w:hAnsi="宋体" w:cs="宋体"/>
          <w:color w:val="auto"/>
          <w:sz w:val="24"/>
          <w:highlight w:val="none"/>
        </w:rPr>
      </w:pPr>
    </w:p>
    <w:p w14:paraId="711C61BA">
      <w:pPr>
        <w:shd w:val="clear"/>
        <w:spacing w:line="360" w:lineRule="auto"/>
        <w:ind w:firstLine="494"/>
        <w:rPr>
          <w:rFonts w:ascii="宋体" w:hAnsi="宋体" w:cs="宋体"/>
          <w:color w:val="auto"/>
          <w:sz w:val="24"/>
          <w:highlight w:val="none"/>
        </w:rPr>
      </w:pPr>
    </w:p>
    <w:p w14:paraId="7C99512A">
      <w:pPr>
        <w:shd w:val="clear"/>
        <w:spacing w:line="360" w:lineRule="auto"/>
        <w:ind w:firstLine="494"/>
        <w:rPr>
          <w:rFonts w:ascii="宋体" w:hAnsi="宋体" w:cs="宋体"/>
          <w:color w:val="auto"/>
          <w:sz w:val="24"/>
          <w:highlight w:val="none"/>
        </w:rPr>
      </w:pPr>
    </w:p>
    <w:p w14:paraId="296F5B02">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shd w:val="clear"/>
        <w:rPr>
          <w:rFonts w:ascii="宋体" w:hAnsi="宋体" w:cs="宋体"/>
          <w:color w:val="auto"/>
          <w:sz w:val="24"/>
          <w:highlight w:val="none"/>
        </w:rPr>
      </w:pPr>
      <w:r>
        <w:rPr>
          <w:rFonts w:hint="eastAsia" w:ascii="宋体" w:hAnsi="宋体" w:cs="宋体"/>
          <w:b/>
          <w:bCs/>
          <w:color w:val="auto"/>
          <w:sz w:val="24"/>
          <w:highlight w:val="none"/>
        </w:rPr>
        <w:t>附：</w:t>
      </w:r>
    </w:p>
    <w:p w14:paraId="62743779">
      <w:pPr>
        <w:shd w:val="clea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shd w:val="clear"/>
        <w:autoSpaceDE w:val="0"/>
        <w:autoSpaceDN w:val="0"/>
        <w:jc w:val="center"/>
        <w:rPr>
          <w:rFonts w:ascii="宋体" w:hAnsi="宋体" w:cs="宋体"/>
          <w:b/>
          <w:color w:val="auto"/>
          <w:spacing w:val="6"/>
          <w:sz w:val="32"/>
          <w:szCs w:val="32"/>
          <w:highlight w:val="none"/>
        </w:rPr>
      </w:pPr>
    </w:p>
    <w:p w14:paraId="349186B1">
      <w:pPr>
        <w:shd w:val="clear"/>
        <w:autoSpaceDE w:val="0"/>
        <w:autoSpaceDN w:val="0"/>
        <w:jc w:val="center"/>
        <w:rPr>
          <w:rFonts w:ascii="宋体" w:hAnsi="宋体" w:cs="宋体"/>
          <w:b/>
          <w:color w:val="auto"/>
          <w:spacing w:val="6"/>
          <w:sz w:val="32"/>
          <w:szCs w:val="32"/>
          <w:highlight w:val="none"/>
        </w:rPr>
      </w:pPr>
    </w:p>
    <w:p w14:paraId="0DABA73C">
      <w:pPr>
        <w:shd w:val="clear"/>
        <w:autoSpaceDE w:val="0"/>
        <w:autoSpaceDN w:val="0"/>
        <w:jc w:val="center"/>
        <w:rPr>
          <w:rFonts w:ascii="宋体" w:hAnsi="宋体" w:cs="宋体"/>
          <w:b/>
          <w:color w:val="auto"/>
          <w:spacing w:val="6"/>
          <w:sz w:val="32"/>
          <w:szCs w:val="32"/>
          <w:highlight w:val="none"/>
        </w:rPr>
      </w:pPr>
    </w:p>
    <w:p w14:paraId="286AF8DB">
      <w:pPr>
        <w:shd w:val="clear"/>
        <w:autoSpaceDE w:val="0"/>
        <w:autoSpaceDN w:val="0"/>
        <w:jc w:val="center"/>
        <w:rPr>
          <w:rFonts w:ascii="宋体" w:hAnsi="宋体" w:cs="宋体"/>
          <w:b/>
          <w:color w:val="auto"/>
          <w:spacing w:val="6"/>
          <w:sz w:val="32"/>
          <w:szCs w:val="32"/>
          <w:highlight w:val="none"/>
        </w:rPr>
      </w:pPr>
    </w:p>
    <w:p w14:paraId="5A62480B">
      <w:pPr>
        <w:shd w:val="clear"/>
        <w:autoSpaceDE w:val="0"/>
        <w:autoSpaceDN w:val="0"/>
        <w:jc w:val="center"/>
        <w:rPr>
          <w:rFonts w:ascii="宋体" w:hAnsi="宋体" w:cs="宋体"/>
          <w:b/>
          <w:color w:val="auto"/>
          <w:spacing w:val="6"/>
          <w:sz w:val="32"/>
          <w:szCs w:val="32"/>
          <w:highlight w:val="none"/>
        </w:rPr>
      </w:pPr>
    </w:p>
    <w:p w14:paraId="72BF02A5">
      <w:pPr>
        <w:shd w:val="clear"/>
        <w:autoSpaceDE w:val="0"/>
        <w:autoSpaceDN w:val="0"/>
        <w:jc w:val="center"/>
        <w:rPr>
          <w:rFonts w:ascii="宋体" w:hAnsi="宋体" w:cs="宋体"/>
          <w:b/>
          <w:color w:val="auto"/>
          <w:spacing w:val="6"/>
          <w:sz w:val="32"/>
          <w:szCs w:val="32"/>
          <w:highlight w:val="none"/>
        </w:rPr>
      </w:pPr>
    </w:p>
    <w:p w14:paraId="5BE31B7E">
      <w:pPr>
        <w:shd w:val="clear"/>
        <w:autoSpaceDE w:val="0"/>
        <w:autoSpaceDN w:val="0"/>
        <w:jc w:val="center"/>
        <w:rPr>
          <w:rFonts w:ascii="宋体" w:hAnsi="宋体" w:cs="宋体"/>
          <w:b/>
          <w:color w:val="auto"/>
          <w:spacing w:val="6"/>
          <w:sz w:val="32"/>
          <w:szCs w:val="32"/>
          <w:highlight w:val="none"/>
        </w:rPr>
      </w:pPr>
    </w:p>
    <w:p w14:paraId="5E18CC39">
      <w:pPr>
        <w:shd w:val="clear"/>
        <w:autoSpaceDE w:val="0"/>
        <w:autoSpaceDN w:val="0"/>
        <w:jc w:val="center"/>
        <w:rPr>
          <w:rFonts w:ascii="宋体" w:hAnsi="宋体" w:cs="宋体"/>
          <w:b/>
          <w:color w:val="auto"/>
          <w:spacing w:val="6"/>
          <w:sz w:val="32"/>
          <w:szCs w:val="32"/>
          <w:highlight w:val="none"/>
        </w:rPr>
      </w:pPr>
    </w:p>
    <w:p w14:paraId="1D034AD2">
      <w:pPr>
        <w:shd w:val="clear"/>
        <w:autoSpaceDE w:val="0"/>
        <w:autoSpaceDN w:val="0"/>
        <w:jc w:val="center"/>
        <w:rPr>
          <w:rFonts w:ascii="宋体" w:hAnsi="宋体" w:cs="宋体"/>
          <w:b/>
          <w:color w:val="auto"/>
          <w:spacing w:val="6"/>
          <w:sz w:val="32"/>
          <w:szCs w:val="32"/>
          <w:highlight w:val="none"/>
        </w:rPr>
      </w:pPr>
    </w:p>
    <w:p w14:paraId="2D663C78">
      <w:pPr>
        <w:shd w:val="clear"/>
        <w:autoSpaceDE w:val="0"/>
        <w:autoSpaceDN w:val="0"/>
        <w:jc w:val="center"/>
        <w:rPr>
          <w:rFonts w:ascii="宋体" w:hAnsi="宋体" w:cs="宋体"/>
          <w:b/>
          <w:color w:val="auto"/>
          <w:spacing w:val="6"/>
          <w:sz w:val="32"/>
          <w:szCs w:val="32"/>
          <w:highlight w:val="none"/>
        </w:rPr>
      </w:pPr>
    </w:p>
    <w:p w14:paraId="75AFDBF6">
      <w:pPr>
        <w:shd w:val="clear"/>
        <w:autoSpaceDE w:val="0"/>
        <w:autoSpaceDN w:val="0"/>
        <w:jc w:val="center"/>
        <w:rPr>
          <w:rFonts w:ascii="宋体" w:hAnsi="宋体" w:cs="宋体"/>
          <w:b/>
          <w:color w:val="auto"/>
          <w:spacing w:val="6"/>
          <w:sz w:val="32"/>
          <w:szCs w:val="32"/>
          <w:highlight w:val="none"/>
        </w:rPr>
      </w:pPr>
    </w:p>
    <w:p w14:paraId="536C7AFF">
      <w:pPr>
        <w:shd w:val="clear"/>
        <w:autoSpaceDE w:val="0"/>
        <w:autoSpaceDN w:val="0"/>
        <w:jc w:val="center"/>
        <w:rPr>
          <w:rFonts w:ascii="宋体" w:hAnsi="宋体" w:cs="宋体"/>
          <w:b/>
          <w:color w:val="auto"/>
          <w:spacing w:val="6"/>
          <w:sz w:val="32"/>
          <w:szCs w:val="32"/>
          <w:highlight w:val="none"/>
        </w:rPr>
      </w:pPr>
    </w:p>
    <w:p w14:paraId="559A69A4">
      <w:pPr>
        <w:shd w:val="clear"/>
        <w:autoSpaceDE w:val="0"/>
        <w:autoSpaceDN w:val="0"/>
        <w:jc w:val="center"/>
        <w:rPr>
          <w:rFonts w:ascii="宋体" w:hAnsi="宋体" w:cs="宋体"/>
          <w:b/>
          <w:color w:val="auto"/>
          <w:spacing w:val="6"/>
          <w:sz w:val="32"/>
          <w:szCs w:val="32"/>
          <w:highlight w:val="none"/>
        </w:rPr>
      </w:pPr>
    </w:p>
    <w:p w14:paraId="30A59C44">
      <w:pPr>
        <w:shd w:val="clear"/>
        <w:autoSpaceDE w:val="0"/>
        <w:autoSpaceDN w:val="0"/>
        <w:jc w:val="center"/>
        <w:rPr>
          <w:rFonts w:ascii="宋体" w:hAnsi="宋体" w:cs="宋体"/>
          <w:b/>
          <w:color w:val="auto"/>
          <w:spacing w:val="6"/>
          <w:sz w:val="32"/>
          <w:szCs w:val="32"/>
          <w:highlight w:val="none"/>
        </w:rPr>
      </w:pPr>
    </w:p>
    <w:p w14:paraId="24859420">
      <w:pPr>
        <w:shd w:val="clear"/>
        <w:autoSpaceDE w:val="0"/>
        <w:autoSpaceDN w:val="0"/>
        <w:jc w:val="center"/>
        <w:rPr>
          <w:rFonts w:ascii="宋体" w:hAnsi="宋体" w:cs="宋体"/>
          <w:b/>
          <w:color w:val="auto"/>
          <w:spacing w:val="6"/>
          <w:sz w:val="32"/>
          <w:szCs w:val="32"/>
          <w:highlight w:val="none"/>
        </w:rPr>
      </w:pPr>
    </w:p>
    <w:p w14:paraId="4A214312">
      <w:pPr>
        <w:shd w:val="clear"/>
        <w:autoSpaceDE w:val="0"/>
        <w:autoSpaceDN w:val="0"/>
        <w:jc w:val="center"/>
        <w:rPr>
          <w:rFonts w:ascii="宋体" w:hAnsi="宋体" w:cs="宋体"/>
          <w:b/>
          <w:color w:val="auto"/>
          <w:spacing w:val="6"/>
          <w:sz w:val="32"/>
          <w:szCs w:val="32"/>
          <w:highlight w:val="none"/>
        </w:rPr>
      </w:pPr>
    </w:p>
    <w:p w14:paraId="39E44D47">
      <w:pPr>
        <w:shd w:val="clear"/>
        <w:autoSpaceDE w:val="0"/>
        <w:autoSpaceDN w:val="0"/>
        <w:jc w:val="center"/>
        <w:rPr>
          <w:rFonts w:ascii="宋体" w:hAnsi="宋体" w:cs="宋体"/>
          <w:b/>
          <w:color w:val="auto"/>
          <w:spacing w:val="6"/>
          <w:sz w:val="32"/>
          <w:szCs w:val="32"/>
          <w:highlight w:val="none"/>
        </w:rPr>
      </w:pPr>
    </w:p>
    <w:p w14:paraId="161A37DD">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胜蓝实验小学东新园校区维修改造工程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HSZB-2025-868</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hd w:val="clear"/>
        <w:snapToGrid w:val="0"/>
        <w:spacing w:line="360" w:lineRule="auto"/>
        <w:ind w:firstLine="576"/>
        <w:rPr>
          <w:rFonts w:ascii="宋体" w:hAnsi="宋体" w:cs="宋体"/>
          <w:color w:val="auto"/>
          <w:kern w:val="0"/>
          <w:sz w:val="24"/>
          <w:highlight w:val="none"/>
          <w:lang w:val="zh-CN"/>
        </w:rPr>
      </w:pPr>
      <w:bookmarkStart w:id="54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4"/>
    <w:p w14:paraId="323DC2F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88E7C9">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胜蓝实验小学东新园校区维修改造工程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5"/>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45"/>
    </w:p>
    <w:p w14:paraId="4032CF7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hd w:val="clea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shd w:val="clear"/>
        <w:autoSpaceDE w:val="0"/>
        <w:autoSpaceDN w:val="0"/>
        <w:jc w:val="center"/>
        <w:rPr>
          <w:rFonts w:ascii="宋体" w:hAnsi="宋体" w:cs="宋体"/>
          <w:b/>
          <w:color w:val="auto"/>
          <w:spacing w:val="6"/>
          <w:sz w:val="32"/>
          <w:szCs w:val="32"/>
          <w:highlight w:val="none"/>
        </w:rPr>
      </w:pPr>
    </w:p>
    <w:p w14:paraId="3767B357">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hd w:val="clear"/>
        <w:spacing w:line="360" w:lineRule="auto"/>
        <w:jc w:val="center"/>
        <w:rPr>
          <w:rFonts w:ascii="宋体" w:hAnsi="宋体" w:cs="宋体"/>
          <w:color w:val="auto"/>
          <w:sz w:val="24"/>
          <w:highlight w:val="none"/>
          <w:u w:val="single"/>
        </w:rPr>
      </w:pPr>
    </w:p>
    <w:p w14:paraId="49A496DF">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杭州市胜蓝实验小学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胜蓝实验小学东新园校区维修改造工程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胜蓝实验小学东新园校区维修改造工程</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eastAsia="宋体" w:cs="宋体"/>
          <w:color w:val="auto"/>
          <w:sz w:val="24"/>
          <w:highlight w:val="none"/>
          <w:u w:val="single"/>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hd w:val="clear"/>
        <w:spacing w:line="360" w:lineRule="auto"/>
        <w:ind w:firstLine="480" w:firstLineChars="200"/>
        <w:rPr>
          <w:rFonts w:ascii="宋体" w:hAnsi="宋体" w:cs="宋体"/>
          <w:color w:val="auto"/>
          <w:sz w:val="24"/>
          <w:highlight w:val="none"/>
        </w:rPr>
      </w:pPr>
    </w:p>
    <w:p w14:paraId="1A0E9246">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shd w:val="clear"/>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shd w:val="clear"/>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hd w:val="clear"/>
        <w:spacing w:line="360" w:lineRule="auto"/>
        <w:jc w:val="center"/>
        <w:rPr>
          <w:rFonts w:ascii="宋体" w:hAnsi="宋体" w:cs="宋体"/>
          <w:b/>
          <w:color w:val="auto"/>
          <w:sz w:val="32"/>
          <w:szCs w:val="32"/>
          <w:highlight w:val="none"/>
        </w:rPr>
      </w:pPr>
    </w:p>
    <w:p w14:paraId="5F0D6597">
      <w:pPr>
        <w:shd w:val="clea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E1C6E2">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hd w:val="clear"/>
        <w:spacing w:line="360" w:lineRule="auto"/>
        <w:rPr>
          <w:rFonts w:ascii="宋体" w:hAnsi="宋体" w:cs="宋体"/>
          <w:b/>
          <w:color w:val="auto"/>
          <w:spacing w:val="6"/>
          <w:sz w:val="32"/>
          <w:szCs w:val="32"/>
          <w:highlight w:val="none"/>
        </w:rPr>
      </w:pPr>
    </w:p>
    <w:p w14:paraId="15106880">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5B922A18">
      <w:pPr>
        <w:pStyle w:val="28"/>
        <w:shd w:val="clear"/>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3"/>
      <w:framePr w:wrap="around" w:vAnchor="text" w:hAnchor="margin" w:xAlign="right" w:y="1"/>
      <w:rPr>
        <w:rStyle w:val="74"/>
      </w:rPr>
    </w:pPr>
    <w:r>
      <w:fldChar w:fldCharType="begin"/>
    </w:r>
    <w:r>
      <w:rPr>
        <w:rStyle w:val="74"/>
      </w:rPr>
      <w:instrText xml:space="preserve">PAGE  </w:instrText>
    </w:r>
    <w:r>
      <w:fldChar w:fldCharType="end"/>
    </w:r>
  </w:p>
  <w:p w14:paraId="5FE92C6F">
    <w:pPr>
      <w:pStyle w:val="43"/>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46" w:name="_Toc36110187"/>
    <w:bookmarkStart w:id="547" w:name="_Toc91899912"/>
    <w:bookmarkStart w:id="548" w:name="_Toc131845147"/>
    <w:bookmarkStart w:id="549" w:name="_Toc164085800"/>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6A0CE">
    <w:pPr>
      <w:pStyle w:val="43"/>
      <w:framePr w:wrap="around" w:vAnchor="text" w:hAnchor="page" w:x="5731" w:y="34"/>
      <w:rPr>
        <w:rStyle w:val="74"/>
      </w:rPr>
    </w:pPr>
    <w:r>
      <w:fldChar w:fldCharType="begin"/>
    </w:r>
    <w:r>
      <w:rPr>
        <w:rStyle w:val="74"/>
      </w:rPr>
      <w:instrText xml:space="preserve">PAGE  </w:instrText>
    </w:r>
    <w:r>
      <w:fldChar w:fldCharType="separate"/>
    </w:r>
    <w:r>
      <w:rPr>
        <w:rStyle w:val="74"/>
      </w:rPr>
      <w:t>36</w:t>
    </w:r>
    <w:r>
      <w:fldChar w:fldCharType="end"/>
    </w:r>
  </w:p>
  <w:p w14:paraId="3C73C6D8">
    <w:pPr>
      <w:pStyle w:val="4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7D7C">
    <w:pPr>
      <w:pStyle w:val="43"/>
      <w:framePr w:wrap="around" w:vAnchor="text" w:hAnchor="margin" w:xAlign="right" w:y="1"/>
      <w:rPr>
        <w:rStyle w:val="74"/>
      </w:rPr>
    </w:pPr>
    <w:r>
      <w:fldChar w:fldCharType="begin"/>
    </w:r>
    <w:r>
      <w:rPr>
        <w:rStyle w:val="74"/>
      </w:rPr>
      <w:instrText xml:space="preserve">PAGE  </w:instrText>
    </w:r>
    <w:r>
      <w:fldChar w:fldCharType="end"/>
    </w:r>
  </w:p>
  <w:p w14:paraId="5C8FF628">
    <w:pPr>
      <w:pStyle w:val="4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951E">
    <w:pPr>
      <w:pStyle w:val="43"/>
      <w:jc w:val="center"/>
      <w:rPr>
        <w:rStyle w:val="74"/>
      </w:rPr>
    </w:pPr>
    <w:r>
      <w:fldChar w:fldCharType="begin"/>
    </w:r>
    <w:r>
      <w:rPr>
        <w:rStyle w:val="74"/>
      </w:rPr>
      <w:instrText xml:space="preserve"> PAGE  \* MERGEFORMAT </w:instrText>
    </w:r>
    <w:r>
      <w:fldChar w:fldCharType="separate"/>
    </w:r>
    <w:r>
      <w:rPr>
        <w:rStyle w:val="74"/>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5D5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B2CBF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D2D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DAC43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F6EE9">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F3BA">
    <w:pPr>
      <w:pStyle w:val="4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61C61">
    <w:pPr>
      <w:pStyle w:val="4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11EB">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482"/>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3925"/>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E83035"/>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0577C"/>
    <w:rsid w:val="09642282"/>
    <w:rsid w:val="09733572"/>
    <w:rsid w:val="09772C16"/>
    <w:rsid w:val="098353B5"/>
    <w:rsid w:val="09A92330"/>
    <w:rsid w:val="09B06B87"/>
    <w:rsid w:val="09C13146"/>
    <w:rsid w:val="09E04166"/>
    <w:rsid w:val="0A1C0718"/>
    <w:rsid w:val="0A2763AD"/>
    <w:rsid w:val="0A3E7710"/>
    <w:rsid w:val="0A5B7E63"/>
    <w:rsid w:val="0A703465"/>
    <w:rsid w:val="0AA374A5"/>
    <w:rsid w:val="0AAB7649"/>
    <w:rsid w:val="0ABC5606"/>
    <w:rsid w:val="0B30404E"/>
    <w:rsid w:val="0B4C6C14"/>
    <w:rsid w:val="0B547599"/>
    <w:rsid w:val="0B631A88"/>
    <w:rsid w:val="0B683D45"/>
    <w:rsid w:val="0B7F3F11"/>
    <w:rsid w:val="0B884417"/>
    <w:rsid w:val="0B8E420A"/>
    <w:rsid w:val="0BF6188C"/>
    <w:rsid w:val="0BF73C91"/>
    <w:rsid w:val="0C170175"/>
    <w:rsid w:val="0C571A41"/>
    <w:rsid w:val="0C5C1171"/>
    <w:rsid w:val="0C5E1CBC"/>
    <w:rsid w:val="0C615B50"/>
    <w:rsid w:val="0C8445DA"/>
    <w:rsid w:val="0C87121B"/>
    <w:rsid w:val="0CC007F7"/>
    <w:rsid w:val="0CC617AC"/>
    <w:rsid w:val="0CE618DF"/>
    <w:rsid w:val="0CE73BD2"/>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12E2A"/>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54215C"/>
    <w:rsid w:val="127723A9"/>
    <w:rsid w:val="12862074"/>
    <w:rsid w:val="12883966"/>
    <w:rsid w:val="129E45B4"/>
    <w:rsid w:val="12D81596"/>
    <w:rsid w:val="13072A44"/>
    <w:rsid w:val="135F4BE2"/>
    <w:rsid w:val="139B1A0A"/>
    <w:rsid w:val="139D25C7"/>
    <w:rsid w:val="13AC347F"/>
    <w:rsid w:val="13BF3CE4"/>
    <w:rsid w:val="141008D8"/>
    <w:rsid w:val="14125FE6"/>
    <w:rsid w:val="142923F2"/>
    <w:rsid w:val="146D271E"/>
    <w:rsid w:val="14982588"/>
    <w:rsid w:val="149A5AD9"/>
    <w:rsid w:val="14A7619D"/>
    <w:rsid w:val="150536C3"/>
    <w:rsid w:val="150C1963"/>
    <w:rsid w:val="151447A0"/>
    <w:rsid w:val="152B4878"/>
    <w:rsid w:val="154A6454"/>
    <w:rsid w:val="15762120"/>
    <w:rsid w:val="16A8729C"/>
    <w:rsid w:val="16B33777"/>
    <w:rsid w:val="16BC70A7"/>
    <w:rsid w:val="16C6339E"/>
    <w:rsid w:val="16DB7A1C"/>
    <w:rsid w:val="172F2D79"/>
    <w:rsid w:val="17557BEF"/>
    <w:rsid w:val="17D349C1"/>
    <w:rsid w:val="1830729E"/>
    <w:rsid w:val="183357E7"/>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134"/>
    <w:rsid w:val="1C0459C2"/>
    <w:rsid w:val="1C1B3B4A"/>
    <w:rsid w:val="1C7725CD"/>
    <w:rsid w:val="1C88086E"/>
    <w:rsid w:val="1C8F393E"/>
    <w:rsid w:val="1D183933"/>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C30C02"/>
    <w:rsid w:val="21D56769"/>
    <w:rsid w:val="21E52EF3"/>
    <w:rsid w:val="21FB5D7B"/>
    <w:rsid w:val="22015E94"/>
    <w:rsid w:val="220B1C3D"/>
    <w:rsid w:val="221D1D20"/>
    <w:rsid w:val="22334A87"/>
    <w:rsid w:val="22BE6801"/>
    <w:rsid w:val="233500BF"/>
    <w:rsid w:val="23377FF7"/>
    <w:rsid w:val="23550637"/>
    <w:rsid w:val="236B425F"/>
    <w:rsid w:val="23836192"/>
    <w:rsid w:val="23901F29"/>
    <w:rsid w:val="239C0061"/>
    <w:rsid w:val="23B908A4"/>
    <w:rsid w:val="23E95BEF"/>
    <w:rsid w:val="23FD0064"/>
    <w:rsid w:val="245375B0"/>
    <w:rsid w:val="24642C0A"/>
    <w:rsid w:val="24A361D8"/>
    <w:rsid w:val="24B22173"/>
    <w:rsid w:val="24B95AD9"/>
    <w:rsid w:val="24BE24DA"/>
    <w:rsid w:val="24CF5825"/>
    <w:rsid w:val="24D663E6"/>
    <w:rsid w:val="24D77F2B"/>
    <w:rsid w:val="258B00E2"/>
    <w:rsid w:val="25A917A6"/>
    <w:rsid w:val="25BE27CC"/>
    <w:rsid w:val="25ED0053"/>
    <w:rsid w:val="25F74A5C"/>
    <w:rsid w:val="2628662C"/>
    <w:rsid w:val="262D45DE"/>
    <w:rsid w:val="26871DC8"/>
    <w:rsid w:val="26A53EF9"/>
    <w:rsid w:val="26A94201"/>
    <w:rsid w:val="26AC274F"/>
    <w:rsid w:val="27044A29"/>
    <w:rsid w:val="271D34C8"/>
    <w:rsid w:val="2755685C"/>
    <w:rsid w:val="276142BF"/>
    <w:rsid w:val="27783712"/>
    <w:rsid w:val="27907362"/>
    <w:rsid w:val="28126D74"/>
    <w:rsid w:val="28333E1D"/>
    <w:rsid w:val="28454BD6"/>
    <w:rsid w:val="28455253"/>
    <w:rsid w:val="28551971"/>
    <w:rsid w:val="285B1C53"/>
    <w:rsid w:val="28884063"/>
    <w:rsid w:val="289F7086"/>
    <w:rsid w:val="28C32028"/>
    <w:rsid w:val="28CC490F"/>
    <w:rsid w:val="28D15A0A"/>
    <w:rsid w:val="28DE40AA"/>
    <w:rsid w:val="29345E77"/>
    <w:rsid w:val="294C65AD"/>
    <w:rsid w:val="29806583"/>
    <w:rsid w:val="298B3C4C"/>
    <w:rsid w:val="29F26D24"/>
    <w:rsid w:val="2A15033F"/>
    <w:rsid w:val="2A1662C1"/>
    <w:rsid w:val="2A1C7367"/>
    <w:rsid w:val="2A2815FA"/>
    <w:rsid w:val="2A6D6092"/>
    <w:rsid w:val="2A7D76B4"/>
    <w:rsid w:val="2A825E7A"/>
    <w:rsid w:val="2AD6555A"/>
    <w:rsid w:val="2B437463"/>
    <w:rsid w:val="2B5412C8"/>
    <w:rsid w:val="2B7807EE"/>
    <w:rsid w:val="2BA50BF7"/>
    <w:rsid w:val="2BBF00EC"/>
    <w:rsid w:val="2BC37CFD"/>
    <w:rsid w:val="2BD5237F"/>
    <w:rsid w:val="2BE536CE"/>
    <w:rsid w:val="2BE758D9"/>
    <w:rsid w:val="2C09049E"/>
    <w:rsid w:val="2C0A653C"/>
    <w:rsid w:val="2C191F85"/>
    <w:rsid w:val="2CBA0563"/>
    <w:rsid w:val="2CE82D6F"/>
    <w:rsid w:val="2D085998"/>
    <w:rsid w:val="2D343236"/>
    <w:rsid w:val="2DD15014"/>
    <w:rsid w:val="2DF72DE4"/>
    <w:rsid w:val="2E0220AF"/>
    <w:rsid w:val="2E4B082A"/>
    <w:rsid w:val="2E5D4E86"/>
    <w:rsid w:val="2E5D790B"/>
    <w:rsid w:val="2E9A3C18"/>
    <w:rsid w:val="2EBB0FEE"/>
    <w:rsid w:val="2EC63002"/>
    <w:rsid w:val="2EFF4953"/>
    <w:rsid w:val="2F0A6B38"/>
    <w:rsid w:val="2F81180C"/>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3C4A44"/>
    <w:rsid w:val="34950E68"/>
    <w:rsid w:val="34986E94"/>
    <w:rsid w:val="34AF62C9"/>
    <w:rsid w:val="34CB4388"/>
    <w:rsid w:val="34FA6E12"/>
    <w:rsid w:val="354D7158"/>
    <w:rsid w:val="3566572C"/>
    <w:rsid w:val="358D5588"/>
    <w:rsid w:val="360A3E4F"/>
    <w:rsid w:val="363A3B40"/>
    <w:rsid w:val="365302AE"/>
    <w:rsid w:val="36607A0A"/>
    <w:rsid w:val="366E227C"/>
    <w:rsid w:val="366F2E0D"/>
    <w:rsid w:val="367B6A5C"/>
    <w:rsid w:val="36A74ADA"/>
    <w:rsid w:val="36AD60D5"/>
    <w:rsid w:val="36B224F9"/>
    <w:rsid w:val="36B85B13"/>
    <w:rsid w:val="36EC0CC9"/>
    <w:rsid w:val="373F410B"/>
    <w:rsid w:val="37EE7094"/>
    <w:rsid w:val="38296C89"/>
    <w:rsid w:val="383002EB"/>
    <w:rsid w:val="38586797"/>
    <w:rsid w:val="38BC0149"/>
    <w:rsid w:val="38D87D1C"/>
    <w:rsid w:val="39636459"/>
    <w:rsid w:val="396B7F6C"/>
    <w:rsid w:val="397F6CD3"/>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542ED"/>
    <w:rsid w:val="3C471448"/>
    <w:rsid w:val="3C5F759A"/>
    <w:rsid w:val="3C6C525A"/>
    <w:rsid w:val="3CCE23CB"/>
    <w:rsid w:val="3CCF3BB7"/>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91F92"/>
    <w:rsid w:val="3F060E16"/>
    <w:rsid w:val="3F1D1096"/>
    <w:rsid w:val="3F2F0234"/>
    <w:rsid w:val="3F6363FE"/>
    <w:rsid w:val="3F755AFF"/>
    <w:rsid w:val="3F756B8F"/>
    <w:rsid w:val="3F95482B"/>
    <w:rsid w:val="4019356B"/>
    <w:rsid w:val="40592157"/>
    <w:rsid w:val="406D3E12"/>
    <w:rsid w:val="406E1CAE"/>
    <w:rsid w:val="40A0133A"/>
    <w:rsid w:val="40C31A53"/>
    <w:rsid w:val="40FF545D"/>
    <w:rsid w:val="410067C8"/>
    <w:rsid w:val="416176D3"/>
    <w:rsid w:val="418F0D2A"/>
    <w:rsid w:val="41D01505"/>
    <w:rsid w:val="42474939"/>
    <w:rsid w:val="424C3C57"/>
    <w:rsid w:val="425440AD"/>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0A021D"/>
    <w:rsid w:val="451B225C"/>
    <w:rsid w:val="452410C9"/>
    <w:rsid w:val="45317DFB"/>
    <w:rsid w:val="4541547F"/>
    <w:rsid w:val="456450B8"/>
    <w:rsid w:val="456D3CE4"/>
    <w:rsid w:val="4579042C"/>
    <w:rsid w:val="457F0571"/>
    <w:rsid w:val="45851176"/>
    <w:rsid w:val="45C55BC2"/>
    <w:rsid w:val="45C63B94"/>
    <w:rsid w:val="45F67E46"/>
    <w:rsid w:val="460E7DA5"/>
    <w:rsid w:val="46422483"/>
    <w:rsid w:val="46476EB4"/>
    <w:rsid w:val="4659254A"/>
    <w:rsid w:val="465B0637"/>
    <w:rsid w:val="465E3F0D"/>
    <w:rsid w:val="466A16E6"/>
    <w:rsid w:val="46893F2B"/>
    <w:rsid w:val="46C444E6"/>
    <w:rsid w:val="46C4686E"/>
    <w:rsid w:val="472F1E22"/>
    <w:rsid w:val="477B778F"/>
    <w:rsid w:val="478203EC"/>
    <w:rsid w:val="47B025FA"/>
    <w:rsid w:val="47B265AF"/>
    <w:rsid w:val="4809698F"/>
    <w:rsid w:val="4811697D"/>
    <w:rsid w:val="487A3E25"/>
    <w:rsid w:val="488B5503"/>
    <w:rsid w:val="48937E21"/>
    <w:rsid w:val="489A0361"/>
    <w:rsid w:val="48A8102D"/>
    <w:rsid w:val="48B94FF3"/>
    <w:rsid w:val="48BC5B30"/>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3519D1"/>
    <w:rsid w:val="4B707271"/>
    <w:rsid w:val="4B9739F7"/>
    <w:rsid w:val="4BE551A5"/>
    <w:rsid w:val="4BEE2503"/>
    <w:rsid w:val="4BF727EA"/>
    <w:rsid w:val="4C2061DD"/>
    <w:rsid w:val="4C245A30"/>
    <w:rsid w:val="4CB6685F"/>
    <w:rsid w:val="4CC367FE"/>
    <w:rsid w:val="4D077F3C"/>
    <w:rsid w:val="4D123355"/>
    <w:rsid w:val="4D2A3B31"/>
    <w:rsid w:val="4D312C52"/>
    <w:rsid w:val="4D905305"/>
    <w:rsid w:val="4D964A72"/>
    <w:rsid w:val="4D974A6D"/>
    <w:rsid w:val="4D9C1254"/>
    <w:rsid w:val="4D9E5B15"/>
    <w:rsid w:val="4DB43081"/>
    <w:rsid w:val="4E793892"/>
    <w:rsid w:val="4E800872"/>
    <w:rsid w:val="4EC569ED"/>
    <w:rsid w:val="4ED50EA1"/>
    <w:rsid w:val="4EEC050C"/>
    <w:rsid w:val="4F092623"/>
    <w:rsid w:val="4F104EC3"/>
    <w:rsid w:val="4F47354A"/>
    <w:rsid w:val="4F6C4474"/>
    <w:rsid w:val="4F911C54"/>
    <w:rsid w:val="4FE625E0"/>
    <w:rsid w:val="5021480F"/>
    <w:rsid w:val="505C301C"/>
    <w:rsid w:val="5080549C"/>
    <w:rsid w:val="50962ECB"/>
    <w:rsid w:val="509B4084"/>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E0B2B"/>
    <w:rsid w:val="51F83758"/>
    <w:rsid w:val="522E4CC3"/>
    <w:rsid w:val="5244713B"/>
    <w:rsid w:val="52615633"/>
    <w:rsid w:val="526F4DE4"/>
    <w:rsid w:val="52771506"/>
    <w:rsid w:val="52977FD4"/>
    <w:rsid w:val="52A25790"/>
    <w:rsid w:val="52A96B6F"/>
    <w:rsid w:val="52B45975"/>
    <w:rsid w:val="52D94AA4"/>
    <w:rsid w:val="52EA3A62"/>
    <w:rsid w:val="52F50BB8"/>
    <w:rsid w:val="53097272"/>
    <w:rsid w:val="534C1537"/>
    <w:rsid w:val="53544462"/>
    <w:rsid w:val="5397158E"/>
    <w:rsid w:val="53DD2C05"/>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4D74E7"/>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5F1045"/>
    <w:rsid w:val="596D5BD4"/>
    <w:rsid w:val="597E3DD8"/>
    <w:rsid w:val="59F34F31"/>
    <w:rsid w:val="59F80043"/>
    <w:rsid w:val="5A09252F"/>
    <w:rsid w:val="5A0B2778"/>
    <w:rsid w:val="5A2A7C7B"/>
    <w:rsid w:val="5A3E2560"/>
    <w:rsid w:val="5A5A0B0C"/>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120F6"/>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C3D61"/>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F26B0"/>
    <w:rsid w:val="635600A5"/>
    <w:rsid w:val="635B1DB5"/>
    <w:rsid w:val="63711FED"/>
    <w:rsid w:val="63880DDC"/>
    <w:rsid w:val="638D750D"/>
    <w:rsid w:val="63AC6CC0"/>
    <w:rsid w:val="63F23480"/>
    <w:rsid w:val="64055776"/>
    <w:rsid w:val="641F5B67"/>
    <w:rsid w:val="64240056"/>
    <w:rsid w:val="643E143A"/>
    <w:rsid w:val="64491666"/>
    <w:rsid w:val="64524F4A"/>
    <w:rsid w:val="648B6EEF"/>
    <w:rsid w:val="64C158BF"/>
    <w:rsid w:val="64CE2EAA"/>
    <w:rsid w:val="651144BD"/>
    <w:rsid w:val="653C3090"/>
    <w:rsid w:val="65854376"/>
    <w:rsid w:val="658767BE"/>
    <w:rsid w:val="65892531"/>
    <w:rsid w:val="66195831"/>
    <w:rsid w:val="661B1B8E"/>
    <w:rsid w:val="662E75B1"/>
    <w:rsid w:val="66342C2E"/>
    <w:rsid w:val="663E784C"/>
    <w:rsid w:val="668B6A45"/>
    <w:rsid w:val="67050051"/>
    <w:rsid w:val="67112C4A"/>
    <w:rsid w:val="672F3F24"/>
    <w:rsid w:val="673E055F"/>
    <w:rsid w:val="67551CE3"/>
    <w:rsid w:val="67927140"/>
    <w:rsid w:val="67A22552"/>
    <w:rsid w:val="67B22DCC"/>
    <w:rsid w:val="67BE71AA"/>
    <w:rsid w:val="67CF7323"/>
    <w:rsid w:val="67D90273"/>
    <w:rsid w:val="67DE5875"/>
    <w:rsid w:val="67E55852"/>
    <w:rsid w:val="67EB1AB4"/>
    <w:rsid w:val="67FA1285"/>
    <w:rsid w:val="68430893"/>
    <w:rsid w:val="68551F4F"/>
    <w:rsid w:val="687C10C9"/>
    <w:rsid w:val="68840C16"/>
    <w:rsid w:val="68876EFB"/>
    <w:rsid w:val="68884654"/>
    <w:rsid w:val="689F444F"/>
    <w:rsid w:val="68B96DBB"/>
    <w:rsid w:val="68CA2805"/>
    <w:rsid w:val="68E937A3"/>
    <w:rsid w:val="68FB149A"/>
    <w:rsid w:val="693E15D3"/>
    <w:rsid w:val="69407425"/>
    <w:rsid w:val="69627681"/>
    <w:rsid w:val="6977531D"/>
    <w:rsid w:val="69CC2BFF"/>
    <w:rsid w:val="69FD55B8"/>
    <w:rsid w:val="6A0B1C62"/>
    <w:rsid w:val="6A2406C8"/>
    <w:rsid w:val="6A3B7666"/>
    <w:rsid w:val="6A9A1ADF"/>
    <w:rsid w:val="6ADE0BD1"/>
    <w:rsid w:val="6AE81378"/>
    <w:rsid w:val="6AE96859"/>
    <w:rsid w:val="6AFD14CE"/>
    <w:rsid w:val="6B147746"/>
    <w:rsid w:val="6B24787C"/>
    <w:rsid w:val="6B573233"/>
    <w:rsid w:val="6B5B6274"/>
    <w:rsid w:val="6B935D53"/>
    <w:rsid w:val="6C1316F7"/>
    <w:rsid w:val="6C196F71"/>
    <w:rsid w:val="6C226FCB"/>
    <w:rsid w:val="6C31226F"/>
    <w:rsid w:val="6C517EC7"/>
    <w:rsid w:val="6C552F0B"/>
    <w:rsid w:val="6C8C67B7"/>
    <w:rsid w:val="6C9D744C"/>
    <w:rsid w:val="6CF84455"/>
    <w:rsid w:val="6D167928"/>
    <w:rsid w:val="6D26299B"/>
    <w:rsid w:val="6D4772EC"/>
    <w:rsid w:val="6D9078AF"/>
    <w:rsid w:val="6DAA3FEF"/>
    <w:rsid w:val="6DC0172B"/>
    <w:rsid w:val="6DCB690C"/>
    <w:rsid w:val="6DD41A5B"/>
    <w:rsid w:val="6DF43C2E"/>
    <w:rsid w:val="6DF51CA3"/>
    <w:rsid w:val="6E605222"/>
    <w:rsid w:val="6E8335BD"/>
    <w:rsid w:val="6E8E12EF"/>
    <w:rsid w:val="6E972936"/>
    <w:rsid w:val="6ED446C5"/>
    <w:rsid w:val="6F174DC6"/>
    <w:rsid w:val="6F2A7D94"/>
    <w:rsid w:val="6F2D45E9"/>
    <w:rsid w:val="6F685A10"/>
    <w:rsid w:val="6F8331F1"/>
    <w:rsid w:val="6FAE1A09"/>
    <w:rsid w:val="6FD75BF8"/>
    <w:rsid w:val="707723D0"/>
    <w:rsid w:val="70C64CF5"/>
    <w:rsid w:val="70F04414"/>
    <w:rsid w:val="70F5661B"/>
    <w:rsid w:val="71360107"/>
    <w:rsid w:val="713B688E"/>
    <w:rsid w:val="7148279F"/>
    <w:rsid w:val="71D43752"/>
    <w:rsid w:val="71F1796A"/>
    <w:rsid w:val="71FB63D5"/>
    <w:rsid w:val="72154626"/>
    <w:rsid w:val="72262B5D"/>
    <w:rsid w:val="72283FF7"/>
    <w:rsid w:val="722E7212"/>
    <w:rsid w:val="72312642"/>
    <w:rsid w:val="723A0474"/>
    <w:rsid w:val="725923E4"/>
    <w:rsid w:val="72864BF7"/>
    <w:rsid w:val="729023FC"/>
    <w:rsid w:val="73893DB8"/>
    <w:rsid w:val="73C0646E"/>
    <w:rsid w:val="742222F5"/>
    <w:rsid w:val="74476126"/>
    <w:rsid w:val="74706664"/>
    <w:rsid w:val="747F3682"/>
    <w:rsid w:val="748C3B60"/>
    <w:rsid w:val="749C4185"/>
    <w:rsid w:val="74F00593"/>
    <w:rsid w:val="75067759"/>
    <w:rsid w:val="752E6DCD"/>
    <w:rsid w:val="7551380D"/>
    <w:rsid w:val="755D394A"/>
    <w:rsid w:val="75600BE5"/>
    <w:rsid w:val="7564475C"/>
    <w:rsid w:val="757921C7"/>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F0144"/>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71525"/>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14637"/>
    <w:rsid w:val="7DB57A34"/>
    <w:rsid w:val="7DE60973"/>
    <w:rsid w:val="7DEF0916"/>
    <w:rsid w:val="7E1E5218"/>
    <w:rsid w:val="7E6C679B"/>
    <w:rsid w:val="7E9A4E1F"/>
    <w:rsid w:val="7EA7723A"/>
    <w:rsid w:val="7EF56FBB"/>
    <w:rsid w:val="7F0768EB"/>
    <w:rsid w:val="7F143BEC"/>
    <w:rsid w:val="7F323556"/>
    <w:rsid w:val="7F324AA5"/>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5"/>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paragraph" w:styleId="63">
    <w:name w:val="Body Text First Indent 2"/>
    <w:basedOn w:val="28"/>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8"/>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114</Pages>
  <Words>20230</Words>
  <Characters>22074</Characters>
  <Lines>1</Lines>
  <Paragraphs>1</Paragraphs>
  <TotalTime>0</TotalTime>
  <ScaleCrop>false</ScaleCrop>
  <LinksUpToDate>false</LinksUpToDate>
  <CharactersWithSpaces>22509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mo    ne</cp:lastModifiedBy>
  <cp:lastPrinted>2021-12-28T03:06:00Z</cp:lastPrinted>
  <dcterms:modified xsi:type="dcterms:W3CDTF">2025-06-24T13:06:45Z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B2AA67124CA14FF59D2DE5931E4D732F_13</vt:lpwstr>
  </property>
  <property fmtid="{D5CDD505-2E9C-101B-9397-08002B2CF9AE}" pid="5" name="commondata">
    <vt:lpwstr>eyJoZGlkIjoiNGNlMmFkMDQ1NDY0ZmRiM2Q0NjY4NTFjN2IwMTllYjMifQ==</vt:lpwstr>
  </property>
  <property fmtid="{D5CDD505-2E9C-101B-9397-08002B2CF9AE}" pid="6" name="KSOTemplateDocerSaveRecord">
    <vt:lpwstr>eyJoZGlkIjoiNWMxN2I3MWQ2NmQzNmE4N2RjZTE2MWQ0YjI4YjY0OTQiLCJ1c2VySWQiOiI4NjQwNTU1NjUifQ==</vt:lpwstr>
  </property>
</Properties>
</file>