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杭州市上城区人民法院食堂外包服务项目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TNZB2025C-GK-013</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杭州市上城区人民法院</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浙江天诺招标代理有限公司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杭州市上城区人民法院食堂外包服务项目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22</w:t>
      </w:r>
      <w:bookmarkStart w:id="547" w:name="_GoBack"/>
      <w:bookmarkEnd w:id="547"/>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TNZB2025C-GK-013</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杭州市上城区人民法院食堂外包服务项目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3160000.00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3160000.00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杭州市上城区人民法院食堂外包服务项目</w:t>
      </w:r>
      <w:r>
        <w:rPr>
          <w:rFonts w:hint="eastAsia" w:hAnsi="宋体" w:cs="宋体"/>
          <w:bCs/>
          <w:snapToGrid/>
          <w:color w:val="auto"/>
          <w:kern w:val="2"/>
          <w:sz w:val="24"/>
          <w:szCs w:val="24"/>
          <w:highlight w:val="none"/>
        </w:rPr>
        <w:t>主要内容：</w:t>
      </w:r>
      <w:r>
        <w:rPr>
          <w:rFonts w:hint="eastAsia" w:cs="Calibri" w:eastAsiaTheme="minorEastAsia"/>
          <w:color w:val="auto"/>
          <w:sz w:val="24"/>
        </w:rPr>
        <w:t>承包采购人职工食堂，做到在采购人的管理下为职工提供优质的用餐服务、膳食管理（包括成本核算，不包括采购）服务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snapToGrid/>
          <w:color w:val="auto"/>
          <w:kern w:val="2"/>
          <w:sz w:val="24"/>
          <w:szCs w:val="24"/>
        </w:rPr>
        <w:t>自合同签订之日起</w:t>
      </w:r>
      <w:r>
        <w:rPr>
          <w:rFonts w:hint="eastAsia" w:asciiTheme="minorEastAsia" w:hAnsiTheme="minorEastAsia" w:eastAsiaTheme="minorEastAsia"/>
          <w:snapToGrid/>
          <w:color w:val="auto"/>
          <w:kern w:val="2"/>
          <w:sz w:val="24"/>
          <w:szCs w:val="24"/>
          <w:lang w:val="en-US" w:eastAsia="zh-CN"/>
        </w:rPr>
        <w:t>二</w:t>
      </w:r>
      <w:r>
        <w:rPr>
          <w:rFonts w:hint="eastAsia" w:asciiTheme="minorEastAsia" w:hAnsiTheme="minorEastAsia" w:eastAsiaTheme="minorEastAsia"/>
          <w:snapToGrid/>
          <w:color w:val="auto"/>
          <w:kern w:val="2"/>
          <w:sz w:val="24"/>
          <w:szCs w:val="24"/>
        </w:rPr>
        <w:t>年</w:t>
      </w:r>
      <w:r>
        <w:rPr>
          <w:rFonts w:hint="eastAsia" w:asciiTheme="minorEastAsia" w:hAnsiTheme="minorEastAsia" w:eastAsiaTheme="minorEastAsia"/>
          <w:snapToGrid/>
          <w:color w:val="auto"/>
          <w:kern w:val="2"/>
          <w:sz w:val="24"/>
          <w:szCs w:val="24"/>
          <w:lang w:eastAsia="zh-CN"/>
        </w:rPr>
        <w:t>，合同一年一签</w:t>
      </w:r>
      <w:r>
        <w:rPr>
          <w:rFonts w:hint="eastAsia" w:asciiTheme="minorEastAsia" w:hAnsiTheme="minorEastAsia" w:eastAsiaTheme="minorEastAsia"/>
          <w:snapToGrid/>
          <w:color w:val="auto"/>
          <w:kern w:val="2"/>
          <w:sz w:val="24"/>
          <w:szCs w:val="24"/>
        </w:rPr>
        <w:t>。</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5年07月22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07</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22</w:t>
      </w:r>
      <w:r>
        <w:rPr>
          <w:rFonts w:hint="eastAsia" w:ascii="宋体" w:hAnsi="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09</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30</w:t>
      </w:r>
      <w:r>
        <w:rPr>
          <w:rFonts w:hint="eastAsia" w:ascii="宋体" w:hAnsi="宋体" w:cs="宋体"/>
          <w:b w:val="0"/>
          <w:bCs/>
          <w:color w:val="auto"/>
          <w:sz w:val="24"/>
          <w:highlight w:val="none"/>
          <w:u w:val="single"/>
        </w:rPr>
        <w:t xml:space="preserve">分00秒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4B5E340">
      <w:pPr>
        <w:spacing w:line="360" w:lineRule="auto"/>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rPr>
        <w:t xml:space="preserve">名    称：杭州市上城区人民法院 </w:t>
      </w:r>
    </w:p>
    <w:p w14:paraId="0E265C48">
      <w:pPr>
        <w:spacing w:line="360" w:lineRule="auto"/>
        <w:rPr>
          <w:rFonts w:ascii="宋体" w:hAnsi="宋体" w:cs="宋体"/>
          <w:sz w:val="24"/>
        </w:rPr>
      </w:pPr>
      <w:r>
        <w:rPr>
          <w:rFonts w:hint="eastAsia" w:ascii="宋体" w:hAnsi="宋体" w:cs="宋体"/>
          <w:sz w:val="24"/>
        </w:rPr>
        <w:t xml:space="preserve">    地    址：</w:t>
      </w:r>
      <w:r>
        <w:rPr>
          <w:rFonts w:hint="eastAsia" w:asciiTheme="minorEastAsia" w:hAnsiTheme="minorEastAsia" w:eastAsiaTheme="minorEastAsia"/>
          <w:sz w:val="24"/>
        </w:rPr>
        <w:t>杭州市上城区紫花支路6号</w:t>
      </w:r>
      <w:r>
        <w:rPr>
          <w:rFonts w:hint="eastAsia" w:ascii="宋体" w:hAnsi="宋体" w:cs="宋体"/>
          <w:sz w:val="24"/>
        </w:rPr>
        <w:t xml:space="preserve">       </w:t>
      </w:r>
    </w:p>
    <w:p w14:paraId="2D9CE89B">
      <w:pPr>
        <w:spacing w:line="360" w:lineRule="auto"/>
        <w:ind w:firstLine="480"/>
        <w:rPr>
          <w:rFonts w:ascii="宋体" w:hAnsi="宋体" w:cs="宋体"/>
          <w:sz w:val="24"/>
        </w:rPr>
      </w:pPr>
      <w:r>
        <w:rPr>
          <w:rFonts w:hint="eastAsia" w:ascii="宋体" w:hAnsi="宋体" w:cs="宋体"/>
          <w:sz w:val="24"/>
        </w:rPr>
        <w:t>传    真： /</w:t>
      </w:r>
    </w:p>
    <w:p w14:paraId="29DADCDE">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cs="宋体" w:asciiTheme="minorEastAsia" w:hAnsiTheme="minorEastAsia" w:eastAsiaTheme="minorEastAsia"/>
          <w:sz w:val="24"/>
          <w:highlight w:val="none"/>
        </w:rPr>
        <w:t>姚洁</w:t>
      </w:r>
    </w:p>
    <w:p w14:paraId="5AD46DFF">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asciiTheme="majorEastAsia" w:hAnsiTheme="majorEastAsia" w:eastAsiaTheme="majorEastAsia"/>
          <w:sz w:val="24"/>
          <w:highlight w:val="none"/>
        </w:rPr>
        <w:t>0571-86577990</w:t>
      </w:r>
      <w:r>
        <w:rPr>
          <w:rFonts w:hint="eastAsia" w:ascii="宋体" w:hAnsi="宋体" w:cs="宋体"/>
          <w:sz w:val="24"/>
          <w:highlight w:val="none"/>
        </w:rPr>
        <w:t xml:space="preserve"> </w:t>
      </w:r>
    </w:p>
    <w:p w14:paraId="6DC40E9D">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Arial"/>
          <w:bCs/>
          <w:snapToGrid w:val="0"/>
          <w:kern w:val="28"/>
          <w:sz w:val="24"/>
          <w:highlight w:val="none"/>
        </w:rPr>
        <w:t>郭家勇</w:t>
      </w:r>
      <w:r>
        <w:rPr>
          <w:rFonts w:hint="eastAsia" w:ascii="宋体" w:hAnsi="宋体" w:cs="宋体"/>
          <w:sz w:val="24"/>
          <w:highlight w:val="none"/>
        </w:rPr>
        <w:t xml:space="preserve"> </w:t>
      </w:r>
    </w:p>
    <w:p w14:paraId="664582C8">
      <w:pPr>
        <w:spacing w:line="360" w:lineRule="auto"/>
        <w:rPr>
          <w:rFonts w:ascii="宋体" w:hAnsi="宋体" w:cs="宋体"/>
          <w:color w:val="auto"/>
          <w:sz w:val="24"/>
          <w:highlight w:val="none"/>
        </w:rPr>
      </w:pPr>
      <w:r>
        <w:rPr>
          <w:rFonts w:hint="eastAsia" w:ascii="宋体" w:hAnsi="宋体" w:cs="宋体"/>
          <w:sz w:val="24"/>
          <w:highlight w:val="none"/>
        </w:rPr>
        <w:t xml:space="preserve">    质疑联系方式： </w:t>
      </w:r>
      <w:r>
        <w:rPr>
          <w:rFonts w:hint="eastAsia" w:asciiTheme="majorEastAsia" w:hAnsiTheme="majorEastAsia" w:eastAsiaTheme="majorEastAsia"/>
          <w:sz w:val="24"/>
          <w:highlight w:val="none"/>
        </w:rPr>
        <w:t>0571-86577996</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1CA31D0">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名称：浙江天诺招标代理有限公司</w:t>
      </w:r>
    </w:p>
    <w:p w14:paraId="72789648">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地址：杭州市西湖区文三路90号科技大厦6幢3层A306</w:t>
      </w:r>
    </w:p>
    <w:p w14:paraId="133AECB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传真：0571-86012310</w:t>
      </w:r>
    </w:p>
    <w:p w14:paraId="47B676E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项目联系人（询问）：王凯圩、</w:t>
      </w:r>
      <w:r>
        <w:rPr>
          <w:rFonts w:hint="eastAsia" w:asciiTheme="minorEastAsia" w:hAnsiTheme="minorEastAsia" w:eastAsiaTheme="minorEastAsia"/>
          <w:sz w:val="24"/>
          <w:lang w:eastAsia="zh-CN"/>
        </w:rPr>
        <w:t>程宇航</w:t>
      </w:r>
    </w:p>
    <w:p w14:paraId="71DA7DC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项目联系方式（询问）：18957155239、</w:t>
      </w:r>
      <w:r>
        <w:rPr>
          <w:rFonts w:hint="eastAsia" w:asciiTheme="minorEastAsia" w:hAnsiTheme="minorEastAsia" w:eastAsiaTheme="minorEastAsia"/>
          <w:sz w:val="24"/>
          <w:lang w:eastAsia="zh-CN"/>
        </w:rPr>
        <w:t>16655363110</w:t>
      </w:r>
    </w:p>
    <w:p w14:paraId="3122487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7CED57F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eastAsiaTheme="minorEastAsia"/>
          <w:sz w:val="24"/>
          <w:lang w:val="en-US" w:eastAsia="zh-CN"/>
        </w:rPr>
      </w:pPr>
      <w:r>
        <w:rPr>
          <w:rFonts w:hint="eastAsia" w:asciiTheme="minorEastAsia" w:hAnsiTheme="minorEastAsia" w:eastAsiaTheme="minorEastAsia"/>
          <w:sz w:val="24"/>
        </w:rPr>
        <w:t>质疑联系方式：0571-8601231</w:t>
      </w:r>
      <w:r>
        <w:rPr>
          <w:rFonts w:hint="eastAsia" w:asciiTheme="minorEastAsia" w:hAnsiTheme="minorEastAsia" w:eastAsiaTheme="minorEastAsia"/>
          <w:sz w:val="24"/>
          <w:lang w:val="en-US" w:eastAsia="zh-CN"/>
        </w:rPr>
        <w:t>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称：杭州市上城区财政局、浙江省政府采购行政裁决服务中心（杭州）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2823A7A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w:t>
      </w:r>
    </w:p>
    <w:p w14:paraId="244C6CB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政策咨询电话：何一平、冯华，0571-87058424、87055741</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杭州市上城区人民法院食堂外包服务项目</w:t>
            </w:r>
            <w:r>
              <w:rPr>
                <w:rFonts w:hint="eastAsia" w:ascii="宋体" w:hAnsi="宋体" w:cs="宋体"/>
                <w:color w:val="auto"/>
                <w:kern w:val="0"/>
                <w:sz w:val="24"/>
                <w:highlight w:val="none"/>
              </w:rPr>
              <w:t>，属于</w:t>
            </w:r>
            <w:r>
              <w:rPr>
                <w:rFonts w:hint="eastAsia" w:ascii="宋体" w:hAnsi="宋体" w:cs="宋体"/>
                <w:kern w:val="0"/>
                <w:sz w:val="24"/>
                <w:u w:val="single"/>
                <w:lang w:eastAsia="zh-CN"/>
              </w:rPr>
              <w:t>餐饮业</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Theme="minorEastAsia" w:hAnsiTheme="minorEastAsia" w:eastAsiaTheme="minorEastAsia" w:cstheme="minorEastAsia"/>
                <w:kern w:val="28"/>
                <w:sz w:val="24"/>
                <w:szCs w:val="24"/>
                <w:u w:val="single"/>
              </w:rPr>
              <w:t>杭州市西湖区文三路90号科技大厦6幢3层A306，浙江天诺招标代理有限公司</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u w:val="single"/>
                <w:lang w:val="en-US" w:eastAsia="zh-CN"/>
              </w:rPr>
              <w:t>程宇航</w:t>
            </w:r>
            <w:r>
              <w:rPr>
                <w:rFonts w:hint="eastAsia" w:hAnsi="宋体" w:cs="宋体"/>
                <w:color w:val="auto"/>
                <w:kern w:val="28"/>
                <w:sz w:val="24"/>
                <w:szCs w:val="24"/>
                <w:highlight w:val="none"/>
              </w:rPr>
              <w:t>联系电话：</w:t>
            </w:r>
            <w:r>
              <w:rPr>
                <w:rFonts w:hint="eastAsia" w:hAnsi="宋体" w:cs="宋体"/>
                <w:color w:val="auto"/>
                <w:sz w:val="24"/>
                <w:highlight w:val="none"/>
                <w:u w:val="single"/>
                <w:lang w:val="en-US" w:eastAsia="zh-CN"/>
              </w:rPr>
              <w:t>18315330000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5AF91AE5">
            <w:pPr>
              <w:spacing w:line="276" w:lineRule="auto"/>
              <w:jc w:val="left"/>
              <w:rPr>
                <w:rFonts w:hint="eastAsia" w:ascii="宋体" w:hAnsi="宋体" w:cs="宋体"/>
                <w:color w:val="auto"/>
                <w:sz w:val="24"/>
                <w:highlight w:val="none"/>
              </w:rPr>
            </w:pPr>
            <w:r>
              <w:rPr>
                <w:rFonts w:hint="eastAsia" w:asciiTheme="minorEastAsia" w:hAnsiTheme="minorEastAsia" w:eastAsiaTheme="minorEastAsia" w:cstheme="minorEastAsia"/>
                <w:snapToGrid w:val="0"/>
                <w:kern w:val="28"/>
                <w:sz w:val="24"/>
                <w:highlight w:val="none"/>
              </w:rPr>
              <w:t>1.本项目代理服务费由中标人支付。</w:t>
            </w:r>
            <w:r>
              <w:rPr>
                <w:rFonts w:hint="eastAsia" w:ascii="宋体" w:hAnsi="宋体" w:cs="宋体"/>
                <w:color w:val="auto"/>
                <w:sz w:val="24"/>
                <w:highlight w:val="none"/>
              </w:rPr>
              <w:t>代理服务费参照发改价格[2011]534号文招标代理费收费标准计收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不足5000元的按5000元收取</w:t>
            </w:r>
            <w:r>
              <w:rPr>
                <w:rFonts w:hint="eastAsia" w:ascii="宋体" w:hAnsi="宋体" w:cs="宋体"/>
                <w:color w:val="auto"/>
                <w:sz w:val="24"/>
                <w:highlight w:val="none"/>
              </w:rPr>
              <w:t>。</w:t>
            </w:r>
          </w:p>
          <w:p w14:paraId="002253CA">
            <w:pPr>
              <w:spacing w:line="276"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即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114"/>
            </w:tblGrid>
            <w:tr w14:paraId="1E78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4BAC83BE">
                  <w:pPr>
                    <w:spacing w:line="460" w:lineRule="exact"/>
                    <w:jc w:val="center"/>
                    <w:rPr>
                      <w:rFonts w:hint="eastAsia"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中标金额</w:t>
                  </w:r>
                </w:p>
              </w:tc>
              <w:tc>
                <w:tcPr>
                  <w:tcW w:w="2114" w:type="dxa"/>
                  <w:noWrap w:val="0"/>
                  <w:vAlign w:val="top"/>
                </w:tcPr>
                <w:p w14:paraId="486B53E3">
                  <w:pPr>
                    <w:spacing w:line="460" w:lineRule="exact"/>
                    <w:jc w:val="center"/>
                    <w:rPr>
                      <w:rFonts w:hint="eastAsia"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服务类收费费率</w:t>
                  </w:r>
                </w:p>
              </w:tc>
            </w:tr>
            <w:tr w14:paraId="541B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430CD484">
                  <w:pPr>
                    <w:spacing w:line="460" w:lineRule="exact"/>
                    <w:jc w:val="center"/>
                    <w:rPr>
                      <w:rFonts w:hint="eastAsia"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≤100万元（部分）</w:t>
                  </w:r>
                </w:p>
              </w:tc>
              <w:tc>
                <w:tcPr>
                  <w:tcW w:w="2114" w:type="dxa"/>
                  <w:noWrap w:val="0"/>
                  <w:vAlign w:val="top"/>
                </w:tcPr>
                <w:p w14:paraId="358B3D0F">
                  <w:pPr>
                    <w:spacing w:line="460" w:lineRule="exact"/>
                    <w:jc w:val="center"/>
                    <w:rPr>
                      <w:rFonts w:hint="eastAsia"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1.5%</w:t>
                  </w:r>
                </w:p>
              </w:tc>
            </w:tr>
            <w:tr w14:paraId="1246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3495978C">
                  <w:pPr>
                    <w:spacing w:line="460" w:lineRule="exact"/>
                    <w:jc w:val="center"/>
                    <w:rPr>
                      <w:rFonts w:hint="eastAsia"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100万元-500万元（部分）</w:t>
                  </w:r>
                </w:p>
              </w:tc>
              <w:tc>
                <w:tcPr>
                  <w:tcW w:w="2114" w:type="dxa"/>
                  <w:noWrap w:val="0"/>
                  <w:vAlign w:val="top"/>
                </w:tcPr>
                <w:p w14:paraId="2981CAE0">
                  <w:pPr>
                    <w:spacing w:line="460" w:lineRule="exact"/>
                    <w:jc w:val="center"/>
                    <w:rPr>
                      <w:rFonts w:hint="eastAsia" w:ascii="宋体" w:hAnsi="宋体" w:eastAsia="宋体" w:cs="宋体"/>
                      <w:i w:val="0"/>
                      <w:iCs w:val="0"/>
                      <w:color w:val="auto"/>
                      <w:sz w:val="21"/>
                      <w:szCs w:val="21"/>
                      <w:highlight w:val="none"/>
                      <w:lang w:val="zh-TW" w:eastAsia="zh-TW"/>
                    </w:rPr>
                  </w:pPr>
                  <w:r>
                    <w:rPr>
                      <w:rFonts w:hint="eastAsia" w:ascii="宋体" w:hAnsi="宋体" w:eastAsia="宋体" w:cs="宋体"/>
                      <w:i w:val="0"/>
                      <w:iCs w:val="0"/>
                      <w:snapToGrid w:val="0"/>
                      <w:color w:val="auto"/>
                      <w:kern w:val="0"/>
                      <w:sz w:val="21"/>
                      <w:szCs w:val="21"/>
                      <w:highlight w:val="none"/>
                    </w:rPr>
                    <w:t>0.8%</w:t>
                  </w:r>
                </w:p>
              </w:tc>
            </w:tr>
          </w:tbl>
          <w:p w14:paraId="288D2A84">
            <w:pPr>
              <w:spacing w:line="360" w:lineRule="auto"/>
              <w:rPr>
                <w:rFonts w:asciiTheme="minorEastAsia" w:hAnsiTheme="minorEastAsia" w:eastAsiaTheme="minorEastAsia" w:cstheme="minorEastAsia"/>
                <w:snapToGrid w:val="0"/>
                <w:kern w:val="28"/>
                <w:sz w:val="24"/>
                <w:highlight w:val="none"/>
              </w:rPr>
            </w:pPr>
            <w:r>
              <w:rPr>
                <w:rFonts w:hint="eastAsia" w:asciiTheme="minorEastAsia" w:hAnsiTheme="minorEastAsia" w:eastAsiaTheme="minorEastAsia" w:cstheme="minorEastAsia"/>
                <w:snapToGrid w:val="0"/>
                <w:kern w:val="28"/>
                <w:sz w:val="24"/>
                <w:highlight w:val="none"/>
              </w:rPr>
              <w:t>中标人在收到中标（成交）通知书后5个工作日内向采购代理机构支付。</w:t>
            </w:r>
          </w:p>
          <w:p w14:paraId="192DAE23">
            <w:pPr>
              <w:spacing w:line="360" w:lineRule="auto"/>
              <w:rPr>
                <w:rFonts w:asciiTheme="minorEastAsia" w:hAnsiTheme="minorEastAsia" w:eastAsiaTheme="minorEastAsia" w:cstheme="minorEastAsia"/>
                <w:snapToGrid w:val="0"/>
                <w:kern w:val="28"/>
                <w:sz w:val="24"/>
                <w:highlight w:val="none"/>
              </w:rPr>
            </w:pPr>
            <w:r>
              <w:rPr>
                <w:rFonts w:hint="eastAsia" w:asciiTheme="minorEastAsia" w:hAnsiTheme="minorEastAsia" w:eastAsiaTheme="minorEastAsia" w:cstheme="minorEastAsia"/>
                <w:snapToGrid w:val="0"/>
                <w:kern w:val="28"/>
                <w:sz w:val="24"/>
                <w:highlight w:val="none"/>
              </w:rPr>
              <w:t>2．代理服务费支付：</w:t>
            </w:r>
          </w:p>
          <w:p w14:paraId="42042B59">
            <w:pPr>
              <w:spacing w:line="360" w:lineRule="auto"/>
              <w:rPr>
                <w:rFonts w:asciiTheme="minorEastAsia" w:hAnsiTheme="minorEastAsia" w:eastAsiaTheme="minorEastAsia" w:cstheme="minorEastAsia"/>
                <w:snapToGrid w:val="0"/>
                <w:kern w:val="28"/>
                <w:sz w:val="24"/>
                <w:highlight w:val="none"/>
              </w:rPr>
            </w:pPr>
            <w:r>
              <w:rPr>
                <w:rFonts w:hint="eastAsia" w:asciiTheme="minorEastAsia" w:hAnsiTheme="minorEastAsia" w:eastAsiaTheme="minorEastAsia" w:cstheme="minorEastAsia"/>
                <w:snapToGrid w:val="0"/>
                <w:kern w:val="28"/>
                <w:sz w:val="24"/>
                <w:highlight w:val="none"/>
              </w:rPr>
              <w:t>缴纳形式：转账/电汇</w:t>
            </w:r>
          </w:p>
          <w:p w14:paraId="1ABB0229">
            <w:pPr>
              <w:spacing w:line="360" w:lineRule="auto"/>
              <w:rPr>
                <w:rFonts w:hint="eastAsia" w:asciiTheme="minorEastAsia" w:hAnsiTheme="minorEastAsia" w:eastAsiaTheme="minorEastAsia" w:cstheme="minorEastAsia"/>
                <w:snapToGrid w:val="0"/>
                <w:kern w:val="28"/>
                <w:sz w:val="24"/>
                <w:highlight w:val="none"/>
              </w:rPr>
            </w:pPr>
            <w:r>
              <w:rPr>
                <w:rFonts w:hint="eastAsia" w:asciiTheme="minorEastAsia" w:hAnsiTheme="minorEastAsia" w:eastAsiaTheme="minorEastAsia" w:cstheme="minorEastAsia"/>
                <w:snapToGrid w:val="0"/>
                <w:kern w:val="28"/>
                <w:sz w:val="24"/>
                <w:highlight w:val="none"/>
              </w:rPr>
              <w:t>收款单位（户名）：浙江天诺招标代理有限公司</w:t>
            </w:r>
          </w:p>
          <w:p w14:paraId="3246C365">
            <w:pPr>
              <w:spacing w:line="360" w:lineRule="auto"/>
              <w:rPr>
                <w:rFonts w:hint="eastAsia" w:asciiTheme="minorEastAsia" w:hAnsiTheme="minorEastAsia" w:eastAsiaTheme="minorEastAsia" w:cstheme="minorEastAsia"/>
                <w:snapToGrid w:val="0"/>
                <w:kern w:val="28"/>
                <w:sz w:val="24"/>
                <w:highlight w:val="none"/>
              </w:rPr>
            </w:pPr>
            <w:r>
              <w:rPr>
                <w:rFonts w:hint="eastAsia" w:asciiTheme="minorEastAsia" w:hAnsiTheme="minorEastAsia" w:eastAsiaTheme="minorEastAsia" w:cstheme="minorEastAsia"/>
                <w:snapToGrid w:val="0"/>
                <w:kern w:val="28"/>
                <w:sz w:val="24"/>
                <w:highlight w:val="none"/>
              </w:rPr>
              <w:t>开户银行： 杭州银行官巷口支行</w:t>
            </w:r>
          </w:p>
          <w:p w14:paraId="510942BF">
            <w:pPr>
              <w:spacing w:line="360" w:lineRule="auto"/>
              <w:rPr>
                <w:rFonts w:asciiTheme="minorEastAsia" w:hAnsiTheme="minorEastAsia" w:eastAsiaTheme="minorEastAsia" w:cstheme="minorEastAsia"/>
                <w:snapToGrid w:val="0"/>
                <w:kern w:val="28"/>
                <w:sz w:val="24"/>
                <w:highlight w:val="none"/>
              </w:rPr>
            </w:pPr>
            <w:r>
              <w:rPr>
                <w:rFonts w:hint="eastAsia" w:asciiTheme="minorEastAsia" w:hAnsiTheme="minorEastAsia" w:eastAsiaTheme="minorEastAsia" w:cstheme="minorEastAsia"/>
                <w:snapToGrid w:val="0"/>
                <w:kern w:val="28"/>
                <w:sz w:val="24"/>
                <w:highlight w:val="none"/>
              </w:rPr>
              <w:t>银行账号： 3301040160023136305</w:t>
            </w:r>
          </w:p>
          <w:p w14:paraId="6D60DE80">
            <w:pPr>
              <w:spacing w:line="360" w:lineRule="auto"/>
              <w:rPr>
                <w:rFonts w:hint="eastAsia" w:ascii="宋体" w:hAnsi="宋体" w:eastAsia="宋体" w:cs="宋体"/>
                <w:color w:val="auto"/>
                <w:kern w:val="0"/>
                <w:sz w:val="24"/>
                <w:highlight w:val="none"/>
                <w:lang w:val="en" w:eastAsia="zh-CN"/>
              </w:rPr>
            </w:pPr>
            <w:r>
              <w:rPr>
                <w:rFonts w:hint="eastAsia" w:asciiTheme="minorEastAsia" w:hAnsiTheme="minorEastAsia" w:eastAsiaTheme="minorEastAsia" w:cstheme="minorEastAsia"/>
                <w:snapToGrid w:val="0"/>
                <w:kern w:val="28"/>
                <w:sz w:val="24"/>
                <w:highlight w:val="none"/>
              </w:rPr>
              <w:t>3、增值税发票开票资料（见附件退还投标保证金申请书）：单位名称、税号（统一社会信用代码）、开户行名称、账号、地址及联系电话。</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29768"/>
      <w:bookmarkEnd w:id="16"/>
      <w:bookmarkStart w:id="17" w:name="_Hlt75236290"/>
      <w:bookmarkEnd w:id="17"/>
      <w:bookmarkStart w:id="18" w:name="_Hlt68057669"/>
      <w:bookmarkEnd w:id="18"/>
      <w:bookmarkStart w:id="19" w:name="_Hlt74707468"/>
      <w:bookmarkEnd w:id="19"/>
      <w:bookmarkStart w:id="20" w:name="_Hlt74730295"/>
      <w:bookmarkEnd w:id="20"/>
      <w:bookmarkStart w:id="21" w:name="_Hlt68073093"/>
      <w:bookmarkEnd w:id="21"/>
      <w:bookmarkStart w:id="22" w:name="_Hlt68403820"/>
      <w:bookmarkEnd w:id="22"/>
      <w:bookmarkStart w:id="23" w:name="_Hlt68072998"/>
      <w:bookmarkEnd w:id="23"/>
      <w:bookmarkStart w:id="24" w:name="_Hlt68072990"/>
      <w:bookmarkEnd w:id="24"/>
      <w:bookmarkStart w:id="25" w:name="_Hlt75236101"/>
      <w:bookmarkEnd w:id="25"/>
      <w:bookmarkStart w:id="26" w:name="_Hlt75236011"/>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B97391">
      <w:pPr>
        <w:pStyle w:val="258"/>
        <w:adjustRightInd/>
        <w:ind w:firstLine="0" w:firstLineChars="0"/>
        <w:rPr>
          <w:rFonts w:cs="仿宋" w:asciiTheme="minorEastAsia" w:hAnsiTheme="minorEastAsia" w:eastAsiaTheme="minorEastAsia"/>
          <w:b/>
          <w:highlight w:val="none"/>
          <w:lang w:val="zh-CN"/>
        </w:rPr>
      </w:pPr>
      <w:bookmarkStart w:id="28" w:name="_Toc384852545"/>
      <w:bookmarkStart w:id="29" w:name="_Toc295681884"/>
      <w:bookmarkStart w:id="30" w:name="_Toc366487882"/>
      <w:bookmarkStart w:id="31" w:name="_Toc356896000"/>
      <w:bookmarkStart w:id="32" w:name="_Toc296440209"/>
      <w:r>
        <w:rPr>
          <w:rFonts w:hint="eastAsia" w:cs="仿宋" w:asciiTheme="minorEastAsia" w:hAnsiTheme="minorEastAsia" w:eastAsiaTheme="minorEastAsia"/>
          <w:b/>
          <w:highlight w:val="none"/>
          <w:lang w:val="zh-CN"/>
        </w:rPr>
        <w:t>一、项目</w:t>
      </w:r>
      <w:bookmarkEnd w:id="28"/>
      <w:bookmarkEnd w:id="29"/>
      <w:bookmarkEnd w:id="30"/>
      <w:bookmarkEnd w:id="31"/>
      <w:bookmarkEnd w:id="32"/>
      <w:r>
        <w:rPr>
          <w:rFonts w:hint="eastAsia" w:cs="仿宋" w:asciiTheme="minorEastAsia" w:hAnsiTheme="minorEastAsia" w:eastAsiaTheme="minorEastAsia"/>
          <w:b/>
          <w:highlight w:val="none"/>
          <w:lang w:val="zh-CN"/>
        </w:rPr>
        <w:t>概况</w:t>
      </w:r>
    </w:p>
    <w:p w14:paraId="029179C5">
      <w:pPr>
        <w:adjustRightInd/>
        <w:spacing w:line="360" w:lineRule="auto"/>
        <w:ind w:firstLine="480" w:firstLineChars="200"/>
        <w:rPr>
          <w:rFonts w:cs="仿宋" w:asciiTheme="minorEastAsia" w:hAnsiTheme="minorEastAsia" w:eastAsiaTheme="minorEastAsia"/>
          <w:sz w:val="24"/>
          <w:highlight w:val="none"/>
          <w:lang w:val="zh-CN"/>
        </w:rPr>
      </w:pPr>
      <w:bookmarkStart w:id="33" w:name="OLE_LINK9"/>
      <w:bookmarkStart w:id="34" w:name="OLE_LINK10"/>
      <w:r>
        <w:rPr>
          <w:rFonts w:cs="仿宋" w:asciiTheme="minorEastAsia" w:hAnsiTheme="minorEastAsia" w:eastAsiaTheme="minorEastAsia"/>
          <w:sz w:val="24"/>
          <w:highlight w:val="none"/>
          <w:lang w:val="zh-CN"/>
        </w:rPr>
        <w:t>1.</w:t>
      </w:r>
      <w:r>
        <w:rPr>
          <w:rFonts w:hint="eastAsia" w:cs="仿宋" w:asciiTheme="minorEastAsia" w:hAnsiTheme="minorEastAsia" w:eastAsiaTheme="minorEastAsia"/>
          <w:sz w:val="24"/>
          <w:highlight w:val="none"/>
          <w:lang w:val="zh-CN"/>
        </w:rPr>
        <w:t>杭州市上城区人民法院服务地点包含</w:t>
      </w:r>
      <w:r>
        <w:rPr>
          <w:rFonts w:hint="eastAsia" w:asciiTheme="minorEastAsia" w:hAnsiTheme="minorEastAsia" w:eastAsiaTheme="minorEastAsia"/>
          <w:sz w:val="24"/>
          <w:highlight w:val="none"/>
        </w:rPr>
        <w:t>杭州市</w:t>
      </w:r>
      <w:r>
        <w:rPr>
          <w:rFonts w:hint="eastAsia" w:cs="仿宋" w:asciiTheme="minorEastAsia" w:hAnsiTheme="minorEastAsia" w:eastAsiaTheme="minorEastAsia"/>
          <w:sz w:val="24"/>
          <w:highlight w:val="none"/>
          <w:lang w:val="zh-CN"/>
        </w:rPr>
        <w:t>紫花院区（</w:t>
      </w:r>
      <w:r>
        <w:rPr>
          <w:rFonts w:hint="eastAsia" w:asciiTheme="minorEastAsia" w:hAnsiTheme="minorEastAsia" w:eastAsiaTheme="minorEastAsia"/>
          <w:sz w:val="24"/>
          <w:highlight w:val="none"/>
        </w:rPr>
        <w:t>上城区紫花支路6号</w:t>
      </w:r>
      <w:r>
        <w:rPr>
          <w:rFonts w:hint="eastAsia" w:cs="仿宋" w:asciiTheme="minorEastAsia" w:hAnsiTheme="minorEastAsia" w:eastAsiaTheme="minorEastAsia"/>
          <w:sz w:val="24"/>
          <w:highlight w:val="none"/>
          <w:lang w:val="zh-CN"/>
        </w:rPr>
        <w:t>）</w:t>
      </w:r>
      <w:r>
        <w:rPr>
          <w:rFonts w:hint="eastAsia" w:asciiTheme="minorEastAsia" w:hAnsiTheme="minorEastAsia" w:eastAsiaTheme="minorEastAsia"/>
          <w:sz w:val="24"/>
          <w:highlight w:val="none"/>
        </w:rPr>
        <w:t>、笕桥法庭（大农港路1188号），</w:t>
      </w:r>
      <w:r>
        <w:rPr>
          <w:rFonts w:hint="eastAsia" w:cs="仿宋" w:asciiTheme="minorEastAsia" w:hAnsiTheme="minorEastAsia" w:eastAsiaTheme="minorEastAsia"/>
          <w:sz w:val="24"/>
          <w:highlight w:val="none"/>
          <w:lang w:val="zh-CN"/>
        </w:rPr>
        <w:t>服务人数：</w:t>
      </w:r>
      <w:r>
        <w:rPr>
          <w:rFonts w:hint="eastAsia" w:cs="仿宋" w:asciiTheme="minorEastAsia" w:hAnsiTheme="minorEastAsia" w:eastAsiaTheme="minorEastAsia"/>
          <w:sz w:val="24"/>
          <w:highlight w:val="none"/>
        </w:rPr>
        <w:t>500</w:t>
      </w:r>
      <w:r>
        <w:rPr>
          <w:rFonts w:cs="仿宋" w:asciiTheme="minorEastAsia" w:hAnsiTheme="minorEastAsia" w:eastAsiaTheme="minorEastAsia"/>
          <w:sz w:val="24"/>
          <w:highlight w:val="none"/>
          <w:lang w:val="zh-CN"/>
        </w:rPr>
        <w:t xml:space="preserve"> </w:t>
      </w:r>
      <w:r>
        <w:rPr>
          <w:rFonts w:hint="eastAsia" w:cs="仿宋" w:asciiTheme="minorEastAsia" w:hAnsiTheme="minorEastAsia" w:eastAsiaTheme="minorEastAsia"/>
          <w:sz w:val="24"/>
          <w:highlight w:val="none"/>
          <w:lang w:val="zh-CN"/>
        </w:rPr>
        <w:t>人。</w:t>
      </w:r>
    </w:p>
    <w:p w14:paraId="44EE3B06">
      <w:pPr>
        <w:adjustRightInd/>
        <w:spacing w:line="360" w:lineRule="auto"/>
        <w:ind w:firstLine="480" w:firstLineChars="200"/>
        <w:rPr>
          <w:rFonts w:cs="仿宋" w:asciiTheme="minorEastAsia" w:hAnsiTheme="minorEastAsia" w:eastAsiaTheme="minorEastAsia"/>
          <w:sz w:val="24"/>
          <w:highlight w:val="none"/>
          <w:lang w:val="zh-CN"/>
        </w:rPr>
      </w:pPr>
      <w:r>
        <w:rPr>
          <w:rFonts w:cs="仿宋" w:asciiTheme="minorEastAsia" w:hAnsiTheme="minorEastAsia" w:eastAsiaTheme="minorEastAsia"/>
          <w:sz w:val="24"/>
          <w:highlight w:val="none"/>
          <w:lang w:val="zh-CN"/>
        </w:rPr>
        <w:t>2.</w:t>
      </w:r>
      <w:r>
        <w:rPr>
          <w:rFonts w:hint="eastAsia" w:cs="仿宋" w:asciiTheme="minorEastAsia" w:hAnsiTheme="minorEastAsia" w:eastAsiaTheme="minorEastAsia"/>
          <w:sz w:val="24"/>
          <w:highlight w:val="none"/>
          <w:lang w:val="zh-CN"/>
        </w:rPr>
        <w:t>主要为法院内部职工提供早、午、晚工作及公务接待用餐等。就餐数预测：早餐：</w:t>
      </w:r>
      <w:r>
        <w:rPr>
          <w:rFonts w:cs="仿宋" w:asciiTheme="minorEastAsia" w:hAnsiTheme="minorEastAsia" w:eastAsiaTheme="minorEastAsia"/>
          <w:sz w:val="24"/>
          <w:highlight w:val="none"/>
          <w:lang w:val="zh-CN"/>
        </w:rPr>
        <w:t>200</w:t>
      </w:r>
      <w:r>
        <w:rPr>
          <w:rFonts w:hint="eastAsia" w:cs="仿宋" w:asciiTheme="minorEastAsia" w:hAnsiTheme="minorEastAsia" w:eastAsiaTheme="minorEastAsia"/>
          <w:sz w:val="24"/>
          <w:highlight w:val="none"/>
          <w:lang w:val="zh-CN"/>
        </w:rPr>
        <w:t>、中餐：</w:t>
      </w:r>
      <w:r>
        <w:rPr>
          <w:rFonts w:cs="仿宋" w:asciiTheme="minorEastAsia" w:hAnsiTheme="minorEastAsia" w:eastAsiaTheme="minorEastAsia"/>
          <w:sz w:val="24"/>
          <w:highlight w:val="none"/>
          <w:lang w:val="zh-CN"/>
        </w:rPr>
        <w:t xml:space="preserve">500 </w:t>
      </w:r>
      <w:r>
        <w:rPr>
          <w:rFonts w:hint="eastAsia" w:cs="仿宋" w:asciiTheme="minorEastAsia" w:hAnsiTheme="minorEastAsia" w:eastAsiaTheme="minorEastAsia"/>
          <w:sz w:val="24"/>
          <w:highlight w:val="none"/>
          <w:lang w:val="zh-CN"/>
        </w:rPr>
        <w:t>人、晚餐：</w:t>
      </w:r>
      <w:r>
        <w:rPr>
          <w:rFonts w:hint="eastAsia" w:cs="仿宋" w:asciiTheme="minorEastAsia" w:hAnsiTheme="minorEastAsia" w:eastAsiaTheme="minorEastAsia"/>
          <w:sz w:val="24"/>
          <w:highlight w:val="none"/>
          <w:lang w:val="en-US" w:eastAsia="zh-CN"/>
        </w:rPr>
        <w:t>200</w:t>
      </w:r>
      <w:r>
        <w:rPr>
          <w:rFonts w:hint="eastAsia" w:cs="仿宋" w:asciiTheme="minorEastAsia" w:hAnsiTheme="minorEastAsia" w:eastAsiaTheme="minorEastAsia"/>
          <w:sz w:val="24"/>
          <w:highlight w:val="none"/>
          <w:lang w:val="zh-CN"/>
        </w:rPr>
        <w:t>人。</w:t>
      </w:r>
    </w:p>
    <w:bookmarkEnd w:id="33"/>
    <w:bookmarkEnd w:id="34"/>
    <w:p w14:paraId="76AB0678">
      <w:pPr>
        <w:pStyle w:val="258"/>
        <w:adjustRightInd/>
        <w:ind w:firstLine="0" w:firstLineChars="0"/>
        <w:rPr>
          <w:rFonts w:cs="仿宋" w:asciiTheme="minorEastAsia" w:hAnsiTheme="minorEastAsia" w:eastAsiaTheme="minorEastAsia"/>
          <w:b/>
          <w:highlight w:val="none"/>
          <w:lang w:val="zh-CN"/>
        </w:rPr>
      </w:pPr>
      <w:r>
        <w:rPr>
          <w:rFonts w:hint="eastAsia" w:cs="仿宋" w:asciiTheme="minorEastAsia" w:hAnsiTheme="minorEastAsia" w:eastAsiaTheme="minorEastAsia"/>
          <w:b/>
          <w:highlight w:val="none"/>
          <w:lang w:val="zh-CN"/>
        </w:rPr>
        <w:t>二、项目内容</w:t>
      </w:r>
    </w:p>
    <w:p w14:paraId="4CA7557C">
      <w:pPr>
        <w:adjustRightInd/>
        <w:spacing w:line="360" w:lineRule="auto"/>
        <w:ind w:firstLine="480" w:firstLineChars="200"/>
        <w:rPr>
          <w:rFonts w:cs="仿宋" w:asciiTheme="minorEastAsia" w:hAnsiTheme="minorEastAsia" w:eastAsiaTheme="minorEastAsia"/>
          <w:sz w:val="24"/>
          <w:highlight w:val="none"/>
          <w:lang w:val="zh-CN"/>
        </w:rPr>
      </w:pPr>
      <w:r>
        <w:rPr>
          <w:rFonts w:hint="eastAsia" w:cs="仿宋" w:asciiTheme="minorEastAsia" w:hAnsiTheme="minorEastAsia" w:eastAsiaTheme="minorEastAsia"/>
          <w:sz w:val="24"/>
          <w:highlight w:val="none"/>
          <w:lang w:val="zh-CN"/>
        </w:rPr>
        <w:t xml:space="preserve">1. </w:t>
      </w:r>
      <w:r>
        <w:rPr>
          <w:rFonts w:cs="仿宋" w:asciiTheme="minorEastAsia" w:hAnsiTheme="minorEastAsia" w:eastAsiaTheme="minorEastAsia"/>
          <w:sz w:val="24"/>
          <w:highlight w:val="none"/>
          <w:lang w:val="zh-CN"/>
        </w:rPr>
        <w:t>供应商承包采购人</w:t>
      </w:r>
      <w:r>
        <w:rPr>
          <w:rFonts w:hint="eastAsia" w:cs="仿宋" w:asciiTheme="minorEastAsia" w:hAnsiTheme="minorEastAsia" w:eastAsiaTheme="minorEastAsia"/>
          <w:sz w:val="24"/>
          <w:highlight w:val="none"/>
          <w:lang w:val="zh-CN"/>
        </w:rPr>
        <w:t>的</w:t>
      </w:r>
      <w:r>
        <w:rPr>
          <w:rFonts w:cs="仿宋" w:asciiTheme="minorEastAsia" w:hAnsiTheme="minorEastAsia" w:eastAsiaTheme="minorEastAsia"/>
          <w:sz w:val="24"/>
          <w:highlight w:val="none"/>
          <w:lang w:val="zh-CN"/>
        </w:rPr>
        <w:t>职工食堂，需做到在采购人的管理下为职工提供优质的用餐服务、膳食管理（包括成本核算，不包括采购）服务。</w:t>
      </w:r>
    </w:p>
    <w:p w14:paraId="7A1DA3E5">
      <w:pPr>
        <w:adjustRightInd/>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highlight w:val="none"/>
          <w:lang w:val="zh-CN"/>
        </w:rPr>
        <w:t xml:space="preserve">2. </w:t>
      </w:r>
      <w:r>
        <w:rPr>
          <w:rFonts w:cs="仿宋" w:asciiTheme="minorEastAsia" w:hAnsiTheme="minorEastAsia" w:eastAsiaTheme="minorEastAsia"/>
          <w:sz w:val="24"/>
          <w:highlight w:val="none"/>
          <w:lang w:val="zh-CN"/>
        </w:rPr>
        <w:t>本项目厨房设备、餐具、桌椅等餐饮用具均由采购人配齐。食堂所需卫生清洁用的低值易耗品（不限于餐巾纸、擦桌布、</w:t>
      </w:r>
      <w:r>
        <w:rPr>
          <w:rFonts w:cs="仿宋" w:asciiTheme="minorEastAsia" w:hAnsiTheme="minorEastAsia" w:eastAsiaTheme="minorEastAsia"/>
          <w:sz w:val="24"/>
          <w:lang w:val="zh-CN"/>
        </w:rPr>
        <w:t>清洁球、拖把、洗洁精、一次性用品等）、调味品、米肉菜由采购人负责提供，供应商按需领取。</w:t>
      </w:r>
    </w:p>
    <w:p w14:paraId="7CCA2326">
      <w:pPr>
        <w:adjustRightInd/>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 xml:space="preserve">3. </w:t>
      </w:r>
      <w:r>
        <w:rPr>
          <w:rFonts w:cs="仿宋" w:asciiTheme="minorEastAsia" w:hAnsiTheme="minorEastAsia" w:eastAsiaTheme="minorEastAsia"/>
          <w:sz w:val="24"/>
          <w:lang w:val="zh-CN"/>
        </w:rPr>
        <w:t>服务人员、服务人员劳保用品、服装、食堂管理必备的物品均由供应商提供。</w:t>
      </w:r>
    </w:p>
    <w:p w14:paraId="1CCBAEF0">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三、项目</w:t>
      </w:r>
      <w:r>
        <w:rPr>
          <w:rFonts w:cs="仿宋" w:asciiTheme="minorEastAsia" w:hAnsiTheme="minorEastAsia" w:eastAsiaTheme="minorEastAsia"/>
          <w:b/>
          <w:lang w:val="zh-CN"/>
        </w:rPr>
        <w:t>服务要求</w:t>
      </w:r>
    </w:p>
    <w:p w14:paraId="5D34EBD5">
      <w:pPr>
        <w:adjustRightInd/>
        <w:spacing w:line="360" w:lineRule="auto"/>
        <w:ind w:firstLine="480" w:firstLineChars="200"/>
        <w:rPr>
          <w:rFonts w:ascii="宋体" w:hAnsi="宋体" w:cs="仿宋"/>
          <w:sz w:val="24"/>
        </w:rPr>
      </w:pPr>
      <w:r>
        <w:rPr>
          <w:rFonts w:hint="eastAsia" w:ascii="宋体" w:hAnsi="宋体" w:cs="仿宋"/>
          <w:sz w:val="24"/>
        </w:rPr>
        <w:t>1．法定工作日：食堂用餐服务：早餐200人左右、中餐500人左右、晚餐</w:t>
      </w:r>
      <w:r>
        <w:rPr>
          <w:rFonts w:hint="eastAsia" w:ascii="宋体" w:hAnsi="宋体" w:cs="仿宋"/>
          <w:sz w:val="24"/>
          <w:lang w:val="en-US" w:eastAsia="zh-CN"/>
        </w:rPr>
        <w:t>200</w:t>
      </w:r>
      <w:r>
        <w:rPr>
          <w:rFonts w:hint="eastAsia" w:ascii="宋体" w:hAnsi="宋体" w:cs="仿宋"/>
          <w:sz w:val="24"/>
        </w:rPr>
        <w:t>人左右。</w:t>
      </w:r>
    </w:p>
    <w:p w14:paraId="1DD465CB">
      <w:pPr>
        <w:adjustRightInd/>
        <w:spacing w:line="360" w:lineRule="auto"/>
        <w:ind w:firstLine="480" w:firstLineChars="200"/>
        <w:rPr>
          <w:rFonts w:ascii="宋体" w:hAnsi="宋体" w:cs="仿宋"/>
          <w:sz w:val="24"/>
        </w:rPr>
      </w:pPr>
      <w:r>
        <w:rPr>
          <w:rFonts w:hint="eastAsia" w:ascii="宋体" w:hAnsi="宋体" w:cs="仿宋"/>
          <w:sz w:val="24"/>
        </w:rPr>
        <w:t>①早餐，约为200人左右就餐，按采购人要求提供营养可口的食品、不少于15个品种及以上，面点(需要手工制作，不允许半成品)、稀饭、豆浆、油条等，小菜品种不少于5个。</w:t>
      </w:r>
    </w:p>
    <w:p w14:paraId="66298851">
      <w:pPr>
        <w:adjustRightInd/>
        <w:spacing w:line="360" w:lineRule="auto"/>
        <w:ind w:firstLine="480" w:firstLineChars="200"/>
        <w:rPr>
          <w:rFonts w:ascii="宋体" w:hAnsi="宋体" w:cs="仿宋"/>
          <w:sz w:val="24"/>
        </w:rPr>
      </w:pPr>
      <w:r>
        <w:rPr>
          <w:rFonts w:hint="eastAsia" w:ascii="宋体" w:hAnsi="宋体" w:cs="仿宋"/>
          <w:sz w:val="24"/>
        </w:rPr>
        <w:t>②中餐500人左右，提供不少于5荤5半荤5素一汤及米饭、水果、杂粮2种，明档3种。一级明档和面食区并可提供少量盒饭快餐，适当提供风味美食，提供特色新菜（每周）。</w:t>
      </w:r>
    </w:p>
    <w:p w14:paraId="76BBBEEA">
      <w:pPr>
        <w:adjustRightInd/>
        <w:spacing w:line="360" w:lineRule="auto"/>
        <w:ind w:firstLine="480" w:firstLineChars="200"/>
        <w:rPr>
          <w:rFonts w:ascii="宋体" w:hAnsi="宋体" w:cs="仿宋"/>
          <w:sz w:val="24"/>
        </w:rPr>
      </w:pPr>
      <w:r>
        <w:rPr>
          <w:rFonts w:hint="eastAsia" w:ascii="宋体" w:hAnsi="宋体" w:cs="仿宋"/>
          <w:sz w:val="24"/>
        </w:rPr>
        <w:t>③晚餐约</w:t>
      </w:r>
      <w:r>
        <w:rPr>
          <w:rFonts w:hint="eastAsia" w:ascii="宋体" w:hAnsi="宋体" w:cs="仿宋"/>
          <w:sz w:val="24"/>
          <w:lang w:val="en-US" w:eastAsia="zh-CN"/>
        </w:rPr>
        <w:t>2</w:t>
      </w:r>
      <w:r>
        <w:rPr>
          <w:rFonts w:hint="eastAsia" w:ascii="宋体" w:hAnsi="宋体" w:cs="仿宋"/>
          <w:sz w:val="24"/>
        </w:rPr>
        <w:t>00人左右就餐，提供不少于3荤3半荤3素一汤及明档特色小吃。并提供卤味及小炒打包。</w:t>
      </w:r>
    </w:p>
    <w:p w14:paraId="6137943E">
      <w:pPr>
        <w:adjustRightInd/>
        <w:spacing w:line="360" w:lineRule="auto"/>
        <w:ind w:firstLine="480" w:firstLineChars="200"/>
        <w:rPr>
          <w:rFonts w:ascii="宋体" w:hAnsi="宋体" w:cs="仿宋"/>
          <w:sz w:val="24"/>
        </w:rPr>
      </w:pPr>
      <w:r>
        <w:rPr>
          <w:rFonts w:hint="eastAsia" w:ascii="宋体" w:hAnsi="宋体" w:cs="仿宋"/>
          <w:sz w:val="24"/>
        </w:rPr>
        <w:t>④每天晚餐</w:t>
      </w:r>
      <w:r>
        <w:rPr>
          <w:rFonts w:ascii="宋体" w:hAnsi="宋体" w:cs="仿宋"/>
          <w:sz w:val="24"/>
        </w:rPr>
        <w:t>需要提供净菜及打包</w:t>
      </w:r>
      <w:r>
        <w:rPr>
          <w:rFonts w:hint="eastAsia" w:ascii="宋体" w:hAnsi="宋体" w:cs="仿宋"/>
          <w:sz w:val="24"/>
        </w:rPr>
        <w:t>服务。</w:t>
      </w:r>
    </w:p>
    <w:p w14:paraId="341216DB">
      <w:pPr>
        <w:adjustRightInd/>
        <w:spacing w:line="360" w:lineRule="auto"/>
        <w:ind w:firstLine="480" w:firstLineChars="200"/>
        <w:rPr>
          <w:rFonts w:ascii="宋体" w:hAnsi="宋体" w:cs="仿宋"/>
          <w:sz w:val="24"/>
        </w:rPr>
      </w:pPr>
      <w:r>
        <w:rPr>
          <w:rFonts w:hint="eastAsia" w:ascii="宋体" w:hAnsi="宋体" w:cs="仿宋"/>
          <w:sz w:val="24"/>
        </w:rPr>
        <w:t>⑤</w:t>
      </w:r>
      <w:r>
        <w:rPr>
          <w:rFonts w:ascii="宋体" w:hAnsi="宋体" w:cs="仿宋"/>
          <w:sz w:val="24"/>
        </w:rPr>
        <w:t>全院固定加班的晚上及周末需要按照工作日提供食堂保障</w:t>
      </w:r>
      <w:r>
        <w:rPr>
          <w:rFonts w:hint="eastAsia" w:ascii="宋体" w:hAnsi="宋体" w:cs="仿宋"/>
          <w:sz w:val="24"/>
        </w:rPr>
        <w:t>。</w:t>
      </w:r>
    </w:p>
    <w:p w14:paraId="75C4B083">
      <w:pPr>
        <w:adjustRightInd/>
        <w:spacing w:line="360" w:lineRule="auto"/>
        <w:ind w:firstLine="480" w:firstLineChars="200"/>
        <w:rPr>
          <w:rFonts w:ascii="宋体" w:hAnsi="宋体" w:cs="仿宋"/>
          <w:sz w:val="24"/>
        </w:rPr>
      </w:pPr>
      <w:r>
        <w:rPr>
          <w:rFonts w:hint="eastAsia" w:ascii="宋体" w:hAnsi="宋体" w:cs="仿宋"/>
          <w:sz w:val="24"/>
        </w:rPr>
        <w:t>以上就餐标准最终以采购人确认为准。</w:t>
      </w:r>
    </w:p>
    <w:p w14:paraId="3AA3B36F">
      <w:pPr>
        <w:adjustRightInd/>
        <w:spacing w:line="360" w:lineRule="auto"/>
        <w:ind w:firstLine="480" w:firstLineChars="200"/>
        <w:rPr>
          <w:rFonts w:ascii="宋体" w:hAnsi="宋体" w:cs="仿宋"/>
          <w:sz w:val="24"/>
        </w:rPr>
      </w:pPr>
      <w:r>
        <w:rPr>
          <w:rFonts w:hint="eastAsia" w:ascii="宋体" w:hAnsi="宋体" w:cs="仿宋"/>
          <w:sz w:val="24"/>
        </w:rPr>
        <w:t>2．另辟接待服务区域：中餐、晚餐随时准备</w:t>
      </w:r>
      <w:r>
        <w:rPr>
          <w:rFonts w:hint="eastAsia" w:cs="仿宋" w:asciiTheme="minorEastAsia" w:hAnsiTheme="minorEastAsia" w:eastAsiaTheme="minorEastAsia"/>
          <w:sz w:val="24"/>
          <w:lang w:val="zh-CN"/>
        </w:rPr>
        <w:t>公务接待用餐</w:t>
      </w:r>
      <w:r>
        <w:rPr>
          <w:rFonts w:hint="eastAsia" w:ascii="宋体" w:hAnsi="宋体" w:cs="仿宋"/>
          <w:sz w:val="24"/>
        </w:rPr>
        <w:t>（要求三星级以上接待标准），用餐菜系以本地菜为主，用餐标准由采购人制定，中标供应商需做到准时开餐、质量保证。</w:t>
      </w:r>
    </w:p>
    <w:p w14:paraId="7DB2F0BE">
      <w:pPr>
        <w:adjustRightInd/>
        <w:spacing w:line="360" w:lineRule="auto"/>
        <w:ind w:firstLine="480" w:firstLineChars="200"/>
        <w:rPr>
          <w:rFonts w:ascii="宋体" w:hAnsi="宋体" w:cs="仿宋"/>
          <w:sz w:val="24"/>
        </w:rPr>
      </w:pPr>
      <w:r>
        <w:rPr>
          <w:rFonts w:hint="eastAsia" w:ascii="宋体" w:hAnsi="宋体" w:cs="仿宋"/>
          <w:sz w:val="24"/>
        </w:rPr>
        <w:t>3．中标供应商应根据季节不同提供时令菜品，定期推出特色菜或新菜，按采购人经济目标要求核算并帮助采购人控制好用餐成本。</w:t>
      </w:r>
    </w:p>
    <w:p w14:paraId="53283FB8">
      <w:pPr>
        <w:adjustRightInd/>
        <w:spacing w:line="360" w:lineRule="auto"/>
        <w:ind w:firstLine="480" w:firstLineChars="200"/>
        <w:rPr>
          <w:rFonts w:ascii="宋体" w:hAnsi="宋体" w:cs="仿宋"/>
          <w:sz w:val="24"/>
        </w:rPr>
      </w:pPr>
      <w:r>
        <w:rPr>
          <w:rFonts w:hint="eastAsia" w:ascii="宋体" w:hAnsi="宋体" w:cs="仿宋"/>
          <w:sz w:val="24"/>
        </w:rPr>
        <w:t>4．由中标供应商提出原材料申购清单，采购人负责采购并送到食堂，中标人负责验收。</w:t>
      </w:r>
    </w:p>
    <w:p w14:paraId="25A0A543">
      <w:pPr>
        <w:adjustRightInd/>
        <w:spacing w:line="360" w:lineRule="auto"/>
        <w:ind w:firstLine="480" w:firstLineChars="200"/>
        <w:rPr>
          <w:rFonts w:ascii="宋体" w:hAnsi="宋体" w:cs="仿宋"/>
          <w:sz w:val="24"/>
        </w:rPr>
      </w:pPr>
      <w:r>
        <w:rPr>
          <w:rFonts w:hint="eastAsia" w:ascii="宋体" w:hAnsi="宋体" w:cs="仿宋"/>
          <w:sz w:val="24"/>
        </w:rPr>
        <w:t>5．采购人提供厨房、餐厅等用餐场所及必要的厨房设备，炊具等其他用具由中标人自行携带进场。中标供应商在服务期内应妥善使用并保管好，如有遗失、损坏，中标供应商负责赔偿（属自然损耗、采购人职工损坏、来宾损坏等情况，中标供应商应在第二天内对上述损坏物品如实申报采购人审批）。</w:t>
      </w:r>
    </w:p>
    <w:p w14:paraId="7AA4DCEB">
      <w:pPr>
        <w:adjustRightInd/>
        <w:spacing w:line="360" w:lineRule="auto"/>
        <w:ind w:firstLine="480" w:firstLineChars="200"/>
        <w:rPr>
          <w:rFonts w:cs="仿宋"/>
        </w:rPr>
      </w:pPr>
      <w:r>
        <w:rPr>
          <w:rFonts w:ascii="宋体" w:hAnsi="宋体" w:cs="仿宋"/>
          <w:sz w:val="24"/>
        </w:rPr>
        <w:t>6.</w:t>
      </w:r>
      <w:r>
        <w:rPr>
          <w:rFonts w:hint="eastAsia" w:ascii="宋体" w:hAnsi="宋体" w:cs="仿宋"/>
          <w:sz w:val="24"/>
        </w:rPr>
        <w:t>如原料需采用半成品，中标人需提前一周报采购人审批，经采购人审核同意后方可使用。</w:t>
      </w:r>
    </w:p>
    <w:p w14:paraId="4EADE74C">
      <w:pPr>
        <w:adjustRightInd/>
        <w:spacing w:line="360" w:lineRule="auto"/>
        <w:ind w:firstLine="480" w:firstLineChars="200"/>
        <w:rPr>
          <w:rFonts w:ascii="宋体" w:hAnsi="宋体" w:cs="仿宋"/>
          <w:sz w:val="24"/>
        </w:rPr>
      </w:pPr>
      <w:r>
        <w:rPr>
          <w:rFonts w:ascii="宋体" w:hAnsi="宋体" w:cs="仿宋"/>
          <w:sz w:val="24"/>
        </w:rPr>
        <w:t xml:space="preserve">7. </w:t>
      </w:r>
      <w:r>
        <w:rPr>
          <w:rFonts w:hint="eastAsia" w:ascii="宋体" w:hAnsi="宋体" w:cs="仿宋"/>
          <w:sz w:val="24"/>
        </w:rPr>
        <w:t>供应商需</w:t>
      </w:r>
      <w:r>
        <w:rPr>
          <w:rFonts w:ascii="宋体" w:hAnsi="宋体" w:cs="仿宋"/>
          <w:sz w:val="24"/>
        </w:rPr>
        <w:t>根据人体营养需求，合理安排一周菜单，</w:t>
      </w:r>
      <w:r>
        <w:rPr>
          <w:rFonts w:hint="eastAsia" w:ascii="宋体" w:hAnsi="宋体" w:cs="仿宋"/>
          <w:sz w:val="24"/>
        </w:rPr>
        <w:t>每周早、中、晚餐菜单及菜品定价于每周四下班前提交采购人审批。</w:t>
      </w:r>
    </w:p>
    <w:p w14:paraId="438DD881">
      <w:pPr>
        <w:adjustRightInd/>
        <w:spacing w:line="360" w:lineRule="auto"/>
        <w:ind w:firstLine="480" w:firstLineChars="200"/>
        <w:rPr>
          <w:rFonts w:ascii="宋体" w:hAnsi="宋体" w:cs="仿宋"/>
          <w:sz w:val="24"/>
        </w:rPr>
      </w:pPr>
      <w:r>
        <w:rPr>
          <w:rFonts w:ascii="宋体" w:hAnsi="宋体" w:cs="仿宋"/>
          <w:sz w:val="24"/>
        </w:rPr>
        <w:t>8</w:t>
      </w:r>
      <w:r>
        <w:rPr>
          <w:rFonts w:hint="eastAsia" w:ascii="宋体" w:hAnsi="宋体" w:cs="仿宋"/>
          <w:sz w:val="24"/>
        </w:rPr>
        <w:t>、食堂内水、电、气费和日常设备、设施维修费用等使用费用由采购方负责，但供应商应积极维护好厨房设施，恶意破坏的，需折价赔偿；</w:t>
      </w:r>
    </w:p>
    <w:p w14:paraId="630EC28A">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四、食堂工作人员要求</w:t>
      </w:r>
    </w:p>
    <w:p w14:paraId="5EF31479">
      <w:pPr>
        <w:adjustRightInd/>
        <w:spacing w:line="360" w:lineRule="auto"/>
        <w:ind w:firstLine="424" w:firstLineChars="177"/>
        <w:rPr>
          <w:rFonts w:cs="仿宋" w:asciiTheme="minorEastAsia" w:hAnsiTheme="minorEastAsia" w:eastAsiaTheme="minorEastAsia"/>
          <w:sz w:val="24"/>
          <w:highlight w:val="none"/>
        </w:rPr>
      </w:pPr>
      <w:bookmarkStart w:id="35" w:name="_Toc208738620"/>
      <w:bookmarkStart w:id="36" w:name="_Toc296440211"/>
      <w:bookmarkStart w:id="37" w:name="_Toc3262"/>
      <w:bookmarkStart w:id="38" w:name="_Toc295681886"/>
      <w:bookmarkStart w:id="39" w:name="_Toc208738775"/>
      <w:bookmarkStart w:id="40" w:name="_Toc176425271"/>
      <w:bookmarkStart w:id="41" w:name="_Toc208810800"/>
      <w:r>
        <w:rPr>
          <w:rFonts w:hint="eastAsia" w:cs="仿宋" w:asciiTheme="minorEastAsia" w:hAnsiTheme="minorEastAsia" w:eastAsiaTheme="minorEastAsia"/>
          <w:sz w:val="24"/>
          <w:highlight w:val="none"/>
        </w:rPr>
        <w:t>1．按采购人服务要求合理配置项目经理、厨师长、专业厨师、面点师、服务员、勤杂工等服务队伍。</w:t>
      </w:r>
      <w:r>
        <w:rPr>
          <w:rFonts w:hint="eastAsia" w:ascii="宋体" w:hAnsi="宋体" w:cs="宋体"/>
          <w:sz w:val="24"/>
          <w:highlight w:val="none"/>
        </w:rPr>
        <w:t>在签订合同后七日内，供应商需向采购人提供所有人员清单及人员的相关证明：包括技能证书、健康证、无犯罪记录证明等资料。</w:t>
      </w:r>
    </w:p>
    <w:p w14:paraId="0918F2EA">
      <w:pPr>
        <w:adjustRightInd/>
        <w:spacing w:line="360" w:lineRule="auto"/>
        <w:ind w:firstLine="426" w:firstLineChars="177"/>
        <w:rPr>
          <w:rFonts w:cs="仿宋" w:asciiTheme="minorEastAsia" w:hAnsiTheme="minorEastAsia" w:eastAsiaTheme="minorEastAsia"/>
          <w:b/>
          <w:sz w:val="24"/>
          <w:highlight w:val="none"/>
          <w:u w:val="single"/>
        </w:rPr>
      </w:pPr>
      <w:r>
        <w:rPr>
          <w:rFonts w:hint="eastAsia" w:cs="仿宋" w:asciiTheme="minorEastAsia" w:hAnsiTheme="minorEastAsia" w:eastAsiaTheme="minorEastAsia"/>
          <w:b/>
          <w:sz w:val="24"/>
          <w:highlight w:val="none"/>
        </w:rPr>
        <w:t>▲</w:t>
      </w:r>
      <w:r>
        <w:rPr>
          <w:rFonts w:cs="仿宋" w:asciiTheme="minorEastAsia" w:hAnsiTheme="minorEastAsia" w:eastAsiaTheme="minorEastAsia"/>
          <w:b/>
          <w:sz w:val="24"/>
          <w:highlight w:val="none"/>
        </w:rPr>
        <w:t>2．</w:t>
      </w:r>
      <w:r>
        <w:rPr>
          <w:rFonts w:hint="eastAsia" w:cs="仿宋" w:asciiTheme="minorEastAsia" w:hAnsiTheme="minorEastAsia" w:eastAsiaTheme="minorEastAsia"/>
          <w:b/>
          <w:sz w:val="24"/>
          <w:highlight w:val="none"/>
        </w:rPr>
        <w:t>服务队伍配置人数不少于</w:t>
      </w:r>
      <w:r>
        <w:rPr>
          <w:rFonts w:hint="eastAsia" w:cs="仿宋" w:asciiTheme="minorEastAsia" w:hAnsiTheme="minorEastAsia" w:eastAsiaTheme="minorEastAsia"/>
          <w:b/>
          <w:sz w:val="24"/>
          <w:highlight w:val="none"/>
          <w:lang w:val="en-US" w:eastAsia="zh-CN"/>
        </w:rPr>
        <w:t>18</w:t>
      </w:r>
      <w:r>
        <w:rPr>
          <w:rFonts w:hint="eastAsia" w:cs="仿宋" w:asciiTheme="minorEastAsia" w:hAnsiTheme="minorEastAsia" w:eastAsiaTheme="minorEastAsia"/>
          <w:b/>
          <w:sz w:val="24"/>
          <w:highlight w:val="none"/>
        </w:rPr>
        <w:t>人。其中要求项目经理1人，紫花院区厨师不少于</w:t>
      </w:r>
      <w:r>
        <w:rPr>
          <w:rFonts w:hint="eastAsia" w:cs="仿宋" w:asciiTheme="minorEastAsia" w:hAnsiTheme="minorEastAsia" w:eastAsiaTheme="minorEastAsia"/>
          <w:b/>
          <w:sz w:val="24"/>
          <w:highlight w:val="none"/>
          <w:lang w:val="en-US" w:eastAsia="zh-CN"/>
        </w:rPr>
        <w:t>3</w:t>
      </w:r>
      <w:r>
        <w:rPr>
          <w:rFonts w:hint="eastAsia" w:cs="仿宋" w:asciiTheme="minorEastAsia" w:hAnsiTheme="minorEastAsia" w:eastAsiaTheme="minorEastAsia"/>
          <w:b/>
          <w:sz w:val="24"/>
          <w:highlight w:val="none"/>
        </w:rPr>
        <w:t>人（含厨师长），面点师不少于2人（中点、西点各1人），其他食堂工作人员不少于</w:t>
      </w:r>
      <w:r>
        <w:rPr>
          <w:rFonts w:hint="eastAsia" w:cs="仿宋" w:asciiTheme="minorEastAsia" w:hAnsiTheme="minorEastAsia" w:eastAsiaTheme="minorEastAsia"/>
          <w:b/>
          <w:sz w:val="24"/>
          <w:highlight w:val="none"/>
          <w:lang w:val="en-US" w:eastAsia="zh-CN"/>
        </w:rPr>
        <w:t xml:space="preserve">10 </w:t>
      </w:r>
      <w:r>
        <w:rPr>
          <w:rFonts w:hint="eastAsia" w:cs="仿宋" w:asciiTheme="minorEastAsia" w:hAnsiTheme="minorEastAsia" w:eastAsiaTheme="minorEastAsia"/>
          <w:b/>
          <w:sz w:val="24"/>
          <w:highlight w:val="none"/>
        </w:rPr>
        <w:t>人,</w:t>
      </w:r>
      <w:r>
        <w:rPr>
          <w:rFonts w:hint="eastAsia" w:cs="仿宋" w:asciiTheme="minorEastAsia" w:hAnsiTheme="minorEastAsia" w:eastAsiaTheme="minorEastAsia"/>
          <w:b/>
          <w:sz w:val="24"/>
          <w:highlight w:val="none"/>
          <w:lang w:eastAsia="zh-CN"/>
        </w:rPr>
        <w:t>其中包含</w:t>
      </w:r>
      <w:r>
        <w:rPr>
          <w:rFonts w:hint="eastAsia" w:cs="仿宋" w:asciiTheme="minorEastAsia" w:hAnsiTheme="minorEastAsia" w:eastAsiaTheme="minorEastAsia"/>
          <w:b/>
          <w:sz w:val="24"/>
          <w:highlight w:val="none"/>
        </w:rPr>
        <w:t>笕桥法庭2人。</w:t>
      </w:r>
    </w:p>
    <w:p w14:paraId="32BCA00E">
      <w:pPr>
        <w:adjustRightInd/>
        <w:spacing w:line="360" w:lineRule="auto"/>
        <w:ind w:firstLine="426" w:firstLineChars="177"/>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3．所有工作人员上岗前必须通过卫生部门指定医院（或防疫站）的体检，并领取饮食行业健康证（健康证必须在有效期内）。无健康合格证者，严禁使用。中标供应商需要提供每年一次的员工体检，并提供派出所出具的无犯罪记录证明。</w:t>
      </w:r>
    </w:p>
    <w:p w14:paraId="20C0FCD1">
      <w:pPr>
        <w:adjustRightInd/>
        <w:spacing w:line="360" w:lineRule="auto"/>
        <w:ind w:firstLine="424" w:firstLineChars="177"/>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4．项目经理、厨师、面点师等人员必须具有相关部门颁发资格证书及相关经验：</w:t>
      </w:r>
    </w:p>
    <w:p w14:paraId="0CB248F4">
      <w:pPr>
        <w:adjustRightInd/>
        <w:spacing w:line="360" w:lineRule="auto"/>
        <w:ind w:firstLine="424" w:firstLineChars="177"/>
        <w:rPr>
          <w:rFonts w:cs="仿宋" w:asciiTheme="minorEastAsia" w:hAnsiTheme="minorEastAsia" w:eastAsiaTheme="minorEastAsia"/>
          <w:sz w:val="24"/>
          <w:highlight w:val="none"/>
        </w:rPr>
      </w:pPr>
      <w:r>
        <w:rPr>
          <w:rFonts w:hint="eastAsia" w:ascii="宋体" w:hAnsi="宋体" w:cs="Calibri"/>
          <w:sz w:val="24"/>
          <w:highlight w:val="none"/>
        </w:rPr>
        <w:t>（1）项目经理具有同类业绩单位服务经验</w:t>
      </w:r>
      <w:r>
        <w:rPr>
          <w:rFonts w:ascii="宋体" w:hAnsi="宋体" w:cs="Calibri"/>
          <w:sz w:val="24"/>
          <w:highlight w:val="none"/>
        </w:rPr>
        <w:t>5</w:t>
      </w:r>
      <w:r>
        <w:rPr>
          <w:rFonts w:hint="eastAsia" w:ascii="宋体" w:hAnsi="宋体" w:cs="Calibri"/>
          <w:sz w:val="24"/>
          <w:highlight w:val="none"/>
        </w:rPr>
        <w:t>年以，具有服务500人以上团队管理经验，具有高级职业经理人资格，高级食品安全管理师资格或公共营养师资格；</w:t>
      </w:r>
    </w:p>
    <w:p w14:paraId="792B3684">
      <w:pPr>
        <w:adjustRightInd/>
        <w:spacing w:line="360" w:lineRule="auto"/>
        <w:ind w:firstLine="424" w:firstLineChars="177"/>
        <w:rPr>
          <w:rFonts w:cs="仿宋" w:asciiTheme="minorEastAsia" w:hAnsiTheme="minorEastAsia" w:eastAsiaTheme="minorEastAsia"/>
          <w:sz w:val="24"/>
          <w:highlight w:val="none"/>
        </w:rPr>
      </w:pPr>
      <w:r>
        <w:rPr>
          <w:rFonts w:hint="eastAsia" w:ascii="宋体" w:hAnsi="宋体" w:cs="Calibri"/>
          <w:sz w:val="24"/>
          <w:highlight w:val="none"/>
        </w:rPr>
        <w:t>（2）厨师长具备</w:t>
      </w:r>
      <w:r>
        <w:rPr>
          <w:rFonts w:hint="eastAsia" w:ascii="宋体" w:hAnsi="宋体" w:cs="Calibri"/>
          <w:sz w:val="24"/>
          <w:highlight w:val="none"/>
          <w:lang w:val="en-US" w:eastAsia="zh-CN"/>
        </w:rPr>
        <w:t>一级</w:t>
      </w:r>
      <w:r>
        <w:rPr>
          <w:rFonts w:hint="eastAsia" w:ascii="宋体" w:hAnsi="宋体" w:cs="Calibri"/>
          <w:sz w:val="24"/>
          <w:highlight w:val="none"/>
        </w:rPr>
        <w:t>中式烹调师职业资格；</w:t>
      </w:r>
    </w:p>
    <w:p w14:paraId="5426A3E5">
      <w:pPr>
        <w:adjustRightInd/>
        <w:spacing w:line="360" w:lineRule="auto"/>
        <w:ind w:firstLine="424" w:firstLineChars="177"/>
        <w:rPr>
          <w:rFonts w:cs="仿宋" w:asciiTheme="minorEastAsia" w:hAnsiTheme="minorEastAsia" w:eastAsiaTheme="minorEastAsia"/>
          <w:sz w:val="24"/>
          <w:highlight w:val="none"/>
        </w:rPr>
      </w:pPr>
      <w:r>
        <w:rPr>
          <w:rFonts w:hint="eastAsia" w:ascii="宋体" w:hAnsi="宋体" w:cs="Calibri"/>
          <w:sz w:val="24"/>
          <w:highlight w:val="none"/>
        </w:rPr>
        <w:t>（</w:t>
      </w:r>
      <w:r>
        <w:rPr>
          <w:rFonts w:ascii="宋体" w:hAnsi="宋体" w:cs="Calibri"/>
          <w:sz w:val="24"/>
          <w:highlight w:val="none"/>
        </w:rPr>
        <w:t>3</w:t>
      </w:r>
      <w:r>
        <w:rPr>
          <w:rFonts w:hint="eastAsia" w:ascii="宋体" w:hAnsi="宋体" w:cs="Calibri"/>
          <w:sz w:val="24"/>
          <w:highlight w:val="none"/>
        </w:rPr>
        <w:t>）面点师具有三级及以上中式面点师职业资格或西式面点师执业资格；</w:t>
      </w:r>
    </w:p>
    <w:p w14:paraId="1950FC46">
      <w:pPr>
        <w:adjustRightInd/>
        <w:spacing w:line="360" w:lineRule="auto"/>
        <w:ind w:firstLine="424" w:firstLineChars="177"/>
        <w:rPr>
          <w:rFonts w:cs="仿宋" w:asciiTheme="minorEastAsia" w:hAnsiTheme="minorEastAsia" w:eastAsiaTheme="minorEastAsia"/>
          <w:sz w:val="24"/>
          <w:highlight w:val="none"/>
        </w:rPr>
      </w:pPr>
      <w:r>
        <w:rPr>
          <w:rFonts w:ascii="宋体" w:hAnsi="宋体" w:cs="Calibri"/>
          <w:sz w:val="24"/>
          <w:highlight w:val="none"/>
        </w:rPr>
        <w:t>（4）其他</w:t>
      </w:r>
      <w:r>
        <w:rPr>
          <w:rFonts w:hint="eastAsia" w:ascii="宋体" w:hAnsi="宋体" w:cs="Calibri"/>
          <w:sz w:val="24"/>
          <w:highlight w:val="none"/>
        </w:rPr>
        <w:t>三名</w:t>
      </w:r>
      <w:r>
        <w:rPr>
          <w:rFonts w:ascii="宋体" w:hAnsi="宋体" w:cs="Calibri"/>
          <w:sz w:val="24"/>
          <w:highlight w:val="none"/>
        </w:rPr>
        <w:t>厨师具有二级及以上中式烹调师职业资格</w:t>
      </w:r>
      <w:r>
        <w:rPr>
          <w:rFonts w:hint="eastAsia" w:ascii="宋体" w:hAnsi="宋体" w:cs="Calibri"/>
          <w:sz w:val="24"/>
          <w:highlight w:val="none"/>
        </w:rPr>
        <w:t>；</w:t>
      </w:r>
    </w:p>
    <w:p w14:paraId="4436D43B">
      <w:pPr>
        <w:adjustRightInd/>
        <w:spacing w:line="360" w:lineRule="auto"/>
        <w:ind w:firstLine="424" w:firstLineChars="177"/>
        <w:rPr>
          <w:rFonts w:cs="仿宋" w:asciiTheme="minorEastAsia" w:hAnsiTheme="minorEastAsia" w:eastAsiaTheme="minorEastAsia"/>
          <w:sz w:val="24"/>
        </w:rPr>
      </w:pPr>
      <w:r>
        <w:rPr>
          <w:rFonts w:hint="eastAsia" w:cs="仿宋" w:asciiTheme="minorEastAsia" w:hAnsiTheme="minorEastAsia" w:eastAsiaTheme="minorEastAsia"/>
          <w:sz w:val="24"/>
        </w:rPr>
        <w:t>5</w:t>
      </w:r>
      <w:r>
        <w:rPr>
          <w:rFonts w:cs="仿宋" w:asciiTheme="minorEastAsia" w:hAnsiTheme="minorEastAsia" w:eastAsiaTheme="minorEastAsia"/>
          <w:sz w:val="24"/>
        </w:rPr>
        <w:t>.</w:t>
      </w:r>
      <w:r>
        <w:rPr>
          <w:rFonts w:hint="eastAsia" w:cs="仿宋" w:asciiTheme="minorEastAsia" w:hAnsiTheme="minorEastAsia" w:eastAsiaTheme="minorEastAsia"/>
          <w:sz w:val="24"/>
        </w:rPr>
        <w:t>采购人可要求厨师、面点师按需进行轮岗（轮岗时间按采购人要求），轮岗人员不得低于投标文件中的人员配置标准。</w:t>
      </w:r>
    </w:p>
    <w:p w14:paraId="390E3137">
      <w:pPr>
        <w:adjustRightInd/>
        <w:spacing w:line="360" w:lineRule="auto"/>
        <w:ind w:firstLine="426" w:firstLineChars="177"/>
        <w:rPr>
          <w:rFonts w:cs="仿宋" w:asciiTheme="minorEastAsia" w:hAnsiTheme="minorEastAsia" w:eastAsiaTheme="minorEastAsia"/>
          <w:b/>
          <w:sz w:val="24"/>
        </w:rPr>
      </w:pPr>
      <w:r>
        <w:rPr>
          <w:rFonts w:hint="eastAsia" w:cs="仿宋" w:asciiTheme="minorEastAsia" w:hAnsiTheme="minorEastAsia" w:eastAsiaTheme="minorEastAsia"/>
          <w:b/>
          <w:sz w:val="24"/>
        </w:rPr>
        <w:t>▲</w:t>
      </w:r>
      <w:r>
        <w:rPr>
          <w:rFonts w:cs="仿宋" w:asciiTheme="minorEastAsia" w:hAnsiTheme="minorEastAsia" w:eastAsiaTheme="minorEastAsia"/>
          <w:b/>
          <w:sz w:val="24"/>
        </w:rPr>
        <w:t>6</w:t>
      </w:r>
      <w:r>
        <w:rPr>
          <w:rFonts w:hint="eastAsia" w:cs="仿宋" w:asciiTheme="minorEastAsia" w:hAnsiTheme="minorEastAsia" w:eastAsiaTheme="minorEastAsia"/>
          <w:b/>
          <w:sz w:val="24"/>
        </w:rPr>
        <w:t>. 所有人员的驻场工作地点必须服从采购人的分配，并满足项目的整体服务要求。</w:t>
      </w:r>
    </w:p>
    <w:bookmarkEnd w:id="35"/>
    <w:bookmarkEnd w:id="36"/>
    <w:bookmarkEnd w:id="37"/>
    <w:bookmarkEnd w:id="38"/>
    <w:bookmarkEnd w:id="39"/>
    <w:bookmarkEnd w:id="40"/>
    <w:bookmarkEnd w:id="41"/>
    <w:p w14:paraId="0614130D">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五、项目管理要求</w:t>
      </w:r>
    </w:p>
    <w:p w14:paraId="7C34D056">
      <w:pPr>
        <w:adjustRightInd/>
        <w:spacing w:line="360" w:lineRule="auto"/>
        <w:ind w:firstLine="544" w:firstLineChars="227"/>
        <w:rPr>
          <w:rFonts w:cs="仿宋" w:asciiTheme="minorEastAsia" w:hAnsiTheme="minorEastAsia" w:eastAsiaTheme="minorEastAsia"/>
          <w:sz w:val="24"/>
        </w:rPr>
      </w:pPr>
      <w:bookmarkStart w:id="42" w:name="_Toc208810802"/>
      <w:bookmarkStart w:id="43" w:name="_Toc208738622"/>
      <w:bookmarkStart w:id="44" w:name="_Toc208738777"/>
      <w:bookmarkStart w:id="45" w:name="_Toc176425273"/>
      <w:r>
        <w:rPr>
          <w:rFonts w:hint="eastAsia" w:cs="仿宋" w:asciiTheme="minorEastAsia" w:hAnsiTheme="minorEastAsia" w:eastAsiaTheme="minorEastAsia"/>
          <w:sz w:val="24"/>
        </w:rPr>
        <w:t>1．供应商必须按照劳动合同法的规定合法规范用工，并全面承担所聘员工涉及劳动关系的所有事宜。供应商与其他商家或雇佣人员的产生的账务、劳资纠纷，均与采购人无关。</w:t>
      </w:r>
    </w:p>
    <w:p w14:paraId="47382BD6">
      <w:pPr>
        <w:adjustRightInd/>
        <w:spacing w:line="360" w:lineRule="auto"/>
        <w:ind w:firstLine="544" w:firstLineChars="227"/>
        <w:rPr>
          <w:rFonts w:cs="仿宋" w:asciiTheme="minorEastAsia" w:hAnsiTheme="minorEastAsia" w:eastAsiaTheme="minorEastAsia"/>
          <w:sz w:val="24"/>
        </w:rPr>
      </w:pPr>
      <w:r>
        <w:rPr>
          <w:rFonts w:hint="eastAsia" w:cs="仿宋" w:asciiTheme="minorEastAsia" w:hAnsiTheme="minorEastAsia" w:eastAsiaTheme="minorEastAsia"/>
          <w:sz w:val="24"/>
        </w:rPr>
        <w:t>2．供应商应了解员工的思想动态、工作表现、遵纪情况以及采购人其他合理要求，提供最佳服务。</w:t>
      </w:r>
    </w:p>
    <w:p w14:paraId="03F31E2C">
      <w:pPr>
        <w:adjustRightInd/>
        <w:spacing w:line="360" w:lineRule="auto"/>
        <w:ind w:firstLine="544" w:firstLineChars="227"/>
        <w:rPr>
          <w:rFonts w:cs="仿宋" w:asciiTheme="minorEastAsia" w:hAnsiTheme="minorEastAsia" w:eastAsiaTheme="minorEastAsia"/>
          <w:sz w:val="24"/>
        </w:rPr>
      </w:pPr>
      <w:r>
        <w:rPr>
          <w:rFonts w:hint="eastAsia" w:cs="仿宋" w:asciiTheme="minorEastAsia" w:hAnsiTheme="minorEastAsia" w:eastAsiaTheme="minorEastAsia"/>
          <w:sz w:val="24"/>
        </w:rPr>
        <w:t>3．根据采购人的服务要求设定工作岗位，分配工作任务，并对员工的工作情况实行监督、检查、考核管理。</w:t>
      </w:r>
    </w:p>
    <w:p w14:paraId="19DB3BE5">
      <w:pPr>
        <w:adjustRightInd/>
        <w:spacing w:line="360" w:lineRule="auto"/>
        <w:ind w:firstLine="241" w:firstLineChars="100"/>
        <w:rPr>
          <w:rFonts w:cs="仿宋" w:asciiTheme="minorEastAsia" w:hAnsiTheme="minorEastAsia" w:eastAsiaTheme="minorEastAsia"/>
          <w:b/>
          <w:bCs w:val="0"/>
          <w:sz w:val="24"/>
        </w:rPr>
      </w:pPr>
      <w:r>
        <w:rPr>
          <w:rFonts w:hint="eastAsia" w:cs="仿宋" w:asciiTheme="minorEastAsia" w:hAnsiTheme="minorEastAsia" w:eastAsiaTheme="minorEastAsia"/>
          <w:b/>
          <w:bCs w:val="0"/>
          <w:sz w:val="24"/>
        </w:rPr>
        <w:t>▲4．供应商员工应遵守采购人的规章制度。不得转包服务。</w:t>
      </w:r>
    </w:p>
    <w:p w14:paraId="78400438">
      <w:pPr>
        <w:adjustRightInd/>
        <w:spacing w:line="360" w:lineRule="auto"/>
        <w:ind w:firstLine="544" w:firstLineChars="227"/>
        <w:rPr>
          <w:rFonts w:cs="仿宋" w:asciiTheme="minorEastAsia" w:hAnsiTheme="minorEastAsia" w:eastAsiaTheme="minorEastAsia"/>
          <w:sz w:val="24"/>
        </w:rPr>
      </w:pPr>
      <w:r>
        <w:rPr>
          <w:rFonts w:cs="仿宋" w:asciiTheme="minorEastAsia" w:hAnsiTheme="minorEastAsia" w:eastAsiaTheme="minorEastAsia"/>
          <w:sz w:val="24"/>
        </w:rPr>
        <w:t>5．投标人必须安排固定的主要服务人员于本项目，管理岗位（负责人、厨师长、厨师、面点师、收银）人员变化（如需调动、辞职等）需提前书面征求采购人意见并提供书面补充人员情况说明经采购人同意后方可办理相应手续，且更换人员高于原招标要求。如投标人不遵守上述规定，自行调换上述人员，一经发现，投标人须向采购人缴纳每人次合同金额的1%</w:t>
      </w:r>
      <w:r>
        <w:rPr>
          <w:rFonts w:hint="eastAsia" w:cs="仿宋" w:asciiTheme="minorEastAsia" w:hAnsiTheme="minorEastAsia" w:eastAsiaTheme="minorEastAsia"/>
          <w:sz w:val="24"/>
        </w:rPr>
        <w:t>的罚款。</w:t>
      </w:r>
    </w:p>
    <w:p w14:paraId="434842C6">
      <w:pPr>
        <w:adjustRightInd/>
        <w:spacing w:line="360" w:lineRule="auto"/>
        <w:ind w:firstLine="544" w:firstLineChars="227"/>
        <w:rPr>
          <w:rFonts w:cs="仿宋" w:asciiTheme="minorEastAsia" w:hAnsiTheme="minorEastAsia" w:eastAsiaTheme="minorEastAsia"/>
          <w:sz w:val="24"/>
        </w:rPr>
      </w:pPr>
      <w:r>
        <w:rPr>
          <w:rFonts w:hint="eastAsia" w:cs="仿宋" w:asciiTheme="minorEastAsia" w:hAnsiTheme="minorEastAsia" w:eastAsiaTheme="minorEastAsia"/>
          <w:sz w:val="24"/>
        </w:rPr>
        <w:t>6．建立健全各项规章制度、岗位责任制、操作规程和各项台账。</w:t>
      </w:r>
    </w:p>
    <w:p w14:paraId="5922F91F">
      <w:pPr>
        <w:adjustRightInd/>
        <w:spacing w:line="360" w:lineRule="auto"/>
        <w:ind w:firstLine="544" w:firstLineChars="227"/>
        <w:rPr>
          <w:rFonts w:cs="仿宋" w:asciiTheme="minorEastAsia" w:hAnsiTheme="minorEastAsia" w:eastAsiaTheme="minorEastAsia"/>
          <w:sz w:val="24"/>
        </w:rPr>
      </w:pPr>
      <w:r>
        <w:rPr>
          <w:rFonts w:hint="eastAsia" w:cs="仿宋" w:asciiTheme="minorEastAsia" w:hAnsiTheme="minorEastAsia" w:eastAsiaTheme="minorEastAsia"/>
          <w:sz w:val="24"/>
        </w:rPr>
        <w:t>7．本食堂的服务人员应专职负责本项目区域内的服务，供应商不得对外经营，且员工在工作时间内不得对外兼职，一经发现，采购人有权中止合同，且无须承担任何责任。</w:t>
      </w:r>
    </w:p>
    <w:p w14:paraId="3D6E7986">
      <w:pPr>
        <w:adjustRightInd/>
        <w:spacing w:line="360" w:lineRule="auto"/>
        <w:ind w:firstLine="544" w:firstLineChars="227"/>
        <w:rPr>
          <w:rFonts w:cs="仿宋" w:asciiTheme="minorEastAsia" w:hAnsiTheme="minorEastAsia" w:eastAsiaTheme="minorEastAsia"/>
          <w:sz w:val="24"/>
        </w:rPr>
      </w:pPr>
      <w:r>
        <w:rPr>
          <w:rFonts w:hint="eastAsia" w:cs="仿宋" w:asciiTheme="minorEastAsia" w:hAnsiTheme="minorEastAsia" w:eastAsiaTheme="minorEastAsia"/>
          <w:sz w:val="24"/>
        </w:rPr>
        <w:t>8. 供应商须自行配备员工的劳保用品，统一工作制服，工作服装的选择由供应商提供选型经采购人确认。</w:t>
      </w:r>
    </w:p>
    <w:p w14:paraId="6C73D62C">
      <w:pPr>
        <w:adjustRightInd/>
        <w:spacing w:line="360" w:lineRule="auto"/>
        <w:ind w:firstLine="544" w:firstLineChars="227"/>
        <w:rPr>
          <w:rFonts w:cs="仿宋" w:asciiTheme="minorEastAsia" w:hAnsiTheme="minorEastAsia" w:eastAsiaTheme="minorEastAsia"/>
          <w:sz w:val="24"/>
        </w:rPr>
      </w:pPr>
      <w:r>
        <w:rPr>
          <w:rFonts w:hint="eastAsia" w:cs="仿宋" w:asciiTheme="minorEastAsia" w:hAnsiTheme="minorEastAsia" w:eastAsiaTheme="minorEastAsia"/>
          <w:sz w:val="24"/>
        </w:rPr>
        <w:t>9. 本项目实行阳光厨房的标准。</w:t>
      </w:r>
    </w:p>
    <w:p w14:paraId="0B64D3B6">
      <w:pPr>
        <w:adjustRightInd/>
        <w:spacing w:line="360" w:lineRule="auto"/>
        <w:ind w:firstLine="544" w:firstLineChars="227"/>
        <w:rPr>
          <w:rFonts w:cs="仿宋" w:asciiTheme="minorEastAsia" w:hAnsiTheme="minorEastAsia" w:eastAsiaTheme="minorEastAsia"/>
          <w:sz w:val="24"/>
        </w:rPr>
      </w:pPr>
      <w:r>
        <w:rPr>
          <w:rFonts w:hint="eastAsia" w:cs="仿宋" w:asciiTheme="minorEastAsia" w:hAnsiTheme="minorEastAsia" w:eastAsiaTheme="minorEastAsia"/>
          <w:sz w:val="24"/>
        </w:rPr>
        <w:t>10. 供应商应针对服务中的不足提出整改方案并付诸实施；</w:t>
      </w:r>
    </w:p>
    <w:p w14:paraId="04730D65">
      <w:pPr>
        <w:adjustRightInd/>
        <w:spacing w:line="360" w:lineRule="auto"/>
        <w:ind w:firstLine="544" w:firstLineChars="227"/>
        <w:rPr>
          <w:rFonts w:cs="仿宋" w:asciiTheme="minorEastAsia" w:hAnsiTheme="minorEastAsia" w:eastAsiaTheme="minorEastAsia"/>
          <w:sz w:val="24"/>
        </w:rPr>
      </w:pPr>
      <w:r>
        <w:rPr>
          <w:rFonts w:hint="eastAsia" w:cs="仿宋" w:asciiTheme="minorEastAsia" w:hAnsiTheme="minorEastAsia" w:eastAsiaTheme="minorEastAsia"/>
          <w:sz w:val="24"/>
        </w:rPr>
        <w:t>1</w:t>
      </w:r>
      <w:r>
        <w:rPr>
          <w:rFonts w:cs="仿宋" w:asciiTheme="minorEastAsia" w:hAnsiTheme="minorEastAsia" w:eastAsiaTheme="minorEastAsia"/>
          <w:sz w:val="24"/>
        </w:rPr>
        <w:t>1.</w:t>
      </w:r>
      <w:r>
        <w:rPr>
          <w:rFonts w:hint="eastAsia" w:cs="仿宋" w:asciiTheme="minorEastAsia" w:hAnsiTheme="minorEastAsia" w:eastAsiaTheme="minorEastAsia"/>
          <w:sz w:val="24"/>
        </w:rPr>
        <w:t xml:space="preserve"> 供应商应每日根据就餐数量合理预估列出各类原材料采购清单，按流程审核后提供给采购人组织采购；成交供应商负责食堂所需的产品原材料、低耗品等的规格、数量、质量验收并签收工作；建立原材料出入库管理制度，出入库台账报采购人审核。采购人将不定期对原材料采购是否达标进行抽查，如发现供应商未对原材料质量进行严格把控导致原材料不符合采购要求，每次扣除合同金额1</w:t>
      </w:r>
      <w:r>
        <w:rPr>
          <w:rFonts w:cs="仿宋" w:asciiTheme="minorEastAsia" w:hAnsiTheme="minorEastAsia" w:eastAsiaTheme="minorEastAsia"/>
          <w:sz w:val="24"/>
        </w:rPr>
        <w:t>%</w:t>
      </w:r>
      <w:r>
        <w:rPr>
          <w:rFonts w:hint="eastAsia" w:cs="仿宋" w:asciiTheme="minorEastAsia" w:hAnsiTheme="minorEastAsia" w:eastAsiaTheme="minorEastAsia"/>
          <w:sz w:val="24"/>
        </w:rPr>
        <w:t>的违约金。</w:t>
      </w:r>
    </w:p>
    <w:p w14:paraId="08AF0ADA">
      <w:pPr>
        <w:adjustRightInd/>
        <w:spacing w:line="360" w:lineRule="auto"/>
        <w:ind w:firstLine="544" w:firstLineChars="227"/>
        <w:rPr>
          <w:rFonts w:cs="仿宋" w:asciiTheme="minorEastAsia" w:hAnsiTheme="minorEastAsia" w:eastAsiaTheme="minorEastAsia"/>
          <w:sz w:val="24"/>
        </w:rPr>
      </w:pPr>
      <w:r>
        <w:rPr>
          <w:rFonts w:cs="仿宋" w:asciiTheme="minorEastAsia" w:hAnsiTheme="minorEastAsia" w:eastAsiaTheme="minorEastAsia"/>
          <w:sz w:val="24"/>
        </w:rPr>
        <w:t xml:space="preserve">12. </w:t>
      </w:r>
      <w:r>
        <w:rPr>
          <w:rFonts w:hint="eastAsia" w:cs="仿宋" w:asciiTheme="minorEastAsia" w:hAnsiTheme="minorEastAsia" w:eastAsiaTheme="minorEastAsia"/>
          <w:sz w:val="24"/>
        </w:rPr>
        <w:t>供应商负责食堂仓库（含冷库）的入库、存贮、出库、盘存等管理工作，及时做好各类记录和台账。仓库管理要求必须做到帐帐相符，帐实相符，数据真实准确，反映真实情况。</w:t>
      </w:r>
    </w:p>
    <w:bookmarkEnd w:id="42"/>
    <w:bookmarkEnd w:id="43"/>
    <w:bookmarkEnd w:id="44"/>
    <w:bookmarkEnd w:id="45"/>
    <w:p w14:paraId="3701A320">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六、卫生管理要求</w:t>
      </w:r>
    </w:p>
    <w:p w14:paraId="4F845237">
      <w:pPr>
        <w:adjustRightInd/>
        <w:spacing w:line="360" w:lineRule="auto"/>
        <w:ind w:firstLine="480" w:firstLineChars="200"/>
        <w:rPr>
          <w:rFonts w:cs="仿宋" w:asciiTheme="minorEastAsia" w:hAnsiTheme="minorEastAsia" w:eastAsiaTheme="minorEastAsia"/>
          <w:bCs/>
          <w:sz w:val="24"/>
        </w:rPr>
      </w:pPr>
      <w:r>
        <w:rPr>
          <w:rFonts w:hint="eastAsia" w:cs="仿宋" w:asciiTheme="minorEastAsia" w:hAnsiTheme="minorEastAsia" w:eastAsiaTheme="minorEastAsia"/>
          <w:bCs/>
          <w:sz w:val="24"/>
        </w:rPr>
        <w:t>1．严格按照《中华人民共和国食品安全法》验收、清洗、加工要求制作食品，厨房用品用具严格实行一洗二过三消毒的规程。</w:t>
      </w:r>
    </w:p>
    <w:p w14:paraId="670AD0E9">
      <w:pPr>
        <w:adjustRightInd/>
        <w:spacing w:line="360" w:lineRule="auto"/>
        <w:ind w:firstLine="480" w:firstLineChars="200"/>
        <w:rPr>
          <w:rFonts w:cs="仿宋" w:asciiTheme="minorEastAsia" w:hAnsiTheme="minorEastAsia" w:eastAsiaTheme="minorEastAsia"/>
          <w:bCs/>
          <w:sz w:val="24"/>
        </w:rPr>
      </w:pPr>
      <w:r>
        <w:rPr>
          <w:rFonts w:hint="eastAsia" w:cs="仿宋" w:asciiTheme="minorEastAsia" w:hAnsiTheme="minorEastAsia" w:eastAsiaTheme="minorEastAsia"/>
          <w:bCs/>
          <w:sz w:val="24"/>
        </w:rPr>
        <w:t>2．对食堂的厨房、餐厅、包厢等所有区域的卫生应按《五常法》管理模式，实行分层负责，定置、定量、定位、定进出、定标识、责任到人。</w:t>
      </w:r>
    </w:p>
    <w:p w14:paraId="040862C2">
      <w:pPr>
        <w:adjustRightInd/>
        <w:spacing w:line="360" w:lineRule="auto"/>
        <w:ind w:firstLine="480" w:firstLineChars="200"/>
        <w:rPr>
          <w:rFonts w:cs="仿宋" w:asciiTheme="minorEastAsia" w:hAnsiTheme="minorEastAsia" w:eastAsiaTheme="minorEastAsia"/>
          <w:bCs/>
          <w:sz w:val="24"/>
        </w:rPr>
      </w:pPr>
      <w:r>
        <w:rPr>
          <w:rFonts w:hint="eastAsia" w:cs="仿宋" w:asciiTheme="minorEastAsia" w:hAnsiTheme="minorEastAsia" w:eastAsiaTheme="minorEastAsia"/>
          <w:bCs/>
          <w:sz w:val="24"/>
        </w:rPr>
        <w:t>3．自觉接受卫生管理部门和采购人管理人员对食堂内工作检查、监督。</w:t>
      </w:r>
    </w:p>
    <w:p w14:paraId="10A2E9B6">
      <w:pPr>
        <w:adjustRightInd/>
        <w:spacing w:line="360" w:lineRule="auto"/>
        <w:ind w:firstLine="480" w:firstLineChars="200"/>
        <w:rPr>
          <w:rFonts w:cs="仿宋" w:asciiTheme="minorEastAsia" w:hAnsiTheme="minorEastAsia" w:eastAsiaTheme="minorEastAsia"/>
          <w:bCs/>
          <w:sz w:val="24"/>
        </w:rPr>
      </w:pPr>
      <w:r>
        <w:rPr>
          <w:rFonts w:hint="eastAsia" w:cs="仿宋" w:asciiTheme="minorEastAsia" w:hAnsiTheme="minorEastAsia" w:eastAsiaTheme="minorEastAsia"/>
          <w:bCs/>
          <w:sz w:val="24"/>
        </w:rPr>
        <w:t>4．垃圾污物应按指定地点放置，不得随意弃放。</w:t>
      </w:r>
    </w:p>
    <w:p w14:paraId="1AB2F58B">
      <w:pPr>
        <w:adjustRightInd/>
        <w:spacing w:line="360" w:lineRule="auto"/>
        <w:ind w:firstLine="480" w:firstLineChars="200"/>
        <w:rPr>
          <w:rFonts w:cs="仿宋" w:asciiTheme="minorEastAsia" w:hAnsiTheme="minorEastAsia" w:eastAsiaTheme="minorEastAsia"/>
          <w:bCs/>
          <w:sz w:val="24"/>
        </w:rPr>
      </w:pPr>
      <w:r>
        <w:rPr>
          <w:rFonts w:hint="eastAsia" w:cs="仿宋" w:asciiTheme="minorEastAsia" w:hAnsiTheme="minorEastAsia" w:eastAsiaTheme="minorEastAsia"/>
          <w:bCs/>
          <w:sz w:val="24"/>
        </w:rPr>
        <w:t>5．做好食堂区域内除虫害工作（蟑螂、老鼠、苍蝇、蚂蚁等）。</w:t>
      </w:r>
    </w:p>
    <w:p w14:paraId="00E9CB60">
      <w:pPr>
        <w:adjustRightInd/>
        <w:spacing w:line="360" w:lineRule="auto"/>
        <w:ind w:firstLine="480" w:firstLineChars="200"/>
        <w:rPr>
          <w:rFonts w:cs="仿宋" w:asciiTheme="minorEastAsia" w:hAnsiTheme="minorEastAsia" w:eastAsiaTheme="minorEastAsia"/>
          <w:bCs/>
          <w:sz w:val="24"/>
        </w:rPr>
      </w:pPr>
      <w:r>
        <w:rPr>
          <w:rFonts w:hint="eastAsia" w:cs="仿宋" w:asciiTheme="minorEastAsia" w:hAnsiTheme="minorEastAsia" w:eastAsiaTheme="minorEastAsia"/>
          <w:bCs/>
          <w:sz w:val="24"/>
        </w:rPr>
        <w:t>6．做好烟道除垢、地沟清理工作等。</w:t>
      </w:r>
    </w:p>
    <w:p w14:paraId="35AEC1B9">
      <w:pPr>
        <w:adjustRightInd/>
        <w:spacing w:line="360" w:lineRule="auto"/>
        <w:ind w:firstLine="480" w:firstLineChars="200"/>
        <w:rPr>
          <w:rFonts w:cs="仿宋" w:asciiTheme="minorEastAsia" w:hAnsiTheme="minorEastAsia" w:eastAsiaTheme="minorEastAsia"/>
          <w:bCs/>
          <w:sz w:val="24"/>
        </w:rPr>
      </w:pPr>
      <w:r>
        <w:rPr>
          <w:rFonts w:cs="仿宋" w:asciiTheme="minorEastAsia" w:hAnsiTheme="minorEastAsia" w:eastAsiaTheme="minorEastAsia"/>
          <w:bCs/>
          <w:sz w:val="24"/>
        </w:rPr>
        <w:t xml:space="preserve">7. </w:t>
      </w:r>
      <w:r>
        <w:rPr>
          <w:rFonts w:hint="eastAsia" w:cs="仿宋" w:asciiTheme="minorEastAsia" w:hAnsiTheme="minorEastAsia" w:eastAsiaTheme="minorEastAsia"/>
          <w:bCs/>
          <w:sz w:val="24"/>
        </w:rPr>
        <w:t>食堂的卫生防疫、就餐环境必须达到国家规定的食堂卫生标准；</w:t>
      </w:r>
    </w:p>
    <w:p w14:paraId="1CCAE587">
      <w:pPr>
        <w:adjustRightInd/>
        <w:spacing w:line="360" w:lineRule="auto"/>
        <w:ind w:firstLine="480" w:firstLineChars="200"/>
        <w:rPr>
          <w:rFonts w:cs="仿宋" w:asciiTheme="minorEastAsia" w:hAnsiTheme="minorEastAsia" w:eastAsiaTheme="minorEastAsia"/>
          <w:sz w:val="24"/>
        </w:rPr>
      </w:pPr>
      <w:r>
        <w:rPr>
          <w:rFonts w:cs="仿宋" w:asciiTheme="minorEastAsia" w:hAnsiTheme="minorEastAsia" w:eastAsiaTheme="minorEastAsia"/>
          <w:bCs/>
          <w:sz w:val="24"/>
        </w:rPr>
        <w:t>8. 如若发生严重食品卫生事件，采购人可以对其处罚，包括但不限于</w:t>
      </w:r>
      <w:r>
        <w:rPr>
          <w:rFonts w:hint="eastAsia" w:cs="仿宋" w:asciiTheme="minorEastAsia" w:hAnsiTheme="minorEastAsia" w:eastAsiaTheme="minorEastAsia"/>
          <w:bCs/>
          <w:sz w:val="24"/>
        </w:rPr>
        <w:t>合同金额的</w:t>
      </w:r>
      <w:r>
        <w:rPr>
          <w:rFonts w:cs="仿宋" w:asciiTheme="minorEastAsia" w:hAnsiTheme="minorEastAsia" w:eastAsiaTheme="minorEastAsia"/>
          <w:bCs/>
          <w:sz w:val="24"/>
        </w:rPr>
        <w:t>20%</w:t>
      </w:r>
      <w:r>
        <w:rPr>
          <w:rFonts w:hint="eastAsia" w:cs="仿宋" w:asciiTheme="minorEastAsia" w:hAnsiTheme="minorEastAsia" w:eastAsiaTheme="minorEastAsia"/>
          <w:bCs/>
          <w:sz w:val="24"/>
        </w:rPr>
        <w:t>的罚</w:t>
      </w:r>
      <w:r>
        <w:rPr>
          <w:rFonts w:cs="仿宋" w:asciiTheme="minorEastAsia" w:hAnsiTheme="minorEastAsia" w:eastAsiaTheme="minorEastAsia"/>
          <w:bCs/>
          <w:sz w:val="24"/>
        </w:rPr>
        <w:t>款及解除合同。</w:t>
      </w:r>
    </w:p>
    <w:p w14:paraId="2A308B1B">
      <w:pPr>
        <w:pStyle w:val="258"/>
        <w:adjustRightInd/>
        <w:ind w:firstLine="0" w:firstLineChars="0"/>
        <w:rPr>
          <w:rFonts w:cs="仿宋" w:asciiTheme="minorEastAsia" w:hAnsiTheme="minorEastAsia" w:eastAsiaTheme="minorEastAsia"/>
          <w:b/>
          <w:lang w:val="zh-CN"/>
        </w:rPr>
      </w:pPr>
      <w:bookmarkStart w:id="46" w:name="_Toc384852549"/>
      <w:bookmarkStart w:id="47" w:name="_Toc356896004"/>
      <w:bookmarkStart w:id="48" w:name="_Toc295681903"/>
      <w:bookmarkStart w:id="49" w:name="_Toc15017"/>
      <w:bookmarkStart w:id="50" w:name="_Toc366487886"/>
      <w:bookmarkStart w:id="51" w:name="_Toc296440228"/>
      <w:r>
        <w:rPr>
          <w:rFonts w:hint="eastAsia" w:cs="仿宋" w:asciiTheme="minorEastAsia" w:hAnsiTheme="minorEastAsia" w:eastAsiaTheme="minorEastAsia"/>
          <w:b/>
          <w:lang w:val="zh-CN"/>
        </w:rPr>
        <w:t>七、安全管理要求</w:t>
      </w:r>
      <w:bookmarkEnd w:id="46"/>
      <w:bookmarkEnd w:id="47"/>
      <w:bookmarkEnd w:id="48"/>
      <w:bookmarkEnd w:id="49"/>
      <w:bookmarkEnd w:id="50"/>
      <w:bookmarkEnd w:id="51"/>
    </w:p>
    <w:p w14:paraId="12950894">
      <w:pPr>
        <w:adjustRightInd/>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1．严禁使用任何变质或受污染的原料制作食品，防止食物中毒事件发生。</w:t>
      </w:r>
    </w:p>
    <w:p w14:paraId="3094124D">
      <w:pPr>
        <w:adjustRightInd/>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2．严格控制使用食品添加剂，注重食品安全，防止食物中毒事件发生。</w:t>
      </w:r>
    </w:p>
    <w:p w14:paraId="12A148BE">
      <w:pPr>
        <w:adjustRightInd/>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3．严格执行食品安全管理、农药测试制度，预防食物中毒事件发生。</w:t>
      </w:r>
    </w:p>
    <w:p w14:paraId="63A5BD09">
      <w:pPr>
        <w:adjustRightInd/>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4．下班后和设备使用完后落实关气、关电、关水、关门检查制度，预防火灾、偷盗事件发生。</w:t>
      </w:r>
    </w:p>
    <w:p w14:paraId="6CB5FCF8">
      <w:pPr>
        <w:adjustRightInd/>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5．由于供应商管理不善或所雇佣人员故意、过失而造成采购人人员、财务损失的，供应商须担全部责任。</w:t>
      </w:r>
    </w:p>
    <w:p w14:paraId="01829B1B">
      <w:pPr>
        <w:adjustRightInd/>
        <w:spacing w:line="360" w:lineRule="auto"/>
        <w:ind w:firstLine="480" w:firstLineChars="200"/>
        <w:rPr>
          <w:rFonts w:ascii="宋体" w:hAnsi="宋体" w:cs="仿宋"/>
          <w:sz w:val="24"/>
          <w:lang w:val="zh-CN"/>
        </w:rPr>
      </w:pPr>
      <w:r>
        <w:rPr>
          <w:rFonts w:hint="eastAsia" w:ascii="宋体" w:hAnsi="宋体"/>
          <w:sz w:val="24"/>
        </w:rPr>
        <w:t>6.如若发生</w:t>
      </w:r>
      <w:r>
        <w:rPr>
          <w:rFonts w:hint="eastAsia" w:ascii="宋体" w:hAnsi="宋体" w:cs="仿宋"/>
          <w:sz w:val="24"/>
        </w:rPr>
        <w:t>食物中毒事故等</w:t>
      </w:r>
      <w:r>
        <w:rPr>
          <w:rFonts w:hint="eastAsia" w:ascii="宋体" w:hAnsi="宋体"/>
          <w:sz w:val="24"/>
        </w:rPr>
        <w:t>严重安全事件，采购人</w:t>
      </w:r>
      <w:r>
        <w:rPr>
          <w:rFonts w:hint="eastAsia" w:ascii="宋体" w:hAnsi="宋体" w:cs="Cambria"/>
          <w:sz w:val="24"/>
        </w:rPr>
        <w:t>可对其处罚，</w:t>
      </w:r>
      <w:r>
        <w:rPr>
          <w:rFonts w:hint="eastAsia" w:ascii="宋体" w:hAnsi="宋体"/>
          <w:sz w:val="24"/>
        </w:rPr>
        <w:t>包括但不限于合同金额的2</w:t>
      </w:r>
      <w:r>
        <w:rPr>
          <w:rFonts w:ascii="宋体" w:hAnsi="宋体"/>
          <w:sz w:val="24"/>
        </w:rPr>
        <w:t>0%</w:t>
      </w:r>
      <w:r>
        <w:rPr>
          <w:rFonts w:hint="eastAsia" w:ascii="宋体" w:hAnsi="宋体"/>
          <w:sz w:val="24"/>
        </w:rPr>
        <w:t>的罚款</w:t>
      </w:r>
      <w:r>
        <w:rPr>
          <w:rFonts w:hint="eastAsia" w:ascii="宋体" w:hAnsi="宋体" w:cs="仿宋"/>
          <w:sz w:val="24"/>
        </w:rPr>
        <w:t>，采购人还将视情节轻重停业整顿</w:t>
      </w:r>
      <w:r>
        <w:rPr>
          <w:rFonts w:hint="eastAsia" w:ascii="宋体" w:hAnsi="宋体"/>
          <w:sz w:val="24"/>
        </w:rPr>
        <w:t>及解除合同，</w:t>
      </w:r>
      <w:r>
        <w:rPr>
          <w:rFonts w:hint="eastAsia" w:ascii="宋体" w:hAnsi="宋体" w:cs="Cambria"/>
          <w:sz w:val="24"/>
        </w:rPr>
        <w:t>且</w:t>
      </w:r>
      <w:r>
        <w:rPr>
          <w:rFonts w:hint="eastAsia" w:ascii="宋体" w:hAnsi="宋体" w:cs="仿宋"/>
          <w:sz w:val="24"/>
        </w:rPr>
        <w:t>供应商应负全部责任并按卫生部门有关规定承担经济和法律责任。</w:t>
      </w:r>
    </w:p>
    <w:p w14:paraId="6049245C">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八、节能管理管理要求</w:t>
      </w:r>
    </w:p>
    <w:p w14:paraId="19A0A532">
      <w:pPr>
        <w:adjustRightInd/>
        <w:spacing w:line="360" w:lineRule="auto"/>
        <w:ind w:firstLine="480" w:firstLineChars="200"/>
        <w:jc w:val="left"/>
        <w:rPr>
          <w:rFonts w:ascii="宋体" w:hAnsi="宋体" w:cs="仿宋"/>
          <w:sz w:val="24"/>
          <w:lang w:val="zh-CN"/>
        </w:rPr>
      </w:pPr>
      <w:bookmarkStart w:id="52" w:name="_Toc296440231"/>
      <w:bookmarkStart w:id="53" w:name="_Toc295681906"/>
      <w:r>
        <w:rPr>
          <w:rFonts w:hint="eastAsia" w:ascii="宋体" w:hAnsi="宋体" w:cs="仿宋"/>
          <w:sz w:val="24"/>
          <w:lang w:val="zh-CN"/>
        </w:rPr>
        <w:t>1．空调及其他电器设备的使用和节能要求按照市政府相关规定执行。</w:t>
      </w:r>
    </w:p>
    <w:p w14:paraId="233BC497">
      <w:pPr>
        <w:adjustRightInd/>
        <w:spacing w:line="360" w:lineRule="auto"/>
        <w:ind w:firstLine="480" w:firstLineChars="200"/>
        <w:jc w:val="left"/>
        <w:rPr>
          <w:rFonts w:ascii="宋体" w:hAnsi="宋体" w:cs="仿宋"/>
          <w:sz w:val="24"/>
          <w:lang w:val="zh-CN"/>
        </w:rPr>
      </w:pPr>
      <w:r>
        <w:rPr>
          <w:rFonts w:hint="eastAsia" w:ascii="宋体" w:hAnsi="宋体" w:cs="仿宋"/>
          <w:sz w:val="24"/>
          <w:lang w:val="zh-CN"/>
        </w:rPr>
        <w:t>2．做到厨房在光线良好情况下不开灯，更衣间随手关灯，原料和餐具清洗完后应立即关闭水源。</w:t>
      </w:r>
    </w:p>
    <w:p w14:paraId="1FFE1D93">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九、设施管理要求</w:t>
      </w:r>
    </w:p>
    <w:p w14:paraId="38CC5D0B">
      <w:pPr>
        <w:adjustRightInd/>
        <w:spacing w:line="360" w:lineRule="auto"/>
        <w:ind w:firstLine="480" w:firstLineChars="200"/>
        <w:jc w:val="left"/>
        <w:rPr>
          <w:rFonts w:ascii="宋体" w:hAnsi="宋体" w:cs="仿宋"/>
          <w:sz w:val="24"/>
          <w:lang w:val="zh-CN"/>
        </w:rPr>
      </w:pPr>
      <w:r>
        <w:rPr>
          <w:rFonts w:ascii="宋体" w:hAnsi="宋体" w:cs="仿宋"/>
          <w:sz w:val="24"/>
          <w:lang w:val="zh-CN"/>
        </w:rPr>
        <w:t xml:space="preserve">1. </w:t>
      </w:r>
      <w:r>
        <w:rPr>
          <w:rFonts w:hint="eastAsia" w:ascii="宋体" w:hAnsi="宋体" w:cs="仿宋"/>
          <w:sz w:val="24"/>
          <w:lang w:val="zh-CN"/>
        </w:rPr>
        <w:t>抓好设施设备的使用管理，严格落实设施设备的安全操作和正常维护措施，高效使用现有设施设备，确保设施设备的正常运行。</w:t>
      </w:r>
    </w:p>
    <w:p w14:paraId="2D57ACD9">
      <w:pPr>
        <w:adjustRightInd/>
        <w:spacing w:line="360" w:lineRule="auto"/>
        <w:ind w:firstLine="480" w:firstLineChars="200"/>
        <w:jc w:val="left"/>
        <w:rPr>
          <w:rFonts w:ascii="宋体" w:hAnsi="宋体" w:cs="仿宋"/>
          <w:sz w:val="24"/>
          <w:lang w:val="zh-CN"/>
        </w:rPr>
      </w:pPr>
      <w:r>
        <w:rPr>
          <w:rFonts w:ascii="宋体" w:hAnsi="宋体" w:cs="仿宋"/>
          <w:sz w:val="24"/>
          <w:lang w:val="zh-CN"/>
        </w:rPr>
        <w:t xml:space="preserve">2. </w:t>
      </w:r>
      <w:r>
        <w:rPr>
          <w:rFonts w:hint="eastAsia" w:ascii="宋体" w:hAnsi="宋体" w:cs="仿宋"/>
          <w:sz w:val="24"/>
          <w:lang w:val="zh-CN"/>
        </w:rPr>
        <w:t>供应商验收甲方的一切设施设备，并签字盖章确认。供应商必须加强对设施设备的管理。食堂房屋、锅灶、蒸台、冰箱、保洁柜、消毒柜、蒸饭箱、保温售台、搅拌机等其他大件不锈钢炊具及餐桌椅、食堂内水电设施等等统一交给供应商使用及保管，在交接时造册清点验收，返还时有损失要赔偿。</w:t>
      </w:r>
    </w:p>
    <w:p w14:paraId="5D151621">
      <w:pPr>
        <w:adjustRightInd/>
        <w:spacing w:line="360" w:lineRule="auto"/>
        <w:ind w:firstLine="480" w:firstLineChars="200"/>
        <w:jc w:val="left"/>
        <w:rPr>
          <w:rFonts w:ascii="宋体" w:hAnsi="宋体" w:cs="仿宋"/>
          <w:sz w:val="24"/>
          <w:lang w:val="zh-CN"/>
        </w:rPr>
      </w:pPr>
      <w:r>
        <w:rPr>
          <w:rFonts w:ascii="宋体" w:hAnsi="宋体" w:cs="仿宋"/>
          <w:sz w:val="24"/>
          <w:lang w:val="zh-CN"/>
        </w:rPr>
        <w:t xml:space="preserve">3. </w:t>
      </w:r>
      <w:r>
        <w:rPr>
          <w:rFonts w:hint="eastAsia" w:ascii="宋体" w:hAnsi="宋体" w:cs="仿宋"/>
          <w:sz w:val="24"/>
          <w:lang w:val="zh-CN"/>
        </w:rPr>
        <w:t>在服务期内，服务场所内一切设施设备的日常维护、保养均由供应商负责</w:t>
      </w:r>
      <w:r>
        <w:rPr>
          <w:rFonts w:ascii="宋体" w:hAnsi="宋体" w:cs="仿宋"/>
          <w:sz w:val="24"/>
          <w:lang w:val="zh-CN"/>
        </w:rPr>
        <w:t>(不包括水、电、气、等基础设施的维护)，所产生的合理费用由</w:t>
      </w:r>
      <w:r>
        <w:rPr>
          <w:rFonts w:hint="eastAsia" w:ascii="宋体" w:hAnsi="宋体" w:cs="仿宋"/>
          <w:sz w:val="24"/>
          <w:lang w:val="zh-CN"/>
        </w:rPr>
        <w:t>采购人负责；故意损坏、非正常损坏，维修费用由供应商承担。服务期满时，供应商应确保所有设施、设备能正常使用。</w:t>
      </w:r>
    </w:p>
    <w:p w14:paraId="150F57AD">
      <w:pPr>
        <w:adjustRightInd/>
        <w:spacing w:line="360" w:lineRule="auto"/>
        <w:ind w:firstLine="480" w:firstLineChars="200"/>
        <w:jc w:val="left"/>
        <w:rPr>
          <w:rFonts w:ascii="宋体" w:hAnsi="宋体" w:cs="仿宋"/>
          <w:sz w:val="24"/>
          <w:lang w:val="zh-CN"/>
        </w:rPr>
      </w:pPr>
      <w:r>
        <w:rPr>
          <w:rFonts w:ascii="宋体" w:hAnsi="宋体" w:cs="仿宋"/>
          <w:sz w:val="24"/>
          <w:lang w:val="zh-CN"/>
        </w:rPr>
        <w:t>4.</w:t>
      </w:r>
      <w:r>
        <w:rPr>
          <w:rFonts w:hint="eastAsia" w:ascii="宋体" w:hAnsi="宋体" w:cs="仿宋"/>
          <w:sz w:val="24"/>
          <w:lang w:val="zh-CN"/>
        </w:rPr>
        <w:t xml:space="preserve"> 采购人为供应商提供厨房用水、用电、用气等设施并确保所提供的设施和功能保证乙方正常使用。</w:t>
      </w:r>
    </w:p>
    <w:p w14:paraId="346C689B">
      <w:pPr>
        <w:adjustRightInd/>
        <w:spacing w:line="360" w:lineRule="auto"/>
        <w:ind w:firstLine="480" w:firstLineChars="200"/>
        <w:jc w:val="left"/>
        <w:rPr>
          <w:rFonts w:ascii="宋体" w:hAnsi="宋体" w:cs="仿宋"/>
          <w:sz w:val="24"/>
          <w:lang w:val="zh-CN"/>
        </w:rPr>
      </w:pPr>
      <w:r>
        <w:rPr>
          <w:rFonts w:ascii="宋体" w:hAnsi="宋体" w:cs="仿宋"/>
          <w:sz w:val="24"/>
          <w:lang w:val="zh-CN"/>
        </w:rPr>
        <w:t>5.</w:t>
      </w:r>
      <w:r>
        <w:rPr>
          <w:rFonts w:hint="eastAsia" w:ascii="宋体" w:hAnsi="宋体" w:cs="仿宋"/>
          <w:sz w:val="24"/>
          <w:lang w:val="zh-CN"/>
        </w:rPr>
        <w:t xml:space="preserve"> 供应商对采购人提供的经营场所、设备及设施等可根据经营需要合理调整使用。在服务期内供应商有日常维护、保养的责任。</w:t>
      </w:r>
    </w:p>
    <w:p w14:paraId="708A1D4D">
      <w:pPr>
        <w:adjustRightInd/>
        <w:spacing w:line="360" w:lineRule="auto"/>
        <w:ind w:firstLine="480" w:firstLineChars="200"/>
        <w:jc w:val="left"/>
        <w:rPr>
          <w:rFonts w:ascii="宋体" w:hAnsi="宋体" w:cs="仿宋"/>
          <w:sz w:val="24"/>
          <w:lang w:val="zh-CN"/>
        </w:rPr>
      </w:pPr>
      <w:r>
        <w:rPr>
          <w:rFonts w:ascii="宋体" w:hAnsi="宋体" w:cs="仿宋"/>
          <w:sz w:val="24"/>
          <w:lang w:val="zh-CN"/>
        </w:rPr>
        <w:t xml:space="preserve">6. </w:t>
      </w:r>
      <w:r>
        <w:rPr>
          <w:rFonts w:hint="eastAsia" w:ascii="宋体" w:hAnsi="宋体" w:cs="仿宋"/>
          <w:sz w:val="24"/>
          <w:lang w:val="zh-CN"/>
        </w:rPr>
        <w:t>增添一般设施，供应商书面报采购人同意后，由采购人负责购买，费用由甲方承担。</w:t>
      </w:r>
    </w:p>
    <w:p w14:paraId="537C9DA2">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十、资质管理要求</w:t>
      </w:r>
    </w:p>
    <w:p w14:paraId="0E81812B">
      <w:pPr>
        <w:adjustRightInd/>
        <w:spacing w:line="360" w:lineRule="auto"/>
        <w:ind w:firstLine="480" w:firstLineChars="200"/>
        <w:jc w:val="left"/>
        <w:rPr>
          <w:rFonts w:ascii="宋体" w:hAnsi="宋体" w:cs="仿宋"/>
          <w:sz w:val="24"/>
          <w:lang w:val="zh-CN"/>
        </w:rPr>
      </w:pPr>
      <w:r>
        <w:rPr>
          <w:rFonts w:ascii="宋体" w:hAnsi="宋体" w:cs="仿宋"/>
          <w:sz w:val="24"/>
          <w:lang w:val="zh-CN"/>
        </w:rPr>
        <w:t>1.</w:t>
      </w:r>
      <w:r>
        <w:rPr>
          <w:rFonts w:hint="eastAsia" w:ascii="宋体" w:hAnsi="宋体" w:cs="仿宋"/>
          <w:sz w:val="24"/>
          <w:lang w:val="zh-CN"/>
        </w:rPr>
        <w:t>供应商应保证其餐饮服务许可证等满足本协议服务需求的资质证件在服务内持续合法有效，在合同签订时，向甲方提交资质证件的复印件备案。若在服务期间，乙方资质证件失效的，应当在失效前及时补办并向甲方提交复印件备案；如逾期未办理，甲方有权马上终止合同，由此造成的损失由乙方承担。</w:t>
      </w:r>
    </w:p>
    <w:p w14:paraId="72997A11">
      <w:pPr>
        <w:adjustRightInd/>
        <w:spacing w:line="360" w:lineRule="auto"/>
        <w:ind w:firstLine="480" w:firstLineChars="200"/>
        <w:jc w:val="left"/>
        <w:rPr>
          <w:rFonts w:ascii="宋体" w:hAnsi="宋体" w:cs="仿宋"/>
          <w:sz w:val="24"/>
          <w:lang w:val="zh-CN"/>
        </w:rPr>
      </w:pPr>
      <w:r>
        <w:rPr>
          <w:rFonts w:ascii="宋体" w:hAnsi="宋体" w:cs="仿宋"/>
          <w:sz w:val="24"/>
          <w:lang w:val="zh-CN"/>
        </w:rPr>
        <w:t>2.</w:t>
      </w:r>
      <w:r>
        <w:rPr>
          <w:rFonts w:hint="eastAsia" w:ascii="宋体" w:hAnsi="宋体" w:cs="仿宋"/>
          <w:sz w:val="24"/>
          <w:lang w:val="zh-CN"/>
        </w:rPr>
        <w:t>供应商不得将食堂私自转让或委托他人经营，不能利用现有资产搞不法经营。一经发现，采购人有权取消其服务资格，并扣除履约保证金的</w:t>
      </w:r>
      <w:r>
        <w:rPr>
          <w:rFonts w:ascii="宋体" w:hAnsi="宋体" w:cs="仿宋"/>
          <w:sz w:val="24"/>
          <w:lang w:val="zh-CN"/>
        </w:rPr>
        <w:t>50%</w:t>
      </w:r>
      <w:r>
        <w:rPr>
          <w:rFonts w:hint="eastAsia" w:ascii="宋体" w:hAnsi="宋体" w:cs="仿宋"/>
          <w:sz w:val="24"/>
          <w:lang w:val="zh-CN"/>
        </w:rPr>
        <w:t>。</w:t>
      </w:r>
    </w:p>
    <w:bookmarkEnd w:id="52"/>
    <w:bookmarkEnd w:id="53"/>
    <w:p w14:paraId="56FE0739">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bCs/>
          <w:lang w:val="zh-CN"/>
        </w:rPr>
        <w:t>十一</w:t>
      </w:r>
      <w:r>
        <w:rPr>
          <w:rFonts w:hint="eastAsia" w:cs="仿宋" w:asciiTheme="minorEastAsia" w:hAnsiTheme="minorEastAsia" w:eastAsiaTheme="minorEastAsia"/>
          <w:b/>
          <w:lang w:val="zh-CN"/>
        </w:rPr>
        <w:t>、违规及损失处理</w:t>
      </w:r>
    </w:p>
    <w:p w14:paraId="45587ABF">
      <w:pPr>
        <w:adjustRightInd/>
        <w:spacing w:line="360" w:lineRule="auto"/>
        <w:ind w:firstLine="480" w:firstLineChars="200"/>
        <w:jc w:val="left"/>
        <w:rPr>
          <w:rFonts w:ascii="宋体" w:hAnsi="宋体" w:cs="仿宋"/>
          <w:sz w:val="24"/>
          <w:lang w:val="zh-CN"/>
        </w:rPr>
      </w:pPr>
      <w:r>
        <w:rPr>
          <w:rFonts w:hint="eastAsia" w:ascii="宋体" w:hAnsi="宋体" w:cs="仿宋"/>
          <w:sz w:val="24"/>
          <w:lang w:val="zh-CN"/>
        </w:rPr>
        <w:t>1．</w:t>
      </w:r>
      <w:r>
        <w:rPr>
          <w:rFonts w:ascii="宋体" w:hAnsi="宋体" w:cs="仿宋"/>
          <w:sz w:val="24"/>
          <w:lang w:val="zh-CN"/>
        </w:rPr>
        <w:t>由于供应商派遣人员个人原因给采购人造成的经济损失的，由供应商负责赔偿。</w:t>
      </w:r>
    </w:p>
    <w:p w14:paraId="6CC566FB">
      <w:pPr>
        <w:adjustRightInd/>
        <w:spacing w:line="360" w:lineRule="auto"/>
        <w:ind w:firstLine="480" w:firstLineChars="200"/>
        <w:jc w:val="left"/>
        <w:rPr>
          <w:rFonts w:ascii="宋体" w:hAnsi="宋体" w:cs="仿宋"/>
          <w:sz w:val="24"/>
          <w:lang w:val="zh-CN"/>
        </w:rPr>
      </w:pPr>
      <w:r>
        <w:rPr>
          <w:rFonts w:hint="eastAsia" w:ascii="宋体" w:hAnsi="宋体" w:cs="仿宋"/>
          <w:sz w:val="24"/>
          <w:lang w:val="zh-CN"/>
        </w:rPr>
        <w:t>2．供应商员工有以下情形之一的，采购人可立即通知并退回：</w:t>
      </w:r>
    </w:p>
    <w:p w14:paraId="65D94C04">
      <w:pPr>
        <w:adjustRightInd/>
        <w:spacing w:line="360" w:lineRule="auto"/>
        <w:ind w:firstLine="480" w:firstLineChars="200"/>
        <w:jc w:val="left"/>
        <w:rPr>
          <w:rFonts w:ascii="宋体" w:hAnsi="宋体" w:cs="仿宋"/>
          <w:sz w:val="24"/>
          <w:lang w:val="zh-CN"/>
        </w:rPr>
      </w:pPr>
      <w:r>
        <w:rPr>
          <w:rFonts w:hint="eastAsia" w:ascii="宋体" w:hAnsi="宋体" w:cs="仿宋"/>
          <w:sz w:val="24"/>
          <w:lang w:val="zh-CN"/>
        </w:rPr>
        <w:t>①在合同期内不符合采购人工作要求的。</w:t>
      </w:r>
    </w:p>
    <w:p w14:paraId="336B3F2F">
      <w:pPr>
        <w:adjustRightInd/>
        <w:spacing w:line="360" w:lineRule="auto"/>
        <w:ind w:firstLine="480" w:firstLineChars="200"/>
        <w:jc w:val="left"/>
        <w:rPr>
          <w:rFonts w:ascii="宋体" w:hAnsi="宋体" w:cs="仿宋"/>
          <w:sz w:val="24"/>
          <w:lang w:val="zh-CN"/>
        </w:rPr>
      </w:pPr>
      <w:r>
        <w:rPr>
          <w:rFonts w:hint="eastAsia" w:ascii="宋体" w:hAnsi="宋体" w:cs="仿宋"/>
          <w:sz w:val="24"/>
          <w:lang w:val="zh-CN"/>
        </w:rPr>
        <w:t>②严重违反采购人劳动纪律、规章制度的。</w:t>
      </w:r>
    </w:p>
    <w:p w14:paraId="3F526D86">
      <w:pPr>
        <w:adjustRightInd/>
        <w:spacing w:line="360" w:lineRule="auto"/>
        <w:ind w:firstLine="480" w:firstLineChars="200"/>
        <w:jc w:val="left"/>
        <w:rPr>
          <w:rFonts w:ascii="宋体" w:hAnsi="宋体" w:cs="仿宋"/>
          <w:sz w:val="24"/>
          <w:lang w:val="zh-CN"/>
        </w:rPr>
      </w:pPr>
      <w:r>
        <w:rPr>
          <w:rFonts w:hint="eastAsia" w:ascii="宋体" w:hAnsi="宋体" w:cs="仿宋"/>
          <w:sz w:val="24"/>
          <w:lang w:val="zh-CN"/>
        </w:rPr>
        <w:t>③严重工作失职，营私舞弊，给采购人造成重大经济损失的。</w:t>
      </w:r>
    </w:p>
    <w:p w14:paraId="68EDC698">
      <w:pPr>
        <w:adjustRightInd/>
        <w:spacing w:line="360" w:lineRule="auto"/>
        <w:ind w:firstLine="480" w:firstLineChars="200"/>
        <w:jc w:val="left"/>
        <w:rPr>
          <w:rFonts w:ascii="宋体" w:hAnsi="宋体" w:cs="仿宋"/>
          <w:sz w:val="24"/>
          <w:lang w:val="zh-CN"/>
        </w:rPr>
      </w:pPr>
      <w:r>
        <w:rPr>
          <w:rFonts w:hint="eastAsia" w:ascii="宋体" w:hAnsi="宋体" w:cs="仿宋"/>
          <w:sz w:val="24"/>
          <w:lang w:val="zh-CN"/>
        </w:rPr>
        <w:t>④被依法追究刑事责任的。</w:t>
      </w:r>
    </w:p>
    <w:p w14:paraId="1EDE8488">
      <w:pPr>
        <w:adjustRightInd/>
        <w:spacing w:line="360" w:lineRule="auto"/>
        <w:ind w:firstLine="480" w:firstLineChars="200"/>
        <w:jc w:val="left"/>
        <w:rPr>
          <w:rFonts w:ascii="宋体" w:hAnsi="宋体" w:cs="仿宋"/>
          <w:sz w:val="24"/>
          <w:lang w:val="zh-CN"/>
        </w:rPr>
      </w:pPr>
      <w:r>
        <w:rPr>
          <w:rFonts w:hint="eastAsia" w:ascii="宋体" w:hAnsi="宋体" w:cs="仿宋"/>
          <w:sz w:val="24"/>
          <w:lang w:val="zh-CN"/>
        </w:rPr>
        <w:t>⑤发生其他应退回的事宜。</w:t>
      </w:r>
    </w:p>
    <w:p w14:paraId="04FAE7A1">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十二、其他</w:t>
      </w:r>
    </w:p>
    <w:p w14:paraId="553F20FF">
      <w:pPr>
        <w:adjustRightInd/>
        <w:spacing w:line="360" w:lineRule="auto"/>
        <w:ind w:firstLine="470" w:firstLineChars="196"/>
        <w:rPr>
          <w:rFonts w:cs="仿宋" w:asciiTheme="minorEastAsia" w:hAnsiTheme="minorEastAsia" w:eastAsiaTheme="minorEastAsia"/>
          <w:sz w:val="24"/>
          <w:lang w:val="zh-CN"/>
        </w:rPr>
      </w:pPr>
      <w:r>
        <w:rPr>
          <w:rFonts w:hint="eastAsia" w:ascii="宋体" w:hAnsi="宋体" w:cs="仿宋"/>
          <w:sz w:val="24"/>
          <w:lang w:val="zh-CN"/>
        </w:rPr>
        <w:t>1．</w:t>
      </w:r>
      <w:r>
        <w:rPr>
          <w:rFonts w:cs="仿宋" w:asciiTheme="minorEastAsia" w:hAnsiTheme="minorEastAsia" w:eastAsiaTheme="minorEastAsia"/>
          <w:sz w:val="24"/>
          <w:lang w:val="zh-CN"/>
        </w:rPr>
        <w:t>中标方制定的项目实施方案必须在符合采购方要求并获采购方认可后，方可实施操作。</w:t>
      </w:r>
    </w:p>
    <w:p w14:paraId="0D464C7E">
      <w:pPr>
        <w:adjustRightInd/>
        <w:spacing w:line="360" w:lineRule="auto"/>
        <w:ind w:firstLine="470" w:firstLineChars="196"/>
        <w:rPr>
          <w:rFonts w:cs="仿宋" w:asciiTheme="minorEastAsia" w:hAnsiTheme="minorEastAsia" w:eastAsiaTheme="minorEastAsia"/>
          <w:sz w:val="24"/>
          <w:lang w:val="zh-CN"/>
        </w:rPr>
      </w:pPr>
      <w:r>
        <w:rPr>
          <w:rFonts w:ascii="宋体" w:hAnsi="宋体" w:cs="仿宋"/>
          <w:sz w:val="24"/>
          <w:lang w:val="zh-CN"/>
        </w:rPr>
        <w:t>2</w:t>
      </w:r>
      <w:r>
        <w:rPr>
          <w:rFonts w:hint="eastAsia" w:ascii="宋体" w:hAnsi="宋体" w:cs="仿宋"/>
          <w:sz w:val="24"/>
          <w:lang w:val="zh-CN"/>
        </w:rPr>
        <w:t>．</w:t>
      </w:r>
      <w:r>
        <w:rPr>
          <w:rFonts w:cs="仿宋" w:asciiTheme="minorEastAsia" w:hAnsiTheme="minorEastAsia" w:eastAsiaTheme="minorEastAsia"/>
          <w:sz w:val="24"/>
          <w:lang w:val="zh-CN"/>
        </w:rPr>
        <w:t>未尽事宜，由中标方与采购方协商解决。</w:t>
      </w:r>
    </w:p>
    <w:p w14:paraId="20F180C4">
      <w:pPr>
        <w:adjustRightInd/>
        <w:spacing w:line="360" w:lineRule="auto"/>
        <w:ind w:firstLine="470" w:firstLineChars="196"/>
        <w:rPr>
          <w:rFonts w:cs="仿宋" w:asciiTheme="minorEastAsia" w:hAnsiTheme="minorEastAsia" w:eastAsiaTheme="minorEastAsia"/>
          <w:sz w:val="24"/>
          <w:lang w:val="zh-CN"/>
        </w:rPr>
      </w:pPr>
      <w:r>
        <w:rPr>
          <w:rFonts w:ascii="宋体" w:hAnsi="宋体" w:cs="仿宋"/>
          <w:sz w:val="24"/>
          <w:lang w:val="zh-CN"/>
        </w:rPr>
        <w:t>3</w:t>
      </w:r>
      <w:r>
        <w:rPr>
          <w:rFonts w:hint="eastAsia" w:ascii="宋体" w:hAnsi="宋体" w:cs="仿宋"/>
          <w:sz w:val="24"/>
          <w:lang w:val="zh-CN"/>
        </w:rPr>
        <w:t>．</w:t>
      </w:r>
      <w:r>
        <w:rPr>
          <w:rFonts w:hint="eastAsia" w:cs="仿宋" w:asciiTheme="minorEastAsia" w:hAnsiTheme="minorEastAsia" w:eastAsiaTheme="minorEastAsia"/>
          <w:sz w:val="24"/>
          <w:lang w:val="zh-CN"/>
        </w:rPr>
        <w:t>投标人应制定专门的项目负责人与招标人保持联系，随时解决各类问题；</w:t>
      </w:r>
    </w:p>
    <w:p w14:paraId="375C2EA7">
      <w:pPr>
        <w:adjustRightInd/>
        <w:spacing w:line="360" w:lineRule="auto"/>
        <w:ind w:firstLine="470" w:firstLineChars="196"/>
        <w:rPr>
          <w:rFonts w:cs="仿宋" w:asciiTheme="minorEastAsia" w:hAnsiTheme="minorEastAsia" w:eastAsiaTheme="minorEastAsia"/>
          <w:sz w:val="24"/>
          <w:lang w:val="zh-CN"/>
        </w:rPr>
      </w:pPr>
      <w:r>
        <w:rPr>
          <w:rFonts w:ascii="宋体" w:hAnsi="宋体" w:cs="仿宋"/>
          <w:sz w:val="24"/>
          <w:lang w:val="zh-CN"/>
        </w:rPr>
        <w:t>4</w:t>
      </w:r>
      <w:r>
        <w:rPr>
          <w:rFonts w:hint="eastAsia" w:ascii="宋体" w:hAnsi="宋体" w:cs="仿宋"/>
          <w:sz w:val="24"/>
          <w:lang w:val="zh-CN"/>
        </w:rPr>
        <w:t>．</w:t>
      </w:r>
      <w:r>
        <w:rPr>
          <w:rFonts w:hint="eastAsia" w:cs="仿宋" w:asciiTheme="minorEastAsia" w:hAnsiTheme="minorEastAsia" w:eastAsiaTheme="minorEastAsia"/>
          <w:sz w:val="24"/>
          <w:lang w:val="zh-CN"/>
        </w:rPr>
        <w:t>投标人须对招标文件中提出的服务内容和各项要求做出明确的承诺，说明是否可以达到相应的标准以及如何达到；</w:t>
      </w:r>
    </w:p>
    <w:p w14:paraId="7397993E">
      <w:pPr>
        <w:adjustRightInd/>
        <w:spacing w:line="360" w:lineRule="auto"/>
        <w:ind w:firstLine="470" w:firstLineChars="196"/>
        <w:rPr>
          <w:rFonts w:cs="仿宋" w:asciiTheme="minorEastAsia" w:hAnsiTheme="minorEastAsia" w:eastAsiaTheme="minorEastAsia"/>
          <w:sz w:val="24"/>
          <w:lang w:val="zh-CN"/>
        </w:rPr>
      </w:pPr>
      <w:r>
        <w:rPr>
          <w:rFonts w:ascii="宋体" w:hAnsi="宋体" w:cs="仿宋"/>
          <w:sz w:val="24"/>
          <w:lang w:val="zh-CN"/>
        </w:rPr>
        <w:t>5</w:t>
      </w:r>
      <w:r>
        <w:rPr>
          <w:rFonts w:hint="eastAsia" w:ascii="宋体" w:hAnsi="宋体" w:cs="仿宋"/>
          <w:sz w:val="24"/>
          <w:lang w:val="zh-CN"/>
        </w:rPr>
        <w:t>．</w:t>
      </w:r>
      <w:r>
        <w:rPr>
          <w:rFonts w:cs="仿宋" w:asciiTheme="minorEastAsia" w:hAnsiTheme="minorEastAsia" w:eastAsiaTheme="minorEastAsia"/>
          <w:sz w:val="24"/>
          <w:lang w:val="zh-CN"/>
        </w:rPr>
        <w:t>采购人不定期对食堂服务情况进行抽查，包含</w:t>
      </w:r>
      <w:r>
        <w:rPr>
          <w:rFonts w:hint="eastAsia" w:cs="仿宋" w:asciiTheme="minorEastAsia" w:hAnsiTheme="minorEastAsia" w:eastAsiaTheme="minorEastAsia"/>
          <w:sz w:val="24"/>
          <w:lang w:val="zh-CN"/>
        </w:rPr>
        <w:t>服务人员、食堂及食品卫生、菜品质量等进行抽查，如发现服务人员未经采购人同意随意更换、食品卫生、菜品质量未达到采购人要求等情况，每次扣除合同金额的</w:t>
      </w:r>
      <w:r>
        <w:rPr>
          <w:rFonts w:cs="仿宋" w:asciiTheme="minorEastAsia" w:hAnsiTheme="minorEastAsia" w:eastAsiaTheme="minorEastAsia"/>
          <w:sz w:val="24"/>
          <w:lang w:val="zh-CN"/>
        </w:rPr>
        <w:t>1%</w:t>
      </w:r>
      <w:r>
        <w:rPr>
          <w:rFonts w:hint="eastAsia" w:cs="仿宋" w:asciiTheme="minorEastAsia" w:hAnsiTheme="minorEastAsia" w:eastAsiaTheme="minorEastAsia"/>
          <w:sz w:val="24"/>
          <w:lang w:val="zh-CN"/>
        </w:rPr>
        <w:t>。</w:t>
      </w:r>
    </w:p>
    <w:p w14:paraId="723D0A26">
      <w:pPr>
        <w:adjustRightInd/>
        <w:spacing w:line="360" w:lineRule="auto"/>
        <w:ind w:firstLine="470" w:firstLineChars="196"/>
        <w:rPr>
          <w:rFonts w:cs="仿宋" w:asciiTheme="minorEastAsia" w:hAnsiTheme="minorEastAsia" w:eastAsiaTheme="minorEastAsia"/>
          <w:sz w:val="24"/>
          <w:lang w:val="zh-CN"/>
        </w:rPr>
      </w:pPr>
      <w:r>
        <w:rPr>
          <w:rFonts w:ascii="宋体" w:hAnsi="宋体" w:cs="仿宋"/>
          <w:sz w:val="24"/>
          <w:lang w:val="zh-CN"/>
        </w:rPr>
        <w:t>6</w:t>
      </w:r>
      <w:r>
        <w:rPr>
          <w:rFonts w:hint="eastAsia" w:ascii="宋体" w:hAnsi="宋体" w:cs="仿宋"/>
          <w:sz w:val="24"/>
          <w:lang w:val="zh-CN"/>
        </w:rPr>
        <w:t>．</w:t>
      </w:r>
      <w:r>
        <w:rPr>
          <w:rFonts w:hint="eastAsia" w:cs="仿宋" w:asciiTheme="minorEastAsia" w:hAnsiTheme="minorEastAsia" w:eastAsiaTheme="minorEastAsia"/>
          <w:sz w:val="24"/>
          <w:lang w:val="zh-CN"/>
        </w:rPr>
        <w:t>供应商</w:t>
      </w:r>
      <w:r>
        <w:rPr>
          <w:rFonts w:cs="仿宋" w:asciiTheme="minorEastAsia" w:hAnsiTheme="minorEastAsia" w:eastAsiaTheme="minorEastAsia"/>
          <w:sz w:val="24"/>
          <w:lang w:val="zh-CN"/>
        </w:rPr>
        <w:t>应</w:t>
      </w:r>
      <w:r>
        <w:rPr>
          <w:rFonts w:hint="eastAsia" w:cs="仿宋" w:asciiTheme="minorEastAsia" w:hAnsiTheme="minorEastAsia" w:eastAsiaTheme="minorEastAsia"/>
          <w:sz w:val="24"/>
          <w:lang w:val="zh-CN"/>
        </w:rPr>
        <w:t>承诺每周</w:t>
      </w:r>
      <w:r>
        <w:rPr>
          <w:rFonts w:cs="仿宋" w:asciiTheme="minorEastAsia" w:hAnsiTheme="minorEastAsia" w:eastAsiaTheme="minorEastAsia"/>
          <w:sz w:val="24"/>
          <w:lang w:val="zh-CN"/>
        </w:rPr>
        <w:t>提供具体的成本分析方案</w:t>
      </w:r>
      <w:r>
        <w:rPr>
          <w:rFonts w:hint="eastAsia" w:cs="仿宋" w:asciiTheme="minorEastAsia" w:hAnsiTheme="minorEastAsia" w:eastAsiaTheme="minorEastAsia"/>
          <w:sz w:val="24"/>
          <w:lang w:val="zh-CN"/>
        </w:rPr>
        <w:t>：不限于每日登记营收台账，并每周向采购人反馈成本利润情况，提出合理的成本控制建议及方案，如出现明显亏损，及时向采购人反馈并提出切实可行的改进方案，如非采购人原因造成的亏损，每月亏损额超过当月成本的</w:t>
      </w:r>
      <w:r>
        <w:rPr>
          <w:rFonts w:hint="eastAsia" w:cs="仿宋" w:asciiTheme="minorEastAsia" w:hAnsiTheme="minorEastAsia" w:eastAsiaTheme="minorEastAsia"/>
          <w:sz w:val="24"/>
        </w:rPr>
        <w:t>15</w:t>
      </w:r>
      <w:r>
        <w:rPr>
          <w:rFonts w:cs="仿宋" w:asciiTheme="minorEastAsia" w:hAnsiTheme="minorEastAsia" w:eastAsiaTheme="minorEastAsia"/>
          <w:sz w:val="24"/>
          <w:lang w:val="zh-CN"/>
        </w:rPr>
        <w:t>%</w:t>
      </w:r>
      <w:r>
        <w:rPr>
          <w:rFonts w:hint="eastAsia" w:cs="仿宋" w:asciiTheme="minorEastAsia" w:hAnsiTheme="minorEastAsia" w:eastAsiaTheme="minorEastAsia"/>
          <w:sz w:val="24"/>
        </w:rPr>
        <w:t>-25%</w:t>
      </w:r>
      <w:r>
        <w:rPr>
          <w:rFonts w:hint="eastAsia" w:cs="仿宋" w:asciiTheme="minorEastAsia" w:hAnsiTheme="minorEastAsia" w:eastAsiaTheme="minorEastAsia"/>
          <w:sz w:val="24"/>
          <w:lang w:val="zh-CN"/>
        </w:rPr>
        <w:t>，每次扣除当月服务费的1</w:t>
      </w:r>
      <w:r>
        <w:rPr>
          <w:rFonts w:hint="eastAsia" w:cs="仿宋" w:asciiTheme="minorEastAsia" w:hAnsiTheme="minorEastAsia" w:eastAsiaTheme="minorEastAsia"/>
          <w:sz w:val="24"/>
        </w:rPr>
        <w:t>0</w:t>
      </w:r>
      <w:r>
        <w:rPr>
          <w:rFonts w:cs="仿宋" w:asciiTheme="minorEastAsia" w:hAnsiTheme="minorEastAsia" w:eastAsiaTheme="minorEastAsia"/>
          <w:sz w:val="24"/>
          <w:lang w:val="zh-CN"/>
        </w:rPr>
        <w:t>%</w:t>
      </w:r>
      <w:r>
        <w:rPr>
          <w:rFonts w:hint="eastAsia" w:cs="仿宋" w:asciiTheme="minorEastAsia" w:hAnsiTheme="minorEastAsia" w:eastAsiaTheme="minorEastAsia"/>
          <w:sz w:val="24"/>
          <w:lang w:val="zh-CN"/>
        </w:rPr>
        <w:t>；每月亏损额超过当月成本的</w:t>
      </w:r>
      <w:r>
        <w:rPr>
          <w:rFonts w:hint="eastAsia" w:cs="仿宋" w:asciiTheme="minorEastAsia" w:hAnsiTheme="minorEastAsia" w:eastAsiaTheme="minorEastAsia"/>
          <w:sz w:val="24"/>
        </w:rPr>
        <w:t>25</w:t>
      </w:r>
      <w:r>
        <w:rPr>
          <w:rFonts w:cs="仿宋" w:asciiTheme="minorEastAsia" w:hAnsiTheme="minorEastAsia" w:eastAsiaTheme="minorEastAsia"/>
          <w:sz w:val="24"/>
          <w:lang w:val="zh-CN"/>
        </w:rPr>
        <w:t>%</w:t>
      </w:r>
      <w:r>
        <w:rPr>
          <w:rFonts w:hint="eastAsia" w:cs="仿宋" w:asciiTheme="minorEastAsia" w:hAnsiTheme="minorEastAsia" w:eastAsiaTheme="minorEastAsia"/>
          <w:sz w:val="24"/>
        </w:rPr>
        <w:t>-35%，</w:t>
      </w:r>
      <w:r>
        <w:rPr>
          <w:rFonts w:hint="eastAsia" w:cs="仿宋" w:asciiTheme="minorEastAsia" w:hAnsiTheme="minorEastAsia" w:eastAsiaTheme="minorEastAsia"/>
          <w:sz w:val="24"/>
          <w:lang w:val="zh-CN"/>
        </w:rPr>
        <w:t>每次扣除当月服务费的</w:t>
      </w:r>
      <w:r>
        <w:rPr>
          <w:rFonts w:hint="eastAsia" w:cs="仿宋" w:asciiTheme="minorEastAsia" w:hAnsiTheme="minorEastAsia" w:eastAsiaTheme="minorEastAsia"/>
          <w:sz w:val="24"/>
        </w:rPr>
        <w:t>20</w:t>
      </w:r>
      <w:r>
        <w:rPr>
          <w:rFonts w:cs="仿宋" w:asciiTheme="minorEastAsia" w:hAnsiTheme="minorEastAsia" w:eastAsiaTheme="minorEastAsia"/>
          <w:sz w:val="24"/>
          <w:lang w:val="zh-CN"/>
        </w:rPr>
        <w:t>%</w:t>
      </w:r>
      <w:r>
        <w:rPr>
          <w:rFonts w:hint="eastAsia" w:cs="仿宋" w:asciiTheme="minorEastAsia" w:hAnsiTheme="minorEastAsia" w:eastAsiaTheme="minorEastAsia"/>
          <w:sz w:val="24"/>
          <w:lang w:val="zh-CN"/>
        </w:rPr>
        <w:t>；每月亏损额超过当月成本的</w:t>
      </w:r>
      <w:r>
        <w:rPr>
          <w:rFonts w:hint="eastAsia" w:cs="仿宋" w:asciiTheme="minorEastAsia" w:hAnsiTheme="minorEastAsia" w:eastAsiaTheme="minorEastAsia"/>
          <w:sz w:val="24"/>
        </w:rPr>
        <w:t>35</w:t>
      </w:r>
      <w:r>
        <w:rPr>
          <w:rFonts w:cs="仿宋" w:asciiTheme="minorEastAsia" w:hAnsiTheme="minorEastAsia" w:eastAsiaTheme="minorEastAsia"/>
          <w:sz w:val="24"/>
          <w:lang w:val="zh-CN"/>
        </w:rPr>
        <w:t>%</w:t>
      </w:r>
      <w:r>
        <w:rPr>
          <w:rFonts w:hint="eastAsia" w:cs="仿宋" w:asciiTheme="minorEastAsia" w:hAnsiTheme="minorEastAsia" w:eastAsiaTheme="minorEastAsia"/>
          <w:sz w:val="24"/>
        </w:rPr>
        <w:t>-45%，</w:t>
      </w:r>
      <w:r>
        <w:rPr>
          <w:rFonts w:hint="eastAsia" w:cs="仿宋" w:asciiTheme="minorEastAsia" w:hAnsiTheme="minorEastAsia" w:eastAsiaTheme="minorEastAsia"/>
          <w:sz w:val="24"/>
          <w:lang w:val="zh-CN"/>
        </w:rPr>
        <w:t>每次扣除当月服务费的</w:t>
      </w:r>
      <w:r>
        <w:rPr>
          <w:rFonts w:hint="eastAsia" w:cs="仿宋" w:asciiTheme="minorEastAsia" w:hAnsiTheme="minorEastAsia" w:eastAsiaTheme="minorEastAsia"/>
          <w:sz w:val="24"/>
        </w:rPr>
        <w:t>30</w:t>
      </w:r>
      <w:r>
        <w:rPr>
          <w:rFonts w:cs="仿宋" w:asciiTheme="minorEastAsia" w:hAnsiTheme="minorEastAsia" w:eastAsiaTheme="minorEastAsia"/>
          <w:sz w:val="24"/>
          <w:lang w:val="zh-CN"/>
        </w:rPr>
        <w:t>%</w:t>
      </w:r>
      <w:r>
        <w:rPr>
          <w:rFonts w:hint="eastAsia" w:cs="仿宋" w:asciiTheme="minorEastAsia" w:hAnsiTheme="minorEastAsia" w:eastAsiaTheme="minorEastAsia"/>
          <w:sz w:val="24"/>
          <w:lang w:val="zh-CN"/>
        </w:rPr>
        <w:t>；每月亏损额超过当月成本的</w:t>
      </w:r>
      <w:r>
        <w:rPr>
          <w:rFonts w:hint="eastAsia" w:cs="仿宋" w:asciiTheme="minorEastAsia" w:hAnsiTheme="minorEastAsia" w:eastAsiaTheme="minorEastAsia"/>
          <w:sz w:val="24"/>
        </w:rPr>
        <w:t>45%，</w:t>
      </w:r>
      <w:r>
        <w:rPr>
          <w:rFonts w:hint="eastAsia" w:cs="仿宋" w:asciiTheme="minorEastAsia" w:hAnsiTheme="minorEastAsia" w:eastAsiaTheme="minorEastAsia"/>
          <w:sz w:val="24"/>
          <w:lang w:val="zh-CN"/>
        </w:rPr>
        <w:t>每次扣除当月服务费的</w:t>
      </w:r>
      <w:r>
        <w:rPr>
          <w:rFonts w:hint="eastAsia" w:cs="仿宋" w:asciiTheme="minorEastAsia" w:hAnsiTheme="minorEastAsia" w:eastAsiaTheme="minorEastAsia"/>
          <w:sz w:val="24"/>
        </w:rPr>
        <w:t>40</w:t>
      </w:r>
      <w:r>
        <w:rPr>
          <w:rFonts w:cs="仿宋" w:asciiTheme="minorEastAsia" w:hAnsiTheme="minorEastAsia" w:eastAsiaTheme="minorEastAsia"/>
          <w:sz w:val="24"/>
          <w:lang w:val="zh-CN"/>
        </w:rPr>
        <w:t>%</w:t>
      </w:r>
      <w:r>
        <w:rPr>
          <w:rFonts w:hint="eastAsia" w:cs="仿宋" w:asciiTheme="minorEastAsia" w:hAnsiTheme="minorEastAsia" w:eastAsiaTheme="minorEastAsia"/>
          <w:sz w:val="24"/>
          <w:lang w:val="zh-CN"/>
        </w:rPr>
        <w:t>；</w:t>
      </w:r>
    </w:p>
    <w:p w14:paraId="03603794">
      <w:pPr>
        <w:adjustRightInd/>
        <w:spacing w:line="360" w:lineRule="auto"/>
        <w:ind w:firstLine="480" w:firstLineChars="200"/>
        <w:rPr>
          <w:rFonts w:cs="仿宋" w:asciiTheme="minorEastAsia" w:hAnsiTheme="minorEastAsia" w:eastAsiaTheme="minorEastAsia"/>
          <w:b/>
          <w:sz w:val="24"/>
          <w:u w:val="single"/>
        </w:rPr>
      </w:pPr>
      <w:bookmarkStart w:id="54" w:name="OLE_LINK11"/>
      <w:bookmarkStart w:id="55" w:name="OLE_LINK12"/>
      <w:r>
        <w:rPr>
          <w:rFonts w:ascii="宋体" w:hAnsi="宋体" w:cs="仿宋"/>
          <w:sz w:val="24"/>
          <w:lang w:val="zh-CN"/>
        </w:rPr>
        <w:t>7</w:t>
      </w:r>
      <w:r>
        <w:rPr>
          <w:rFonts w:hint="eastAsia" w:ascii="宋体" w:hAnsi="宋体" w:cs="仿宋"/>
          <w:sz w:val="24"/>
          <w:lang w:val="zh-CN"/>
        </w:rPr>
        <w:t>．</w:t>
      </w:r>
      <w:r>
        <w:rPr>
          <w:rFonts w:hint="eastAsia" w:cs="宋体" w:asciiTheme="minorEastAsia" w:hAnsiTheme="minorEastAsia" w:eastAsiaTheme="minorEastAsia"/>
          <w:kern w:val="0"/>
          <w:sz w:val="24"/>
          <w:lang w:val="zh-CN"/>
        </w:rPr>
        <w:t>有关本项目实施所需的所有人工费、保险费、劳保用品、员工住宿、加班费、管理费等费用（含税费）均计入报价</w:t>
      </w:r>
      <w:r>
        <w:rPr>
          <w:rFonts w:hint="eastAsia" w:cs="宋体" w:asciiTheme="minorEastAsia" w:hAnsiTheme="minorEastAsia" w:eastAsiaTheme="minorEastAsia"/>
          <w:kern w:val="0"/>
          <w:lang w:val="zh-CN"/>
        </w:rPr>
        <w:t>。</w:t>
      </w:r>
    </w:p>
    <w:bookmarkEnd w:id="54"/>
    <w:bookmarkEnd w:id="55"/>
    <w:p w14:paraId="72765AFB">
      <w:pPr>
        <w:spacing w:line="360" w:lineRule="auto"/>
        <w:ind w:left="723" w:hanging="723" w:hangingChars="300"/>
        <w:rPr>
          <w:rFonts w:cs="仿宋" w:asciiTheme="minorEastAsia" w:hAnsiTheme="minorEastAsia" w:eastAsiaTheme="minorEastAsia"/>
          <w:b/>
          <w:sz w:val="24"/>
        </w:rPr>
      </w:pPr>
      <w:r>
        <w:rPr>
          <w:rFonts w:hint="eastAsia" w:cs="仿宋" w:asciiTheme="minorEastAsia" w:hAnsiTheme="minorEastAsia" w:eastAsiaTheme="minorEastAsia"/>
          <w:b/>
          <w:sz w:val="24"/>
        </w:rPr>
        <w:t>十三、服务方案的组成</w:t>
      </w:r>
    </w:p>
    <w:p w14:paraId="7CC2BEA7">
      <w:pPr>
        <w:adjustRightInd/>
        <w:spacing w:line="360" w:lineRule="auto"/>
        <w:ind w:firstLine="470" w:firstLineChars="196"/>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投标人提供的服务方案应包含以下内容：</w:t>
      </w:r>
    </w:p>
    <w:p w14:paraId="4313FA1F">
      <w:pPr>
        <w:adjustRightInd/>
        <w:spacing w:line="360" w:lineRule="auto"/>
        <w:ind w:firstLine="470" w:firstLineChars="196"/>
        <w:rPr>
          <w:rFonts w:cs="仿宋" w:asciiTheme="minorEastAsia" w:hAnsiTheme="minorEastAsia" w:eastAsiaTheme="minorEastAsia"/>
          <w:sz w:val="24"/>
          <w:lang w:val="zh-CN"/>
        </w:rPr>
      </w:pPr>
      <w:r>
        <w:rPr>
          <w:rFonts w:cs="仿宋" w:asciiTheme="minorEastAsia" w:hAnsiTheme="minorEastAsia" w:eastAsiaTheme="minorEastAsia"/>
          <w:sz w:val="24"/>
          <w:lang w:val="zh-CN"/>
        </w:rPr>
        <w:t>1</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lang w:val="zh-CN"/>
        </w:rPr>
        <w:t>对招标文件中所提出服务内容和有关要求的响应和承诺；</w:t>
      </w:r>
    </w:p>
    <w:p w14:paraId="4125DED7">
      <w:pPr>
        <w:adjustRightInd/>
        <w:spacing w:line="360" w:lineRule="auto"/>
        <w:ind w:firstLine="470" w:firstLineChars="196"/>
        <w:rPr>
          <w:rFonts w:cs="仿宋" w:asciiTheme="minorEastAsia" w:hAnsiTheme="minorEastAsia" w:eastAsiaTheme="minorEastAsia"/>
          <w:sz w:val="24"/>
          <w:lang w:val="zh-CN"/>
        </w:rPr>
      </w:pPr>
      <w:r>
        <w:rPr>
          <w:rFonts w:cs="仿宋" w:asciiTheme="minorEastAsia" w:hAnsiTheme="minorEastAsia" w:eastAsiaTheme="minorEastAsia"/>
          <w:sz w:val="24"/>
          <w:lang w:val="zh-CN"/>
        </w:rPr>
        <w:t>2</w:t>
      </w:r>
      <w:r>
        <w:rPr>
          <w:rFonts w:hint="eastAsia" w:cs="仿宋" w:asciiTheme="minorEastAsia" w:hAnsiTheme="minorEastAsia" w:eastAsiaTheme="minorEastAsia"/>
          <w:sz w:val="24"/>
          <w:lang w:val="zh-CN"/>
        </w:rPr>
        <w:t>.</w:t>
      </w:r>
      <w:r>
        <w:rPr>
          <w:rFonts w:cs="仿宋" w:asciiTheme="minorEastAsia" w:hAnsiTheme="minorEastAsia" w:eastAsiaTheme="minorEastAsia"/>
          <w:sz w:val="24"/>
          <w:lang w:val="zh-CN"/>
        </w:rPr>
        <w:t xml:space="preserve"> </w:t>
      </w:r>
      <w:r>
        <w:rPr>
          <w:rFonts w:hint="eastAsia" w:cs="仿宋" w:asciiTheme="minorEastAsia" w:hAnsiTheme="minorEastAsia" w:eastAsiaTheme="minorEastAsia"/>
          <w:sz w:val="24"/>
          <w:lang w:val="zh-CN"/>
        </w:rPr>
        <w:t>运营服务方案：包括总体监控方案、成本控制方案、食品质量控制方案、服务质量控制方案、卫生管理控制方案（食品卫生，人员卫生，环境卫生，垃圾处理方案等）、餐厅环境管理方案、安全管理方案、节能管理方案、操作规程控制管理方案、食品保存管理方案、原材料验收方案、人员职责与管理方案、投诉处理方案、应急及意外事故处理、以及其他服务内容、服务规范、服务标准、服务措施、质量管理、监控体系及说明材料；</w:t>
      </w:r>
    </w:p>
    <w:p w14:paraId="69010E17">
      <w:pPr>
        <w:adjustRightInd/>
        <w:spacing w:line="360" w:lineRule="auto"/>
        <w:ind w:firstLine="470" w:firstLineChars="196"/>
        <w:rPr>
          <w:rFonts w:cs="仿宋" w:asciiTheme="minorEastAsia" w:hAnsiTheme="minorEastAsia" w:eastAsiaTheme="minorEastAsia"/>
          <w:sz w:val="24"/>
          <w:lang w:val="zh-CN"/>
        </w:rPr>
      </w:pPr>
      <w:r>
        <w:rPr>
          <w:rFonts w:cs="仿宋" w:asciiTheme="minorEastAsia" w:hAnsiTheme="minorEastAsia" w:eastAsiaTheme="minorEastAsia"/>
          <w:sz w:val="24"/>
          <w:lang w:val="zh-CN"/>
        </w:rPr>
        <w:t>3</w:t>
      </w:r>
      <w:r>
        <w:rPr>
          <w:rFonts w:hint="eastAsia" w:cs="仿宋" w:asciiTheme="minorEastAsia" w:hAnsiTheme="minorEastAsia" w:eastAsiaTheme="minorEastAsia"/>
          <w:sz w:val="24"/>
          <w:lang w:val="zh-CN"/>
        </w:rPr>
        <w:t>.</w:t>
      </w:r>
      <w:r>
        <w:rPr>
          <w:rFonts w:cs="仿宋" w:asciiTheme="minorEastAsia" w:hAnsiTheme="minorEastAsia" w:eastAsiaTheme="minorEastAsia"/>
          <w:sz w:val="24"/>
          <w:lang w:val="zh-CN"/>
        </w:rPr>
        <w:t xml:space="preserve"> </w:t>
      </w:r>
      <w:r>
        <w:rPr>
          <w:rFonts w:hint="eastAsia" w:cs="仿宋" w:asciiTheme="minorEastAsia" w:hAnsiTheme="minorEastAsia" w:eastAsiaTheme="minorEastAsia"/>
          <w:sz w:val="24"/>
          <w:lang w:val="zh-CN"/>
        </w:rPr>
        <w:t>服务人员配备情况，包括人员结构、简历表、现场人员工作安排计划及其他辅助说明材料；</w:t>
      </w:r>
    </w:p>
    <w:p w14:paraId="508C607C">
      <w:pPr>
        <w:adjustRightInd/>
        <w:spacing w:line="360" w:lineRule="auto"/>
        <w:ind w:firstLine="470" w:firstLineChars="196"/>
        <w:rPr>
          <w:rFonts w:cs="仿宋" w:asciiTheme="minorEastAsia" w:hAnsiTheme="minorEastAsia" w:eastAsiaTheme="minorEastAsia"/>
          <w:sz w:val="24"/>
          <w:lang w:val="zh-CN"/>
        </w:rPr>
      </w:pPr>
      <w:r>
        <w:rPr>
          <w:rFonts w:cs="仿宋" w:asciiTheme="minorEastAsia" w:hAnsiTheme="minorEastAsia" w:eastAsiaTheme="minorEastAsia"/>
          <w:sz w:val="24"/>
          <w:lang w:val="zh-CN"/>
        </w:rPr>
        <w:t>4</w:t>
      </w:r>
      <w:r>
        <w:rPr>
          <w:rFonts w:hint="eastAsia" w:cs="仿宋" w:asciiTheme="minorEastAsia" w:hAnsiTheme="minorEastAsia" w:eastAsiaTheme="minorEastAsia"/>
          <w:sz w:val="24"/>
          <w:lang w:val="zh-CN"/>
        </w:rPr>
        <w:t>.</w:t>
      </w:r>
      <w:r>
        <w:rPr>
          <w:rFonts w:cs="仿宋" w:asciiTheme="minorEastAsia" w:hAnsiTheme="minorEastAsia" w:eastAsiaTheme="minorEastAsia"/>
          <w:sz w:val="24"/>
          <w:lang w:val="zh-CN"/>
        </w:rPr>
        <w:t xml:space="preserve"> </w:t>
      </w:r>
      <w:r>
        <w:rPr>
          <w:rFonts w:hint="eastAsia" w:cs="仿宋" w:asciiTheme="minorEastAsia" w:hAnsiTheme="minorEastAsia" w:eastAsiaTheme="minorEastAsia"/>
          <w:sz w:val="24"/>
          <w:lang w:val="zh-CN"/>
        </w:rPr>
        <w:t>全月早、中、晚餐菜单及食品原材料使用说明及核算依据和清单；</w:t>
      </w:r>
    </w:p>
    <w:p w14:paraId="3B8D978E">
      <w:pPr>
        <w:adjustRightInd/>
        <w:spacing w:line="360" w:lineRule="auto"/>
        <w:ind w:firstLine="470" w:firstLineChars="196"/>
        <w:rPr>
          <w:rFonts w:cs="仿宋" w:asciiTheme="minorEastAsia" w:hAnsiTheme="minorEastAsia" w:eastAsiaTheme="minorEastAsia"/>
          <w:sz w:val="24"/>
          <w:lang w:val="zh-CN"/>
        </w:rPr>
      </w:pPr>
      <w:r>
        <w:rPr>
          <w:rFonts w:cs="仿宋" w:asciiTheme="minorEastAsia" w:hAnsiTheme="minorEastAsia" w:eastAsiaTheme="minorEastAsia"/>
          <w:sz w:val="24"/>
          <w:lang w:val="zh-CN"/>
        </w:rPr>
        <w:t>5</w:t>
      </w:r>
      <w:r>
        <w:rPr>
          <w:rFonts w:hint="eastAsia" w:cs="仿宋" w:asciiTheme="minorEastAsia" w:hAnsiTheme="minorEastAsia" w:eastAsiaTheme="minorEastAsia"/>
          <w:sz w:val="24"/>
          <w:lang w:val="zh-CN"/>
        </w:rPr>
        <w:t>.</w:t>
      </w:r>
      <w:r>
        <w:rPr>
          <w:rFonts w:cs="仿宋" w:asciiTheme="minorEastAsia" w:hAnsiTheme="minorEastAsia" w:eastAsiaTheme="minorEastAsia"/>
          <w:sz w:val="24"/>
          <w:lang w:val="zh-CN"/>
        </w:rPr>
        <w:t xml:space="preserve"> </w:t>
      </w:r>
      <w:r>
        <w:rPr>
          <w:rFonts w:hint="eastAsia" w:cs="仿宋" w:asciiTheme="minorEastAsia" w:hAnsiTheme="minorEastAsia" w:eastAsiaTheme="minorEastAsia"/>
          <w:sz w:val="24"/>
          <w:lang w:val="zh-CN"/>
        </w:rPr>
        <w:t>员工培训计划及内容、人员薪资标准及方案；</w:t>
      </w:r>
    </w:p>
    <w:p w14:paraId="2A76821C">
      <w:pPr>
        <w:adjustRightInd/>
        <w:spacing w:line="360" w:lineRule="auto"/>
        <w:ind w:firstLine="470" w:firstLineChars="196"/>
        <w:rPr>
          <w:rFonts w:cs="仿宋" w:asciiTheme="minorEastAsia" w:hAnsiTheme="minorEastAsia" w:eastAsiaTheme="minorEastAsia"/>
          <w:sz w:val="24"/>
          <w:lang w:val="zh-CN"/>
        </w:rPr>
      </w:pPr>
      <w:r>
        <w:rPr>
          <w:rFonts w:cs="仿宋" w:asciiTheme="minorEastAsia" w:hAnsiTheme="minorEastAsia" w:eastAsiaTheme="minorEastAsia"/>
          <w:sz w:val="24"/>
          <w:lang w:val="zh-CN"/>
        </w:rPr>
        <w:t>6</w:t>
      </w:r>
      <w:r>
        <w:rPr>
          <w:rFonts w:hint="eastAsia" w:cs="仿宋" w:asciiTheme="minorEastAsia" w:hAnsiTheme="minorEastAsia" w:eastAsiaTheme="minorEastAsia"/>
          <w:sz w:val="24"/>
          <w:lang w:val="zh-CN"/>
        </w:rPr>
        <w:t>.</w:t>
      </w:r>
      <w:r>
        <w:rPr>
          <w:rFonts w:cs="仿宋" w:asciiTheme="minorEastAsia" w:hAnsiTheme="minorEastAsia" w:eastAsiaTheme="minorEastAsia"/>
          <w:sz w:val="24"/>
          <w:lang w:val="zh-CN"/>
        </w:rPr>
        <w:t xml:space="preserve"> </w:t>
      </w:r>
      <w:r>
        <w:rPr>
          <w:rFonts w:hint="eastAsia" w:cs="仿宋" w:asciiTheme="minorEastAsia" w:hAnsiTheme="minorEastAsia" w:eastAsiaTheme="minorEastAsia"/>
          <w:sz w:val="24"/>
          <w:lang w:val="zh-CN"/>
        </w:rPr>
        <w:t>投标人的各项管理规定及服务模式；</w:t>
      </w:r>
    </w:p>
    <w:p w14:paraId="2A4456B9">
      <w:pPr>
        <w:adjustRightInd/>
        <w:spacing w:line="360" w:lineRule="auto"/>
        <w:ind w:firstLine="470" w:firstLineChars="196"/>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7</w:t>
      </w:r>
      <w:r>
        <w:rPr>
          <w:rFonts w:cs="仿宋" w:asciiTheme="minorEastAsia" w:hAnsiTheme="minorEastAsia" w:eastAsiaTheme="minorEastAsia"/>
          <w:sz w:val="24"/>
          <w:lang w:val="zh-CN"/>
        </w:rPr>
        <w:t xml:space="preserve">. </w:t>
      </w:r>
      <w:r>
        <w:rPr>
          <w:rFonts w:hint="eastAsia" w:cs="仿宋" w:asciiTheme="minorEastAsia" w:hAnsiTheme="minorEastAsia" w:eastAsiaTheme="minorEastAsia"/>
          <w:sz w:val="24"/>
          <w:lang w:val="zh-CN"/>
        </w:rPr>
        <w:t>监督考评方案；</w:t>
      </w:r>
    </w:p>
    <w:p w14:paraId="189556B6">
      <w:pPr>
        <w:adjustRightInd/>
        <w:spacing w:line="360" w:lineRule="auto"/>
        <w:ind w:firstLine="470" w:firstLineChars="196"/>
        <w:rPr>
          <w:rFonts w:cs="仿宋" w:asciiTheme="minorEastAsia" w:hAnsiTheme="minorEastAsia" w:eastAsiaTheme="minorEastAsia"/>
          <w:sz w:val="24"/>
          <w:lang w:val="zh-CN"/>
        </w:rPr>
      </w:pPr>
      <w:r>
        <w:rPr>
          <w:rFonts w:cs="仿宋" w:asciiTheme="minorEastAsia" w:hAnsiTheme="minorEastAsia" w:eastAsiaTheme="minorEastAsia"/>
          <w:sz w:val="24"/>
        </w:rPr>
        <w:t>8</w:t>
      </w:r>
      <w:r>
        <w:rPr>
          <w:rFonts w:hint="eastAsia" w:cs="仿宋" w:asciiTheme="minorEastAsia" w:hAnsiTheme="minorEastAsia" w:eastAsiaTheme="minorEastAsia"/>
          <w:sz w:val="24"/>
          <w:lang w:val="zh-CN"/>
        </w:rPr>
        <w:t>.</w:t>
      </w:r>
      <w:r>
        <w:rPr>
          <w:rFonts w:cs="仿宋" w:asciiTheme="minorEastAsia" w:hAnsiTheme="minorEastAsia" w:eastAsiaTheme="minorEastAsia"/>
          <w:sz w:val="24"/>
          <w:lang w:val="zh-CN"/>
        </w:rPr>
        <w:t xml:space="preserve"> </w:t>
      </w:r>
      <w:r>
        <w:rPr>
          <w:rFonts w:hint="eastAsia" w:cs="仿宋" w:asciiTheme="minorEastAsia" w:hAnsiTheme="minorEastAsia" w:eastAsiaTheme="minorEastAsia"/>
          <w:sz w:val="24"/>
          <w:lang w:val="zh-CN"/>
        </w:rPr>
        <w:t>其他服务承诺；</w:t>
      </w:r>
    </w:p>
    <w:p w14:paraId="53EDD913">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十二、监督考评</w:t>
      </w:r>
    </w:p>
    <w:p w14:paraId="51B76D86">
      <w:pPr>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1.</w:t>
      </w:r>
      <w:r>
        <w:rPr>
          <w:rFonts w:cs="仿宋" w:asciiTheme="minorEastAsia" w:hAnsiTheme="minorEastAsia" w:eastAsiaTheme="minorEastAsia"/>
          <w:sz w:val="24"/>
          <w:lang w:val="zh-CN"/>
        </w:rPr>
        <w:t xml:space="preserve"> </w:t>
      </w:r>
      <w:r>
        <w:rPr>
          <w:rFonts w:hint="eastAsia" w:cs="仿宋" w:asciiTheme="minorEastAsia" w:hAnsiTheme="minorEastAsia" w:eastAsiaTheme="minorEastAsia"/>
          <w:sz w:val="24"/>
          <w:lang w:val="zh-CN"/>
        </w:rPr>
        <w:t>采购人对供应商实行监督考核，涉及的所有区域和操作过程都属于监管范围。</w:t>
      </w:r>
    </w:p>
    <w:p w14:paraId="50E49132">
      <w:pPr>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rPr>
        <w:t>2</w:t>
      </w:r>
      <w:r>
        <w:rPr>
          <w:rFonts w:hint="eastAsia" w:cs="仿宋" w:asciiTheme="minorEastAsia" w:hAnsiTheme="minorEastAsia" w:eastAsiaTheme="minorEastAsia"/>
          <w:sz w:val="24"/>
          <w:lang w:val="zh-CN"/>
        </w:rPr>
        <w:t>.</w:t>
      </w:r>
      <w:r>
        <w:rPr>
          <w:rFonts w:cs="仿宋" w:asciiTheme="minorEastAsia" w:hAnsiTheme="minorEastAsia" w:eastAsiaTheme="minorEastAsia"/>
          <w:sz w:val="24"/>
          <w:lang w:val="zh-CN"/>
        </w:rPr>
        <w:t xml:space="preserve"> </w:t>
      </w:r>
      <w:r>
        <w:rPr>
          <w:rFonts w:hint="eastAsia" w:cs="仿宋" w:asciiTheme="minorEastAsia" w:hAnsiTheme="minorEastAsia" w:eastAsiaTheme="minorEastAsia"/>
          <w:sz w:val="24"/>
          <w:lang w:val="zh-CN"/>
        </w:rPr>
        <w:t>供应商不得以任何形式转租、转让、抵押承包区域，在承包区域只从事招标人认可的服务工作。在承包期间，供应商（投标人）的任何股份配置变动应通知招标人。未经招标人书面批准，任何占有支配地位的股份转让者将视为供应商出租、转让的行为。一经发现，招标人有权取消其受托资格，并给予经济处罚或诉讼法律。</w:t>
      </w:r>
    </w:p>
    <w:p w14:paraId="2260912B">
      <w:pPr>
        <w:pStyle w:val="258"/>
        <w:adjustRightInd/>
        <w:ind w:firstLine="0" w:firstLineChars="0"/>
        <w:rPr>
          <w:rFonts w:cs="仿宋" w:asciiTheme="minorEastAsia" w:hAnsiTheme="minorEastAsia" w:eastAsiaTheme="minorEastAsia"/>
          <w:b/>
          <w:lang w:val="zh-CN"/>
        </w:rPr>
      </w:pPr>
      <w:r>
        <w:rPr>
          <w:rFonts w:hint="eastAsia" w:cs="仿宋" w:asciiTheme="minorEastAsia" w:hAnsiTheme="minorEastAsia" w:eastAsiaTheme="minorEastAsia"/>
          <w:b/>
          <w:lang w:val="zh-CN"/>
        </w:rPr>
        <w:t>十三、项目验收</w:t>
      </w:r>
    </w:p>
    <w:p w14:paraId="4F47E09B">
      <w:pPr>
        <w:spacing w:line="360" w:lineRule="auto"/>
        <w:ind w:firstLine="480" w:firstLineChars="200"/>
        <w:rPr>
          <w:rFonts w:cs="宋体" w:asciiTheme="minorEastAsia" w:hAnsiTheme="minorEastAsia" w:eastAsiaTheme="minorEastAsia"/>
          <w:b/>
          <w:sz w:val="36"/>
          <w:szCs w:val="36"/>
        </w:rPr>
      </w:pPr>
      <w:r>
        <w:rPr>
          <w:rFonts w:hint="eastAsia" w:cs="仿宋" w:asciiTheme="minorEastAsia" w:hAnsiTheme="minorEastAsia" w:eastAsiaTheme="minorEastAsia"/>
          <w:sz w:val="24"/>
          <w:lang w:val="zh-CN"/>
        </w:rPr>
        <w:t>按照招标文件和合同进行验收。根据《杭州市政府采购履约验收暂行办法》杭财采监〔</w:t>
      </w:r>
      <w:r>
        <w:rPr>
          <w:rFonts w:cs="仿宋" w:asciiTheme="minorEastAsia" w:hAnsiTheme="minorEastAsia" w:eastAsiaTheme="minorEastAsia"/>
          <w:sz w:val="24"/>
          <w:lang w:val="zh-CN"/>
        </w:rPr>
        <w:t xml:space="preserve">2019〕10 </w:t>
      </w:r>
      <w:r>
        <w:rPr>
          <w:rFonts w:hint="eastAsia" w:cs="仿宋" w:asciiTheme="minorEastAsia" w:hAnsiTheme="minorEastAsia" w:eastAsiaTheme="minorEastAsia"/>
          <w:sz w:val="24"/>
          <w:lang w:val="zh-CN"/>
        </w:rPr>
        <w:t>号文，进行履约验收，验收合格报告作为项目支付的依据。</w:t>
      </w:r>
    </w:p>
    <w:p w14:paraId="7D9C6B4D">
      <w:pPr>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5EDD4573">
      <w:pPr>
        <w:spacing w:line="360" w:lineRule="auto"/>
        <w:ind w:firstLine="480"/>
        <w:jc w:val="left"/>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履约验收时间：</w:t>
      </w:r>
      <w:r>
        <w:rPr>
          <w:rFonts w:hint="eastAsia" w:asciiTheme="minorEastAsia" w:hAnsiTheme="minorEastAsia" w:eastAsiaTheme="minorEastAsia"/>
          <w:b/>
          <w:bCs/>
          <w:sz w:val="24"/>
          <w:highlight w:val="none"/>
          <w:lang w:val="en-US" w:eastAsia="zh-CN"/>
        </w:rPr>
        <w:t xml:space="preserve">每年验收一次，具体时间以采购人通知为准 </w:t>
      </w:r>
      <w:r>
        <w:rPr>
          <w:rFonts w:hint="eastAsia" w:asciiTheme="minorEastAsia" w:hAnsiTheme="minorEastAsia" w:eastAsiaTheme="minorEastAsia"/>
          <w:sz w:val="24"/>
          <w:highlight w:val="none"/>
        </w:rPr>
        <w:t>。</w:t>
      </w:r>
    </w:p>
    <w:p w14:paraId="22C8D77C">
      <w:pPr>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验收内容及资料要求：</w:t>
      </w:r>
    </w:p>
    <w:p w14:paraId="202ABDF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根根据采购文件确定的技术指标或者服务要求确定验收指标和标准。未进行相应约定的，应当符合国家强制性规定、政策要求、安全标准、行业或企业有关标准等。</w:t>
      </w:r>
    </w:p>
    <w:p w14:paraId="5B8755B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验收内容如下：</w:t>
      </w:r>
    </w:p>
    <w:tbl>
      <w:tblPr>
        <w:tblStyle w:val="62"/>
        <w:tblpPr w:leftFromText="180" w:rightFromText="180" w:vertAnchor="text" w:horzAnchor="page" w:tblpX="1714" w:tblpY="84"/>
        <w:tblOverlap w:val="never"/>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942"/>
        <w:gridCol w:w="5859"/>
      </w:tblGrid>
      <w:tr w14:paraId="61B8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noWrap/>
            <w:vAlign w:val="center"/>
          </w:tcPr>
          <w:p w14:paraId="029B984E">
            <w:pPr>
              <w:widowControl/>
              <w:adjustRightInd/>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序号</w:t>
            </w:r>
          </w:p>
        </w:tc>
        <w:tc>
          <w:tcPr>
            <w:tcW w:w="1942" w:type="dxa"/>
            <w:tcBorders>
              <w:top w:val="single" w:color="auto" w:sz="4" w:space="0"/>
              <w:left w:val="single" w:color="auto" w:sz="4" w:space="0"/>
              <w:bottom w:val="single" w:color="auto" w:sz="4" w:space="0"/>
              <w:right w:val="single" w:color="auto" w:sz="4" w:space="0"/>
            </w:tcBorders>
            <w:noWrap/>
            <w:vAlign w:val="center"/>
          </w:tcPr>
          <w:p w14:paraId="1EF18253">
            <w:pPr>
              <w:widowControl/>
              <w:adjustRightInd/>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验收内容</w:t>
            </w:r>
          </w:p>
        </w:tc>
        <w:tc>
          <w:tcPr>
            <w:tcW w:w="5859" w:type="dxa"/>
            <w:tcBorders>
              <w:top w:val="single" w:color="auto" w:sz="4" w:space="0"/>
              <w:left w:val="single" w:color="auto" w:sz="4" w:space="0"/>
              <w:bottom w:val="single" w:color="auto" w:sz="4" w:space="0"/>
              <w:right w:val="single" w:color="auto" w:sz="4" w:space="0"/>
            </w:tcBorders>
            <w:vAlign w:val="center"/>
          </w:tcPr>
          <w:p w14:paraId="6ACEC3A0">
            <w:pPr>
              <w:widowControl/>
              <w:adjustRightInd/>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验收标准</w:t>
            </w:r>
          </w:p>
        </w:tc>
      </w:tr>
      <w:tr w14:paraId="2CD4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5" w:type="dxa"/>
            <w:tcBorders>
              <w:top w:val="single" w:color="auto" w:sz="4" w:space="0"/>
              <w:left w:val="single" w:color="auto" w:sz="4" w:space="0"/>
              <w:bottom w:val="single" w:color="auto" w:sz="4" w:space="0"/>
              <w:right w:val="single" w:color="auto" w:sz="4" w:space="0"/>
            </w:tcBorders>
            <w:noWrap/>
            <w:vAlign w:val="center"/>
          </w:tcPr>
          <w:p w14:paraId="354746A4">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942" w:type="dxa"/>
            <w:tcBorders>
              <w:top w:val="single" w:color="auto" w:sz="4" w:space="0"/>
              <w:left w:val="single" w:color="auto" w:sz="4" w:space="0"/>
              <w:bottom w:val="single" w:color="auto" w:sz="4" w:space="0"/>
              <w:right w:val="single" w:color="auto" w:sz="4" w:space="0"/>
            </w:tcBorders>
            <w:noWrap/>
            <w:vAlign w:val="center"/>
          </w:tcPr>
          <w:p w14:paraId="1D2850BB">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日常服务要求</w:t>
            </w:r>
          </w:p>
        </w:tc>
        <w:tc>
          <w:tcPr>
            <w:tcW w:w="5859" w:type="dxa"/>
            <w:tcBorders>
              <w:top w:val="single" w:color="auto" w:sz="4" w:space="0"/>
              <w:left w:val="single" w:color="auto" w:sz="4" w:space="0"/>
              <w:bottom w:val="single" w:color="auto" w:sz="4" w:space="0"/>
              <w:right w:val="single" w:color="auto" w:sz="4" w:space="0"/>
            </w:tcBorders>
            <w:vAlign w:val="center"/>
          </w:tcPr>
          <w:p w14:paraId="7ACB6090">
            <w:pPr>
              <w:widowControl/>
              <w:adjustRightInd/>
              <w:spacing w:line="360" w:lineRule="auto"/>
              <w:rPr>
                <w:rFonts w:asciiTheme="minorEastAsia" w:hAnsiTheme="minorEastAsia" w:eastAsiaTheme="minorEastAsia"/>
                <w:sz w:val="24"/>
              </w:rPr>
            </w:pPr>
            <w:r>
              <w:rPr>
                <w:rFonts w:hint="eastAsia" w:asciiTheme="minorEastAsia" w:hAnsiTheme="minorEastAsia" w:eastAsiaTheme="minorEastAsia"/>
                <w:sz w:val="24"/>
              </w:rPr>
              <w:t>合同约定供应商响应的日常服务要求进行验收。</w:t>
            </w:r>
          </w:p>
        </w:tc>
      </w:tr>
      <w:tr w14:paraId="2890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5" w:type="dxa"/>
            <w:tcBorders>
              <w:top w:val="single" w:color="auto" w:sz="4" w:space="0"/>
              <w:left w:val="single" w:color="auto" w:sz="4" w:space="0"/>
              <w:bottom w:val="single" w:color="auto" w:sz="4" w:space="0"/>
              <w:right w:val="single" w:color="auto" w:sz="4" w:space="0"/>
            </w:tcBorders>
            <w:noWrap/>
            <w:vAlign w:val="center"/>
          </w:tcPr>
          <w:p w14:paraId="339B3E7D">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42" w:type="dxa"/>
            <w:tcBorders>
              <w:top w:val="single" w:color="auto" w:sz="4" w:space="0"/>
              <w:left w:val="single" w:color="auto" w:sz="4" w:space="0"/>
              <w:bottom w:val="single" w:color="auto" w:sz="4" w:space="0"/>
              <w:right w:val="single" w:color="auto" w:sz="4" w:space="0"/>
            </w:tcBorders>
            <w:noWrap/>
            <w:vAlign w:val="center"/>
          </w:tcPr>
          <w:p w14:paraId="2F813280">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技术服务要求</w:t>
            </w:r>
          </w:p>
        </w:tc>
        <w:tc>
          <w:tcPr>
            <w:tcW w:w="5859" w:type="dxa"/>
            <w:tcBorders>
              <w:top w:val="single" w:color="auto" w:sz="4" w:space="0"/>
              <w:left w:val="single" w:color="auto" w:sz="4" w:space="0"/>
              <w:bottom w:val="single" w:color="auto" w:sz="4" w:space="0"/>
              <w:right w:val="single" w:color="auto" w:sz="4" w:space="0"/>
            </w:tcBorders>
            <w:vAlign w:val="center"/>
          </w:tcPr>
          <w:p w14:paraId="10AAB876">
            <w:pPr>
              <w:widowControl/>
              <w:adjustRightInd/>
              <w:spacing w:line="360" w:lineRule="auto"/>
              <w:rPr>
                <w:rFonts w:asciiTheme="minorEastAsia" w:hAnsiTheme="minorEastAsia" w:eastAsiaTheme="minorEastAsia"/>
                <w:sz w:val="24"/>
              </w:rPr>
            </w:pPr>
            <w:r>
              <w:rPr>
                <w:rFonts w:hint="eastAsia" w:asciiTheme="minorEastAsia" w:hAnsiTheme="minorEastAsia" w:eastAsiaTheme="minorEastAsia"/>
                <w:sz w:val="24"/>
              </w:rPr>
              <w:t>合同约定供应商响应的技术服务要求进行验收。</w:t>
            </w:r>
          </w:p>
        </w:tc>
      </w:tr>
      <w:tr w14:paraId="4B1C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5" w:type="dxa"/>
            <w:tcBorders>
              <w:top w:val="single" w:color="auto" w:sz="4" w:space="0"/>
              <w:left w:val="single" w:color="auto" w:sz="4" w:space="0"/>
              <w:bottom w:val="single" w:color="auto" w:sz="4" w:space="0"/>
              <w:right w:val="single" w:color="auto" w:sz="4" w:space="0"/>
            </w:tcBorders>
            <w:noWrap/>
            <w:vAlign w:val="center"/>
          </w:tcPr>
          <w:p w14:paraId="219BF6D2">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42" w:type="dxa"/>
            <w:tcBorders>
              <w:top w:val="single" w:color="auto" w:sz="4" w:space="0"/>
              <w:left w:val="single" w:color="auto" w:sz="4" w:space="0"/>
              <w:bottom w:val="single" w:color="auto" w:sz="4" w:space="0"/>
              <w:right w:val="single" w:color="auto" w:sz="4" w:space="0"/>
            </w:tcBorders>
            <w:noWrap/>
            <w:vAlign w:val="center"/>
          </w:tcPr>
          <w:p w14:paraId="3105C783">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服务响应</w:t>
            </w:r>
          </w:p>
        </w:tc>
        <w:tc>
          <w:tcPr>
            <w:tcW w:w="5859" w:type="dxa"/>
            <w:tcBorders>
              <w:top w:val="single" w:color="auto" w:sz="4" w:space="0"/>
              <w:left w:val="single" w:color="auto" w:sz="4" w:space="0"/>
              <w:bottom w:val="single" w:color="auto" w:sz="4" w:space="0"/>
              <w:right w:val="single" w:color="auto" w:sz="4" w:space="0"/>
            </w:tcBorders>
            <w:vAlign w:val="center"/>
          </w:tcPr>
          <w:p w14:paraId="7EF1270F">
            <w:pPr>
              <w:widowControl/>
              <w:adjustRightInd/>
              <w:spacing w:line="360" w:lineRule="auto"/>
              <w:rPr>
                <w:rFonts w:asciiTheme="minorEastAsia" w:hAnsiTheme="minorEastAsia" w:eastAsiaTheme="minorEastAsia"/>
                <w:sz w:val="24"/>
              </w:rPr>
            </w:pPr>
            <w:r>
              <w:rPr>
                <w:rFonts w:hint="eastAsia" w:asciiTheme="minorEastAsia" w:hAnsiTheme="minorEastAsia" w:eastAsiaTheme="minorEastAsia"/>
                <w:sz w:val="24"/>
              </w:rPr>
              <w:t>按合同约定供应商响应的服务时间进行验收。</w:t>
            </w:r>
          </w:p>
        </w:tc>
      </w:tr>
      <w:tr w14:paraId="5AC3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5" w:type="dxa"/>
            <w:tcBorders>
              <w:top w:val="single" w:color="auto" w:sz="4" w:space="0"/>
              <w:left w:val="single" w:color="auto" w:sz="4" w:space="0"/>
              <w:bottom w:val="single" w:color="auto" w:sz="4" w:space="0"/>
              <w:right w:val="single" w:color="auto" w:sz="4" w:space="0"/>
            </w:tcBorders>
            <w:noWrap/>
            <w:vAlign w:val="center"/>
          </w:tcPr>
          <w:p w14:paraId="03A84D50">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942" w:type="dxa"/>
            <w:tcBorders>
              <w:top w:val="single" w:color="auto" w:sz="4" w:space="0"/>
              <w:left w:val="single" w:color="auto" w:sz="4" w:space="0"/>
              <w:bottom w:val="single" w:color="auto" w:sz="4" w:space="0"/>
              <w:right w:val="single" w:color="auto" w:sz="4" w:space="0"/>
            </w:tcBorders>
            <w:noWrap/>
            <w:vAlign w:val="center"/>
          </w:tcPr>
          <w:p w14:paraId="727779F0">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资料信息</w:t>
            </w:r>
          </w:p>
        </w:tc>
        <w:tc>
          <w:tcPr>
            <w:tcW w:w="5859" w:type="dxa"/>
            <w:tcBorders>
              <w:top w:val="single" w:color="auto" w:sz="4" w:space="0"/>
              <w:left w:val="single" w:color="auto" w:sz="4" w:space="0"/>
              <w:bottom w:val="single" w:color="auto" w:sz="4" w:space="0"/>
              <w:right w:val="single" w:color="auto" w:sz="4" w:space="0"/>
            </w:tcBorders>
            <w:vAlign w:val="center"/>
          </w:tcPr>
          <w:p w14:paraId="3298A8B0">
            <w:pPr>
              <w:widowControl/>
              <w:adjustRightInd/>
              <w:spacing w:line="360" w:lineRule="auto"/>
              <w:rPr>
                <w:rFonts w:asciiTheme="minorEastAsia" w:hAnsiTheme="minorEastAsia" w:eastAsiaTheme="minorEastAsia"/>
                <w:sz w:val="24"/>
              </w:rPr>
            </w:pPr>
            <w:r>
              <w:rPr>
                <w:rFonts w:hint="eastAsia" w:asciiTheme="minorEastAsia" w:hAnsiTheme="minorEastAsia" w:eastAsiaTheme="minorEastAsia"/>
                <w:sz w:val="24"/>
              </w:rPr>
              <w:t>对项目台账等基础资料、工作总结报告等文档进行验收。</w:t>
            </w:r>
          </w:p>
        </w:tc>
      </w:tr>
      <w:tr w14:paraId="2B31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noWrap/>
            <w:vAlign w:val="center"/>
          </w:tcPr>
          <w:p w14:paraId="4A28E842">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942" w:type="dxa"/>
            <w:tcBorders>
              <w:top w:val="single" w:color="auto" w:sz="4" w:space="0"/>
              <w:left w:val="single" w:color="auto" w:sz="4" w:space="0"/>
              <w:bottom w:val="single" w:color="auto" w:sz="4" w:space="0"/>
              <w:right w:val="single" w:color="auto" w:sz="4" w:space="0"/>
            </w:tcBorders>
            <w:vAlign w:val="center"/>
          </w:tcPr>
          <w:p w14:paraId="431A5B51">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人员配备</w:t>
            </w:r>
          </w:p>
        </w:tc>
        <w:tc>
          <w:tcPr>
            <w:tcW w:w="5859" w:type="dxa"/>
            <w:tcBorders>
              <w:top w:val="single" w:color="auto" w:sz="4" w:space="0"/>
              <w:left w:val="single" w:color="auto" w:sz="4" w:space="0"/>
              <w:bottom w:val="single" w:color="auto" w:sz="4" w:space="0"/>
              <w:right w:val="single" w:color="auto" w:sz="4" w:space="0"/>
            </w:tcBorders>
            <w:vAlign w:val="center"/>
          </w:tcPr>
          <w:p w14:paraId="2C52D1B4">
            <w:pPr>
              <w:widowControl/>
              <w:adjustRightInd/>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项目负责人提供日常技术支撑和快速响应。</w:t>
            </w:r>
          </w:p>
        </w:tc>
      </w:tr>
      <w:tr w14:paraId="183C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noWrap/>
            <w:vAlign w:val="center"/>
          </w:tcPr>
          <w:p w14:paraId="558E6868">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942" w:type="dxa"/>
            <w:tcBorders>
              <w:top w:val="single" w:color="auto" w:sz="4" w:space="0"/>
              <w:left w:val="single" w:color="auto" w:sz="4" w:space="0"/>
              <w:bottom w:val="single" w:color="auto" w:sz="4" w:space="0"/>
              <w:right w:val="single" w:color="auto" w:sz="4" w:space="0"/>
            </w:tcBorders>
            <w:vAlign w:val="center"/>
          </w:tcPr>
          <w:p w14:paraId="7634A3FD">
            <w:pPr>
              <w:widowControl/>
              <w:adjustRightInd/>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其他工作</w:t>
            </w:r>
          </w:p>
        </w:tc>
        <w:tc>
          <w:tcPr>
            <w:tcW w:w="5859" w:type="dxa"/>
            <w:tcBorders>
              <w:top w:val="single" w:color="auto" w:sz="4" w:space="0"/>
              <w:left w:val="single" w:color="auto" w:sz="4" w:space="0"/>
              <w:bottom w:val="single" w:color="auto" w:sz="4" w:space="0"/>
              <w:right w:val="single" w:color="auto" w:sz="4" w:space="0"/>
            </w:tcBorders>
            <w:vAlign w:val="center"/>
          </w:tcPr>
          <w:p w14:paraId="38FE23E0">
            <w:pPr>
              <w:widowControl/>
              <w:adjustRightInd/>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履行项目采购文件、投标文件、合同条款中涉及的其他承诺的情况。</w:t>
            </w:r>
          </w:p>
        </w:tc>
      </w:tr>
    </w:tbl>
    <w:p w14:paraId="5A8AABA0">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履约验收其他事项</w:t>
      </w:r>
    </w:p>
    <w:p w14:paraId="327A36E2">
      <w:pPr>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1A6E9C91">
      <w:pPr>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验收产生的费用首次验收费用由采购人承担，如首次验收不合格，后续验收费用由投标人支付。</w:t>
      </w:r>
    </w:p>
    <w:p w14:paraId="3EF4A70A">
      <w:pPr>
        <w:spacing w:line="360" w:lineRule="auto"/>
        <w:ind w:firstLine="480"/>
        <w:jc w:val="left"/>
        <w:rPr>
          <w:rFonts w:asciiTheme="minorEastAsia" w:hAnsiTheme="minorEastAsia" w:eastAsiaTheme="minorEastAsia"/>
          <w:sz w:val="24"/>
        </w:rPr>
      </w:pPr>
      <w:r>
        <w:rPr>
          <w:rFonts w:hint="eastAsia" w:asciiTheme="minorEastAsia" w:hAnsiTheme="minorEastAsia" w:eastAsiaTheme="minorEastAsia"/>
          <w:sz w:val="24"/>
        </w:rPr>
        <w:t>验收资料要求包括（不限于）以下内容：</w:t>
      </w:r>
    </w:p>
    <w:p w14:paraId="0655CDE2">
      <w:pPr>
        <w:numPr>
          <w:ilvl w:val="0"/>
          <w:numId w:val="1"/>
        </w:numPr>
        <w:spacing w:line="360" w:lineRule="auto"/>
        <w:rPr>
          <w:rFonts w:asciiTheme="minorEastAsia" w:hAnsiTheme="minorEastAsia" w:eastAsiaTheme="minorEastAsia"/>
          <w:sz w:val="24"/>
        </w:rPr>
      </w:pPr>
      <w:r>
        <w:rPr>
          <w:rFonts w:hint="eastAsia" w:asciiTheme="minorEastAsia" w:hAnsiTheme="minorEastAsia" w:eastAsiaTheme="minorEastAsia"/>
          <w:sz w:val="24"/>
        </w:rPr>
        <w:t>招标文件；</w:t>
      </w:r>
    </w:p>
    <w:p w14:paraId="3A270506">
      <w:pPr>
        <w:numPr>
          <w:ilvl w:val="0"/>
          <w:numId w:val="1"/>
        </w:num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投标文件；</w:t>
      </w:r>
    </w:p>
    <w:p w14:paraId="7F742737">
      <w:pPr>
        <w:numPr>
          <w:ilvl w:val="0"/>
          <w:numId w:val="1"/>
        </w:numPr>
        <w:spacing w:line="360" w:lineRule="auto"/>
        <w:rPr>
          <w:rFonts w:asciiTheme="minorEastAsia" w:hAnsiTheme="minorEastAsia" w:eastAsiaTheme="minorEastAsia"/>
          <w:sz w:val="24"/>
        </w:rPr>
      </w:pPr>
      <w:r>
        <w:rPr>
          <w:rFonts w:hint="eastAsia" w:asciiTheme="minorEastAsia" w:hAnsiTheme="minorEastAsia" w:eastAsiaTheme="minorEastAsia"/>
          <w:sz w:val="24"/>
        </w:rPr>
        <w:t>中标通知书；</w:t>
      </w:r>
    </w:p>
    <w:p w14:paraId="362D8148">
      <w:pPr>
        <w:numPr>
          <w:ilvl w:val="0"/>
          <w:numId w:val="1"/>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政府采购合同；</w:t>
      </w:r>
    </w:p>
    <w:p w14:paraId="2CC11AB6">
      <w:pPr>
        <w:widowControl/>
        <w:numPr>
          <w:ilvl w:val="0"/>
          <w:numId w:val="1"/>
        </w:numPr>
        <w:adjustRightInd/>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服务期技术资料；</w:t>
      </w:r>
    </w:p>
    <w:p w14:paraId="2860FEF9">
      <w:pPr>
        <w:widowControl/>
        <w:numPr>
          <w:ilvl w:val="0"/>
          <w:numId w:val="1"/>
        </w:numPr>
        <w:adjustRightInd/>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工作总结报告；</w:t>
      </w:r>
    </w:p>
    <w:p w14:paraId="620788A0">
      <w:pPr>
        <w:numPr>
          <w:ilvl w:val="0"/>
          <w:numId w:val="1"/>
        </w:numPr>
        <w:adjustRightInd/>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其他项目所需的资料。</w:t>
      </w:r>
    </w:p>
    <w:p w14:paraId="279509E1">
      <w:pPr>
        <w:pStyle w:val="2"/>
        <w:rPr>
          <w:rFonts w:eastAsia="宋体" w:cs="Calibri"/>
          <w:sz w:val="24"/>
          <w:szCs w:val="24"/>
          <w:lang w:val="en-US"/>
        </w:rPr>
      </w:pPr>
      <w:r>
        <w:rPr>
          <w:rFonts w:hint="eastAsia" w:eastAsia="宋体" w:cs="Calibri"/>
          <w:sz w:val="24"/>
          <w:szCs w:val="24"/>
          <w:lang w:val="en-US"/>
        </w:rPr>
        <w:t>十四、商务要求</w:t>
      </w:r>
    </w:p>
    <w:tbl>
      <w:tblPr>
        <w:tblStyle w:val="63"/>
        <w:tblW w:w="957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50"/>
        <w:gridCol w:w="7302"/>
      </w:tblGrid>
      <w:tr w14:paraId="29EB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Align w:val="center"/>
          </w:tcPr>
          <w:p w14:paraId="3C7599EF">
            <w:pPr>
              <w:spacing w:line="360" w:lineRule="auto"/>
              <w:rPr>
                <w:rFonts w:cs="Calibri"/>
                <w:b/>
                <w:bCs/>
                <w:sz w:val="24"/>
              </w:rPr>
            </w:pPr>
            <w:r>
              <w:rPr>
                <w:rFonts w:cs="Calibri"/>
                <w:b/>
                <w:bCs/>
                <w:sz w:val="24"/>
              </w:rPr>
              <w:t>序号</w:t>
            </w:r>
          </w:p>
        </w:tc>
        <w:tc>
          <w:tcPr>
            <w:tcW w:w="1450" w:type="dxa"/>
            <w:vAlign w:val="center"/>
          </w:tcPr>
          <w:p w14:paraId="5E401AF4">
            <w:pPr>
              <w:spacing w:line="360" w:lineRule="auto"/>
              <w:rPr>
                <w:rFonts w:cs="Calibri"/>
                <w:b/>
                <w:bCs/>
                <w:sz w:val="24"/>
              </w:rPr>
            </w:pPr>
            <w:r>
              <w:rPr>
                <w:rFonts w:cs="Calibri"/>
                <w:b/>
                <w:bCs/>
                <w:sz w:val="24"/>
              </w:rPr>
              <w:t>内容名称</w:t>
            </w:r>
          </w:p>
        </w:tc>
        <w:tc>
          <w:tcPr>
            <w:tcW w:w="7302" w:type="dxa"/>
            <w:vAlign w:val="center"/>
          </w:tcPr>
          <w:p w14:paraId="196DA0F5">
            <w:pPr>
              <w:spacing w:line="360" w:lineRule="auto"/>
              <w:rPr>
                <w:rFonts w:cs="Calibri"/>
                <w:b/>
                <w:bCs/>
                <w:sz w:val="24"/>
              </w:rPr>
            </w:pPr>
            <w:r>
              <w:rPr>
                <w:rFonts w:cs="Calibri"/>
                <w:b/>
                <w:bCs/>
                <w:sz w:val="24"/>
              </w:rPr>
              <w:t>要求</w:t>
            </w:r>
          </w:p>
        </w:tc>
      </w:tr>
      <w:tr w14:paraId="65C7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Align w:val="center"/>
          </w:tcPr>
          <w:p w14:paraId="73FA84FE">
            <w:pPr>
              <w:numPr>
                <w:ilvl w:val="0"/>
                <w:numId w:val="2"/>
              </w:numPr>
              <w:adjustRightInd/>
              <w:spacing w:line="360" w:lineRule="auto"/>
              <w:ind w:firstLine="0"/>
              <w:jc w:val="center"/>
              <w:rPr>
                <w:rFonts w:cs="Calibri"/>
                <w:sz w:val="24"/>
              </w:rPr>
            </w:pPr>
          </w:p>
        </w:tc>
        <w:tc>
          <w:tcPr>
            <w:tcW w:w="1450" w:type="dxa"/>
            <w:vAlign w:val="center"/>
          </w:tcPr>
          <w:p w14:paraId="1D8A07EB">
            <w:pPr>
              <w:spacing w:line="360" w:lineRule="auto"/>
              <w:rPr>
                <w:rFonts w:cs="Calibri"/>
                <w:sz w:val="24"/>
              </w:rPr>
            </w:pPr>
            <w:r>
              <w:rPr>
                <w:rFonts w:cs="Calibri"/>
                <w:sz w:val="24"/>
              </w:rPr>
              <w:t>报价要求</w:t>
            </w:r>
          </w:p>
        </w:tc>
        <w:tc>
          <w:tcPr>
            <w:tcW w:w="7302" w:type="dxa"/>
            <w:vAlign w:val="center"/>
          </w:tcPr>
          <w:p w14:paraId="4F0547E8">
            <w:pPr>
              <w:adjustRightInd/>
              <w:spacing w:line="360" w:lineRule="auto"/>
              <w:rPr>
                <w:rFonts w:cs="Calibri"/>
                <w:sz w:val="24"/>
                <w:u w:val="single"/>
              </w:rPr>
            </w:pPr>
            <w:r>
              <w:rPr>
                <w:rFonts w:cs="Calibri" w:asciiTheme="minorEastAsia" w:hAnsiTheme="minorEastAsia" w:eastAsiaTheme="minorEastAsia"/>
                <w:sz w:val="24"/>
              </w:rPr>
              <w:t>1.</w:t>
            </w:r>
            <w:r>
              <w:rPr>
                <w:rFonts w:cs="Calibri"/>
                <w:sz w:val="24"/>
                <w:u w:val="single"/>
              </w:rPr>
              <w:t>▲</w:t>
            </w:r>
            <w:r>
              <w:rPr>
                <w:rFonts w:cs="Calibri"/>
                <w:b/>
                <w:bCs/>
                <w:sz w:val="24"/>
                <w:u w:val="single"/>
              </w:rPr>
              <w:t>报价应包括</w:t>
            </w:r>
            <w:r>
              <w:rPr>
                <w:rFonts w:hint="eastAsia" w:ascii="宋体" w:hAnsi="宋体"/>
                <w:b/>
                <w:bCs/>
                <w:sz w:val="24"/>
                <w:u w:val="single"/>
              </w:rPr>
              <w:t>履行完毕全部合同义务所需的全部费用</w:t>
            </w:r>
            <w:r>
              <w:rPr>
                <w:rFonts w:hint="eastAsia" w:ascii="宋体" w:hAnsi="宋体" w:cs="宋体"/>
                <w:b/>
                <w:bCs/>
                <w:sz w:val="24"/>
                <w:u w:val="single"/>
              </w:rPr>
              <w:t>人工费、保险费、劳保用品、员工住宿、加班费、管理费等（含税费）</w:t>
            </w:r>
            <w:r>
              <w:rPr>
                <w:rFonts w:cs="Calibri"/>
                <w:b/>
                <w:bCs/>
                <w:sz w:val="24"/>
                <w:u w:val="single"/>
              </w:rPr>
              <w:t>。</w:t>
            </w:r>
          </w:p>
          <w:p w14:paraId="7D2025CB">
            <w:pPr>
              <w:adjustRightInd/>
              <w:spacing w:line="360" w:lineRule="auto"/>
              <w:rPr>
                <w:rFonts w:cs="Calibri"/>
                <w:sz w:val="24"/>
                <w:u w:val="single"/>
              </w:rPr>
            </w:pPr>
            <w:r>
              <w:rPr>
                <w:rFonts w:cs="Calibri" w:asciiTheme="minorEastAsia" w:hAnsiTheme="minorEastAsia" w:eastAsiaTheme="minorEastAsia"/>
                <w:sz w:val="24"/>
              </w:rPr>
              <w:t>2.</w:t>
            </w:r>
            <w:r>
              <w:rPr>
                <w:rFonts w:cs="Calibri"/>
                <w:sz w:val="24"/>
                <w:u w:val="single"/>
              </w:rPr>
              <w:t>▲</w:t>
            </w:r>
            <w:r>
              <w:rPr>
                <w:rFonts w:cs="Calibri"/>
                <w:b/>
                <w:bCs/>
                <w:sz w:val="24"/>
                <w:u w:val="single"/>
              </w:rPr>
              <w:t>本次报价币种为人民币价。</w:t>
            </w:r>
          </w:p>
          <w:p w14:paraId="70CE7B7A">
            <w:pPr>
              <w:adjustRightInd/>
              <w:spacing w:line="360" w:lineRule="auto"/>
              <w:rPr>
                <w:rFonts w:cs="Calibri"/>
                <w:sz w:val="24"/>
              </w:rPr>
            </w:pPr>
            <w:r>
              <w:rPr>
                <w:rFonts w:cs="Calibri" w:asciiTheme="minorEastAsia" w:hAnsiTheme="minorEastAsia" w:eastAsiaTheme="minorEastAsia"/>
                <w:sz w:val="24"/>
              </w:rPr>
              <w:t>3</w:t>
            </w:r>
            <w:r>
              <w:rPr>
                <w:rFonts w:cs="Calibri"/>
                <w:sz w:val="24"/>
              </w:rPr>
              <w:t>.填报单价及总价。</w:t>
            </w:r>
          </w:p>
        </w:tc>
      </w:tr>
      <w:tr w14:paraId="0DFF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Align w:val="center"/>
          </w:tcPr>
          <w:p w14:paraId="6F4A9A26">
            <w:pPr>
              <w:numPr>
                <w:ilvl w:val="0"/>
                <w:numId w:val="2"/>
              </w:numPr>
              <w:adjustRightInd/>
              <w:spacing w:line="360" w:lineRule="auto"/>
              <w:ind w:firstLine="0"/>
              <w:jc w:val="center"/>
              <w:rPr>
                <w:rFonts w:cs="Calibri"/>
                <w:sz w:val="24"/>
              </w:rPr>
            </w:pPr>
          </w:p>
        </w:tc>
        <w:tc>
          <w:tcPr>
            <w:tcW w:w="1450" w:type="dxa"/>
            <w:vAlign w:val="center"/>
          </w:tcPr>
          <w:p w14:paraId="5E549558">
            <w:pPr>
              <w:spacing w:line="360" w:lineRule="auto"/>
              <w:rPr>
                <w:rFonts w:cs="Calibri"/>
                <w:sz w:val="24"/>
              </w:rPr>
            </w:pPr>
            <w:r>
              <w:rPr>
                <w:rFonts w:cs="Calibri"/>
                <w:sz w:val="24"/>
              </w:rPr>
              <w:t>合同双方</w:t>
            </w:r>
          </w:p>
        </w:tc>
        <w:tc>
          <w:tcPr>
            <w:tcW w:w="7302" w:type="dxa"/>
            <w:vAlign w:val="center"/>
          </w:tcPr>
          <w:p w14:paraId="2B54CA24">
            <w:pPr>
              <w:adjustRightInd/>
              <w:spacing w:line="360" w:lineRule="auto"/>
              <w:rPr>
                <w:rFonts w:cs="Calibri"/>
                <w:sz w:val="24"/>
              </w:rPr>
            </w:pPr>
            <w:r>
              <w:rPr>
                <w:rFonts w:cs="Calibri"/>
                <w:sz w:val="24"/>
              </w:rPr>
              <w:t>1.本项目合同甲方为采购人，乙方为中标人，合同款支付给乙方。</w:t>
            </w:r>
          </w:p>
        </w:tc>
      </w:tr>
      <w:tr w14:paraId="094B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Align w:val="center"/>
          </w:tcPr>
          <w:p w14:paraId="0B74484C">
            <w:pPr>
              <w:numPr>
                <w:ilvl w:val="0"/>
                <w:numId w:val="2"/>
              </w:numPr>
              <w:adjustRightInd/>
              <w:spacing w:line="360" w:lineRule="auto"/>
              <w:ind w:firstLine="0"/>
              <w:jc w:val="center"/>
              <w:rPr>
                <w:rFonts w:cs="Calibri"/>
                <w:sz w:val="24"/>
              </w:rPr>
            </w:pPr>
          </w:p>
        </w:tc>
        <w:tc>
          <w:tcPr>
            <w:tcW w:w="1450" w:type="dxa"/>
            <w:vAlign w:val="center"/>
          </w:tcPr>
          <w:p w14:paraId="35E785F5">
            <w:pPr>
              <w:spacing w:line="360" w:lineRule="auto"/>
              <w:rPr>
                <w:rFonts w:cs="Calibri"/>
                <w:sz w:val="24"/>
              </w:rPr>
            </w:pPr>
            <w:r>
              <w:rPr>
                <w:rFonts w:cs="Calibri"/>
                <w:sz w:val="24"/>
              </w:rPr>
              <w:t>转包或分包</w:t>
            </w:r>
          </w:p>
        </w:tc>
        <w:tc>
          <w:tcPr>
            <w:tcW w:w="7302" w:type="dxa"/>
            <w:vAlign w:val="center"/>
          </w:tcPr>
          <w:p w14:paraId="29FE6BA5">
            <w:pPr>
              <w:adjustRightInd/>
              <w:spacing w:line="360" w:lineRule="auto"/>
              <w:rPr>
                <w:rFonts w:cs="Calibri"/>
                <w:sz w:val="24"/>
              </w:rPr>
            </w:pPr>
            <w:r>
              <w:rPr>
                <w:rFonts w:cs="Calibri"/>
                <w:sz w:val="24"/>
              </w:rPr>
              <w:t>1.▲</w:t>
            </w:r>
            <w:r>
              <w:rPr>
                <w:rFonts w:cs="Calibri"/>
                <w:b/>
                <w:bCs/>
                <w:sz w:val="24"/>
                <w:u w:val="single"/>
              </w:rPr>
              <w:t>本项目内容不得转包：供应商不得将本合同标的转包由其他单位承担；</w:t>
            </w:r>
          </w:p>
          <w:p w14:paraId="09BAF7FD">
            <w:pPr>
              <w:adjustRightInd/>
              <w:spacing w:line="360" w:lineRule="auto"/>
              <w:rPr>
                <w:rFonts w:cs="Calibri"/>
                <w:b/>
                <w:bCs/>
                <w:sz w:val="24"/>
                <w:u w:val="single"/>
              </w:rPr>
            </w:pPr>
            <w:r>
              <w:rPr>
                <w:rFonts w:cs="Calibri"/>
                <w:sz w:val="24"/>
              </w:rPr>
              <w:t>2.▲</w:t>
            </w:r>
            <w:r>
              <w:rPr>
                <w:rFonts w:cs="Calibri"/>
                <w:b/>
                <w:bCs/>
                <w:sz w:val="24"/>
                <w:u w:val="single"/>
              </w:rPr>
              <w:t>本项目部分内容允许分包，要求如下：</w:t>
            </w:r>
          </w:p>
          <w:p w14:paraId="76FCB2E6">
            <w:pPr>
              <w:adjustRightInd/>
              <w:spacing w:line="360" w:lineRule="auto"/>
              <w:rPr>
                <w:rFonts w:cs="Calibri"/>
                <w:b/>
                <w:bCs/>
                <w:sz w:val="24"/>
                <w:u w:val="single"/>
              </w:rPr>
            </w:pPr>
            <w:r>
              <w:rPr>
                <w:rFonts w:cs="Calibri"/>
                <w:b/>
                <w:bCs/>
                <w:sz w:val="24"/>
                <w:u w:val="single"/>
              </w:rPr>
              <w:t>（1）分包内容为本项目的非主体、非关键性工作；</w:t>
            </w:r>
          </w:p>
          <w:p w14:paraId="5A358F08">
            <w:pPr>
              <w:adjustRightInd/>
              <w:spacing w:line="360" w:lineRule="auto"/>
              <w:rPr>
                <w:rFonts w:cs="Calibri"/>
                <w:b/>
                <w:bCs/>
                <w:sz w:val="24"/>
                <w:u w:val="single"/>
              </w:rPr>
            </w:pPr>
            <w:r>
              <w:rPr>
                <w:rFonts w:cs="Calibri"/>
                <w:b/>
                <w:bCs/>
                <w:sz w:val="24"/>
                <w:u w:val="single"/>
              </w:rPr>
              <w:t>（2）分包金额不超过合同金额的</w:t>
            </w:r>
            <w:r>
              <w:rPr>
                <w:rFonts w:hint="eastAsia" w:cs="Calibri"/>
                <w:b/>
                <w:bCs/>
                <w:sz w:val="24"/>
                <w:u w:val="single"/>
              </w:rPr>
              <w:t>1</w:t>
            </w:r>
            <w:r>
              <w:rPr>
                <w:rFonts w:cs="Calibri"/>
                <w:b/>
                <w:bCs/>
                <w:sz w:val="24"/>
                <w:u w:val="single"/>
              </w:rPr>
              <w:t>0%；</w:t>
            </w:r>
          </w:p>
          <w:p w14:paraId="306201DD">
            <w:pPr>
              <w:adjustRightInd/>
              <w:spacing w:line="360" w:lineRule="auto"/>
              <w:rPr>
                <w:rFonts w:cs="Calibri"/>
                <w:b/>
                <w:bCs/>
                <w:sz w:val="24"/>
                <w:u w:val="single"/>
              </w:rPr>
            </w:pPr>
            <w:r>
              <w:rPr>
                <w:rFonts w:cs="Calibri"/>
                <w:b/>
                <w:bCs/>
                <w:sz w:val="24"/>
                <w:u w:val="single"/>
              </w:rPr>
              <w:t>（3）分包供应商应具有完成项目内容的相应能力；</w:t>
            </w:r>
          </w:p>
          <w:p w14:paraId="6DFE9CCB">
            <w:pPr>
              <w:adjustRightInd/>
              <w:spacing w:line="360" w:lineRule="auto"/>
              <w:rPr>
                <w:rFonts w:cs="Calibri" w:asciiTheme="minorEastAsia" w:hAnsiTheme="minorEastAsia" w:eastAsiaTheme="minorEastAsia"/>
                <w:sz w:val="24"/>
                <w:u w:val="single"/>
              </w:rPr>
            </w:pPr>
            <w:r>
              <w:rPr>
                <w:rFonts w:cs="Calibri"/>
                <w:b/>
                <w:bCs/>
                <w:sz w:val="24"/>
                <w:u w:val="single"/>
              </w:rPr>
              <w:t>（4）除招标文件约定允许分包的内容外，供应商不得擅自将其他合</w:t>
            </w:r>
            <w:r>
              <w:rPr>
                <w:rFonts w:cs="Calibri" w:asciiTheme="minorEastAsia" w:hAnsiTheme="minorEastAsia" w:eastAsiaTheme="minorEastAsia"/>
                <w:b/>
                <w:bCs/>
                <w:sz w:val="24"/>
                <w:u w:val="single"/>
              </w:rPr>
              <w:t>同标的分包给其他供应商承担。</w:t>
            </w:r>
          </w:p>
          <w:p w14:paraId="29C304E5">
            <w:pPr>
              <w:adjustRightInd/>
              <w:spacing w:line="360" w:lineRule="auto"/>
              <w:rPr>
                <w:rFonts w:cs="Calibri" w:asciiTheme="minorEastAsia" w:hAnsiTheme="minorEastAsia" w:eastAsiaTheme="minorEastAsia"/>
                <w:sz w:val="24"/>
              </w:rPr>
            </w:pPr>
            <w:r>
              <w:rPr>
                <w:rFonts w:cs="Calibri" w:asciiTheme="minorEastAsia" w:hAnsiTheme="minorEastAsia" w:eastAsiaTheme="minorEastAsia"/>
                <w:sz w:val="24"/>
              </w:rPr>
              <w:t>说明：供应商如有分包，应在投标文件中明确分包内容，并提供分包意向协议。未提供，视为不分包。</w:t>
            </w:r>
          </w:p>
          <w:p w14:paraId="26CE15CB">
            <w:pPr>
              <w:adjustRightInd/>
              <w:spacing w:line="360" w:lineRule="auto"/>
              <w:rPr>
                <w:rFonts w:cs="Calibri"/>
                <w:sz w:val="24"/>
                <w:u w:val="single"/>
              </w:rPr>
            </w:pPr>
            <w:r>
              <w:rPr>
                <w:rFonts w:cs="Calibri"/>
                <w:sz w:val="24"/>
                <w:u w:val="single"/>
              </w:rPr>
              <w:t>3.</w:t>
            </w:r>
            <w:r>
              <w:rPr>
                <w:rFonts w:hint="eastAsia" w:cs="Calibri"/>
                <w:sz w:val="24"/>
                <w:u w:val="single"/>
              </w:rPr>
              <w:t>▲</w:t>
            </w:r>
            <w:r>
              <w:rPr>
                <w:rFonts w:cs="Calibri"/>
                <w:b/>
                <w:bCs/>
                <w:sz w:val="24"/>
                <w:u w:val="single"/>
              </w:rPr>
              <w:t>享受《政府采购促进中小企业发展管理办法》的通知（财库〔2020〕46号）的规定扶持政策获得政府采购合同的，小微企业不得将合同分包给大中型企业，中型企业不得将合同分包给大型企业。</w:t>
            </w:r>
          </w:p>
          <w:p w14:paraId="07E96452">
            <w:pPr>
              <w:adjustRightInd/>
              <w:spacing w:line="360" w:lineRule="auto"/>
              <w:rPr>
                <w:rFonts w:cs="Calibri"/>
                <w:sz w:val="24"/>
              </w:rPr>
            </w:pPr>
            <w:r>
              <w:rPr>
                <w:rFonts w:cs="Calibri"/>
                <w:sz w:val="24"/>
                <w:u w:val="single"/>
              </w:rPr>
              <w:t>4.</w:t>
            </w:r>
            <w:r>
              <w:rPr>
                <w:rFonts w:hint="eastAsia" w:cs="Calibri"/>
                <w:sz w:val="24"/>
                <w:u w:val="single"/>
              </w:rPr>
              <w:t>▲</w:t>
            </w:r>
            <w:r>
              <w:rPr>
                <w:rFonts w:cs="Calibri"/>
                <w:b/>
                <w:bCs/>
                <w:sz w:val="24"/>
                <w:u w:val="single"/>
              </w:rPr>
              <w:t>如有违反以上情形，采购人有权解除合同，并追究供应商的违约责任。</w:t>
            </w:r>
          </w:p>
        </w:tc>
      </w:tr>
      <w:tr w14:paraId="7AF2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Align w:val="center"/>
          </w:tcPr>
          <w:p w14:paraId="144D532F">
            <w:pPr>
              <w:numPr>
                <w:ilvl w:val="0"/>
                <w:numId w:val="2"/>
              </w:numPr>
              <w:adjustRightInd/>
              <w:spacing w:line="360" w:lineRule="auto"/>
              <w:ind w:firstLine="0"/>
              <w:jc w:val="center"/>
              <w:rPr>
                <w:rFonts w:cs="Calibri"/>
                <w:sz w:val="24"/>
              </w:rPr>
            </w:pPr>
          </w:p>
        </w:tc>
        <w:tc>
          <w:tcPr>
            <w:tcW w:w="1450" w:type="dxa"/>
            <w:vAlign w:val="center"/>
          </w:tcPr>
          <w:p w14:paraId="309F966D">
            <w:pPr>
              <w:spacing w:line="360" w:lineRule="auto"/>
              <w:rPr>
                <w:rFonts w:cs="Calibri"/>
                <w:sz w:val="24"/>
              </w:rPr>
            </w:pPr>
            <w:r>
              <w:rPr>
                <w:rFonts w:cs="Calibri"/>
                <w:sz w:val="24"/>
              </w:rPr>
              <w:t>服务期限及地点</w:t>
            </w:r>
          </w:p>
        </w:tc>
        <w:tc>
          <w:tcPr>
            <w:tcW w:w="7302" w:type="dxa"/>
            <w:vAlign w:val="center"/>
          </w:tcPr>
          <w:p w14:paraId="6CB2006F">
            <w:pPr>
              <w:adjustRightInd/>
              <w:spacing w:line="360" w:lineRule="auto"/>
              <w:rPr>
                <w:rFonts w:cs="Calibri" w:eastAsiaTheme="minorEastAsia"/>
                <w:sz w:val="24"/>
              </w:rPr>
            </w:pPr>
            <w:r>
              <w:rPr>
                <w:rFonts w:cs="Calibri"/>
                <w:sz w:val="24"/>
              </w:rPr>
              <w:t>1</w:t>
            </w:r>
            <w:r>
              <w:rPr>
                <w:rFonts w:cs="Calibri"/>
                <w:color w:val="auto"/>
                <w:sz w:val="24"/>
              </w:rPr>
              <w:t>.▲</w:t>
            </w:r>
            <w:r>
              <w:rPr>
                <w:rFonts w:cs="Calibri" w:eastAsiaTheme="minorEastAsia"/>
                <w:b/>
                <w:bCs/>
                <w:color w:val="auto"/>
                <w:sz w:val="24"/>
                <w:u w:val="single"/>
              </w:rPr>
              <w:t>服务期限：</w:t>
            </w:r>
            <w:r>
              <w:rPr>
                <w:rFonts w:hint="eastAsia" w:cs="Calibri" w:eastAsiaTheme="minorEastAsia"/>
                <w:b/>
                <w:bCs/>
                <w:color w:val="auto"/>
                <w:sz w:val="24"/>
                <w:u w:val="single"/>
                <w:lang w:val="en-US" w:eastAsia="zh-CN"/>
              </w:rPr>
              <w:t>二</w:t>
            </w:r>
            <w:r>
              <w:rPr>
                <w:rFonts w:cs="Calibri" w:eastAsiaTheme="minorEastAsia"/>
                <w:b/>
                <w:bCs/>
                <w:color w:val="auto"/>
                <w:sz w:val="24"/>
                <w:u w:val="single"/>
              </w:rPr>
              <w:t>年</w:t>
            </w:r>
            <w:r>
              <w:rPr>
                <w:rFonts w:hint="eastAsia" w:cs="Calibri" w:eastAsiaTheme="minorEastAsia"/>
                <w:b/>
                <w:bCs/>
                <w:color w:val="auto"/>
                <w:sz w:val="24"/>
                <w:u w:val="single"/>
                <w:lang w:eastAsia="zh-CN"/>
              </w:rPr>
              <w:t>，</w:t>
            </w:r>
            <w:r>
              <w:rPr>
                <w:rFonts w:hint="eastAsia" w:cs="Calibri" w:eastAsiaTheme="minorEastAsia"/>
                <w:b/>
                <w:bCs/>
                <w:color w:val="auto"/>
                <w:sz w:val="24"/>
                <w:u w:val="single"/>
                <w:lang w:val="en-US" w:eastAsia="zh-CN"/>
              </w:rPr>
              <w:t>合同一年一签，</w:t>
            </w:r>
            <w:r>
              <w:rPr>
                <w:rFonts w:hint="eastAsia" w:cs="Calibri" w:eastAsiaTheme="minorEastAsia"/>
                <w:b/>
                <w:bCs/>
                <w:color w:val="auto"/>
                <w:sz w:val="24"/>
                <w:u w:val="single"/>
                <w:lang w:eastAsia="zh-CN"/>
              </w:rPr>
              <w:t xml:space="preserve">第二年视上一年的服务情况好评度，由甲方决定是否续签 </w:t>
            </w:r>
            <w:r>
              <w:rPr>
                <w:rFonts w:cs="Calibri" w:eastAsiaTheme="minorEastAsia"/>
                <w:b/>
                <w:bCs/>
                <w:color w:val="auto"/>
                <w:sz w:val="24"/>
                <w:u w:val="single"/>
              </w:rPr>
              <w:t>。</w:t>
            </w:r>
          </w:p>
          <w:p w14:paraId="12844538">
            <w:pPr>
              <w:adjustRightInd/>
              <w:spacing w:line="360" w:lineRule="auto"/>
              <w:rPr>
                <w:rFonts w:cs="Calibri"/>
                <w:sz w:val="24"/>
              </w:rPr>
            </w:pPr>
            <w:r>
              <w:rPr>
                <w:rFonts w:cs="Calibri"/>
                <w:sz w:val="24"/>
              </w:rPr>
              <w:t>2.▲</w:t>
            </w:r>
            <w:r>
              <w:rPr>
                <w:rFonts w:cs="Calibri" w:eastAsiaTheme="minorEastAsia"/>
                <w:b/>
                <w:bCs/>
                <w:sz w:val="24"/>
                <w:u w:val="single"/>
              </w:rPr>
              <w:t>服务地点：采购人指定地点。</w:t>
            </w:r>
          </w:p>
        </w:tc>
      </w:tr>
      <w:tr w14:paraId="6FD0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Align w:val="center"/>
          </w:tcPr>
          <w:p w14:paraId="791D3720">
            <w:pPr>
              <w:numPr>
                <w:ilvl w:val="0"/>
                <w:numId w:val="2"/>
              </w:numPr>
              <w:adjustRightInd/>
              <w:spacing w:line="360" w:lineRule="auto"/>
              <w:ind w:firstLine="0"/>
              <w:jc w:val="center"/>
              <w:rPr>
                <w:rFonts w:cs="Calibri"/>
                <w:sz w:val="24"/>
                <w:highlight w:val="none"/>
              </w:rPr>
            </w:pPr>
          </w:p>
        </w:tc>
        <w:tc>
          <w:tcPr>
            <w:tcW w:w="1450" w:type="dxa"/>
            <w:vAlign w:val="center"/>
          </w:tcPr>
          <w:p w14:paraId="7029B690">
            <w:pPr>
              <w:spacing w:line="360" w:lineRule="auto"/>
              <w:rPr>
                <w:rFonts w:cs="Calibri"/>
                <w:sz w:val="24"/>
                <w:highlight w:val="none"/>
              </w:rPr>
            </w:pPr>
            <w:r>
              <w:rPr>
                <w:rFonts w:cs="Calibri"/>
                <w:sz w:val="24"/>
                <w:highlight w:val="none"/>
              </w:rPr>
              <w:t>付款条件</w:t>
            </w:r>
          </w:p>
        </w:tc>
        <w:tc>
          <w:tcPr>
            <w:tcW w:w="7302" w:type="dxa"/>
            <w:vAlign w:val="center"/>
          </w:tcPr>
          <w:p w14:paraId="336957BB">
            <w:pPr>
              <w:adjustRightInd/>
              <w:spacing w:line="360" w:lineRule="auto"/>
              <w:rPr>
                <w:rFonts w:cs="Calibri"/>
                <w:sz w:val="24"/>
                <w:highlight w:val="none"/>
              </w:rPr>
            </w:pPr>
            <w:r>
              <w:rPr>
                <w:rFonts w:cs="Calibri"/>
                <w:sz w:val="24"/>
                <w:highlight w:val="none"/>
              </w:rPr>
              <w:t>1.</w:t>
            </w:r>
            <w:r>
              <w:rPr>
                <w:rFonts w:hint="eastAsia" w:cs="Calibri"/>
                <w:sz w:val="24"/>
                <w:highlight w:val="none"/>
              </w:rPr>
              <w:t>甲方按月支付给乙方服务费。乙方在每月费用结算前，应提供结算当月人员考勤情况表，对不在位的人员作相应费用扣除。乙方工作人员的工资等由乙方自行根据考核情况进行发放；</w:t>
            </w:r>
          </w:p>
          <w:p w14:paraId="080D288D">
            <w:pPr>
              <w:adjustRightInd/>
              <w:spacing w:line="360" w:lineRule="auto"/>
              <w:rPr>
                <w:rFonts w:cs="Calibri" w:asciiTheme="minorEastAsia" w:hAnsiTheme="minorEastAsia" w:eastAsiaTheme="minorEastAsia"/>
                <w:sz w:val="24"/>
                <w:highlight w:val="none"/>
              </w:rPr>
            </w:pPr>
            <w:r>
              <w:rPr>
                <w:rFonts w:cs="Calibri" w:asciiTheme="minorEastAsia" w:hAnsiTheme="minorEastAsia" w:eastAsiaTheme="minorEastAsia"/>
                <w:sz w:val="24"/>
                <w:highlight w:val="none"/>
              </w:rPr>
              <w:t>说明：</w:t>
            </w:r>
          </w:p>
          <w:p w14:paraId="2996B467">
            <w:pPr>
              <w:adjustRightInd/>
              <w:spacing w:line="360" w:lineRule="auto"/>
              <w:ind w:firstLine="240" w:firstLineChars="100"/>
              <w:rPr>
                <w:rFonts w:cs="Calibri" w:asciiTheme="minorEastAsia" w:hAnsiTheme="minorEastAsia" w:eastAsiaTheme="minorEastAsia"/>
                <w:sz w:val="24"/>
                <w:highlight w:val="none"/>
              </w:rPr>
            </w:pPr>
            <w:r>
              <w:rPr>
                <w:rFonts w:cs="Calibri" w:asciiTheme="minorEastAsia" w:hAnsiTheme="minorEastAsia" w:eastAsiaTheme="minorEastAsia"/>
                <w:sz w:val="24"/>
                <w:highlight w:val="none"/>
              </w:rPr>
              <w:t>（</w:t>
            </w:r>
            <w:r>
              <w:rPr>
                <w:rFonts w:hint="eastAsia" w:cs="Calibri" w:asciiTheme="minorEastAsia" w:hAnsiTheme="minorEastAsia" w:eastAsiaTheme="minorEastAsia"/>
                <w:sz w:val="24"/>
                <w:highlight w:val="none"/>
              </w:rPr>
              <w:t>1</w:t>
            </w:r>
            <w:r>
              <w:rPr>
                <w:rFonts w:cs="Calibri" w:asciiTheme="minorEastAsia" w:hAnsiTheme="minorEastAsia" w:eastAsiaTheme="minorEastAsia"/>
                <w:sz w:val="24"/>
                <w:highlight w:val="none"/>
              </w:rPr>
              <w:t>）采购人根据项目特点、供应商诚信等因素，可以要求供应商提交银行、保险公司等金融机构出具的预付款保函或其他担保措施。</w:t>
            </w:r>
          </w:p>
          <w:p w14:paraId="0610E342">
            <w:pPr>
              <w:adjustRightInd/>
              <w:spacing w:line="360" w:lineRule="auto"/>
              <w:ind w:firstLine="240" w:firstLineChars="100"/>
              <w:rPr>
                <w:rFonts w:eastAsia="楷体" w:cs="Calibri"/>
                <w:sz w:val="24"/>
                <w:highlight w:val="none"/>
              </w:rPr>
            </w:pPr>
            <w:r>
              <w:rPr>
                <w:rFonts w:cs="Calibri" w:asciiTheme="minorEastAsia" w:hAnsiTheme="minorEastAsia" w:eastAsiaTheme="minorEastAsia"/>
                <w:sz w:val="24"/>
                <w:highlight w:val="none"/>
              </w:rPr>
              <w:t>（</w:t>
            </w:r>
            <w:r>
              <w:rPr>
                <w:rFonts w:hint="eastAsia" w:cs="Calibri" w:asciiTheme="minorEastAsia" w:hAnsiTheme="minorEastAsia" w:eastAsiaTheme="minorEastAsia"/>
                <w:sz w:val="24"/>
                <w:highlight w:val="none"/>
              </w:rPr>
              <w:t>2</w:t>
            </w:r>
            <w:r>
              <w:rPr>
                <w:rFonts w:cs="Calibri" w:asciiTheme="minorEastAsia" w:hAnsiTheme="minorEastAsia" w:eastAsiaTheme="minorEastAsia"/>
                <w:sz w:val="24"/>
                <w:highlight w:val="none"/>
              </w:rPr>
              <w:t>）满足支付条件后，供应商需提供与每笔合同价款同等金额的正规票据（发票或收据，应符合采购人财务管理要求））给采购人，采购人收到正规票据后5个工作日内支付至供应商账户。</w:t>
            </w:r>
          </w:p>
        </w:tc>
      </w:tr>
      <w:tr w14:paraId="6394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Align w:val="center"/>
          </w:tcPr>
          <w:p w14:paraId="14FBBFCC">
            <w:pPr>
              <w:numPr>
                <w:ilvl w:val="0"/>
                <w:numId w:val="2"/>
              </w:numPr>
              <w:adjustRightInd/>
              <w:spacing w:line="360" w:lineRule="auto"/>
              <w:ind w:firstLine="0"/>
              <w:jc w:val="center"/>
              <w:rPr>
                <w:rFonts w:cs="Calibri"/>
                <w:sz w:val="24"/>
                <w:highlight w:val="none"/>
              </w:rPr>
            </w:pPr>
          </w:p>
        </w:tc>
        <w:tc>
          <w:tcPr>
            <w:tcW w:w="1450" w:type="dxa"/>
            <w:vAlign w:val="center"/>
          </w:tcPr>
          <w:p w14:paraId="212C9495">
            <w:pPr>
              <w:spacing w:line="360" w:lineRule="auto"/>
              <w:rPr>
                <w:rFonts w:cs="Calibri"/>
                <w:sz w:val="24"/>
                <w:highlight w:val="none"/>
              </w:rPr>
            </w:pPr>
            <w:r>
              <w:rPr>
                <w:rFonts w:cs="Calibri"/>
                <w:sz w:val="24"/>
                <w:highlight w:val="none"/>
              </w:rPr>
              <w:t>履约保证金</w:t>
            </w:r>
          </w:p>
        </w:tc>
        <w:tc>
          <w:tcPr>
            <w:tcW w:w="7302" w:type="dxa"/>
            <w:vAlign w:val="center"/>
          </w:tcPr>
          <w:p w14:paraId="05D13C4F">
            <w:pPr>
              <w:adjustRightInd/>
              <w:spacing w:line="360" w:lineRule="auto"/>
              <w:rPr>
                <w:rFonts w:cs="Calibri"/>
                <w:sz w:val="24"/>
                <w:highlight w:val="none"/>
              </w:rPr>
            </w:pPr>
            <w:r>
              <w:rPr>
                <w:rFonts w:cs="Calibri"/>
                <w:sz w:val="24"/>
                <w:highlight w:val="none"/>
              </w:rPr>
              <w:t>1.</w:t>
            </w:r>
            <w:r>
              <w:rPr>
                <w:rFonts w:hint="eastAsia" w:cs="Calibri"/>
                <w:sz w:val="24"/>
                <w:highlight w:val="none"/>
              </w:rPr>
              <w:t>中标人</w:t>
            </w:r>
            <w:r>
              <w:rPr>
                <w:rFonts w:cs="Calibri"/>
                <w:sz w:val="24"/>
                <w:highlight w:val="none"/>
              </w:rPr>
              <w:t>应在合同签订后10个工作日内向</w:t>
            </w:r>
            <w:r>
              <w:rPr>
                <w:rFonts w:hint="eastAsia" w:cs="Calibri"/>
                <w:sz w:val="24"/>
                <w:highlight w:val="none"/>
              </w:rPr>
              <w:t>采购人</w:t>
            </w:r>
            <w:r>
              <w:rPr>
                <w:rFonts w:cs="Calibri"/>
                <w:sz w:val="24"/>
                <w:highlight w:val="none"/>
              </w:rPr>
              <w:t>提交履约保证金为【合同金额的1%】元。</w:t>
            </w:r>
          </w:p>
          <w:p w14:paraId="3205D18D">
            <w:pPr>
              <w:adjustRightInd/>
              <w:spacing w:line="360" w:lineRule="auto"/>
              <w:rPr>
                <w:rFonts w:cs="Calibri"/>
                <w:sz w:val="24"/>
                <w:highlight w:val="none"/>
              </w:rPr>
            </w:pPr>
            <w:r>
              <w:rPr>
                <w:rFonts w:cs="Calibri"/>
                <w:sz w:val="24"/>
                <w:highlight w:val="none"/>
              </w:rPr>
              <w:t>2.履约保证金应使用本合同货币，按下述方式中【</w:t>
            </w:r>
            <w:r>
              <w:rPr>
                <w:rFonts w:hint="eastAsia" w:cs="Calibri"/>
                <w:sz w:val="24"/>
                <w:highlight w:val="none"/>
              </w:rPr>
              <w:t xml:space="preserve"> A </w:t>
            </w:r>
            <w:r>
              <w:rPr>
                <w:rFonts w:cs="Calibri"/>
                <w:sz w:val="24"/>
                <w:highlight w:val="none"/>
              </w:rPr>
              <w:t>】形式提交：</w:t>
            </w:r>
          </w:p>
          <w:p w14:paraId="01175424">
            <w:pPr>
              <w:adjustRightInd/>
              <w:spacing w:line="360" w:lineRule="auto"/>
              <w:rPr>
                <w:rFonts w:cs="Calibri"/>
                <w:sz w:val="24"/>
                <w:highlight w:val="none"/>
              </w:rPr>
            </w:pPr>
            <w:r>
              <w:rPr>
                <w:rFonts w:cs="Calibri"/>
                <w:sz w:val="24"/>
                <w:highlight w:val="none"/>
              </w:rPr>
              <w:t>A.在中华人民共和国注册和营业的银行出具的保函，或保险公司出具的保函。B.支票。C.汇票。D.其他非现金形式。</w:t>
            </w:r>
          </w:p>
          <w:p w14:paraId="35D57DA8">
            <w:pPr>
              <w:adjustRightInd/>
              <w:spacing w:line="360" w:lineRule="auto"/>
              <w:rPr>
                <w:rFonts w:cs="Calibri"/>
                <w:sz w:val="24"/>
                <w:highlight w:val="none"/>
              </w:rPr>
            </w:pPr>
            <w:r>
              <w:rPr>
                <w:rFonts w:cs="Calibri"/>
                <w:sz w:val="24"/>
                <w:highlight w:val="none"/>
              </w:rPr>
              <w:t>3.履约保证金有效期限：合同签订之日起至项目通过采购人验收后结束。</w:t>
            </w:r>
          </w:p>
          <w:p w14:paraId="6C963421">
            <w:pPr>
              <w:adjustRightInd/>
              <w:spacing w:line="360" w:lineRule="auto"/>
              <w:rPr>
                <w:rFonts w:cs="Calibri"/>
                <w:sz w:val="24"/>
                <w:highlight w:val="none"/>
              </w:rPr>
            </w:pPr>
            <w:r>
              <w:rPr>
                <w:rFonts w:cs="Calibri"/>
                <w:sz w:val="24"/>
                <w:highlight w:val="none"/>
              </w:rPr>
              <w:t>4.履约保证金退还：</w:t>
            </w:r>
            <w:r>
              <w:rPr>
                <w:rFonts w:hint="eastAsia" w:cs="Arial" w:asciiTheme="minorEastAsia" w:hAnsiTheme="minorEastAsia" w:eastAsiaTheme="minorEastAsia"/>
                <w:snapToGrid w:val="0"/>
                <w:kern w:val="0"/>
                <w:sz w:val="24"/>
                <w:highlight w:val="none"/>
              </w:rPr>
              <w:t>项目通过验收之日起15个工作日内将履约保证金无息退还</w:t>
            </w:r>
            <w:r>
              <w:rPr>
                <w:rFonts w:cs="Calibri"/>
                <w:sz w:val="24"/>
                <w:highlight w:val="none"/>
              </w:rPr>
              <w:t>。</w:t>
            </w:r>
          </w:p>
        </w:tc>
      </w:tr>
    </w:tbl>
    <w:p w14:paraId="5043277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6" w:name="_Toc184313252"/>
      <w:bookmarkEnd w:id="56"/>
      <w:bookmarkStart w:id="57" w:name="_Toc184310314"/>
      <w:bookmarkEnd w:id="57"/>
      <w:bookmarkStart w:id="58" w:name="_Toc184308049"/>
      <w:bookmarkEnd w:id="58"/>
      <w:bookmarkStart w:id="59" w:name="_Toc184314449"/>
      <w:bookmarkEnd w:id="59"/>
      <w:bookmarkStart w:id="60" w:name="_Toc184310279"/>
      <w:bookmarkEnd w:id="60"/>
      <w:bookmarkStart w:id="61" w:name="_Toc184314410"/>
      <w:bookmarkEnd w:id="61"/>
      <w:bookmarkStart w:id="62" w:name="_Toc184313308"/>
      <w:bookmarkEnd w:id="62"/>
      <w:bookmarkStart w:id="63" w:name="_Toc184312117"/>
      <w:bookmarkEnd w:id="63"/>
      <w:bookmarkStart w:id="64" w:name="_Toc184312100"/>
      <w:bookmarkEnd w:id="64"/>
      <w:bookmarkStart w:id="65" w:name="_Toc184314466"/>
      <w:bookmarkEnd w:id="65"/>
      <w:bookmarkStart w:id="66" w:name="_Toc184308062"/>
      <w:bookmarkEnd w:id="66"/>
      <w:bookmarkStart w:id="67" w:name="_Toc184308089"/>
      <w:bookmarkEnd w:id="67"/>
      <w:bookmarkStart w:id="68" w:name="_Toc184314477"/>
      <w:bookmarkEnd w:id="68"/>
      <w:bookmarkStart w:id="69" w:name="_Toc184313277"/>
      <w:bookmarkEnd w:id="69"/>
      <w:bookmarkStart w:id="70" w:name="_Toc184314448"/>
      <w:bookmarkEnd w:id="70"/>
      <w:bookmarkStart w:id="71" w:name="_Toc184312071"/>
      <w:bookmarkEnd w:id="71"/>
      <w:bookmarkStart w:id="72" w:name="_Toc184308105"/>
      <w:bookmarkEnd w:id="72"/>
      <w:bookmarkStart w:id="73" w:name="_Toc184310316"/>
      <w:bookmarkEnd w:id="73"/>
      <w:bookmarkStart w:id="74" w:name="_Toc184310280"/>
      <w:bookmarkEnd w:id="74"/>
      <w:bookmarkStart w:id="75" w:name="_Toc184313247"/>
      <w:bookmarkEnd w:id="75"/>
      <w:bookmarkStart w:id="76" w:name="_Toc184310342"/>
      <w:bookmarkEnd w:id="76"/>
      <w:bookmarkStart w:id="77" w:name="_Toc184313282"/>
      <w:bookmarkEnd w:id="77"/>
      <w:bookmarkStart w:id="78" w:name="_Toc184314441"/>
      <w:bookmarkEnd w:id="78"/>
      <w:bookmarkStart w:id="79" w:name="_Toc184314431"/>
      <w:bookmarkEnd w:id="79"/>
      <w:bookmarkStart w:id="80" w:name="_Toc184310317"/>
      <w:bookmarkEnd w:id="80"/>
      <w:bookmarkStart w:id="81" w:name="_Toc184308047"/>
      <w:bookmarkEnd w:id="81"/>
      <w:bookmarkStart w:id="82" w:name="_Toc184310297"/>
      <w:bookmarkEnd w:id="82"/>
      <w:bookmarkStart w:id="83" w:name="_Toc184308065"/>
      <w:bookmarkEnd w:id="83"/>
      <w:bookmarkStart w:id="84" w:name="_Toc184308051"/>
      <w:bookmarkEnd w:id="84"/>
      <w:bookmarkStart w:id="85" w:name="_Toc184314414"/>
      <w:bookmarkEnd w:id="85"/>
      <w:bookmarkStart w:id="86" w:name="_Toc184308052"/>
      <w:bookmarkEnd w:id="86"/>
      <w:bookmarkStart w:id="87" w:name="_Toc184310338"/>
      <w:bookmarkEnd w:id="87"/>
      <w:bookmarkStart w:id="88" w:name="_Toc184312128"/>
      <w:bookmarkEnd w:id="88"/>
      <w:bookmarkStart w:id="89" w:name="_Toc184314418"/>
      <w:bookmarkEnd w:id="89"/>
      <w:bookmarkStart w:id="90" w:name="_Toc184313258"/>
      <w:bookmarkEnd w:id="90"/>
      <w:bookmarkStart w:id="91" w:name="_Toc184313298"/>
      <w:bookmarkEnd w:id="91"/>
      <w:bookmarkStart w:id="92" w:name="_Toc184308056"/>
      <w:bookmarkEnd w:id="92"/>
      <w:bookmarkStart w:id="93" w:name="_Toc184310327"/>
      <w:bookmarkEnd w:id="93"/>
      <w:bookmarkStart w:id="94" w:name="_Toc184312124"/>
      <w:bookmarkEnd w:id="94"/>
      <w:bookmarkStart w:id="95" w:name="_Toc184312079"/>
      <w:bookmarkEnd w:id="95"/>
      <w:bookmarkStart w:id="96" w:name="_Toc184312110"/>
      <w:bookmarkEnd w:id="96"/>
      <w:bookmarkStart w:id="97" w:name="_Toc184310340"/>
      <w:bookmarkEnd w:id="97"/>
      <w:bookmarkStart w:id="98" w:name="_Toc184314433"/>
      <w:bookmarkEnd w:id="98"/>
      <w:bookmarkStart w:id="99" w:name="_Toc184313289"/>
      <w:bookmarkEnd w:id="99"/>
      <w:bookmarkStart w:id="100" w:name="_Toc184310318"/>
      <w:bookmarkEnd w:id="100"/>
      <w:bookmarkStart w:id="101" w:name="_Toc184314455"/>
      <w:bookmarkEnd w:id="101"/>
      <w:bookmarkStart w:id="102" w:name="_Toc184313284"/>
      <w:bookmarkEnd w:id="102"/>
      <w:bookmarkStart w:id="103" w:name="_Toc184314438"/>
      <w:bookmarkEnd w:id="103"/>
      <w:bookmarkStart w:id="104" w:name="_Toc184310286"/>
      <w:bookmarkEnd w:id="104"/>
      <w:bookmarkStart w:id="105" w:name="_Toc184310304"/>
      <w:bookmarkEnd w:id="105"/>
      <w:bookmarkStart w:id="106" w:name="_Toc184310315"/>
      <w:bookmarkEnd w:id="106"/>
      <w:bookmarkStart w:id="107" w:name="_Toc184308079"/>
      <w:bookmarkEnd w:id="107"/>
      <w:bookmarkStart w:id="108" w:name="_Toc184314464"/>
      <w:bookmarkEnd w:id="108"/>
      <w:bookmarkStart w:id="109" w:name="_Toc184312068"/>
      <w:bookmarkEnd w:id="109"/>
      <w:bookmarkStart w:id="110" w:name="_Toc184312102"/>
      <w:bookmarkEnd w:id="110"/>
      <w:bookmarkStart w:id="111" w:name="_Toc184310319"/>
      <w:bookmarkEnd w:id="111"/>
      <w:bookmarkStart w:id="112" w:name="_Toc184312075"/>
      <w:bookmarkEnd w:id="112"/>
      <w:bookmarkStart w:id="113" w:name="_Toc184308076"/>
      <w:bookmarkEnd w:id="113"/>
      <w:bookmarkStart w:id="114" w:name="_Toc184310303"/>
      <w:bookmarkEnd w:id="114"/>
      <w:bookmarkStart w:id="115" w:name="_Toc184308091"/>
      <w:bookmarkEnd w:id="115"/>
      <w:bookmarkStart w:id="116" w:name="_Toc184308043"/>
      <w:bookmarkEnd w:id="116"/>
      <w:bookmarkStart w:id="117" w:name="_Toc184313254"/>
      <w:bookmarkEnd w:id="117"/>
      <w:bookmarkStart w:id="118" w:name="_Toc184314417"/>
      <w:bookmarkEnd w:id="118"/>
      <w:bookmarkStart w:id="119" w:name="_Toc184312103"/>
      <w:bookmarkEnd w:id="119"/>
      <w:bookmarkStart w:id="120" w:name="_Toc184314453"/>
      <w:bookmarkEnd w:id="120"/>
      <w:bookmarkStart w:id="121" w:name="_Toc184313269"/>
      <w:bookmarkEnd w:id="121"/>
      <w:bookmarkStart w:id="122" w:name="_Toc184313274"/>
      <w:bookmarkEnd w:id="122"/>
      <w:bookmarkStart w:id="123" w:name="_Toc184313265"/>
      <w:bookmarkEnd w:id="123"/>
      <w:bookmarkStart w:id="124" w:name="_Toc184314479"/>
      <w:bookmarkEnd w:id="124"/>
      <w:bookmarkStart w:id="125" w:name="_Toc184310278"/>
      <w:bookmarkEnd w:id="125"/>
      <w:bookmarkStart w:id="126" w:name="_Toc184312114"/>
      <w:bookmarkEnd w:id="126"/>
      <w:bookmarkStart w:id="127" w:name="_Toc184308104"/>
      <w:bookmarkEnd w:id="127"/>
      <w:bookmarkStart w:id="128" w:name="_Toc184313245"/>
      <w:bookmarkEnd w:id="128"/>
      <w:bookmarkStart w:id="129" w:name="_Toc184312137"/>
      <w:bookmarkEnd w:id="129"/>
      <w:bookmarkStart w:id="130" w:name="_Toc184313278"/>
      <w:bookmarkEnd w:id="130"/>
      <w:bookmarkStart w:id="131" w:name="_Toc184312106"/>
      <w:bookmarkEnd w:id="131"/>
      <w:bookmarkStart w:id="132" w:name="_Toc184314480"/>
      <w:bookmarkEnd w:id="132"/>
      <w:bookmarkStart w:id="133" w:name="_Toc184308046"/>
      <w:bookmarkEnd w:id="133"/>
      <w:bookmarkStart w:id="134" w:name="_Toc184310324"/>
      <w:bookmarkEnd w:id="134"/>
      <w:bookmarkStart w:id="135" w:name="_Toc184312088"/>
      <w:bookmarkEnd w:id="135"/>
      <w:bookmarkStart w:id="136" w:name="_Toc184310331"/>
      <w:bookmarkEnd w:id="136"/>
      <w:bookmarkStart w:id="137" w:name="_Toc184312109"/>
      <w:bookmarkEnd w:id="137"/>
      <w:bookmarkStart w:id="138" w:name="_Toc184312130"/>
      <w:bookmarkEnd w:id="138"/>
      <w:bookmarkStart w:id="139" w:name="_Toc184313293"/>
      <w:bookmarkEnd w:id="139"/>
      <w:bookmarkStart w:id="140" w:name="_Toc184308064"/>
      <w:bookmarkEnd w:id="140"/>
      <w:bookmarkStart w:id="141" w:name="_Toc184310337"/>
      <w:bookmarkEnd w:id="141"/>
      <w:bookmarkStart w:id="142" w:name="_Toc184312069"/>
      <w:bookmarkEnd w:id="142"/>
      <w:bookmarkStart w:id="143" w:name="_Toc184310344"/>
      <w:bookmarkEnd w:id="143"/>
      <w:bookmarkStart w:id="144" w:name="_Toc184310272"/>
      <w:bookmarkEnd w:id="144"/>
      <w:bookmarkStart w:id="145" w:name="_Toc184314473"/>
      <w:bookmarkEnd w:id="145"/>
      <w:bookmarkStart w:id="146" w:name="_Toc184312101"/>
      <w:bookmarkEnd w:id="146"/>
      <w:bookmarkStart w:id="147" w:name="_Toc184308074"/>
      <w:bookmarkEnd w:id="147"/>
      <w:bookmarkStart w:id="148" w:name="_Toc184308068"/>
      <w:bookmarkEnd w:id="148"/>
      <w:bookmarkStart w:id="149" w:name="_Toc184308078"/>
      <w:bookmarkEnd w:id="149"/>
      <w:bookmarkStart w:id="150" w:name="_Toc184313271"/>
      <w:bookmarkEnd w:id="150"/>
      <w:bookmarkStart w:id="151" w:name="_Toc184314436"/>
      <w:bookmarkEnd w:id="151"/>
      <w:bookmarkStart w:id="152" w:name="_Toc184314469"/>
      <w:bookmarkEnd w:id="152"/>
      <w:bookmarkStart w:id="153" w:name="_Toc184314427"/>
      <w:bookmarkEnd w:id="153"/>
      <w:bookmarkStart w:id="154" w:name="_Toc184308041"/>
      <w:bookmarkEnd w:id="154"/>
      <w:bookmarkStart w:id="155" w:name="_Toc184312134"/>
      <w:bookmarkEnd w:id="155"/>
      <w:bookmarkStart w:id="156" w:name="_Toc184308108"/>
      <w:bookmarkEnd w:id="156"/>
      <w:bookmarkStart w:id="157" w:name="_Toc184313251"/>
      <w:bookmarkEnd w:id="157"/>
      <w:bookmarkStart w:id="158" w:name="_Toc184310341"/>
      <w:bookmarkEnd w:id="158"/>
      <w:bookmarkStart w:id="159" w:name="_Toc184313310"/>
      <w:bookmarkEnd w:id="159"/>
      <w:bookmarkStart w:id="160" w:name="_Toc184310292"/>
      <w:bookmarkEnd w:id="160"/>
      <w:bookmarkStart w:id="161" w:name="_Toc184310329"/>
      <w:bookmarkEnd w:id="161"/>
      <w:bookmarkStart w:id="162" w:name="_Toc184314452"/>
      <w:bookmarkEnd w:id="162"/>
      <w:bookmarkStart w:id="163" w:name="_Toc184313287"/>
      <w:bookmarkEnd w:id="163"/>
      <w:bookmarkStart w:id="164" w:name="_Toc184314428"/>
      <w:bookmarkEnd w:id="164"/>
      <w:bookmarkStart w:id="165" w:name="_Toc184314471"/>
      <w:bookmarkEnd w:id="165"/>
      <w:bookmarkStart w:id="166" w:name="_Toc184312131"/>
      <w:bookmarkEnd w:id="166"/>
      <w:bookmarkStart w:id="167" w:name="_Toc184308042"/>
      <w:bookmarkEnd w:id="167"/>
      <w:bookmarkStart w:id="168" w:name="_Toc184310310"/>
      <w:bookmarkEnd w:id="168"/>
      <w:bookmarkStart w:id="169" w:name="_Toc184314475"/>
      <w:bookmarkEnd w:id="169"/>
      <w:bookmarkStart w:id="170" w:name="_Toc184308048"/>
      <w:bookmarkEnd w:id="170"/>
      <w:bookmarkStart w:id="171" w:name="_Toc184314426"/>
      <w:bookmarkEnd w:id="171"/>
      <w:bookmarkStart w:id="172" w:name="_Toc184310323"/>
      <w:bookmarkEnd w:id="172"/>
      <w:bookmarkStart w:id="173" w:name="_Toc184310293"/>
      <w:bookmarkEnd w:id="173"/>
      <w:bookmarkStart w:id="174" w:name="_Toc184312087"/>
      <w:bookmarkEnd w:id="174"/>
      <w:bookmarkStart w:id="175" w:name="_Toc184314470"/>
      <w:bookmarkEnd w:id="175"/>
      <w:bookmarkStart w:id="176" w:name="_Toc184310311"/>
      <w:bookmarkEnd w:id="176"/>
      <w:bookmarkStart w:id="177" w:name="_Toc184308058"/>
      <w:bookmarkEnd w:id="177"/>
      <w:bookmarkStart w:id="178" w:name="_Toc184308101"/>
      <w:bookmarkEnd w:id="178"/>
      <w:bookmarkStart w:id="179" w:name="_Toc184308099"/>
      <w:bookmarkEnd w:id="179"/>
      <w:bookmarkStart w:id="180" w:name="_Toc184312136"/>
      <w:bookmarkEnd w:id="180"/>
      <w:bookmarkStart w:id="181" w:name="_Toc184312122"/>
      <w:bookmarkEnd w:id="181"/>
      <w:bookmarkStart w:id="182" w:name="_Toc184313294"/>
      <w:bookmarkEnd w:id="182"/>
      <w:bookmarkStart w:id="183" w:name="_Toc184308103"/>
      <w:bookmarkEnd w:id="183"/>
      <w:bookmarkStart w:id="184" w:name="_Toc184308088"/>
      <w:bookmarkEnd w:id="184"/>
      <w:bookmarkStart w:id="185" w:name="_Toc184308055"/>
      <w:bookmarkEnd w:id="185"/>
      <w:bookmarkStart w:id="186" w:name="_Toc184314460"/>
      <w:bookmarkEnd w:id="186"/>
      <w:bookmarkStart w:id="187" w:name="_Toc184314412"/>
      <w:bookmarkEnd w:id="187"/>
      <w:bookmarkStart w:id="188" w:name="_Toc184308070"/>
      <w:bookmarkEnd w:id="188"/>
      <w:bookmarkStart w:id="189" w:name="_Toc184314444"/>
      <w:bookmarkEnd w:id="189"/>
      <w:bookmarkStart w:id="190" w:name="_Toc184310283"/>
      <w:bookmarkEnd w:id="190"/>
      <w:bookmarkStart w:id="191" w:name="_Toc184312118"/>
      <w:bookmarkEnd w:id="191"/>
      <w:bookmarkStart w:id="192" w:name="_Toc184314423"/>
      <w:bookmarkEnd w:id="192"/>
      <w:bookmarkStart w:id="193" w:name="_Toc184312120"/>
      <w:bookmarkEnd w:id="193"/>
      <w:bookmarkStart w:id="194" w:name="_Toc184313301"/>
      <w:bookmarkEnd w:id="194"/>
      <w:bookmarkStart w:id="195" w:name="_Toc184314442"/>
      <w:bookmarkEnd w:id="195"/>
      <w:bookmarkStart w:id="196" w:name="_Toc184313260"/>
      <w:bookmarkEnd w:id="196"/>
      <w:bookmarkStart w:id="197" w:name="_Toc184308059"/>
      <w:bookmarkEnd w:id="197"/>
      <w:bookmarkStart w:id="198" w:name="_Toc184312119"/>
      <w:bookmarkEnd w:id="198"/>
      <w:bookmarkStart w:id="199" w:name="_Toc184313261"/>
      <w:bookmarkEnd w:id="199"/>
      <w:bookmarkStart w:id="200" w:name="_Toc184314457"/>
      <w:bookmarkEnd w:id="200"/>
      <w:bookmarkStart w:id="201" w:name="_Toc184310335"/>
      <w:bookmarkEnd w:id="201"/>
      <w:bookmarkStart w:id="202" w:name="_Toc184314458"/>
      <w:bookmarkEnd w:id="202"/>
      <w:bookmarkStart w:id="203" w:name="_Toc184313263"/>
      <w:bookmarkEnd w:id="203"/>
      <w:bookmarkStart w:id="204" w:name="_Toc184310295"/>
      <w:bookmarkEnd w:id="204"/>
      <w:bookmarkStart w:id="205" w:name="_Toc184312127"/>
      <w:bookmarkEnd w:id="205"/>
      <w:bookmarkStart w:id="206" w:name="_Toc184310273"/>
      <w:bookmarkEnd w:id="206"/>
      <w:bookmarkStart w:id="207" w:name="_Toc184310285"/>
      <w:bookmarkEnd w:id="207"/>
      <w:bookmarkStart w:id="208" w:name="_Toc184308036"/>
      <w:bookmarkEnd w:id="208"/>
      <w:bookmarkStart w:id="209" w:name="_Toc184314411"/>
      <w:bookmarkEnd w:id="209"/>
      <w:bookmarkStart w:id="210" w:name="_Toc184314430"/>
      <w:bookmarkEnd w:id="210"/>
      <w:bookmarkStart w:id="211" w:name="_Toc184308073"/>
      <w:bookmarkEnd w:id="211"/>
      <w:bookmarkStart w:id="212" w:name="_Toc184312098"/>
      <w:bookmarkEnd w:id="212"/>
      <w:bookmarkStart w:id="213" w:name="_Toc184314468"/>
      <w:bookmarkEnd w:id="213"/>
      <w:bookmarkStart w:id="214" w:name="_Toc184313246"/>
      <w:bookmarkEnd w:id="214"/>
      <w:bookmarkStart w:id="215" w:name="_Toc184310290"/>
      <w:bookmarkEnd w:id="215"/>
      <w:bookmarkStart w:id="216" w:name="_Toc184312108"/>
      <w:bookmarkEnd w:id="216"/>
      <w:bookmarkStart w:id="217" w:name="_Toc184314443"/>
      <w:bookmarkEnd w:id="217"/>
      <w:bookmarkStart w:id="218" w:name="_Toc184308071"/>
      <w:bookmarkEnd w:id="218"/>
      <w:bookmarkStart w:id="219" w:name="_Toc184313257"/>
      <w:bookmarkEnd w:id="219"/>
      <w:bookmarkStart w:id="220" w:name="_Toc184314454"/>
      <w:bookmarkEnd w:id="220"/>
      <w:bookmarkStart w:id="221" w:name="_Toc184313291"/>
      <w:bookmarkEnd w:id="221"/>
      <w:bookmarkStart w:id="222" w:name="_Toc184312099"/>
      <w:bookmarkEnd w:id="222"/>
      <w:bookmarkStart w:id="223" w:name="_Toc184312077"/>
      <w:bookmarkEnd w:id="223"/>
      <w:bookmarkStart w:id="224" w:name="_Toc184310332"/>
      <w:bookmarkEnd w:id="224"/>
      <w:bookmarkStart w:id="225" w:name="_Toc184312094"/>
      <w:bookmarkEnd w:id="225"/>
      <w:bookmarkStart w:id="226" w:name="_Toc184310321"/>
      <w:bookmarkEnd w:id="226"/>
      <w:bookmarkStart w:id="227" w:name="_Toc184313275"/>
      <w:bookmarkEnd w:id="227"/>
      <w:bookmarkStart w:id="228" w:name="_Toc184313302"/>
      <w:bookmarkEnd w:id="228"/>
      <w:bookmarkStart w:id="229" w:name="_Toc184314439"/>
      <w:bookmarkEnd w:id="229"/>
      <w:bookmarkStart w:id="230" w:name="_Toc184308092"/>
      <w:bookmarkEnd w:id="230"/>
      <w:bookmarkStart w:id="231" w:name="_Toc184312123"/>
      <w:bookmarkEnd w:id="231"/>
      <w:bookmarkStart w:id="232" w:name="_Toc184308096"/>
      <w:bookmarkEnd w:id="232"/>
      <w:bookmarkStart w:id="233" w:name="_Toc184314419"/>
      <w:bookmarkEnd w:id="233"/>
      <w:bookmarkStart w:id="234" w:name="_Toc184312096"/>
      <w:bookmarkEnd w:id="234"/>
      <w:bookmarkStart w:id="235" w:name="_Toc184310312"/>
      <w:bookmarkEnd w:id="235"/>
      <w:bookmarkStart w:id="236" w:name="_Toc184310309"/>
      <w:bookmarkEnd w:id="236"/>
      <w:bookmarkStart w:id="237" w:name="_Toc184312138"/>
      <w:bookmarkEnd w:id="237"/>
      <w:bookmarkStart w:id="238" w:name="_Toc184314425"/>
      <w:bookmarkEnd w:id="238"/>
      <w:bookmarkStart w:id="239" w:name="_Toc184308097"/>
      <w:bookmarkEnd w:id="239"/>
      <w:bookmarkStart w:id="240" w:name="_Toc184308082"/>
      <w:bookmarkEnd w:id="240"/>
      <w:bookmarkStart w:id="241" w:name="_Toc184314463"/>
      <w:bookmarkEnd w:id="241"/>
      <w:bookmarkStart w:id="242" w:name="_Toc184308086"/>
      <w:bookmarkEnd w:id="242"/>
      <w:bookmarkStart w:id="243" w:name="_Toc184313295"/>
      <w:bookmarkEnd w:id="243"/>
      <w:bookmarkStart w:id="244" w:name="_Toc184313288"/>
      <w:bookmarkEnd w:id="244"/>
      <w:bookmarkStart w:id="245" w:name="_Toc184313244"/>
      <w:bookmarkEnd w:id="245"/>
      <w:bookmarkStart w:id="246" w:name="_Toc184310288"/>
      <w:bookmarkEnd w:id="246"/>
      <w:bookmarkStart w:id="247" w:name="_Toc184312112"/>
      <w:bookmarkEnd w:id="247"/>
      <w:bookmarkStart w:id="248" w:name="_Toc184312086"/>
      <w:bookmarkEnd w:id="248"/>
      <w:bookmarkStart w:id="249" w:name="_Toc184314476"/>
      <w:bookmarkEnd w:id="249"/>
      <w:bookmarkStart w:id="250" w:name="_Toc184310277"/>
      <w:bookmarkEnd w:id="250"/>
      <w:bookmarkStart w:id="251" w:name="_Toc184313239"/>
      <w:bookmarkEnd w:id="251"/>
      <w:bookmarkStart w:id="252" w:name="_Toc184308085"/>
      <w:bookmarkEnd w:id="252"/>
      <w:bookmarkStart w:id="253" w:name="_Toc184312072"/>
      <w:bookmarkEnd w:id="253"/>
      <w:bookmarkStart w:id="254" w:name="_Toc184310294"/>
      <w:bookmarkEnd w:id="254"/>
      <w:bookmarkStart w:id="255" w:name="_Toc184313290"/>
      <w:bookmarkEnd w:id="255"/>
      <w:bookmarkStart w:id="256" w:name="_Toc184312107"/>
      <w:bookmarkEnd w:id="256"/>
      <w:bookmarkStart w:id="257" w:name="_Toc184312105"/>
      <w:bookmarkEnd w:id="257"/>
      <w:bookmarkStart w:id="258" w:name="_Toc184313300"/>
      <w:bookmarkEnd w:id="258"/>
      <w:bookmarkStart w:id="259" w:name="_Toc184312070"/>
      <w:bookmarkEnd w:id="259"/>
      <w:bookmarkStart w:id="260" w:name="_Toc184314420"/>
      <w:bookmarkEnd w:id="260"/>
      <w:bookmarkStart w:id="261" w:name="_Toc184308102"/>
      <w:bookmarkEnd w:id="261"/>
      <w:bookmarkStart w:id="262" w:name="_Toc184310300"/>
      <w:bookmarkEnd w:id="262"/>
      <w:bookmarkStart w:id="263" w:name="_Toc184314429"/>
      <w:bookmarkEnd w:id="263"/>
      <w:bookmarkStart w:id="264" w:name="_Toc184308054"/>
      <w:bookmarkEnd w:id="264"/>
      <w:bookmarkStart w:id="265" w:name="_Toc184310322"/>
      <w:bookmarkEnd w:id="265"/>
      <w:bookmarkStart w:id="266" w:name="_Toc184310301"/>
      <w:bookmarkEnd w:id="266"/>
      <w:bookmarkStart w:id="267" w:name="_Toc184313242"/>
      <w:bookmarkEnd w:id="267"/>
      <w:bookmarkStart w:id="268" w:name="_Toc184310284"/>
      <w:bookmarkEnd w:id="268"/>
      <w:bookmarkStart w:id="269" w:name="_Toc184313266"/>
      <w:bookmarkEnd w:id="269"/>
      <w:bookmarkStart w:id="270" w:name="_Toc184310313"/>
      <w:bookmarkEnd w:id="270"/>
      <w:bookmarkStart w:id="271" w:name="_Toc184312104"/>
      <w:bookmarkEnd w:id="271"/>
      <w:bookmarkStart w:id="272" w:name="_Toc184308077"/>
      <w:bookmarkEnd w:id="272"/>
      <w:bookmarkStart w:id="273" w:name="_Toc184310276"/>
      <w:bookmarkEnd w:id="273"/>
      <w:bookmarkStart w:id="274" w:name="_Toc184312067"/>
      <w:bookmarkEnd w:id="274"/>
      <w:bookmarkStart w:id="275" w:name="_Toc184308069"/>
      <w:bookmarkEnd w:id="275"/>
      <w:bookmarkStart w:id="276" w:name="_Toc184313248"/>
      <w:bookmarkEnd w:id="276"/>
      <w:bookmarkStart w:id="277" w:name="_Toc184314456"/>
      <w:bookmarkEnd w:id="277"/>
      <w:bookmarkStart w:id="278" w:name="_Toc184313296"/>
      <w:bookmarkEnd w:id="278"/>
      <w:bookmarkStart w:id="279" w:name="_Toc184314467"/>
      <w:bookmarkEnd w:id="279"/>
      <w:bookmarkStart w:id="280" w:name="_Toc184312125"/>
      <w:bookmarkEnd w:id="280"/>
      <w:bookmarkStart w:id="281" w:name="_Toc184313306"/>
      <w:bookmarkEnd w:id="281"/>
      <w:bookmarkStart w:id="282" w:name="_Toc184308057"/>
      <w:bookmarkEnd w:id="282"/>
      <w:bookmarkStart w:id="283" w:name="_Toc184310306"/>
      <w:bookmarkEnd w:id="283"/>
      <w:bookmarkStart w:id="284" w:name="_Toc184313267"/>
      <w:bookmarkEnd w:id="284"/>
      <w:bookmarkStart w:id="285" w:name="_Toc184312121"/>
      <w:bookmarkEnd w:id="285"/>
      <w:bookmarkStart w:id="286" w:name="_Toc184313297"/>
      <w:bookmarkEnd w:id="286"/>
      <w:bookmarkStart w:id="287" w:name="_Toc184312090"/>
      <w:bookmarkEnd w:id="287"/>
      <w:bookmarkStart w:id="288" w:name="_Toc184314451"/>
      <w:bookmarkEnd w:id="288"/>
      <w:bookmarkStart w:id="289" w:name="_Toc184308081"/>
      <w:bookmarkEnd w:id="289"/>
      <w:bookmarkStart w:id="290" w:name="_Toc184310320"/>
      <w:bookmarkEnd w:id="290"/>
      <w:bookmarkStart w:id="291" w:name="_Toc184313238"/>
      <w:bookmarkEnd w:id="291"/>
      <w:bookmarkStart w:id="292" w:name="_Toc184308095"/>
      <w:bookmarkEnd w:id="292"/>
      <w:bookmarkStart w:id="293" w:name="_Toc184310307"/>
      <w:bookmarkEnd w:id="293"/>
      <w:bookmarkStart w:id="294" w:name="_Toc184312126"/>
      <w:bookmarkEnd w:id="294"/>
      <w:bookmarkStart w:id="295" w:name="_Toc184313256"/>
      <w:bookmarkEnd w:id="295"/>
      <w:bookmarkStart w:id="296" w:name="_Toc184314415"/>
      <w:bookmarkEnd w:id="296"/>
      <w:bookmarkStart w:id="297" w:name="_Toc184312081"/>
      <w:bookmarkEnd w:id="297"/>
      <w:bookmarkStart w:id="298" w:name="_Toc184308087"/>
      <w:bookmarkEnd w:id="298"/>
      <w:bookmarkStart w:id="299" w:name="_Toc184310296"/>
      <w:bookmarkEnd w:id="299"/>
      <w:bookmarkStart w:id="300" w:name="_Toc184314481"/>
      <w:bookmarkEnd w:id="300"/>
      <w:bookmarkStart w:id="301" w:name="_Toc184314462"/>
      <w:bookmarkEnd w:id="301"/>
      <w:bookmarkStart w:id="302" w:name="_Toc184308094"/>
      <w:bookmarkEnd w:id="302"/>
      <w:bookmarkStart w:id="303" w:name="_Toc184312074"/>
      <w:bookmarkEnd w:id="303"/>
      <w:bookmarkStart w:id="304" w:name="_Toc184310287"/>
      <w:bookmarkEnd w:id="304"/>
      <w:bookmarkStart w:id="305" w:name="_Toc184314446"/>
      <w:bookmarkEnd w:id="305"/>
      <w:bookmarkStart w:id="306" w:name="_Toc184312115"/>
      <w:bookmarkEnd w:id="306"/>
      <w:bookmarkStart w:id="307" w:name="_Toc184312084"/>
      <w:bookmarkEnd w:id="307"/>
      <w:bookmarkStart w:id="308" w:name="_Toc184313259"/>
      <w:bookmarkEnd w:id="308"/>
      <w:bookmarkStart w:id="309" w:name="_Toc184314459"/>
      <w:bookmarkEnd w:id="309"/>
      <w:bookmarkStart w:id="310" w:name="_Toc184310343"/>
      <w:bookmarkEnd w:id="310"/>
      <w:bookmarkStart w:id="311" w:name="_Toc184313303"/>
      <w:bookmarkEnd w:id="311"/>
      <w:bookmarkStart w:id="312" w:name="_Toc184310308"/>
      <w:bookmarkEnd w:id="312"/>
      <w:bookmarkStart w:id="313" w:name="_Toc184310282"/>
      <w:bookmarkEnd w:id="313"/>
      <w:bookmarkStart w:id="314" w:name="_Toc184308040"/>
      <w:bookmarkEnd w:id="314"/>
      <w:bookmarkStart w:id="315" w:name="_Toc184313307"/>
      <w:bookmarkEnd w:id="315"/>
      <w:bookmarkStart w:id="316" w:name="_Toc184314440"/>
      <w:bookmarkEnd w:id="316"/>
      <w:bookmarkStart w:id="317" w:name="_Toc184314474"/>
      <w:bookmarkEnd w:id="317"/>
      <w:bookmarkStart w:id="318" w:name="_Toc184312076"/>
      <w:bookmarkEnd w:id="318"/>
      <w:bookmarkStart w:id="319" w:name="_Toc184312083"/>
      <w:bookmarkEnd w:id="319"/>
      <w:bookmarkStart w:id="320" w:name="_Toc184308072"/>
      <w:bookmarkEnd w:id="320"/>
      <w:bookmarkStart w:id="321" w:name="_Toc184310281"/>
      <w:bookmarkEnd w:id="321"/>
      <w:bookmarkStart w:id="322" w:name="_Toc184313262"/>
      <w:bookmarkEnd w:id="322"/>
      <w:bookmarkStart w:id="323" w:name="_Toc184314478"/>
      <w:bookmarkEnd w:id="323"/>
      <w:bookmarkStart w:id="324" w:name="_Toc184308061"/>
      <w:bookmarkEnd w:id="324"/>
      <w:bookmarkStart w:id="325" w:name="_Toc184314482"/>
      <w:bookmarkEnd w:id="325"/>
      <w:bookmarkStart w:id="326" w:name="_Toc184310330"/>
      <w:bookmarkEnd w:id="326"/>
      <w:bookmarkStart w:id="327" w:name="_Toc184308098"/>
      <w:bookmarkEnd w:id="327"/>
      <w:bookmarkStart w:id="328" w:name="_Toc184308066"/>
      <w:bookmarkEnd w:id="328"/>
      <w:bookmarkStart w:id="329" w:name="_Toc184308063"/>
      <w:bookmarkEnd w:id="329"/>
      <w:bookmarkStart w:id="330" w:name="_Toc184312113"/>
      <w:bookmarkEnd w:id="330"/>
      <w:bookmarkStart w:id="331" w:name="_Toc184313253"/>
      <w:bookmarkEnd w:id="331"/>
      <w:bookmarkStart w:id="332" w:name="_Toc184314472"/>
      <w:bookmarkEnd w:id="332"/>
      <w:bookmarkStart w:id="333" w:name="_Toc184312092"/>
      <w:bookmarkEnd w:id="333"/>
      <w:bookmarkStart w:id="334" w:name="_Toc184308039"/>
      <w:bookmarkEnd w:id="334"/>
      <w:bookmarkStart w:id="335" w:name="_Toc184313299"/>
      <w:bookmarkEnd w:id="335"/>
      <w:bookmarkStart w:id="336" w:name="_Toc184313286"/>
      <w:bookmarkEnd w:id="336"/>
      <w:bookmarkStart w:id="337" w:name="_Toc184313279"/>
      <w:bookmarkEnd w:id="337"/>
      <w:bookmarkStart w:id="338" w:name="_Toc184314434"/>
      <w:bookmarkEnd w:id="338"/>
      <w:bookmarkStart w:id="339" w:name="_Toc184310275"/>
      <w:bookmarkEnd w:id="339"/>
      <w:bookmarkStart w:id="340" w:name="_Toc184310326"/>
      <w:bookmarkEnd w:id="340"/>
      <w:bookmarkStart w:id="341" w:name="_Toc184314445"/>
      <w:bookmarkEnd w:id="341"/>
      <w:bookmarkStart w:id="342" w:name="_Toc184313276"/>
      <w:bookmarkEnd w:id="342"/>
      <w:bookmarkStart w:id="343" w:name="_Toc184314465"/>
      <w:bookmarkEnd w:id="343"/>
      <w:bookmarkStart w:id="344" w:name="_Toc184308045"/>
      <w:bookmarkEnd w:id="344"/>
      <w:bookmarkStart w:id="345" w:name="_Toc184312135"/>
      <w:bookmarkEnd w:id="345"/>
      <w:bookmarkStart w:id="346" w:name="_Toc184308093"/>
      <w:bookmarkEnd w:id="346"/>
      <w:bookmarkStart w:id="347" w:name="_Toc184308038"/>
      <w:bookmarkEnd w:id="347"/>
      <w:bookmarkStart w:id="348" w:name="_Toc184308090"/>
      <w:bookmarkEnd w:id="348"/>
      <w:bookmarkStart w:id="349" w:name="_Toc184313255"/>
      <w:bookmarkEnd w:id="349"/>
      <w:bookmarkStart w:id="350" w:name="_Toc184314432"/>
      <w:bookmarkEnd w:id="350"/>
      <w:bookmarkStart w:id="351" w:name="_Toc184310302"/>
      <w:bookmarkEnd w:id="351"/>
      <w:bookmarkStart w:id="352" w:name="_Toc184310328"/>
      <w:bookmarkEnd w:id="352"/>
      <w:bookmarkStart w:id="353" w:name="_Toc184312085"/>
      <w:bookmarkEnd w:id="353"/>
      <w:bookmarkStart w:id="354" w:name="_Toc184314421"/>
      <w:bookmarkEnd w:id="354"/>
      <w:bookmarkStart w:id="355" w:name="_Toc184310325"/>
      <w:bookmarkEnd w:id="355"/>
      <w:bookmarkStart w:id="356" w:name="_Toc184308080"/>
      <w:bookmarkEnd w:id="356"/>
      <w:bookmarkStart w:id="357" w:name="_Toc184310333"/>
      <w:bookmarkEnd w:id="357"/>
      <w:bookmarkStart w:id="358" w:name="_Toc184313283"/>
      <w:bookmarkEnd w:id="358"/>
      <w:bookmarkStart w:id="359" w:name="_Toc184314435"/>
      <w:bookmarkEnd w:id="359"/>
      <w:bookmarkStart w:id="360" w:name="_Toc184310299"/>
      <w:bookmarkEnd w:id="360"/>
      <w:bookmarkStart w:id="361" w:name="_Toc184312080"/>
      <w:bookmarkEnd w:id="361"/>
      <w:bookmarkStart w:id="362" w:name="_Toc184310339"/>
      <w:bookmarkEnd w:id="362"/>
      <w:bookmarkStart w:id="363" w:name="_Toc184313243"/>
      <w:bookmarkEnd w:id="363"/>
      <w:bookmarkStart w:id="364" w:name="_Toc184310305"/>
      <w:bookmarkEnd w:id="364"/>
      <w:bookmarkStart w:id="365" w:name="_Toc184308037"/>
      <w:bookmarkEnd w:id="365"/>
      <w:bookmarkStart w:id="366" w:name="_Toc184314461"/>
      <w:bookmarkEnd w:id="366"/>
      <w:bookmarkStart w:id="367" w:name="_Toc184312132"/>
      <w:bookmarkEnd w:id="367"/>
      <w:bookmarkStart w:id="368" w:name="_Toc184310289"/>
      <w:bookmarkEnd w:id="368"/>
      <w:bookmarkStart w:id="369" w:name="_Toc184314450"/>
      <w:bookmarkEnd w:id="369"/>
      <w:bookmarkStart w:id="370" w:name="_Toc184314416"/>
      <w:bookmarkEnd w:id="370"/>
      <w:bookmarkStart w:id="371" w:name="_Toc184308083"/>
      <w:bookmarkEnd w:id="371"/>
      <w:bookmarkStart w:id="372" w:name="_Toc184314413"/>
      <w:bookmarkEnd w:id="372"/>
      <w:bookmarkStart w:id="373" w:name="_Toc184312133"/>
      <w:bookmarkEnd w:id="373"/>
      <w:bookmarkStart w:id="374" w:name="_Toc184308050"/>
      <w:bookmarkEnd w:id="374"/>
      <w:bookmarkStart w:id="375" w:name="_Toc184310336"/>
      <w:bookmarkEnd w:id="375"/>
      <w:bookmarkStart w:id="376" w:name="_Toc184313304"/>
      <w:bookmarkEnd w:id="376"/>
      <w:bookmarkStart w:id="377" w:name="_Toc184308100"/>
      <w:bookmarkEnd w:id="377"/>
      <w:bookmarkStart w:id="378" w:name="_Toc184310298"/>
      <w:bookmarkEnd w:id="378"/>
      <w:bookmarkStart w:id="379" w:name="_Toc184312073"/>
      <w:bookmarkEnd w:id="379"/>
      <w:bookmarkStart w:id="380" w:name="_Toc184308107"/>
      <w:bookmarkEnd w:id="380"/>
      <w:bookmarkStart w:id="381" w:name="_Toc184312139"/>
      <w:bookmarkEnd w:id="381"/>
      <w:bookmarkStart w:id="382" w:name="_Toc184313241"/>
      <w:bookmarkEnd w:id="382"/>
      <w:bookmarkStart w:id="383" w:name="_Toc184313240"/>
      <w:bookmarkEnd w:id="383"/>
      <w:bookmarkStart w:id="384" w:name="_Toc184310291"/>
      <w:bookmarkEnd w:id="384"/>
      <w:bookmarkStart w:id="385" w:name="_Toc184312111"/>
      <w:bookmarkEnd w:id="385"/>
      <w:bookmarkStart w:id="386" w:name="_Toc184312116"/>
      <w:bookmarkEnd w:id="386"/>
      <w:bookmarkStart w:id="387" w:name="_Toc184312089"/>
      <w:bookmarkEnd w:id="387"/>
      <w:bookmarkStart w:id="388" w:name="_Toc184313292"/>
      <w:bookmarkEnd w:id="388"/>
      <w:bookmarkStart w:id="389" w:name="_Toc184313285"/>
      <w:bookmarkEnd w:id="389"/>
      <w:bookmarkStart w:id="390" w:name="_Toc184313264"/>
      <w:bookmarkEnd w:id="390"/>
      <w:bookmarkStart w:id="391" w:name="_Toc184313272"/>
      <w:bookmarkEnd w:id="391"/>
      <w:bookmarkStart w:id="392" w:name="_Toc184312093"/>
      <w:bookmarkEnd w:id="392"/>
      <w:bookmarkStart w:id="393" w:name="_Toc184312078"/>
      <w:bookmarkEnd w:id="393"/>
      <w:bookmarkStart w:id="394" w:name="_Toc184308075"/>
      <w:bookmarkEnd w:id="394"/>
      <w:bookmarkStart w:id="395" w:name="_Toc184314424"/>
      <w:bookmarkEnd w:id="395"/>
      <w:bookmarkStart w:id="396" w:name="_Toc184312129"/>
      <w:bookmarkEnd w:id="396"/>
      <w:bookmarkStart w:id="397" w:name="_Toc184310274"/>
      <w:bookmarkEnd w:id="397"/>
      <w:bookmarkStart w:id="398" w:name="_Toc184313268"/>
      <w:bookmarkEnd w:id="398"/>
      <w:bookmarkStart w:id="399" w:name="_Toc184308106"/>
      <w:bookmarkEnd w:id="399"/>
      <w:bookmarkStart w:id="400" w:name="_Toc184308084"/>
      <w:bookmarkEnd w:id="400"/>
      <w:bookmarkStart w:id="401" w:name="_Toc184308044"/>
      <w:bookmarkEnd w:id="401"/>
      <w:bookmarkStart w:id="402" w:name="_Toc184308060"/>
      <w:bookmarkEnd w:id="402"/>
      <w:bookmarkStart w:id="403" w:name="_Toc184313280"/>
      <w:bookmarkEnd w:id="403"/>
      <w:bookmarkStart w:id="404" w:name="_Toc184312095"/>
      <w:bookmarkEnd w:id="404"/>
      <w:bookmarkStart w:id="405" w:name="_Toc184313249"/>
      <w:bookmarkEnd w:id="405"/>
      <w:bookmarkStart w:id="406" w:name="_Toc184313281"/>
      <w:bookmarkEnd w:id="406"/>
      <w:bookmarkStart w:id="407" w:name="_Toc184314447"/>
      <w:bookmarkEnd w:id="407"/>
      <w:bookmarkStart w:id="408" w:name="_Toc184308053"/>
      <w:bookmarkEnd w:id="408"/>
      <w:bookmarkStart w:id="409" w:name="_Toc184313270"/>
      <w:bookmarkEnd w:id="409"/>
      <w:bookmarkStart w:id="410" w:name="_Toc184310334"/>
      <w:bookmarkEnd w:id="410"/>
      <w:bookmarkStart w:id="411" w:name="_Toc184313273"/>
      <w:bookmarkEnd w:id="411"/>
      <w:bookmarkStart w:id="412" w:name="_Toc184312097"/>
      <w:bookmarkEnd w:id="412"/>
      <w:bookmarkStart w:id="413" w:name="_Toc184313250"/>
      <w:bookmarkEnd w:id="413"/>
      <w:bookmarkStart w:id="414" w:name="_Toc184308067"/>
      <w:bookmarkEnd w:id="414"/>
      <w:bookmarkStart w:id="415" w:name="_Toc184312082"/>
      <w:bookmarkEnd w:id="415"/>
      <w:bookmarkStart w:id="416" w:name="_Toc184313309"/>
      <w:bookmarkEnd w:id="416"/>
      <w:bookmarkStart w:id="417" w:name="_Toc184314422"/>
      <w:bookmarkEnd w:id="417"/>
      <w:bookmarkStart w:id="418" w:name="_Toc184312091"/>
      <w:bookmarkEnd w:id="418"/>
      <w:bookmarkStart w:id="419" w:name="_Toc184313305"/>
      <w:bookmarkEnd w:id="419"/>
      <w:bookmarkStart w:id="420" w:name="_Toc184314437"/>
      <w:bookmarkEnd w:id="420"/>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542"/>
        <w:gridCol w:w="851"/>
        <w:gridCol w:w="992"/>
        <w:gridCol w:w="1417"/>
      </w:tblGrid>
      <w:tr w14:paraId="3FB6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9A9B59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542" w:type="dxa"/>
            <w:vAlign w:val="center"/>
          </w:tcPr>
          <w:p w14:paraId="17F9BC3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851" w:type="dxa"/>
            <w:vAlign w:val="center"/>
          </w:tcPr>
          <w:p w14:paraId="7BEC3BC6">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992" w:type="dxa"/>
            <w:vAlign w:val="center"/>
          </w:tcPr>
          <w:p w14:paraId="02AFF6B1">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417" w:type="dxa"/>
          </w:tcPr>
          <w:p w14:paraId="7CABA6C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4367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B8506A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42" w:type="dxa"/>
            <w:vAlign w:val="center"/>
          </w:tcPr>
          <w:p w14:paraId="6BB33317">
            <w:pPr>
              <w:spacing w:line="360" w:lineRule="auto"/>
              <w:jc w:val="left"/>
              <w:rPr>
                <w:rFonts w:ascii="宋体" w:hAnsi="宋体" w:cs="Calibri"/>
                <w:b/>
                <w:bCs/>
                <w:color w:val="auto"/>
                <w:sz w:val="24"/>
              </w:rPr>
            </w:pPr>
            <w:r>
              <w:rPr>
                <w:rFonts w:ascii="宋体" w:hAnsi="宋体" w:cs="Calibri"/>
                <w:b/>
                <w:bCs/>
                <w:color w:val="auto"/>
                <w:sz w:val="24"/>
              </w:rPr>
              <w:t>投标人的管理体系认证</w:t>
            </w:r>
            <w:r>
              <w:rPr>
                <w:rFonts w:hint="eastAsia" w:ascii="宋体" w:hAnsi="宋体" w:cs="Calibri"/>
                <w:b/>
                <w:bCs/>
                <w:color w:val="auto"/>
                <w:sz w:val="24"/>
              </w:rPr>
              <w:t>：</w:t>
            </w:r>
          </w:p>
          <w:p w14:paraId="5F68B0E3">
            <w:pPr>
              <w:spacing w:line="360" w:lineRule="auto"/>
              <w:jc w:val="left"/>
              <w:rPr>
                <w:rFonts w:hint="eastAsia" w:eastAsia="宋体"/>
                <w:color w:val="auto"/>
                <w:lang w:eastAsia="zh-CN"/>
              </w:rPr>
            </w:pPr>
            <w:r>
              <w:rPr>
                <w:rFonts w:ascii="宋体" w:hAnsi="宋体" w:cs="Calibri"/>
                <w:color w:val="auto"/>
                <w:sz w:val="24"/>
              </w:rPr>
              <w:t>（1）投标人通过质量管理体系认证（认证依据：GB/T19001/ISO9001）的得1分</w:t>
            </w:r>
            <w:r>
              <w:rPr>
                <w:rFonts w:hint="eastAsia" w:ascii="宋体" w:hAnsi="宋体" w:cs="Calibri"/>
                <w:color w:val="auto"/>
                <w:sz w:val="24"/>
                <w:lang w:eastAsia="zh-CN"/>
              </w:rPr>
              <w:t>；</w:t>
            </w:r>
          </w:p>
          <w:p w14:paraId="5A7B2F11">
            <w:pPr>
              <w:spacing w:line="360" w:lineRule="auto"/>
              <w:jc w:val="left"/>
              <w:rPr>
                <w:rFonts w:hint="eastAsia" w:ascii="宋体" w:hAnsi="宋体" w:eastAsia="宋体" w:cs="Calibri"/>
                <w:color w:val="auto"/>
                <w:sz w:val="24"/>
                <w:lang w:eastAsia="zh-CN"/>
              </w:rPr>
            </w:pPr>
            <w:r>
              <w:rPr>
                <w:rFonts w:ascii="宋体" w:hAnsi="宋体" w:cs="Calibri"/>
                <w:color w:val="auto"/>
                <w:sz w:val="24"/>
              </w:rPr>
              <w:t>（</w:t>
            </w:r>
            <w:r>
              <w:rPr>
                <w:rFonts w:hint="eastAsia" w:ascii="宋体" w:hAnsi="宋体" w:cs="Calibri"/>
                <w:color w:val="auto"/>
                <w:sz w:val="24"/>
                <w:lang w:val="en-US" w:eastAsia="zh-CN"/>
              </w:rPr>
              <w:t>2</w:t>
            </w:r>
            <w:r>
              <w:rPr>
                <w:rFonts w:ascii="宋体" w:hAnsi="宋体" w:cs="Calibri"/>
                <w:color w:val="auto"/>
                <w:sz w:val="24"/>
              </w:rPr>
              <w:t>）投标人通过职业健康安全管理体系认证（认证依据：GB/T45001/ISO 45001）的得1分</w:t>
            </w:r>
            <w:r>
              <w:rPr>
                <w:rFonts w:hint="eastAsia" w:ascii="宋体" w:hAnsi="宋体" w:cs="Calibri"/>
                <w:color w:val="auto"/>
                <w:sz w:val="24"/>
                <w:lang w:eastAsia="zh-CN"/>
              </w:rPr>
              <w:t>；</w:t>
            </w:r>
          </w:p>
          <w:p w14:paraId="4FC8704D">
            <w:pPr>
              <w:spacing w:line="360" w:lineRule="auto"/>
              <w:jc w:val="left"/>
              <w:rPr>
                <w:rFonts w:hint="eastAsia" w:ascii="宋体" w:hAnsi="宋体" w:eastAsia="宋体" w:cs="Calibri"/>
                <w:color w:val="auto"/>
                <w:sz w:val="24"/>
                <w:lang w:eastAsia="zh-CN"/>
              </w:rPr>
            </w:pPr>
            <w:r>
              <w:rPr>
                <w:rFonts w:ascii="宋体" w:hAnsi="宋体" w:cs="Calibri"/>
                <w:color w:val="auto"/>
                <w:sz w:val="24"/>
              </w:rPr>
              <w:t>（</w:t>
            </w:r>
            <w:r>
              <w:rPr>
                <w:rFonts w:hint="eastAsia" w:ascii="宋体" w:hAnsi="宋体" w:cs="Calibri"/>
                <w:color w:val="auto"/>
                <w:sz w:val="24"/>
                <w:lang w:val="en-US" w:eastAsia="zh-CN"/>
              </w:rPr>
              <w:t>3</w:t>
            </w:r>
            <w:r>
              <w:rPr>
                <w:rFonts w:ascii="宋体" w:hAnsi="宋体" w:cs="Calibri"/>
                <w:color w:val="auto"/>
                <w:sz w:val="24"/>
              </w:rPr>
              <w:t>）投标人通过食品安全管理体系认证（认证依据：ISO22000）的得1分</w:t>
            </w:r>
            <w:r>
              <w:rPr>
                <w:rFonts w:hint="eastAsia" w:ascii="宋体" w:hAnsi="宋体" w:cs="Calibri"/>
                <w:color w:val="auto"/>
                <w:sz w:val="24"/>
                <w:lang w:eastAsia="zh-CN"/>
              </w:rPr>
              <w:t>。</w:t>
            </w:r>
          </w:p>
          <w:p w14:paraId="4FBE4EC1">
            <w:pPr>
              <w:snapToGrid w:val="0"/>
              <w:spacing w:line="360" w:lineRule="auto"/>
              <w:jc w:val="left"/>
              <w:rPr>
                <w:rFonts w:hint="eastAsia" w:eastAsia="宋体" w:cs="仿宋_GB2312" w:asciiTheme="minorEastAsia" w:hAnsiTheme="minorEastAsia"/>
                <w:color w:val="auto"/>
                <w:sz w:val="24"/>
                <w:lang w:eastAsia="zh-CN"/>
              </w:rPr>
            </w:pPr>
            <w:r>
              <w:rPr>
                <w:rFonts w:hint="eastAsia" w:ascii="宋体" w:hAnsi="宋体" w:cs="Calibri"/>
                <w:color w:val="auto"/>
                <w:sz w:val="24"/>
                <w:lang w:val="en-US" w:eastAsia="zh-CN"/>
              </w:rPr>
              <w:t>注：提供证书复印件加盖投标人公章，未提供不得分。</w:t>
            </w:r>
            <w:r>
              <w:rPr>
                <w:rFonts w:hint="eastAsia" w:ascii="宋体" w:hAnsi="宋体" w:cs="Calibri"/>
                <w:color w:val="auto"/>
                <w:sz w:val="24"/>
              </w:rPr>
              <w:t>如投标人为联合体，联合体任一成员具备即可得分</w:t>
            </w:r>
            <w:r>
              <w:rPr>
                <w:rFonts w:hint="eastAsia" w:ascii="宋体" w:hAnsi="宋体" w:cs="Calibri"/>
                <w:color w:val="auto"/>
                <w:sz w:val="24"/>
                <w:lang w:eastAsia="zh-CN"/>
              </w:rPr>
              <w:t>。</w:t>
            </w:r>
          </w:p>
        </w:tc>
        <w:tc>
          <w:tcPr>
            <w:tcW w:w="851" w:type="dxa"/>
            <w:vAlign w:val="center"/>
          </w:tcPr>
          <w:p w14:paraId="4C017964">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3</w:t>
            </w:r>
          </w:p>
        </w:tc>
        <w:tc>
          <w:tcPr>
            <w:tcW w:w="992" w:type="dxa"/>
            <w:vAlign w:val="center"/>
          </w:tcPr>
          <w:p w14:paraId="6F4A482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417" w:type="dxa"/>
            <w:vAlign w:val="center"/>
          </w:tcPr>
          <w:p w14:paraId="32010C67">
            <w:pPr>
              <w:snapToGrid w:val="0"/>
              <w:spacing w:line="360" w:lineRule="auto"/>
              <w:jc w:val="center"/>
              <w:rPr>
                <w:rFonts w:cs="仿宋_GB2312" w:asciiTheme="minorEastAsia" w:hAnsiTheme="minorEastAsia" w:eastAsiaTheme="minorEastAsia"/>
                <w:b w:val="0"/>
                <w:bCs w:val="0"/>
                <w:color w:val="auto"/>
                <w:sz w:val="24"/>
              </w:rPr>
            </w:pPr>
            <w:r>
              <w:rPr>
                <w:rFonts w:ascii="宋体" w:hAnsi="宋体" w:cs="Calibri"/>
                <w:b w:val="0"/>
                <w:bCs w:val="0"/>
                <w:color w:val="auto"/>
                <w:sz w:val="24"/>
              </w:rPr>
              <w:t>管理体系认证</w:t>
            </w:r>
          </w:p>
        </w:tc>
      </w:tr>
      <w:tr w14:paraId="55A3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D464C0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42" w:type="dxa"/>
            <w:vAlign w:val="center"/>
          </w:tcPr>
          <w:p w14:paraId="44F0C13C">
            <w:pPr>
              <w:adjustRightInd/>
              <w:spacing w:line="360" w:lineRule="auto"/>
              <w:jc w:val="left"/>
              <w:rPr>
                <w:rFonts w:ascii="宋体" w:hAnsi="宋体" w:cs="Calibri"/>
                <w:b/>
                <w:bCs/>
                <w:color w:val="auto"/>
                <w:sz w:val="24"/>
              </w:rPr>
            </w:pPr>
            <w:r>
              <w:rPr>
                <w:rFonts w:ascii="宋体" w:hAnsi="宋体" w:cs="Calibri"/>
                <w:b/>
                <w:bCs/>
                <w:color w:val="auto"/>
                <w:sz w:val="24"/>
              </w:rPr>
              <w:t>投标人的同类业绩</w:t>
            </w:r>
            <w:r>
              <w:rPr>
                <w:rFonts w:hint="eastAsia" w:ascii="宋体" w:hAnsi="宋体" w:cs="Calibri"/>
                <w:b/>
                <w:bCs/>
                <w:color w:val="auto"/>
                <w:sz w:val="24"/>
              </w:rPr>
              <w:t>：</w:t>
            </w:r>
          </w:p>
          <w:p w14:paraId="19664A8F">
            <w:pPr>
              <w:adjustRightInd/>
              <w:spacing w:line="360" w:lineRule="auto"/>
              <w:jc w:val="left"/>
              <w:rPr>
                <w:rFonts w:ascii="宋体" w:hAnsi="宋体" w:cs="Calibri"/>
                <w:color w:val="auto"/>
                <w:sz w:val="24"/>
              </w:rPr>
            </w:pPr>
            <w:r>
              <w:rPr>
                <w:rFonts w:ascii="宋体" w:hAnsi="宋体" w:cs="Calibri"/>
                <w:color w:val="auto"/>
                <w:sz w:val="24"/>
              </w:rPr>
              <w:t>投标人具有同类项目（同类项目指食堂、餐饮等服务外包项目）业绩，一个项目合同，得0.5分，最高得1分。合同签订时间为20</w:t>
            </w:r>
            <w:r>
              <w:rPr>
                <w:rFonts w:hint="eastAsia" w:ascii="宋体" w:hAnsi="宋体" w:cs="Calibri"/>
                <w:color w:val="auto"/>
                <w:sz w:val="24"/>
                <w:lang w:val="en-US" w:eastAsia="zh-CN"/>
              </w:rPr>
              <w:t>22</w:t>
            </w:r>
            <w:r>
              <w:rPr>
                <w:rFonts w:ascii="宋体" w:hAnsi="宋体" w:cs="Calibri"/>
                <w:color w:val="auto"/>
                <w:sz w:val="24"/>
              </w:rPr>
              <w:t>年</w:t>
            </w:r>
            <w:r>
              <w:rPr>
                <w:rFonts w:hint="eastAsia" w:ascii="宋体" w:hAnsi="宋体" w:cs="Calibri"/>
                <w:color w:val="auto"/>
                <w:sz w:val="24"/>
                <w:lang w:val="en-US" w:eastAsia="zh-CN"/>
              </w:rPr>
              <w:t>6</w:t>
            </w:r>
            <w:r>
              <w:rPr>
                <w:rFonts w:ascii="宋体" w:hAnsi="宋体" w:cs="Calibri"/>
                <w:color w:val="auto"/>
                <w:sz w:val="24"/>
              </w:rPr>
              <w:t>月以后。</w:t>
            </w:r>
          </w:p>
          <w:p w14:paraId="5E85BBC7">
            <w:pPr>
              <w:snapToGrid w:val="0"/>
              <w:spacing w:line="360" w:lineRule="auto"/>
              <w:jc w:val="left"/>
              <w:rPr>
                <w:rFonts w:cs="仿宋_GB2312" w:asciiTheme="minorEastAsia" w:hAnsiTheme="minorEastAsia" w:eastAsiaTheme="minorEastAsia"/>
                <w:color w:val="auto"/>
                <w:sz w:val="24"/>
              </w:rPr>
            </w:pPr>
            <w:r>
              <w:rPr>
                <w:rFonts w:hint="eastAsia" w:ascii="宋体" w:hAnsi="宋体" w:cs="Calibri"/>
                <w:color w:val="auto"/>
                <w:sz w:val="24"/>
              </w:rPr>
              <w:t>说明：根据投标文件中提供的业绩合同进行评分，未提供或不符合以上条件不得分。如投标人为联合体，联合体任一成员具备即可得分。</w:t>
            </w:r>
          </w:p>
        </w:tc>
        <w:tc>
          <w:tcPr>
            <w:tcW w:w="851" w:type="dxa"/>
            <w:vAlign w:val="center"/>
          </w:tcPr>
          <w:p w14:paraId="1F0BBEE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992" w:type="dxa"/>
            <w:vAlign w:val="center"/>
          </w:tcPr>
          <w:p w14:paraId="15C413FD">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417" w:type="dxa"/>
            <w:vAlign w:val="center"/>
          </w:tcPr>
          <w:p w14:paraId="4B62CC30">
            <w:pPr>
              <w:snapToGrid w:val="0"/>
              <w:spacing w:line="360" w:lineRule="auto"/>
              <w:jc w:val="center"/>
              <w:rPr>
                <w:rFonts w:cs="仿宋_GB2312" w:asciiTheme="minorEastAsia" w:hAnsiTheme="minorEastAsia" w:eastAsiaTheme="minorEastAsia"/>
                <w:b w:val="0"/>
                <w:bCs w:val="0"/>
                <w:color w:val="auto"/>
                <w:sz w:val="24"/>
              </w:rPr>
            </w:pPr>
            <w:r>
              <w:rPr>
                <w:rFonts w:ascii="宋体" w:hAnsi="宋体" w:cs="Calibri"/>
                <w:b w:val="0"/>
                <w:bCs w:val="0"/>
                <w:color w:val="auto"/>
                <w:sz w:val="24"/>
              </w:rPr>
              <w:t>同类业绩</w:t>
            </w:r>
          </w:p>
        </w:tc>
      </w:tr>
      <w:tr w14:paraId="58E9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14:paraId="2E247FDE">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5542" w:type="dxa"/>
            <w:vAlign w:val="center"/>
          </w:tcPr>
          <w:p w14:paraId="447B69E9">
            <w:pPr>
              <w:snapToGrid w:val="0"/>
              <w:spacing w:line="360" w:lineRule="auto"/>
              <w:jc w:val="left"/>
              <w:rPr>
                <w:rFonts w:hint="eastAsia" w:ascii="宋体" w:hAnsi="宋体" w:cs="Calibri"/>
                <w:b/>
                <w:bCs/>
                <w:color w:val="auto"/>
                <w:sz w:val="24"/>
                <w:lang w:val="en-US" w:eastAsia="zh-CN"/>
              </w:rPr>
            </w:pPr>
            <w:r>
              <w:rPr>
                <w:rFonts w:hint="eastAsia" w:ascii="宋体" w:hAnsi="宋体" w:cs="Calibri"/>
                <w:b/>
                <w:bCs/>
                <w:color w:val="auto"/>
                <w:sz w:val="24"/>
                <w:lang w:val="en-US" w:eastAsia="zh-CN"/>
              </w:rPr>
              <w:t>用户评价：</w:t>
            </w:r>
          </w:p>
          <w:p w14:paraId="4511024B">
            <w:pPr>
              <w:snapToGrid w:val="0"/>
              <w:spacing w:line="360" w:lineRule="auto"/>
              <w:jc w:val="left"/>
              <w:rPr>
                <w:rFonts w:hint="default" w:ascii="宋体" w:hAnsi="宋体" w:eastAsia="宋体" w:cs="Calibri"/>
                <w:color w:val="auto"/>
                <w:sz w:val="24"/>
                <w:lang w:val="en-US" w:eastAsia="zh-CN"/>
              </w:rPr>
            </w:pPr>
            <w:r>
              <w:rPr>
                <w:rFonts w:hint="eastAsia" w:ascii="宋体" w:hAnsi="宋体" w:cs="仿宋_GB2312"/>
                <w:color w:val="auto"/>
                <w:sz w:val="24"/>
              </w:rPr>
              <w:t>供应商自202</w:t>
            </w:r>
            <w:r>
              <w:rPr>
                <w:rFonts w:hint="eastAsia" w:ascii="宋体" w:hAnsi="宋体" w:cs="仿宋_GB2312"/>
                <w:color w:val="auto"/>
                <w:sz w:val="24"/>
                <w:lang w:val="en-US" w:eastAsia="zh-CN"/>
              </w:rPr>
              <w:t>2</w:t>
            </w:r>
            <w:r>
              <w:rPr>
                <w:rFonts w:hint="eastAsia" w:ascii="宋体" w:hAnsi="宋体" w:cs="仿宋_GB2312"/>
                <w:color w:val="auto"/>
                <w:sz w:val="24"/>
              </w:rPr>
              <w:t>年</w:t>
            </w:r>
            <w:r>
              <w:rPr>
                <w:rFonts w:hint="eastAsia" w:ascii="宋体" w:hAnsi="宋体" w:cs="仿宋_GB2312"/>
                <w:color w:val="auto"/>
                <w:sz w:val="24"/>
                <w:lang w:val="en-US" w:eastAsia="zh-CN"/>
              </w:rPr>
              <w:t>6</w:t>
            </w:r>
            <w:r>
              <w:rPr>
                <w:rFonts w:hint="eastAsia" w:ascii="宋体" w:hAnsi="宋体" w:cs="仿宋_GB2312"/>
                <w:color w:val="auto"/>
                <w:sz w:val="24"/>
              </w:rPr>
              <w:t>月以来（以满意度调查表时间为准）具有用户单位服务反馈情况</w:t>
            </w:r>
            <w:r>
              <w:rPr>
                <w:rFonts w:hint="eastAsia" w:ascii="宋体" w:hAnsi="宋体" w:cs="仿宋_GB2312"/>
                <w:color w:val="auto"/>
                <w:sz w:val="24"/>
                <w:lang w:val="en-US" w:eastAsia="zh-CN"/>
              </w:rPr>
              <w:t>基本满意及以上</w:t>
            </w:r>
            <w:r>
              <w:rPr>
                <w:rFonts w:hint="eastAsia" w:ascii="宋体" w:hAnsi="宋体" w:cs="仿宋_GB2312"/>
                <w:color w:val="auto"/>
                <w:sz w:val="24"/>
              </w:rPr>
              <w:t>（或90分及以上）的反馈表的，得0.5，最高得1分。（提供反馈表的项目须与上述</w:t>
            </w:r>
            <w:r>
              <w:rPr>
                <w:rFonts w:hint="eastAsia" w:ascii="宋体" w:hAnsi="宋体" w:cs="仿宋_GB2312"/>
                <w:color w:val="auto"/>
                <w:sz w:val="24"/>
                <w:lang w:val="en-US" w:eastAsia="zh-CN"/>
              </w:rPr>
              <w:t>同类</w:t>
            </w:r>
            <w:r>
              <w:rPr>
                <w:rFonts w:hint="eastAsia" w:ascii="宋体" w:hAnsi="宋体" w:cs="仿宋_GB2312"/>
                <w:color w:val="auto"/>
                <w:sz w:val="24"/>
              </w:rPr>
              <w:t xml:space="preserve">业绩合同的项目一致，反馈表复印件加盖公章）    </w:t>
            </w:r>
          </w:p>
        </w:tc>
        <w:tc>
          <w:tcPr>
            <w:tcW w:w="851" w:type="dxa"/>
            <w:vAlign w:val="center"/>
          </w:tcPr>
          <w:p w14:paraId="1C36255E">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992" w:type="dxa"/>
            <w:vAlign w:val="center"/>
          </w:tcPr>
          <w:p w14:paraId="16D09F73">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417" w:type="dxa"/>
            <w:vAlign w:val="center"/>
          </w:tcPr>
          <w:p w14:paraId="79CC4B76">
            <w:pPr>
              <w:snapToGrid w:val="0"/>
              <w:spacing w:line="360" w:lineRule="auto"/>
              <w:jc w:val="center"/>
              <w:rPr>
                <w:rFonts w:cs="仿宋_GB2312" w:asciiTheme="minorEastAsia" w:hAnsiTheme="minorEastAsia" w:eastAsiaTheme="minorEastAsia"/>
                <w:b w:val="0"/>
                <w:bCs w:val="0"/>
                <w:color w:val="auto"/>
                <w:sz w:val="24"/>
              </w:rPr>
            </w:pPr>
            <w:r>
              <w:rPr>
                <w:rFonts w:hint="eastAsia" w:ascii="宋体" w:hAnsi="宋体" w:cs="Calibri"/>
                <w:b w:val="0"/>
                <w:bCs w:val="0"/>
                <w:color w:val="auto"/>
                <w:sz w:val="24"/>
                <w:lang w:val="en-US" w:eastAsia="zh-CN"/>
              </w:rPr>
              <w:t>用户评价</w:t>
            </w:r>
          </w:p>
        </w:tc>
      </w:tr>
      <w:tr w14:paraId="211B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A87808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42" w:type="dxa"/>
            <w:vAlign w:val="center"/>
          </w:tcPr>
          <w:p w14:paraId="7B249183">
            <w:pPr>
              <w:snapToGrid w:val="0"/>
              <w:spacing w:line="360" w:lineRule="auto"/>
              <w:jc w:val="left"/>
              <w:rPr>
                <w:rFonts w:ascii="宋体" w:hAnsi="宋体" w:cs="Calibri"/>
                <w:b/>
                <w:bCs/>
                <w:color w:val="auto"/>
                <w:sz w:val="24"/>
              </w:rPr>
            </w:pPr>
            <w:r>
              <w:rPr>
                <w:rFonts w:ascii="宋体" w:hAnsi="宋体" w:cs="Calibri"/>
                <w:b/>
                <w:bCs/>
                <w:color w:val="auto"/>
                <w:sz w:val="24"/>
              </w:rPr>
              <w:t>菜类品种</w:t>
            </w:r>
            <w:r>
              <w:rPr>
                <w:rFonts w:hint="eastAsia" w:ascii="宋体" w:hAnsi="宋体" w:cs="Calibri"/>
                <w:b/>
                <w:bCs/>
                <w:color w:val="auto"/>
                <w:sz w:val="24"/>
              </w:rPr>
              <w:t>：</w:t>
            </w:r>
          </w:p>
          <w:p w14:paraId="6AA97BB2">
            <w:pPr>
              <w:snapToGrid w:val="0"/>
              <w:spacing w:line="360" w:lineRule="auto"/>
              <w:jc w:val="left"/>
              <w:rPr>
                <w:rFonts w:ascii="宋体" w:hAnsi="宋体" w:cs="仿宋_GB2312"/>
                <w:color w:val="auto"/>
                <w:sz w:val="24"/>
              </w:rPr>
            </w:pPr>
            <w:r>
              <w:rPr>
                <w:rFonts w:ascii="宋体" w:hAnsi="宋体" w:cs="Calibri"/>
                <w:color w:val="auto"/>
                <w:sz w:val="24"/>
              </w:rPr>
              <w:t>投标文件中提供的菜品应具有多样性、营养搭配合理性，且需根据季节不同提供适时菜品，定期推出特色菜或新菜（每周），根据投标文件中提供的详细菜品方案进行评分</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ascii="宋体" w:hAnsi="宋体" w:cs="Calibri"/>
                <w:color w:val="auto"/>
                <w:sz w:val="24"/>
              </w:rPr>
              <w:t>。</w:t>
            </w:r>
          </w:p>
        </w:tc>
        <w:tc>
          <w:tcPr>
            <w:tcW w:w="851" w:type="dxa"/>
            <w:vAlign w:val="center"/>
          </w:tcPr>
          <w:p w14:paraId="7A4109C0">
            <w:pPr>
              <w:snapToGrid w:val="0"/>
              <w:spacing w:line="360" w:lineRule="auto"/>
              <w:jc w:val="center"/>
              <w:rPr>
                <w:rFonts w:hint="default" w:cs="仿宋_GB2312" w:asciiTheme="minorEastAsia" w:hAnsiTheme="minorEastAsia" w:eastAsiaTheme="minorEastAsia"/>
                <w:color w:val="auto"/>
                <w:sz w:val="24"/>
                <w:lang w:val="en-US" w:eastAsia="zh-CN"/>
              </w:rPr>
            </w:pPr>
            <w:r>
              <w:rPr>
                <w:rFonts w:ascii="宋体" w:hAnsi="宋体" w:cs="Calibri"/>
                <w:color w:val="auto"/>
                <w:sz w:val="24"/>
              </w:rPr>
              <w:t>5</w:t>
            </w:r>
          </w:p>
        </w:tc>
        <w:tc>
          <w:tcPr>
            <w:tcW w:w="992" w:type="dxa"/>
            <w:vAlign w:val="center"/>
          </w:tcPr>
          <w:p w14:paraId="2ABC538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2DD2E1BE">
            <w:pPr>
              <w:snapToGrid w:val="0"/>
              <w:spacing w:line="360" w:lineRule="auto"/>
              <w:jc w:val="center"/>
              <w:rPr>
                <w:rFonts w:hint="default"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菜类品种</w:t>
            </w:r>
          </w:p>
        </w:tc>
      </w:tr>
      <w:tr w14:paraId="7388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8C2B992">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42" w:type="dxa"/>
            <w:vAlign w:val="center"/>
          </w:tcPr>
          <w:p w14:paraId="70A7BD4C">
            <w:pPr>
              <w:snapToGrid w:val="0"/>
              <w:spacing w:line="360" w:lineRule="auto"/>
              <w:jc w:val="left"/>
              <w:rPr>
                <w:rFonts w:hint="eastAsia" w:ascii="宋体" w:hAnsi="宋体" w:cs="仿宋_GB2312"/>
                <w:b/>
                <w:bCs/>
                <w:color w:val="auto"/>
                <w:sz w:val="24"/>
                <w:lang w:eastAsia="zh-CN"/>
              </w:rPr>
            </w:pPr>
            <w:r>
              <w:rPr>
                <w:rFonts w:hint="eastAsia" w:ascii="宋体" w:hAnsi="宋体" w:cs="仿宋_GB2312"/>
                <w:b/>
                <w:bCs/>
                <w:color w:val="auto"/>
                <w:sz w:val="24"/>
              </w:rPr>
              <w:t>防范餐饮浪费方案</w:t>
            </w:r>
            <w:r>
              <w:rPr>
                <w:rFonts w:hint="eastAsia" w:ascii="宋体" w:hAnsi="宋体" w:cs="仿宋_GB2312"/>
                <w:b/>
                <w:bCs/>
                <w:color w:val="auto"/>
                <w:sz w:val="24"/>
                <w:lang w:eastAsia="zh-CN"/>
              </w:rPr>
              <w:t>：</w:t>
            </w:r>
          </w:p>
          <w:p w14:paraId="2B64C1B5">
            <w:pPr>
              <w:snapToGrid w:val="0"/>
              <w:spacing w:line="360" w:lineRule="auto"/>
              <w:jc w:val="left"/>
              <w:rPr>
                <w:rFonts w:ascii="宋体" w:hAnsi="宋体" w:cs="仿宋_GB2312"/>
                <w:color w:val="auto"/>
                <w:sz w:val="24"/>
              </w:rPr>
            </w:pPr>
            <w:r>
              <w:rPr>
                <w:rFonts w:hint="eastAsia" w:ascii="宋体" w:hAnsi="宋体" w:cs="仿宋_GB2312"/>
                <w:color w:val="auto"/>
                <w:sz w:val="24"/>
              </w:rPr>
              <w:t>根据防范餐饮浪费的措施、制度等情况</w:t>
            </w:r>
            <w:r>
              <w:rPr>
                <w:rFonts w:hint="eastAsia" w:ascii="宋体" w:hAnsi="宋体" w:cs="仿宋_GB2312"/>
                <w:color w:val="auto"/>
                <w:sz w:val="24"/>
                <w:lang w:eastAsia="zh-CN"/>
              </w:rPr>
              <w:t>（</w:t>
            </w:r>
            <w:r>
              <w:rPr>
                <w:rFonts w:hint="eastAsia" w:ascii="宋体" w:hAnsi="宋体" w:cs="仿宋_GB2312"/>
                <w:color w:val="auto"/>
                <w:sz w:val="24"/>
                <w:lang w:val="en-US" w:eastAsia="zh-CN"/>
              </w:rPr>
              <w:t>至少包含菜品挑拣使用、餐前统计人员菜量、餐后餐余垃圾数量控制、反对浪费及光盘行动宣传等方面</w:t>
            </w:r>
            <w:r>
              <w:rPr>
                <w:rFonts w:hint="eastAsia" w:ascii="宋体" w:hAnsi="宋体" w:cs="仿宋_GB2312"/>
                <w:color w:val="auto"/>
                <w:sz w:val="24"/>
                <w:lang w:eastAsia="zh-CN"/>
              </w:rPr>
              <w:t>）</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p>
        </w:tc>
        <w:tc>
          <w:tcPr>
            <w:tcW w:w="851" w:type="dxa"/>
            <w:vAlign w:val="center"/>
          </w:tcPr>
          <w:p w14:paraId="1E3E286F">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992" w:type="dxa"/>
            <w:vAlign w:val="center"/>
          </w:tcPr>
          <w:p w14:paraId="2D29BCFE">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7AD68F2C">
            <w:pPr>
              <w:snapToGrid w:val="0"/>
              <w:spacing w:line="360" w:lineRule="auto"/>
              <w:jc w:val="center"/>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防范餐饮浪费方案</w:t>
            </w:r>
          </w:p>
        </w:tc>
      </w:tr>
      <w:tr w14:paraId="779C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EB5003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42" w:type="dxa"/>
            <w:vAlign w:val="center"/>
          </w:tcPr>
          <w:p w14:paraId="58587582">
            <w:pPr>
              <w:snapToGrid w:val="0"/>
              <w:spacing w:line="360" w:lineRule="auto"/>
              <w:jc w:val="left"/>
              <w:rPr>
                <w:rFonts w:ascii="宋体" w:hAnsi="宋体" w:cs="Calibri"/>
                <w:b/>
                <w:bCs/>
                <w:color w:val="auto"/>
                <w:sz w:val="24"/>
              </w:rPr>
            </w:pPr>
            <w:r>
              <w:rPr>
                <w:rFonts w:ascii="宋体" w:hAnsi="宋体" w:cs="Calibri"/>
                <w:b/>
                <w:bCs/>
                <w:color w:val="auto"/>
                <w:sz w:val="24"/>
              </w:rPr>
              <w:t>成本控制方案</w:t>
            </w:r>
            <w:r>
              <w:rPr>
                <w:rFonts w:hint="eastAsia" w:ascii="宋体" w:hAnsi="宋体" w:cs="Calibri"/>
                <w:b/>
                <w:bCs/>
                <w:color w:val="auto"/>
                <w:sz w:val="24"/>
              </w:rPr>
              <w:t>：</w:t>
            </w:r>
          </w:p>
          <w:p w14:paraId="318A4518">
            <w:pPr>
              <w:snapToGrid w:val="0"/>
              <w:spacing w:line="360" w:lineRule="auto"/>
              <w:jc w:val="left"/>
              <w:rPr>
                <w:rFonts w:ascii="宋体" w:hAnsi="宋体" w:cs="仿宋_GB2312"/>
                <w:color w:val="auto"/>
                <w:sz w:val="24"/>
              </w:rPr>
            </w:pPr>
            <w:r>
              <w:rPr>
                <w:rFonts w:hint="eastAsia" w:ascii="宋体" w:hAnsi="宋体" w:cs="仿宋_GB2312"/>
                <w:color w:val="auto"/>
                <w:sz w:val="24"/>
              </w:rPr>
              <w:t>投标文件中应提供具体的成本分析方案</w:t>
            </w:r>
            <w:r>
              <w:rPr>
                <w:rFonts w:hint="eastAsia" w:ascii="宋体" w:hAnsi="宋体" w:cs="仿宋_GB2312"/>
                <w:color w:val="auto"/>
                <w:sz w:val="24"/>
                <w:lang w:val="en-US" w:eastAsia="zh-CN"/>
              </w:rPr>
              <w:t>及边角料利用方案</w:t>
            </w:r>
            <w:r>
              <w:rPr>
                <w:rFonts w:hint="eastAsia" w:ascii="宋体" w:hAnsi="宋体" w:cs="仿宋_GB2312"/>
                <w:color w:val="auto"/>
                <w:sz w:val="24"/>
              </w:rPr>
              <w:t>，成本控制应合理。根据投标文件中提供的成本控制方案</w:t>
            </w:r>
            <w:r>
              <w:rPr>
                <w:rFonts w:hint="eastAsia" w:ascii="宋体" w:hAnsi="宋体" w:cs="仿宋_GB2312"/>
                <w:color w:val="auto"/>
                <w:sz w:val="24"/>
                <w:lang w:eastAsia="zh-CN"/>
              </w:rPr>
              <w:t>、</w:t>
            </w:r>
            <w:r>
              <w:rPr>
                <w:rFonts w:hint="eastAsia" w:ascii="宋体" w:hAnsi="宋体" w:cs="仿宋_GB2312"/>
                <w:color w:val="auto"/>
                <w:sz w:val="24"/>
                <w:lang w:val="en-US" w:eastAsia="zh-CN"/>
              </w:rPr>
              <w:t>边角料利用方案</w:t>
            </w:r>
            <w:r>
              <w:rPr>
                <w:rFonts w:hint="eastAsia" w:ascii="宋体" w:hAnsi="宋体" w:cs="仿宋_GB2312"/>
                <w:color w:val="auto"/>
                <w:sz w:val="24"/>
              </w:rPr>
              <w:t>进行评分（</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7A7BA240">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992" w:type="dxa"/>
            <w:vAlign w:val="center"/>
          </w:tcPr>
          <w:p w14:paraId="3FB4237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66BBCE19">
            <w:pPr>
              <w:snapToGrid w:val="0"/>
              <w:spacing w:line="360" w:lineRule="auto"/>
              <w:jc w:val="center"/>
              <w:rPr>
                <w:rFonts w:hint="default" w:cs="仿宋_GB2312" w:asciiTheme="minorEastAsia" w:hAnsiTheme="minorEastAsia" w:eastAsiaTheme="minorEastAsia"/>
                <w:b w:val="0"/>
                <w:bCs w:val="0"/>
                <w:color w:val="auto"/>
                <w:sz w:val="24"/>
                <w:lang w:val="en-US" w:eastAsia="zh-CN"/>
              </w:rPr>
            </w:pPr>
            <w:r>
              <w:rPr>
                <w:rFonts w:ascii="宋体" w:hAnsi="宋体" w:cs="Calibri"/>
                <w:b w:val="0"/>
                <w:bCs w:val="0"/>
                <w:color w:val="auto"/>
                <w:sz w:val="24"/>
              </w:rPr>
              <w:t>成本控制方案</w:t>
            </w:r>
          </w:p>
        </w:tc>
      </w:tr>
      <w:tr w14:paraId="6546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696" w:type="dxa"/>
            <w:vMerge w:val="restart"/>
            <w:vAlign w:val="center"/>
          </w:tcPr>
          <w:p w14:paraId="326862E5">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42" w:type="dxa"/>
            <w:vAlign w:val="center"/>
          </w:tcPr>
          <w:p w14:paraId="57B42F17">
            <w:pPr>
              <w:adjustRightInd/>
              <w:spacing w:line="360" w:lineRule="auto"/>
              <w:jc w:val="left"/>
              <w:rPr>
                <w:color w:val="auto"/>
              </w:rPr>
            </w:pPr>
            <w:r>
              <w:rPr>
                <w:rFonts w:ascii="宋体" w:hAnsi="宋体" w:cs="Calibri"/>
                <w:b/>
                <w:bCs/>
                <w:color w:val="auto"/>
                <w:sz w:val="24"/>
              </w:rPr>
              <w:t>项目管理方案</w:t>
            </w:r>
            <w:r>
              <w:rPr>
                <w:rFonts w:hint="eastAsia" w:ascii="宋体" w:hAnsi="宋体" w:cs="Calibri"/>
                <w:b/>
                <w:bCs/>
                <w:color w:val="auto"/>
                <w:sz w:val="24"/>
              </w:rPr>
              <w:t>：</w:t>
            </w:r>
          </w:p>
          <w:p w14:paraId="25DD5F6C">
            <w:pPr>
              <w:adjustRightInd/>
              <w:spacing w:line="360" w:lineRule="auto"/>
              <w:jc w:val="left"/>
              <w:rPr>
                <w:rFonts w:ascii="宋体" w:hAnsi="宋体" w:cs="仿宋_GB2312"/>
                <w:color w:val="auto"/>
                <w:sz w:val="24"/>
              </w:rPr>
            </w:pPr>
            <w:r>
              <w:rPr>
                <w:rFonts w:ascii="宋体" w:hAnsi="宋体" w:cs="Calibri"/>
                <w:color w:val="auto"/>
                <w:sz w:val="24"/>
              </w:rPr>
              <w:t>（</w:t>
            </w:r>
            <w:r>
              <w:rPr>
                <w:rFonts w:hint="eastAsia" w:ascii="宋体" w:hAnsi="宋体" w:cs="Calibri"/>
                <w:color w:val="auto"/>
                <w:sz w:val="24"/>
                <w:lang w:val="en-US" w:eastAsia="zh-CN"/>
              </w:rPr>
              <w:t>1</w:t>
            </w:r>
            <w:r>
              <w:rPr>
                <w:rFonts w:ascii="宋体" w:hAnsi="宋体" w:cs="Calibri"/>
                <w:color w:val="auto"/>
                <w:sz w:val="24"/>
              </w:rPr>
              <w:t>）按本项关于企业内部管理制度健全程度、操作规程细则程度、台账管理明确程度、岗位责任落实程度的要求，对投标人提供的</w:t>
            </w:r>
            <w:r>
              <w:rPr>
                <w:rFonts w:hint="eastAsia" w:ascii="宋体" w:hAnsi="宋体" w:cs="Calibri"/>
                <w:color w:val="auto"/>
                <w:sz w:val="24"/>
                <w:lang w:val="en-US" w:eastAsia="zh-CN"/>
              </w:rPr>
              <w:t>相关</w:t>
            </w:r>
            <w:r>
              <w:rPr>
                <w:rFonts w:ascii="宋体" w:hAnsi="宋体" w:cs="Calibri"/>
                <w:color w:val="auto"/>
                <w:sz w:val="24"/>
              </w:rPr>
              <w:t>管理制度方案进行评分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02343D1D">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992" w:type="dxa"/>
            <w:vAlign w:val="center"/>
          </w:tcPr>
          <w:p w14:paraId="3538A8A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Merge w:val="restart"/>
            <w:vAlign w:val="center"/>
          </w:tcPr>
          <w:p w14:paraId="77ACD88C">
            <w:pPr>
              <w:snapToGrid w:val="0"/>
              <w:spacing w:line="360" w:lineRule="auto"/>
              <w:jc w:val="center"/>
              <w:rPr>
                <w:rFonts w:cs="仿宋_GB2312" w:asciiTheme="minorEastAsia" w:hAnsiTheme="minorEastAsia" w:eastAsiaTheme="minorEastAsia"/>
                <w:b w:val="0"/>
                <w:bCs w:val="0"/>
                <w:color w:val="auto"/>
                <w:sz w:val="24"/>
              </w:rPr>
            </w:pPr>
            <w:r>
              <w:rPr>
                <w:rFonts w:ascii="宋体" w:hAnsi="宋体" w:cs="Calibri"/>
                <w:b w:val="0"/>
                <w:bCs w:val="0"/>
                <w:color w:val="auto"/>
                <w:sz w:val="24"/>
              </w:rPr>
              <w:t>项目管理方案</w:t>
            </w:r>
          </w:p>
        </w:tc>
      </w:tr>
      <w:tr w14:paraId="3C29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96" w:type="dxa"/>
            <w:vMerge w:val="continue"/>
            <w:vAlign w:val="center"/>
          </w:tcPr>
          <w:p w14:paraId="0E6D13A0">
            <w:pPr>
              <w:snapToGrid w:val="0"/>
              <w:spacing w:line="360" w:lineRule="auto"/>
              <w:jc w:val="left"/>
              <w:rPr>
                <w:color w:val="auto"/>
              </w:rPr>
            </w:pPr>
          </w:p>
        </w:tc>
        <w:tc>
          <w:tcPr>
            <w:tcW w:w="5542" w:type="dxa"/>
            <w:vAlign w:val="center"/>
          </w:tcPr>
          <w:p w14:paraId="668893AE">
            <w:pPr>
              <w:snapToGrid w:val="0"/>
              <w:spacing w:line="360" w:lineRule="auto"/>
              <w:jc w:val="left"/>
              <w:rPr>
                <w:rFonts w:hint="eastAsia" w:ascii="宋体" w:hAnsi="宋体" w:cs="Calibri"/>
                <w:color w:val="auto"/>
                <w:sz w:val="24"/>
              </w:rPr>
            </w:pPr>
            <w:r>
              <w:rPr>
                <w:rFonts w:hint="eastAsia" w:ascii="宋体" w:hAnsi="宋体" w:cs="Calibri"/>
                <w:color w:val="auto"/>
                <w:sz w:val="24"/>
              </w:rPr>
              <w:t>（</w:t>
            </w:r>
            <w:r>
              <w:rPr>
                <w:rFonts w:hint="eastAsia" w:ascii="宋体" w:hAnsi="宋体" w:cs="Calibri"/>
                <w:color w:val="auto"/>
                <w:sz w:val="24"/>
                <w:lang w:val="en-US" w:eastAsia="zh-CN"/>
              </w:rPr>
              <w:t>2</w:t>
            </w:r>
            <w:r>
              <w:rPr>
                <w:rFonts w:hint="eastAsia" w:ascii="宋体" w:hAnsi="宋体" w:cs="Calibri"/>
                <w:color w:val="auto"/>
                <w:sz w:val="24"/>
              </w:rPr>
              <w:t>）原材料实行验货（农残检测）、登记、存储、加工制度、与流程管理方案</w:t>
            </w:r>
            <w:r>
              <w:rPr>
                <w:rFonts w:ascii="宋体" w:hAnsi="宋体" w:cs="Calibri"/>
                <w:color w:val="auto"/>
                <w:sz w:val="24"/>
              </w:rPr>
              <w:t>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792CBA0C">
            <w:pPr>
              <w:snapToGrid w:val="0"/>
              <w:spacing w:line="360" w:lineRule="auto"/>
              <w:jc w:val="center"/>
              <w:rPr>
                <w:rFonts w:hint="eastAsia" w:ascii="宋体" w:hAnsi="宋体" w:eastAsia="宋体" w:cs="Calibri"/>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992" w:type="dxa"/>
            <w:vAlign w:val="center"/>
          </w:tcPr>
          <w:p w14:paraId="70138811">
            <w:pPr>
              <w:snapToGrid w:val="0"/>
              <w:spacing w:line="360" w:lineRule="auto"/>
              <w:jc w:val="center"/>
              <w:rPr>
                <w:rFonts w:hint="eastAsia" w:ascii="宋体" w:hAnsi="宋体" w:cs="Calibri"/>
                <w:color w:val="auto"/>
                <w:sz w:val="24"/>
              </w:rPr>
            </w:pPr>
            <w:r>
              <w:rPr>
                <w:rFonts w:hint="eastAsia" w:cs="仿宋_GB2312" w:asciiTheme="minorEastAsia" w:hAnsiTheme="minorEastAsia" w:eastAsiaTheme="minorEastAsia"/>
                <w:color w:val="auto"/>
                <w:sz w:val="24"/>
              </w:rPr>
              <w:t>主观分</w:t>
            </w:r>
          </w:p>
        </w:tc>
        <w:tc>
          <w:tcPr>
            <w:tcW w:w="1417" w:type="dxa"/>
            <w:vMerge w:val="continue"/>
            <w:vAlign w:val="center"/>
          </w:tcPr>
          <w:p w14:paraId="2A160837">
            <w:pPr>
              <w:snapToGrid w:val="0"/>
              <w:spacing w:line="360" w:lineRule="auto"/>
              <w:jc w:val="center"/>
              <w:rPr>
                <w:rFonts w:hint="eastAsia" w:ascii="宋体" w:hAnsi="宋体" w:cs="Calibri"/>
                <w:b w:val="0"/>
                <w:bCs w:val="0"/>
                <w:color w:val="auto"/>
                <w:sz w:val="24"/>
              </w:rPr>
            </w:pPr>
          </w:p>
        </w:tc>
      </w:tr>
      <w:tr w14:paraId="26E9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02427C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42" w:type="dxa"/>
            <w:vAlign w:val="center"/>
          </w:tcPr>
          <w:p w14:paraId="6BA4E131">
            <w:pPr>
              <w:adjustRightInd/>
              <w:spacing w:line="360" w:lineRule="auto"/>
              <w:jc w:val="left"/>
              <w:rPr>
                <w:rFonts w:ascii="宋体" w:hAnsi="宋体" w:cs="Calibri"/>
                <w:b/>
                <w:color w:val="auto"/>
                <w:sz w:val="24"/>
              </w:rPr>
            </w:pPr>
            <w:r>
              <w:rPr>
                <w:rFonts w:ascii="宋体" w:hAnsi="宋体" w:cs="Calibri"/>
                <w:b/>
                <w:color w:val="auto"/>
                <w:sz w:val="24"/>
              </w:rPr>
              <w:t>卫生管理方案</w:t>
            </w:r>
            <w:r>
              <w:rPr>
                <w:rFonts w:hint="eastAsia" w:ascii="宋体" w:hAnsi="宋体" w:cs="Calibri"/>
                <w:b/>
                <w:color w:val="auto"/>
                <w:sz w:val="24"/>
              </w:rPr>
              <w:t>：</w:t>
            </w:r>
          </w:p>
          <w:p w14:paraId="0EB82E26">
            <w:pPr>
              <w:snapToGrid w:val="0"/>
              <w:spacing w:line="360" w:lineRule="auto"/>
              <w:jc w:val="left"/>
              <w:rPr>
                <w:rFonts w:ascii="宋体" w:hAnsi="宋体" w:cs="仿宋_GB2312"/>
                <w:color w:val="auto"/>
                <w:sz w:val="24"/>
              </w:rPr>
            </w:pPr>
            <w:r>
              <w:rPr>
                <w:rFonts w:ascii="宋体" w:hAnsi="宋体" w:cs="Calibri"/>
                <w:color w:val="auto"/>
                <w:sz w:val="24"/>
              </w:rPr>
              <w:t>按本项关于卫生管理制度的要求</w:t>
            </w:r>
            <w:r>
              <w:rPr>
                <w:rFonts w:hint="eastAsia" w:ascii="宋体" w:hAnsi="宋体" w:cs="Calibri"/>
                <w:color w:val="auto"/>
                <w:sz w:val="24"/>
                <w:lang w:val="en-US" w:eastAsia="zh-CN"/>
              </w:rPr>
              <w:t>包含但不限于食品卫生、人员卫生、环境卫生、立即处理方案</w:t>
            </w:r>
            <w:r>
              <w:rPr>
                <w:rFonts w:ascii="宋体" w:hAnsi="宋体" w:cs="Calibri"/>
                <w:color w:val="auto"/>
                <w:sz w:val="24"/>
              </w:rPr>
              <w:t>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16A2E6B9">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992" w:type="dxa"/>
            <w:vAlign w:val="center"/>
          </w:tcPr>
          <w:p w14:paraId="4E20730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7F9E4540">
            <w:pPr>
              <w:snapToGrid w:val="0"/>
              <w:spacing w:line="360" w:lineRule="auto"/>
              <w:jc w:val="center"/>
              <w:rPr>
                <w:rFonts w:cs="仿宋_GB2312" w:asciiTheme="minorEastAsia" w:hAnsiTheme="minorEastAsia" w:eastAsiaTheme="minorEastAsia"/>
                <w:b w:val="0"/>
                <w:bCs w:val="0"/>
                <w:color w:val="auto"/>
                <w:sz w:val="24"/>
              </w:rPr>
            </w:pPr>
            <w:r>
              <w:rPr>
                <w:rFonts w:ascii="宋体" w:hAnsi="宋体" w:cs="Calibri"/>
                <w:b w:val="0"/>
                <w:bCs w:val="0"/>
                <w:color w:val="auto"/>
                <w:sz w:val="24"/>
              </w:rPr>
              <w:t>卫生管理方案</w:t>
            </w:r>
          </w:p>
        </w:tc>
      </w:tr>
      <w:tr w14:paraId="6C86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5E29B6D">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42" w:type="dxa"/>
            <w:vAlign w:val="center"/>
          </w:tcPr>
          <w:p w14:paraId="0FB2B00C">
            <w:pPr>
              <w:adjustRightInd/>
              <w:spacing w:line="360" w:lineRule="auto"/>
              <w:jc w:val="left"/>
              <w:rPr>
                <w:rFonts w:ascii="宋体" w:hAnsi="宋体" w:cs="Calibri"/>
                <w:b/>
                <w:color w:val="auto"/>
                <w:sz w:val="24"/>
              </w:rPr>
            </w:pPr>
            <w:r>
              <w:rPr>
                <w:rFonts w:ascii="宋体" w:hAnsi="宋体" w:cs="Calibri"/>
                <w:b/>
                <w:color w:val="auto"/>
                <w:sz w:val="24"/>
              </w:rPr>
              <w:t>安全管理方案</w:t>
            </w:r>
            <w:r>
              <w:rPr>
                <w:rFonts w:hint="eastAsia" w:ascii="宋体" w:hAnsi="宋体" w:cs="Calibri"/>
                <w:b/>
                <w:color w:val="auto"/>
                <w:sz w:val="24"/>
              </w:rPr>
              <w:t>：</w:t>
            </w:r>
          </w:p>
          <w:p w14:paraId="5C8F82CF">
            <w:pPr>
              <w:snapToGrid w:val="0"/>
              <w:spacing w:line="360" w:lineRule="auto"/>
              <w:jc w:val="left"/>
              <w:rPr>
                <w:rFonts w:ascii="宋体" w:hAnsi="宋体" w:cs="仿宋_GB2312"/>
                <w:color w:val="auto"/>
                <w:sz w:val="24"/>
              </w:rPr>
            </w:pPr>
            <w:r>
              <w:rPr>
                <w:rFonts w:ascii="宋体" w:hAnsi="宋体" w:cs="Calibri"/>
                <w:color w:val="auto"/>
                <w:sz w:val="24"/>
              </w:rPr>
              <w:t>按本项关于安全管理制度的要求，对投标人提供的食品安全、生产安全承诺、风险分析及可行控制方案进行评分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743EDAD8">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宋体" w:hAnsi="宋体" w:cs="Calibri" w:eastAsiaTheme="minorEastAsia"/>
                <w:color w:val="auto"/>
                <w:sz w:val="24"/>
                <w:lang w:val="en-US" w:eastAsia="zh-CN"/>
              </w:rPr>
              <w:t>5</w:t>
            </w:r>
          </w:p>
        </w:tc>
        <w:tc>
          <w:tcPr>
            <w:tcW w:w="992" w:type="dxa"/>
            <w:vAlign w:val="center"/>
          </w:tcPr>
          <w:p w14:paraId="6E35F2AE">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245CEA74">
            <w:pPr>
              <w:snapToGrid w:val="0"/>
              <w:spacing w:line="360" w:lineRule="auto"/>
              <w:jc w:val="center"/>
              <w:rPr>
                <w:rFonts w:cs="仿宋_GB2312" w:asciiTheme="minorEastAsia" w:hAnsiTheme="minorEastAsia" w:eastAsiaTheme="minorEastAsia"/>
                <w:b w:val="0"/>
                <w:bCs w:val="0"/>
                <w:color w:val="auto"/>
                <w:sz w:val="24"/>
              </w:rPr>
            </w:pPr>
            <w:r>
              <w:rPr>
                <w:rFonts w:ascii="宋体" w:hAnsi="宋体" w:cs="Calibri"/>
                <w:b w:val="0"/>
                <w:bCs w:val="0"/>
                <w:color w:val="auto"/>
                <w:sz w:val="24"/>
              </w:rPr>
              <w:t>安全管理方案</w:t>
            </w:r>
          </w:p>
        </w:tc>
      </w:tr>
      <w:tr w14:paraId="1013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C92E08E">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0</w:t>
            </w:r>
          </w:p>
        </w:tc>
        <w:tc>
          <w:tcPr>
            <w:tcW w:w="5542" w:type="dxa"/>
            <w:vAlign w:val="center"/>
          </w:tcPr>
          <w:p w14:paraId="21E00E6A">
            <w:pPr>
              <w:adjustRightInd/>
              <w:spacing w:line="360" w:lineRule="auto"/>
              <w:jc w:val="left"/>
              <w:rPr>
                <w:color w:val="auto"/>
              </w:rPr>
            </w:pPr>
            <w:r>
              <w:rPr>
                <w:rFonts w:ascii="宋体" w:hAnsi="宋体" w:cs="Calibri"/>
                <w:b/>
                <w:color w:val="auto"/>
                <w:sz w:val="24"/>
              </w:rPr>
              <w:t>节能管理方案</w:t>
            </w:r>
            <w:r>
              <w:rPr>
                <w:rFonts w:hint="eastAsia" w:ascii="宋体" w:hAnsi="宋体" w:cs="Calibri"/>
                <w:b/>
                <w:color w:val="auto"/>
                <w:sz w:val="24"/>
              </w:rPr>
              <w:t>：</w:t>
            </w:r>
          </w:p>
          <w:p w14:paraId="30661D8F">
            <w:pPr>
              <w:snapToGrid w:val="0"/>
              <w:spacing w:line="360" w:lineRule="auto"/>
              <w:jc w:val="left"/>
              <w:rPr>
                <w:rFonts w:ascii="宋体" w:hAnsi="宋体" w:cs="仿宋_GB2312"/>
                <w:color w:val="auto"/>
                <w:sz w:val="24"/>
              </w:rPr>
            </w:pPr>
            <w:r>
              <w:rPr>
                <w:rFonts w:ascii="宋体" w:hAnsi="宋体" w:cs="Calibri"/>
                <w:color w:val="auto"/>
                <w:sz w:val="24"/>
              </w:rPr>
              <w:t>按本项关于节能管理制度的要求，对投标人提供的节能管理制度方案进行评分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0F058BFE">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992" w:type="dxa"/>
            <w:vAlign w:val="center"/>
          </w:tcPr>
          <w:p w14:paraId="25526A4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3FDFFFD5">
            <w:pPr>
              <w:snapToGrid w:val="0"/>
              <w:spacing w:line="360" w:lineRule="auto"/>
              <w:jc w:val="center"/>
              <w:rPr>
                <w:rFonts w:cs="仿宋_GB2312" w:asciiTheme="minorEastAsia" w:hAnsiTheme="minorEastAsia" w:eastAsiaTheme="minorEastAsia"/>
                <w:b w:val="0"/>
                <w:bCs w:val="0"/>
                <w:color w:val="auto"/>
                <w:sz w:val="24"/>
              </w:rPr>
            </w:pPr>
            <w:r>
              <w:rPr>
                <w:rFonts w:ascii="宋体" w:hAnsi="宋体" w:cs="Calibri"/>
                <w:b w:val="0"/>
                <w:bCs w:val="0"/>
                <w:color w:val="auto"/>
                <w:sz w:val="24"/>
              </w:rPr>
              <w:t>节能管理方案</w:t>
            </w:r>
          </w:p>
        </w:tc>
      </w:tr>
      <w:tr w14:paraId="4277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161F1DC">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1</w:t>
            </w:r>
          </w:p>
        </w:tc>
        <w:tc>
          <w:tcPr>
            <w:tcW w:w="5542" w:type="dxa"/>
            <w:vAlign w:val="center"/>
          </w:tcPr>
          <w:p w14:paraId="1F714083">
            <w:pPr>
              <w:adjustRightInd/>
              <w:spacing w:line="360" w:lineRule="auto"/>
              <w:jc w:val="left"/>
              <w:rPr>
                <w:rFonts w:ascii="宋体" w:hAnsi="宋体" w:cs="Calibri"/>
                <w:b/>
                <w:bCs/>
                <w:color w:val="auto"/>
                <w:sz w:val="24"/>
              </w:rPr>
            </w:pPr>
            <w:r>
              <w:rPr>
                <w:rFonts w:hAnsi="宋体" w:cs="Calibri"/>
                <w:b/>
                <w:bCs/>
                <w:color w:val="auto"/>
                <w:sz w:val="24"/>
              </w:rPr>
              <w:t>筹备方案</w:t>
            </w:r>
            <w:r>
              <w:rPr>
                <w:rFonts w:hint="eastAsia" w:hAnsi="宋体" w:cs="Calibri"/>
                <w:b/>
                <w:bCs/>
                <w:color w:val="auto"/>
                <w:sz w:val="24"/>
              </w:rPr>
              <w:t>：</w:t>
            </w:r>
          </w:p>
          <w:p w14:paraId="54BAF516">
            <w:pPr>
              <w:snapToGrid w:val="0"/>
              <w:spacing w:line="360" w:lineRule="auto"/>
              <w:jc w:val="left"/>
              <w:rPr>
                <w:rFonts w:ascii="宋体" w:hAnsi="宋体" w:cs="仿宋_GB2312"/>
                <w:color w:val="auto"/>
                <w:sz w:val="24"/>
              </w:rPr>
            </w:pPr>
            <w:r>
              <w:rPr>
                <w:rFonts w:ascii="宋体" w:hAnsi="宋体" w:cs="Calibri"/>
                <w:color w:val="auto"/>
                <w:sz w:val="24"/>
              </w:rPr>
              <w:t>按本项关于筹备计划的要求，对投标人提供的方案的相关内容，重点考察投标人对筹备工作的认识程度，对筹备过程中承诺的支持力度，以及按时开张的可行性，对现有食堂人员的分流安排，投标人在后续过程中的工作计划等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772B115E">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4</w:t>
            </w:r>
          </w:p>
        </w:tc>
        <w:tc>
          <w:tcPr>
            <w:tcW w:w="992" w:type="dxa"/>
            <w:vAlign w:val="center"/>
          </w:tcPr>
          <w:p w14:paraId="1993D49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3A4367DA">
            <w:pPr>
              <w:snapToGrid w:val="0"/>
              <w:spacing w:line="360" w:lineRule="auto"/>
              <w:jc w:val="center"/>
              <w:rPr>
                <w:rFonts w:cs="仿宋_GB2312" w:asciiTheme="minorEastAsia" w:hAnsiTheme="minorEastAsia" w:eastAsiaTheme="minorEastAsia"/>
                <w:b w:val="0"/>
                <w:bCs w:val="0"/>
                <w:color w:val="auto"/>
                <w:sz w:val="24"/>
              </w:rPr>
            </w:pPr>
            <w:r>
              <w:rPr>
                <w:rFonts w:hAnsi="宋体" w:cs="Calibri"/>
                <w:b w:val="0"/>
                <w:bCs w:val="0"/>
                <w:color w:val="auto"/>
                <w:sz w:val="24"/>
              </w:rPr>
              <w:t>筹备方案</w:t>
            </w:r>
          </w:p>
        </w:tc>
      </w:tr>
      <w:tr w14:paraId="6A71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DFC7F96">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2</w:t>
            </w:r>
          </w:p>
        </w:tc>
        <w:tc>
          <w:tcPr>
            <w:tcW w:w="5542" w:type="dxa"/>
            <w:vAlign w:val="center"/>
          </w:tcPr>
          <w:p w14:paraId="7BC9DDE2">
            <w:pPr>
              <w:snapToGrid w:val="0"/>
              <w:spacing w:line="360" w:lineRule="auto"/>
              <w:jc w:val="left"/>
              <w:rPr>
                <w:rFonts w:ascii="宋体" w:hAnsi="宋体" w:cs="Calibri"/>
                <w:b/>
                <w:bCs/>
                <w:color w:val="auto"/>
                <w:sz w:val="24"/>
              </w:rPr>
            </w:pPr>
            <w:r>
              <w:rPr>
                <w:rFonts w:hAnsi="宋体" w:cs="Calibri"/>
                <w:b/>
                <w:bCs/>
                <w:color w:val="auto"/>
                <w:sz w:val="24"/>
              </w:rPr>
              <w:t>服务质量保证措施</w:t>
            </w:r>
            <w:r>
              <w:rPr>
                <w:rFonts w:hint="eastAsia" w:hAnsi="宋体" w:cs="Calibri"/>
                <w:b/>
                <w:bCs/>
                <w:color w:val="auto"/>
                <w:sz w:val="24"/>
              </w:rPr>
              <w:t>：</w:t>
            </w:r>
          </w:p>
          <w:p w14:paraId="34346A01">
            <w:pPr>
              <w:snapToGrid w:val="0"/>
              <w:spacing w:line="360" w:lineRule="auto"/>
              <w:jc w:val="left"/>
              <w:rPr>
                <w:rFonts w:ascii="宋体" w:hAnsi="宋体" w:cs="仿宋_GB2312"/>
                <w:color w:val="auto"/>
                <w:sz w:val="24"/>
              </w:rPr>
            </w:pPr>
            <w:r>
              <w:rPr>
                <w:rFonts w:ascii="宋体" w:hAnsi="宋体" w:cs="Calibri"/>
                <w:b w:val="0"/>
                <w:bCs w:val="0"/>
                <w:color w:val="auto"/>
                <w:sz w:val="24"/>
              </w:rPr>
              <w:t>按本项关于</w:t>
            </w:r>
            <w:r>
              <w:rPr>
                <w:rFonts w:hAnsi="宋体" w:cs="Calibri"/>
                <w:b w:val="0"/>
                <w:bCs w:val="0"/>
                <w:color w:val="auto"/>
                <w:sz w:val="24"/>
              </w:rPr>
              <w:t>服务质量保证</w:t>
            </w:r>
            <w:r>
              <w:rPr>
                <w:rFonts w:ascii="宋体" w:hAnsi="宋体" w:cs="Calibri"/>
                <w:b w:val="0"/>
                <w:bCs w:val="0"/>
                <w:color w:val="auto"/>
                <w:sz w:val="24"/>
              </w:rPr>
              <w:t>的要求，对投标人提供的</w:t>
            </w:r>
            <w:r>
              <w:rPr>
                <w:rFonts w:hAnsi="宋体" w:cs="Calibri"/>
                <w:b w:val="0"/>
                <w:bCs w:val="0"/>
                <w:color w:val="auto"/>
                <w:sz w:val="24"/>
              </w:rPr>
              <w:t>服务质量保证措施</w:t>
            </w:r>
            <w:r>
              <w:rPr>
                <w:rFonts w:ascii="宋体" w:hAnsi="宋体" w:cs="Calibri"/>
                <w:b w:val="0"/>
                <w:bCs w:val="0"/>
                <w:color w:val="auto"/>
                <w:sz w:val="24"/>
              </w:rPr>
              <w:t>进行评分</w:t>
            </w:r>
            <w:r>
              <w:rPr>
                <w:rFonts w:hint="eastAsia" w:ascii="宋体" w:hAnsi="宋体" w:cs="仿宋_GB2312"/>
                <w:b w:val="0"/>
                <w:bCs w:val="0"/>
                <w:color w:val="auto"/>
                <w:sz w:val="24"/>
              </w:rPr>
              <w:t>（</w:t>
            </w:r>
            <w:r>
              <w:rPr>
                <w:rFonts w:hint="eastAsia" w:ascii="宋体" w:hAnsi="宋体" w:cs="Calibri"/>
                <w:b w:val="0"/>
                <w:bCs w:val="0"/>
                <w:color w:val="auto"/>
                <w:sz w:val="24"/>
              </w:rPr>
              <w:t>评分范围：</w:t>
            </w:r>
            <w:r>
              <w:rPr>
                <w:rFonts w:hint="eastAsia" w:cs="仿宋_GB2312" w:asciiTheme="minorEastAsia" w:hAnsiTheme="minorEastAsia" w:eastAsiaTheme="minorEastAsia"/>
                <w:color w:val="auto"/>
                <w:sz w:val="24"/>
                <w:lang w:val="en-US" w:eastAsia="zh-CN"/>
              </w:rPr>
              <w:t>4，</w:t>
            </w:r>
            <w:r>
              <w:rPr>
                <w:rFonts w:hint="eastAsia" w:ascii="宋体" w:hAnsi="宋体" w:cs="Calibri"/>
                <w:b w:val="0"/>
                <w:bCs w:val="0"/>
                <w:color w:val="auto"/>
                <w:sz w:val="24"/>
              </w:rPr>
              <w:t>3，2，1，0</w:t>
            </w:r>
            <w:r>
              <w:rPr>
                <w:rFonts w:hint="eastAsia" w:ascii="宋体" w:hAnsi="宋体" w:cs="仿宋_GB2312"/>
                <w:b w:val="0"/>
                <w:bCs w:val="0"/>
                <w:color w:val="auto"/>
                <w:sz w:val="24"/>
              </w:rPr>
              <w:t>）</w:t>
            </w:r>
            <w:r>
              <w:rPr>
                <w:rFonts w:ascii="宋体" w:hAnsi="宋体" w:cs="Calibri"/>
                <w:b w:val="0"/>
                <w:bCs w:val="0"/>
                <w:color w:val="auto"/>
                <w:sz w:val="24"/>
              </w:rPr>
              <w:t>。</w:t>
            </w:r>
          </w:p>
        </w:tc>
        <w:tc>
          <w:tcPr>
            <w:tcW w:w="851" w:type="dxa"/>
            <w:vAlign w:val="center"/>
          </w:tcPr>
          <w:p w14:paraId="6F4356DB">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992" w:type="dxa"/>
            <w:vAlign w:val="center"/>
          </w:tcPr>
          <w:p w14:paraId="6D8236F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40D4EAD1">
            <w:pPr>
              <w:snapToGrid w:val="0"/>
              <w:spacing w:line="360" w:lineRule="auto"/>
              <w:jc w:val="center"/>
              <w:rPr>
                <w:rFonts w:cs="仿宋_GB2312" w:asciiTheme="minorEastAsia" w:hAnsiTheme="minorEastAsia" w:eastAsiaTheme="minorEastAsia"/>
                <w:b w:val="0"/>
                <w:bCs w:val="0"/>
                <w:color w:val="auto"/>
                <w:sz w:val="24"/>
              </w:rPr>
            </w:pPr>
            <w:r>
              <w:rPr>
                <w:rFonts w:hAnsi="宋体" w:cs="Calibri"/>
                <w:b w:val="0"/>
                <w:bCs w:val="0"/>
                <w:color w:val="auto"/>
                <w:sz w:val="24"/>
              </w:rPr>
              <w:t>服务质量保证措施</w:t>
            </w:r>
          </w:p>
        </w:tc>
      </w:tr>
      <w:tr w14:paraId="7F10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47609B6">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3</w:t>
            </w:r>
          </w:p>
        </w:tc>
        <w:tc>
          <w:tcPr>
            <w:tcW w:w="5542" w:type="dxa"/>
            <w:vAlign w:val="center"/>
          </w:tcPr>
          <w:p w14:paraId="72A6E585">
            <w:pPr>
              <w:snapToGrid w:val="0"/>
              <w:spacing w:line="360" w:lineRule="auto"/>
              <w:jc w:val="left"/>
              <w:rPr>
                <w:rFonts w:ascii="宋体" w:hAnsi="宋体" w:cs="Calibri"/>
                <w:b/>
                <w:bCs/>
                <w:color w:val="auto"/>
                <w:sz w:val="24"/>
              </w:rPr>
            </w:pPr>
            <w:r>
              <w:rPr>
                <w:rFonts w:hint="eastAsia" w:ascii="宋体" w:hAnsi="宋体" w:cs="Calibri"/>
                <w:b/>
                <w:bCs/>
                <w:color w:val="auto"/>
                <w:sz w:val="24"/>
              </w:rPr>
              <w:t>验收方案：</w:t>
            </w:r>
          </w:p>
          <w:p w14:paraId="65897F2B">
            <w:pPr>
              <w:snapToGrid w:val="0"/>
              <w:spacing w:line="360" w:lineRule="auto"/>
              <w:jc w:val="left"/>
              <w:rPr>
                <w:rFonts w:ascii="宋体" w:hAnsi="宋体" w:cs="仿宋_GB2312"/>
                <w:color w:val="auto"/>
                <w:sz w:val="24"/>
              </w:rPr>
            </w:pPr>
            <w:r>
              <w:rPr>
                <w:rFonts w:ascii="宋体" w:hAnsi="宋体" w:cs="Calibri"/>
                <w:color w:val="auto"/>
                <w:sz w:val="24"/>
                <w:lang w:val="zh-CN"/>
              </w:rPr>
              <w:t>由评委对投标人提供的验收方案的合理性及可行性进行评分</w:t>
            </w:r>
            <w:r>
              <w:rPr>
                <w:rFonts w:hint="eastAsia" w:ascii="宋体" w:hAnsi="宋体" w:cs="仿宋_GB2312"/>
                <w:b w:val="0"/>
                <w:bCs w:val="0"/>
                <w:color w:val="auto"/>
                <w:sz w:val="24"/>
              </w:rPr>
              <w:t>（</w:t>
            </w:r>
            <w:r>
              <w:rPr>
                <w:rFonts w:hint="eastAsia" w:ascii="宋体" w:hAnsi="宋体" w:cs="Calibri"/>
                <w:b w:val="0"/>
                <w:bCs w:val="0"/>
                <w:color w:val="auto"/>
                <w:sz w:val="24"/>
              </w:rPr>
              <w:t>评分范围：3，2，1，0</w:t>
            </w:r>
            <w:r>
              <w:rPr>
                <w:rFonts w:hint="eastAsia" w:ascii="宋体" w:hAnsi="宋体" w:cs="仿宋_GB2312"/>
                <w:b w:val="0"/>
                <w:bCs w:val="0"/>
                <w:color w:val="auto"/>
                <w:sz w:val="24"/>
              </w:rPr>
              <w:t>）</w:t>
            </w:r>
            <w:r>
              <w:rPr>
                <w:rFonts w:ascii="宋体" w:hAnsi="宋体" w:cs="Calibri"/>
                <w:b w:val="0"/>
                <w:bCs w:val="0"/>
                <w:color w:val="auto"/>
                <w:sz w:val="24"/>
              </w:rPr>
              <w:t>。</w:t>
            </w:r>
          </w:p>
        </w:tc>
        <w:tc>
          <w:tcPr>
            <w:tcW w:w="851" w:type="dxa"/>
            <w:vAlign w:val="center"/>
          </w:tcPr>
          <w:p w14:paraId="0289232F">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3</w:t>
            </w:r>
          </w:p>
        </w:tc>
        <w:tc>
          <w:tcPr>
            <w:tcW w:w="992" w:type="dxa"/>
            <w:vAlign w:val="center"/>
          </w:tcPr>
          <w:p w14:paraId="567D0E55">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6FE206D5">
            <w:pPr>
              <w:snapToGrid w:val="0"/>
              <w:spacing w:line="360" w:lineRule="auto"/>
              <w:jc w:val="center"/>
              <w:rPr>
                <w:rFonts w:cs="仿宋_GB2312" w:asciiTheme="minorEastAsia" w:hAnsiTheme="minorEastAsia" w:eastAsiaTheme="minorEastAsia"/>
                <w:b w:val="0"/>
                <w:bCs w:val="0"/>
                <w:color w:val="auto"/>
                <w:sz w:val="24"/>
              </w:rPr>
            </w:pPr>
            <w:r>
              <w:rPr>
                <w:rFonts w:hint="eastAsia" w:ascii="宋体" w:hAnsi="宋体" w:cs="Calibri"/>
                <w:b w:val="0"/>
                <w:bCs w:val="0"/>
                <w:color w:val="auto"/>
                <w:sz w:val="24"/>
              </w:rPr>
              <w:t>验收方案</w:t>
            </w:r>
          </w:p>
        </w:tc>
      </w:tr>
      <w:tr w14:paraId="622A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E43668C">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5542" w:type="dxa"/>
            <w:vAlign w:val="center"/>
          </w:tcPr>
          <w:p w14:paraId="4BB42A79">
            <w:pPr>
              <w:snapToGrid w:val="0"/>
              <w:spacing w:line="360" w:lineRule="auto"/>
              <w:jc w:val="left"/>
              <w:rPr>
                <w:rFonts w:hint="eastAsia" w:ascii="宋体" w:hAnsi="宋体" w:cs="Calibri"/>
                <w:b/>
                <w:bCs/>
                <w:color w:val="auto"/>
                <w:sz w:val="24"/>
                <w:lang w:val="en-US" w:eastAsia="zh-CN"/>
              </w:rPr>
            </w:pPr>
            <w:r>
              <w:rPr>
                <w:rFonts w:hint="eastAsia" w:ascii="宋体" w:hAnsi="宋体" w:cs="Calibri"/>
                <w:b/>
                <w:bCs/>
                <w:color w:val="auto"/>
                <w:sz w:val="24"/>
                <w:lang w:val="en-US" w:eastAsia="zh-CN"/>
              </w:rPr>
              <w:t>特色增值服务：</w:t>
            </w:r>
          </w:p>
          <w:p w14:paraId="1C05B3DA">
            <w:pPr>
              <w:snapToGrid w:val="0"/>
              <w:spacing w:line="360" w:lineRule="auto"/>
              <w:jc w:val="left"/>
              <w:rPr>
                <w:rFonts w:hint="default" w:ascii="宋体" w:hAnsi="宋体" w:eastAsia="宋体" w:cs="Calibri"/>
                <w:color w:val="auto"/>
                <w:sz w:val="24"/>
                <w:lang w:val="en-US" w:eastAsia="zh-CN"/>
              </w:rPr>
            </w:pPr>
            <w:r>
              <w:rPr>
                <w:rFonts w:hint="eastAsia" w:ascii="宋体" w:hAnsi="宋体" w:cs="仿宋_GB2312"/>
                <w:color w:val="auto"/>
                <w:sz w:val="24"/>
                <w:lang w:val="en-US" w:eastAsia="zh-CN"/>
              </w:rPr>
              <w:t>根据投标人</w:t>
            </w:r>
            <w:r>
              <w:rPr>
                <w:rFonts w:hint="eastAsia" w:ascii="宋体" w:hAnsi="宋体" w:cs="仿宋_GB2312"/>
                <w:color w:val="auto"/>
                <w:sz w:val="24"/>
              </w:rPr>
              <w:t>提出的有利于采购人此项目工作开展的增值服务内容，依据其价值和服务的相关性和有益性评审，有正面意义的增值服务的</w:t>
            </w:r>
            <w:r>
              <w:rPr>
                <w:rFonts w:ascii="宋体" w:hAnsi="宋体" w:cs="Calibri"/>
                <w:color w:val="auto"/>
                <w:sz w:val="24"/>
                <w:lang w:val="zh-CN"/>
              </w:rPr>
              <w:t>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05F91866">
            <w:pPr>
              <w:snapToGrid w:val="0"/>
              <w:spacing w:line="360" w:lineRule="auto"/>
              <w:jc w:val="center"/>
              <w:rPr>
                <w:rFonts w:hint="eastAsia" w:ascii="宋体" w:hAnsi="宋体" w:eastAsia="宋体" w:cs="Calibri"/>
                <w:color w:val="auto"/>
                <w:sz w:val="24"/>
                <w:lang w:val="en-US" w:eastAsia="zh-CN"/>
              </w:rPr>
            </w:pPr>
            <w:r>
              <w:rPr>
                <w:rFonts w:hint="eastAsia" w:ascii="宋体" w:hAnsi="宋体" w:cs="Calibri"/>
                <w:color w:val="auto"/>
                <w:sz w:val="24"/>
                <w:lang w:val="en-US" w:eastAsia="zh-CN"/>
              </w:rPr>
              <w:t>5</w:t>
            </w:r>
          </w:p>
        </w:tc>
        <w:tc>
          <w:tcPr>
            <w:tcW w:w="992" w:type="dxa"/>
            <w:vAlign w:val="center"/>
          </w:tcPr>
          <w:p w14:paraId="12403D5C">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274C66F2">
            <w:pPr>
              <w:snapToGrid w:val="0"/>
              <w:spacing w:line="360" w:lineRule="auto"/>
              <w:jc w:val="center"/>
              <w:rPr>
                <w:rFonts w:cs="仿宋_GB2312" w:asciiTheme="minorEastAsia" w:hAnsiTheme="minorEastAsia" w:eastAsiaTheme="minorEastAsia"/>
                <w:b w:val="0"/>
                <w:bCs w:val="0"/>
                <w:color w:val="auto"/>
                <w:sz w:val="24"/>
              </w:rPr>
            </w:pPr>
            <w:r>
              <w:rPr>
                <w:rFonts w:hint="eastAsia" w:ascii="宋体" w:hAnsi="宋体" w:cs="Calibri"/>
                <w:b w:val="0"/>
                <w:bCs w:val="0"/>
                <w:color w:val="auto"/>
                <w:sz w:val="24"/>
                <w:lang w:val="en-US" w:eastAsia="zh-CN"/>
              </w:rPr>
              <w:t>特色增值服务</w:t>
            </w:r>
          </w:p>
        </w:tc>
      </w:tr>
      <w:tr w14:paraId="43C8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788C9FD">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15</w:t>
            </w:r>
          </w:p>
        </w:tc>
        <w:tc>
          <w:tcPr>
            <w:tcW w:w="5542" w:type="dxa"/>
            <w:vAlign w:val="center"/>
          </w:tcPr>
          <w:p w14:paraId="76980AA6">
            <w:pPr>
              <w:snapToGrid w:val="0"/>
              <w:spacing w:line="360" w:lineRule="auto"/>
              <w:jc w:val="left"/>
              <w:rPr>
                <w:rFonts w:hint="eastAsia" w:ascii="宋体" w:hAnsi="宋体" w:cs="Calibri"/>
                <w:b/>
                <w:bCs/>
                <w:color w:val="auto"/>
                <w:sz w:val="24"/>
                <w:lang w:val="en-US" w:eastAsia="zh-CN"/>
              </w:rPr>
            </w:pPr>
            <w:r>
              <w:rPr>
                <w:rFonts w:hint="eastAsia" w:ascii="宋体" w:hAnsi="宋体" w:cs="Calibri"/>
                <w:b/>
                <w:bCs/>
                <w:color w:val="auto"/>
                <w:sz w:val="24"/>
                <w:lang w:val="en-US" w:eastAsia="zh-CN"/>
              </w:rPr>
              <w:t>合理化建议：</w:t>
            </w:r>
          </w:p>
          <w:p w14:paraId="4CEDF645">
            <w:pPr>
              <w:snapToGrid w:val="0"/>
              <w:spacing w:line="360" w:lineRule="auto"/>
              <w:jc w:val="left"/>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提供针对本项目有实际意义的合理化建议和改进措施（评分范围：2，1，0）。</w:t>
            </w:r>
          </w:p>
        </w:tc>
        <w:tc>
          <w:tcPr>
            <w:tcW w:w="851" w:type="dxa"/>
            <w:vAlign w:val="center"/>
          </w:tcPr>
          <w:p w14:paraId="38C3C227">
            <w:pPr>
              <w:snapToGrid w:val="0"/>
              <w:spacing w:line="360" w:lineRule="auto"/>
              <w:jc w:val="center"/>
              <w:rPr>
                <w:rFonts w:hint="default" w:ascii="宋体" w:hAnsi="宋体" w:cs="Calibri"/>
                <w:color w:val="auto"/>
                <w:sz w:val="24"/>
                <w:lang w:val="en-US" w:eastAsia="zh-CN"/>
              </w:rPr>
            </w:pPr>
            <w:r>
              <w:rPr>
                <w:rFonts w:hint="eastAsia" w:ascii="宋体" w:hAnsi="宋体" w:cs="Calibri"/>
                <w:color w:val="auto"/>
                <w:sz w:val="24"/>
                <w:lang w:val="en-US" w:eastAsia="zh-CN"/>
              </w:rPr>
              <w:t>2</w:t>
            </w:r>
          </w:p>
        </w:tc>
        <w:tc>
          <w:tcPr>
            <w:tcW w:w="992" w:type="dxa"/>
            <w:vAlign w:val="center"/>
          </w:tcPr>
          <w:p w14:paraId="7D61D290">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662C7CAC">
            <w:pPr>
              <w:snapToGrid w:val="0"/>
              <w:spacing w:line="360" w:lineRule="auto"/>
              <w:jc w:val="center"/>
              <w:rPr>
                <w:rFonts w:hint="eastAsia" w:ascii="宋体" w:hAnsi="宋体" w:cs="Calibri"/>
                <w:b w:val="0"/>
                <w:bCs w:val="0"/>
                <w:color w:val="auto"/>
                <w:sz w:val="24"/>
                <w:lang w:val="en-US" w:eastAsia="zh-CN"/>
              </w:rPr>
            </w:pPr>
            <w:r>
              <w:rPr>
                <w:rFonts w:hint="eastAsia" w:ascii="宋体" w:hAnsi="宋体" w:cs="Calibri"/>
                <w:b w:val="0"/>
                <w:bCs w:val="0"/>
                <w:color w:val="auto"/>
                <w:sz w:val="24"/>
                <w:lang w:val="en-US" w:eastAsia="zh-CN"/>
              </w:rPr>
              <w:t>合理化建议</w:t>
            </w:r>
          </w:p>
        </w:tc>
      </w:tr>
      <w:tr w14:paraId="5D64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6" w:type="dxa"/>
            <w:vMerge w:val="restart"/>
            <w:vAlign w:val="center"/>
          </w:tcPr>
          <w:p w14:paraId="19E2F9B1">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16</w:t>
            </w:r>
          </w:p>
        </w:tc>
        <w:tc>
          <w:tcPr>
            <w:tcW w:w="5542" w:type="dxa"/>
            <w:vAlign w:val="center"/>
          </w:tcPr>
          <w:p w14:paraId="7FF425FD">
            <w:pPr>
              <w:adjustRightInd/>
              <w:spacing w:line="360" w:lineRule="auto"/>
              <w:jc w:val="left"/>
              <w:rPr>
                <w:rFonts w:ascii="宋体" w:hAnsi="宋体" w:cs="Calibri"/>
                <w:b/>
                <w:bCs/>
                <w:color w:val="auto"/>
                <w:sz w:val="24"/>
              </w:rPr>
            </w:pPr>
            <w:r>
              <w:rPr>
                <w:rFonts w:hint="eastAsia" w:ascii="宋体" w:hAnsi="宋体" w:cs="Calibri"/>
                <w:b/>
                <w:bCs/>
                <w:color w:val="auto"/>
                <w:sz w:val="24"/>
              </w:rPr>
              <w:t>人员方案</w:t>
            </w:r>
            <w:r>
              <w:rPr>
                <w:rFonts w:hint="eastAsia" w:ascii="宋体" w:hAnsi="宋体" w:cs="Calibri"/>
                <w:b/>
                <w:bCs/>
                <w:color w:val="auto"/>
                <w:sz w:val="24"/>
                <w:lang w:eastAsia="zh-CN"/>
              </w:rPr>
              <w:t>（</w:t>
            </w:r>
            <w:r>
              <w:rPr>
                <w:rFonts w:hint="eastAsia" w:ascii="宋体" w:hAnsi="宋体" w:cs="Calibri"/>
                <w:color w:val="auto"/>
                <w:sz w:val="24"/>
                <w:lang w:val="en-US" w:eastAsia="zh-CN"/>
              </w:rPr>
              <w:t>以下</w:t>
            </w:r>
            <w:r>
              <w:rPr>
                <w:rFonts w:ascii="宋体" w:hAnsi="宋体" w:cs="Calibri"/>
                <w:color w:val="auto"/>
                <w:sz w:val="24"/>
              </w:rPr>
              <w:t>人员必须均为投标人在职员工，根据投标文件中</w:t>
            </w:r>
            <w:r>
              <w:rPr>
                <w:rFonts w:hint="eastAsia" w:ascii="宋体" w:hAnsi="宋体" w:cs="Calibri"/>
                <w:color w:val="auto"/>
                <w:sz w:val="24"/>
              </w:rPr>
              <w:t>提供以上人员的社保缴纳证明（或劳动合同）</w:t>
            </w:r>
            <w:r>
              <w:rPr>
                <w:rFonts w:ascii="宋体" w:hAnsi="宋体" w:cs="Calibri"/>
                <w:color w:val="auto"/>
                <w:sz w:val="24"/>
              </w:rPr>
              <w:t>、有关证书进行评分，未提供或不符合以上条件不得分。社保缴纳证明以社保机构出具的社保证明为准。</w:t>
            </w:r>
            <w:r>
              <w:rPr>
                <w:rFonts w:hint="eastAsia" w:ascii="宋体" w:hAnsi="宋体" w:cs="仿宋_GB2312"/>
                <w:color w:val="auto"/>
                <w:sz w:val="24"/>
              </w:rPr>
              <w:t>项目经理服务经验提供能体现项目经理名字及评分要素的合同复印件。如合同无法证明，则提供业主单位盖章证明材料，否则不得分</w:t>
            </w:r>
            <w:r>
              <w:rPr>
                <w:rFonts w:hint="eastAsia" w:ascii="宋体" w:hAnsi="宋体" w:cs="Calibri"/>
                <w:b/>
                <w:bCs/>
                <w:color w:val="auto"/>
                <w:sz w:val="24"/>
                <w:lang w:eastAsia="zh-CN"/>
              </w:rPr>
              <w:t>）</w:t>
            </w:r>
            <w:r>
              <w:rPr>
                <w:rFonts w:hint="eastAsia" w:ascii="宋体" w:hAnsi="宋体" w:cs="Calibri"/>
                <w:b/>
                <w:bCs/>
                <w:color w:val="auto"/>
                <w:sz w:val="24"/>
              </w:rPr>
              <w:t>：</w:t>
            </w:r>
          </w:p>
          <w:p w14:paraId="4409CE80">
            <w:pPr>
              <w:adjustRightInd/>
              <w:spacing w:line="360" w:lineRule="auto"/>
              <w:jc w:val="left"/>
              <w:rPr>
                <w:rFonts w:ascii="宋体" w:hAnsi="宋体" w:cs="仿宋_GB2312"/>
                <w:color w:val="auto"/>
                <w:sz w:val="24"/>
              </w:rPr>
            </w:pPr>
            <w:r>
              <w:rPr>
                <w:rFonts w:hint="eastAsia" w:ascii="宋体" w:hAnsi="宋体" w:cs="Calibri"/>
                <w:color w:val="auto"/>
                <w:sz w:val="24"/>
              </w:rPr>
              <w:t>（1）项目经理具有同类业绩单位服务经验</w:t>
            </w:r>
            <w:r>
              <w:rPr>
                <w:rFonts w:ascii="宋体" w:hAnsi="宋体" w:cs="Calibri"/>
                <w:color w:val="auto"/>
                <w:sz w:val="24"/>
              </w:rPr>
              <w:t>5</w:t>
            </w:r>
            <w:r>
              <w:rPr>
                <w:rFonts w:hint="eastAsia" w:ascii="宋体" w:hAnsi="宋体" w:cs="Calibri"/>
                <w:color w:val="auto"/>
                <w:sz w:val="24"/>
              </w:rPr>
              <w:t>年以上得1分，具有服务500人以上团队管理经验得1分，具有高级职业经理人资格得1分，具有高级食品安全管理师资格或公共营养师得1分</w:t>
            </w:r>
            <w:r>
              <w:rPr>
                <w:rFonts w:hint="eastAsia" w:ascii="宋体" w:hAnsi="宋体" w:cs="Calibri"/>
                <w:color w:val="auto"/>
                <w:sz w:val="24"/>
                <w:lang w:eastAsia="zh-CN"/>
              </w:rPr>
              <w:t>，</w:t>
            </w:r>
            <w:r>
              <w:rPr>
                <w:rFonts w:hint="eastAsia" w:ascii="宋体" w:hAnsi="宋体" w:cs="Calibri"/>
                <w:color w:val="auto"/>
                <w:sz w:val="24"/>
                <w:lang w:val="en-US" w:eastAsia="zh-CN"/>
              </w:rPr>
              <w:t>本项最高得4分。</w:t>
            </w:r>
          </w:p>
        </w:tc>
        <w:tc>
          <w:tcPr>
            <w:tcW w:w="851" w:type="dxa"/>
            <w:vAlign w:val="center"/>
          </w:tcPr>
          <w:p w14:paraId="3849D5C0">
            <w:pPr>
              <w:snapToGrid w:val="0"/>
              <w:spacing w:line="360" w:lineRule="auto"/>
              <w:jc w:val="center"/>
              <w:rPr>
                <w:rFonts w:hint="eastAsia" w:eastAsia="宋体" w:cs="仿宋_GB2312" w:asciiTheme="minorEastAsia" w:hAnsiTheme="minorEastAsia"/>
                <w:color w:val="auto"/>
                <w:sz w:val="24"/>
                <w:lang w:val="en-US" w:eastAsia="zh-CN"/>
              </w:rPr>
            </w:pPr>
            <w:r>
              <w:rPr>
                <w:rFonts w:hint="eastAsia" w:ascii="宋体" w:hAnsi="宋体" w:cs="Calibri"/>
                <w:color w:val="auto"/>
                <w:sz w:val="24"/>
                <w:lang w:val="en-US" w:eastAsia="zh-CN"/>
              </w:rPr>
              <w:t>4</w:t>
            </w:r>
          </w:p>
        </w:tc>
        <w:tc>
          <w:tcPr>
            <w:tcW w:w="992" w:type="dxa"/>
            <w:vAlign w:val="center"/>
          </w:tcPr>
          <w:p w14:paraId="6F2B5F3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417" w:type="dxa"/>
            <w:vMerge w:val="restart"/>
            <w:vAlign w:val="center"/>
          </w:tcPr>
          <w:p w14:paraId="72ED579C">
            <w:pPr>
              <w:snapToGrid w:val="0"/>
              <w:spacing w:line="360" w:lineRule="auto"/>
              <w:jc w:val="center"/>
              <w:rPr>
                <w:rFonts w:hint="default" w:cs="仿宋_GB2312" w:asciiTheme="minorEastAsia" w:hAnsiTheme="minorEastAsia" w:eastAsiaTheme="minorEastAsia"/>
                <w:b w:val="0"/>
                <w:bCs w:val="0"/>
                <w:color w:val="auto"/>
                <w:sz w:val="24"/>
                <w:lang w:val="en-US" w:eastAsia="zh-CN"/>
              </w:rPr>
            </w:pPr>
            <w:r>
              <w:rPr>
                <w:rFonts w:hint="eastAsia" w:ascii="宋体" w:hAnsi="宋体" w:cs="Calibri"/>
                <w:b w:val="0"/>
                <w:bCs w:val="0"/>
                <w:color w:val="auto"/>
                <w:sz w:val="24"/>
              </w:rPr>
              <w:t>人员方案</w:t>
            </w:r>
          </w:p>
        </w:tc>
      </w:tr>
      <w:tr w14:paraId="0F97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6" w:type="dxa"/>
            <w:vMerge w:val="continue"/>
            <w:vAlign w:val="center"/>
          </w:tcPr>
          <w:p w14:paraId="658BE9F7">
            <w:pPr>
              <w:snapToGrid w:val="0"/>
              <w:spacing w:line="360" w:lineRule="auto"/>
              <w:jc w:val="left"/>
              <w:rPr>
                <w:color w:val="auto"/>
              </w:rPr>
            </w:pPr>
          </w:p>
        </w:tc>
        <w:tc>
          <w:tcPr>
            <w:tcW w:w="5542" w:type="dxa"/>
            <w:vAlign w:val="center"/>
          </w:tcPr>
          <w:p w14:paraId="17DCBAC4">
            <w:pPr>
              <w:adjustRightInd/>
              <w:spacing w:line="360" w:lineRule="auto"/>
              <w:jc w:val="left"/>
              <w:rPr>
                <w:rFonts w:ascii="宋体" w:hAnsi="宋体" w:cs="Calibri"/>
                <w:color w:val="auto"/>
                <w:sz w:val="24"/>
                <w:highlight w:val="none"/>
              </w:rPr>
            </w:pPr>
            <w:r>
              <w:rPr>
                <w:rFonts w:ascii="宋体" w:hAnsi="宋体" w:cs="Calibri"/>
                <w:color w:val="auto"/>
                <w:sz w:val="24"/>
                <w:highlight w:val="none"/>
              </w:rPr>
              <w:t>（2）厨师长具备</w:t>
            </w:r>
            <w:r>
              <w:rPr>
                <w:rFonts w:hint="eastAsia" w:ascii="宋体" w:hAnsi="宋体" w:cs="Calibri"/>
                <w:color w:val="auto"/>
                <w:sz w:val="24"/>
                <w:highlight w:val="none"/>
              </w:rPr>
              <w:t>一</w:t>
            </w:r>
            <w:r>
              <w:rPr>
                <w:rFonts w:ascii="宋体" w:hAnsi="宋体" w:cs="Calibri"/>
                <w:color w:val="auto"/>
                <w:sz w:val="24"/>
                <w:highlight w:val="none"/>
              </w:rPr>
              <w:t>级中式烹调师职业资格的得</w:t>
            </w:r>
            <w:r>
              <w:rPr>
                <w:rFonts w:hint="eastAsia" w:ascii="宋体" w:hAnsi="宋体" w:cs="Calibri"/>
                <w:color w:val="auto"/>
                <w:sz w:val="24"/>
                <w:highlight w:val="none"/>
                <w:lang w:val="en-US" w:eastAsia="zh-CN"/>
              </w:rPr>
              <w:t>2</w:t>
            </w:r>
            <w:r>
              <w:rPr>
                <w:rFonts w:ascii="宋体" w:hAnsi="宋体" w:cs="Calibri"/>
                <w:color w:val="auto"/>
                <w:sz w:val="24"/>
                <w:highlight w:val="none"/>
              </w:rPr>
              <w:t>分。</w:t>
            </w:r>
          </w:p>
        </w:tc>
        <w:tc>
          <w:tcPr>
            <w:tcW w:w="851" w:type="dxa"/>
            <w:vAlign w:val="center"/>
          </w:tcPr>
          <w:p w14:paraId="2BE61126">
            <w:pPr>
              <w:snapToGrid w:val="0"/>
              <w:spacing w:line="360" w:lineRule="auto"/>
              <w:jc w:val="center"/>
              <w:rPr>
                <w:rFonts w:hint="eastAsia" w:ascii="宋体" w:hAnsi="宋体" w:eastAsia="宋体" w:cs="Calibri"/>
                <w:color w:val="auto"/>
                <w:sz w:val="24"/>
                <w:lang w:val="en-US" w:eastAsia="zh-CN"/>
              </w:rPr>
            </w:pPr>
            <w:r>
              <w:rPr>
                <w:rFonts w:hint="eastAsia" w:ascii="宋体" w:hAnsi="宋体" w:cs="Calibri"/>
                <w:color w:val="auto"/>
                <w:sz w:val="24"/>
                <w:lang w:val="en-US" w:eastAsia="zh-CN"/>
              </w:rPr>
              <w:t>2</w:t>
            </w:r>
          </w:p>
        </w:tc>
        <w:tc>
          <w:tcPr>
            <w:tcW w:w="992" w:type="dxa"/>
            <w:vAlign w:val="center"/>
          </w:tcPr>
          <w:p w14:paraId="34F7FC20">
            <w:pPr>
              <w:snapToGrid w:val="0"/>
              <w:spacing w:line="360" w:lineRule="auto"/>
              <w:jc w:val="center"/>
              <w:rPr>
                <w:rFonts w:ascii="宋体" w:hAnsi="宋体" w:cs="Calibri"/>
                <w:color w:val="auto"/>
                <w:sz w:val="24"/>
              </w:rPr>
            </w:pPr>
            <w:r>
              <w:rPr>
                <w:rFonts w:hint="eastAsia" w:cs="仿宋_GB2312" w:asciiTheme="minorEastAsia" w:hAnsiTheme="minorEastAsia" w:eastAsiaTheme="minorEastAsia"/>
                <w:color w:val="auto"/>
                <w:sz w:val="24"/>
              </w:rPr>
              <w:t>客观分</w:t>
            </w:r>
          </w:p>
        </w:tc>
        <w:tc>
          <w:tcPr>
            <w:tcW w:w="1417" w:type="dxa"/>
            <w:vMerge w:val="continue"/>
            <w:vAlign w:val="center"/>
          </w:tcPr>
          <w:p w14:paraId="602D169C">
            <w:pPr>
              <w:snapToGrid w:val="0"/>
              <w:spacing w:line="360" w:lineRule="auto"/>
              <w:jc w:val="center"/>
              <w:rPr>
                <w:rFonts w:ascii="宋体" w:hAnsi="宋体" w:cs="Calibri"/>
                <w:b w:val="0"/>
                <w:bCs w:val="0"/>
                <w:color w:val="auto"/>
                <w:sz w:val="24"/>
              </w:rPr>
            </w:pPr>
          </w:p>
        </w:tc>
      </w:tr>
      <w:tr w14:paraId="7B58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6" w:type="dxa"/>
            <w:vMerge w:val="continue"/>
            <w:vAlign w:val="center"/>
          </w:tcPr>
          <w:p w14:paraId="0189616E">
            <w:pPr>
              <w:snapToGrid w:val="0"/>
              <w:spacing w:line="360" w:lineRule="auto"/>
              <w:jc w:val="left"/>
              <w:rPr>
                <w:rFonts w:ascii="宋体" w:hAnsi="宋体" w:cs="Calibri"/>
                <w:color w:val="auto"/>
                <w:sz w:val="24"/>
              </w:rPr>
            </w:pPr>
          </w:p>
        </w:tc>
        <w:tc>
          <w:tcPr>
            <w:tcW w:w="5542" w:type="dxa"/>
            <w:vAlign w:val="center"/>
          </w:tcPr>
          <w:p w14:paraId="05C11DB1">
            <w:pPr>
              <w:adjustRightInd/>
              <w:spacing w:line="360" w:lineRule="auto"/>
              <w:jc w:val="left"/>
              <w:rPr>
                <w:rFonts w:ascii="宋体" w:hAnsi="宋体" w:cs="Calibri"/>
                <w:color w:val="auto"/>
                <w:sz w:val="24"/>
                <w:highlight w:val="none"/>
              </w:rPr>
            </w:pPr>
            <w:r>
              <w:rPr>
                <w:rFonts w:hint="eastAsia" w:ascii="宋体" w:hAnsi="宋体" w:cs="Calibri"/>
                <w:color w:val="auto"/>
                <w:sz w:val="24"/>
                <w:highlight w:val="none"/>
              </w:rPr>
              <w:t>（</w:t>
            </w:r>
            <w:r>
              <w:rPr>
                <w:rFonts w:ascii="宋体" w:hAnsi="宋体" w:cs="Calibri"/>
                <w:color w:val="auto"/>
                <w:sz w:val="24"/>
                <w:highlight w:val="none"/>
              </w:rPr>
              <w:t>3</w:t>
            </w:r>
            <w:r>
              <w:rPr>
                <w:rFonts w:hint="eastAsia" w:ascii="宋体" w:hAnsi="宋体" w:cs="Calibri"/>
                <w:color w:val="auto"/>
                <w:sz w:val="24"/>
                <w:highlight w:val="none"/>
              </w:rPr>
              <w:t>）面点师具有三级及以上中式面点师职业资格</w:t>
            </w:r>
            <w:r>
              <w:rPr>
                <w:rFonts w:hint="eastAsia" w:ascii="宋体" w:hAnsi="宋体" w:cs="Calibri"/>
                <w:color w:val="auto"/>
                <w:sz w:val="24"/>
                <w:highlight w:val="none"/>
                <w:lang w:val="en-US" w:eastAsia="zh-CN"/>
              </w:rPr>
              <w:t>的和</w:t>
            </w:r>
            <w:r>
              <w:rPr>
                <w:rFonts w:hint="eastAsia" w:ascii="宋体" w:hAnsi="宋体" w:cs="Calibri"/>
                <w:color w:val="auto"/>
                <w:sz w:val="24"/>
                <w:highlight w:val="none"/>
              </w:rPr>
              <w:t>西式面点师执业资格的1人得1分，</w:t>
            </w:r>
            <w:r>
              <w:rPr>
                <w:rFonts w:hint="eastAsia" w:ascii="宋体" w:hAnsi="宋体" w:cs="Calibri"/>
                <w:color w:val="auto"/>
                <w:sz w:val="24"/>
                <w:highlight w:val="none"/>
                <w:lang w:val="en-US" w:eastAsia="zh-CN"/>
              </w:rPr>
              <w:t>本项最高得</w:t>
            </w:r>
            <w:r>
              <w:rPr>
                <w:rFonts w:ascii="宋体" w:hAnsi="宋体" w:cs="Calibri"/>
                <w:color w:val="auto"/>
                <w:sz w:val="24"/>
                <w:highlight w:val="none"/>
              </w:rPr>
              <w:t>2</w:t>
            </w:r>
            <w:r>
              <w:rPr>
                <w:rFonts w:hint="eastAsia" w:ascii="宋体" w:hAnsi="宋体" w:cs="Calibri"/>
                <w:color w:val="auto"/>
                <w:sz w:val="24"/>
                <w:highlight w:val="none"/>
              </w:rPr>
              <w:t>分；</w:t>
            </w:r>
          </w:p>
        </w:tc>
        <w:tc>
          <w:tcPr>
            <w:tcW w:w="851" w:type="dxa"/>
            <w:vAlign w:val="center"/>
          </w:tcPr>
          <w:p w14:paraId="396D9D7F">
            <w:pPr>
              <w:snapToGrid w:val="0"/>
              <w:spacing w:line="360" w:lineRule="auto"/>
              <w:jc w:val="center"/>
              <w:rPr>
                <w:rFonts w:hint="eastAsia" w:ascii="宋体" w:hAnsi="宋体" w:eastAsia="宋体" w:cs="Calibri"/>
                <w:color w:val="auto"/>
                <w:sz w:val="24"/>
                <w:lang w:val="en-US" w:eastAsia="zh-CN"/>
              </w:rPr>
            </w:pPr>
            <w:r>
              <w:rPr>
                <w:rFonts w:hint="eastAsia" w:ascii="宋体" w:hAnsi="宋体" w:cs="Calibri"/>
                <w:color w:val="auto"/>
                <w:sz w:val="24"/>
                <w:lang w:val="en-US" w:eastAsia="zh-CN"/>
              </w:rPr>
              <w:t>2</w:t>
            </w:r>
          </w:p>
        </w:tc>
        <w:tc>
          <w:tcPr>
            <w:tcW w:w="992" w:type="dxa"/>
            <w:vAlign w:val="center"/>
          </w:tcPr>
          <w:p w14:paraId="1ED7065A">
            <w:pPr>
              <w:snapToGrid w:val="0"/>
              <w:spacing w:line="360" w:lineRule="auto"/>
              <w:jc w:val="center"/>
              <w:rPr>
                <w:rFonts w:ascii="宋体" w:hAnsi="宋体" w:cs="Calibri"/>
                <w:color w:val="auto"/>
                <w:sz w:val="24"/>
              </w:rPr>
            </w:pPr>
            <w:r>
              <w:rPr>
                <w:rFonts w:hint="eastAsia" w:cs="仿宋_GB2312" w:asciiTheme="minorEastAsia" w:hAnsiTheme="minorEastAsia" w:eastAsiaTheme="minorEastAsia"/>
                <w:color w:val="auto"/>
                <w:sz w:val="24"/>
              </w:rPr>
              <w:t>客观分</w:t>
            </w:r>
          </w:p>
        </w:tc>
        <w:tc>
          <w:tcPr>
            <w:tcW w:w="1417" w:type="dxa"/>
            <w:vMerge w:val="continue"/>
            <w:vAlign w:val="center"/>
          </w:tcPr>
          <w:p w14:paraId="76C3EE2F">
            <w:pPr>
              <w:snapToGrid w:val="0"/>
              <w:spacing w:line="360" w:lineRule="auto"/>
              <w:jc w:val="center"/>
              <w:rPr>
                <w:rFonts w:ascii="宋体" w:hAnsi="宋体" w:cs="Calibri"/>
                <w:b w:val="0"/>
                <w:bCs w:val="0"/>
                <w:color w:val="auto"/>
                <w:sz w:val="24"/>
              </w:rPr>
            </w:pPr>
          </w:p>
        </w:tc>
      </w:tr>
      <w:tr w14:paraId="11B4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6" w:type="dxa"/>
            <w:vMerge w:val="continue"/>
            <w:vAlign w:val="center"/>
          </w:tcPr>
          <w:p w14:paraId="75520A22">
            <w:pPr>
              <w:snapToGrid w:val="0"/>
              <w:spacing w:line="360" w:lineRule="auto"/>
              <w:jc w:val="left"/>
              <w:rPr>
                <w:rFonts w:ascii="宋体" w:hAnsi="宋体" w:cs="Calibri"/>
                <w:color w:val="auto"/>
                <w:sz w:val="24"/>
              </w:rPr>
            </w:pPr>
          </w:p>
        </w:tc>
        <w:tc>
          <w:tcPr>
            <w:tcW w:w="5542" w:type="dxa"/>
            <w:vAlign w:val="center"/>
          </w:tcPr>
          <w:p w14:paraId="151E8960">
            <w:pPr>
              <w:adjustRightInd/>
              <w:spacing w:line="360" w:lineRule="auto"/>
              <w:jc w:val="left"/>
              <w:rPr>
                <w:rFonts w:ascii="宋体" w:hAnsi="宋体" w:cs="Calibri"/>
                <w:color w:val="auto"/>
                <w:sz w:val="24"/>
              </w:rPr>
            </w:pPr>
            <w:r>
              <w:rPr>
                <w:rFonts w:ascii="宋体" w:hAnsi="宋体" w:cs="Calibri"/>
                <w:color w:val="auto"/>
                <w:sz w:val="24"/>
              </w:rPr>
              <w:t>（4）其他</w:t>
            </w:r>
            <w:r>
              <w:rPr>
                <w:rFonts w:hint="eastAsia" w:ascii="宋体" w:hAnsi="宋体" w:cs="Calibri"/>
                <w:color w:val="auto"/>
                <w:sz w:val="24"/>
              </w:rPr>
              <w:t>三名</w:t>
            </w:r>
            <w:r>
              <w:rPr>
                <w:rFonts w:ascii="宋体" w:hAnsi="宋体" w:cs="Calibri"/>
                <w:color w:val="auto"/>
                <w:sz w:val="24"/>
              </w:rPr>
              <w:t>厨师具有二级及以上中式烹调师职业资格的，1人得</w:t>
            </w:r>
            <w:r>
              <w:rPr>
                <w:rFonts w:hint="eastAsia" w:ascii="宋体" w:hAnsi="宋体" w:cs="Calibri"/>
                <w:color w:val="auto"/>
                <w:sz w:val="24"/>
              </w:rPr>
              <w:t>1</w:t>
            </w:r>
            <w:r>
              <w:rPr>
                <w:rFonts w:ascii="宋体" w:hAnsi="宋体" w:cs="Calibri"/>
                <w:color w:val="auto"/>
                <w:sz w:val="24"/>
              </w:rPr>
              <w:t>分，</w:t>
            </w:r>
            <w:r>
              <w:rPr>
                <w:rFonts w:hint="eastAsia" w:ascii="宋体" w:hAnsi="宋体" w:cs="Calibri"/>
                <w:color w:val="auto"/>
                <w:sz w:val="24"/>
                <w:lang w:val="en-US" w:eastAsia="zh-CN"/>
              </w:rPr>
              <w:t>本项最高得</w:t>
            </w:r>
            <w:r>
              <w:rPr>
                <w:rFonts w:hint="eastAsia" w:ascii="宋体" w:hAnsi="宋体" w:cs="Calibri"/>
                <w:color w:val="auto"/>
                <w:sz w:val="24"/>
              </w:rPr>
              <w:t>3</w:t>
            </w:r>
            <w:r>
              <w:rPr>
                <w:rFonts w:ascii="宋体" w:hAnsi="宋体" w:cs="Calibri"/>
                <w:color w:val="auto"/>
                <w:sz w:val="24"/>
              </w:rPr>
              <w:t>分。</w:t>
            </w:r>
          </w:p>
        </w:tc>
        <w:tc>
          <w:tcPr>
            <w:tcW w:w="851" w:type="dxa"/>
            <w:vAlign w:val="center"/>
          </w:tcPr>
          <w:p w14:paraId="523FA426">
            <w:pPr>
              <w:snapToGrid w:val="0"/>
              <w:spacing w:line="360" w:lineRule="auto"/>
              <w:jc w:val="center"/>
              <w:rPr>
                <w:rFonts w:hint="eastAsia" w:ascii="宋体" w:hAnsi="宋体" w:eastAsia="宋体" w:cs="Calibri"/>
                <w:color w:val="auto"/>
                <w:sz w:val="24"/>
                <w:lang w:val="en-US" w:eastAsia="zh-CN"/>
              </w:rPr>
            </w:pPr>
            <w:r>
              <w:rPr>
                <w:rFonts w:hint="eastAsia" w:ascii="宋体" w:hAnsi="宋体" w:cs="Calibri"/>
                <w:color w:val="auto"/>
                <w:sz w:val="24"/>
                <w:lang w:val="en-US" w:eastAsia="zh-CN"/>
              </w:rPr>
              <w:t>3</w:t>
            </w:r>
          </w:p>
        </w:tc>
        <w:tc>
          <w:tcPr>
            <w:tcW w:w="992" w:type="dxa"/>
            <w:vAlign w:val="center"/>
          </w:tcPr>
          <w:p w14:paraId="6A931C94">
            <w:pPr>
              <w:snapToGrid w:val="0"/>
              <w:spacing w:line="360" w:lineRule="auto"/>
              <w:jc w:val="center"/>
              <w:rPr>
                <w:rFonts w:ascii="宋体" w:hAnsi="宋体" w:cs="Calibri"/>
                <w:color w:val="auto"/>
                <w:sz w:val="24"/>
              </w:rPr>
            </w:pPr>
            <w:r>
              <w:rPr>
                <w:rFonts w:hint="eastAsia" w:cs="仿宋_GB2312" w:asciiTheme="minorEastAsia" w:hAnsiTheme="minorEastAsia" w:eastAsiaTheme="minorEastAsia"/>
                <w:color w:val="auto"/>
                <w:sz w:val="24"/>
              </w:rPr>
              <w:t>客观分</w:t>
            </w:r>
          </w:p>
        </w:tc>
        <w:tc>
          <w:tcPr>
            <w:tcW w:w="1417" w:type="dxa"/>
            <w:vMerge w:val="continue"/>
            <w:vAlign w:val="center"/>
          </w:tcPr>
          <w:p w14:paraId="58359F8C">
            <w:pPr>
              <w:snapToGrid w:val="0"/>
              <w:spacing w:line="360" w:lineRule="auto"/>
              <w:jc w:val="center"/>
              <w:rPr>
                <w:rFonts w:ascii="宋体" w:hAnsi="宋体" w:cs="Calibri"/>
                <w:b w:val="0"/>
                <w:bCs w:val="0"/>
                <w:color w:val="auto"/>
                <w:sz w:val="24"/>
              </w:rPr>
            </w:pPr>
          </w:p>
        </w:tc>
      </w:tr>
      <w:tr w14:paraId="2BC9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6" w:type="dxa"/>
            <w:vMerge w:val="continue"/>
            <w:vAlign w:val="center"/>
          </w:tcPr>
          <w:p w14:paraId="411C0970">
            <w:pPr>
              <w:snapToGrid w:val="0"/>
              <w:spacing w:line="360" w:lineRule="auto"/>
              <w:jc w:val="left"/>
              <w:rPr>
                <w:rFonts w:ascii="宋体" w:hAnsi="宋体" w:cs="Calibri"/>
                <w:color w:val="auto"/>
                <w:sz w:val="24"/>
              </w:rPr>
            </w:pPr>
          </w:p>
        </w:tc>
        <w:tc>
          <w:tcPr>
            <w:tcW w:w="5542" w:type="dxa"/>
            <w:vAlign w:val="center"/>
          </w:tcPr>
          <w:p w14:paraId="7F6569A3">
            <w:pPr>
              <w:adjustRightInd/>
              <w:spacing w:line="360" w:lineRule="auto"/>
              <w:jc w:val="left"/>
              <w:rPr>
                <w:rFonts w:ascii="宋体" w:hAnsi="宋体" w:cs="Calibri"/>
                <w:color w:val="auto"/>
                <w:sz w:val="24"/>
              </w:rPr>
            </w:pPr>
            <w:r>
              <w:rPr>
                <w:rFonts w:ascii="宋体" w:hAnsi="宋体" w:cs="Calibri"/>
                <w:color w:val="auto"/>
                <w:sz w:val="24"/>
              </w:rPr>
              <w:t>（5）投标人应对项目组人员进行后续培训，投标文件中提供详细人员培训计划及思路，培训计划应具有科学性</w:t>
            </w:r>
            <w:r>
              <w:rPr>
                <w:rFonts w:hint="eastAsia" w:ascii="宋体" w:hAnsi="宋体" w:cs="Calibri"/>
                <w:color w:val="auto"/>
                <w:sz w:val="24"/>
                <w:lang w:eastAsia="zh-CN"/>
              </w:rPr>
              <w:t>，</w:t>
            </w:r>
            <w:r>
              <w:rPr>
                <w:rFonts w:ascii="宋体" w:hAnsi="宋体" w:cs="Calibri"/>
                <w:color w:val="auto"/>
                <w:sz w:val="24"/>
              </w:rPr>
              <w:t>根据投标人提供的详细培训方案进行评分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5BCA4ED9">
            <w:pPr>
              <w:snapToGrid w:val="0"/>
              <w:spacing w:line="360" w:lineRule="auto"/>
              <w:jc w:val="center"/>
              <w:rPr>
                <w:rFonts w:hint="eastAsia" w:ascii="宋体" w:hAnsi="宋体" w:eastAsia="宋体" w:cs="Calibri"/>
                <w:color w:val="auto"/>
                <w:sz w:val="24"/>
                <w:lang w:val="en-US" w:eastAsia="zh-CN"/>
              </w:rPr>
            </w:pPr>
            <w:r>
              <w:rPr>
                <w:rFonts w:hint="eastAsia" w:ascii="宋体" w:hAnsi="宋体" w:cs="Calibri"/>
                <w:color w:val="auto"/>
                <w:sz w:val="24"/>
                <w:lang w:val="en-US" w:eastAsia="zh-CN"/>
              </w:rPr>
              <w:t>5</w:t>
            </w:r>
          </w:p>
        </w:tc>
        <w:tc>
          <w:tcPr>
            <w:tcW w:w="992" w:type="dxa"/>
            <w:vAlign w:val="center"/>
          </w:tcPr>
          <w:p w14:paraId="01EC33C3">
            <w:pPr>
              <w:snapToGrid w:val="0"/>
              <w:spacing w:line="360" w:lineRule="auto"/>
              <w:jc w:val="center"/>
              <w:rPr>
                <w:rFonts w:ascii="宋体" w:hAnsi="宋体" w:cs="Calibri"/>
                <w:color w:val="auto"/>
                <w:sz w:val="24"/>
              </w:rPr>
            </w:pPr>
            <w:r>
              <w:rPr>
                <w:rFonts w:hint="eastAsia" w:cs="仿宋_GB2312" w:asciiTheme="minorEastAsia" w:hAnsiTheme="minorEastAsia" w:eastAsiaTheme="minorEastAsia"/>
                <w:color w:val="auto"/>
                <w:sz w:val="24"/>
              </w:rPr>
              <w:t>主观分</w:t>
            </w:r>
          </w:p>
        </w:tc>
        <w:tc>
          <w:tcPr>
            <w:tcW w:w="1417" w:type="dxa"/>
            <w:vMerge w:val="continue"/>
            <w:vAlign w:val="center"/>
          </w:tcPr>
          <w:p w14:paraId="39C78CB4">
            <w:pPr>
              <w:snapToGrid w:val="0"/>
              <w:spacing w:line="360" w:lineRule="auto"/>
              <w:jc w:val="center"/>
              <w:rPr>
                <w:rFonts w:ascii="宋体" w:hAnsi="宋体" w:cs="Calibri"/>
                <w:b w:val="0"/>
                <w:bCs w:val="0"/>
                <w:color w:val="auto"/>
                <w:sz w:val="24"/>
              </w:rPr>
            </w:pPr>
          </w:p>
        </w:tc>
      </w:tr>
      <w:tr w14:paraId="3063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6" w:type="dxa"/>
            <w:vMerge w:val="continue"/>
            <w:vAlign w:val="center"/>
          </w:tcPr>
          <w:p w14:paraId="06633286">
            <w:pPr>
              <w:snapToGrid w:val="0"/>
              <w:spacing w:line="360" w:lineRule="auto"/>
              <w:jc w:val="left"/>
              <w:rPr>
                <w:rFonts w:ascii="宋体" w:hAnsi="宋体" w:cs="Calibri"/>
                <w:color w:val="auto"/>
                <w:sz w:val="24"/>
              </w:rPr>
            </w:pPr>
          </w:p>
        </w:tc>
        <w:tc>
          <w:tcPr>
            <w:tcW w:w="5542" w:type="dxa"/>
            <w:vAlign w:val="center"/>
          </w:tcPr>
          <w:p w14:paraId="36612C98">
            <w:pPr>
              <w:adjustRightInd/>
              <w:spacing w:line="360" w:lineRule="auto"/>
              <w:jc w:val="left"/>
              <w:rPr>
                <w:rFonts w:ascii="宋体" w:hAnsi="宋体" w:cs="Calibri"/>
                <w:color w:val="auto"/>
                <w:sz w:val="24"/>
              </w:rPr>
            </w:pPr>
            <w:r>
              <w:rPr>
                <w:rFonts w:ascii="宋体" w:hAnsi="宋体" w:cs="Calibri"/>
                <w:color w:val="auto"/>
                <w:sz w:val="24"/>
              </w:rPr>
              <w:t>（6）投标人对聘用人员的薪资标准及方案制定应与聘用人员水平、本项目服务质量相适应，有利于服务人员队伍的稳定。根据投标人提供的人员酬薪方案进行评分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792B1FD5">
            <w:pPr>
              <w:snapToGrid w:val="0"/>
              <w:spacing w:line="360" w:lineRule="auto"/>
              <w:jc w:val="center"/>
              <w:rPr>
                <w:rFonts w:hint="eastAsia" w:ascii="宋体" w:hAnsi="宋体" w:eastAsia="宋体" w:cs="Calibri"/>
                <w:color w:val="auto"/>
                <w:sz w:val="24"/>
                <w:lang w:val="en-US" w:eastAsia="zh-CN"/>
              </w:rPr>
            </w:pPr>
            <w:r>
              <w:rPr>
                <w:rFonts w:hint="eastAsia" w:ascii="宋体" w:hAnsi="宋体" w:cs="Calibri"/>
                <w:color w:val="auto"/>
                <w:sz w:val="24"/>
                <w:lang w:val="en-US" w:eastAsia="zh-CN"/>
              </w:rPr>
              <w:t>5</w:t>
            </w:r>
          </w:p>
        </w:tc>
        <w:tc>
          <w:tcPr>
            <w:tcW w:w="992" w:type="dxa"/>
            <w:vAlign w:val="center"/>
          </w:tcPr>
          <w:p w14:paraId="64687D80">
            <w:pPr>
              <w:snapToGrid w:val="0"/>
              <w:spacing w:line="360" w:lineRule="auto"/>
              <w:jc w:val="center"/>
              <w:rPr>
                <w:rFonts w:ascii="宋体" w:hAnsi="宋体" w:cs="Calibri"/>
                <w:color w:val="auto"/>
                <w:sz w:val="24"/>
              </w:rPr>
            </w:pPr>
            <w:r>
              <w:rPr>
                <w:rFonts w:hint="eastAsia" w:cs="仿宋_GB2312" w:asciiTheme="minorEastAsia" w:hAnsiTheme="minorEastAsia" w:eastAsiaTheme="minorEastAsia"/>
                <w:color w:val="auto"/>
                <w:sz w:val="24"/>
              </w:rPr>
              <w:t>主观分</w:t>
            </w:r>
          </w:p>
        </w:tc>
        <w:tc>
          <w:tcPr>
            <w:tcW w:w="1417" w:type="dxa"/>
            <w:vMerge w:val="continue"/>
            <w:vAlign w:val="center"/>
          </w:tcPr>
          <w:p w14:paraId="39FE893F">
            <w:pPr>
              <w:snapToGrid w:val="0"/>
              <w:spacing w:line="360" w:lineRule="auto"/>
              <w:jc w:val="center"/>
              <w:rPr>
                <w:rFonts w:ascii="宋体" w:hAnsi="宋体" w:cs="Calibri"/>
                <w:b w:val="0"/>
                <w:bCs w:val="0"/>
                <w:color w:val="auto"/>
                <w:sz w:val="24"/>
              </w:rPr>
            </w:pPr>
          </w:p>
        </w:tc>
      </w:tr>
      <w:tr w14:paraId="43C9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6" w:type="dxa"/>
            <w:vMerge w:val="continue"/>
            <w:vAlign w:val="center"/>
          </w:tcPr>
          <w:p w14:paraId="2BC43AD4">
            <w:pPr>
              <w:snapToGrid w:val="0"/>
              <w:spacing w:line="360" w:lineRule="auto"/>
              <w:jc w:val="left"/>
              <w:rPr>
                <w:rFonts w:ascii="宋体" w:hAnsi="宋体" w:cs="Calibri"/>
                <w:color w:val="auto"/>
                <w:sz w:val="24"/>
              </w:rPr>
            </w:pPr>
          </w:p>
        </w:tc>
        <w:tc>
          <w:tcPr>
            <w:tcW w:w="5542" w:type="dxa"/>
            <w:vAlign w:val="center"/>
          </w:tcPr>
          <w:p w14:paraId="5C268D64">
            <w:pPr>
              <w:adjustRightInd/>
              <w:spacing w:line="360" w:lineRule="auto"/>
              <w:jc w:val="left"/>
              <w:rPr>
                <w:rFonts w:ascii="宋体" w:hAnsi="宋体" w:cs="Calibri"/>
                <w:color w:val="auto"/>
                <w:sz w:val="24"/>
              </w:rPr>
            </w:pPr>
            <w:r>
              <w:rPr>
                <w:rFonts w:ascii="宋体" w:hAnsi="宋体" w:cs="Calibri"/>
                <w:color w:val="auto"/>
                <w:sz w:val="24"/>
              </w:rPr>
              <w:t>（7）投标人承诺每月核定的工资表经采购方核定后发放，并接受采购方的不定期监督的得</w:t>
            </w:r>
            <w:r>
              <w:rPr>
                <w:rFonts w:hint="eastAsia" w:ascii="宋体" w:hAnsi="宋体" w:cs="Calibri"/>
                <w:color w:val="auto"/>
                <w:sz w:val="24"/>
              </w:rPr>
              <w:t>2</w:t>
            </w:r>
            <w:r>
              <w:rPr>
                <w:rFonts w:ascii="宋体" w:hAnsi="宋体" w:cs="Calibri"/>
                <w:color w:val="auto"/>
                <w:sz w:val="24"/>
              </w:rPr>
              <w:t>分，未提供或不满足的不得分。</w:t>
            </w:r>
          </w:p>
        </w:tc>
        <w:tc>
          <w:tcPr>
            <w:tcW w:w="851" w:type="dxa"/>
            <w:vAlign w:val="center"/>
          </w:tcPr>
          <w:p w14:paraId="3F291F51">
            <w:pPr>
              <w:snapToGrid w:val="0"/>
              <w:spacing w:line="360" w:lineRule="auto"/>
              <w:jc w:val="center"/>
              <w:rPr>
                <w:rFonts w:hint="eastAsia" w:ascii="宋体" w:hAnsi="宋体" w:eastAsia="宋体" w:cs="Calibri"/>
                <w:color w:val="auto"/>
                <w:sz w:val="24"/>
                <w:lang w:val="en-US" w:eastAsia="zh-CN"/>
              </w:rPr>
            </w:pPr>
            <w:r>
              <w:rPr>
                <w:rFonts w:hint="eastAsia" w:ascii="宋体" w:hAnsi="宋体" w:cs="Calibri"/>
                <w:color w:val="auto"/>
                <w:sz w:val="24"/>
                <w:lang w:val="en-US" w:eastAsia="zh-CN"/>
              </w:rPr>
              <w:t>2</w:t>
            </w:r>
          </w:p>
        </w:tc>
        <w:tc>
          <w:tcPr>
            <w:tcW w:w="992" w:type="dxa"/>
            <w:vAlign w:val="center"/>
          </w:tcPr>
          <w:p w14:paraId="361A5511">
            <w:pPr>
              <w:snapToGrid w:val="0"/>
              <w:spacing w:line="360" w:lineRule="auto"/>
              <w:jc w:val="center"/>
              <w:rPr>
                <w:rFonts w:ascii="宋体" w:hAnsi="宋体" w:cs="Calibri"/>
                <w:color w:val="auto"/>
                <w:sz w:val="24"/>
              </w:rPr>
            </w:pPr>
            <w:r>
              <w:rPr>
                <w:rFonts w:hint="eastAsia" w:cs="仿宋_GB2312" w:asciiTheme="minorEastAsia" w:hAnsiTheme="minorEastAsia" w:eastAsiaTheme="minorEastAsia"/>
                <w:color w:val="auto"/>
                <w:sz w:val="24"/>
              </w:rPr>
              <w:t>客观分</w:t>
            </w:r>
          </w:p>
        </w:tc>
        <w:tc>
          <w:tcPr>
            <w:tcW w:w="1417" w:type="dxa"/>
            <w:vMerge w:val="continue"/>
            <w:vAlign w:val="center"/>
          </w:tcPr>
          <w:p w14:paraId="7EC24BD2">
            <w:pPr>
              <w:snapToGrid w:val="0"/>
              <w:spacing w:line="360" w:lineRule="auto"/>
              <w:jc w:val="center"/>
              <w:rPr>
                <w:rFonts w:ascii="宋体" w:hAnsi="宋体" w:cs="Calibri"/>
                <w:b w:val="0"/>
                <w:bCs w:val="0"/>
                <w:color w:val="auto"/>
                <w:sz w:val="24"/>
              </w:rPr>
            </w:pPr>
          </w:p>
        </w:tc>
      </w:tr>
      <w:tr w14:paraId="3C5B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37B9B2B">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17</w:t>
            </w:r>
          </w:p>
        </w:tc>
        <w:tc>
          <w:tcPr>
            <w:tcW w:w="5542" w:type="dxa"/>
            <w:vAlign w:val="center"/>
          </w:tcPr>
          <w:p w14:paraId="1F01839F">
            <w:pPr>
              <w:snapToGrid w:val="0"/>
              <w:spacing w:line="360" w:lineRule="auto"/>
              <w:jc w:val="left"/>
              <w:rPr>
                <w:rFonts w:ascii="宋体" w:hAnsi="宋体" w:cs="Calibri"/>
                <w:b/>
                <w:bCs/>
                <w:color w:val="auto"/>
                <w:sz w:val="24"/>
              </w:rPr>
            </w:pPr>
            <w:r>
              <w:rPr>
                <w:rFonts w:hint="eastAsia" w:ascii="宋体" w:hAnsi="宋体" w:cs="Calibri"/>
                <w:b/>
                <w:bCs/>
                <w:color w:val="auto"/>
                <w:sz w:val="24"/>
              </w:rPr>
              <w:t>应急预案：</w:t>
            </w:r>
          </w:p>
          <w:p w14:paraId="0300146B">
            <w:pPr>
              <w:snapToGrid w:val="0"/>
              <w:spacing w:line="360" w:lineRule="auto"/>
              <w:jc w:val="left"/>
              <w:rPr>
                <w:rFonts w:ascii="宋体" w:hAnsi="宋体" w:cs="仿宋_GB2312"/>
                <w:color w:val="auto"/>
                <w:sz w:val="24"/>
              </w:rPr>
            </w:pPr>
            <w:r>
              <w:rPr>
                <w:rFonts w:ascii="宋体" w:hAnsi="宋体" w:cs="Calibri"/>
                <w:color w:val="auto"/>
                <w:sz w:val="24"/>
              </w:rPr>
              <w:t>根据投标人提供的</w:t>
            </w:r>
            <w:r>
              <w:rPr>
                <w:rFonts w:hint="eastAsia" w:ascii="宋体" w:hAnsi="宋体" w:cs="Calibri"/>
                <w:color w:val="auto"/>
                <w:sz w:val="24"/>
              </w:rPr>
              <w:t>应急预案（停水、停电等）和重大活动（大型活动、节庆假日、创优评优等）保障方案</w:t>
            </w:r>
            <w:r>
              <w:rPr>
                <w:rFonts w:ascii="宋体" w:hAnsi="宋体" w:cs="Calibri"/>
                <w:color w:val="auto"/>
                <w:sz w:val="24"/>
              </w:rPr>
              <w:t>进行评分</w:t>
            </w:r>
            <w:r>
              <w:rPr>
                <w:rFonts w:hint="eastAsia" w:ascii="宋体" w:hAnsi="宋体" w:cs="仿宋_GB2312"/>
                <w:color w:val="auto"/>
                <w:sz w:val="24"/>
              </w:rPr>
              <w:t>（</w:t>
            </w:r>
            <w:r>
              <w:rPr>
                <w:rFonts w:hint="eastAsia" w:ascii="宋体" w:hAnsi="宋体" w:cs="Calibri"/>
                <w:color w:val="auto"/>
                <w:sz w:val="24"/>
              </w:rPr>
              <w:t>评分范围：</w:t>
            </w:r>
            <w:r>
              <w:rPr>
                <w:rFonts w:hint="eastAsia" w:ascii="宋体" w:hAnsi="宋体" w:cs="Calibri"/>
                <w:color w:val="auto"/>
                <w:sz w:val="24"/>
                <w:lang w:val="en-US" w:eastAsia="zh-CN"/>
              </w:rPr>
              <w:t>5,4，</w:t>
            </w:r>
            <w:r>
              <w:rPr>
                <w:rFonts w:hint="eastAsia" w:ascii="宋体" w:hAnsi="宋体" w:cs="Calibri"/>
                <w:color w:val="auto"/>
                <w:sz w:val="24"/>
              </w:rPr>
              <w:t>3，2，1，0</w:t>
            </w:r>
            <w:r>
              <w:rPr>
                <w:rFonts w:hint="eastAsia" w:ascii="宋体" w:hAnsi="宋体" w:cs="仿宋_GB2312"/>
                <w:color w:val="auto"/>
                <w:sz w:val="24"/>
              </w:rPr>
              <w:t>）</w:t>
            </w:r>
            <w:r>
              <w:rPr>
                <w:rFonts w:ascii="宋体" w:hAnsi="宋体" w:cs="Calibri"/>
                <w:color w:val="auto"/>
                <w:sz w:val="24"/>
              </w:rPr>
              <w:t>。</w:t>
            </w:r>
          </w:p>
        </w:tc>
        <w:tc>
          <w:tcPr>
            <w:tcW w:w="851" w:type="dxa"/>
            <w:vAlign w:val="center"/>
          </w:tcPr>
          <w:p w14:paraId="525E66E4">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992" w:type="dxa"/>
            <w:vAlign w:val="center"/>
          </w:tcPr>
          <w:p w14:paraId="2BD34A0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17" w:type="dxa"/>
            <w:vAlign w:val="center"/>
          </w:tcPr>
          <w:p w14:paraId="40F3952B">
            <w:pPr>
              <w:snapToGrid w:val="0"/>
              <w:spacing w:line="360" w:lineRule="auto"/>
              <w:jc w:val="center"/>
              <w:rPr>
                <w:rFonts w:cs="仿宋_GB2312" w:asciiTheme="minorEastAsia" w:hAnsiTheme="minorEastAsia" w:eastAsiaTheme="minorEastAsia"/>
                <w:b w:val="0"/>
                <w:bCs w:val="0"/>
                <w:color w:val="auto"/>
                <w:sz w:val="24"/>
              </w:rPr>
            </w:pPr>
            <w:r>
              <w:rPr>
                <w:rFonts w:hint="eastAsia" w:ascii="宋体" w:hAnsi="宋体" w:cs="Calibri"/>
                <w:b w:val="0"/>
                <w:bCs w:val="0"/>
                <w:color w:val="auto"/>
                <w:sz w:val="24"/>
              </w:rPr>
              <w:t>应急预案</w:t>
            </w:r>
          </w:p>
        </w:tc>
      </w:tr>
      <w:tr w14:paraId="5BAF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21F3E3C">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18</w:t>
            </w:r>
          </w:p>
        </w:tc>
        <w:tc>
          <w:tcPr>
            <w:tcW w:w="5542" w:type="dxa"/>
          </w:tcPr>
          <w:p w14:paraId="29DED042">
            <w:pPr>
              <w:pStyle w:val="2"/>
              <w:ind w:left="0" w:firstLine="361" w:firstLineChars="150"/>
              <w:outlineLvl w:val="1"/>
              <w:rPr>
                <w:color w:val="auto"/>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=（评标基准价/投标报价）*10］的计算公式计算。</w:t>
            </w:r>
          </w:p>
          <w:p w14:paraId="03459612">
            <w:pPr>
              <w:spacing w:line="360" w:lineRule="auto"/>
              <w:ind w:firstLine="480" w:firstLineChars="200"/>
              <w:outlineLvl w:val="0"/>
              <w:rPr>
                <w:color w:val="auto"/>
              </w:rPr>
            </w:pPr>
            <w:r>
              <w:rPr>
                <w:rFonts w:cs="仿宋_GB2312" w:asciiTheme="minorEastAsia" w:hAnsiTheme="minorEastAsia" w:eastAsiaTheme="minorEastAsia"/>
                <w:color w:val="auto"/>
                <w:sz w:val="24"/>
              </w:rPr>
              <w:t>评标过程中，不得去掉报价中的最高报价和最低报价。</w:t>
            </w:r>
          </w:p>
          <w:p w14:paraId="0EE2EBD6">
            <w:pPr>
              <w:widowControl/>
              <w:shd w:val="clear" w:color="auto" w:fill="FFFFFF"/>
              <w:adjustRightInd/>
              <w:spacing w:after="225" w:line="360" w:lineRule="auto"/>
              <w:ind w:firstLine="42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本项目专门面向中小企业，对小型和微型企业的投标报价不予扣除。</w:t>
            </w:r>
          </w:p>
        </w:tc>
        <w:tc>
          <w:tcPr>
            <w:tcW w:w="851" w:type="dxa"/>
            <w:vAlign w:val="center"/>
          </w:tcPr>
          <w:p w14:paraId="4B11A852">
            <w:pPr>
              <w:spacing w:line="360" w:lineRule="auto"/>
              <w:jc w:val="center"/>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0</w:t>
            </w:r>
          </w:p>
        </w:tc>
        <w:tc>
          <w:tcPr>
            <w:tcW w:w="992" w:type="dxa"/>
            <w:vAlign w:val="center"/>
          </w:tcPr>
          <w:p w14:paraId="0CD9C71E">
            <w:pPr>
              <w:spacing w:line="360" w:lineRule="auto"/>
              <w:jc w:val="center"/>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417" w:type="dxa"/>
            <w:vAlign w:val="center"/>
          </w:tcPr>
          <w:p w14:paraId="2A49E640">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w:t>
            </w:r>
          </w:p>
        </w:tc>
      </w:tr>
    </w:tbl>
    <w:p w14:paraId="592F99E3">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421" w:name="第五部分"/>
      <w:bookmarkStart w:id="422"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杭州市上城区人民法院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杭州市上城区人民法院食堂外包服务项目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杭州市上城区人民法院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23" w:name="_Toc28855"/>
      <w:bookmarkStart w:id="424" w:name="_Toc19273"/>
      <w:bookmarkStart w:id="425" w:name="_Toc20421"/>
      <w:bookmarkStart w:id="426" w:name="_Toc22967"/>
      <w:bookmarkStart w:id="427"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3"/>
      <w:bookmarkEnd w:id="424"/>
      <w:bookmarkEnd w:id="425"/>
      <w:bookmarkEnd w:id="426"/>
      <w:bookmarkEnd w:id="427"/>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28" w:name="_Toc22185"/>
      <w:bookmarkStart w:id="429" w:name="_Toc6773"/>
      <w:bookmarkStart w:id="430" w:name="_Toc18585"/>
      <w:bookmarkStart w:id="431" w:name="_Toc2918"/>
      <w:bookmarkStart w:id="432"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28"/>
      <w:bookmarkEnd w:id="429"/>
      <w:bookmarkEnd w:id="430"/>
      <w:bookmarkEnd w:id="431"/>
      <w:bookmarkEnd w:id="432"/>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33" w:name="_Toc5635"/>
      <w:bookmarkStart w:id="434" w:name="_Toc4929"/>
      <w:bookmarkStart w:id="435" w:name="_Toc1386"/>
      <w:bookmarkStart w:id="436" w:name="_Toc13918"/>
      <w:bookmarkStart w:id="437"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33"/>
      <w:bookmarkEnd w:id="434"/>
      <w:bookmarkEnd w:id="435"/>
      <w:bookmarkEnd w:id="436"/>
      <w:bookmarkEnd w:id="437"/>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38" w:name="_Toc26916"/>
      <w:bookmarkStart w:id="439" w:name="_Toc30158"/>
      <w:bookmarkStart w:id="440" w:name="_Toc3654"/>
      <w:bookmarkStart w:id="441" w:name="_Toc30506"/>
      <w:bookmarkStart w:id="442"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38"/>
    <w:bookmarkEnd w:id="439"/>
    <w:bookmarkEnd w:id="440"/>
    <w:bookmarkEnd w:id="441"/>
    <w:bookmarkEnd w:id="442"/>
    <w:p w14:paraId="2F5CCC91">
      <w:pPr>
        <w:pStyle w:val="960"/>
        <w:spacing w:before="0" w:beforeAutospacing="0" w:after="0" w:afterAutospacing="0" w:line="360" w:lineRule="auto"/>
        <w:ind w:firstLine="480"/>
        <w:rPr>
          <w:b/>
          <w:color w:val="auto"/>
          <w:highlight w:val="none"/>
        </w:rPr>
      </w:pPr>
      <w:bookmarkStart w:id="443" w:name="_Toc10340"/>
      <w:bookmarkStart w:id="444" w:name="_Toc22618"/>
      <w:bookmarkStart w:id="445" w:name="_Toc1814"/>
      <w:bookmarkStart w:id="446" w:name="_Toc3625"/>
      <w:bookmarkStart w:id="447" w:name="_Toc31421"/>
      <w:bookmarkStart w:id="448" w:name="_Toc4760"/>
      <w:bookmarkStart w:id="449" w:name="_Toc11108"/>
      <w:bookmarkStart w:id="450" w:name="_Toc8772"/>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43"/>
      <w:bookmarkEnd w:id="444"/>
      <w:bookmarkEnd w:id="445"/>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46"/>
      <w:bookmarkEnd w:id="447"/>
      <w:bookmarkEnd w:id="448"/>
      <w:bookmarkEnd w:id="449"/>
      <w:bookmarkEnd w:id="450"/>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51" w:name="_Toc2375"/>
      <w:bookmarkStart w:id="452" w:name="_Toc3079"/>
      <w:bookmarkStart w:id="453" w:name="_Toc8586"/>
      <w:bookmarkStart w:id="454" w:name="_Toc24662"/>
      <w:bookmarkStart w:id="455"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1"/>
      <w:bookmarkEnd w:id="452"/>
      <w:bookmarkEnd w:id="453"/>
      <w:bookmarkEnd w:id="454"/>
      <w:bookmarkEnd w:id="455"/>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56" w:name="_Toc18683"/>
      <w:bookmarkStart w:id="457" w:name="_Toc26807"/>
      <w:bookmarkStart w:id="458" w:name="_Toc30329"/>
      <w:bookmarkStart w:id="459" w:name="_Toc32454"/>
      <w:bookmarkStart w:id="460"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56"/>
    <w:bookmarkEnd w:id="457"/>
    <w:bookmarkEnd w:id="458"/>
    <w:bookmarkEnd w:id="459"/>
    <w:bookmarkEnd w:id="460"/>
    <w:p w14:paraId="1A3040A7">
      <w:pPr>
        <w:spacing w:line="560" w:lineRule="exact"/>
        <w:ind w:firstLine="482" w:firstLineChars="200"/>
        <w:outlineLvl w:val="0"/>
        <w:rPr>
          <w:rFonts w:ascii="宋体" w:hAnsi="宋体" w:cs="宋体"/>
          <w:b/>
          <w:color w:val="auto"/>
          <w:sz w:val="24"/>
          <w:highlight w:val="none"/>
        </w:rPr>
      </w:pPr>
      <w:bookmarkStart w:id="461" w:name="_Toc15583"/>
      <w:bookmarkStart w:id="462" w:name="_Toc28375"/>
      <w:bookmarkStart w:id="463" w:name="_Toc16021"/>
      <w:r>
        <w:rPr>
          <w:rFonts w:hint="eastAsia" w:ascii="宋体" w:hAnsi="宋体" w:cs="宋体"/>
          <w:b/>
          <w:color w:val="auto"/>
          <w:sz w:val="24"/>
          <w:highlight w:val="none"/>
        </w:rPr>
        <w:t>1.9合同争议的解决</w:t>
      </w:r>
      <w:bookmarkEnd w:id="461"/>
      <w:bookmarkEnd w:id="462"/>
      <w:bookmarkEnd w:id="463"/>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64" w:name="_Toc11173"/>
      <w:bookmarkStart w:id="465" w:name="_Toc7245"/>
      <w:bookmarkStart w:id="466" w:name="_Toc15322"/>
      <w:r>
        <w:rPr>
          <w:rFonts w:hint="eastAsia" w:ascii="宋体" w:hAnsi="宋体" w:cs="宋体"/>
          <w:b/>
          <w:color w:val="auto"/>
          <w:sz w:val="24"/>
          <w:highlight w:val="none"/>
        </w:rPr>
        <w:t>2.0 合同生效</w:t>
      </w:r>
      <w:bookmarkEnd w:id="464"/>
      <w:bookmarkEnd w:id="465"/>
      <w:bookmarkEnd w:id="466"/>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67" w:name="_Toc31297"/>
      <w:bookmarkStart w:id="468" w:name="_Toc14021"/>
      <w:bookmarkStart w:id="469" w:name="_Toc5228"/>
      <w:bookmarkStart w:id="470" w:name="_Toc19680"/>
      <w:bookmarkStart w:id="471" w:name="_Toc25079"/>
      <w:r>
        <w:rPr>
          <w:rFonts w:ascii="宋体" w:hAnsi="宋体"/>
          <w:b/>
          <w:color w:val="auto"/>
          <w:sz w:val="24"/>
          <w:highlight w:val="none"/>
        </w:rPr>
        <w:t>2.1 定义</w:t>
      </w:r>
      <w:bookmarkEnd w:id="467"/>
      <w:bookmarkEnd w:id="468"/>
      <w:bookmarkEnd w:id="469"/>
      <w:bookmarkEnd w:id="470"/>
      <w:bookmarkEnd w:id="471"/>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72" w:name="_Toc23289"/>
      <w:bookmarkStart w:id="473" w:name="_Toc19539"/>
      <w:bookmarkStart w:id="474" w:name="_Toc31402"/>
      <w:bookmarkStart w:id="475" w:name="_Toc16752"/>
      <w:bookmarkStart w:id="476" w:name="_Toc3769"/>
      <w:r>
        <w:rPr>
          <w:rFonts w:ascii="宋体" w:hAnsi="宋体"/>
          <w:b/>
          <w:color w:val="auto"/>
          <w:sz w:val="24"/>
          <w:highlight w:val="none"/>
        </w:rPr>
        <w:t>2.2 技术规范</w:t>
      </w:r>
      <w:bookmarkEnd w:id="472"/>
      <w:bookmarkEnd w:id="473"/>
      <w:bookmarkEnd w:id="474"/>
      <w:bookmarkEnd w:id="475"/>
      <w:bookmarkEnd w:id="476"/>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77" w:name="_Toc9161"/>
      <w:bookmarkStart w:id="478" w:name="_Toc27945"/>
      <w:bookmarkStart w:id="479" w:name="_Toc4133"/>
      <w:bookmarkStart w:id="480" w:name="_Toc12412"/>
      <w:bookmarkStart w:id="481" w:name="_Toc13673"/>
      <w:r>
        <w:rPr>
          <w:rFonts w:ascii="宋体" w:hAnsi="宋体"/>
          <w:b/>
          <w:color w:val="auto"/>
          <w:sz w:val="24"/>
          <w:highlight w:val="none"/>
        </w:rPr>
        <w:t>2.3 知识产权</w:t>
      </w:r>
      <w:bookmarkEnd w:id="477"/>
      <w:bookmarkEnd w:id="478"/>
      <w:bookmarkEnd w:id="479"/>
      <w:bookmarkEnd w:id="480"/>
      <w:bookmarkEnd w:id="481"/>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82" w:name="_Toc26555"/>
      <w:bookmarkStart w:id="483" w:name="_Toc22011"/>
      <w:bookmarkStart w:id="484" w:name="_Toc32670"/>
      <w:bookmarkStart w:id="485" w:name="_Toc31233"/>
      <w:bookmarkStart w:id="486" w:name="_Toc15447"/>
      <w:r>
        <w:rPr>
          <w:rFonts w:ascii="宋体" w:hAnsi="宋体"/>
          <w:b/>
          <w:color w:val="auto"/>
          <w:sz w:val="24"/>
          <w:highlight w:val="none"/>
        </w:rPr>
        <w:t>2.5 结算方式和付款条件</w:t>
      </w:r>
      <w:bookmarkEnd w:id="482"/>
      <w:bookmarkEnd w:id="483"/>
      <w:bookmarkEnd w:id="484"/>
      <w:bookmarkEnd w:id="485"/>
      <w:bookmarkEnd w:id="486"/>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87" w:name="_Toc30507"/>
      <w:bookmarkStart w:id="488" w:name="_Toc13154"/>
      <w:bookmarkStart w:id="489" w:name="_Toc13467"/>
      <w:bookmarkStart w:id="490" w:name="_Toc18990"/>
      <w:bookmarkStart w:id="491" w:name="_Toc16163"/>
      <w:r>
        <w:rPr>
          <w:rFonts w:ascii="宋体" w:hAnsi="宋体"/>
          <w:b/>
          <w:color w:val="auto"/>
          <w:sz w:val="24"/>
          <w:highlight w:val="none"/>
        </w:rPr>
        <w:t>2.6 技术资料和保密义务</w:t>
      </w:r>
      <w:bookmarkEnd w:id="487"/>
      <w:bookmarkEnd w:id="488"/>
      <w:bookmarkEnd w:id="489"/>
      <w:bookmarkEnd w:id="490"/>
      <w:bookmarkEnd w:id="491"/>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9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92"/>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9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93"/>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9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4"/>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95" w:name="_Toc21830"/>
      <w:bookmarkStart w:id="496" w:name="_Toc10663"/>
      <w:bookmarkStart w:id="497" w:name="_Toc23368"/>
      <w:bookmarkStart w:id="498" w:name="_Toc42"/>
      <w:bookmarkStart w:id="499" w:name="_Toc26689"/>
      <w:r>
        <w:rPr>
          <w:rFonts w:ascii="宋体" w:hAnsi="宋体"/>
          <w:b/>
          <w:color w:val="auto"/>
          <w:sz w:val="24"/>
          <w:highlight w:val="none"/>
        </w:rPr>
        <w:t>2.10 合同转让和分包</w:t>
      </w:r>
      <w:bookmarkEnd w:id="495"/>
      <w:bookmarkEnd w:id="496"/>
      <w:bookmarkEnd w:id="497"/>
      <w:bookmarkEnd w:id="498"/>
      <w:bookmarkEnd w:id="499"/>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500" w:name="_Toc4720"/>
      <w:bookmarkStart w:id="501" w:name="_Toc25571"/>
      <w:bookmarkStart w:id="502" w:name="_Toc14371"/>
      <w:bookmarkStart w:id="503" w:name="_Toc26633"/>
      <w:bookmarkStart w:id="504" w:name="_Toc32494"/>
      <w:r>
        <w:rPr>
          <w:rFonts w:ascii="宋体" w:hAnsi="宋体"/>
          <w:b/>
          <w:color w:val="auto"/>
          <w:sz w:val="24"/>
          <w:highlight w:val="none"/>
        </w:rPr>
        <w:t>2.11 不可抗力</w:t>
      </w:r>
      <w:bookmarkEnd w:id="500"/>
      <w:bookmarkEnd w:id="501"/>
      <w:bookmarkEnd w:id="502"/>
      <w:bookmarkEnd w:id="503"/>
      <w:bookmarkEnd w:id="504"/>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505" w:name="_Toc14115"/>
      <w:bookmarkStart w:id="506" w:name="_Toc25783"/>
      <w:bookmarkStart w:id="507" w:name="_Toc23854"/>
      <w:bookmarkStart w:id="508" w:name="_Toc3638"/>
      <w:bookmarkStart w:id="509" w:name="_Toc24465"/>
      <w:r>
        <w:rPr>
          <w:rFonts w:ascii="宋体" w:hAnsi="宋体"/>
          <w:b/>
          <w:color w:val="auto"/>
          <w:sz w:val="24"/>
          <w:highlight w:val="none"/>
        </w:rPr>
        <w:t>2.12 税费</w:t>
      </w:r>
      <w:bookmarkEnd w:id="505"/>
      <w:bookmarkEnd w:id="506"/>
      <w:bookmarkEnd w:id="507"/>
      <w:bookmarkEnd w:id="508"/>
      <w:bookmarkEnd w:id="509"/>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510" w:name="_Toc25525"/>
      <w:bookmarkStart w:id="511" w:name="_Toc14814"/>
      <w:bookmarkStart w:id="512" w:name="_Toc30105"/>
      <w:bookmarkStart w:id="513" w:name="_Toc7315"/>
      <w:bookmarkStart w:id="514" w:name="_Toc26883"/>
      <w:r>
        <w:rPr>
          <w:rFonts w:ascii="宋体" w:hAnsi="宋体"/>
          <w:b/>
          <w:color w:val="auto"/>
          <w:sz w:val="24"/>
          <w:highlight w:val="none"/>
        </w:rPr>
        <w:t>2.13 乙方破产</w:t>
      </w:r>
      <w:bookmarkEnd w:id="510"/>
      <w:bookmarkEnd w:id="511"/>
      <w:bookmarkEnd w:id="512"/>
      <w:bookmarkEnd w:id="513"/>
      <w:bookmarkEnd w:id="514"/>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515" w:name="_Toc23323"/>
      <w:bookmarkStart w:id="516" w:name="_Toc2016"/>
      <w:bookmarkStart w:id="517" w:name="_Toc1123"/>
      <w:r>
        <w:rPr>
          <w:rFonts w:ascii="宋体" w:hAnsi="宋体"/>
          <w:b/>
          <w:color w:val="auto"/>
          <w:sz w:val="24"/>
          <w:highlight w:val="none"/>
        </w:rPr>
        <w:t>2.14 合同中止、终止</w:t>
      </w:r>
      <w:bookmarkEnd w:id="515"/>
      <w:bookmarkEnd w:id="516"/>
      <w:bookmarkEnd w:id="517"/>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518" w:name="_Toc1969"/>
      <w:bookmarkStart w:id="519" w:name="_Toc17363"/>
      <w:bookmarkStart w:id="520" w:name="_Toc14525"/>
      <w:r>
        <w:rPr>
          <w:rFonts w:ascii="宋体" w:hAnsi="宋体"/>
          <w:b/>
          <w:color w:val="auto"/>
          <w:sz w:val="24"/>
          <w:highlight w:val="none"/>
        </w:rPr>
        <w:t>2.15 检验和验收</w:t>
      </w:r>
      <w:bookmarkEnd w:id="518"/>
      <w:bookmarkEnd w:id="519"/>
      <w:bookmarkEnd w:id="520"/>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521" w:name="_Toc9808"/>
      <w:bookmarkStart w:id="522" w:name="_Toc12666"/>
      <w:bookmarkStart w:id="523" w:name="_Toc31892"/>
      <w:bookmarkStart w:id="524" w:name="_Toc2308"/>
      <w:bookmarkStart w:id="525" w:name="_Toc25198"/>
      <w:r>
        <w:rPr>
          <w:rFonts w:ascii="宋体" w:hAnsi="宋体"/>
          <w:b/>
          <w:color w:val="auto"/>
          <w:sz w:val="24"/>
          <w:highlight w:val="none"/>
        </w:rPr>
        <w:t>2.16 通知和送达</w:t>
      </w:r>
      <w:bookmarkEnd w:id="521"/>
      <w:bookmarkEnd w:id="522"/>
      <w:bookmarkEnd w:id="523"/>
      <w:bookmarkEnd w:id="524"/>
      <w:bookmarkEnd w:id="525"/>
    </w:p>
    <w:p w14:paraId="2D57AD58">
      <w:pPr>
        <w:spacing w:line="560" w:lineRule="exact"/>
        <w:ind w:firstLine="480" w:firstLineChars="200"/>
        <w:rPr>
          <w:rFonts w:ascii="宋体" w:hAnsi="宋体"/>
          <w:color w:val="auto"/>
          <w:sz w:val="24"/>
          <w:highlight w:val="none"/>
        </w:rPr>
      </w:pPr>
      <w:bookmarkStart w:id="526" w:name="_Toc18401"/>
      <w:bookmarkStart w:id="52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26"/>
      <w:bookmarkEnd w:id="527"/>
    </w:p>
    <w:p w14:paraId="79494EF1">
      <w:pPr>
        <w:spacing w:line="560" w:lineRule="exact"/>
        <w:ind w:firstLine="482" w:firstLineChars="200"/>
        <w:outlineLvl w:val="0"/>
        <w:rPr>
          <w:rFonts w:ascii="宋体" w:hAnsi="宋体"/>
          <w:b/>
          <w:color w:val="auto"/>
          <w:sz w:val="24"/>
          <w:highlight w:val="none"/>
        </w:rPr>
      </w:pPr>
      <w:bookmarkStart w:id="528" w:name="_Toc28906"/>
      <w:bookmarkStart w:id="529" w:name="_Toc12254"/>
      <w:bookmarkStart w:id="530" w:name="_Toc20808"/>
      <w:bookmarkStart w:id="531" w:name="_Toc5063"/>
      <w:bookmarkStart w:id="532"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28"/>
      <w:bookmarkEnd w:id="529"/>
      <w:bookmarkEnd w:id="530"/>
      <w:bookmarkEnd w:id="531"/>
      <w:bookmarkEnd w:id="532"/>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33" w:name="_Toc4355"/>
      <w:bookmarkStart w:id="534" w:name="_Toc18540"/>
      <w:bookmarkStart w:id="535" w:name="_Toc30599"/>
      <w:r>
        <w:rPr>
          <w:rFonts w:hint="eastAsia" w:ascii="宋体" w:hAnsi="宋体" w:cs="宋体"/>
          <w:b/>
          <w:color w:val="auto"/>
          <w:sz w:val="24"/>
          <w:highlight w:val="none"/>
        </w:rPr>
        <w:t>2.18 计量单位</w:t>
      </w:r>
      <w:bookmarkEnd w:id="533"/>
      <w:bookmarkEnd w:id="534"/>
      <w:bookmarkEnd w:id="535"/>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36" w:name="_Toc331685784"/>
      <w:r>
        <w:rPr>
          <w:rFonts w:hint="eastAsia" w:ascii="宋体" w:hAnsi="宋体" w:cs="宋体"/>
          <w:b/>
          <w:color w:val="auto"/>
          <w:sz w:val="24"/>
          <w:highlight w:val="none"/>
        </w:rPr>
        <w:t xml:space="preserve"> </w:t>
      </w:r>
      <w:bookmarkEnd w:id="536"/>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1"/>
      <w:r>
        <w:rPr>
          <w:rFonts w:hint="eastAsia" w:ascii="宋体" w:hAnsi="宋体" w:cs="宋体"/>
          <w:b/>
          <w:color w:val="auto"/>
          <w:sz w:val="36"/>
          <w:szCs w:val="20"/>
          <w:highlight w:val="none"/>
        </w:rPr>
        <w:t xml:space="preserve"> </w:t>
      </w:r>
      <w:bookmarkEnd w:id="422"/>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浙江天诺招标代理有限公司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杭州市上城区人民法院食堂外包服务项目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TNZB2025C-GK-013</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浙江天诺招标代理有限公司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杭州市上城区人民法院食堂外包服务项目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TNZB2025C-GK-013</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37" w:name="_Hlk101257010"/>
      <w:r>
        <w:rPr>
          <w:rFonts w:hint="eastAsia" w:ascii="宋体" w:hAnsi="宋体" w:cs="宋体"/>
          <w:color w:val="auto"/>
          <w:sz w:val="24"/>
          <w:highlight w:val="none"/>
        </w:rPr>
        <w:t>（如果有)</w:t>
      </w:r>
      <w:bookmarkEnd w:id="537"/>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80F443">
      <w:r>
        <w:rPr>
          <w:rFonts w:ascii="宋体" w:hAnsi="宋体" w:cs="宋体"/>
          <w:b/>
          <w:color w:val="auto"/>
          <w:kern w:val="0"/>
          <w:sz w:val="32"/>
          <w:szCs w:val="32"/>
          <w:highlight w:val="none"/>
        </w:rPr>
        <w:br w:type="page"/>
      </w: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浙江天诺招标代理有限公司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杭州市上城区人民法院食堂外包服务项目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TNZB2025C-GK-013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浙江天诺招标代理有限公司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杭州市上城区人民法院食堂外包服务项目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TNZB2025C-GK-013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330CCAB">
      <w:pPr>
        <w:pStyle w:val="2"/>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浙江天诺招标代理有限公司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浙江天诺招标代理有限公司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杭州市上城区人民法院食堂外包服务项目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TNZB2025C-GK-013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38" w:name="OLE_LINK14"/>
      <w:bookmarkStart w:id="539" w:name="OLE_LINK13"/>
      <w:r>
        <w:rPr>
          <w:rFonts w:hint="eastAsia" w:ascii="宋体" w:hAnsi="宋体" w:cs="宋体"/>
          <w:b/>
          <w:color w:val="auto"/>
          <w:spacing w:val="6"/>
          <w:sz w:val="32"/>
          <w:szCs w:val="32"/>
          <w:highlight w:val="none"/>
        </w:rPr>
        <w:t>残疾人福利性单位声明函</w:t>
      </w:r>
    </w:p>
    <w:bookmarkEnd w:id="538"/>
    <w:bookmarkEnd w:id="539"/>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杭州市上城区人民法院食堂外包服务项目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杭州市上城区人民法院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浙江天诺招标代理有限公司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杭州市上城区人民法院食堂外包服务项目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TNZB2025C-GK-013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杭州市上城区人民法院食堂外包服务项目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TNZB2025C-GK-013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4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41"/>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42"/>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杭州市上城区人民法院食堂外包服务项目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TNZB2025C-GK-013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杭州市上城区人民法院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杭州市上城区人民法院食堂外包服务项目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采购活动，服务全部由符合政策要求的中小企业承接（或者：工程的施工单位全部为符合政策要求的中小企业）。相关企业（含联合体中的中小企业、签订分包意向协议的中小企业）的具体情况如下：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3" w:name="_Toc131845147"/>
    <w:bookmarkStart w:id="544" w:name="_Toc164085800"/>
    <w:bookmarkStart w:id="545" w:name="_Toc91899912"/>
    <w:bookmarkStart w:id="546" w:name="_Toc36110187"/>
    <w:r>
      <w:rPr>
        <w:rFonts w:hint="eastAsia" w:ascii="仿宋_GB2312" w:eastAsia="仿宋_GB2312"/>
        <w:kern w:val="0"/>
        <w:szCs w:val="21"/>
      </w:rPr>
      <w:t xml:space="preserve"> 页</w:t>
    </w:r>
    <w:bookmarkEnd w:id="543"/>
    <w:bookmarkEnd w:id="544"/>
    <w:bookmarkEnd w:id="545"/>
    <w:bookmarkEnd w:id="5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1">
    <w:nsid w:val="1D1A1F84"/>
    <w:multiLevelType w:val="multilevel"/>
    <w:tmpl w:val="1D1A1F84"/>
    <w:lvl w:ilvl="0" w:tentative="0">
      <w:start w:val="1"/>
      <w:numFmt w:val="decimal"/>
      <w:lvlText w:val="（%1）"/>
      <w:lvlJc w:val="left"/>
      <w:pPr>
        <w:ind w:left="480" w:hanging="420"/>
      </w:p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75630"/>
    <w:rsid w:val="060E5941"/>
    <w:rsid w:val="06110FAF"/>
    <w:rsid w:val="06493CA7"/>
    <w:rsid w:val="065A6178"/>
    <w:rsid w:val="066F1CF3"/>
    <w:rsid w:val="06930BB8"/>
    <w:rsid w:val="071C6FC5"/>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4A6845"/>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A0CB1"/>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13301D"/>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5232A5"/>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3A3B6F"/>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19109</Words>
  <Characters>20355</Characters>
  <Lines>281</Lines>
  <Paragraphs>79</Paragraphs>
  <TotalTime>1</TotalTime>
  <ScaleCrop>false</ScaleCrop>
  <LinksUpToDate>false</LinksUpToDate>
  <CharactersWithSpaces>20830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1</cp:lastModifiedBy>
  <cp:lastPrinted>2021-12-28T03:06:00Z</cp:lastPrinted>
  <dcterms:modified xsi:type="dcterms:W3CDTF">2025-07-01T09:06:12Z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eyJoZGlkIjoiYjMwYTcwMGE1NGRlYzg0ODg2YTY2ZDEzNjlhNmJlYTAiLCJ1c2VySWQiOiIxNjQzMTM5ODkwIn0=</vt:lpwstr>
  </property>
</Properties>
</file>