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hint="eastAsia" w:cs="仿宋_GB2312" w:asciiTheme="minorEastAsia" w:hAnsiTheme="minorEastAsia" w:eastAsiaTheme="minorEastAsia"/>
          <w:b/>
          <w:sz w:val="48"/>
          <w:szCs w:val="48"/>
          <w:lang w:eastAsia="zh-CN"/>
        </w:rPr>
      </w:pPr>
      <w:r>
        <w:rPr>
          <w:rFonts w:hint="eastAsia" w:cs="仿宋_GB2312" w:asciiTheme="minorEastAsia" w:hAnsiTheme="minorEastAsia" w:eastAsiaTheme="minorEastAsia"/>
          <w:b/>
          <w:sz w:val="48"/>
          <w:szCs w:val="48"/>
          <w:lang w:val="zh-CN" w:eastAsia="zh-CN"/>
        </w:rPr>
        <w:t>2024年杭师大附中教职工疗休养（省外线）项目</w:t>
      </w:r>
    </w:p>
    <w:p>
      <w:pPr>
        <w:adjustRightInd/>
        <w:spacing w:line="360" w:lineRule="auto"/>
        <w:jc w:val="center"/>
        <w:rPr>
          <w:rFonts w:hint="eastAsia" w:cs="仿宋_GB2312" w:asciiTheme="minorEastAsia" w:hAnsiTheme="minorEastAsia" w:eastAsiaTheme="minorEastAsia"/>
          <w:b/>
          <w:sz w:val="56"/>
          <w:szCs w:val="56"/>
        </w:rPr>
      </w:pPr>
      <w:r>
        <w:rPr>
          <w:rFonts w:hint="eastAsia" w:cs="仿宋_GB2312" w:asciiTheme="minorEastAsia" w:hAnsiTheme="minorEastAsia" w:eastAsiaTheme="minorEastAsia"/>
          <w:b/>
          <w:sz w:val="56"/>
          <w:szCs w:val="56"/>
          <w:lang w:val="zh-CN"/>
        </w:rPr>
        <w:t>竞争性磋商</w:t>
      </w:r>
      <w:r>
        <w:rPr>
          <w:rFonts w:hint="eastAsia" w:cs="仿宋_GB2312" w:asciiTheme="minorEastAsia" w:hAnsiTheme="minorEastAsia" w:eastAsiaTheme="minorEastAsia"/>
          <w:b/>
          <w:sz w:val="56"/>
          <w:szCs w:val="56"/>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w:t>
      </w:r>
      <w:r>
        <w:rPr>
          <w:rFonts w:hint="eastAsia" w:cs="仿宋_GB2312" w:asciiTheme="minorEastAsia" w:hAnsiTheme="minorEastAsia" w:eastAsiaTheme="minorEastAsia"/>
          <w:b/>
          <w:sz w:val="44"/>
          <w:szCs w:val="44"/>
          <w:lang w:val="en-US" w:eastAsia="zh-CN"/>
        </w:rPr>
        <w:t>非采购项目—</w:t>
      </w: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TNZB2024W-CS-020</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jc w:val="center"/>
        <w:rPr>
          <w:rFonts w:hint="eastAsia" w:eastAsia="宋体" w:cs="仿宋_GB2312" w:asciiTheme="minorEastAsia" w:hAnsiTheme="minorEastAsia"/>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杭州师范大学附属中学</w:t>
      </w:r>
    </w:p>
    <w:p>
      <w:pPr>
        <w:spacing w:line="360" w:lineRule="auto"/>
        <w:jc w:val="center"/>
        <w:rPr>
          <w:rFonts w:cs="仿宋_GB2312" w:asciiTheme="minorEastAsia" w:hAnsiTheme="minorEastAsia" w:eastAsiaTheme="minorEastAsia"/>
          <w:bCs/>
          <w:sz w:val="32"/>
          <w:szCs w:val="32"/>
        </w:rPr>
      </w:pPr>
      <w:r>
        <w:rPr>
          <w:rFonts w:hint="eastAsia" w:ascii="宋体" w:hAnsi="宋体" w:cs="宋体"/>
          <w:bCs/>
          <w:sz w:val="32"/>
          <w:szCs w:val="32"/>
        </w:rPr>
        <w:t>采购代理机构：浙江天诺招标代理有限公司</w:t>
      </w:r>
    </w:p>
    <w:p>
      <w:pPr>
        <w:snapToGrid w:val="0"/>
        <w:spacing w:line="360" w:lineRule="auto"/>
        <w:jc w:val="center"/>
        <w:rPr>
          <w:rFonts w:hint="eastAsia" w:cs="仿宋_GB2312" w:asciiTheme="minorEastAsia" w:hAnsiTheme="minorEastAsia" w:eastAsiaTheme="minorEastAsia"/>
          <w:bCs/>
          <w:sz w:val="32"/>
          <w:szCs w:val="32"/>
          <w:lang w:eastAsia="zh-CN"/>
        </w:rPr>
      </w:pPr>
      <w:r>
        <w:rPr>
          <w:rFonts w:hint="eastAsia" w:cs="仿宋_GB2312" w:asciiTheme="minorEastAsia" w:hAnsiTheme="minorEastAsia" w:eastAsiaTheme="minorEastAsia"/>
          <w:bCs/>
          <w:sz w:val="32"/>
          <w:szCs w:val="32"/>
          <w:lang w:eastAsia="zh-CN"/>
        </w:rPr>
        <w:t>二〇二四年五月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pPr>
        <w:spacing w:line="360" w:lineRule="auto"/>
        <w:rPr>
          <w:rFonts w:asciiTheme="minorEastAsia" w:hAnsiTheme="minorEastAsia" w:eastAsiaTheme="minorEastAsia"/>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lang w:eastAsia="zh-CN"/>
        </w:rPr>
        <w:t>2024年杭师大附中教职工疗休养（省外线）项目</w:t>
      </w:r>
      <w:r>
        <w:rPr>
          <w:rFonts w:hint="eastAsia" w:cs="Times New Roman" w:asciiTheme="minorEastAsia" w:hAnsiTheme="minorEastAsia" w:eastAsiaTheme="minorEastAsia"/>
          <w:sz w:val="24"/>
        </w:rPr>
        <w:t>招标项目的潜在供应商应在杭州市教育局非依法招标（小额）项目平台</w:t>
      </w:r>
      <w:r>
        <w:rPr>
          <w:rFonts w:hint="eastAsia" w:cs="Times New Roman" w:asciiTheme="minorEastAsia" w:hAnsiTheme="minorEastAsia" w:eastAsiaTheme="minorEastAsia"/>
          <w:sz w:val="24"/>
        </w:rPr>
        <w:fldChar w:fldCharType="begin"/>
      </w:r>
      <w:r>
        <w:rPr>
          <w:rFonts w:hint="eastAsia" w:cs="Times New Roman" w:asciiTheme="minorEastAsia" w:hAnsiTheme="minorEastAsia" w:eastAsiaTheme="minorEastAsia"/>
          <w:sz w:val="24"/>
        </w:rPr>
        <w:instrText xml:space="preserve">HYPERLINK "http://zfcg.czt.zj.gov.cn/）获取（下载）采购文件，并于2021年04月"</w:instrText>
      </w:r>
      <w:r>
        <w:rPr>
          <w:rFonts w:hint="eastAsia" w:cs="Times New Roman" w:asciiTheme="minorEastAsia" w:hAnsiTheme="minorEastAsia" w:eastAsiaTheme="minorEastAsia"/>
          <w:sz w:val="24"/>
        </w:rPr>
        <w:fldChar w:fldCharType="separate"/>
      </w:r>
      <w:r>
        <w:rPr>
          <w:rFonts w:hint="eastAsia" w:cs="Times New Roman" w:asciiTheme="minorEastAsia" w:hAnsiTheme="minorEastAsia" w:eastAsiaTheme="minorEastAsia"/>
          <w:sz w:val="24"/>
        </w:rPr>
        <w:t>获取（下载）采购文件，并于</w:t>
      </w:r>
      <w:r>
        <w:rPr>
          <w:rFonts w:hint="eastAsia" w:cs="Times New Roman" w:asciiTheme="minorEastAsia" w:hAnsiTheme="minorEastAsia" w:eastAsiaTheme="minorEastAsia"/>
          <w:sz w:val="24"/>
        </w:rPr>
        <w:fldChar w:fldCharType="end"/>
      </w:r>
      <w:r>
        <w:rPr>
          <w:rFonts w:hint="eastAsia" w:cs="Times New Roman" w:asciiTheme="minorEastAsia" w:hAnsiTheme="minorEastAsia" w:eastAsiaTheme="minorEastAsia"/>
          <w:sz w:val="24"/>
        </w:rPr>
        <w:t>202</w:t>
      </w:r>
      <w:r>
        <w:rPr>
          <w:rFonts w:hint="eastAsia" w:cs="Times New Roman" w:asciiTheme="minorEastAsia" w:hAnsiTheme="minorEastAsia" w:eastAsiaTheme="minorEastAsia"/>
          <w:sz w:val="24"/>
          <w:lang w:val="en-US" w:eastAsia="zh-CN"/>
        </w:rPr>
        <w:t>4</w:t>
      </w:r>
      <w:r>
        <w:rPr>
          <w:rFonts w:hint="eastAsia" w:cs="Times New Roman" w:asciiTheme="minorEastAsia" w:hAnsiTheme="minorEastAsia" w:eastAsiaTheme="minorEastAsia"/>
          <w:sz w:val="24"/>
        </w:rPr>
        <w:t>年</w:t>
      </w:r>
      <w:r>
        <w:rPr>
          <w:rFonts w:hint="eastAsia" w:cs="Times New Roman" w:asciiTheme="minorEastAsia" w:hAnsiTheme="minorEastAsia" w:eastAsiaTheme="minorEastAsia"/>
          <w:sz w:val="24"/>
          <w:lang w:val="en-US" w:eastAsia="zh-CN"/>
        </w:rPr>
        <w:t>06</w:t>
      </w:r>
      <w:r>
        <w:rPr>
          <w:rFonts w:hint="eastAsia" w:cs="Times New Roman" w:asciiTheme="minorEastAsia" w:hAnsiTheme="minorEastAsia" w:eastAsiaTheme="minorEastAsia"/>
          <w:sz w:val="24"/>
        </w:rPr>
        <w:t>月</w:t>
      </w:r>
      <w:r>
        <w:rPr>
          <w:rFonts w:hint="eastAsia" w:cs="Times New Roman" w:asciiTheme="minorEastAsia" w:hAnsiTheme="minorEastAsia" w:eastAsiaTheme="minorEastAsia"/>
          <w:sz w:val="24"/>
          <w:lang w:val="en-US" w:eastAsia="zh-CN"/>
        </w:rPr>
        <w:t>09</w:t>
      </w:r>
      <w:r>
        <w:rPr>
          <w:rFonts w:hint="eastAsia" w:cs="Times New Roman" w:asciiTheme="minorEastAsia" w:hAnsiTheme="minorEastAsia" w:eastAsiaTheme="minorEastAsia"/>
          <w:sz w:val="24"/>
        </w:rPr>
        <w:t>日</w:t>
      </w:r>
      <w:r>
        <w:rPr>
          <w:rFonts w:hint="eastAsia" w:cs="Times New Roman" w:asciiTheme="minorEastAsia" w:hAnsiTheme="minorEastAsia" w:eastAsiaTheme="minorEastAsia"/>
          <w:sz w:val="24"/>
          <w:lang w:val="en-US" w:eastAsia="zh-CN"/>
        </w:rPr>
        <w:t>14:00</w:t>
      </w:r>
      <w:r>
        <w:rPr>
          <w:rFonts w:hint="eastAsia" w:cs="Times New Roman" w:asciiTheme="minorEastAsia" w:hAnsiTheme="minorEastAsia" w:eastAsiaTheme="minorEastAsia"/>
          <w:sz w:val="24"/>
        </w:rPr>
        <w:t>（北京时间）前提交（上传）响应文件。 </w:t>
      </w:r>
    </w:p>
    <w:p>
      <w:pPr>
        <w:spacing w:line="360" w:lineRule="auto"/>
        <w:rPr>
          <w:rFonts w:asciiTheme="minorEastAsia" w:hAnsiTheme="minorEastAsia" w:eastAsiaTheme="minorEastAsia"/>
          <w:sz w:val="24"/>
        </w:rPr>
      </w:pPr>
    </w:p>
    <w:p>
      <w:pPr>
        <w:pStyle w:val="4"/>
        <w:numPr>
          <w:ilvl w:val="0"/>
          <w:numId w:val="0"/>
        </w:numPr>
        <w:ind w:left="432" w:hanging="432"/>
        <w:rPr>
          <w:rFonts w:cs="宋体" w:asciiTheme="minorEastAsia" w:hAnsiTheme="minorEastAsia" w:eastAsiaTheme="minorEastAsia"/>
          <w:sz w:val="24"/>
          <w:szCs w:val="24"/>
        </w:rPr>
      </w:pPr>
      <w:bookmarkStart w:id="11" w:name="_Toc35393798"/>
      <w:bookmarkStart w:id="12" w:name="_Toc28359012"/>
      <w:bookmarkStart w:id="13" w:name="_Toc28359089"/>
      <w:bookmarkStart w:id="14" w:name="_Toc35393629"/>
      <w:r>
        <w:rPr>
          <w:rFonts w:hint="eastAsia" w:cs="宋体" w:asciiTheme="minorEastAsia" w:hAnsiTheme="minorEastAsia" w:eastAsiaTheme="minorEastAsia"/>
          <w:sz w:val="24"/>
          <w:szCs w:val="24"/>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lang w:eastAsia="zh-CN"/>
        </w:rPr>
        <w:t>TNZB2024W-CS-020</w:t>
      </w:r>
    </w:p>
    <w:p>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lang w:eastAsia="zh-CN"/>
        </w:rPr>
        <w:t>2024年杭师大附中教职工疗休养（省外线）项目</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
          <w:sz w:val="24"/>
          <w:lang w:val="en-US" w:eastAsia="zh-CN"/>
        </w:rPr>
        <w:t>390000</w:t>
      </w:r>
      <w:r>
        <w:rPr>
          <w:rFonts w:hint="eastAsia" w:asciiTheme="minorEastAsia" w:hAnsiTheme="minorEastAsia" w:eastAsiaTheme="minorEastAsia"/>
          <w:b/>
          <w:sz w:val="24"/>
        </w:rPr>
        <w:t>.00</w:t>
      </w:r>
    </w:p>
    <w:p>
      <w:pPr>
        <w:spacing w:line="360" w:lineRule="auto"/>
        <w:ind w:firstLine="482" w:firstLineChars="200"/>
        <w:rPr>
          <w:rFonts w:hint="eastAsia" w:cs="Times New Roman" w:asciiTheme="minorEastAsia" w:hAnsiTheme="minorEastAsia" w:eastAsiaTheme="minorEastAsia"/>
          <w:b/>
          <w:sz w:val="24"/>
          <w:lang w:val="en-US" w:eastAsia="zh-CN"/>
        </w:rPr>
      </w:pPr>
      <w:r>
        <w:rPr>
          <w:rFonts w:hint="eastAsia" w:asciiTheme="minorEastAsia" w:hAnsiTheme="minorEastAsia" w:eastAsiaTheme="minorEastAsia"/>
          <w:b/>
          <w:sz w:val="24"/>
        </w:rPr>
        <w:t>最高限价</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元</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 390000</w:t>
      </w:r>
      <w:r>
        <w:rPr>
          <w:rFonts w:hint="eastAsia" w:asciiTheme="minorEastAsia" w:hAnsiTheme="minorEastAsia" w:eastAsiaTheme="minorEastAsia"/>
          <w:b/>
          <w:sz w:val="24"/>
        </w:rPr>
        <w:t>.00</w:t>
      </w:r>
      <w:r>
        <w:rPr>
          <w:rFonts w:hint="eastAsia" w:cs="Times New Roman" w:asciiTheme="minorEastAsia" w:hAnsiTheme="minorEastAsia" w:eastAsiaTheme="minorEastAsia"/>
          <w:b/>
          <w:sz w:val="24"/>
          <w:lang w:val="en-US" w:eastAsia="zh-CN"/>
        </w:rPr>
        <w:t>。</w:t>
      </w:r>
    </w:p>
    <w:p>
      <w:pPr>
        <w:spacing w:line="360" w:lineRule="auto"/>
        <w:ind w:firstLine="482" w:firstLineChars="200"/>
        <w:rPr>
          <w:rFonts w:hint="eastAsia" w:cs="Times New Roman" w:asciiTheme="minorEastAsia" w:hAnsiTheme="minorEastAsia" w:eastAsiaTheme="minorEastAsia"/>
          <w:b/>
          <w:sz w:val="24"/>
          <w:lang w:val="en-US" w:eastAsia="zh-CN"/>
        </w:rPr>
      </w:pPr>
      <w:r>
        <w:rPr>
          <w:rFonts w:hint="eastAsia" w:cs="Times New Roman" w:asciiTheme="minorEastAsia" w:hAnsiTheme="minorEastAsia" w:eastAsiaTheme="minorEastAsia"/>
          <w:b/>
          <w:sz w:val="24"/>
          <w:lang w:val="en-US" w:eastAsia="zh-CN"/>
        </w:rPr>
        <w:t>最高限价（元/人）：3000.00。</w:t>
      </w:r>
    </w:p>
    <w:p>
      <w:pPr>
        <w:spacing w:line="360" w:lineRule="auto"/>
        <w:ind w:firstLine="482" w:firstLineChars="200"/>
        <w:rPr>
          <w:rFonts w:hint="eastAsia" w:cs="Times New Roman" w:asciiTheme="minorEastAsia" w:hAnsiTheme="minorEastAsia" w:eastAsiaTheme="minorEastAsia"/>
          <w:b/>
          <w:sz w:val="24"/>
          <w:lang w:val="en-US" w:eastAsia="zh-CN"/>
        </w:rPr>
      </w:pPr>
      <w:r>
        <w:rPr>
          <w:rFonts w:hint="eastAsia" w:cs="Times New Roman" w:asciiTheme="minorEastAsia" w:hAnsiTheme="minorEastAsia" w:eastAsiaTheme="minorEastAsia"/>
          <w:b/>
          <w:sz w:val="24"/>
          <w:lang w:val="en-US" w:eastAsia="zh-CN"/>
        </w:rPr>
        <w:t>采购需求：</w:t>
      </w:r>
    </w:p>
    <w:p>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bCs/>
          <w:sz w:val="24"/>
        </w:rPr>
        <w:t>数量：</w:t>
      </w:r>
      <w:r>
        <w:rPr>
          <w:rFonts w:hint="eastAsia" w:asciiTheme="minorEastAsia" w:hAnsiTheme="minorEastAsia" w:eastAsiaTheme="minorEastAsia"/>
          <w:sz w:val="24"/>
        </w:rPr>
        <w:t>1</w:t>
      </w:r>
    </w:p>
    <w:p>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bCs/>
          <w:sz w:val="24"/>
        </w:rPr>
        <w:t>单位：</w:t>
      </w:r>
      <w:r>
        <w:rPr>
          <w:rFonts w:hint="eastAsia" w:asciiTheme="minorEastAsia" w:hAnsiTheme="minorEastAsia" w:eastAsiaTheme="minorEastAsia"/>
          <w:sz w:val="24"/>
        </w:rPr>
        <w:t>项</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简要规格描述：</w:t>
      </w:r>
      <w:r>
        <w:rPr>
          <w:rFonts w:hint="eastAsia" w:asciiTheme="minorEastAsia" w:hAnsiTheme="minorEastAsia" w:eastAsiaTheme="minorEastAsia"/>
          <w:sz w:val="24"/>
        </w:rPr>
        <w:t>具体详见磋商文件第</w:t>
      </w:r>
      <w:r>
        <w:rPr>
          <w:rFonts w:hint="eastAsia" w:asciiTheme="minorEastAsia" w:hAnsiTheme="minorEastAsia" w:eastAsiaTheme="minorEastAsia"/>
          <w:sz w:val="24"/>
          <w:lang w:val="en-US" w:eastAsia="zh-CN"/>
        </w:rPr>
        <w:t>四</w:t>
      </w:r>
      <w:r>
        <w:rPr>
          <w:rFonts w:hint="eastAsia" w:asciiTheme="minorEastAsia" w:hAnsiTheme="minorEastAsia" w:eastAsiaTheme="minorEastAsia"/>
          <w:sz w:val="24"/>
        </w:rPr>
        <w:t>部分“采购需求”。</w:t>
      </w:r>
    </w:p>
    <w:p>
      <w:pPr>
        <w:spacing w:line="360" w:lineRule="auto"/>
        <w:ind w:firstLine="482" w:firstLineChars="200"/>
        <w:rPr>
          <w:rFonts w:hint="default" w:asciiTheme="minorEastAsia" w:hAnsiTheme="minorEastAsia" w:eastAsiaTheme="minorEastAsia"/>
          <w:sz w:val="24"/>
          <w:highlight w:val="none"/>
          <w:u w:val="single"/>
          <w:lang w:val="en-US" w:eastAsia="zh-CN"/>
        </w:rPr>
      </w:pPr>
      <w:r>
        <w:rPr>
          <w:rFonts w:hint="eastAsia" w:asciiTheme="minorEastAsia" w:hAnsiTheme="minorEastAsia" w:eastAsiaTheme="minorEastAsia"/>
          <w:b/>
          <w:sz w:val="24"/>
        </w:rPr>
        <w:t>合同履行期</w:t>
      </w:r>
      <w:r>
        <w:rPr>
          <w:rFonts w:hint="eastAsia" w:asciiTheme="minorEastAsia" w:hAnsiTheme="minorEastAsia" w:eastAsiaTheme="minorEastAsia"/>
          <w:b/>
          <w:sz w:val="24"/>
          <w:highlight w:val="none"/>
        </w:rPr>
        <w:t>限</w:t>
      </w:r>
      <w:r>
        <w:rPr>
          <w:rFonts w:hint="eastAsia" w:asciiTheme="minorEastAsia" w:hAnsiTheme="minorEastAsia" w:eastAsiaTheme="minorEastAsia"/>
          <w:sz w:val="24"/>
          <w:highlight w:val="none"/>
        </w:rPr>
        <w:t>：</w:t>
      </w:r>
      <w:r>
        <w:rPr>
          <w:rFonts w:hint="eastAsia" w:asciiTheme="minorEastAsia" w:hAnsiTheme="minorEastAsia" w:eastAsiaTheme="minorEastAsia"/>
          <w:sz w:val="24"/>
        </w:rPr>
        <w:t>详见采购需求要求</w:t>
      </w:r>
      <w:r>
        <w:rPr>
          <w:rFonts w:hint="eastAsia" w:hAnsi="宋体" w:cs="宋体"/>
          <w:bCs/>
          <w:sz w:val="24"/>
          <w:lang w:val="en-US" w:eastAsia="zh-CN"/>
        </w:rPr>
        <w:t>。</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sdtPr>
        <w:sdtEndPr>
          <w:rPr>
            <w:rFonts w:hint="eastAsia" w:asciiTheme="minorEastAsia" w:hAnsiTheme="minorEastAsia" w:eastAsiaTheme="minorEastAsia"/>
            <w:b/>
            <w:sz w:val="24"/>
            <w:highlight w:val="none"/>
          </w:rPr>
        </w:sdtEndPr>
        <w:sdtContent>
          <w:r>
            <w:rPr>
              <w:rFonts w:hint="eastAsia" w:ascii="MS Gothic" w:hAnsi="MS Gothic" w:eastAsia="宋体"/>
              <w:b/>
              <w:sz w:val="24"/>
              <w:highlight w:val="none"/>
              <w:lang w:eastAsia="zh-CN"/>
            </w:rPr>
            <w:t>□</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sdtPr>
        <w:sdtEndPr>
          <w:rPr>
            <w:rFonts w:hint="eastAsia" w:asciiTheme="minorEastAsia" w:hAnsiTheme="minorEastAsia" w:eastAsiaTheme="minorEastAsia"/>
            <w:b/>
            <w:sz w:val="24"/>
            <w:highlight w:val="none"/>
          </w:rPr>
        </w:sdtEndPr>
        <w:sdtContent>
          <w:sdt>
            <w:sdtPr>
              <w:rPr>
                <w:rFonts w:hint="eastAsia" w:asciiTheme="minorEastAsia" w:hAnsiTheme="minorEastAsia" w:eastAsiaTheme="minorEastAsia"/>
                <w:b/>
                <w:sz w:val="24"/>
                <w:highlight w:val="none"/>
              </w:rPr>
              <w:id w:val="2035453831"/>
            </w:sdtPr>
            <w:sdtEndPr>
              <w:rPr>
                <w:rFonts w:hint="eastAsia" w:asciiTheme="minorEastAsia" w:hAnsiTheme="minorEastAsia" w:eastAsiaTheme="minorEastAsia"/>
                <w:b/>
                <w:sz w:val="24"/>
                <w:highlight w:val="none"/>
              </w:rPr>
            </w:sdtEndPr>
            <w:sdtContent>
              <w:r>
                <w:rPr>
                  <w:rFonts w:hint="eastAsia" w:ascii="MS Gothic" w:hAnsi="MS Gothic" w:eastAsia="宋体"/>
                  <w:b/>
                  <w:sz w:val="24"/>
                  <w:highlight w:val="none"/>
                  <w:lang w:eastAsia="zh-CN"/>
                </w:rPr>
                <w:t>☑</w:t>
              </w:r>
            </w:sdtContent>
          </w:sdt>
        </w:sdtContent>
      </w:sdt>
      <w:r>
        <w:rPr>
          <w:rFonts w:hint="eastAsia" w:asciiTheme="minorEastAsia" w:hAnsiTheme="minorEastAsia" w:eastAsiaTheme="minorEastAsia"/>
          <w:b/>
          <w:sz w:val="24"/>
          <w:highlight w:val="none"/>
        </w:rPr>
        <w:t>否。</w:t>
      </w:r>
    </w:p>
    <w:p>
      <w:pPr>
        <w:spacing w:line="360" w:lineRule="auto"/>
        <w:ind w:firstLine="480" w:firstLineChars="200"/>
        <w:rPr>
          <w:rFonts w:cs="宋体" w:asciiTheme="minorEastAsia" w:hAnsiTheme="minorEastAsia" w:eastAsiaTheme="minorEastAsia"/>
          <w:sz w:val="24"/>
        </w:rPr>
      </w:pPr>
      <w:bookmarkStart w:id="15" w:name="_Toc28359013"/>
      <w:bookmarkStart w:id="16" w:name="_Toc35393630"/>
      <w:bookmarkStart w:id="17" w:name="_Toc28359090"/>
      <w:bookmarkStart w:id="18" w:name="_Toc35393799"/>
      <w:r>
        <w:rPr>
          <w:rFonts w:hint="eastAsia" w:cs="宋体" w:asciiTheme="minorEastAsia" w:hAnsiTheme="minorEastAsia" w:eastAsiaTheme="minorEastAsia"/>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.落实政府采购政策需满足的资格要求：专门面向中小企业</w:t>
      </w:r>
      <w:r>
        <w:rPr>
          <w:rFonts w:hint="eastAsia" w:cs="宋体" w:asciiTheme="minorEastAsia" w:hAnsiTheme="minorEastAsia" w:eastAsiaTheme="minorEastAsia"/>
          <w:snapToGrid w:val="0"/>
          <w:kern w:val="28"/>
          <w:sz w:val="24"/>
          <w:szCs w:val="20"/>
          <w:lang w:eastAsia="zh-CN"/>
        </w:rPr>
        <w:t>，</w:t>
      </w:r>
      <w:r>
        <w:rPr>
          <w:rFonts w:hint="eastAsia" w:cs="宋体" w:asciiTheme="minorEastAsia" w:hAnsiTheme="minorEastAsia" w:eastAsiaTheme="minorEastAsia"/>
          <w:snapToGrid w:val="0"/>
          <w:kern w:val="28"/>
          <w:sz w:val="24"/>
          <w:szCs w:val="20"/>
        </w:rPr>
        <w:t>服务全部由符合政策要求的中小企业承接，提供中小企业声明函；</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w:t>
      </w:r>
      <w:r>
        <w:rPr>
          <w:rFonts w:hint="eastAsia" w:cs="仿宋" w:asciiTheme="minorEastAsia" w:hAnsiTheme="minorEastAsia" w:eastAsiaTheme="minorEastAsia"/>
          <w:color w:val="auto"/>
          <w:kern w:val="0"/>
          <w:sz w:val="24"/>
          <w:szCs w:val="24"/>
          <w:highlight w:val="none"/>
        </w:rPr>
        <w:t>供应商具有有效期内的《旅行社业务经营许可证》，许可经营业务范围须包含国内旅游业务</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w:t>
      </w:r>
      <w:r>
        <w:rPr>
          <w:rFonts w:hint="eastAsia" w:cs="宋体" w:asciiTheme="minorEastAsia" w:hAnsiTheme="minorEastAsia" w:eastAsiaTheme="minorEastAsia"/>
          <w:sz w:val="24"/>
          <w:highlight w:val="none"/>
        </w:rPr>
        <w:t>得再参加该采购项目的其他采购活动。</w:t>
      </w:r>
    </w:p>
    <w:p>
      <w:pPr>
        <w:spacing w:line="360" w:lineRule="auto"/>
        <w:ind w:firstLine="480" w:firstLineChars="200"/>
        <w:rPr>
          <w:rFonts w:cs="宋体" w:asciiTheme="minorEastAsia" w:hAnsiTheme="minorEastAsia" w:eastAsiaTheme="minorEastAsia"/>
          <w:sz w:val="24"/>
          <w:highlight w:val="none"/>
        </w:rPr>
      </w:pPr>
      <w:bookmarkStart w:id="19" w:name="_Toc35393631"/>
      <w:bookmarkStart w:id="20" w:name="_Toc28359091"/>
      <w:bookmarkStart w:id="21" w:name="_Toc35393800"/>
      <w:bookmarkStart w:id="22" w:name="_Toc28359014"/>
      <w:r>
        <w:rPr>
          <w:rFonts w:hint="eastAsia" w:cs="宋体" w:asciiTheme="minorEastAsia" w:hAnsiTheme="minorEastAsia" w:eastAsiaTheme="minorEastAsia"/>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w:t>
      </w:r>
      <w:r>
        <w:rPr>
          <w:rFonts w:hint="eastAsia" w:cs="宋体" w:asciiTheme="minorEastAsia" w:hAnsiTheme="minorEastAsia" w:eastAsiaTheme="minorEastAsia"/>
          <w:sz w:val="24"/>
          <w:highlight w:val="none"/>
          <w:lang w:eastAsia="zh-CN"/>
        </w:rPr>
        <w:t>2024年06月09日14点00分00秒</w:t>
      </w:r>
      <w:r>
        <w:rPr>
          <w:rFonts w:hint="eastAsia" w:cs="宋体" w:asciiTheme="minorEastAsia" w:hAnsiTheme="minorEastAsia" w:eastAsiaTheme="minorEastAsia"/>
          <w:sz w:val="24"/>
          <w:highlight w:val="none"/>
        </w:rPr>
        <w:t>，每天上午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地点（网址）：</w:t>
      </w:r>
      <w:r>
        <w:rPr>
          <w:rFonts w:hint="eastAsia" w:ascii="宋体" w:hAnsi="宋体" w:cs="宋体"/>
          <w:color w:val="auto"/>
          <w:sz w:val="24"/>
          <w:highlight w:val="none"/>
          <w:lang w:eastAsia="zh-CN"/>
        </w:rPr>
        <w:t>杭州市教育局非依法招标（小额）项目平台获取</w:t>
      </w:r>
    </w:p>
    <w:p>
      <w:pPr>
        <w:spacing w:line="360" w:lineRule="auto"/>
        <w:ind w:firstLine="480" w:firstLineChars="200"/>
        <w:rPr>
          <w:rFonts w:cs="宋体" w:asciiTheme="minorEastAsia" w:hAnsiTheme="minorEastAsia" w:eastAsiaTheme="minorEastAsia"/>
          <w:sz w:val="28"/>
          <w:szCs w:val="28"/>
          <w:highlight w:val="none"/>
          <w:u w:val="single"/>
        </w:rPr>
      </w:pPr>
      <w:r>
        <w:rPr>
          <w:rFonts w:hint="eastAsia" w:ascii="宋体" w:hAnsi="宋体" w:eastAsia="宋体" w:cs="宋体"/>
          <w:color w:val="auto"/>
          <w:sz w:val="24"/>
          <w:highlight w:val="none"/>
        </w:rPr>
        <w:t>方式：</w:t>
      </w:r>
      <w:r>
        <w:rPr>
          <w:rFonts w:hint="eastAsia" w:ascii="宋体" w:hAnsi="宋体" w:cs="宋体"/>
          <w:color w:val="auto"/>
          <w:sz w:val="24"/>
          <w:highlight w:val="none"/>
          <w:lang w:val="en-US" w:eastAsia="zh-CN"/>
        </w:rPr>
        <w:t>供应商登录杭州市教育局非依法招标（小额）项目平台https://hzjyg.lecaiyun.com/在线申请获取采购文件（进入“项目采购”应用，在获取采购文件菜单中选择项目，申请获取采购文件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宋体" w:asciiTheme="minorEastAsia" w:hAnsiTheme="minorEastAsia" w:eastAsiaTheme="minorEastAsia"/>
          <w:b/>
          <w:sz w:val="24"/>
          <w:highlight w:val="none"/>
          <w:lang w:val="en-US" w:eastAsia="zh-CN"/>
        </w:rPr>
        <w:t>0</w:t>
      </w:r>
      <w:r>
        <w:rPr>
          <w:rFonts w:hint="eastAsia" w:cs="仿宋_GB2312" w:asciiTheme="minorEastAsia" w:hAnsiTheme="minorEastAsia" w:eastAsiaTheme="minorEastAsia"/>
          <w:sz w:val="24"/>
          <w:highlight w:val="none"/>
        </w:rPr>
        <w:t>。</w:t>
      </w:r>
    </w:p>
    <w:p>
      <w:pPr>
        <w:pStyle w:val="4"/>
        <w:numPr>
          <w:ilvl w:val="0"/>
          <w:numId w:val="0"/>
        </w:numPr>
        <w:ind w:left="432" w:hanging="432"/>
        <w:rPr>
          <w:rFonts w:cs="宋体" w:asciiTheme="minorEastAsia" w:hAnsiTheme="minorEastAsia" w:eastAsiaTheme="minorEastAsia"/>
          <w:sz w:val="24"/>
          <w:szCs w:val="24"/>
          <w:highlight w:val="none"/>
        </w:rPr>
      </w:pPr>
      <w:bookmarkStart w:id="23" w:name="_Toc35393632"/>
      <w:bookmarkStart w:id="24" w:name="_Toc35393801"/>
      <w:bookmarkStart w:id="25" w:name="_Toc28359015"/>
      <w:bookmarkStart w:id="26" w:name="_Toc28359092"/>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lang w:eastAsia="zh-CN"/>
        </w:rPr>
        <w:t>2024年06月09日14点00分00秒</w:t>
      </w:r>
      <w:r>
        <w:rPr>
          <w:rFonts w:hint="eastAsia" w:asciiTheme="minorEastAsia" w:hAnsiTheme="minorEastAsia" w:eastAsiaTheme="minorEastAsia"/>
          <w:bCs/>
          <w:sz w:val="24"/>
          <w:highlight w:val="none"/>
        </w:rPr>
        <w:t>（北京时间）</w:t>
      </w:r>
    </w:p>
    <w:p>
      <w:pPr>
        <w:pStyle w:val="4"/>
        <w:numPr>
          <w:ilvl w:val="0"/>
          <w:numId w:val="0"/>
        </w:numPr>
        <w:ind w:left="434" w:leftChars="202" w:hanging="10" w:hangingChars="4"/>
        <w:rPr>
          <w:rFonts w:hint="eastAsia" w:ascii="宋体" w:hAnsi="宋体" w:eastAsia="宋体" w:cs="宋体"/>
          <w:color w:val="auto"/>
          <w:sz w:val="24"/>
          <w:highlight w:val="none"/>
        </w:rPr>
      </w:pPr>
      <w:bookmarkStart w:id="27" w:name="_Toc28359016"/>
      <w:bookmarkStart w:id="28" w:name="_Toc35393633"/>
      <w:bookmarkStart w:id="29" w:name="_Toc35393802"/>
      <w:bookmarkStart w:id="30" w:name="_Toc28359093"/>
      <w:r>
        <w:rPr>
          <w:rFonts w:hint="eastAsia" w:ascii="宋体" w:hAnsi="宋体" w:eastAsia="宋体" w:cs="宋体"/>
          <w:color w:val="auto"/>
          <w:sz w:val="24"/>
          <w:highlight w:val="none"/>
        </w:rPr>
        <w:t>地点（网址）：通过“</w:t>
      </w:r>
      <w:r>
        <w:rPr>
          <w:rFonts w:hint="eastAsia" w:ascii="宋体" w:hAnsi="宋体" w:cs="宋体"/>
          <w:color w:val="auto"/>
          <w:sz w:val="24"/>
          <w:highlight w:val="none"/>
          <w:lang w:eastAsia="zh-CN"/>
        </w:rPr>
        <w:t>乐采云平台</w:t>
      </w:r>
      <w:r>
        <w:rPr>
          <w:rFonts w:hint="eastAsia" w:ascii="宋体" w:hAnsi="宋体" w:eastAsia="宋体" w:cs="宋体"/>
          <w:color w:val="auto"/>
          <w:sz w:val="24"/>
          <w:highlight w:val="none"/>
        </w:rPr>
        <w:t>（https://hzjyg.lecaiyun.com）”在线递交。</w:t>
      </w:r>
    </w:p>
    <w:p>
      <w:pPr>
        <w:pStyle w:val="4"/>
        <w:numPr>
          <w:ilvl w:val="0"/>
          <w:numId w:val="0"/>
        </w:numPr>
        <w:ind w:left="432" w:hanging="432"/>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lang w:eastAsia="zh-CN"/>
        </w:rPr>
        <w:t>2024年06月09日14点00分00秒</w:t>
      </w:r>
      <w:r>
        <w:rPr>
          <w:rFonts w:hint="eastAsia" w:asciiTheme="minorEastAsia" w:hAnsiTheme="minorEastAsia" w:eastAsiaTheme="minorEastAsia"/>
          <w:bCs/>
          <w:sz w:val="24"/>
          <w:highlight w:val="none"/>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highlight w:val="none"/>
        </w:rPr>
        <w:t>地点：杭州市西湖区文三路90</w:t>
      </w:r>
      <w:r>
        <w:rPr>
          <w:rFonts w:hint="eastAsia" w:asciiTheme="minorEastAsia" w:hAnsiTheme="minorEastAsia" w:eastAsiaTheme="minorEastAsia"/>
          <w:sz w:val="24"/>
        </w:rPr>
        <w:t>号科技大厦A306浙江天诺招标代理有限公司会议室（</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），地点（网址）：</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HYPERLINK "http://zfcg.czt.zj.gov.cn/"</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lang w:eastAsia="zh-CN"/>
        </w:rPr>
        <w:t>https://hzjyg.lecaiyun.com</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r>
        <w:rPr>
          <w:rFonts w:hint="eastAsia" w:cs="宋体" w:asciiTheme="minorEastAsia" w:hAnsiTheme="minorEastAsia" w:eastAsiaTheme="minorEastAsia"/>
          <w:sz w:val="24"/>
        </w:rPr>
        <w:t>。</w:t>
      </w:r>
    </w:p>
    <w:p>
      <w:pPr>
        <w:pStyle w:val="4"/>
        <w:numPr>
          <w:ilvl w:val="0"/>
          <w:numId w:val="0"/>
        </w:numPr>
        <w:ind w:left="432" w:hanging="432"/>
        <w:rPr>
          <w:rFonts w:cs="宋体" w:asciiTheme="minorEastAsia" w:hAnsiTheme="minorEastAsia" w:eastAsiaTheme="minorEastAsia"/>
          <w:sz w:val="24"/>
          <w:szCs w:val="24"/>
        </w:rPr>
      </w:pPr>
      <w:bookmarkStart w:id="31" w:name="_Toc28359017"/>
      <w:bookmarkStart w:id="32" w:name="_Toc28359094"/>
      <w:bookmarkStart w:id="33" w:name="_Toc35393634"/>
      <w:bookmarkStart w:id="34" w:name="_Toc35393803"/>
      <w:r>
        <w:rPr>
          <w:rFonts w:hint="eastAsia" w:cs="宋体" w:asciiTheme="minorEastAsia" w:hAnsiTheme="minorEastAsia" w:eastAsiaTheme="minorEastAsia"/>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4"/>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供应商认为磋商文件使自己的权益受到损害的，可以自获取磋商文件之日或者磋商文件公告期限届满之日（公告期限届满后获取磋商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监督管理部门投诉。质疑函范本、投诉书范本请到</w:t>
      </w:r>
      <w:r>
        <w:rPr>
          <w:rFonts w:hint="eastAsia" w:asciiTheme="minorEastAsia" w:hAnsiTheme="minorEastAsia" w:eastAsiaTheme="minorEastAsia"/>
          <w:sz w:val="24"/>
          <w:lang w:eastAsia="zh-CN"/>
        </w:rPr>
        <w:t>浙江政府采购</w:t>
      </w:r>
      <w:r>
        <w:rPr>
          <w:rFonts w:hint="eastAsia" w:asciiTheme="minorEastAsia" w:hAnsiTheme="minorEastAsia" w:eastAsiaTheme="minorEastAsia"/>
          <w:sz w:val="24"/>
        </w:rPr>
        <w:t>网下载专区下载。</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.其他事项：</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1）需要落实的</w:t>
      </w:r>
      <w:r>
        <w:rPr>
          <w:rFonts w:hint="eastAsia" w:asciiTheme="minorEastAsia" w:hAnsiTheme="minorEastAsia" w:eastAsiaTheme="minorEastAsia"/>
          <w:sz w:val="24"/>
          <w:lang w:val="en-US" w:eastAsia="zh-CN"/>
        </w:rPr>
        <w:t>政府</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政策：包括节约资源、保护环境、支持创新、促进中小企业发展等。详见招标文件的第二部分总则。</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2）电子招投标的说明：①电子招投标：本项目以数据电文形式，依托“</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https://hzjyg.lecaiyun.com</w:t>
      </w:r>
      <w:r>
        <w:rPr>
          <w:rFonts w:hint="eastAsia" w:asciiTheme="minorEastAsia" w:hAnsiTheme="minorEastAsia" w:eastAsiaTheme="minorEastAsia"/>
          <w:sz w:val="24"/>
        </w:rPr>
        <w:t>）”进行招投标活动，不接受纸质投标文件；②投标准备：注册账号--点击“商家入驻”，进行</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供应商资料填写；申领CA数字证书---申领流程详见“</w:t>
      </w:r>
      <w:r>
        <w:rPr>
          <w:rFonts w:hint="eastAsia" w:asciiTheme="minorEastAsia" w:hAnsiTheme="minorEastAsia" w:eastAsiaTheme="minorEastAsia"/>
          <w:sz w:val="24"/>
          <w:lang w:eastAsia="zh-CN"/>
        </w:rPr>
        <w:t>浙江政府采购</w:t>
      </w:r>
      <w:r>
        <w:rPr>
          <w:rFonts w:hint="eastAsia" w:asciiTheme="minorEastAsia" w:hAnsiTheme="minorEastAsia" w:eastAsiaTheme="minorEastAsia"/>
          <w:sz w:val="24"/>
        </w:rPr>
        <w:t>网-下载专区-电子交易客户端-CA驱动和申领流程”；安装“</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电子交易客户端”----前往“</w:t>
      </w:r>
      <w:r>
        <w:rPr>
          <w:rFonts w:hint="eastAsia" w:asciiTheme="minorEastAsia" w:hAnsiTheme="minorEastAsia" w:eastAsiaTheme="minorEastAsia"/>
          <w:sz w:val="24"/>
          <w:lang w:eastAsia="zh-CN"/>
        </w:rPr>
        <w:t>浙江政府采购</w:t>
      </w:r>
      <w:r>
        <w:rPr>
          <w:rFonts w:hint="eastAsia" w:asciiTheme="minorEastAsia" w:hAnsiTheme="minorEastAsia" w:eastAsiaTheme="minorEastAsia"/>
          <w:sz w:val="24"/>
        </w:rPr>
        <w:t>网-下载专区-电子交易客户端”进行下载并安装；③招标文件的获取：使用账号登录或者使用CA登录</w:t>
      </w:r>
      <w:r>
        <w:rPr>
          <w:rFonts w:hint="eastAsia" w:asciiTheme="minorEastAsia" w:hAnsiTheme="minorEastAsia" w:eastAsiaTheme="minorEastAsia"/>
          <w:sz w:val="24"/>
          <w:lang w:eastAsia="zh-CN"/>
        </w:rPr>
        <w:t>杭州市教育局非依法招标（小额）项目平台</w:t>
      </w:r>
      <w:r>
        <w:rPr>
          <w:rFonts w:hint="eastAsia" w:asciiTheme="minorEastAsia" w:hAnsiTheme="minorEastAsia" w:eastAsiaTheme="minorEastAsia"/>
          <w:sz w:val="24"/>
        </w:rPr>
        <w:t>；进入“项目采购”应用，在获取采购文件菜单中选择项目，获取招标文件；④投标文件的制作：在“</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电子交易客户端”中完成“填写基本信息”、“导入投标文件”、“标书关联”、“标书检查”、“电子签名”、“生成电子标书”等操作；⑤采购人、采购代理机构将依托</w:t>
      </w:r>
      <w:r>
        <w:rPr>
          <w:rFonts w:hint="eastAsia" w:asciiTheme="minorEastAsia" w:hAnsiTheme="minorEastAsia" w:eastAsiaTheme="minorEastAsia"/>
          <w:sz w:val="24"/>
          <w:lang w:eastAsia="zh-CN"/>
        </w:rPr>
        <w:t>杭州市教育局非依法招标（小额）项目平台</w:t>
      </w:r>
      <w:r>
        <w:rPr>
          <w:rFonts w:hint="eastAsia" w:asciiTheme="minorEastAsia" w:hAnsiTheme="minorEastAsia" w:eastAsiaTheme="minorEastAsia"/>
          <w:sz w:val="24"/>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⑥对未按上述方式获取招标文件的供应商对该文件提出的质疑，采购人或采购代理机构将不予处理；⑦不提供招标文件纸质版；⑧投标文件的传输递交：投标供应商在投标截止时间前将加密的投标文件上传至</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还可以在投标截止时间前直接提交或者以邮政快递方式递交备份投标文件1份。备份投标文件的制作、存储、密封详见招标文件第二部分第15点—“备份投标文件”；⑨投标文件的解密：投标供应商按照平台提示和招标文件的规定在半小时内完成在线解密。通过“</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”上传递交的投标文件无法按时解密，投标供应商递交了备份投标文件的，以备份投标文件为依据，否则视为投标文件撤回。通过“</w:t>
      </w:r>
      <w:r>
        <w:rPr>
          <w:rFonts w:hint="eastAsia" w:asciiTheme="minorEastAsia" w:hAnsiTheme="minorEastAsia" w:eastAsiaTheme="minorEastAsia"/>
          <w:sz w:val="24"/>
          <w:lang w:eastAsia="zh-CN"/>
        </w:rPr>
        <w:t>乐采云平台</w:t>
      </w:r>
      <w:r>
        <w:rPr>
          <w:rFonts w:hint="eastAsia" w:asciiTheme="minorEastAsia" w:hAnsiTheme="minorEastAsia" w:eastAsiaTheme="minorEastAsia"/>
          <w:sz w:val="24"/>
        </w:rPr>
        <w:t>”上传递交的投标文件已按时解密的，备份投标文件自动失效。投标供应商仅提交备份投标文件，没有在电子交易平台传输递交投标文件的，投标无效；⑩具体操作指南：详见</w:t>
      </w:r>
      <w:r>
        <w:rPr>
          <w:rFonts w:hint="eastAsia" w:asciiTheme="minorEastAsia" w:hAnsiTheme="minorEastAsia" w:eastAsiaTheme="minorEastAsia"/>
          <w:sz w:val="24"/>
          <w:lang w:eastAsia="zh-CN"/>
        </w:rPr>
        <w:t>杭州市教育局非依法招标（小额）项目平台</w:t>
      </w:r>
      <w:r>
        <w:rPr>
          <w:rFonts w:hint="eastAsia" w:asciiTheme="minorEastAsia" w:hAnsiTheme="minorEastAsia" w:eastAsiaTheme="minorEastAsia"/>
          <w:sz w:val="24"/>
        </w:rPr>
        <w:t>“服务中心-帮助文档-项目采购-操作流程-电子招投标-</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rPr>
        <w:t>项目电子交易管理操作指南-供应商”。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3）磋商文件公告期限等同招标公告期限。</w:t>
      </w:r>
    </w:p>
    <w:p>
      <w:pPr>
        <w:pStyle w:val="4"/>
        <w:numPr>
          <w:ilvl w:val="0"/>
          <w:numId w:val="0"/>
        </w:numPr>
        <w:ind w:left="432" w:hanging="432"/>
        <w:rPr>
          <w:rFonts w:cs="宋体" w:asciiTheme="minorEastAsia" w:hAnsiTheme="minorEastAsia" w:eastAsiaTheme="minorEastAsia"/>
          <w:sz w:val="24"/>
          <w:szCs w:val="24"/>
        </w:rPr>
      </w:pPr>
      <w:bookmarkStart w:id="37" w:name="_Toc35393636"/>
      <w:bookmarkStart w:id="38" w:name="_Toc35393805"/>
      <w:bookmarkStart w:id="39" w:name="_Toc28359018"/>
      <w:bookmarkStart w:id="40" w:name="_Toc28359095"/>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pPr>
        <w:pStyle w:val="4"/>
        <w:numPr>
          <w:ilvl w:val="0"/>
          <w:numId w:val="0"/>
        </w:numPr>
        <w:ind w:left="432" w:hanging="432"/>
        <w:rPr>
          <w:rFonts w:cs="宋体" w:asciiTheme="minorEastAsia" w:hAnsiTheme="minorEastAsia" w:eastAsiaTheme="minorEastAsia"/>
          <w:sz w:val="24"/>
          <w:szCs w:val="24"/>
        </w:rPr>
      </w:pPr>
      <w:bookmarkStart w:id="41" w:name="_Toc35393806"/>
      <w:bookmarkStart w:id="42" w:name="_Toc35393637"/>
      <w:bookmarkStart w:id="43" w:name="_Toc28359096"/>
      <w:bookmarkStart w:id="44" w:name="_Toc28359019"/>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名称：杭州师范大学附属中学</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地址：杭州市西湖区振华路5号</w:t>
      </w:r>
    </w:p>
    <w:p>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项目联系人（询问）：蒋老师</w:t>
      </w:r>
    </w:p>
    <w:p>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项目联系方式（询问）：</w:t>
      </w:r>
      <w:r>
        <w:rPr>
          <w:rFonts w:hint="eastAsia" w:asciiTheme="minorEastAsia" w:hAnsiTheme="minorEastAsia" w:eastAsiaTheme="minorEastAsia"/>
          <w:sz w:val="24"/>
          <w:highlight w:val="none"/>
          <w:lang w:val="en-US" w:eastAsia="zh-CN"/>
        </w:rPr>
        <w:t>0571-89963019</w:t>
      </w:r>
    </w:p>
    <w:p>
      <w:pPr>
        <w:pStyle w:val="4"/>
        <w:numPr>
          <w:ilvl w:val="0"/>
          <w:numId w:val="0"/>
        </w:numPr>
        <w:ind w:left="432" w:hanging="432"/>
        <w:rPr>
          <w:rFonts w:cs="宋体" w:asciiTheme="minorEastAsia" w:hAnsiTheme="minorEastAsia" w:eastAsiaTheme="minorEastAsia"/>
          <w:sz w:val="24"/>
        </w:rPr>
      </w:pPr>
      <w:bookmarkStart w:id="45" w:name="_Toc28359097"/>
      <w:bookmarkStart w:id="46" w:name="_Toc35393638"/>
      <w:bookmarkStart w:id="47" w:name="_Toc35393807"/>
      <w:bookmarkStart w:id="48" w:name="_Toc28359020"/>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bookmarkStart w:id="49" w:name="_Toc28359098"/>
      <w:bookmarkStart w:id="50" w:name="_Toc28359021"/>
      <w:bookmarkStart w:id="51" w:name="_Toc35393639"/>
      <w:bookmarkStart w:id="52" w:name="_Toc35393808"/>
      <w:r>
        <w:rPr>
          <w:rFonts w:hint="eastAsia" w:asciiTheme="minorEastAsia" w:hAnsiTheme="minorEastAsia" w:eastAsiaTheme="minorEastAsia"/>
          <w:sz w:val="24"/>
        </w:rPr>
        <w:t>名称：浙江天诺招标代理有限公司</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地址：杭州市西湖区文三路90号科技大厦6幢3层A306</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真：0571-86012310</w:t>
      </w:r>
    </w:p>
    <w:p>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项目联系人（询问）：叶晓敏、王凯圩</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李佳蔚</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16655363110</w:t>
      </w:r>
      <w:r>
        <w:rPr>
          <w:rFonts w:hint="eastAsia" w:asciiTheme="minorEastAsia" w:hAnsiTheme="minorEastAsia" w:eastAsiaTheme="minorEastAsia"/>
          <w:sz w:val="24"/>
        </w:rPr>
        <w:t xml:space="preserve">、0571-86012319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质疑联系人：刘朋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质疑联系方式：0571-86012319　</w:t>
      </w:r>
    </w:p>
    <w:p>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采购监督部门：            </w:t>
      </w:r>
    </w:p>
    <w:bookmarkEnd w:id="49"/>
    <w:bookmarkEnd w:id="50"/>
    <w:bookmarkEnd w:id="51"/>
    <w:bookmarkEnd w:id="52"/>
    <w:p>
      <w:pPr>
        <w:spacing w:line="360" w:lineRule="auto"/>
        <w:ind w:firstLine="480"/>
        <w:rPr>
          <w:rFonts w:hint="eastAsia" w:ascii="宋体" w:hAnsi="宋体" w:cs="宋体"/>
          <w:sz w:val="24"/>
        </w:rPr>
      </w:pPr>
      <w:r>
        <w:rPr>
          <w:rFonts w:hint="eastAsia" w:ascii="宋体" w:hAnsi="宋体" w:cs="宋体"/>
          <w:sz w:val="24"/>
        </w:rPr>
        <w:t>名称：杭州师范大学附属中学</w:t>
      </w:r>
    </w:p>
    <w:p>
      <w:pPr>
        <w:spacing w:line="360" w:lineRule="auto"/>
        <w:ind w:firstLine="480"/>
        <w:rPr>
          <w:rFonts w:hint="eastAsia" w:ascii="宋体" w:hAnsi="宋体" w:cs="宋体"/>
          <w:sz w:val="24"/>
        </w:rPr>
      </w:pPr>
      <w:r>
        <w:rPr>
          <w:rFonts w:hint="eastAsia" w:ascii="宋体" w:hAnsi="宋体" w:cs="宋体"/>
          <w:sz w:val="24"/>
        </w:rPr>
        <w:t>地址：杭州市西湖区振华路5号</w:t>
      </w:r>
    </w:p>
    <w:p>
      <w:pPr>
        <w:spacing w:line="360" w:lineRule="auto"/>
        <w:ind w:firstLine="480"/>
        <w:rPr>
          <w:rFonts w:hint="eastAsia" w:ascii="宋体" w:hAnsi="宋体" w:cs="宋体"/>
          <w:sz w:val="24"/>
        </w:rPr>
      </w:pPr>
      <w:r>
        <w:rPr>
          <w:rFonts w:hint="eastAsia" w:ascii="宋体" w:hAnsi="宋体" w:cs="宋体"/>
          <w:sz w:val="24"/>
        </w:rPr>
        <w:t>联系人：</w:t>
      </w:r>
      <w:r>
        <w:rPr>
          <w:rFonts w:hint="eastAsia" w:ascii="宋体" w:hAnsi="宋体" w:cs="宋体"/>
          <w:sz w:val="24"/>
          <w:lang w:val="en-US" w:eastAsia="zh-CN"/>
        </w:rPr>
        <w:t>周</w:t>
      </w:r>
      <w:r>
        <w:rPr>
          <w:rFonts w:hint="eastAsia" w:ascii="宋体" w:hAnsi="宋体" w:cs="宋体"/>
          <w:sz w:val="24"/>
        </w:rPr>
        <w:t xml:space="preserve">老师 </w:t>
      </w:r>
    </w:p>
    <w:p>
      <w:pPr>
        <w:spacing w:line="360" w:lineRule="auto"/>
        <w:ind w:firstLine="480"/>
        <w:rPr>
          <w:rFonts w:hint="eastAsia" w:ascii="宋体" w:hAnsi="宋体" w:cs="宋体"/>
          <w:sz w:val="24"/>
          <w:lang w:val="en-US" w:eastAsia="zh-CN"/>
        </w:rPr>
      </w:pPr>
      <w:r>
        <w:rPr>
          <w:rFonts w:hint="eastAsia" w:ascii="宋体" w:hAnsi="宋体" w:cs="宋体"/>
          <w:sz w:val="24"/>
        </w:rPr>
        <w:t>联系方式：0571-89963</w:t>
      </w:r>
      <w:r>
        <w:rPr>
          <w:rFonts w:hint="eastAsia" w:ascii="宋体" w:hAnsi="宋体" w:cs="宋体"/>
          <w:sz w:val="24"/>
          <w:lang w:val="en-US" w:eastAsia="zh-CN"/>
        </w:rPr>
        <w:t>165</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w:t>
      </w:r>
      <w:r>
        <w:rPr>
          <w:rFonts w:hint="eastAsia" w:asciiTheme="minorEastAsia" w:hAnsiTheme="minorEastAsia" w:eastAsiaTheme="minorEastAsia"/>
          <w:sz w:val="24"/>
          <w:lang w:val="en-US" w:eastAsia="zh-CN"/>
        </w:rPr>
        <w:t>乐</w:t>
      </w:r>
      <w:r>
        <w:rPr>
          <w:rFonts w:hint="eastAsia" w:asciiTheme="minorEastAsia" w:hAnsiTheme="minorEastAsia" w:eastAsiaTheme="minorEastAsia"/>
          <w:sz w:val="24"/>
        </w:rPr>
        <w:t>采云（</w:t>
      </w:r>
      <w:r>
        <w:rPr>
          <w:rFonts w:hint="eastAsia" w:asciiTheme="minorEastAsia" w:hAnsiTheme="minorEastAsia" w:eastAsiaTheme="minorEastAsia"/>
          <w:sz w:val="24"/>
          <w:lang w:eastAsia="zh-CN"/>
        </w:rPr>
        <w:t>https://hzjyg.lecaiyun.com/</w:t>
      </w:r>
      <w:r>
        <w:rPr>
          <w:rFonts w:hint="eastAsia" w:asciiTheme="minorEastAsia" w:hAnsiTheme="minorEastAsia" w:eastAsiaTheme="minorEastAsia"/>
          <w:sz w:val="24"/>
        </w:rPr>
        <w:t>），点击右侧咨询小采，获取采小蜜智能服务管家帮助，或拨打</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服务热线400-881-7190获取热线服务帮助。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CA问题联系电话（人工）：汇信CA 400-888-4636；天谷CA 400-087-8198。</w:t>
      </w:r>
    </w:p>
    <w:p>
      <w:pPr>
        <w:pStyle w:val="35"/>
        <w:spacing w:line="360" w:lineRule="auto"/>
        <w:ind w:firstLine="480" w:firstLineChars="200"/>
        <w:jc w:val="right"/>
        <w:rPr>
          <w:rFonts w:cs="仿宋_GB2312" w:asciiTheme="minorEastAsia" w:hAnsiTheme="minorEastAsia" w:eastAsiaTheme="minorEastAsia"/>
          <w:sz w:val="24"/>
          <w:szCs w:val="24"/>
        </w:rPr>
      </w:pPr>
    </w:p>
    <w:p>
      <w:pPr>
        <w:pStyle w:val="35"/>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hint="eastAsia" w:cs="仿宋_GB2312" w:asciiTheme="minorEastAsia" w:hAnsiTheme="minorEastAsia" w:eastAsiaTheme="minorEastAsia"/>
          <w:b/>
          <w:sz w:val="36"/>
          <w:szCs w:val="20"/>
        </w:rPr>
      </w:pPr>
    </w:p>
    <w:p>
      <w:pPr>
        <w:adjustRightInd/>
        <w:spacing w:line="360" w:lineRule="auto"/>
        <w:jc w:val="center"/>
        <w:outlineLvl w:val="0"/>
        <w:rPr>
          <w:rFonts w:hint="eastAsia" w:cs="仿宋_GB2312" w:asciiTheme="minorEastAsia" w:hAnsiTheme="minorEastAsia" w:eastAsiaTheme="minorEastAsia"/>
          <w:b/>
          <w:sz w:val="36"/>
          <w:szCs w:val="20"/>
        </w:rPr>
      </w:pPr>
    </w:p>
    <w:p>
      <w:pPr>
        <w:adjustRightInd/>
        <w:spacing w:line="360" w:lineRule="auto"/>
        <w:jc w:val="center"/>
        <w:outlineLvl w:val="0"/>
        <w:rPr>
          <w:rFonts w:hint="eastAsia" w:cs="仿宋_GB2312" w:asciiTheme="minorEastAsia" w:hAnsiTheme="minorEastAsia" w:eastAsiaTheme="minorEastAsia"/>
          <w:b/>
          <w:sz w:val="36"/>
          <w:szCs w:val="20"/>
        </w:rPr>
      </w:pPr>
    </w:p>
    <w:p>
      <w:pPr>
        <w:adjustRightInd/>
        <w:spacing w:line="360" w:lineRule="auto"/>
        <w:jc w:val="center"/>
        <w:outlineLvl w:val="0"/>
        <w:rPr>
          <w:rFonts w:hint="eastAsia" w:cs="仿宋_GB2312" w:asciiTheme="minorEastAsia" w:hAnsiTheme="minorEastAsia" w:eastAsiaTheme="minorEastAsia"/>
          <w:b/>
          <w:sz w:val="36"/>
          <w:szCs w:val="20"/>
        </w:rPr>
      </w:pPr>
    </w:p>
    <w:p>
      <w:pPr>
        <w:adjustRightInd/>
        <w:spacing w:line="360" w:lineRule="auto"/>
        <w:jc w:val="center"/>
        <w:outlineLvl w:val="0"/>
        <w:rPr>
          <w:rFonts w:hint="eastAsia" w:cs="仿宋_GB2312" w:asciiTheme="minorEastAsia" w:hAnsiTheme="minorEastAsia" w:eastAsiaTheme="minorEastAsia"/>
          <w:b/>
          <w:sz w:val="36"/>
          <w:szCs w:val="20"/>
        </w:rPr>
      </w:pPr>
    </w:p>
    <w:p>
      <w:pPr>
        <w:adjustRightInd/>
        <w:spacing w:line="360" w:lineRule="auto"/>
        <w:jc w:val="center"/>
        <w:outlineLvl w:val="0"/>
        <w:rPr>
          <w:rFonts w:hint="eastAsia" w:cs="仿宋_GB2312" w:asciiTheme="minorEastAsia" w:hAnsiTheme="minorEastAsia" w:eastAsiaTheme="minorEastAsia"/>
          <w:b/>
          <w:sz w:val="36"/>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讲标室通过视频会议系统或自备CA数字证书、笔记本电脑等开展磋商活动。</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pStyle w:val="393"/>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3"/>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636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w:t>
            </w:r>
          </w:p>
        </w:tc>
        <w:tc>
          <w:tcPr>
            <w:tcW w:w="636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采购标的及其对应的中小企业划分标准所属行业</w:t>
            </w:r>
          </w:p>
        </w:tc>
        <w:tc>
          <w:tcPr>
            <w:tcW w:w="6363" w:type="dxa"/>
            <w:tcBorders>
              <w:top w:val="single" w:color="000000" w:sz="8" w:space="0"/>
              <w:left w:val="single" w:color="000000" w:sz="2" w:space="0"/>
              <w:bottom w:val="single" w:color="000000" w:sz="8" w:space="0"/>
              <w:right w:val="single" w:color="000000" w:sz="8" w:space="0"/>
            </w:tcBorders>
            <w:vAlign w:val="center"/>
          </w:tcPr>
          <w:p>
            <w:pPr>
              <w:pStyle w:val="4"/>
              <w:numPr>
                <w:ilvl w:val="0"/>
                <w:numId w:val="0"/>
              </w:numPr>
              <w:rPr>
                <w:rFonts w:asciiTheme="minorEastAsia" w:hAnsiTheme="minorEastAsia" w:eastAsiaTheme="minorEastAsia" w:cstheme="minorEastAsia"/>
                <w:b w:val="0"/>
                <w:bCs w:val="0"/>
                <w:kern w:val="0"/>
                <w:sz w:val="24"/>
                <w:szCs w:val="24"/>
                <w:lang w:val="en-US"/>
              </w:rPr>
            </w:pPr>
            <w:r>
              <w:rPr>
                <w:rFonts w:hint="eastAsia" w:asciiTheme="minorEastAsia" w:hAnsiTheme="minorEastAsia" w:eastAsiaTheme="minorEastAsia" w:cstheme="minorEastAsia"/>
                <w:b w:val="0"/>
                <w:bCs w:val="0"/>
                <w:kern w:val="0"/>
                <w:sz w:val="24"/>
                <w:szCs w:val="24"/>
                <w:lang w:val="en-US"/>
              </w:rPr>
              <w:t>（1）本次采购标的为，对应的中小企业划分标准所属行业是：</w:t>
            </w:r>
            <w:r>
              <w:rPr>
                <w:rFonts w:hint="eastAsia" w:ascii="宋体" w:hAnsi="宋体" w:eastAsia="宋体" w:cs="宋体"/>
                <w:color w:val="auto"/>
                <w:sz w:val="24"/>
                <w:highlight w:val="none"/>
                <w:u w:val="single"/>
                <w:lang w:val="en-US" w:eastAsia="zh-CN"/>
              </w:rPr>
              <w:t xml:space="preserve"> 租赁和商务服务</w:t>
            </w:r>
            <w:r>
              <w:rPr>
                <w:rFonts w:hint="eastAsia" w:asciiTheme="minorEastAsia" w:hAnsiTheme="minorEastAsia" w:eastAsiaTheme="minorEastAsia" w:cstheme="minorEastAsia"/>
                <w:b w:val="0"/>
                <w:bCs w:val="0"/>
                <w:kern w:val="0"/>
                <w:sz w:val="24"/>
                <w:szCs w:val="24"/>
                <w:u w:val="single"/>
                <w:lang w:val="en-US"/>
              </w:rPr>
              <w:t>业</w:t>
            </w:r>
            <w:r>
              <w:rPr>
                <w:rFonts w:hint="eastAsia" w:asciiTheme="minorEastAsia" w:hAnsiTheme="minorEastAsia" w:eastAsiaTheme="minorEastAsia" w:cstheme="minorEastAsia"/>
                <w:b w:val="0"/>
                <w:bCs w:val="0"/>
                <w:kern w:val="0"/>
                <w:sz w:val="24"/>
                <w:szCs w:val="24"/>
                <w:lang w:val="en-US"/>
              </w:rPr>
              <w:t>；</w:t>
            </w:r>
          </w:p>
          <w:p>
            <w:pPr>
              <w:pStyle w:val="4"/>
              <w:numPr>
                <w:ilvl w:val="0"/>
                <w:numId w:val="0"/>
              </w:numPr>
              <w:rPr>
                <w:rFonts w:asciiTheme="minorEastAsia" w:hAnsiTheme="minorEastAsia" w:eastAsiaTheme="minorEastAsia" w:cstheme="minorEastAsia"/>
                <w:b w:val="0"/>
                <w:bCs w:val="0"/>
                <w:kern w:val="0"/>
                <w:sz w:val="24"/>
                <w:szCs w:val="24"/>
                <w:lang w:val="en-US"/>
              </w:rPr>
            </w:pPr>
            <w:r>
              <w:rPr>
                <w:rFonts w:hint="eastAsia" w:asciiTheme="minorEastAsia" w:hAnsiTheme="minorEastAsia" w:eastAsiaTheme="minorEastAsia" w:cstheme="minorEastAsia"/>
                <w:b w:val="0"/>
                <w:bCs w:val="0"/>
                <w:kern w:val="0"/>
                <w:sz w:val="24"/>
                <w:szCs w:val="24"/>
                <w:lang w:val="en-US"/>
              </w:rPr>
              <w:t>（2）备注：《关于印发中小企业划型标准规定的通知》（工信部联企业〔2011〕300）：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636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kern w:val="0"/>
                <w:sz w:val="24"/>
              </w:rPr>
            </w:pPr>
            <w:sdt>
              <w:sdtPr>
                <w:rPr>
                  <w:rFonts w:hint="eastAsia" w:asciiTheme="minorEastAsia" w:hAnsiTheme="minorEastAsia" w:eastAsiaTheme="minorEastAsia" w:cstheme="minorEastAsia"/>
                  <w:kern w:val="0"/>
                  <w:sz w:val="24"/>
                </w:rPr>
                <w:id w:val="-1828425707"/>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74795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sdtContent>
            </w:sdt>
            <w:r>
              <w:rPr>
                <w:rFonts w:hint="eastAsia" w:asciiTheme="minorEastAsia" w:hAnsiTheme="minorEastAsia" w:eastAsiaTheme="minorEastAsia" w:cstheme="minorEastAsia"/>
                <w:kern w:val="0"/>
                <w:sz w:val="24"/>
              </w:rPr>
              <w:t>本项目不允许采购进口产品。</w:t>
            </w:r>
          </w:p>
          <w:p>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5285282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636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477286927"/>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747955"/>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sdtContent>
            </w:sdt>
            <w:r>
              <w:rPr>
                <w:rFonts w:hint="eastAsia" w:asciiTheme="minorEastAsia" w:hAnsiTheme="minorEastAsia" w:eastAsiaTheme="minorEastAsia" w:cstheme="minorEastAsia"/>
                <w:kern w:val="0"/>
                <w:sz w:val="24"/>
              </w:rPr>
              <w:t xml:space="preserve"> A</w:t>
            </w:r>
            <w:r>
              <w:rPr>
                <w:rFonts w:hint="eastAsia" w:asciiTheme="minorEastAsia" w:hAnsiTheme="minorEastAsia" w:eastAsiaTheme="minorEastAsia" w:cstheme="minorEastAsia"/>
                <w:sz w:val="24"/>
              </w:rPr>
              <w:t>同意将非主体、非关键性的工作分包。</w:t>
            </w:r>
            <w:sdt>
              <w:sdtPr>
                <w:rPr>
                  <w:rFonts w:hint="eastAsia" w:asciiTheme="minorEastAsia" w:hAnsiTheme="minorEastAsia" w:eastAsiaTheme="minorEastAsia" w:cstheme="minorEastAsia"/>
                  <w:kern w:val="0"/>
                  <w:sz w:val="24"/>
                </w:rPr>
                <w:id w:val="-1276331357"/>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 xml:space="preserve"> B</w:t>
            </w:r>
            <w:r>
              <w:rPr>
                <w:rFonts w:hint="eastAsia" w:asciiTheme="minorEastAsia" w:hAnsiTheme="minorEastAsia" w:eastAsiaTheme="minorEastAsia" w:cstheme="minorEastAsia"/>
                <w:sz w:val="24"/>
              </w:rPr>
              <w:t>不同意分包。</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开标前答疑会或现场考察</w:t>
            </w:r>
          </w:p>
        </w:tc>
        <w:tc>
          <w:tcPr>
            <w:tcW w:w="636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212966419"/>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999802974"/>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B组织，</w:t>
            </w:r>
            <w:r>
              <w:rPr>
                <w:rFonts w:hint="eastAsia" w:asciiTheme="minorEastAsia" w:hAnsiTheme="minorEastAsia" w:eastAsiaTheme="minorEastAsia" w:cstheme="minorEastAsia"/>
                <w:sz w:val="24"/>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样品提供</w:t>
            </w:r>
          </w:p>
        </w:tc>
        <w:tc>
          <w:tcPr>
            <w:tcW w:w="636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639946486"/>
              </w:sdtPr>
              <w:sdtEndPr>
                <w:rPr>
                  <w:rFonts w:hint="eastAsia" w:asciiTheme="minorEastAsia" w:hAnsiTheme="minorEastAsia" w:eastAsiaTheme="minorEastAsia" w:cstheme="minorEastAsia"/>
                  <w:kern w:val="0"/>
                  <w:sz w:val="24"/>
                </w:rPr>
              </w:sdtEndPr>
              <w:sdtContent>
                <w:r>
                  <w:rPr>
                    <w:rFonts w:hint="eastAsia" w:ascii="MS Mincho" w:hAnsi="MS Mincho" w:eastAsia="MS Mincho" w:cs="MS Mincho"/>
                    <w:kern w:val="0"/>
                    <w:sz w:val="24"/>
                  </w:rPr>
                  <w:t>☑</w:t>
                </w:r>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不要求提供。</w:t>
            </w:r>
          </w:p>
          <w:p>
            <w:pPr>
              <w:spacing w:line="360" w:lineRule="auto"/>
              <w:rPr>
                <w:rFonts w:asciiTheme="minorEastAsia" w:hAnsiTheme="minorEastAsia" w:eastAsiaTheme="minorEastAsia" w:cstheme="minorEastAsia"/>
                <w:b/>
                <w:sz w:val="24"/>
              </w:rPr>
            </w:pPr>
            <w:sdt>
              <w:sdtPr>
                <w:rPr>
                  <w:rFonts w:hint="eastAsia" w:asciiTheme="minorEastAsia" w:hAnsiTheme="minorEastAsia" w:eastAsiaTheme="minorEastAsia" w:cstheme="minorEastAsia"/>
                  <w:kern w:val="0"/>
                  <w:sz w:val="24"/>
                </w:rPr>
                <w:id w:val="1026831988"/>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方案讲解演示</w:t>
            </w:r>
          </w:p>
        </w:tc>
        <w:tc>
          <w:tcPr>
            <w:tcW w:w="636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859348549"/>
              </w:sdtPr>
              <w:sdtEndPr>
                <w:rPr>
                  <w:rFonts w:hint="eastAsia" w:asciiTheme="minorEastAsia" w:hAnsiTheme="minorEastAsia" w:eastAsiaTheme="minorEastAsia" w:cstheme="minorEastAsia"/>
                  <w:kern w:val="0"/>
                  <w:sz w:val="24"/>
                </w:rPr>
              </w:sdtEndPr>
              <w:sdtContent>
                <w:sdt>
                  <w:sdtPr>
                    <w:rPr>
                      <w:rFonts w:hint="eastAsia" w:asciiTheme="minorEastAsia" w:hAnsiTheme="minorEastAsia" w:eastAsiaTheme="minorEastAsia" w:cstheme="minorEastAsia"/>
                      <w:kern w:val="0"/>
                      <w:sz w:val="24"/>
                    </w:rPr>
                    <w:id w:val="24609569"/>
                  </w:sdtPr>
                  <w:sdtEndPr>
                    <w:rPr>
                      <w:rFonts w:hint="eastAsia" w:asciiTheme="minorEastAsia" w:hAnsiTheme="minorEastAsia" w:eastAsiaTheme="minorEastAsia" w:cstheme="minorEastAsia"/>
                      <w:kern w:val="0"/>
                      <w:sz w:val="24"/>
                    </w:rPr>
                  </w:sdtEndPr>
                  <w:sdtContent>
                    <w:r>
                      <w:rPr>
                        <w:rFonts w:hint="eastAsia" w:ascii="MS Mincho" w:hAnsi="MS Mincho" w:eastAsia="MS Mincho" w:cs="MS Mincho"/>
                        <w:kern w:val="0"/>
                        <w:sz w:val="24"/>
                      </w:rPr>
                      <w:t>☑</w:t>
                    </w:r>
                  </w:sdtContent>
                </w:sdt>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pPr>
              <w:spacing w:line="360" w:lineRule="auto"/>
              <w:rPr>
                <w:rFonts w:asciiTheme="minorEastAsia" w:hAnsiTheme="minorEastAsia" w:eastAsiaTheme="minorEastAsia" w:cstheme="minorEastAsia"/>
                <w:b/>
                <w:kern w:val="0"/>
                <w:sz w:val="24"/>
                <w:lang w:val="zh-CN"/>
              </w:rPr>
            </w:pPr>
            <w:sdt>
              <w:sdtPr>
                <w:rPr>
                  <w:rFonts w:hint="eastAsia" w:asciiTheme="minorEastAsia" w:hAnsiTheme="minorEastAsia" w:eastAsiaTheme="minorEastAsia" w:cstheme="minorEastAsia"/>
                  <w:kern w:val="0"/>
                  <w:sz w:val="24"/>
                </w:rPr>
                <w:id w:val="1174071719"/>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供应商应当提供的资格、资信证明文件</w:t>
            </w:r>
          </w:p>
        </w:tc>
        <w:tc>
          <w:tcPr>
            <w:tcW w:w="636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（1）资格证明文件：见招标文件第二部分11.1。</w:t>
            </w:r>
          </w:p>
          <w:p>
            <w:pPr>
              <w:spacing w:line="360" w:lineRule="auto"/>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p>
        </w:tc>
        <w:tc>
          <w:tcPr>
            <w:tcW w:w="636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节能产品、环境标志产品</w:t>
            </w:r>
          </w:p>
        </w:tc>
        <w:tc>
          <w:tcPr>
            <w:tcW w:w="636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最后报价要求</w:t>
            </w:r>
          </w:p>
        </w:tc>
        <w:tc>
          <w:tcPr>
            <w:tcW w:w="636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有关本项目实施所需的所有费用（含税费）均计入最后报价。《最后报价</w:t>
            </w:r>
            <w:r>
              <w:rPr>
                <w:rFonts w:hint="eastAsia" w:asciiTheme="minorEastAsia" w:hAnsiTheme="minorEastAsia" w:eastAsiaTheme="minorEastAsia" w:cstheme="minorEastAsia"/>
                <w:sz w:val="24"/>
              </w:rPr>
              <w:t>一览表（报价表）</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sz w:val="24"/>
              </w:rPr>
              <w:t>是最后报价的唯一载体</w:t>
            </w:r>
            <w:r>
              <w:rPr>
                <w:rFonts w:hint="eastAsia" w:asciiTheme="minorEastAsia" w:hAnsiTheme="minorEastAsia" w:eastAsiaTheme="minorEastAsia" w:cstheme="minorEastAsia"/>
                <w:kern w:val="0"/>
                <w:sz w:val="24"/>
                <w:lang w:val="zh-CN"/>
              </w:rPr>
              <w:t>。磋商文件中价格全部采用人民币报价。磋商文件未列明，而供应商认为必需的费用也需列入报价。</w:t>
            </w:r>
          </w:p>
          <w:p>
            <w:pPr>
              <w:snapToGrid w:val="0"/>
              <w:spacing w:line="360" w:lineRule="auto"/>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最后报价出现下列情形的，响应无效：</w:t>
            </w:r>
          </w:p>
          <w:p>
            <w:pPr>
              <w:snapToGrid w:val="0"/>
              <w:spacing w:line="360" w:lineRule="auto"/>
              <w:ind w:firstLine="241" w:firstLineChars="100"/>
              <w:jc w:val="left"/>
              <w:rPr>
                <w:rFonts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响应文件出现不是唯一的、有选择性的最后报价的；</w:t>
            </w:r>
          </w:p>
          <w:p>
            <w:pPr>
              <w:snapToGrid w:val="0"/>
              <w:spacing w:line="360" w:lineRule="auto"/>
              <w:ind w:firstLine="241" w:firstLineChars="100"/>
              <w:jc w:val="left"/>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24"/>
                <w:lang w:val="zh-CN"/>
              </w:rPr>
              <w:t>最后报价超过磋商文件中规定的预算金额或者最高限价的;</w:t>
            </w:r>
          </w:p>
          <w:p>
            <w:pPr>
              <w:spacing w:line="360" w:lineRule="auto"/>
              <w:ind w:firstLine="241"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 w:val="24"/>
              </w:rPr>
              <w:t>;</w:t>
            </w:r>
          </w:p>
          <w:p>
            <w:pPr>
              <w:spacing w:line="360" w:lineRule="auto"/>
              <w:ind w:firstLine="241"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b/>
                <w:kern w:val="0"/>
                <w:sz w:val="24"/>
              </w:rPr>
              <w:t>供应商对根据修正原则修正后的报价不确认的</w:t>
            </w:r>
            <w:r>
              <w:rPr>
                <w:rFonts w:hint="eastAsia" w:asciiTheme="minorEastAsia" w:hAnsiTheme="minorEastAsia" w:eastAsiaTheme="minorEastAsia" w:cs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中小企业信用融资</w:t>
            </w:r>
          </w:p>
        </w:tc>
        <w:tc>
          <w:tcPr>
            <w:tcW w:w="6363"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备份响应文件送达地点和签收人员 </w:t>
            </w:r>
          </w:p>
        </w:tc>
        <w:tc>
          <w:tcPr>
            <w:tcW w:w="6363"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备份响应文件送达地点：</w:t>
            </w:r>
            <w:r>
              <w:rPr>
                <w:rFonts w:hint="eastAsia" w:asciiTheme="minorEastAsia" w:hAnsiTheme="minorEastAsia" w:eastAsiaTheme="minorEastAsia" w:cstheme="minorEastAsia"/>
                <w:kern w:val="28"/>
                <w:sz w:val="24"/>
                <w:szCs w:val="24"/>
                <w:u w:val="single"/>
              </w:rPr>
              <w:t>杭州市西湖区文三路90号科技大厦6幢3层A306，浙江天诺招标代理有限公司</w:t>
            </w:r>
            <w:r>
              <w:rPr>
                <w:rFonts w:hint="eastAsia" w:asciiTheme="minorEastAsia" w:hAnsiTheme="minorEastAsia" w:eastAsiaTheme="minorEastAsia" w:cstheme="minorEastAsia"/>
                <w:kern w:val="28"/>
                <w:sz w:val="24"/>
                <w:szCs w:val="24"/>
              </w:rPr>
              <w:t>；备份响应文件签收人员联系电话：</w:t>
            </w:r>
            <w:r>
              <w:rPr>
                <w:rFonts w:hint="eastAsia" w:asciiTheme="minorEastAsia" w:hAnsiTheme="minorEastAsia" w:eastAsiaTheme="minorEastAsia" w:cstheme="minorEastAsia"/>
                <w:sz w:val="24"/>
                <w:szCs w:val="24"/>
                <w:u w:val="single"/>
                <w:lang w:val="en-US" w:eastAsia="zh-CN"/>
              </w:rPr>
              <w:t>叶晓敏</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val="en-US" w:eastAsia="zh-CN"/>
              </w:rPr>
              <w:t>16655363110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636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cs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p>
        </w:tc>
        <w:tc>
          <w:tcPr>
            <w:tcW w:w="636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sz w:val="24"/>
                </w:rPr>
                <w:id w:val="-1816336663"/>
              </w:sdtPr>
              <w:sdtEndPr>
                <w:rPr>
                  <w:rFonts w:hint="eastAsia" w:asciiTheme="minorEastAsia" w:hAnsiTheme="minorEastAsia" w:eastAsiaTheme="minorEastAsia" w:cstheme="minorEastAsia"/>
                  <w:sz w:val="24"/>
                </w:rPr>
              </w:sdtEndPr>
              <w:sdtContent>
                <w:r>
                  <w:rPr>
                    <w:rFonts w:hint="eastAsia" w:asciiTheme="minorEastAsia" w:hAnsiTheme="minorEastAsia" w:eastAsiaTheme="minorEastAsia" w:cstheme="minorEastAsia"/>
                    <w:sz w:val="24"/>
                  </w:rPr>
                  <w:t>☐</w:t>
                </w:r>
              </w:sdtContent>
            </w:sdt>
            <w:r>
              <w:rPr>
                <w:rFonts w:hint="eastAsia" w:asciiTheme="minorEastAsia" w:hAnsiTheme="minorEastAsia" w:eastAsiaTheme="minorEastAsia" w:cstheme="minorEastAsia"/>
                <w:sz w:val="24"/>
              </w:rPr>
              <w:t>联合体响应的，联合体各方均需按磋商文件第五部分评审标准要求提供资信证明文件，否则视为不符合相关要求。</w:t>
            </w:r>
          </w:p>
          <w:p>
            <w:pPr>
              <w:spacing w:line="360" w:lineRule="auto"/>
              <w:rPr>
                <w:rFonts w:asciiTheme="minorEastAsia" w:hAnsiTheme="minorEastAsia" w:eastAsiaTheme="minorEastAsia" w:cstheme="minorEastAsia"/>
                <w:sz w:val="24"/>
              </w:rPr>
            </w:pPr>
            <w:sdt>
              <w:sdtPr>
                <w:rPr>
                  <w:rFonts w:hint="eastAsia" w:asciiTheme="minorEastAsia" w:hAnsiTheme="minorEastAsia" w:eastAsiaTheme="minorEastAsia" w:cstheme="minorEastAsia"/>
                  <w:sz w:val="24"/>
                </w:rPr>
                <w:id w:val="-232311894"/>
              </w:sdtPr>
              <w:sdtEndPr>
                <w:rPr>
                  <w:rFonts w:hint="eastAsia" w:asciiTheme="minorEastAsia" w:hAnsiTheme="minorEastAsia" w:eastAsiaTheme="minorEastAsia" w:cstheme="minorEastAsia"/>
                  <w:sz w:val="24"/>
                </w:rPr>
              </w:sdtEndPr>
              <w:sdtContent>
                <w:r>
                  <w:rPr>
                    <w:rFonts w:hint="eastAsia" w:asciiTheme="minorEastAsia" w:hAnsiTheme="minorEastAsia" w:eastAsiaTheme="minorEastAsia" w:cstheme="minorEastAsia"/>
                    <w:sz w:val="24"/>
                  </w:rPr>
                  <w:sym w:font="Wingdings" w:char="00A8"/>
                </w:r>
              </w:sdtContent>
            </w:sdt>
            <w:r>
              <w:rPr>
                <w:rFonts w:hint="eastAsia" w:asciiTheme="minorEastAsia" w:hAnsiTheme="minorEastAsia" w:eastAsiaTheme="minorEastAsia" w:cstheme="minorEastAsia"/>
                <w:sz w:val="24"/>
              </w:rPr>
              <w:t>联合体响应的，联合体中有一方或者联合体成员根据分工按磋商文件第五部分评审标准要求提供资信证明文件的，视为符合了相关要求。</w:t>
            </w:r>
          </w:p>
          <w:p>
            <w:pPr>
              <w:pStyle w:val="4"/>
              <w:numPr>
                <w:ilvl w:val="0"/>
                <w:numId w:val="0"/>
              </w:numPr>
              <w:rPr>
                <w:rFonts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rPr>
              <w:t>如遇“政府采购云平台”电子化开标或评审程序调整的，按调整后程序执行。</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通过“政府采购云平台”公布开标一览表有关内容后，供应商应通过“政府采购云平台”进行确认，在收到采购人或采购代理机构的通知后仍不予确认的应说明理由，否则视为无异议。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代理服务费</w:t>
            </w:r>
          </w:p>
        </w:tc>
        <w:tc>
          <w:tcPr>
            <w:tcW w:w="6363" w:type="dxa"/>
            <w:tcBorders>
              <w:top w:val="single" w:color="auto" w:sz="4" w:space="0"/>
              <w:left w:val="single" w:color="000000" w:sz="2"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1.本项目代理服务费由中标人（成交）支付。代理服务费参照发改价格[2011]534号文招标代理费收费标准计收，</w:t>
            </w:r>
            <w:r>
              <w:rPr>
                <w:rFonts w:hint="eastAsia" w:asciiTheme="minorEastAsia" w:hAnsiTheme="minorEastAsia" w:eastAsiaTheme="minorEastAsia" w:cstheme="minorEastAsia"/>
                <w:snapToGrid w:val="0"/>
                <w:kern w:val="28"/>
                <w:sz w:val="24"/>
                <w:lang w:val="en-US" w:eastAsia="zh-CN"/>
              </w:rPr>
              <w:t>不足5000元</w:t>
            </w:r>
            <w:r>
              <w:rPr>
                <w:rFonts w:hint="eastAsia" w:asciiTheme="minorEastAsia" w:hAnsiTheme="minorEastAsia" w:eastAsiaTheme="minorEastAsia" w:cstheme="minorEastAsia"/>
                <w:snapToGrid w:val="0"/>
                <w:kern w:val="28"/>
                <w:sz w:val="24"/>
              </w:rPr>
              <w:t>按</w:t>
            </w:r>
            <w:r>
              <w:rPr>
                <w:rFonts w:hint="eastAsia" w:asciiTheme="minorEastAsia" w:hAnsiTheme="minorEastAsia" w:eastAsiaTheme="minorEastAsia" w:cstheme="minorEastAsia"/>
                <w:snapToGrid w:val="0"/>
                <w:kern w:val="28"/>
                <w:sz w:val="24"/>
                <w:lang w:val="en-US" w:eastAsia="zh-CN"/>
              </w:rPr>
              <w:t>5</w:t>
            </w:r>
            <w:r>
              <w:rPr>
                <w:rFonts w:hint="eastAsia" w:asciiTheme="minorEastAsia" w:hAnsiTheme="minorEastAsia" w:eastAsiaTheme="minorEastAsia" w:cstheme="minorEastAsia"/>
                <w:snapToGrid w:val="0"/>
                <w:kern w:val="28"/>
                <w:sz w:val="24"/>
              </w:rPr>
              <w:t>000元收取。中标人（成交）在收到中标（成交）通知书</w:t>
            </w:r>
            <w:r>
              <w:rPr>
                <w:rFonts w:hint="eastAsia" w:asciiTheme="minorEastAsia" w:hAnsiTheme="minorEastAsia" w:eastAsiaTheme="minorEastAsia" w:cstheme="minorEastAsia"/>
                <w:snapToGrid w:val="0"/>
                <w:kern w:val="28"/>
                <w:sz w:val="24"/>
                <w:lang w:val="en-US" w:eastAsia="zh-CN"/>
              </w:rPr>
              <w:t>后5个工作日内</w:t>
            </w:r>
            <w:r>
              <w:rPr>
                <w:rFonts w:hint="eastAsia" w:asciiTheme="minorEastAsia" w:hAnsiTheme="minorEastAsia" w:eastAsiaTheme="minorEastAsia" w:cstheme="minorEastAsia"/>
                <w:snapToGrid w:val="0"/>
                <w:kern w:val="28"/>
                <w:sz w:val="24"/>
              </w:rPr>
              <w:t>向采购代理机构支付。</w:t>
            </w:r>
          </w:p>
          <w:p>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2．代理服务费支付：</w:t>
            </w:r>
          </w:p>
          <w:p>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缴纳形式：转账/电汇</w:t>
            </w:r>
          </w:p>
          <w:p>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收款单位（户名）：浙江天诺招标代理有限公司</w:t>
            </w:r>
          </w:p>
          <w:p>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开户银行： 杭州银行官巷口支行</w:t>
            </w:r>
          </w:p>
          <w:p>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银行账号： 3301040160023136305</w:t>
            </w:r>
          </w:p>
          <w:p>
            <w:pPr>
              <w:spacing w:line="360" w:lineRule="auto"/>
              <w:rPr>
                <w:rFonts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3、增值税发票开票资料（见附件退还投标保证金申请书）：单位名称、税号（统一社会信用代码）、开户行名称、账号、地址及联系电话。</w:t>
            </w:r>
          </w:p>
        </w:tc>
      </w:tr>
    </w:tbl>
    <w:p>
      <w:pPr>
        <w:snapToGrid w:val="0"/>
        <w:jc w:val="center"/>
        <w:rPr>
          <w:rFonts w:cs="仿宋_GB2312" w:asciiTheme="minorEastAsia" w:hAnsiTheme="minorEastAsia" w:eastAsiaTheme="minorEastAsia"/>
          <w:b/>
          <w:sz w:val="32"/>
          <w:szCs w:val="20"/>
        </w:rPr>
      </w:pPr>
    </w:p>
    <w:p>
      <w:pPr>
        <w:pageBreakBefore/>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sdtPr>
        <w:sdtEndPr>
          <w:rPr>
            <w:rFonts w:hint="eastAsia" w:cs="宋体" w:asciiTheme="minorEastAsia" w:hAnsiTheme="minorEastAsia" w:eastAsiaTheme="minorEastAsia"/>
            <w:kern w:val="0"/>
            <w:sz w:val="24"/>
          </w:rPr>
        </w:sdtEndPr>
        <w:sdtContent>
          <w:r>
            <w:rPr>
              <w:rFonts w:hint="eastAsia" w:ascii="MS Gothic" w:hAnsi="MS Gothic" w:cs="宋体"/>
              <w:kern w:val="0"/>
              <w:sz w:val="24"/>
              <w:lang w:eastAsia="zh-CN"/>
            </w:rPr>
            <w:sym w:font="Wingdings 2" w:char="0052"/>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5"/>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5"/>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rPr>
      </w:pPr>
    </w:p>
    <w:p>
      <w:pPr>
        <w:pStyle w:val="35"/>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5"/>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5"/>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2"/>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5"/>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3.2.1根据采购人与采购代理机构签订的《采购委托协议》的规定，质疑答复责任主体如下：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Change w:id="0">
          <w:tblGrid>
            <w:gridCol w:w="2518"/>
            <w:gridCol w:w="4536"/>
            <w:gridCol w:w="223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518" w:type="dxa"/>
            <w:vMerge w:val="continue"/>
            <w:vAlign w:val="center"/>
          </w:tcPr>
          <w:p>
            <w:pPr>
              <w:pStyle w:val="35"/>
              <w:spacing w:line="360" w:lineRule="auto"/>
              <w:jc w:val="center"/>
              <w:rPr>
                <w:rFonts w:asciiTheme="minorEastAsia" w:hAnsiTheme="minorEastAsia" w:eastAsiaTheme="minorEastAsia"/>
                <w:sz w:val="24"/>
              </w:rPr>
            </w:pP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Lee 1989" w:date="2023-09-26T08:3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08" w:hRule="atLeast"/>
          <w:trPrChange w:id="1" w:author="Lee 1989" w:date="2023-09-26T08:32:47Z">
            <w:trPr>
              <w:trHeight w:val="968" w:hRule="atLeast"/>
            </w:trPr>
          </w:trPrChange>
        </w:trPr>
        <w:tc>
          <w:tcPr>
            <w:tcW w:w="2518" w:type="dxa"/>
            <w:vMerge w:val="continue"/>
            <w:vAlign w:val="center"/>
            <w:tcPrChange w:id="2" w:author="Lee 1989" w:date="2023-09-26T08:32:47Z">
              <w:tcPr>
                <w:tcW w:w="2518" w:type="dxa"/>
                <w:vMerge w:val="continue"/>
                <w:vAlign w:val="center"/>
              </w:tcPr>
            </w:tcPrChange>
          </w:tcPr>
          <w:p>
            <w:pPr>
              <w:pStyle w:val="35"/>
              <w:spacing w:line="360" w:lineRule="auto"/>
              <w:jc w:val="center"/>
              <w:rPr>
                <w:rFonts w:asciiTheme="minorEastAsia" w:hAnsiTheme="minorEastAsia" w:eastAsiaTheme="minorEastAsia"/>
                <w:sz w:val="24"/>
              </w:rPr>
            </w:pPr>
          </w:p>
        </w:tc>
        <w:tc>
          <w:tcPr>
            <w:tcW w:w="4536" w:type="dxa"/>
            <w:vAlign w:val="center"/>
            <w:tcPrChange w:id="3" w:author="Lee 1989" w:date="2023-09-26T08:32:47Z">
              <w:tcPr>
                <w:tcW w:w="4536" w:type="dxa"/>
                <w:vAlign w:val="center"/>
              </w:tcPr>
            </w:tcPrChange>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Change w:id="4" w:author="Lee 1989" w:date="2023-09-26T08:32:47Z">
              <w:tcPr>
                <w:tcW w:w="2232" w:type="dxa"/>
                <w:vAlign w:val="center"/>
              </w:tcPr>
            </w:tcPrChange>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18"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5"/>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5"/>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5"/>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sz w:val="24"/>
          <w:szCs w:val="24"/>
        </w:rPr>
        <w:t>根据政府采购行政裁决省市区三级联动试点工作安排，</w:t>
      </w:r>
      <w:r>
        <w:rPr>
          <w:rFonts w:hint="eastAsia"/>
          <w:sz w:val="24"/>
          <w:szCs w:val="24"/>
          <w:lang w:val="en-US" w:eastAsia="zh-CN"/>
        </w:rPr>
        <w:t>浙江省本级、</w:t>
      </w:r>
      <w:r>
        <w:rPr>
          <w:rFonts w:hint="eastAsia"/>
          <w:sz w:val="24"/>
          <w:szCs w:val="24"/>
        </w:rPr>
        <w:t>杭州市本级、拱墅区、富阳区政府采购项目投诉材料可寄送至浙江省政府采购行政裁决服务中心（杭州），地址：杭州市上城区四季青街道新业路市民之家</w:t>
      </w:r>
      <w:r>
        <w:rPr>
          <w:sz w:val="24"/>
          <w:szCs w:val="24"/>
        </w:rPr>
        <w:t>G03</w:t>
      </w:r>
      <w:r>
        <w:rPr>
          <w:rFonts w:hint="eastAsia"/>
          <w:sz w:val="24"/>
          <w:szCs w:val="24"/>
        </w:rPr>
        <w:t>办公室，收件人：朱女士、王女士，电话：</w:t>
      </w:r>
      <w:r>
        <w:rPr>
          <w:sz w:val="24"/>
          <w:szCs w:val="24"/>
        </w:rPr>
        <w:t>0571-85252453</w:t>
      </w:r>
      <w:r>
        <w:rPr>
          <w:rFonts w:hint="eastAsia"/>
          <w:sz w:val="24"/>
          <w:szCs w:val="24"/>
        </w:rPr>
        <w:t>。</w:t>
      </w:r>
    </w:p>
    <w:p>
      <w:pPr>
        <w:pStyle w:val="35"/>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5"/>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5"/>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3"/>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pPr>
        <w:pStyle w:val="393"/>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4"/>
        <w:rPr>
          <w:rFonts w:cs="仿宋_GB2312" w:asciiTheme="minorEastAsia" w:hAnsiTheme="minorEastAsia" w:eastAsiaTheme="minorEastAsia"/>
          <w:sz w:val="18"/>
          <w:szCs w:val="18"/>
          <w:lang w:val="en-US"/>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5"/>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pPr>
        <w:pStyle w:val="35"/>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p>
    <w:p>
      <w:pPr>
        <w:pStyle w:val="35"/>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5"/>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pPr>
        <w:pStyle w:val="35"/>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5"/>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pPr>
        <w:pStyle w:val="35"/>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pPr>
        <w:pStyle w:val="35"/>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3"/>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pStyle w:val="35"/>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3"/>
        <w:spacing w:before="0"/>
        <w:ind w:firstLine="0" w:firstLineChars="0"/>
        <w:rPr>
          <w:rFonts w:cs="仿宋_GB2312" w:asciiTheme="minorEastAsia" w:hAnsiTheme="minorEastAsia" w:eastAsiaTheme="minorEastAsia"/>
          <w:b/>
          <w:szCs w:val="24"/>
        </w:rPr>
      </w:pPr>
    </w:p>
    <w:p>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3"/>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pPr>
        <w:pStyle w:val="35"/>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5"/>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5"/>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5"/>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5"/>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5"/>
        <w:spacing w:line="360" w:lineRule="auto"/>
        <w:rPr>
          <w:rFonts w:cs="仿宋_GB2312" w:asciiTheme="minorEastAsia" w:hAnsiTheme="minorEastAsia" w:eastAsiaTheme="minorEastAsia"/>
          <w:b/>
          <w:sz w:val="24"/>
          <w:szCs w:val="24"/>
        </w:rPr>
      </w:pPr>
    </w:p>
    <w:p>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5"/>
        <w:snapToGrid w:val="0"/>
        <w:spacing w:line="360" w:lineRule="auto"/>
        <w:ind w:firstLine="480" w:firstLineChars="200"/>
        <w:rPr>
          <w:rFonts w:cs="仿宋_GB2312" w:asciiTheme="minorEastAsia" w:hAnsiTheme="minorEastAsia" w:eastAsiaTheme="minorEastAsia"/>
          <w:b/>
          <w:sz w:val="32"/>
          <w:szCs w:val="20"/>
        </w:rPr>
      </w:pPr>
      <w:r>
        <w:rPr>
          <w:rFonts w:hint="eastAsia" w:cs="仿宋_GB2312" w:asciiTheme="minorEastAsia" w:hAnsiTheme="minorEastAsia" w:eastAsiaTheme="minorEastAsia"/>
          <w:sz w:val="24"/>
          <w:szCs w:val="24"/>
        </w:rPr>
        <w:t>1.1最后报价一览表；</w:t>
      </w:r>
    </w:p>
    <w:p>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3"/>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3"/>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3"/>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5"/>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5"/>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napToGrid w:val="0"/>
        <w:spacing w:line="360" w:lineRule="auto"/>
        <w:jc w:val="center"/>
        <w:outlineLvl w:val="0"/>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w:t>
      </w:r>
      <w:r>
        <w:rPr>
          <w:rFonts w:hint="eastAsia" w:cs="宋体" w:asciiTheme="minorEastAsia" w:hAnsiTheme="minorEastAsia" w:eastAsiaTheme="minorEastAsia"/>
          <w:kern w:val="0"/>
          <w:sz w:val="24"/>
          <w:lang w:val="en-US" w:eastAsia="zh-CN"/>
        </w:rPr>
        <w:t>30</w:t>
      </w:r>
      <w:r>
        <w:rPr>
          <w:rFonts w:hint="eastAsia" w:cs="宋体" w:asciiTheme="minorEastAsia" w:hAnsiTheme="minorEastAsia" w:eastAsiaTheme="minorEastAsia"/>
          <w:kern w:val="0"/>
          <w:sz w:val="24"/>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numPr>
          <w:ilvl w:val="255"/>
          <w:numId w:val="0"/>
        </w:numPr>
      </w:pPr>
      <w:r>
        <w:rPr>
          <w:rFonts w:ascii="宋体" w:hAnsi="宋体" w:eastAsia="宋体"/>
          <w:sz w:val="24"/>
          <w:lang w:val="en-US"/>
        </w:rPr>
        <w:t>4.</w:t>
      </w:r>
      <w:r>
        <w:rPr>
          <w:rFonts w:hint="eastAsia" w:ascii="宋体" w:hAnsi="宋体" w:eastAsia="宋体"/>
          <w:sz w:val="24"/>
          <w:lang w:val="en-US"/>
        </w:rPr>
        <w:t>预付款</w:t>
      </w:r>
    </w:p>
    <w:p>
      <w:pPr>
        <w:adjustRightInd/>
        <w:spacing w:line="360" w:lineRule="auto"/>
        <w:ind w:firstLine="480" w:firstLineChars="200"/>
      </w:pPr>
      <w:r>
        <w:rPr>
          <w:rFonts w:hint="eastAsia" w:ascii="宋体" w:hAnsi="宋体"/>
          <w:sz w:val="24"/>
        </w:rPr>
        <w:t>采购单位应当在政府采购合同中约定</w:t>
      </w:r>
      <w:r>
        <w:rPr>
          <w:rFonts w:hint="eastAsia" w:ascii="宋体" w:hAnsi="宋体"/>
          <w:color w:val="auto"/>
          <w:sz w:val="24"/>
        </w:rPr>
        <w:t>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w:t>
      </w:r>
      <w:r>
        <w:rPr>
          <w:rFonts w:ascii="宋体" w:hAnsi="宋体"/>
          <w:sz w:val="24"/>
        </w:rPr>
        <w:t>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tabs>
          <w:tab w:val="left" w:pos="0"/>
        </w:tabs>
        <w:spacing w:line="360" w:lineRule="auto"/>
        <w:rPr>
          <w:rFonts w:cs="宋体" w:asciiTheme="minorEastAsia" w:hAnsiTheme="minorEastAsia" w:eastAsiaTheme="minorEastAsia"/>
          <w:snapToGrid w:val="0"/>
          <w:kern w:val="28"/>
          <w:sz w:val="24"/>
        </w:rPr>
      </w:pP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7"/>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eastAsiaTheme="minorEastAsia"/>
          <w:b/>
          <w:sz w:val="36"/>
          <w:szCs w:val="36"/>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29768"/>
      <w:bookmarkEnd w:id="54"/>
      <w:bookmarkStart w:id="55" w:name="_Hlt74714665"/>
      <w:bookmarkEnd w:id="55"/>
      <w:bookmarkStart w:id="56" w:name="_Hlt75236290"/>
      <w:bookmarkEnd w:id="56"/>
      <w:bookmarkStart w:id="57" w:name="_Hlt75236101"/>
      <w:bookmarkEnd w:id="57"/>
      <w:bookmarkStart w:id="58" w:name="_Hlt68057669"/>
      <w:bookmarkEnd w:id="58"/>
      <w:bookmarkStart w:id="59" w:name="_Hlt68072990"/>
      <w:bookmarkEnd w:id="59"/>
      <w:bookmarkStart w:id="60" w:name="_Hlt74707468"/>
      <w:bookmarkEnd w:id="60"/>
      <w:bookmarkStart w:id="61" w:name="_Hlt74730295"/>
      <w:bookmarkEnd w:id="61"/>
      <w:bookmarkStart w:id="62" w:name="_Hlt75236011"/>
      <w:bookmarkEnd w:id="62"/>
      <w:bookmarkStart w:id="63" w:name="第三部分"/>
      <w:bookmarkStart w:id="64" w:name="_Toc164416483"/>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pStyle w:val="4"/>
        <w:pageBreakBefore w:val="0"/>
        <w:widowControl w:val="0"/>
        <w:numPr>
          <w:ilvl w:val="0"/>
          <w:numId w:val="0"/>
        </w:numPr>
        <w:kinsoku/>
        <w:wordWrap/>
        <w:overflowPunct/>
        <w:topLinePunct w:val="0"/>
        <w:autoSpaceDE/>
        <w:autoSpaceDN/>
        <w:bidi w:val="0"/>
        <w:snapToGrid w:val="0"/>
        <w:spacing w:before="0" w:after="0" w:line="480" w:lineRule="exact"/>
        <w:textAlignment w:val="auto"/>
        <w:rPr>
          <w:rFonts w:hint="eastAsia" w:ascii="宋体" w:hAnsi="宋体" w:eastAsia="宋体" w:cs="宋体"/>
          <w:snapToGrid w:val="0"/>
          <w:color w:val="auto"/>
          <w:kern w:val="0"/>
          <w:sz w:val="24"/>
          <w:szCs w:val="24"/>
          <w:highlight w:val="none"/>
        </w:rPr>
      </w:pPr>
      <w:bookmarkStart w:id="65" w:name="_Toc352601483"/>
      <w:bookmarkStart w:id="66" w:name="_Toc358469041"/>
      <w:bookmarkStart w:id="67" w:name="_Toc474758536"/>
      <w:bookmarkStart w:id="68" w:name="_Toc357638478"/>
      <w:bookmarkStart w:id="69" w:name="_Toc19188"/>
      <w:bookmarkStart w:id="70" w:name="_Toc357638603"/>
      <w:bookmarkStart w:id="71" w:name="_Toc362621342"/>
      <w:bookmarkStart w:id="72" w:name="_Toc357694112"/>
      <w:bookmarkStart w:id="73" w:name="_Toc352137982"/>
      <w:bookmarkStart w:id="74" w:name="_Toc357411859"/>
      <w:bookmarkStart w:id="75" w:name="_Toc358199241"/>
      <w:bookmarkStart w:id="76" w:name="_Toc31628"/>
      <w:r>
        <w:rPr>
          <w:rFonts w:hint="eastAsia" w:ascii="宋体" w:hAnsi="宋体" w:eastAsia="宋体" w:cs="宋体"/>
          <w:snapToGrid w:val="0"/>
          <w:color w:val="auto"/>
          <w:kern w:val="0"/>
          <w:sz w:val="24"/>
          <w:szCs w:val="24"/>
          <w:highlight w:val="none"/>
        </w:rPr>
        <w:t>一、项目概述</w:t>
      </w:r>
      <w:bookmarkEnd w:id="65"/>
      <w:bookmarkEnd w:id="66"/>
      <w:bookmarkEnd w:id="67"/>
      <w:bookmarkEnd w:id="68"/>
      <w:bookmarkEnd w:id="69"/>
      <w:bookmarkEnd w:id="70"/>
      <w:bookmarkEnd w:id="71"/>
      <w:bookmarkEnd w:id="72"/>
      <w:bookmarkEnd w:id="73"/>
      <w:bookmarkEnd w:id="74"/>
      <w:bookmarkEnd w:id="75"/>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为进一步规范职工疗休养工作，依法保障和促进职工身心健康发展，</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将组织</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年职工</w:t>
      </w:r>
      <w:r>
        <w:rPr>
          <w:rFonts w:hint="eastAsia" w:ascii="宋体" w:hAnsi="宋体" w:cs="宋体"/>
          <w:color w:val="auto"/>
          <w:sz w:val="24"/>
          <w:highlight w:val="none"/>
          <w:lang w:val="en-US" w:eastAsia="zh-CN"/>
        </w:rPr>
        <w:t>暑期</w:t>
      </w:r>
      <w:r>
        <w:rPr>
          <w:rFonts w:hint="eastAsia" w:ascii="宋体" w:hAnsi="宋体" w:eastAsia="宋体" w:cs="宋体"/>
          <w:color w:val="auto"/>
          <w:sz w:val="24"/>
          <w:highlight w:val="none"/>
        </w:rPr>
        <w:t>疗养活动。</w:t>
      </w:r>
      <w:r>
        <w:rPr>
          <w:rFonts w:hint="eastAsia" w:ascii="宋体" w:hAnsi="宋体" w:cs="宋体"/>
          <w:color w:val="auto"/>
          <w:sz w:val="24"/>
          <w:highlight w:val="none"/>
          <w:lang w:val="en-US" w:eastAsia="zh-CN"/>
        </w:rPr>
        <w:t>每条路线</w:t>
      </w:r>
      <w:r>
        <w:rPr>
          <w:rFonts w:hint="eastAsia" w:ascii="宋体" w:hAnsi="宋体" w:eastAsia="宋体" w:cs="宋体"/>
          <w:color w:val="auto"/>
          <w:sz w:val="24"/>
          <w:highlight w:val="none"/>
        </w:rPr>
        <w:t>预计</w:t>
      </w:r>
      <w:r>
        <w:rPr>
          <w:rFonts w:hint="eastAsia" w:ascii="宋体" w:hAnsi="宋体" w:eastAsia="宋体" w:cs="宋体"/>
          <w:color w:val="auto"/>
          <w:sz w:val="24"/>
          <w:highlight w:val="none"/>
          <w:lang w:val="en-US" w:eastAsia="zh-CN"/>
        </w:rPr>
        <w:t>参与疗休养</w:t>
      </w:r>
      <w:r>
        <w:rPr>
          <w:rFonts w:hint="eastAsia" w:ascii="宋体" w:hAnsi="宋体" w:eastAsia="宋体" w:cs="宋体"/>
          <w:color w:val="auto"/>
          <w:sz w:val="24"/>
          <w:highlight w:val="none"/>
        </w:rPr>
        <w:t>人数</w:t>
      </w:r>
      <w:r>
        <w:rPr>
          <w:rFonts w:hint="eastAsia" w:ascii="宋体" w:hAnsi="宋体" w:cs="宋体"/>
          <w:color w:val="auto"/>
          <w:sz w:val="24"/>
          <w:highlight w:val="none"/>
          <w:lang w:val="en-US" w:eastAsia="zh-CN"/>
        </w:rPr>
        <w:t>根据校方职工自愿申报数量为准</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最终</w:t>
      </w:r>
      <w:r>
        <w:rPr>
          <w:rFonts w:hint="eastAsia" w:ascii="宋体" w:hAnsi="宋体" w:eastAsia="宋体" w:cs="宋体"/>
          <w:color w:val="auto"/>
          <w:sz w:val="24"/>
          <w:highlight w:val="none"/>
        </w:rPr>
        <w:t>以实际出行人数为准。</w:t>
      </w:r>
    </w:p>
    <w:p>
      <w:pPr>
        <w:pageBreakBefore w:val="0"/>
        <w:widowControl w:val="0"/>
        <w:kinsoku/>
        <w:wordWrap/>
        <w:overflowPunct/>
        <w:topLinePunct w:val="0"/>
        <w:autoSpaceDE/>
        <w:autoSpaceDN/>
        <w:bidi w:val="0"/>
        <w:adjustRightInd w:val="0"/>
        <w:snapToGrid w:val="0"/>
        <w:spacing w:line="480" w:lineRule="exact"/>
        <w:ind w:firstLine="964" w:firstLineChars="400"/>
        <w:jc w:val="both"/>
        <w:textAlignment w:val="auto"/>
        <w:rPr>
          <w:rFonts w:hint="default" w:ascii="宋体" w:hAnsi="宋体" w:eastAsia="宋体" w:cs="宋体"/>
          <w:color w:val="auto"/>
          <w:sz w:val="24"/>
          <w:highlight w:val="none"/>
          <w:lang w:val="en-US" w:eastAsia="zh-CN"/>
        </w:rPr>
      </w:pPr>
      <w:r>
        <w:rPr>
          <w:rFonts w:hint="eastAsia" w:cs="Times New Roman"/>
          <w:b/>
          <w:sz w:val="24"/>
          <w:szCs w:val="24"/>
          <w:highlight w:val="none"/>
          <w:lang w:eastAsia="zh-CN"/>
        </w:rPr>
        <w:t>2024年杭师大附中教职工疗休养（省外线）项目</w:t>
      </w:r>
      <w:r>
        <w:rPr>
          <w:rFonts w:hint="eastAsia" w:ascii="Times New Roman" w:hAnsi="Times New Roman" w:eastAsia="宋体" w:cs="Times New Roman"/>
          <w:b/>
          <w:sz w:val="24"/>
          <w:szCs w:val="24"/>
          <w:highlight w:val="none"/>
          <w:lang w:val="en-US" w:eastAsia="zh-CN"/>
        </w:rPr>
        <w:t>采购清单</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4577"/>
        <w:gridCol w:w="1116"/>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01"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序号</w:t>
            </w:r>
          </w:p>
        </w:tc>
        <w:tc>
          <w:tcPr>
            <w:tcW w:w="4577" w:type="dxa"/>
            <w:tcBorders>
              <w:top w:val="single" w:color="auto" w:sz="12"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项目内容</w:t>
            </w:r>
          </w:p>
        </w:tc>
        <w:tc>
          <w:tcPr>
            <w:tcW w:w="0" w:type="auto"/>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天数</w:t>
            </w:r>
          </w:p>
        </w:tc>
        <w:tc>
          <w:tcPr>
            <w:tcW w:w="0" w:type="auto"/>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费用标准</w:t>
            </w:r>
            <w:r>
              <w:rPr>
                <w:rFonts w:hint="eastAsia" w:ascii="宋体" w:hAnsi="宋体" w:eastAsia="宋体" w:cs="宋体"/>
                <w:b w:val="0"/>
                <w:bCs/>
                <w:color w:val="auto"/>
                <w:sz w:val="24"/>
                <w:highlight w:val="none"/>
              </w:rPr>
              <w:t>（元</w:t>
            </w:r>
            <w:r>
              <w:rPr>
                <w:rFonts w:hint="eastAsia" w:ascii="宋体" w:hAnsi="宋体" w:eastAsia="宋体" w:cs="宋体"/>
                <w:b w:val="0"/>
                <w:bCs/>
                <w:color w:val="auto"/>
                <w:sz w:val="24"/>
                <w:highlight w:val="none"/>
                <w:lang w:val="en-US" w:eastAsia="zh-CN"/>
              </w:rPr>
              <w:t>/人</w:t>
            </w:r>
            <w:r>
              <w:rPr>
                <w:rFonts w:hint="eastAsia" w:ascii="宋体" w:hAnsi="宋体" w:eastAsia="宋体" w:cs="宋体"/>
                <w:b w:val="0"/>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01" w:type="dxa"/>
            <w:tcBorders>
              <w:top w:val="single" w:color="auto" w:sz="4" w:space="0"/>
              <w:left w:val="single" w:color="auto" w:sz="12" w:space="0"/>
              <w:bottom w:val="single" w:color="auto" w:sz="4" w:space="0"/>
              <w:right w:val="single" w:color="auto" w:sz="4" w:space="0"/>
            </w:tcBorders>
            <w:noWrap w:val="0"/>
            <w:vAlign w:val="center"/>
          </w:tcPr>
          <w:p>
            <w:pPr>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p>
        </w:tc>
        <w:tc>
          <w:tcPr>
            <w:tcW w:w="45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杭师大附中职工暑期福建福鼎霞浦疗休养</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5天4晚</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1"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w:t>
            </w:r>
          </w:p>
        </w:tc>
        <w:tc>
          <w:tcPr>
            <w:tcW w:w="4577"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杭师大附中职工暑期</w:t>
            </w:r>
            <w:r>
              <w:rPr>
                <w:rFonts w:hint="eastAsia" w:ascii="宋体" w:hAnsi="宋体" w:eastAsia="宋体" w:cs="宋体"/>
                <w:b w:val="0"/>
                <w:bCs/>
                <w:color w:val="auto"/>
                <w:sz w:val="24"/>
                <w:highlight w:val="none"/>
                <w:lang w:val="en-US" w:eastAsia="zh-CN"/>
              </w:rPr>
              <w:t>新疆阿克苏</w:t>
            </w:r>
            <w:r>
              <w:rPr>
                <w:rFonts w:hint="eastAsia" w:ascii="宋体" w:hAnsi="宋体" w:eastAsia="宋体" w:cs="宋体"/>
                <w:b w:val="0"/>
                <w:bCs/>
                <w:color w:val="auto"/>
                <w:sz w:val="24"/>
                <w:highlight w:val="none"/>
                <w:lang w:eastAsia="zh-CN"/>
              </w:rPr>
              <w:t>疗休养</w:t>
            </w:r>
          </w:p>
        </w:tc>
        <w:tc>
          <w:tcPr>
            <w:tcW w:w="0" w:type="auto"/>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7</w:t>
            </w:r>
            <w:r>
              <w:rPr>
                <w:rFonts w:hint="eastAsia" w:ascii="宋体" w:hAnsi="宋体" w:eastAsia="宋体" w:cs="宋体"/>
                <w:b w:val="0"/>
                <w:bCs/>
                <w:color w:val="auto"/>
                <w:sz w:val="24"/>
                <w:highlight w:val="none"/>
                <w:lang w:val="en-US" w:eastAsia="zh-CN"/>
              </w:rPr>
              <w:t>天</w:t>
            </w:r>
            <w:r>
              <w:rPr>
                <w:rFonts w:hint="eastAsia" w:ascii="宋体" w:hAnsi="宋体" w:cs="宋体"/>
                <w:b w:val="0"/>
                <w:bCs/>
                <w:color w:val="auto"/>
                <w:sz w:val="24"/>
                <w:highlight w:val="none"/>
                <w:lang w:val="en-US" w:eastAsia="zh-CN"/>
              </w:rPr>
              <w:t>6</w:t>
            </w:r>
            <w:r>
              <w:rPr>
                <w:rFonts w:hint="eastAsia" w:ascii="宋体" w:hAnsi="宋体" w:eastAsia="宋体" w:cs="宋体"/>
                <w:b w:val="0"/>
                <w:bCs/>
                <w:color w:val="auto"/>
                <w:sz w:val="24"/>
                <w:highlight w:val="none"/>
                <w:lang w:val="en-US" w:eastAsia="zh-CN"/>
              </w:rPr>
              <w:t>晚</w:t>
            </w:r>
          </w:p>
        </w:tc>
        <w:tc>
          <w:tcPr>
            <w:tcW w:w="0" w:type="auto"/>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3000(不含大交通）</w:t>
            </w:r>
          </w:p>
        </w:tc>
      </w:tr>
    </w:tbl>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▲采购人不保证每</w:t>
      </w:r>
      <w:r>
        <w:rPr>
          <w:rFonts w:hint="eastAsia" w:ascii="宋体" w:hAnsi="宋体" w:cs="宋体"/>
          <w:b/>
          <w:bCs/>
          <w:color w:val="auto"/>
          <w:sz w:val="24"/>
          <w:highlight w:val="none"/>
          <w:lang w:val="en-US" w:eastAsia="zh-CN"/>
        </w:rPr>
        <w:t>条</w:t>
      </w:r>
      <w:r>
        <w:rPr>
          <w:rFonts w:hint="eastAsia" w:ascii="宋体" w:hAnsi="宋体" w:eastAsia="宋体" w:cs="宋体"/>
          <w:b/>
          <w:bCs/>
          <w:color w:val="auto"/>
          <w:sz w:val="24"/>
          <w:highlight w:val="none"/>
          <w:lang w:val="en-US" w:eastAsia="zh-CN"/>
        </w:rPr>
        <w:t>线路最终都能实施，如中标后，某个线路报名人数不足20人，则该线路不予成行，该</w:t>
      </w:r>
      <w:r>
        <w:rPr>
          <w:rFonts w:hint="eastAsia" w:ascii="宋体" w:hAnsi="宋体" w:cs="宋体"/>
          <w:b/>
          <w:bCs/>
          <w:color w:val="auto"/>
          <w:sz w:val="24"/>
          <w:highlight w:val="none"/>
          <w:lang w:val="en-US" w:eastAsia="zh-CN"/>
        </w:rPr>
        <w:t>路线</w:t>
      </w:r>
      <w:r>
        <w:rPr>
          <w:rFonts w:hint="eastAsia" w:ascii="宋体" w:hAnsi="宋体" w:eastAsia="宋体" w:cs="宋体"/>
          <w:b/>
          <w:bCs/>
          <w:color w:val="auto"/>
          <w:sz w:val="24"/>
          <w:highlight w:val="none"/>
          <w:lang w:val="en-US" w:eastAsia="zh-CN"/>
        </w:rPr>
        <w:t>自动作废，采购人及代理机构不承担任何责任，投标人应自行考虑投标成本等费用风险。</w:t>
      </w:r>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▲投标人提供的全程陪游人员须与采购人疗休养人员住在同一个酒店。</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投标人须以合理的服务流程和服务人数、优良的服务质量、稳定的服务队伍、优惠的价格来制订详细的服务方案，充分体现自身的实力，发挥自身优势，为采购人提供全方位、一体化的专业服务保障。</w:t>
      </w:r>
      <w:bookmarkStart w:id="77" w:name="_Toc11889"/>
    </w:p>
    <w:p>
      <w:pPr>
        <w:pStyle w:val="4"/>
        <w:pageBreakBefore w:val="0"/>
        <w:widowControl w:val="0"/>
        <w:numPr>
          <w:ilvl w:val="0"/>
          <w:numId w:val="0"/>
        </w:numPr>
        <w:kinsoku/>
        <w:wordWrap/>
        <w:overflowPunct/>
        <w:topLinePunct w:val="0"/>
        <w:autoSpaceDE/>
        <w:autoSpaceDN/>
        <w:bidi w:val="0"/>
        <w:snapToGrid w:val="0"/>
        <w:spacing w:before="0" w:after="0" w:line="48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二、质量标准</w:t>
      </w:r>
      <w:bookmarkEnd w:id="77"/>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GB/T15971—1995 导游服务质量</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GB/16153—1996 饭店（餐厅）卫生标准 </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GB/T19004.2—1994 质量管理和质量体系要素 </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LB/T 002—1995 旅游汽车服务质量</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idt ISO 9004—2：1991服务指南</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GB/T15971 导游人员的基本素质及服务</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DB 3301/T 0244-2018疗休养旅游服务规范</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其他现行有效国家标准 </w:t>
      </w:r>
    </w:p>
    <w:p>
      <w:pPr>
        <w:pStyle w:val="4"/>
        <w:pageBreakBefore w:val="0"/>
        <w:widowControl w:val="0"/>
        <w:numPr>
          <w:ilvl w:val="0"/>
          <w:numId w:val="0"/>
        </w:numPr>
        <w:kinsoku/>
        <w:wordWrap/>
        <w:overflowPunct/>
        <w:topLinePunct w:val="0"/>
        <w:autoSpaceDE/>
        <w:autoSpaceDN/>
        <w:bidi w:val="0"/>
        <w:snapToGrid w:val="0"/>
        <w:spacing w:before="0" w:after="0" w:line="480" w:lineRule="exact"/>
        <w:textAlignment w:val="auto"/>
        <w:rPr>
          <w:rFonts w:hint="eastAsia" w:ascii="宋体" w:hAnsi="宋体" w:eastAsia="宋体" w:cs="宋体"/>
          <w:snapToGrid w:val="0"/>
          <w:color w:val="auto"/>
          <w:kern w:val="0"/>
          <w:sz w:val="24"/>
          <w:szCs w:val="24"/>
          <w:highlight w:val="none"/>
        </w:rPr>
      </w:pPr>
      <w:bookmarkStart w:id="78" w:name="_Toc474758538"/>
      <w:bookmarkStart w:id="79" w:name="_Toc2145"/>
      <w:bookmarkStart w:id="80" w:name="_Toc358199242"/>
      <w:bookmarkStart w:id="81" w:name="_Toc357638479"/>
      <w:bookmarkStart w:id="82" w:name="_Toc357411864"/>
      <w:bookmarkStart w:id="83" w:name="_Toc358469042"/>
      <w:bookmarkStart w:id="84" w:name="_Toc357694113"/>
      <w:bookmarkStart w:id="85" w:name="_Toc357638604"/>
      <w:bookmarkStart w:id="86" w:name="_Toc362621343"/>
      <w:bookmarkStart w:id="87" w:name="_Toc357411860"/>
      <w:r>
        <w:rPr>
          <w:rFonts w:hint="eastAsia" w:ascii="宋体" w:hAnsi="宋体" w:eastAsia="宋体" w:cs="宋体"/>
          <w:snapToGrid w:val="0"/>
          <w:color w:val="auto"/>
          <w:kern w:val="0"/>
          <w:sz w:val="24"/>
          <w:szCs w:val="24"/>
          <w:highlight w:val="none"/>
        </w:rPr>
        <w:t>三、时间地点、行程安排等基本要求</w:t>
      </w:r>
      <w:bookmarkEnd w:id="78"/>
      <w:bookmarkEnd w:id="79"/>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（一）基本要求</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行程目的地详见</w:t>
      </w:r>
      <w:r>
        <w:rPr>
          <w:rFonts w:hint="eastAsia" w:ascii="宋体" w:hAnsi="宋体" w:cs="宋体"/>
          <w:b w:val="0"/>
          <w:bCs w:val="0"/>
          <w:color w:val="auto"/>
          <w:sz w:val="24"/>
          <w:highlight w:val="none"/>
          <w:lang w:val="en-US" w:eastAsia="zh-CN"/>
        </w:rPr>
        <w:t>采购清单</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费用限价</w:t>
      </w:r>
      <w:r>
        <w:rPr>
          <w:rFonts w:hint="eastAsia" w:ascii="宋体" w:hAnsi="宋体" w:eastAsia="宋体" w:cs="宋体"/>
          <w:b w:val="0"/>
          <w:bCs w:val="0"/>
          <w:color w:val="auto"/>
          <w:sz w:val="24"/>
          <w:highlight w:val="none"/>
        </w:rPr>
        <w:t>每人</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000元</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其中前往</w:t>
      </w:r>
      <w:r>
        <w:rPr>
          <w:rFonts w:hint="eastAsia" w:ascii="宋体" w:hAnsi="宋体" w:eastAsia="宋体" w:cs="宋体"/>
          <w:b w:val="0"/>
          <w:bCs/>
          <w:color w:val="auto"/>
          <w:sz w:val="24"/>
          <w:highlight w:val="none"/>
          <w:lang w:val="en-US" w:eastAsia="zh-CN"/>
        </w:rPr>
        <w:t>新疆阿克苏</w:t>
      </w:r>
      <w:r>
        <w:rPr>
          <w:rFonts w:hint="eastAsia" w:ascii="宋体" w:hAnsi="宋体" w:cs="宋体"/>
          <w:b w:val="0"/>
          <w:bCs w:val="0"/>
          <w:color w:val="auto"/>
          <w:sz w:val="24"/>
          <w:highlight w:val="none"/>
          <w:lang w:eastAsia="zh-CN"/>
        </w:rPr>
        <w:t>的</w:t>
      </w:r>
      <w:r>
        <w:rPr>
          <w:rFonts w:hint="eastAsia" w:ascii="宋体" w:hAnsi="宋体" w:eastAsia="宋体" w:cs="宋体"/>
          <w:b w:val="0"/>
          <w:bCs w:val="0"/>
          <w:color w:val="auto"/>
          <w:sz w:val="24"/>
          <w:highlight w:val="none"/>
        </w:rPr>
        <w:t>往返大交通</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飞机</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费用</w:t>
      </w:r>
      <w:r>
        <w:rPr>
          <w:rFonts w:hint="eastAsia" w:ascii="宋体" w:hAnsi="宋体" w:cs="宋体"/>
          <w:b w:val="0"/>
          <w:bCs w:val="0"/>
          <w:color w:val="auto"/>
          <w:sz w:val="24"/>
          <w:highlight w:val="none"/>
          <w:lang w:eastAsia="zh-CN"/>
        </w:rPr>
        <w:t>，根据实际名单出票票面价格由</w:t>
      </w:r>
      <w:r>
        <w:rPr>
          <w:rFonts w:hint="eastAsia" w:ascii="宋体" w:hAnsi="宋体" w:cs="宋体"/>
          <w:b w:val="0"/>
          <w:bCs w:val="0"/>
          <w:color w:val="auto"/>
          <w:sz w:val="24"/>
          <w:highlight w:val="none"/>
          <w:lang w:val="en-US" w:eastAsia="zh-CN"/>
        </w:rPr>
        <w:t>中标人先代为购买，须在公务机票网上购买公务机票，项目结束后提供相应发票给</w:t>
      </w:r>
      <w:r>
        <w:rPr>
          <w:rFonts w:hint="eastAsia" w:ascii="宋体" w:hAnsi="宋体" w:cs="宋体"/>
          <w:b w:val="0"/>
          <w:bCs w:val="0"/>
          <w:color w:val="auto"/>
          <w:sz w:val="24"/>
          <w:highlight w:val="none"/>
          <w:lang w:eastAsia="zh-CN"/>
        </w:rPr>
        <w:t>采购人另行按实结算。</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2、出行时间：</w:t>
      </w:r>
      <w:r>
        <w:rPr>
          <w:rFonts w:hint="eastAsia" w:ascii="宋体" w:hAnsi="宋体" w:cs="宋体"/>
          <w:b w:val="0"/>
          <w:bCs/>
          <w:color w:val="auto"/>
          <w:sz w:val="24"/>
          <w:highlight w:val="none"/>
          <w:lang w:eastAsia="zh-CN"/>
        </w:rPr>
        <w:t>建福鼎霞浦</w:t>
      </w:r>
      <w:r>
        <w:rPr>
          <w:rFonts w:hint="eastAsia" w:asciiTheme="minorEastAsia" w:hAnsiTheme="minorEastAsia" w:eastAsiaTheme="minorEastAsia"/>
          <w:color w:val="auto"/>
          <w:sz w:val="24"/>
          <w:szCs w:val="24"/>
          <w:highlight w:val="none"/>
          <w:lang w:val="en-US" w:eastAsia="zh-CN"/>
        </w:rPr>
        <w:t>疗养路线出行起止时间为</w:t>
      </w:r>
      <w:r>
        <w:rPr>
          <w:rFonts w:hint="eastAsia" w:ascii="宋体" w:hAnsi="宋体" w:cs="宋体"/>
          <w:b w:val="0"/>
          <w:bCs w:val="0"/>
          <w:color w:val="auto"/>
          <w:sz w:val="24"/>
          <w:highlight w:val="none"/>
          <w:lang w:val="en-US" w:eastAsia="zh-CN"/>
        </w:rPr>
        <w:t>2024年7月17日-2024年7月21日</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color w:val="auto"/>
          <w:sz w:val="24"/>
          <w:highlight w:val="none"/>
          <w:lang w:val="en-US" w:eastAsia="zh-CN"/>
        </w:rPr>
        <w:t>新疆阿克苏</w:t>
      </w:r>
      <w:r>
        <w:rPr>
          <w:rFonts w:hint="eastAsia" w:asciiTheme="minorEastAsia" w:hAnsiTheme="minorEastAsia" w:eastAsiaTheme="minorEastAsia"/>
          <w:color w:val="auto"/>
          <w:sz w:val="24"/>
          <w:szCs w:val="24"/>
          <w:highlight w:val="none"/>
          <w:lang w:val="en-US" w:eastAsia="zh-CN"/>
        </w:rPr>
        <w:t>疗养路线出行起止时间为</w:t>
      </w:r>
      <w:r>
        <w:rPr>
          <w:rFonts w:hint="eastAsia" w:ascii="宋体" w:hAnsi="宋体" w:cs="宋体"/>
          <w:b w:val="0"/>
          <w:bCs w:val="0"/>
          <w:color w:val="auto"/>
          <w:sz w:val="24"/>
          <w:highlight w:val="none"/>
          <w:lang w:val="en-US" w:eastAsia="zh-CN"/>
        </w:rPr>
        <w:t>2024年6月13日-2024年6月19日，如有变动，采购人另行通知，中标单位需无条件服从。各路线参与疗休养人数</w:t>
      </w:r>
      <w:r>
        <w:rPr>
          <w:rFonts w:hint="eastAsia" w:ascii="宋体" w:hAnsi="宋体" w:eastAsia="宋体" w:cs="宋体"/>
          <w:b w:val="0"/>
          <w:bCs w:val="0"/>
          <w:color w:val="auto"/>
          <w:sz w:val="24"/>
          <w:highlight w:val="none"/>
        </w:rPr>
        <w:t>以实际出行人数为准。</w:t>
      </w:r>
    </w:p>
    <w:p>
      <w:pPr>
        <w:pageBreakBefore w:val="0"/>
        <w:widowControl w:val="0"/>
        <w:numPr>
          <w:ilvl w:val="0"/>
          <w:numId w:val="0"/>
        </w:numPr>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highlight w:val="none"/>
          <w:lang w:val="en-US" w:eastAsia="zh-CN"/>
        </w:rPr>
        <w:t>服务要求</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1、投标人需确定一名项目负责人，具有类似疗休养项目经验，负责与采购人或出行单位就每批次安排具体事宜联系，一旦中标不得随意更换。</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2、如遇疗休养出行人数出行较多的批次，应在出行前按采购人或出行单位要求参加行前会议。</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3、制定应急预案，发放《行程安排表》和《注意事项》。如遇意外突发事件</w:t>
      </w:r>
      <w:r>
        <w:rPr>
          <w:rFonts w:hint="eastAsia" w:ascii="宋体" w:hAnsi="宋体" w:eastAsia="宋体" w:cs="宋体"/>
          <w:color w:val="auto"/>
          <w:sz w:val="24"/>
          <w:highlight w:val="none"/>
          <w:lang w:val="en-US" w:eastAsia="zh-CN"/>
        </w:rPr>
        <w:t>或公共紧急事件，</w:t>
      </w:r>
      <w:r>
        <w:rPr>
          <w:rFonts w:hint="eastAsia" w:ascii="宋体" w:hAnsi="宋体" w:eastAsia="宋体" w:cs="宋体"/>
          <w:color w:val="auto"/>
          <w:sz w:val="24"/>
          <w:highlight w:val="none"/>
        </w:rPr>
        <w:t>投标人要在第一时间内进行妥善处理，处理结果要及时与采购人或出行单位汇报和沟通，并积极配合有关单位做好善后处理工作。</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4、做到有问必答。对疗休养人员反映的情况或投诉，不回避矛盾、不推卸责任，对发生的问题予以及时处理，将问题解决在旅途中。</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投标人须为疗休养人员提供</w:t>
      </w:r>
      <w:r>
        <w:rPr>
          <w:rFonts w:hint="eastAsia" w:ascii="宋体" w:hAnsi="宋体" w:eastAsia="宋体" w:cs="宋体"/>
          <w:color w:val="auto"/>
          <w:sz w:val="24"/>
          <w:highlight w:val="none"/>
        </w:rPr>
        <w:t>帽子、</w:t>
      </w:r>
      <w:r>
        <w:rPr>
          <w:rFonts w:hint="eastAsia" w:ascii="宋体" w:hAnsi="宋体" w:eastAsia="宋体" w:cs="宋体"/>
          <w:color w:val="auto"/>
          <w:sz w:val="24"/>
          <w:highlight w:val="none"/>
          <w:lang w:eastAsia="zh-CN"/>
        </w:rPr>
        <w:t>旅游包、</w:t>
      </w:r>
      <w:r>
        <w:rPr>
          <w:rFonts w:hint="eastAsia" w:ascii="宋体" w:hAnsi="宋体" w:eastAsia="宋体" w:cs="宋体"/>
          <w:color w:val="auto"/>
          <w:sz w:val="24"/>
          <w:highlight w:val="none"/>
        </w:rPr>
        <w:t>矿泉水二瓶/天</w:t>
      </w:r>
      <w:r>
        <w:rPr>
          <w:rFonts w:hint="eastAsia" w:ascii="宋体" w:hAnsi="宋体" w:eastAsia="宋体" w:cs="宋体"/>
          <w:color w:val="auto"/>
          <w:sz w:val="24"/>
          <w:highlight w:val="none"/>
          <w:lang w:eastAsia="zh-CN"/>
        </w:rPr>
        <w:t>等优质服务项目</w:t>
      </w:r>
      <w:r>
        <w:rPr>
          <w:rFonts w:hint="eastAsia" w:ascii="宋体" w:hAnsi="宋体" w:eastAsia="宋体" w:cs="宋体"/>
          <w:color w:val="auto"/>
          <w:sz w:val="24"/>
          <w:highlight w:val="none"/>
        </w:rPr>
        <w:t>。</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6、参加疗休养人员名单和个人信息不得外泄。</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eastAsia="zh-CN"/>
        </w:rPr>
        <w:t>投标人根据采购人有关文件要求，组织疗休养人员</w:t>
      </w:r>
      <w:r>
        <w:rPr>
          <w:rFonts w:hint="eastAsia" w:ascii="宋体" w:hAnsi="宋体" w:eastAsia="宋体" w:cs="宋体"/>
          <w:color w:val="auto"/>
          <w:sz w:val="24"/>
          <w:highlight w:val="none"/>
        </w:rPr>
        <w:t>每批结束</w:t>
      </w:r>
      <w:r>
        <w:rPr>
          <w:rFonts w:hint="eastAsia" w:ascii="宋体" w:hAnsi="宋体" w:eastAsia="宋体" w:cs="宋体"/>
          <w:color w:val="auto"/>
          <w:sz w:val="24"/>
          <w:highlight w:val="none"/>
          <w:lang w:eastAsia="zh-CN"/>
        </w:rPr>
        <w:t>时</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en-US" w:eastAsia="zh-CN"/>
        </w:rPr>
        <w:t>情况</w:t>
      </w:r>
      <w:r>
        <w:rPr>
          <w:rFonts w:hint="eastAsia" w:ascii="宋体" w:hAnsi="宋体" w:eastAsia="宋体" w:cs="宋体"/>
          <w:color w:val="auto"/>
          <w:sz w:val="24"/>
          <w:highlight w:val="none"/>
        </w:rPr>
        <w:t>测评</w:t>
      </w:r>
      <w:r>
        <w:rPr>
          <w:rFonts w:hint="eastAsia" w:ascii="宋体" w:hAnsi="宋体" w:eastAsia="宋体" w:cs="宋体"/>
          <w:color w:val="auto"/>
          <w:sz w:val="24"/>
          <w:highlight w:val="none"/>
          <w:lang w:eastAsia="zh-CN"/>
        </w:rPr>
        <w:t>。</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8、疗休养不提供酒类。</w:t>
      </w:r>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）行程</w:t>
      </w:r>
      <w:r>
        <w:rPr>
          <w:rFonts w:hint="eastAsia" w:ascii="宋体" w:hAnsi="宋体" w:eastAsia="宋体" w:cs="宋体"/>
          <w:b/>
          <w:bCs/>
          <w:color w:val="auto"/>
          <w:sz w:val="24"/>
          <w:highlight w:val="none"/>
          <w:lang w:eastAsia="zh-CN"/>
        </w:rPr>
        <w:t>要求</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rPr>
        <w:t>疗休养总体安排一地多点，坚持以疗休养为出行主题，内容包括身心疗养、参观学习、职工交流、乡村体验等。行程安排要求符合疗休养特色主题，在确保安全的前提下力求做到动静结合，贴近需求。坚持身心健康一体化理念，健康管理与疗休养结合。行程安排及线路可根据天气等实际情况调整。</w:t>
      </w:r>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住宿</w:t>
      </w:r>
      <w:r>
        <w:rPr>
          <w:rFonts w:hint="eastAsia" w:ascii="宋体" w:hAnsi="宋体" w:eastAsia="宋体" w:cs="宋体"/>
          <w:color w:val="auto"/>
          <w:sz w:val="24"/>
          <w:highlight w:val="none"/>
        </w:rPr>
        <w:t>：双人标间必须为五星级或同等级别宾馆、单人单间必须为四星级或同等级别宾馆（每条线路的行程方案中需注明宾馆具体名称，也可以同时标注几家宾馆供选择）。行程中按照约定住宿酒店入住，不得发生分酒店入住或另选其他酒店现象。</w:t>
      </w:r>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餐标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每条路线</w:t>
      </w:r>
      <w:r>
        <w:rPr>
          <w:rFonts w:hint="eastAsia" w:ascii="宋体" w:hAnsi="宋体" w:eastAsia="宋体" w:cs="宋体"/>
          <w:color w:val="auto"/>
          <w:sz w:val="24"/>
          <w:highlight w:val="none"/>
        </w:rPr>
        <w:t>每天餐费不低于</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0元（不含早餐，每条线路的行程方案中需注明餐厅及参考菜单）。早、中、晚餐为桌餐或自助餐形式。</w:t>
      </w:r>
      <w:r>
        <w:rPr>
          <w:rFonts w:hint="eastAsia" w:ascii="宋体" w:hAnsi="宋体" w:cs="宋体"/>
          <w:color w:val="auto"/>
          <w:sz w:val="24"/>
          <w:highlight w:val="none"/>
          <w:lang w:val="en-US" w:eastAsia="zh-CN"/>
        </w:rPr>
        <w:t>每天中餐安排酒店自助早餐（包含在住宿酒店费里），</w:t>
      </w:r>
      <w:r>
        <w:rPr>
          <w:rFonts w:hint="eastAsia" w:ascii="宋体" w:hAnsi="宋体" w:eastAsia="宋体" w:cs="宋体"/>
          <w:color w:val="auto"/>
          <w:sz w:val="24"/>
          <w:highlight w:val="none"/>
        </w:rPr>
        <w:t>每天两正餐（午餐和晚餐），每天两正餐按行程要求为最低标准，提高标准不限，食物要求新鲜、安全。要求每批次每餐菜品多样，不雷同。餐厅交通便利，环境较好。</w:t>
      </w:r>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交通：</w:t>
      </w:r>
      <w:r>
        <w:rPr>
          <w:rFonts w:hint="eastAsia" w:ascii="宋体" w:hAnsi="宋体" w:eastAsia="宋体" w:cs="宋体"/>
          <w:color w:val="auto"/>
          <w:sz w:val="24"/>
          <w:highlight w:val="none"/>
        </w:rPr>
        <w:t>空调大巴往返。含当地用车、杭州指定地点到疗养地点接送、景区交通等。</w:t>
      </w:r>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用车：</w:t>
      </w:r>
      <w:r>
        <w:rPr>
          <w:rFonts w:hint="eastAsia" w:ascii="宋体" w:hAnsi="宋体" w:eastAsia="宋体" w:cs="宋体"/>
          <w:color w:val="auto"/>
          <w:sz w:val="24"/>
          <w:highlight w:val="none"/>
        </w:rPr>
        <w:t>提供承载车辆提供方资质证明。车辆使用年限不超过3年且不超过10万公里，车辆投保险别必须包含但不限于：交强险、第三者责任险以及每座不低于保额100万的车上人员责任险。确保一人一座，全程有空调。要求车况好，车位充足，空调效果好，司机服务态度好、技术好，确保行程安全。投标人为每辆车的疗休养人员配备至少1名</w:t>
      </w:r>
      <w:r>
        <w:rPr>
          <w:rFonts w:hint="eastAsia" w:ascii="宋体" w:hAnsi="宋体" w:eastAsia="宋体" w:cs="宋体"/>
          <w:color w:val="auto"/>
          <w:sz w:val="24"/>
          <w:highlight w:val="none"/>
          <w:lang w:eastAsia="zh-CN"/>
        </w:rPr>
        <w:t>招标人的专职</w:t>
      </w:r>
      <w:r>
        <w:rPr>
          <w:rFonts w:hint="eastAsia" w:ascii="宋体" w:hAnsi="宋体" w:eastAsia="宋体" w:cs="宋体"/>
          <w:color w:val="auto"/>
          <w:sz w:val="24"/>
          <w:highlight w:val="none"/>
        </w:rPr>
        <w:t>导游人员。</w:t>
      </w:r>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门票：</w:t>
      </w:r>
      <w:r>
        <w:rPr>
          <w:rFonts w:hint="eastAsia" w:ascii="宋体" w:hAnsi="宋体" w:eastAsia="宋体" w:cs="宋体"/>
          <w:color w:val="auto"/>
          <w:sz w:val="24"/>
          <w:highlight w:val="none"/>
        </w:rPr>
        <w:t>包含全程门票（包括必去的小门票），出行人员无自理费用。</w:t>
      </w:r>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导游：</w:t>
      </w:r>
      <w:r>
        <w:rPr>
          <w:rFonts w:hint="eastAsia" w:ascii="宋体" w:hAnsi="宋体" w:eastAsia="宋体" w:cs="宋体"/>
          <w:color w:val="auto"/>
          <w:sz w:val="24"/>
          <w:highlight w:val="none"/>
        </w:rPr>
        <w:t>全程陪同及当地优秀资质公司的专业导游讲解服务，不另行收取导游讲解费。</w:t>
      </w:r>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保险：</w:t>
      </w:r>
      <w:r>
        <w:rPr>
          <w:rFonts w:hint="eastAsia" w:ascii="宋体" w:hAnsi="宋体" w:eastAsia="宋体" w:cs="宋体"/>
          <w:color w:val="auto"/>
          <w:sz w:val="24"/>
          <w:highlight w:val="none"/>
        </w:rPr>
        <w:t>必须购买旅行社责任险、旅游意外伤害险，不低于保额100万元/人。</w:t>
      </w:r>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购物及加点：</w:t>
      </w:r>
      <w:r>
        <w:rPr>
          <w:rFonts w:hint="eastAsia" w:ascii="宋体" w:hAnsi="宋体" w:eastAsia="宋体" w:cs="宋体"/>
          <w:color w:val="auto"/>
          <w:sz w:val="24"/>
          <w:highlight w:val="none"/>
        </w:rPr>
        <w:t>不得安排购物及加点活动。</w:t>
      </w:r>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领队：</w:t>
      </w:r>
      <w:r>
        <w:rPr>
          <w:rFonts w:hint="eastAsia" w:ascii="宋体" w:hAnsi="宋体" w:cs="宋体"/>
          <w:color w:val="auto"/>
          <w:sz w:val="24"/>
          <w:highlight w:val="none"/>
          <w:lang w:val="en-US" w:eastAsia="zh-CN"/>
        </w:rPr>
        <w:t>每条路线</w:t>
      </w:r>
      <w:r>
        <w:rPr>
          <w:rFonts w:hint="eastAsia" w:ascii="宋体" w:hAnsi="宋体" w:eastAsia="宋体" w:cs="宋体"/>
          <w:color w:val="auto"/>
          <w:sz w:val="24"/>
          <w:highlight w:val="none"/>
        </w:rPr>
        <w:t>疗休养</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以上</w:t>
      </w:r>
      <w:r>
        <w:rPr>
          <w:rFonts w:hint="eastAsia" w:ascii="宋体" w:hAnsi="宋体" w:eastAsia="宋体" w:cs="宋体"/>
          <w:color w:val="auto"/>
          <w:sz w:val="24"/>
          <w:highlight w:val="none"/>
          <w:lang w:val="en-US" w:eastAsia="zh-CN"/>
        </w:rPr>
        <w:t>须</w:t>
      </w:r>
      <w:r>
        <w:rPr>
          <w:rFonts w:hint="eastAsia" w:ascii="宋体" w:hAnsi="宋体" w:eastAsia="宋体" w:cs="宋体"/>
          <w:color w:val="auto"/>
          <w:sz w:val="24"/>
          <w:highlight w:val="none"/>
        </w:rPr>
        <w:t>配备领队1名，领队负责服务对接工作，交通和食宿费用由旅行社承担。</w:t>
      </w:r>
    </w:p>
    <w:p>
      <w:pPr>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投标人根据</w:t>
      </w:r>
      <w:r>
        <w:rPr>
          <w:rFonts w:hint="eastAsia" w:ascii="宋体" w:hAnsi="宋体" w:cs="宋体"/>
          <w:b/>
          <w:bCs/>
          <w:color w:val="auto"/>
          <w:sz w:val="24"/>
          <w:highlight w:val="none"/>
          <w:lang w:val="en-US" w:eastAsia="zh-CN"/>
        </w:rPr>
        <w:t>各</w:t>
      </w:r>
      <w:r>
        <w:rPr>
          <w:rFonts w:hint="eastAsia" w:ascii="宋体" w:hAnsi="宋体" w:eastAsia="宋体" w:cs="宋体"/>
          <w:b/>
          <w:bCs/>
          <w:color w:val="auto"/>
          <w:sz w:val="24"/>
          <w:highlight w:val="none"/>
          <w:lang w:eastAsia="zh-CN"/>
        </w:rPr>
        <w:t>疗休养</w:t>
      </w:r>
      <w:r>
        <w:rPr>
          <w:rFonts w:hint="eastAsia" w:ascii="宋体" w:hAnsi="宋体" w:eastAsia="宋体" w:cs="宋体"/>
          <w:b/>
          <w:bCs/>
          <w:color w:val="auto"/>
          <w:sz w:val="24"/>
          <w:highlight w:val="none"/>
        </w:rPr>
        <w:t>线路要求及费用标准逐个编写出行方案，作为本项目技术评审依据</w:t>
      </w:r>
      <w:r>
        <w:rPr>
          <w:rFonts w:hint="eastAsia" w:ascii="宋体" w:hAnsi="宋体" w:eastAsia="宋体" w:cs="宋体"/>
          <w:b/>
          <w:bCs/>
          <w:color w:val="auto"/>
          <w:sz w:val="24"/>
          <w:highlight w:val="none"/>
          <w:lang w:eastAsia="zh-CN"/>
        </w:rPr>
        <w:t>。</w:t>
      </w:r>
      <w:bookmarkEnd w:id="80"/>
      <w:bookmarkEnd w:id="81"/>
      <w:bookmarkEnd w:id="82"/>
      <w:bookmarkEnd w:id="83"/>
      <w:bookmarkEnd w:id="84"/>
      <w:bookmarkEnd w:id="85"/>
      <w:bookmarkEnd w:id="86"/>
      <w:bookmarkStart w:id="88" w:name="_Toc357638480"/>
      <w:bookmarkStart w:id="89" w:name="_Toc474758540"/>
      <w:bookmarkStart w:id="90" w:name="_Toc357694114"/>
      <w:bookmarkStart w:id="91" w:name="_Toc357638605"/>
      <w:bookmarkStart w:id="92" w:name="_Toc358469043"/>
      <w:bookmarkStart w:id="93" w:name="_Toc9869"/>
      <w:bookmarkStart w:id="94" w:name="_Toc362621344"/>
      <w:bookmarkStart w:id="95" w:name="_Toc358199243"/>
      <w:r>
        <w:rPr>
          <w:rFonts w:hint="eastAsia" w:ascii="宋体" w:hAnsi="宋体" w:cs="宋体"/>
          <w:b/>
          <w:bCs/>
          <w:color w:val="auto"/>
          <w:sz w:val="24"/>
          <w:highlight w:val="none"/>
          <w:lang w:val="en-US" w:eastAsia="zh-CN"/>
        </w:rPr>
        <w:t>各路线</w:t>
      </w:r>
      <w:r>
        <w:rPr>
          <w:rFonts w:hint="eastAsia" w:ascii="宋体" w:hAnsi="宋体" w:eastAsia="宋体" w:cs="宋体"/>
          <w:b/>
          <w:bCs/>
          <w:color w:val="auto"/>
          <w:sz w:val="24"/>
          <w:highlight w:val="none"/>
          <w:lang w:val="en-US" w:eastAsia="zh-CN"/>
        </w:rPr>
        <w:t>所示目的地为出行方案中必须到达的地点，行程可适当发散，涉及周边区域。</w:t>
      </w:r>
    </w:p>
    <w:bookmarkEnd w:id="87"/>
    <w:bookmarkEnd w:id="88"/>
    <w:bookmarkEnd w:id="89"/>
    <w:bookmarkEnd w:id="90"/>
    <w:bookmarkEnd w:id="91"/>
    <w:bookmarkEnd w:id="92"/>
    <w:bookmarkEnd w:id="93"/>
    <w:bookmarkEnd w:id="94"/>
    <w:bookmarkEnd w:id="95"/>
    <w:p>
      <w:pPr>
        <w:pStyle w:val="4"/>
        <w:pageBreakBefore w:val="0"/>
        <w:widowControl w:val="0"/>
        <w:numPr>
          <w:ilvl w:val="0"/>
          <w:numId w:val="0"/>
        </w:numPr>
        <w:kinsoku/>
        <w:wordWrap/>
        <w:overflowPunct/>
        <w:topLinePunct w:val="0"/>
        <w:autoSpaceDE/>
        <w:autoSpaceDN/>
        <w:bidi w:val="0"/>
        <w:snapToGrid w:val="0"/>
        <w:spacing w:before="0" w:after="0" w:line="480" w:lineRule="exact"/>
        <w:textAlignment w:val="auto"/>
        <w:rPr>
          <w:rFonts w:hint="eastAsia" w:ascii="宋体" w:hAnsi="宋体" w:eastAsia="宋体" w:cs="宋体"/>
          <w:snapToGrid w:val="0"/>
          <w:color w:val="auto"/>
          <w:kern w:val="0"/>
          <w:sz w:val="24"/>
          <w:szCs w:val="24"/>
          <w:highlight w:val="none"/>
        </w:rPr>
      </w:pPr>
      <w:bookmarkStart w:id="96" w:name="_Toc357411861"/>
      <w:bookmarkStart w:id="97" w:name="_Toc358469044"/>
      <w:bookmarkStart w:id="98" w:name="_Toc357638606"/>
      <w:bookmarkStart w:id="99" w:name="_Toc357694115"/>
      <w:bookmarkStart w:id="100" w:name="_Toc358199244"/>
      <w:bookmarkStart w:id="101" w:name="_Toc362621345"/>
      <w:bookmarkStart w:id="102" w:name="_Toc357638481"/>
      <w:bookmarkStart w:id="103" w:name="_Toc474758541"/>
      <w:bookmarkStart w:id="104" w:name="_Toc564"/>
      <w:r>
        <w:rPr>
          <w:rFonts w:hint="eastAsia" w:ascii="宋体" w:hAnsi="宋体" w:eastAsia="宋体" w:cs="宋体"/>
          <w:snapToGrid w:val="0"/>
          <w:color w:val="auto"/>
          <w:kern w:val="0"/>
          <w:sz w:val="24"/>
          <w:szCs w:val="24"/>
          <w:highlight w:val="none"/>
          <w:lang w:val="en-US" w:eastAsia="zh-CN"/>
        </w:rPr>
        <w:t>四</w:t>
      </w:r>
      <w:r>
        <w:rPr>
          <w:rFonts w:hint="eastAsia" w:ascii="宋体" w:hAnsi="宋体" w:eastAsia="宋体" w:cs="宋体"/>
          <w:snapToGrid w:val="0"/>
          <w:color w:val="auto"/>
          <w:kern w:val="0"/>
          <w:sz w:val="24"/>
          <w:szCs w:val="24"/>
          <w:highlight w:val="none"/>
        </w:rPr>
        <w:t>、</w:t>
      </w:r>
      <w:bookmarkEnd w:id="96"/>
      <w:bookmarkEnd w:id="97"/>
      <w:bookmarkEnd w:id="98"/>
      <w:bookmarkEnd w:id="99"/>
      <w:bookmarkEnd w:id="100"/>
      <w:bookmarkEnd w:id="101"/>
      <w:bookmarkEnd w:id="102"/>
      <w:bookmarkEnd w:id="103"/>
      <w:r>
        <w:rPr>
          <w:rFonts w:hint="eastAsia" w:ascii="宋体" w:hAnsi="宋体" w:eastAsia="宋体" w:cs="宋体"/>
          <w:snapToGrid w:val="0"/>
          <w:color w:val="auto"/>
          <w:kern w:val="0"/>
          <w:sz w:val="24"/>
          <w:szCs w:val="24"/>
          <w:highlight w:val="none"/>
        </w:rPr>
        <w:t>商务要求</w:t>
      </w:r>
      <w:bookmarkEnd w:id="104"/>
    </w:p>
    <w:p>
      <w:pPr>
        <w:pageBreakBefore w:val="0"/>
        <w:widowControl w:val="0"/>
        <w:tabs>
          <w:tab w:val="left" w:pos="0"/>
        </w:tabs>
        <w:kinsoku/>
        <w:wordWrap/>
        <w:overflowPunct/>
        <w:topLinePunct w:val="0"/>
        <w:autoSpaceDE/>
        <w:autoSpaceDN/>
        <w:bidi w:val="0"/>
        <w:adjustRightInd w:val="0"/>
        <w:snapToGrid w:val="0"/>
        <w:spacing w:line="480" w:lineRule="exact"/>
        <w:ind w:left="239" w:leftChars="114"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1、付款方式</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项目合同签订后</w:t>
      </w:r>
      <w:r>
        <w:rPr>
          <w:rFonts w:hint="eastAsia" w:ascii="宋体" w:hAnsi="宋体" w:eastAsia="宋体" w:cs="宋体"/>
          <w:snapToGrid w:val="0"/>
          <w:color w:val="auto"/>
          <w:kern w:val="0"/>
          <w:sz w:val="24"/>
          <w:highlight w:val="none"/>
          <w:lang w:eastAsia="zh-CN"/>
        </w:rPr>
        <w:t>，疗休养结束，无质量、服务问题</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无参团人员投诉</w:t>
      </w:r>
      <w:r>
        <w:rPr>
          <w:rFonts w:hint="eastAsia" w:ascii="宋体" w:hAnsi="宋体" w:eastAsia="宋体" w:cs="宋体"/>
          <w:snapToGrid w:val="0"/>
          <w:color w:val="auto"/>
          <w:kern w:val="0"/>
          <w:sz w:val="24"/>
          <w:highlight w:val="none"/>
          <w:lang w:eastAsia="zh-CN"/>
        </w:rPr>
        <w:t>，根据实际参团人数，按实结算。</w:t>
      </w:r>
      <w:r>
        <w:rPr>
          <w:rFonts w:hint="eastAsia" w:ascii="宋体" w:hAnsi="宋体" w:eastAsia="宋体" w:cs="宋体"/>
          <w:snapToGrid w:val="0"/>
          <w:color w:val="auto"/>
          <w:kern w:val="0"/>
          <w:sz w:val="24"/>
          <w:highlight w:val="none"/>
          <w:lang w:val="en-US" w:eastAsia="zh-CN"/>
        </w:rPr>
        <w:t>中标人须</w:t>
      </w:r>
      <w:r>
        <w:rPr>
          <w:rFonts w:hint="eastAsia" w:ascii="宋体" w:hAnsi="宋体" w:eastAsia="宋体" w:cs="宋体"/>
          <w:snapToGrid w:val="0"/>
          <w:color w:val="auto"/>
          <w:kern w:val="0"/>
          <w:sz w:val="24"/>
          <w:highlight w:val="none"/>
        </w:rPr>
        <w:t>开具正式发票（内容为休养费用，发票保证</w:t>
      </w:r>
      <w:r>
        <w:rPr>
          <w:rFonts w:hint="eastAsia" w:ascii="宋体" w:hAnsi="宋体" w:eastAsia="宋体" w:cs="宋体"/>
          <w:color w:val="auto"/>
          <w:sz w:val="24"/>
          <w:highlight w:val="none"/>
        </w:rPr>
        <w:t>出行单位</w:t>
      </w:r>
      <w:r>
        <w:rPr>
          <w:rFonts w:hint="eastAsia" w:ascii="宋体" w:hAnsi="宋体" w:eastAsia="宋体" w:cs="宋体"/>
          <w:snapToGrid w:val="0"/>
          <w:color w:val="auto"/>
          <w:kern w:val="0"/>
          <w:sz w:val="24"/>
          <w:highlight w:val="none"/>
        </w:rPr>
        <w:t>能够报销和支付）</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采购人</w:t>
      </w:r>
      <w:r>
        <w:rPr>
          <w:rFonts w:hint="eastAsia" w:ascii="宋体" w:hAnsi="宋体" w:eastAsia="宋体" w:cs="宋体"/>
          <w:snapToGrid w:val="0"/>
          <w:color w:val="auto"/>
          <w:kern w:val="0"/>
          <w:sz w:val="24"/>
          <w:highlight w:val="none"/>
        </w:rPr>
        <w:t>在1个月内按</w:t>
      </w:r>
      <w:r>
        <w:rPr>
          <w:rFonts w:hint="eastAsia" w:ascii="宋体" w:hAnsi="宋体" w:cs="宋体"/>
          <w:snapToGrid w:val="0"/>
          <w:color w:val="auto"/>
          <w:kern w:val="0"/>
          <w:sz w:val="24"/>
          <w:highlight w:val="none"/>
          <w:lang w:val="en-US" w:eastAsia="zh-CN"/>
        </w:rPr>
        <w:t>实</w:t>
      </w:r>
      <w:r>
        <w:rPr>
          <w:rFonts w:hint="eastAsia" w:ascii="宋体" w:hAnsi="宋体" w:eastAsia="宋体" w:cs="宋体"/>
          <w:snapToGrid w:val="0"/>
          <w:color w:val="auto"/>
          <w:kern w:val="0"/>
          <w:sz w:val="24"/>
          <w:highlight w:val="none"/>
        </w:rPr>
        <w:t>结算合同款项。</w:t>
      </w:r>
    </w:p>
    <w:p>
      <w:pPr>
        <w:pageBreakBefore w:val="0"/>
        <w:widowControl w:val="0"/>
        <w:tabs>
          <w:tab w:val="left" w:pos="0"/>
        </w:tabs>
        <w:kinsoku/>
        <w:wordWrap/>
        <w:overflowPunct/>
        <w:topLinePunct w:val="0"/>
        <w:autoSpaceDE/>
        <w:autoSpaceDN/>
        <w:bidi w:val="0"/>
        <w:adjustRightInd w:val="0"/>
        <w:snapToGrid w:val="0"/>
        <w:spacing w:line="480" w:lineRule="exact"/>
        <w:ind w:left="239" w:leftChars="114" w:firstLine="240" w:firstLineChars="1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其他</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80" w:lineRule="exact"/>
        <w:ind w:leftChars="0" w:firstLine="480" w:firstLineChars="200"/>
        <w:textAlignment w:val="auto"/>
        <w:rPr>
          <w:rFonts w:asciiTheme="majorEastAsia" w:hAnsiTheme="majorEastAsia" w:eastAsiaTheme="majorEastAsia"/>
          <w:highlight w:val="none"/>
        </w:rPr>
      </w:pPr>
      <w:r>
        <w:rPr>
          <w:rFonts w:hint="eastAsia" w:ascii="宋体" w:hAnsi="宋体" w:eastAsia="宋体" w:cs="宋体"/>
          <w:snapToGrid w:val="0"/>
          <w:color w:val="auto"/>
          <w:kern w:val="0"/>
          <w:sz w:val="24"/>
          <w:highlight w:val="none"/>
          <w:lang w:val="en-US" w:eastAsia="zh-CN"/>
        </w:rPr>
        <w:t>其他要求及违约责任详见合同条款</w:t>
      </w:r>
      <w:r>
        <w:rPr>
          <w:rFonts w:hint="eastAsia" w:ascii="宋体" w:hAnsi="宋体" w:cs="宋体"/>
          <w:snapToGrid w:val="0"/>
          <w:color w:val="auto"/>
          <w:kern w:val="0"/>
          <w:sz w:val="24"/>
          <w:highlight w:val="none"/>
          <w:lang w:val="en-US" w:eastAsia="zh-CN"/>
        </w:rPr>
        <w:t>。</w:t>
      </w:r>
    </w:p>
    <w:p>
      <w:pPr>
        <w:spacing w:line="360" w:lineRule="auto"/>
        <w:rPr>
          <w:rFonts w:ascii="仿宋" w:hAnsi="仿宋" w:eastAsia="仿宋"/>
          <w:sz w:val="28"/>
          <w:szCs w:val="28"/>
          <w:highlight w:val="none"/>
        </w:rPr>
      </w:pPr>
    </w:p>
    <w:p>
      <w:pPr>
        <w:spacing w:line="360" w:lineRule="auto"/>
        <w:rPr>
          <w:rFonts w:ascii="仿宋" w:hAnsi="仿宋" w:eastAsia="仿宋"/>
          <w:highlight w:val="none"/>
        </w:rPr>
      </w:pPr>
    </w:p>
    <w:bookmarkEnd w:id="76"/>
    <w:p>
      <w:pPr>
        <w:pageBreakBefore/>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105" w:name="第四部分"/>
      <w:r>
        <w:rPr>
          <w:rFonts w:hint="eastAsia" w:cs="仿宋_GB2312" w:asciiTheme="minorEastAsia" w:hAnsiTheme="minorEastAsia" w:eastAsiaTheme="minorEastAsia"/>
          <w:b/>
          <w:sz w:val="36"/>
          <w:szCs w:val="36"/>
        </w:rPr>
        <w:t>评审方法及评审标准</w:t>
      </w:r>
    </w:p>
    <w:p>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0"/>
        <w:tblpPr w:leftFromText="180" w:rightFromText="180" w:vertAnchor="text" w:horzAnchor="page" w:tblpXSpec="center" w:tblpY="126"/>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97"/>
        <w:gridCol w:w="6093"/>
        <w:gridCol w:w="809"/>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736"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697"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名称</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权重</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分值属性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36" w:type="dxa"/>
            <w:vMerge w:val="restart"/>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技术和服务方案</w:t>
            </w:r>
          </w:p>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项目理解</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根据投标人对本项目整体理解，重难点问题分析，针对性解决措施等，</w:t>
            </w:r>
            <w:r>
              <w:rPr>
                <w:rFonts w:hint="eastAsia" w:ascii="宋体" w:hAnsi="宋体" w:eastAsia="宋体" w:cs="宋体"/>
                <w:color w:val="auto"/>
                <w:sz w:val="21"/>
                <w:szCs w:val="21"/>
                <w:highlight w:val="none"/>
                <w:lang w:val="zh-CN"/>
              </w:rPr>
              <w:t>由评标委员会横向比较进行评分。（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restart"/>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疗休养策划方案</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1、吃、住、行、游策划方案内容全面完整，由评标委员会横向比较进行评分。（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CN" w:eastAsia="zh-CN"/>
              </w:rPr>
            </w:pP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2、住宿：依据投标文件中针对提供的酒店等方面横向比较酌情评分。（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CN" w:eastAsia="zh-CN"/>
              </w:rPr>
            </w:pP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3、交通安全：依据投标文件中针对提供的车辆等方面横向比较酌情评分。（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CN" w:eastAsia="zh-CN"/>
              </w:rPr>
            </w:pP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4、用餐安排：根据投标文件中针对提供的餐厅横向比较酌情评分。（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restart"/>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服务实施计划</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1、工作程序和步骤、管理和协调方法、服务保障思路、关键步骤和要点是否条理清晰、详细完整，横向比较酌情评分。（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2、安全管理（安全事故相关预案）的陈述是否到位，由评标委员会横向比较酌情评分。（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3、加强服务保障的相关措施，由评标委员会横向比较酌情评分。（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restart"/>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项目投入人员素质情况</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1、项目负责人的专业素质、技术能力、经验等情况，是否具有类似项目经验，是否具有调动各项资源的能力；由评标委员会横向比较酌情评分。（</w:t>
            </w:r>
            <w:r>
              <w:rPr>
                <w:rFonts w:hint="eastAsia" w:ascii="宋体" w:hAnsi="宋体" w:eastAsia="宋体" w:cs="宋体"/>
                <w:color w:val="auto"/>
                <w:sz w:val="21"/>
                <w:szCs w:val="21"/>
                <w:highlight w:val="none"/>
                <w:lang w:val="en-US" w:eastAsia="zh-CN"/>
              </w:rPr>
              <w:t>评分范围：3,2,1,0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2、项目组实施人员专业人员素质、技术能力、类似项目经验等情况，数量是否充足，是否具有类似工作经项目经验；由评标委员会横向比较酌情评分。（</w:t>
            </w:r>
            <w:r>
              <w:rPr>
                <w:rFonts w:hint="eastAsia" w:ascii="宋体" w:hAnsi="宋体" w:eastAsia="宋体" w:cs="宋体"/>
                <w:color w:val="auto"/>
                <w:sz w:val="21"/>
                <w:szCs w:val="21"/>
                <w:highlight w:val="none"/>
                <w:lang w:val="en-US" w:eastAsia="zh-CN"/>
              </w:rPr>
              <w:t>评分范围：3,2,1,0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widowControl w:val="0"/>
              <w:tabs>
                <w:tab w:val="left" w:pos="360"/>
              </w:tabs>
              <w:kinsoku/>
              <w:wordWrap/>
              <w:overflowPunct/>
              <w:topLinePunct w:val="0"/>
              <w:autoSpaceDE/>
              <w:autoSpaceDN/>
              <w:bidi w:val="0"/>
              <w:adjustRightInd w:val="0"/>
              <w:snapToGrid w:val="0"/>
              <w:spacing w:line="3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restart"/>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服务承诺及保险</w:t>
            </w:r>
          </w:p>
        </w:tc>
        <w:tc>
          <w:tcPr>
            <w:tcW w:w="6093" w:type="dxa"/>
            <w:noWrap/>
            <w:vAlign w:val="center"/>
          </w:tcPr>
          <w:p>
            <w:pPr>
              <w:widowControl/>
              <w:snapToGrid w:val="0"/>
              <w:spacing w:line="240" w:lineRule="auto"/>
              <w:jc w:val="left"/>
              <w:textAlignment w:val="center"/>
              <w:rPr>
                <w:rFonts w:hint="eastAsia" w:ascii="宋体" w:hAnsi="宋体" w:eastAsia="宋体" w:cs="宋体"/>
                <w:color w:val="000000"/>
                <w:kern w:val="0"/>
                <w:sz w:val="21"/>
                <w:szCs w:val="21"/>
                <w:highlight w:val="none"/>
                <w:u w:val="none"/>
                <w:lang w:eastAsia="zh-CN" w:bidi="ar"/>
              </w:rPr>
            </w:pPr>
            <w:r>
              <w:rPr>
                <w:rFonts w:hint="eastAsia" w:ascii="宋体" w:hAnsi="宋体" w:cs="宋体"/>
                <w:color w:val="000000"/>
                <w:kern w:val="0"/>
                <w:sz w:val="21"/>
                <w:szCs w:val="21"/>
                <w:highlight w:val="none"/>
                <w:u w:val="none"/>
                <w:lang w:val="en-US" w:eastAsia="zh-CN" w:bidi="ar"/>
              </w:rPr>
              <w:t>1、</w:t>
            </w:r>
            <w:r>
              <w:rPr>
                <w:rFonts w:hint="eastAsia" w:ascii="宋体" w:hAnsi="宋体" w:eastAsia="宋体" w:cs="宋体"/>
                <w:color w:val="000000"/>
                <w:kern w:val="0"/>
                <w:sz w:val="21"/>
                <w:szCs w:val="21"/>
                <w:highlight w:val="none"/>
                <w:u w:val="none"/>
                <w:lang w:bidi="ar"/>
              </w:rPr>
              <w:t>投标人的旅行社责任保险保额达到200万（含）以上的得</w:t>
            </w:r>
            <w:r>
              <w:rPr>
                <w:rFonts w:hint="eastAsia" w:ascii="宋体" w:hAnsi="宋体" w:eastAsia="宋体" w:cs="宋体"/>
                <w:color w:val="000000"/>
                <w:kern w:val="0"/>
                <w:sz w:val="21"/>
                <w:szCs w:val="21"/>
                <w:highlight w:val="none"/>
                <w:u w:val="none"/>
                <w:lang w:val="en-US" w:eastAsia="zh-CN" w:bidi="ar"/>
              </w:rPr>
              <w:t>4</w:t>
            </w:r>
            <w:r>
              <w:rPr>
                <w:rFonts w:hint="eastAsia" w:ascii="宋体" w:hAnsi="宋体" w:eastAsia="宋体" w:cs="宋体"/>
                <w:color w:val="000000"/>
                <w:kern w:val="0"/>
                <w:sz w:val="21"/>
                <w:szCs w:val="21"/>
                <w:highlight w:val="none"/>
                <w:u w:val="none"/>
                <w:lang w:bidi="ar"/>
              </w:rPr>
              <w:t>分；200万（不含）以下100万（含）以上的得2分；100万（不含）以下的不得分。</w:t>
            </w:r>
          </w:p>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b/>
                <w:bCs/>
                <w:color w:val="000000"/>
                <w:kern w:val="0"/>
                <w:sz w:val="21"/>
                <w:szCs w:val="21"/>
                <w:highlight w:val="none"/>
                <w:u w:val="none"/>
                <w:lang w:bidi="ar"/>
              </w:rPr>
              <w:t>（投标文件中需提供有效期内的保单扫描件或复印件，并加盖投标人公章，否则不得分。）</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p>
        </w:tc>
        <w:tc>
          <w:tcPr>
            <w:tcW w:w="6093" w:type="dxa"/>
            <w:noWrap/>
            <w:vAlign w:val="center"/>
          </w:tcPr>
          <w:p>
            <w:pPr>
              <w:widowControl/>
              <w:snapToGrid w:val="0"/>
              <w:spacing w:line="240" w:lineRule="auto"/>
              <w:jc w:val="left"/>
              <w:textAlignment w:val="center"/>
              <w:rPr>
                <w:rStyle w:val="633"/>
                <w:rFonts w:hint="eastAsia" w:ascii="宋体" w:hAnsi="宋体" w:eastAsia="宋体" w:cs="宋体"/>
                <w:color w:val="000000"/>
                <w:kern w:val="0"/>
                <w:sz w:val="21"/>
                <w:szCs w:val="21"/>
                <w:highlight w:val="none"/>
                <w:lang w:eastAsia="zh-CN" w:bidi="ar"/>
              </w:rPr>
            </w:pPr>
            <w:r>
              <w:rPr>
                <w:rStyle w:val="633"/>
                <w:rFonts w:hint="eastAsia" w:ascii="宋体" w:hAnsi="宋体" w:cs="宋体"/>
                <w:color w:val="000000"/>
                <w:kern w:val="0"/>
                <w:sz w:val="21"/>
                <w:szCs w:val="21"/>
                <w:highlight w:val="none"/>
                <w:lang w:val="en-US" w:eastAsia="zh-CN" w:bidi="ar"/>
              </w:rPr>
              <w:t>2、</w:t>
            </w:r>
            <w:r>
              <w:rPr>
                <w:rStyle w:val="633"/>
                <w:rFonts w:hint="eastAsia" w:ascii="宋体" w:hAnsi="宋体" w:eastAsia="宋体" w:cs="宋体"/>
                <w:color w:val="000000"/>
                <w:kern w:val="0"/>
                <w:sz w:val="21"/>
                <w:szCs w:val="21"/>
                <w:highlight w:val="none"/>
                <w:lang w:bidi="ar"/>
              </w:rPr>
              <w:t>投标人承诺个人旅游人身意外险（人身意外险包含意外险、突然性疾病、伤害医疗、突然性医疗等）保额达到150万元（含）以上的得</w:t>
            </w:r>
            <w:r>
              <w:rPr>
                <w:rStyle w:val="633"/>
                <w:rFonts w:hint="eastAsia" w:ascii="宋体" w:hAnsi="宋体" w:cs="宋体"/>
                <w:color w:val="000000"/>
                <w:kern w:val="0"/>
                <w:sz w:val="21"/>
                <w:szCs w:val="21"/>
                <w:highlight w:val="none"/>
                <w:lang w:val="en-US" w:eastAsia="zh-CN" w:bidi="ar"/>
              </w:rPr>
              <w:t>4</w:t>
            </w:r>
            <w:r>
              <w:rPr>
                <w:rStyle w:val="633"/>
                <w:rFonts w:hint="eastAsia" w:ascii="宋体" w:hAnsi="宋体" w:eastAsia="宋体" w:cs="宋体"/>
                <w:color w:val="000000"/>
                <w:kern w:val="0"/>
                <w:sz w:val="21"/>
                <w:szCs w:val="21"/>
                <w:highlight w:val="none"/>
                <w:lang w:bidi="ar"/>
              </w:rPr>
              <w:t>分；100万（含）以上150万（不含）以下的得</w:t>
            </w:r>
            <w:r>
              <w:rPr>
                <w:rStyle w:val="633"/>
                <w:rFonts w:hint="eastAsia" w:ascii="宋体" w:hAnsi="宋体" w:cs="宋体"/>
                <w:color w:val="000000"/>
                <w:kern w:val="0"/>
                <w:sz w:val="21"/>
                <w:szCs w:val="21"/>
                <w:highlight w:val="none"/>
                <w:lang w:val="en-US" w:eastAsia="zh-CN" w:bidi="ar"/>
              </w:rPr>
              <w:t>2</w:t>
            </w:r>
            <w:r>
              <w:rPr>
                <w:rStyle w:val="633"/>
                <w:rFonts w:hint="eastAsia" w:ascii="宋体" w:hAnsi="宋体" w:eastAsia="宋体" w:cs="宋体"/>
                <w:color w:val="000000"/>
                <w:kern w:val="0"/>
                <w:sz w:val="21"/>
                <w:szCs w:val="21"/>
                <w:highlight w:val="none"/>
                <w:lang w:bidi="ar"/>
              </w:rPr>
              <w:t>分；100万（不含）以下的不得分。</w:t>
            </w:r>
          </w:p>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b/>
                <w:bCs/>
                <w:color w:val="000000"/>
                <w:kern w:val="0"/>
                <w:sz w:val="21"/>
                <w:szCs w:val="21"/>
                <w:highlight w:val="none"/>
                <w:u w:val="none"/>
                <w:lang w:bidi="ar"/>
              </w:rPr>
              <w:t>（投标文件中需提供承诺函（格式自拟），并加盖投标人公章，否则不得分。）</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p>
        </w:tc>
        <w:tc>
          <w:tcPr>
            <w:tcW w:w="6093" w:type="dxa"/>
            <w:noWrap/>
            <w:vAlign w:val="center"/>
          </w:tcPr>
          <w:p>
            <w:pPr>
              <w:widowControl/>
              <w:snapToGrid w:val="0"/>
              <w:spacing w:line="240" w:lineRule="auto"/>
              <w:jc w:val="left"/>
              <w:textAlignment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投标人承诺小额赔款先行赔付</w:t>
            </w:r>
            <w:r>
              <w:rPr>
                <w:rFonts w:hint="eastAsia" w:ascii="宋体" w:hAnsi="宋体" w:eastAsia="宋体" w:cs="宋体"/>
                <w:color w:val="000000"/>
                <w:kern w:val="0"/>
                <w:sz w:val="21"/>
                <w:szCs w:val="21"/>
                <w:highlight w:val="none"/>
                <w:lang w:val="en-US" w:eastAsia="zh-CN"/>
              </w:rPr>
              <w:t>1000</w:t>
            </w:r>
            <w:r>
              <w:rPr>
                <w:rFonts w:hint="eastAsia" w:ascii="宋体" w:hAnsi="宋体" w:eastAsia="宋体" w:cs="宋体"/>
                <w:color w:val="000000"/>
                <w:kern w:val="0"/>
                <w:sz w:val="21"/>
                <w:szCs w:val="21"/>
                <w:highlight w:val="none"/>
              </w:rPr>
              <w:t>元（含）以上的得</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分，承诺小额赔款先行赔付</w:t>
            </w:r>
            <w:r>
              <w:rPr>
                <w:rFonts w:hint="eastAsia" w:ascii="宋体" w:hAnsi="宋体" w:eastAsia="宋体" w:cs="宋体"/>
                <w:color w:val="000000"/>
                <w:kern w:val="0"/>
                <w:sz w:val="21"/>
                <w:szCs w:val="21"/>
                <w:highlight w:val="none"/>
                <w:lang w:val="en-US" w:eastAsia="zh-CN"/>
              </w:rPr>
              <w:t>500</w:t>
            </w:r>
            <w:r>
              <w:rPr>
                <w:rFonts w:hint="eastAsia" w:ascii="宋体" w:hAnsi="宋体" w:eastAsia="宋体" w:cs="宋体"/>
                <w:color w:val="000000"/>
                <w:kern w:val="0"/>
                <w:sz w:val="21"/>
                <w:szCs w:val="21"/>
                <w:highlight w:val="none"/>
              </w:rPr>
              <w:t>（含）以上</w:t>
            </w:r>
            <w:r>
              <w:rPr>
                <w:rFonts w:hint="eastAsia" w:ascii="宋体" w:hAnsi="宋体" w:eastAsia="宋体" w:cs="宋体"/>
                <w:color w:val="000000"/>
                <w:kern w:val="0"/>
                <w:sz w:val="21"/>
                <w:szCs w:val="21"/>
                <w:highlight w:val="none"/>
                <w:lang w:val="en-US" w:eastAsia="zh-CN"/>
              </w:rPr>
              <w:t>1000</w:t>
            </w:r>
            <w:r>
              <w:rPr>
                <w:rFonts w:hint="eastAsia" w:ascii="宋体" w:hAnsi="宋体" w:eastAsia="宋体" w:cs="宋体"/>
                <w:color w:val="000000"/>
                <w:kern w:val="0"/>
                <w:sz w:val="21"/>
                <w:szCs w:val="21"/>
                <w:highlight w:val="none"/>
              </w:rPr>
              <w:t>元以下的得</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分，承诺小额赔款先行赔付</w:t>
            </w:r>
            <w:r>
              <w:rPr>
                <w:rFonts w:hint="eastAsia" w:ascii="宋体" w:hAnsi="宋体" w:eastAsia="宋体" w:cs="宋体"/>
                <w:color w:val="000000"/>
                <w:kern w:val="0"/>
                <w:sz w:val="21"/>
                <w:szCs w:val="21"/>
                <w:highlight w:val="none"/>
                <w:lang w:val="en-US" w:eastAsia="zh-CN"/>
              </w:rPr>
              <w:t>500</w:t>
            </w:r>
            <w:r>
              <w:rPr>
                <w:rFonts w:hint="eastAsia" w:ascii="宋体" w:hAnsi="宋体" w:eastAsia="宋体" w:cs="宋体"/>
                <w:color w:val="000000"/>
                <w:kern w:val="0"/>
                <w:sz w:val="21"/>
                <w:szCs w:val="21"/>
                <w:highlight w:val="none"/>
              </w:rPr>
              <w:t>元以下</w:t>
            </w:r>
            <w:r>
              <w:rPr>
                <w:rFonts w:hint="eastAsia" w:ascii="宋体" w:hAnsi="宋体" w:eastAsia="宋体" w:cs="宋体"/>
                <w:color w:val="000000"/>
                <w:kern w:val="0"/>
                <w:sz w:val="21"/>
                <w:szCs w:val="21"/>
                <w:highlight w:val="none"/>
                <w:lang w:val="en-US" w:eastAsia="zh-CN"/>
              </w:rPr>
              <w:t>不得分</w:t>
            </w:r>
            <w:r>
              <w:rPr>
                <w:rFonts w:hint="eastAsia" w:ascii="宋体" w:hAnsi="宋体" w:eastAsia="宋体" w:cs="宋体"/>
                <w:color w:val="000000"/>
                <w:kern w:val="0"/>
                <w:sz w:val="21"/>
                <w:szCs w:val="21"/>
                <w:highlight w:val="none"/>
              </w:rPr>
              <w:t>。</w:t>
            </w:r>
          </w:p>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b/>
                <w:bCs/>
                <w:color w:val="000000"/>
                <w:kern w:val="0"/>
                <w:sz w:val="21"/>
                <w:szCs w:val="21"/>
                <w:highlight w:val="none"/>
              </w:rPr>
              <w:t>（投标文件中需提供承诺函（格式自拟），并加盖投标人公章，否则不得分。）</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restart"/>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响应方案及投诉解决方案</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投标人针对本项目承诺收到采购人通知后30分钟（含）以内响应的得2分，30分钟（不含）以上时间响应的得1分，未承诺的不得分。</w:t>
            </w:r>
          </w:p>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（投标文件中需提供承诺书（格式自拟），并加盖投标人公章，否则不得分。）</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根据投标人提供的服务便捷性、响应方式方法、组织接待业务方案、投诉处理、纠纷处理方案。进行综合评定打分。（评分范围：5,4,3,2,1,0）</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后续服务计划及附加服务</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针对本次项目的后续服务计划；由评标委员会横向比较酌情评分。（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应急响应方案</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针对本项目的针对突发状况的应急响应方案（包含自然灾害</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社会事件及公共安全紧急事件等</w:t>
            </w:r>
            <w:r>
              <w:rPr>
                <w:rFonts w:hint="eastAsia" w:ascii="宋体" w:hAnsi="宋体" w:eastAsia="宋体" w:cs="宋体"/>
                <w:color w:val="auto"/>
                <w:sz w:val="21"/>
                <w:szCs w:val="21"/>
                <w:highlight w:val="none"/>
                <w:lang w:val="zh-CN"/>
              </w:rPr>
              <w:t>相关的应急响应方案）；由评标委员会横向比较酌情评分。（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增值服务</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投标人每提供一条切实可行的增值（特色）服务，得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6" w:type="dxa"/>
            <w:vMerge w:val="restart"/>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商务资信部分</w:t>
            </w:r>
          </w:p>
        </w:tc>
        <w:tc>
          <w:tcPr>
            <w:tcW w:w="1697"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lang w:val="zh-TW" w:eastAsia="zh-CN"/>
              </w:rPr>
              <w:t>投标人</w:t>
            </w:r>
            <w:r>
              <w:rPr>
                <w:rFonts w:hint="eastAsia" w:ascii="宋体" w:hAnsi="宋体" w:eastAsia="宋体" w:cs="宋体"/>
                <w:b/>
                <w:bCs/>
                <w:color w:val="auto"/>
                <w:sz w:val="21"/>
                <w:szCs w:val="21"/>
                <w:highlight w:val="none"/>
                <w:lang w:val="en-US" w:eastAsia="zh-CN"/>
              </w:rPr>
              <w:t>综合技术力量</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w:t>
            </w:r>
            <w:r>
              <w:rPr>
                <w:rFonts w:hint="eastAsia" w:ascii="宋体" w:hAnsi="宋体" w:eastAsia="宋体" w:cs="宋体"/>
                <w:color w:val="auto"/>
                <w:sz w:val="21"/>
                <w:szCs w:val="21"/>
                <w:highlight w:val="none"/>
                <w:lang w:val="en-US" w:eastAsia="zh-CN"/>
              </w:rPr>
              <w:t>诚信履约、获奖情况、承担风险的能力等情况</w:t>
            </w:r>
            <w:r>
              <w:rPr>
                <w:rFonts w:hint="eastAsia" w:ascii="宋体" w:hAnsi="宋体" w:eastAsia="宋体" w:cs="宋体"/>
                <w:color w:val="auto"/>
                <w:sz w:val="21"/>
                <w:szCs w:val="21"/>
                <w:highlight w:val="none"/>
                <w:lang w:val="zh-CN"/>
              </w:rPr>
              <w:t>，由评标委员会横向比较进行评分。（</w:t>
            </w:r>
            <w:r>
              <w:rPr>
                <w:rFonts w:hint="eastAsia" w:ascii="宋体" w:hAnsi="宋体" w:eastAsia="宋体" w:cs="宋体"/>
                <w:color w:val="auto"/>
                <w:sz w:val="21"/>
                <w:szCs w:val="21"/>
                <w:highlight w:val="none"/>
                <w:lang w:val="en-US" w:eastAsia="zh-CN"/>
              </w:rPr>
              <w:t>评分范围：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both"/>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投标人管理制度</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投标人管理制度的优劣及完善程度，由评标委员会横向比较进行评分。（</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val="zh-CN"/>
              </w:rPr>
              <w:t>）</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both"/>
              <w:textAlignment w:val="auto"/>
              <w:outlineLvl w:val="0"/>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val="zh-TW" w:eastAsia="zh-CN"/>
              </w:rPr>
              <w:t>投标人资质</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u w:val="none"/>
                <w:lang w:val="zh-CN" w:bidi="ar"/>
              </w:rPr>
              <w:t>投标人获得</w:t>
            </w:r>
            <w:r>
              <w:rPr>
                <w:rFonts w:hint="eastAsia" w:ascii="宋体" w:hAnsi="宋体" w:eastAsia="宋体" w:cs="宋体"/>
                <w:color w:val="auto"/>
                <w:kern w:val="2"/>
                <w:sz w:val="21"/>
                <w:szCs w:val="21"/>
                <w:highlight w:val="none"/>
                <w:u w:val="none"/>
                <w:lang w:val="zh-CN" w:eastAsia="zh-CN" w:bidi="ar"/>
              </w:rPr>
              <w:t>五</w:t>
            </w:r>
            <w:r>
              <w:rPr>
                <w:rFonts w:hint="eastAsia" w:ascii="宋体" w:hAnsi="宋体" w:eastAsia="宋体" w:cs="宋体"/>
                <w:color w:val="auto"/>
                <w:kern w:val="2"/>
                <w:sz w:val="21"/>
                <w:szCs w:val="21"/>
                <w:highlight w:val="none"/>
                <w:u w:val="none"/>
                <w:lang w:val="zh-CN" w:bidi="ar"/>
              </w:rPr>
              <w:t>星级及以上品质旅行社的得2分，</w:t>
            </w:r>
            <w:r>
              <w:rPr>
                <w:rFonts w:hint="eastAsia" w:ascii="宋体" w:hAnsi="宋体" w:eastAsia="宋体" w:cs="宋体"/>
                <w:color w:val="auto"/>
                <w:kern w:val="2"/>
                <w:sz w:val="21"/>
                <w:szCs w:val="21"/>
                <w:highlight w:val="none"/>
                <w:u w:val="none"/>
                <w:lang w:val="en-US" w:eastAsia="zh-CN" w:bidi="ar"/>
              </w:rPr>
              <w:t>四</w:t>
            </w:r>
            <w:r>
              <w:rPr>
                <w:rFonts w:hint="eastAsia" w:ascii="宋体" w:hAnsi="宋体" w:eastAsia="宋体" w:cs="宋体"/>
                <w:color w:val="auto"/>
                <w:kern w:val="2"/>
                <w:sz w:val="21"/>
                <w:szCs w:val="21"/>
                <w:highlight w:val="none"/>
                <w:u w:val="none"/>
                <w:lang w:val="zh-CN" w:bidi="ar"/>
              </w:rPr>
              <w:t>星级及品质旅行社的得</w:t>
            </w:r>
            <w:r>
              <w:rPr>
                <w:rFonts w:hint="eastAsia" w:ascii="宋体" w:hAnsi="宋体" w:eastAsia="宋体" w:cs="宋体"/>
                <w:color w:val="auto"/>
                <w:kern w:val="2"/>
                <w:sz w:val="21"/>
                <w:szCs w:val="21"/>
                <w:highlight w:val="none"/>
                <w:u w:val="none"/>
                <w:lang w:val="en-US" w:eastAsia="zh-CN" w:bidi="ar"/>
              </w:rPr>
              <w:t>1</w:t>
            </w:r>
            <w:r>
              <w:rPr>
                <w:rFonts w:hint="eastAsia" w:ascii="宋体" w:hAnsi="宋体" w:eastAsia="宋体" w:cs="宋体"/>
                <w:color w:val="auto"/>
                <w:kern w:val="2"/>
                <w:sz w:val="21"/>
                <w:szCs w:val="21"/>
                <w:highlight w:val="none"/>
                <w:u w:val="none"/>
                <w:lang w:val="zh-CN" w:bidi="ar"/>
              </w:rPr>
              <w:t>分，</w:t>
            </w:r>
            <w:r>
              <w:rPr>
                <w:rFonts w:hint="eastAsia" w:ascii="宋体" w:hAnsi="宋体" w:eastAsia="宋体" w:cs="宋体"/>
                <w:color w:val="auto"/>
                <w:kern w:val="2"/>
                <w:sz w:val="21"/>
                <w:szCs w:val="21"/>
                <w:highlight w:val="none"/>
                <w:u w:val="none"/>
                <w:lang w:val="en-US" w:eastAsia="zh-CN" w:bidi="ar"/>
              </w:rPr>
              <w:t>其他不得分</w:t>
            </w:r>
            <w:r>
              <w:rPr>
                <w:rFonts w:hint="eastAsia" w:ascii="宋体" w:hAnsi="宋体" w:eastAsia="宋体" w:cs="宋体"/>
                <w:color w:val="auto"/>
                <w:kern w:val="2"/>
                <w:sz w:val="21"/>
                <w:szCs w:val="21"/>
                <w:highlight w:val="none"/>
                <w:u w:val="none"/>
                <w:lang w:val="zh-CN" w:bidi="ar"/>
              </w:rPr>
              <w:t>。</w:t>
            </w:r>
            <w:r>
              <w:rPr>
                <w:rFonts w:hint="eastAsia" w:ascii="宋体" w:hAnsi="宋体" w:eastAsia="宋体" w:cs="宋体"/>
                <w:b/>
                <w:bCs/>
                <w:color w:val="000000"/>
                <w:kern w:val="0"/>
                <w:sz w:val="21"/>
                <w:szCs w:val="21"/>
                <w:highlight w:val="none"/>
                <w:u w:val="none"/>
                <w:lang w:bidi="ar"/>
              </w:rPr>
              <w:t>（投标文件中需提供相关部门评定为星级品质旅行社认定证书或文件复印件并加盖投标人公章，否则不得分）</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36" w:type="dxa"/>
            <w:vMerge w:val="continue"/>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c>
          <w:tcPr>
            <w:tcW w:w="1697"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both"/>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投标人业绩</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类似项目实施业绩一览表：投标单位</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年1月1日以来（时间以合同签订时间为准）从事疗休养项目的业绩，每提供一个项目得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（投标文件中需提供合同复印件并加盖公章)。</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36"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eastAsia="宋体" w:cs="宋体"/>
                <w:b/>
                <w:bCs/>
                <w:color w:val="auto"/>
                <w:sz w:val="21"/>
                <w:szCs w:val="21"/>
                <w:highlight w:val="none"/>
                <w:lang w:val="en-US" w:eastAsia="zh-CN"/>
              </w:rPr>
            </w:pPr>
          </w:p>
        </w:tc>
        <w:tc>
          <w:tcPr>
            <w:tcW w:w="1697"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报价要求</w:t>
            </w:r>
          </w:p>
        </w:tc>
        <w:tc>
          <w:tcPr>
            <w:tcW w:w="6093"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0］的计算公式计算。</w:t>
            </w:r>
          </w:p>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pPr>
              <w:keepNext w:val="0"/>
              <w:keepLines w:val="0"/>
              <w:pageBreakBefore w:val="0"/>
              <w:kinsoku/>
              <w:wordWrap/>
              <w:overflowPunct/>
              <w:topLinePunct w:val="0"/>
              <w:autoSpaceDE/>
              <w:autoSpaceDN/>
              <w:bidi w:val="0"/>
              <w:adjustRightInd w:val="0"/>
              <w:spacing w:line="360" w:lineRule="auto"/>
              <w:ind w:firstLine="0" w:firstLineChars="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本项目专门面向中小企业，对小型和微型企业的投标报价不予扣除。</w:t>
            </w:r>
          </w:p>
        </w:tc>
        <w:tc>
          <w:tcPr>
            <w:tcW w:w="809"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82" w:type="dxa"/>
            <w:noWrap/>
            <w:vAlign w:val="center"/>
          </w:tcPr>
          <w:p>
            <w:pPr>
              <w:keepNext w:val="0"/>
              <w:keepLines w:val="0"/>
              <w:pageBreakBefore w:val="0"/>
              <w:kinsoku/>
              <w:wordWrap/>
              <w:overflowPunct/>
              <w:topLinePunct w:val="0"/>
              <w:autoSpaceDE/>
              <w:autoSpaceDN/>
              <w:bidi w:val="0"/>
              <w:adjustRightInd w:val="0"/>
              <w:spacing w:line="360" w:lineRule="auto"/>
              <w:ind w:firstLine="0" w:firstLineChars="0"/>
              <w:jc w:val="center"/>
              <w:textAlignment w:val="auto"/>
              <w:outlineLvl w:val="0"/>
              <w:rPr>
                <w:rFonts w:hint="eastAsia" w:ascii="宋体" w:hAnsi="宋体" w:eastAsia="宋体" w:cs="宋体"/>
                <w:color w:val="auto"/>
                <w:sz w:val="21"/>
                <w:szCs w:val="21"/>
                <w:highlight w:val="none"/>
              </w:rPr>
            </w:pPr>
          </w:p>
        </w:tc>
      </w:tr>
    </w:tbl>
    <w:p>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rPr>
      </w:pPr>
    </w:p>
    <w:p>
      <w:pPr>
        <w:pStyle w:val="393"/>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pPr>
        <w:pStyle w:val="393"/>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3"/>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3"/>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3"/>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rPr>
      </w:pPr>
    </w:p>
    <w:p>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3"/>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3"/>
        <w:spacing w:before="0"/>
        <w:ind w:firstLine="0" w:firstLineChars="0"/>
        <w:rPr>
          <w:rFonts w:asciiTheme="minorEastAsia" w:hAnsiTheme="minorEastAsia" w:eastAsiaTheme="minorEastAsia"/>
          <w:b/>
        </w:rPr>
      </w:pPr>
    </w:p>
    <w:p>
      <w:pPr>
        <w:pStyle w:val="39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7"/>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5"/>
        <w:numPr>
          <w:ilvl w:val="0"/>
          <w:numId w:val="8"/>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5"/>
        <w:numPr>
          <w:ilvl w:val="0"/>
          <w:numId w:val="9"/>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3"/>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35"/>
        <w:pageBreakBefore/>
        <w:snapToGrid w:val="0"/>
        <w:spacing w:before="156" w:after="156" w:line="560" w:lineRule="exact"/>
        <w:jc w:val="center"/>
        <w:outlineLvl w:val="0"/>
        <w:rPr>
          <w:rFonts w:cs="仿宋" w:asciiTheme="minorEastAsia" w:hAnsiTheme="minorEastAsia" w:eastAsiaTheme="minorEastAsia"/>
          <w:b/>
          <w:color w:val="auto"/>
          <w:sz w:val="28"/>
          <w:szCs w:val="28"/>
          <w:highlight w:val="none"/>
        </w:rPr>
      </w:pPr>
      <w:r>
        <w:rPr>
          <w:rFonts w:hint="eastAsia" w:cs="仿宋_GB2312" w:asciiTheme="minorEastAsia" w:hAnsiTheme="minorEastAsia" w:eastAsiaTheme="minorEastAsia"/>
          <w:b/>
          <w:sz w:val="36"/>
          <w:szCs w:val="36"/>
        </w:rPr>
        <w:t>第六部分</w:t>
      </w:r>
      <w:bookmarkEnd w:id="105"/>
      <w:r>
        <w:rPr>
          <w:rFonts w:hint="eastAsia" w:cs="仿宋_GB2312" w:asciiTheme="minorEastAsia" w:hAnsiTheme="minorEastAsia" w:eastAsiaTheme="minorEastAsia"/>
          <w:b/>
          <w:sz w:val="36"/>
          <w:szCs w:val="36"/>
        </w:rPr>
        <w:t xml:space="preserve"> </w:t>
      </w:r>
      <w:bookmarkStart w:id="106" w:name="_Toc15796"/>
      <w:bookmarkStart w:id="107" w:name="_Toc451762420"/>
      <w:r>
        <w:rPr>
          <w:rFonts w:hint="eastAsia" w:cs="仿宋_GB2312" w:asciiTheme="minorEastAsia" w:hAnsiTheme="minorEastAsia" w:eastAsiaTheme="minorEastAsia"/>
          <w:b/>
          <w:sz w:val="36"/>
          <w:szCs w:val="36"/>
        </w:rPr>
        <w:t xml:space="preserve"> 合同主要条款指引</w:t>
      </w:r>
      <w:bookmarkEnd w:id="106"/>
      <w:bookmarkEnd w:id="107"/>
    </w:p>
    <w:p>
      <w:pPr>
        <w:spacing w:line="360" w:lineRule="auto"/>
        <w:jc w:val="center"/>
        <w:outlineLvl w:val="0"/>
        <w:rPr>
          <w:rFonts w:cs="仿宋_GB2312" w:asciiTheme="minorEastAsia" w:hAnsiTheme="minorEastAsia" w:eastAsiaTheme="minorEastAsia"/>
          <w:b/>
          <w:sz w:val="36"/>
          <w:szCs w:val="36"/>
        </w:rPr>
      </w:pPr>
      <w:r>
        <w:rPr>
          <w:rFonts w:hint="eastAsia" w:ascii="华文中宋" w:hAnsi="华文中宋" w:eastAsia="华文中宋"/>
          <w:b/>
          <w:color w:val="auto"/>
          <w:kern w:val="0"/>
          <w:sz w:val="32"/>
          <w:szCs w:val="28"/>
          <w:highlight w:val="none"/>
        </w:rPr>
        <w:t>（本合同样式供参考）</w:t>
      </w:r>
    </w:p>
    <w:p>
      <w:pPr>
        <w:spacing w:line="360" w:lineRule="auto"/>
        <w:rPr>
          <w:rFonts w:asciiTheme="minorEastAsia" w:hAnsiTheme="minorEastAsia" w:eastAsiaTheme="minorEastAsia"/>
          <w:sz w:val="24"/>
        </w:rPr>
      </w:pPr>
      <w:bookmarkStart w:id="108" w:name="第五部分"/>
      <w:bookmarkStart w:id="109" w:name="_Toc8621700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注：本合同文本格式、条款仅作为甲乙双方签订中标合同的参考，具体格式及条款由甲乙双方根据招标文件、乙方投标文件及其他与本次招标相关内容协商拟定。</w:t>
      </w:r>
    </w:p>
    <w:p>
      <w:pPr>
        <w:pStyle w:val="6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p>
    <w:p>
      <w:pPr>
        <w:pStyle w:val="6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hAnsi="宋体" w:cs="宋体"/>
          <w:sz w:val="24"/>
          <w:szCs w:val="24"/>
          <w:highlight w:val="none"/>
          <w:u w:val="single"/>
          <w:lang w:val="en-US" w:eastAsia="zh-CN"/>
        </w:rPr>
        <w:t xml:space="preserve"> </w:t>
      </w:r>
    </w:p>
    <w:p>
      <w:pPr>
        <w:pStyle w:val="63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甲、乙双方根据</w:t>
      </w:r>
      <w:r>
        <w:rPr>
          <w:rFonts w:hint="eastAsia" w:ascii="宋体" w:hAnsi="宋体" w:eastAsia="宋体" w:cs="宋体"/>
          <w:sz w:val="24"/>
          <w:szCs w:val="24"/>
          <w:highlight w:val="none"/>
          <w:u w:val="single"/>
        </w:rPr>
        <w:t xml:space="preserve"> 项目名称：            项目编号：</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竞争性磋商</w:t>
      </w:r>
      <w:r>
        <w:rPr>
          <w:rFonts w:hint="eastAsia" w:ascii="宋体" w:hAnsi="宋体" w:eastAsia="宋体" w:cs="宋体"/>
          <w:sz w:val="24"/>
          <w:szCs w:val="24"/>
          <w:highlight w:val="none"/>
        </w:rPr>
        <w:t>的结果，签署本合同。</w:t>
      </w:r>
    </w:p>
    <w:p>
      <w:pPr>
        <w:pStyle w:val="295"/>
        <w:spacing w:line="360" w:lineRule="auto"/>
        <w:ind w:left="-134" w:leftChars="-64"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1.服务内容</w:t>
      </w:r>
    </w:p>
    <w:p>
      <w:pPr>
        <w:pStyle w:val="295"/>
        <w:spacing w:line="360" w:lineRule="auto"/>
        <w:ind w:left="-134" w:leftChars="-64" w:firstLine="482" w:firstLineChars="200"/>
        <w:rPr>
          <w:rFonts w:hint="eastAsia" w:ascii="宋体" w:hAnsi="宋体" w:eastAsia="宋体" w:cs="宋体"/>
          <w:b/>
          <w:sz w:val="24"/>
          <w:szCs w:val="24"/>
          <w:lang w:eastAsia="zh-CN"/>
        </w:rPr>
      </w:pPr>
    </w:p>
    <w:p>
      <w:pPr>
        <w:pStyle w:val="295"/>
        <w:spacing w:line="360" w:lineRule="auto"/>
        <w:ind w:left="-134" w:leftChars="-64"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2.合同金额</w:t>
      </w:r>
    </w:p>
    <w:p>
      <w:pPr>
        <w:pStyle w:val="295"/>
        <w:spacing w:line="360" w:lineRule="auto"/>
        <w:ind w:left="-134" w:leftChars="-64"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 每位</w:t>
      </w:r>
      <w:r>
        <w:rPr>
          <w:rFonts w:hint="eastAsia" w:ascii="宋体" w:hAnsi="宋体" w:cs="宋体"/>
          <w:sz w:val="24"/>
          <w:szCs w:val="24"/>
          <w:lang w:val="en-US" w:eastAsia="zh-CN"/>
        </w:rPr>
        <w:t>职工</w:t>
      </w:r>
      <w:r>
        <w:rPr>
          <w:rFonts w:hint="eastAsia" w:ascii="宋体" w:hAnsi="宋体" w:eastAsia="宋体" w:cs="宋体"/>
          <w:sz w:val="24"/>
          <w:szCs w:val="24"/>
          <w:lang w:eastAsia="zh-CN"/>
        </w:rPr>
        <w:t>全程总费用：     元/人。</w:t>
      </w:r>
    </w:p>
    <w:p>
      <w:pPr>
        <w:pStyle w:val="295"/>
        <w:spacing w:line="360" w:lineRule="auto"/>
        <w:ind w:left="-134" w:leftChars="-64"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2.2包含交通费、门票费、综合服务费、旅行社责任险费、旅游意外险费等整个行程中所涉及的所有的费用。</w:t>
      </w:r>
    </w:p>
    <w:p>
      <w:pPr>
        <w:pStyle w:val="295"/>
        <w:spacing w:line="360" w:lineRule="auto"/>
        <w:ind w:left="-134" w:leftChars="-64"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2.3结算金额为每位</w:t>
      </w:r>
      <w:r>
        <w:rPr>
          <w:rFonts w:hint="eastAsia" w:ascii="宋体" w:hAnsi="宋体" w:cs="宋体"/>
          <w:sz w:val="24"/>
          <w:szCs w:val="24"/>
          <w:lang w:val="en-US" w:eastAsia="zh-CN"/>
        </w:rPr>
        <w:t>职工</w:t>
      </w:r>
      <w:r>
        <w:rPr>
          <w:rFonts w:hint="eastAsia" w:ascii="宋体" w:hAnsi="宋体" w:eastAsia="宋体" w:cs="宋体"/>
          <w:sz w:val="24"/>
          <w:szCs w:val="24"/>
          <w:lang w:eastAsia="zh-CN"/>
        </w:rPr>
        <w:t>费用乘以实际</w:t>
      </w:r>
      <w:r>
        <w:rPr>
          <w:rFonts w:hint="eastAsia" w:ascii="宋体" w:hAnsi="宋体" w:cs="宋体"/>
          <w:sz w:val="24"/>
          <w:szCs w:val="24"/>
          <w:lang w:val="en-US" w:eastAsia="zh-CN"/>
        </w:rPr>
        <w:t>职工</w:t>
      </w:r>
      <w:r>
        <w:rPr>
          <w:rFonts w:hint="eastAsia" w:ascii="宋体" w:hAnsi="宋体" w:eastAsia="宋体" w:cs="宋体"/>
          <w:sz w:val="24"/>
          <w:szCs w:val="24"/>
          <w:lang w:eastAsia="zh-CN"/>
        </w:rPr>
        <w:t>人数，整个行程涉及的税费由乙方承担。</w:t>
      </w:r>
    </w:p>
    <w:p>
      <w:pPr>
        <w:pStyle w:val="35"/>
        <w:snapToGrid w:val="0"/>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3.付款方式：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rPr>
        <w:t>付</w:t>
      </w:r>
      <w:r>
        <w:rPr>
          <w:rFonts w:hint="eastAsia" w:ascii="宋体" w:hAnsi="宋体" w:eastAsia="宋体" w:cs="宋体"/>
          <w:kern w:val="0"/>
          <w:sz w:val="24"/>
          <w:szCs w:val="24"/>
          <w:highlight w:val="none"/>
        </w:rPr>
        <w:t>款方式：</w:t>
      </w:r>
      <w:r>
        <w:rPr>
          <w:rFonts w:hint="eastAsia" w:ascii="宋体" w:hAnsi="宋体" w:eastAsia="宋体" w:cs="宋体"/>
          <w:sz w:val="24"/>
          <w:szCs w:val="24"/>
          <w:highlight w:val="none"/>
        </w:rPr>
        <w:t>疗休养结束，无质量、服务问题，根据实际参团人数，按实结算。</w:t>
      </w:r>
    </w:p>
    <w:p>
      <w:pPr>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b/>
          <w:sz w:val="24"/>
          <w:szCs w:val="24"/>
          <w:highlight w:val="none"/>
        </w:rPr>
        <w:t>4.</w:t>
      </w:r>
      <w:r>
        <w:rPr>
          <w:rFonts w:hint="eastAsia" w:ascii="宋体" w:hAnsi="宋体" w:eastAsia="宋体" w:cs="宋体"/>
          <w:sz w:val="24"/>
          <w:szCs w:val="24"/>
          <w:highlight w:val="none"/>
        </w:rPr>
        <w:t>乙方承诺按照招标文件要求和投标文件承诺提供各项服务。</w:t>
      </w:r>
    </w:p>
    <w:p>
      <w:pPr>
        <w:pStyle w:val="2"/>
        <w:spacing w:line="360" w:lineRule="auto"/>
        <w:ind w:firstLine="480"/>
        <w:rPr>
          <w:rFonts w:hint="eastAsia" w:ascii="宋体" w:hAnsi="宋体" w:eastAsia="宋体" w:cs="宋体"/>
          <w:sz w:val="24"/>
          <w:szCs w:val="24"/>
          <w:highlight w:val="none"/>
        </w:rPr>
      </w:pPr>
      <w:r>
        <w:rPr>
          <w:rFonts w:hint="eastAsia" w:ascii="宋体" w:hAnsi="宋体" w:eastAsia="宋体" w:cs="宋体"/>
          <w:b/>
          <w:sz w:val="24"/>
          <w:szCs w:val="24"/>
          <w:highlight w:val="none"/>
        </w:rPr>
        <w:t>5.</w:t>
      </w:r>
      <w:r>
        <w:rPr>
          <w:rFonts w:hint="eastAsia" w:ascii="宋体" w:hAnsi="宋体" w:eastAsia="宋体" w:cs="宋体"/>
          <w:sz w:val="24"/>
          <w:szCs w:val="24"/>
          <w:highlight w:val="none"/>
        </w:rPr>
        <w:t>乙方必须在规定期间内完成招标文件要求和投标文件承诺的服务内容，并通过甲方的验收，否则甲方有权终止合同，并索回全部支付的款项，赔偿延误的损失。</w:t>
      </w:r>
    </w:p>
    <w:p>
      <w:pPr>
        <w:pStyle w:val="2"/>
        <w:spacing w:line="360" w:lineRule="auto"/>
        <w:ind w:firstLine="480"/>
        <w:rPr>
          <w:rFonts w:hint="eastAsia" w:ascii="宋体" w:hAnsi="宋体" w:eastAsia="宋体" w:cs="宋体"/>
          <w:sz w:val="24"/>
          <w:szCs w:val="24"/>
          <w:u w:val="single"/>
        </w:rPr>
      </w:pPr>
      <w:r>
        <w:rPr>
          <w:rFonts w:hint="eastAsia" w:ascii="宋体" w:hAnsi="宋体" w:eastAsia="宋体" w:cs="宋体"/>
          <w:b/>
          <w:sz w:val="24"/>
          <w:szCs w:val="24"/>
        </w:rPr>
        <w:t>6.</w:t>
      </w:r>
      <w:r>
        <w:rPr>
          <w:rFonts w:hint="eastAsia" w:ascii="宋体" w:hAnsi="宋体" w:eastAsia="宋体" w:cs="宋体"/>
          <w:b/>
          <w:bCs/>
          <w:sz w:val="24"/>
          <w:szCs w:val="24"/>
        </w:rPr>
        <w:t>线路及时间</w:t>
      </w:r>
    </w:p>
    <w:p>
      <w:pPr>
        <w:widowControl/>
        <w:tabs>
          <w:tab w:val="left" w:pos="5565"/>
        </w:tabs>
        <w:snapToGrid w:val="0"/>
        <w:spacing w:line="360" w:lineRule="auto"/>
        <w:ind w:firstLine="480" w:firstLineChars="200"/>
        <w:jc w:val="left"/>
        <w:rPr>
          <w:rFonts w:hint="eastAsia" w:ascii="宋体" w:hAnsi="宋体" w:eastAsia="宋体" w:cs="宋体"/>
          <w:sz w:val="24"/>
          <w:szCs w:val="24"/>
          <w:u w:val="single"/>
        </w:rPr>
      </w:pPr>
      <w:bookmarkStart w:id="118" w:name="_GoBack"/>
      <w:bookmarkEnd w:id="118"/>
      <w:r>
        <w:rPr>
          <w:rFonts w:hint="eastAsia" w:ascii="宋体" w:hAnsi="宋体" w:eastAsia="宋体" w:cs="宋体"/>
          <w:sz w:val="24"/>
          <w:szCs w:val="24"/>
        </w:rPr>
        <w:t>线路名称：</w:t>
      </w:r>
      <w:r>
        <w:rPr>
          <w:rFonts w:hint="eastAsia" w:ascii="宋体" w:hAnsi="宋体" w:eastAsia="宋体" w:cs="宋体"/>
          <w:sz w:val="24"/>
          <w:szCs w:val="24"/>
          <w:u w:val="single"/>
        </w:rPr>
        <w:t xml:space="preserve">                          </w:t>
      </w:r>
      <w:r>
        <w:rPr>
          <w:rFonts w:hint="eastAsia" w:ascii="宋体" w:hAnsi="宋体" w:eastAsia="宋体" w:cs="宋体"/>
          <w:sz w:val="24"/>
          <w:szCs w:val="24"/>
        </w:rPr>
        <w:t>；团号：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idowControl/>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晚</w:t>
      </w:r>
      <w:r>
        <w:rPr>
          <w:rFonts w:hint="eastAsia" w:ascii="宋体" w:hAnsi="宋体" w:eastAsia="宋体" w:cs="宋体"/>
          <w:sz w:val="24"/>
          <w:szCs w:val="24"/>
          <w:u w:val="single"/>
        </w:rPr>
        <w:t xml:space="preserve">   </w:t>
      </w:r>
      <w:r>
        <w:rPr>
          <w:rFonts w:hint="eastAsia" w:ascii="宋体" w:hAnsi="宋体" w:eastAsia="宋体" w:cs="宋体"/>
          <w:sz w:val="24"/>
          <w:szCs w:val="24"/>
        </w:rPr>
        <w:t>天，共_</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idowControl/>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出发日期：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日，结束日期：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tabs>
          <w:tab w:val="left" w:pos="5565"/>
        </w:tabs>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7. 人身意外伤害保险</w:t>
      </w:r>
    </w:p>
    <w:p>
      <w:pPr>
        <w:tabs>
          <w:tab w:val="left" w:pos="5565"/>
        </w:tabs>
        <w:adjustRightInd w:val="0"/>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乙方提示甲方购买人身意外伤害保险。</w:t>
      </w:r>
    </w:p>
    <w:p>
      <w:pPr>
        <w:tabs>
          <w:tab w:val="left" w:pos="5565"/>
        </w:tabs>
        <w:adjustRightInd w:val="0"/>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甲方同意委托乙方办理本次甲方投保的人身意外伤害保险，有关保险费已包含在合同总价中。</w:t>
      </w:r>
    </w:p>
    <w:p>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保险产品名称：</w:t>
      </w:r>
      <w:r>
        <w:rPr>
          <w:rFonts w:hint="eastAsia" w:ascii="宋体" w:hAnsi="宋体" w:eastAsia="宋体" w:cs="宋体"/>
          <w:sz w:val="24"/>
          <w:szCs w:val="24"/>
          <w:u w:val="single"/>
        </w:rPr>
        <w:t xml:space="preserve">                        </w:t>
      </w:r>
      <w:r>
        <w:rPr>
          <w:rFonts w:hint="eastAsia" w:ascii="宋体" w:hAnsi="宋体" w:eastAsia="宋体" w:cs="宋体"/>
          <w:sz w:val="24"/>
          <w:szCs w:val="24"/>
        </w:rPr>
        <w:t>，保险人：</w:t>
      </w:r>
      <w:r>
        <w:rPr>
          <w:rFonts w:hint="eastAsia" w:ascii="宋体" w:hAnsi="宋体" w:eastAsia="宋体" w:cs="宋体"/>
          <w:sz w:val="24"/>
          <w:szCs w:val="24"/>
          <w:u w:val="single"/>
        </w:rPr>
        <w:t xml:space="preserve">                   </w:t>
      </w:r>
      <w:r>
        <w:rPr>
          <w:rFonts w:hint="eastAsia" w:ascii="宋体" w:hAnsi="宋体" w:eastAsia="宋体" w:cs="宋体"/>
          <w:sz w:val="24"/>
          <w:szCs w:val="24"/>
        </w:rPr>
        <w:t>提示：此处应填写委托代办的乙方</w:t>
      </w:r>
    </w:p>
    <w:p>
      <w:pPr>
        <w:snapToGrid w:val="0"/>
        <w:spacing w:line="360" w:lineRule="auto"/>
        <w:ind w:firstLine="470" w:firstLineChars="196"/>
        <w:rPr>
          <w:rFonts w:hint="eastAsia" w:ascii="宋体" w:hAnsi="宋体" w:eastAsia="宋体" w:cs="宋体"/>
          <w:sz w:val="24"/>
          <w:szCs w:val="24"/>
        </w:rPr>
      </w:pPr>
      <w:r>
        <w:rPr>
          <w:rFonts w:hint="eastAsia" w:ascii="宋体" w:hAnsi="宋体" w:eastAsia="宋体" w:cs="宋体"/>
          <w:sz w:val="24"/>
          <w:szCs w:val="24"/>
        </w:rPr>
        <w:t>保险费：</w:t>
      </w:r>
      <w:r>
        <w:rPr>
          <w:rFonts w:hint="eastAsia" w:ascii="宋体" w:hAnsi="宋体" w:eastAsia="宋体" w:cs="宋体"/>
          <w:sz w:val="24"/>
          <w:szCs w:val="24"/>
          <w:u w:val="single"/>
        </w:rPr>
        <w:t xml:space="preserve">    </w:t>
      </w:r>
      <w:r>
        <w:rPr>
          <w:rFonts w:hint="eastAsia" w:ascii="宋体" w:hAnsi="宋体" w:eastAsia="宋体" w:cs="宋体"/>
          <w:sz w:val="24"/>
          <w:szCs w:val="24"/>
        </w:rPr>
        <w:t>元/人；保险金额：</w:t>
      </w:r>
      <w:r>
        <w:rPr>
          <w:rFonts w:hint="eastAsia" w:ascii="宋体" w:hAnsi="宋体" w:eastAsia="宋体" w:cs="宋体"/>
          <w:sz w:val="24"/>
          <w:szCs w:val="24"/>
          <w:u w:val="single"/>
        </w:rPr>
        <w:t xml:space="preserve">      </w:t>
      </w:r>
      <w:r>
        <w:rPr>
          <w:rFonts w:hint="eastAsia" w:ascii="宋体" w:hAnsi="宋体" w:eastAsia="宋体" w:cs="宋体"/>
          <w:sz w:val="24"/>
          <w:szCs w:val="24"/>
        </w:rPr>
        <w:t>万元/人</w:t>
      </w:r>
    </w:p>
    <w:p>
      <w:pPr>
        <w:snapToGrid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8.甲方的权利</w:t>
      </w:r>
    </w:p>
    <w:p>
      <w:pPr>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8.1 有权自主选择疗休养产品和服务，有权拒绝乙方及其工作人员的强制交易行为。</w:t>
      </w:r>
    </w:p>
    <w:p>
      <w:pPr>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8.2 有权知悉其购买的疗休养产品和服务的真实情况，有权要求乙方按照合同约定提供产品和服务。</w:t>
      </w:r>
    </w:p>
    <w:p>
      <w:pPr>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8.3 甲方在人身、财产安全遇有危险时，有请求救助和保护的权利；当人身、财产受到侵害时，有依法获得赔偿的权利。</w:t>
      </w:r>
    </w:p>
    <w:p>
      <w:pPr>
        <w:tabs>
          <w:tab w:val="left" w:pos="5565"/>
        </w:tabs>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8.4 在合法权益受到损害时，有权向旅游、工商等部门投诉或者要求乙方协助索赔。</w:t>
      </w:r>
    </w:p>
    <w:p>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8.5 《中华人民共和国旅游法》、《中华人民共和国消费者权益保护法》和有关法律、法规赋予甲方的其他权利。</w:t>
      </w:r>
    </w:p>
    <w:p>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9.甲方的义务</w:t>
      </w:r>
    </w:p>
    <w:p>
      <w:pPr>
        <w:snapToGrid w:val="0"/>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9.1 如实告知与疗休养活动相关的个人健康信息，确保身体健康状况适宜本次疗休养；如实填写相关的个人信息，确保所持身份证在出游期间有效。</w:t>
      </w:r>
    </w:p>
    <w:p>
      <w:pPr>
        <w:tabs>
          <w:tab w:val="left" w:pos="5565"/>
        </w:tabs>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9.2 甲方应当</w:t>
      </w:r>
      <w:r>
        <w:rPr>
          <w:rFonts w:hint="eastAsia" w:ascii="宋体" w:hAnsi="宋体" w:eastAsia="宋体" w:cs="宋体"/>
          <w:sz w:val="24"/>
          <w:szCs w:val="24"/>
        </w:rPr>
        <w:t>按照合同约定支付疗休养费用。在接受相关组织、机构或者疗休养经营者救助后，应当支付应由个人承担的费用。</w:t>
      </w:r>
    </w:p>
    <w:p>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9.3 甲方不得擅自脱团，如有特殊情况需要暂时离团的，必须征得导游的书面同意。自行安排活动期间，应当在自己能够控制风险的范围内选择活动项目，并对自己的安全负责。行程中，应妥善保管自己的行李物品，</w:t>
      </w:r>
      <w:r>
        <w:rPr>
          <w:rFonts w:hint="eastAsia" w:ascii="宋体" w:hAnsi="宋体" w:eastAsia="宋体" w:cs="宋体"/>
          <w:kern w:val="0"/>
          <w:sz w:val="24"/>
          <w:szCs w:val="24"/>
        </w:rPr>
        <w:t>现金、有价证券、贵重物品</w:t>
      </w:r>
      <w:r>
        <w:rPr>
          <w:rFonts w:hint="eastAsia" w:ascii="宋体" w:hAnsi="宋体" w:eastAsia="宋体" w:cs="宋体"/>
          <w:sz w:val="24"/>
          <w:szCs w:val="24"/>
        </w:rPr>
        <w:t xml:space="preserve">应随身携带。  </w:t>
      </w:r>
    </w:p>
    <w:p>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9.4 遵守疗休养活动中的安全警示规定，对国家应对重大突发事件暂时限制疗休养活动的措施以及有关部门、机构或者经营者采取的安全防范和应急处置措施，应当予以配合。甲方违反安全警示规定，或者对国家应对重大突发事件暂时限制疗休养活动的措施、安全防范和应急处置措施不予配合的，依法承担相应责任。</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9.5 在疗休养活动中或者在解决纠纷时，不得损害当地居民的合法权益，不得干扰他人的疗休养活动，不得损害经营者和从业人员的合法权益。</w:t>
      </w:r>
    </w:p>
    <w:p>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9.6 应当遵守社会公共秩序和社会公德，尊重当地的风俗习惯、文化传统和宗教信仰，爱护游览资源，保护生态环境，</w:t>
      </w:r>
      <w:r>
        <w:rPr>
          <w:rFonts w:hint="eastAsia" w:ascii="宋体" w:hAnsi="宋体" w:eastAsia="宋体" w:cs="宋体"/>
          <w:b/>
          <w:sz w:val="24"/>
          <w:szCs w:val="24"/>
        </w:rPr>
        <w:t>遵守《中国公民境内旅游文明行为公约》</w:t>
      </w:r>
      <w:r>
        <w:rPr>
          <w:rFonts w:hint="eastAsia" w:ascii="宋体" w:hAnsi="宋体" w:eastAsia="宋体" w:cs="宋体"/>
          <w:sz w:val="24"/>
          <w:szCs w:val="24"/>
        </w:rPr>
        <w:t>。</w:t>
      </w:r>
    </w:p>
    <w:p>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9.7 在合法权益受到损害要求乙方协助索赔时，提供合法有效的凭据。</w:t>
      </w:r>
    </w:p>
    <w:p>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10. 乙方的权利</w:t>
      </w:r>
    </w:p>
    <w:p>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10.1 核实甲方提供的相关信息资料，根据甲方的身体健康状况及相关条件决定是否接纳甲方报名参团。</w:t>
      </w:r>
    </w:p>
    <w:p>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10.2 按照合同约定向甲方收取疗休养费用。</w:t>
      </w:r>
    </w:p>
    <w:p>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10.3 </w:t>
      </w:r>
      <w:r>
        <w:rPr>
          <w:rFonts w:hint="eastAsia" w:ascii="宋体" w:hAnsi="宋体" w:eastAsia="宋体" w:cs="宋体"/>
          <w:bCs/>
          <w:sz w:val="24"/>
          <w:szCs w:val="24"/>
        </w:rPr>
        <w:t>劝阻甲方违反法律、法规及社会公德的行为。如</w:t>
      </w:r>
      <w:r>
        <w:rPr>
          <w:rFonts w:hint="eastAsia" w:ascii="宋体" w:hAnsi="宋体" w:eastAsia="宋体" w:cs="宋体"/>
          <w:sz w:val="24"/>
          <w:szCs w:val="24"/>
        </w:rPr>
        <w:t>疗休养团队遇突发事件或者全事故时，可以采取紧急避险措施。</w:t>
      </w:r>
    </w:p>
    <w:p>
      <w:pPr>
        <w:tabs>
          <w:tab w:val="left" w:pos="556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 要求甲方遵守合同约定的疗休养行程安排，拒绝甲方提出的超出合同约定的不合理要求。</w:t>
      </w:r>
    </w:p>
    <w:p>
      <w:pPr>
        <w:tabs>
          <w:tab w:val="left" w:pos="556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 xml:space="preserve">10.5 </w:t>
      </w:r>
      <w:r>
        <w:rPr>
          <w:rFonts w:hint="eastAsia" w:ascii="宋体" w:hAnsi="宋体" w:eastAsia="宋体" w:cs="宋体"/>
          <w:sz w:val="24"/>
          <w:szCs w:val="24"/>
        </w:rPr>
        <w:t>《中华人民共和国旅游法》和有关法律、法规赋予乙方的其他权利。</w:t>
      </w:r>
    </w:p>
    <w:p>
      <w:pPr>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11. 乙方的义务</w:t>
      </w:r>
    </w:p>
    <w:p>
      <w:pPr>
        <w:tabs>
          <w:tab w:val="left" w:pos="5565"/>
        </w:tabs>
        <w:snapToGrid w:val="0"/>
        <w:spacing w:line="360" w:lineRule="auto"/>
        <w:ind w:firstLine="472" w:firstLineChars="200"/>
        <w:jc w:val="left"/>
        <w:rPr>
          <w:rFonts w:hint="eastAsia" w:ascii="宋体" w:hAnsi="宋体" w:eastAsia="宋体" w:cs="宋体"/>
          <w:sz w:val="24"/>
          <w:szCs w:val="24"/>
        </w:rPr>
      </w:pPr>
      <w:r>
        <w:rPr>
          <w:rFonts w:hint="eastAsia" w:ascii="宋体" w:hAnsi="宋体" w:eastAsia="宋体" w:cs="宋体"/>
          <w:spacing w:val="-2"/>
          <w:sz w:val="24"/>
          <w:szCs w:val="24"/>
        </w:rPr>
        <w:t xml:space="preserve">11.1 </w:t>
      </w:r>
      <w:r>
        <w:rPr>
          <w:rFonts w:hint="eastAsia" w:ascii="宋体" w:hAnsi="宋体" w:eastAsia="宋体" w:cs="宋体"/>
          <w:sz w:val="24"/>
          <w:szCs w:val="24"/>
        </w:rPr>
        <w:t>投保乙方责任险，按照合同约定的内容及标准为甲方提供服务，不得擅自变更疗休养行程安排。</w:t>
      </w:r>
    </w:p>
    <w:p>
      <w:pPr>
        <w:snapToGrid w:val="0"/>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11.2 应当在疗休养行程开始前向甲方提供标有团号、出发日期的《疗休养行程单》，并对如下内容作出明确的说明：</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（1）疗休养行程的出发地、途经地和目的地；</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（2）交通、住宿、餐饮等疗休养服务安排和标准；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（3）游览、娱乐等项目的具体内容和时间；</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（4）自由活动时间安排；</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（5）疗休养目的地接待乙方的名称、地址、联系人和联系电话。</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《疗休养行程单》用语须准确清晰，在表明服务标准用语中不应当出现“准×星级”、“豪华”、“仅供参考”、“以××为准”等不确定性用语。</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11.3 乙方未与甲方协商一致或者未经甲方要求，指定购物场所、安排甲方参加另行付费项目，以及乙方的导游、领队强迫或者变相强迫甲方购物、参加另行付费项目的，甲方有权拒绝，也可以在疗休养行程结束后30日内，要求乙方为其办理退货并先行垫付退货货款、退还另行付费疗休养项目的费用。</w:t>
      </w:r>
    </w:p>
    <w:p>
      <w:pPr>
        <w:tabs>
          <w:tab w:val="left" w:pos="556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11.4 向甲方提供的疗休养服务信息必须真实、准确，不得作虚假宣传，误导甲方。对甲方的个人信息，应当予以保密。</w:t>
      </w:r>
    </w:p>
    <w:p>
      <w:pPr>
        <w:tabs>
          <w:tab w:val="left" w:pos="556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11.5 所提供的服务应当符合保障甲方人身、财产安全的要求。对可能危及甲方人身、财产安全的事项和须注意的问题，向甲方做出真实的说明和明确的警示，并采取合理必要措施防止危害发生。</w:t>
      </w:r>
    </w:p>
    <w:p>
      <w:pPr>
        <w:tabs>
          <w:tab w:val="left" w:pos="556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11.6 突发事件或者安全事故发生后，乙方应当立即采取必要的救助和处置措施，依法履行报告义务，并对甲方作出妥善安排。</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11.7 为疗休养团队安排符合相关规定的持证导游人员。乙方及其从业人员在组织、接待甲方过程中，不得安排参观或者参与违反我国法律、法规和社会公德的项目或者活动。</w:t>
      </w:r>
    </w:p>
    <w:p>
      <w:pPr>
        <w:tabs>
          <w:tab w:val="left" w:pos="5565"/>
        </w:tabs>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12 违约责任</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 乙方在出发前7日以内（含第7日，下同）提出解除合同的，向甲方退还全额疗休养费用，并按下列标准向甲方支付违约金：</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出发前7日至4日，支付疗休养费用总额10%的违约金；</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出发前3日至1日，支付疗休养费用总额15%的违约金；</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出发当日，支付疗休养费用总额20%的违约金。</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乙方应当在取消出团通知到达日起5个工作日内，向甲方退还全额疗休养费用并支付上述违约金。</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 乙方安排的疗休养活动及服务档次与合同约定不符，造成甲方经济损失的，乙方应退还疗休养人员合同金额与实际花费的差额，并支付同额违约金。</w:t>
      </w:r>
    </w:p>
    <w:p>
      <w:pPr>
        <w:tabs>
          <w:tab w:val="left" w:pos="930"/>
        </w:tabs>
        <w:autoSpaceDE w:val="0"/>
        <w:autoSpaceDN w:val="0"/>
        <w:adjustRightInd w:val="0"/>
        <w:spacing w:line="360" w:lineRule="auto"/>
        <w:ind w:firstLine="360" w:firstLineChars="150"/>
        <w:rPr>
          <w:rFonts w:hint="eastAsia" w:ascii="宋体" w:hAnsi="宋体" w:eastAsia="宋体" w:cs="宋体"/>
          <w:b/>
          <w:kern w:val="0"/>
          <w:sz w:val="24"/>
          <w:szCs w:val="24"/>
          <w:lang w:val="zh-CN"/>
        </w:rPr>
      </w:pPr>
      <w:r>
        <w:rPr>
          <w:rFonts w:hint="eastAsia" w:ascii="宋体" w:hAnsi="宋体" w:eastAsia="宋体" w:cs="宋体"/>
          <w:sz w:val="24"/>
          <w:szCs w:val="24"/>
        </w:rPr>
        <w:t>12.3</w:t>
      </w:r>
      <w:r>
        <w:rPr>
          <w:rFonts w:hint="eastAsia" w:ascii="宋体" w:hAnsi="宋体" w:eastAsia="宋体" w:cs="宋体"/>
          <w:b/>
          <w:kern w:val="0"/>
          <w:sz w:val="24"/>
          <w:szCs w:val="24"/>
          <w:lang w:val="zh-CN"/>
        </w:rPr>
        <w:t xml:space="preserve"> 服务团队人员未经甲方同意，不得随意更换，如未经甲方同意随意更换，甲方有权取消其服务资格，提前解除合同。</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 擅自缩短游览时间、遗漏疗休养景点、减少疗休养服务项目的，乙方应赔偿未完成约定疗休养服务项目等合理费用，并支付同额违约金。遗漏无门票景点的，每遗漏一处乙方向疗休养人员支付疗休养费用总额5%的违约金。</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12.5 乙方不履行包价疗休养合同义务或者履行合同义务不符合约定的，应当依法承担继续履行、采取补救措施或者赔偿损失等违约责任；造成甲方人身损害、财产损失的，应当依法承担赔偿责任。乙方具备履行条件，经甲方要求仍拒绝履行合同，造成甲方人身损害、滞留等严重后果的，甲方还可以要求乙方支付疗休养费用1倍以上3倍以下的违约金。</w:t>
      </w:r>
    </w:p>
    <w:p>
      <w:pPr>
        <w:tabs>
          <w:tab w:val="left" w:pos="5565"/>
        </w:tabs>
        <w:adjustRightInd w:val="0"/>
        <w:snapToGrid w:val="0"/>
        <w:spacing w:line="360" w:lineRule="auto"/>
        <w:ind w:firstLine="470" w:firstLineChars="196"/>
        <w:jc w:val="left"/>
        <w:rPr>
          <w:rFonts w:hint="eastAsia" w:ascii="宋体" w:hAnsi="宋体" w:eastAsia="宋体" w:cs="宋体"/>
          <w:b/>
          <w:sz w:val="24"/>
          <w:szCs w:val="24"/>
        </w:rPr>
      </w:pPr>
      <w:r>
        <w:rPr>
          <w:rFonts w:hint="eastAsia" w:ascii="宋体" w:hAnsi="宋体" w:eastAsia="宋体" w:cs="宋体"/>
          <w:sz w:val="24"/>
          <w:szCs w:val="24"/>
        </w:rPr>
        <w:t>12.6 乙方不履行合同或者履行合同不符合约定的服务质量标准，甲方和乙方对违约标准未作出合同约定的，按照《中华人民共和国旅游法》有关规定，亦可参照适用国家旅游局颁布的《旅行社服务质量赔偿标准》（旅办发〔2011〕44号）。</w:t>
      </w:r>
    </w:p>
    <w:p>
      <w:pPr>
        <w:tabs>
          <w:tab w:val="left" w:pos="5565"/>
        </w:tabs>
        <w:adjustRightInd w:val="0"/>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12.7 与甲方发生纠纷时，乙方应当积极采取措施防止损失扩大，否则应当就扩大的损失承担责任。</w:t>
      </w:r>
    </w:p>
    <w:p>
      <w:pPr>
        <w:tabs>
          <w:tab w:val="left" w:pos="5565"/>
        </w:tabs>
        <w:adjustRightInd w:val="0"/>
        <w:snapToGrid w:val="0"/>
        <w:spacing w:line="360" w:lineRule="auto"/>
        <w:ind w:firstLine="472" w:firstLineChars="196"/>
        <w:jc w:val="left"/>
        <w:rPr>
          <w:rFonts w:hint="eastAsia" w:ascii="宋体" w:hAnsi="宋体" w:eastAsia="宋体" w:cs="宋体"/>
          <w:b/>
          <w:sz w:val="24"/>
          <w:szCs w:val="24"/>
        </w:rPr>
      </w:pPr>
      <w:r>
        <w:rPr>
          <w:rFonts w:hint="eastAsia" w:ascii="宋体" w:hAnsi="宋体" w:eastAsia="宋体" w:cs="宋体"/>
          <w:b/>
          <w:sz w:val="24"/>
          <w:szCs w:val="24"/>
        </w:rPr>
        <w:t>12.8乙方在服务过程中发生重大安全责任事故或受到旅游主管部门查处的或未按招标文件及管理部门服务要求进行服务的，甲方有权终止合同，取消乙方服务资格。</w:t>
      </w:r>
    </w:p>
    <w:p>
      <w:pPr>
        <w:tabs>
          <w:tab w:val="left" w:pos="5565"/>
        </w:tabs>
        <w:adjustRightInd w:val="0"/>
        <w:snapToGrid w:val="0"/>
        <w:spacing w:line="360" w:lineRule="auto"/>
        <w:ind w:firstLine="472" w:firstLineChars="196"/>
        <w:jc w:val="left"/>
        <w:rPr>
          <w:rFonts w:hint="eastAsia" w:ascii="宋体" w:hAnsi="宋体" w:eastAsia="宋体" w:cs="宋体"/>
          <w:b/>
          <w:sz w:val="24"/>
          <w:szCs w:val="24"/>
        </w:rPr>
      </w:pPr>
      <w:r>
        <w:rPr>
          <w:rFonts w:hint="eastAsia" w:ascii="宋体" w:hAnsi="宋体" w:eastAsia="宋体" w:cs="宋体"/>
          <w:b/>
          <w:sz w:val="24"/>
          <w:szCs w:val="24"/>
        </w:rPr>
        <w:t xml:space="preserve">12.9 </w:t>
      </w:r>
      <w:r>
        <w:rPr>
          <w:rFonts w:hint="eastAsia" w:ascii="宋体" w:hAnsi="宋体" w:cs="宋体"/>
          <w:b/>
          <w:sz w:val="24"/>
          <w:szCs w:val="24"/>
          <w:lang w:eastAsia="zh-CN"/>
        </w:rPr>
        <w:t>甲方</w:t>
      </w:r>
      <w:r>
        <w:rPr>
          <w:rFonts w:hint="eastAsia" w:ascii="宋体" w:hAnsi="宋体" w:eastAsia="宋体" w:cs="宋体"/>
          <w:b/>
          <w:sz w:val="24"/>
          <w:szCs w:val="24"/>
        </w:rPr>
        <w:t>根据每次出团《满意度调查表》，对因乙方服务质量不满意率高于30%的，</w:t>
      </w:r>
      <w:r>
        <w:rPr>
          <w:rFonts w:hint="eastAsia" w:ascii="宋体" w:hAnsi="宋体" w:cs="宋体"/>
          <w:b/>
          <w:sz w:val="24"/>
          <w:szCs w:val="24"/>
          <w:lang w:eastAsia="zh-CN"/>
        </w:rPr>
        <w:t>甲方</w:t>
      </w:r>
      <w:r>
        <w:rPr>
          <w:rFonts w:hint="eastAsia" w:ascii="宋体" w:hAnsi="宋体" w:eastAsia="宋体" w:cs="宋体"/>
          <w:b/>
          <w:sz w:val="24"/>
          <w:szCs w:val="24"/>
        </w:rPr>
        <w:t>将核实，视情进行相应处罚或取消乙方服务资格，终止合同。</w:t>
      </w:r>
    </w:p>
    <w:p>
      <w:pPr>
        <w:tabs>
          <w:tab w:val="left" w:pos="5565"/>
        </w:tabs>
        <w:adjustRightInd w:val="0"/>
        <w:snapToGrid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sz w:val="24"/>
          <w:szCs w:val="24"/>
        </w:rPr>
        <w:t>13.</w:t>
      </w:r>
      <w:r>
        <w:rPr>
          <w:rFonts w:hint="eastAsia" w:ascii="宋体" w:hAnsi="宋体" w:eastAsia="宋体" w:cs="宋体"/>
          <w:b/>
          <w:bCs/>
          <w:sz w:val="24"/>
          <w:szCs w:val="24"/>
        </w:rPr>
        <w:t xml:space="preserve"> 争议的解决方式</w:t>
      </w:r>
    </w:p>
    <w:p>
      <w:pPr>
        <w:pStyle w:val="355"/>
        <w:snapToGrid w:val="0"/>
        <w:spacing w:before="0" w:line="360" w:lineRule="auto"/>
        <w:ind w:left="0" w:firstLine="477" w:firstLineChars="199"/>
        <w:rPr>
          <w:rFonts w:hint="eastAsia" w:ascii="宋体" w:hAnsi="宋体" w:eastAsia="宋体" w:cs="宋体"/>
          <w:b/>
          <w:sz w:val="24"/>
          <w:szCs w:val="24"/>
        </w:rPr>
      </w:pPr>
      <w:r>
        <w:rPr>
          <w:rFonts w:hint="eastAsia" w:ascii="宋体" w:hAnsi="宋体" w:eastAsia="宋体" w:cs="宋体"/>
          <w:sz w:val="24"/>
          <w:szCs w:val="24"/>
        </w:rPr>
        <w:t>本合同在履行过程中发生争议的，由双方协商解决，也可向有管辖权的旅游质监执法机构、消费者协会等有关部门或者机构申请调解，也可向甲方所在地的人民法院起诉。</w:t>
      </w:r>
    </w:p>
    <w:p>
      <w:pPr>
        <w:pStyle w:val="355"/>
        <w:snapToGrid w:val="0"/>
        <w:spacing w:before="0" w:line="360" w:lineRule="auto"/>
        <w:ind w:left="0" w:firstLine="479" w:firstLineChars="199"/>
        <w:rPr>
          <w:rFonts w:hint="eastAsia" w:ascii="宋体" w:hAnsi="宋体" w:eastAsia="宋体" w:cs="宋体"/>
          <w:sz w:val="24"/>
          <w:szCs w:val="24"/>
        </w:rPr>
      </w:pPr>
      <w:r>
        <w:rPr>
          <w:rFonts w:hint="eastAsia" w:ascii="宋体" w:hAnsi="宋体" w:eastAsia="宋体" w:cs="宋体"/>
          <w:b/>
          <w:sz w:val="24"/>
          <w:szCs w:val="24"/>
        </w:rPr>
        <w:t>14.</w:t>
      </w:r>
      <w:r>
        <w:rPr>
          <w:rFonts w:hint="eastAsia" w:ascii="宋体" w:hAnsi="宋体" w:eastAsia="宋体" w:cs="宋体"/>
          <w:sz w:val="24"/>
          <w:szCs w:val="24"/>
        </w:rPr>
        <w:t xml:space="preserve"> 转让和分包：未经甲方事先书面同意，乙方不得部分转让或全部转让其应履行的合同义务。</w:t>
      </w:r>
    </w:p>
    <w:p>
      <w:pPr>
        <w:autoSpaceDE w:val="0"/>
        <w:autoSpaceDN w:val="0"/>
        <w:snapToGrid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kern w:val="0"/>
          <w:sz w:val="24"/>
          <w:szCs w:val="24"/>
          <w:lang w:val="zh-CN"/>
        </w:rPr>
        <w:t>1</w:t>
      </w:r>
      <w:r>
        <w:rPr>
          <w:rFonts w:hint="eastAsia" w:ascii="宋体" w:hAnsi="宋体" w:eastAsia="宋体" w:cs="宋体"/>
          <w:b/>
          <w:kern w:val="0"/>
          <w:sz w:val="24"/>
          <w:szCs w:val="24"/>
        </w:rPr>
        <w:t>5</w:t>
      </w:r>
      <w:r>
        <w:rPr>
          <w:rFonts w:hint="eastAsia" w:ascii="宋体" w:hAnsi="宋体" w:eastAsia="宋体" w:cs="宋体"/>
          <w:b/>
          <w:kern w:val="0"/>
          <w:sz w:val="24"/>
          <w:szCs w:val="24"/>
          <w:lang w:val="zh-CN"/>
        </w:rPr>
        <w:t>.</w:t>
      </w:r>
      <w:r>
        <w:rPr>
          <w:rFonts w:hint="eastAsia" w:ascii="宋体" w:hAnsi="宋体" w:eastAsia="宋体" w:cs="宋体"/>
          <w:kern w:val="0"/>
          <w:sz w:val="24"/>
          <w:szCs w:val="24"/>
          <w:lang w:val="zh-CN"/>
        </w:rPr>
        <w:t xml:space="preserve"> </w:t>
      </w:r>
      <w:r>
        <w:rPr>
          <w:rFonts w:hint="eastAsia" w:ascii="宋体" w:hAnsi="宋体" w:eastAsia="宋体" w:cs="宋体"/>
          <w:sz w:val="24"/>
          <w:szCs w:val="24"/>
        </w:rPr>
        <w:t>招标文件（编号： ）、投标文件及评标过程中形成的文字资料、询标纪要均作为本合同的组成部分，具有同等效力。</w:t>
      </w:r>
    </w:p>
    <w:p>
      <w:pPr>
        <w:pStyle w:val="295"/>
        <w:spacing w:line="360" w:lineRule="auto"/>
        <w:ind w:left="-134" w:leftChars="-64" w:firstLine="482" w:firstLineChars="200"/>
        <w:rPr>
          <w:rFonts w:hint="eastAsia" w:ascii="宋体" w:hAnsi="宋体" w:eastAsia="宋体" w:cs="宋体"/>
          <w:b/>
          <w:sz w:val="24"/>
          <w:szCs w:val="24"/>
          <w:lang w:eastAsia="zh-CN"/>
        </w:rPr>
      </w:pPr>
      <w:r>
        <w:rPr>
          <w:rFonts w:hint="eastAsia" w:ascii="宋体" w:hAnsi="宋体" w:eastAsia="宋体" w:cs="宋体"/>
          <w:b/>
          <w:iCs/>
          <w:sz w:val="24"/>
          <w:szCs w:val="24"/>
          <w:lang w:eastAsia="zh-CN"/>
        </w:rPr>
        <w:t>16.</w:t>
      </w:r>
      <w:r>
        <w:rPr>
          <w:rFonts w:hint="eastAsia" w:ascii="宋体" w:hAnsi="宋体" w:eastAsia="宋体" w:cs="宋体"/>
          <w:b/>
          <w:sz w:val="24"/>
          <w:szCs w:val="24"/>
          <w:lang w:eastAsia="zh-CN"/>
        </w:rPr>
        <w:t>合同生效及其它</w:t>
      </w:r>
    </w:p>
    <w:p>
      <w:pPr>
        <w:pStyle w:val="295"/>
        <w:spacing w:line="360" w:lineRule="auto"/>
        <w:ind w:left="-134" w:leftChars="-64"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16.1合同经双方法定代表人或授权代表签字并加盖单位公章后生效。</w:t>
      </w:r>
    </w:p>
    <w:p>
      <w:pPr>
        <w:pStyle w:val="295"/>
        <w:spacing w:line="360" w:lineRule="auto"/>
        <w:ind w:left="-134" w:leftChars="-64"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16.2本合同未尽事宜，遵照《民法典》有关条文执行。</w:t>
      </w:r>
    </w:p>
    <w:p>
      <w:pPr>
        <w:pStyle w:val="295"/>
        <w:spacing w:line="360" w:lineRule="auto"/>
        <w:ind w:left="-134" w:leftChars="-64"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16.3本合同正本壹式肆份，具有同等法律效力，甲乙双方各执贰份。</w:t>
      </w:r>
    </w:p>
    <w:p>
      <w:pPr>
        <w:adjustRightInd w:val="0"/>
        <w:snapToGrid w:val="0"/>
        <w:spacing w:line="360" w:lineRule="auto"/>
        <w:ind w:firstLine="420" w:firstLineChars="200"/>
        <w:textAlignment w:val="baseline"/>
        <w:rPr>
          <w:rFonts w:hint="eastAsia" w:ascii="宋体" w:hAnsi="宋体" w:cs="宋体"/>
          <w:highlight w:val="none"/>
        </w:rPr>
      </w:pPr>
    </w:p>
    <w:tbl>
      <w:tblPr>
        <w:tblStyle w:val="60"/>
        <w:tblW w:w="0" w:type="auto"/>
        <w:tblInd w:w="0" w:type="dxa"/>
        <w:tblLayout w:type="fixed"/>
        <w:tblCellMar>
          <w:top w:w="0" w:type="dxa"/>
          <w:left w:w="108" w:type="dxa"/>
          <w:bottom w:w="0" w:type="dxa"/>
          <w:right w:w="108" w:type="dxa"/>
        </w:tblCellMar>
      </w:tblPr>
      <w:tblGrid>
        <w:gridCol w:w="4519"/>
        <w:gridCol w:w="4520"/>
      </w:tblGrid>
      <w:tr>
        <w:tblPrEx>
          <w:tblCellMar>
            <w:top w:w="0" w:type="dxa"/>
            <w:left w:w="108" w:type="dxa"/>
            <w:bottom w:w="0" w:type="dxa"/>
            <w:right w:w="108" w:type="dxa"/>
          </w:tblCellMar>
        </w:tblPrEx>
        <w:trPr>
          <w:trHeight w:val="680" w:hRule="atLeast"/>
        </w:trPr>
        <w:tc>
          <w:tcPr>
            <w:tcW w:w="4519"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w:t>
            </w:r>
            <w:r>
              <w:rPr>
                <w:rFonts w:hint="eastAsia" w:ascii="宋体" w:hAnsi="宋体" w:eastAsia="宋体" w:cs="宋体"/>
                <w:color w:val="auto"/>
                <w:kern w:val="0"/>
                <w:sz w:val="24"/>
                <w:highlight w:val="none"/>
              </w:rPr>
              <w:t>__________________</w:t>
            </w:r>
          </w:p>
        </w:tc>
        <w:tc>
          <w:tcPr>
            <w:tcW w:w="4520"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乙方（盖章）：</w:t>
            </w:r>
            <w:r>
              <w:rPr>
                <w:rFonts w:hint="eastAsia" w:ascii="宋体" w:hAnsi="宋体" w:eastAsia="宋体" w:cs="宋体"/>
                <w:color w:val="auto"/>
                <w:kern w:val="0"/>
                <w:sz w:val="24"/>
                <w:highlight w:val="none"/>
              </w:rPr>
              <w:t>__________________</w:t>
            </w:r>
          </w:p>
        </w:tc>
      </w:tr>
      <w:tr>
        <w:tblPrEx>
          <w:tblCellMar>
            <w:top w:w="0" w:type="dxa"/>
            <w:left w:w="108" w:type="dxa"/>
            <w:bottom w:w="0" w:type="dxa"/>
            <w:right w:w="108" w:type="dxa"/>
          </w:tblCellMar>
        </w:tblPrEx>
        <w:trPr>
          <w:trHeight w:val="680" w:hRule="atLeast"/>
        </w:trPr>
        <w:tc>
          <w:tcPr>
            <w:tcW w:w="4519"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kern w:val="0"/>
                <w:sz w:val="24"/>
                <w:highlight w:val="none"/>
              </w:rPr>
              <w:t>_________________________</w:t>
            </w:r>
          </w:p>
        </w:tc>
        <w:tc>
          <w:tcPr>
            <w:tcW w:w="4520"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kern w:val="0"/>
                <w:sz w:val="24"/>
                <w:highlight w:val="none"/>
              </w:rPr>
              <w:t>_________________________</w:t>
            </w:r>
          </w:p>
        </w:tc>
      </w:tr>
      <w:tr>
        <w:tblPrEx>
          <w:tblCellMar>
            <w:top w:w="0" w:type="dxa"/>
            <w:left w:w="108" w:type="dxa"/>
            <w:bottom w:w="0" w:type="dxa"/>
            <w:right w:w="108" w:type="dxa"/>
          </w:tblCellMar>
        </w:tblPrEx>
        <w:trPr>
          <w:trHeight w:val="680" w:hRule="atLeast"/>
        </w:trPr>
        <w:tc>
          <w:tcPr>
            <w:tcW w:w="4519"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rPr>
              <w:t>________________</w:t>
            </w:r>
          </w:p>
        </w:tc>
        <w:tc>
          <w:tcPr>
            <w:tcW w:w="4520"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w:t>
            </w: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w:t>
            </w:r>
            <w:r>
              <w:rPr>
                <w:rFonts w:hint="eastAsia" w:ascii="宋体" w:hAnsi="宋体" w:eastAsia="宋体" w:cs="宋体"/>
                <w:color w:val="auto"/>
                <w:kern w:val="0"/>
                <w:sz w:val="24"/>
                <w:highlight w:val="none"/>
              </w:rPr>
              <w:t>________________</w:t>
            </w:r>
          </w:p>
        </w:tc>
      </w:tr>
      <w:tr>
        <w:tblPrEx>
          <w:tblCellMar>
            <w:top w:w="0" w:type="dxa"/>
            <w:left w:w="108" w:type="dxa"/>
            <w:bottom w:w="0" w:type="dxa"/>
            <w:right w:w="108" w:type="dxa"/>
          </w:tblCellMar>
        </w:tblPrEx>
        <w:trPr>
          <w:trHeight w:val="680" w:hRule="atLeast"/>
        </w:trPr>
        <w:tc>
          <w:tcPr>
            <w:tcW w:w="4519"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kern w:val="0"/>
                <w:sz w:val="24"/>
                <w:highlight w:val="none"/>
              </w:rPr>
              <w:t>_________________________</w:t>
            </w:r>
          </w:p>
        </w:tc>
        <w:tc>
          <w:tcPr>
            <w:tcW w:w="4520"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kern w:val="0"/>
                <w:sz w:val="24"/>
                <w:highlight w:val="none"/>
              </w:rPr>
              <w:t>_________________________</w:t>
            </w:r>
          </w:p>
        </w:tc>
      </w:tr>
      <w:tr>
        <w:tblPrEx>
          <w:tblCellMar>
            <w:top w:w="0" w:type="dxa"/>
            <w:left w:w="108" w:type="dxa"/>
            <w:bottom w:w="0" w:type="dxa"/>
            <w:right w:w="108" w:type="dxa"/>
          </w:tblCellMar>
        </w:tblPrEx>
        <w:trPr>
          <w:trHeight w:val="680" w:hRule="atLeast"/>
        </w:trPr>
        <w:tc>
          <w:tcPr>
            <w:tcW w:w="4519"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w:t>
            </w:r>
            <w:r>
              <w:rPr>
                <w:rFonts w:hint="eastAsia" w:ascii="宋体" w:hAnsi="宋体" w:eastAsia="宋体" w:cs="宋体"/>
                <w:color w:val="auto"/>
                <w:kern w:val="0"/>
                <w:sz w:val="24"/>
                <w:highlight w:val="none"/>
              </w:rPr>
              <w:t>_______________________</w:t>
            </w:r>
          </w:p>
        </w:tc>
        <w:tc>
          <w:tcPr>
            <w:tcW w:w="4520"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w:t>
            </w:r>
            <w:r>
              <w:rPr>
                <w:rFonts w:hint="eastAsia" w:ascii="宋体" w:hAnsi="宋体" w:eastAsia="宋体" w:cs="宋体"/>
                <w:color w:val="auto"/>
                <w:kern w:val="0"/>
                <w:sz w:val="24"/>
                <w:highlight w:val="none"/>
              </w:rPr>
              <w:t>_______________________</w:t>
            </w:r>
          </w:p>
        </w:tc>
      </w:tr>
      <w:tr>
        <w:tblPrEx>
          <w:tblCellMar>
            <w:top w:w="0" w:type="dxa"/>
            <w:left w:w="108" w:type="dxa"/>
            <w:bottom w:w="0" w:type="dxa"/>
            <w:right w:w="108" w:type="dxa"/>
          </w:tblCellMar>
        </w:tblPrEx>
        <w:trPr>
          <w:trHeight w:val="680" w:hRule="atLeast"/>
        </w:trPr>
        <w:tc>
          <w:tcPr>
            <w:tcW w:w="4519"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银行账户：</w:t>
            </w:r>
            <w:r>
              <w:rPr>
                <w:rFonts w:hint="eastAsia" w:ascii="宋体" w:hAnsi="宋体" w:eastAsia="宋体" w:cs="宋体"/>
                <w:color w:val="auto"/>
                <w:kern w:val="0"/>
                <w:sz w:val="24"/>
                <w:highlight w:val="none"/>
              </w:rPr>
              <w:t>_____________________</w:t>
            </w:r>
          </w:p>
        </w:tc>
        <w:tc>
          <w:tcPr>
            <w:tcW w:w="4520"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银行账户：</w:t>
            </w:r>
            <w:r>
              <w:rPr>
                <w:rFonts w:hint="eastAsia" w:ascii="宋体" w:hAnsi="宋体" w:eastAsia="宋体" w:cs="宋体"/>
                <w:color w:val="auto"/>
                <w:kern w:val="0"/>
                <w:sz w:val="24"/>
                <w:highlight w:val="none"/>
              </w:rPr>
              <w:t>_____________________</w:t>
            </w:r>
          </w:p>
        </w:tc>
      </w:tr>
      <w:tr>
        <w:tblPrEx>
          <w:tblCellMar>
            <w:top w:w="0" w:type="dxa"/>
            <w:left w:w="108" w:type="dxa"/>
            <w:bottom w:w="0" w:type="dxa"/>
            <w:right w:w="108" w:type="dxa"/>
          </w:tblCellMar>
        </w:tblPrEx>
        <w:trPr>
          <w:trHeight w:val="680" w:hRule="atLeast"/>
        </w:trPr>
        <w:tc>
          <w:tcPr>
            <w:tcW w:w="4519"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kern w:val="0"/>
                <w:sz w:val="24"/>
                <w:highlight w:val="none"/>
              </w:rPr>
              <w:t>______</w:t>
            </w:r>
            <w:r>
              <w:rPr>
                <w:rFonts w:hint="eastAsia" w:ascii="宋体" w:hAnsi="宋体" w:eastAsia="宋体" w:cs="宋体"/>
                <w:color w:val="auto"/>
                <w:sz w:val="24"/>
                <w:highlight w:val="none"/>
              </w:rPr>
              <w:t>年</w:t>
            </w:r>
            <w:r>
              <w:rPr>
                <w:rFonts w:hint="eastAsia" w:ascii="宋体" w:hAnsi="宋体" w:eastAsia="宋体" w:cs="宋体"/>
                <w:color w:val="auto"/>
                <w:kern w:val="0"/>
                <w:sz w:val="24"/>
                <w:highlight w:val="none"/>
              </w:rPr>
              <w:t>_____</w:t>
            </w:r>
            <w:r>
              <w:rPr>
                <w:rFonts w:hint="eastAsia" w:ascii="宋体" w:hAnsi="宋体" w:eastAsia="宋体" w:cs="宋体"/>
                <w:color w:val="auto"/>
                <w:sz w:val="24"/>
                <w:highlight w:val="none"/>
              </w:rPr>
              <w:t>月</w:t>
            </w:r>
            <w:r>
              <w:rPr>
                <w:rFonts w:hint="eastAsia" w:ascii="宋体" w:hAnsi="宋体" w:eastAsia="宋体" w:cs="宋体"/>
                <w:color w:val="auto"/>
                <w:kern w:val="0"/>
                <w:sz w:val="24"/>
                <w:highlight w:val="none"/>
              </w:rPr>
              <w:t>____日</w:t>
            </w:r>
          </w:p>
        </w:tc>
        <w:tc>
          <w:tcPr>
            <w:tcW w:w="4520"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w:t>
            </w:r>
            <w:r>
              <w:rPr>
                <w:rFonts w:hint="eastAsia" w:ascii="宋体" w:hAnsi="宋体" w:eastAsia="宋体" w:cs="宋体"/>
                <w:color w:val="auto"/>
                <w:kern w:val="0"/>
                <w:sz w:val="24"/>
                <w:highlight w:val="none"/>
              </w:rPr>
              <w:t>______</w:t>
            </w:r>
            <w:r>
              <w:rPr>
                <w:rFonts w:hint="eastAsia" w:ascii="宋体" w:hAnsi="宋体" w:eastAsia="宋体" w:cs="宋体"/>
                <w:color w:val="auto"/>
                <w:sz w:val="24"/>
                <w:highlight w:val="none"/>
              </w:rPr>
              <w:t>年</w:t>
            </w:r>
            <w:r>
              <w:rPr>
                <w:rFonts w:hint="eastAsia" w:ascii="宋体" w:hAnsi="宋体" w:eastAsia="宋体" w:cs="宋体"/>
                <w:color w:val="auto"/>
                <w:kern w:val="0"/>
                <w:sz w:val="24"/>
                <w:highlight w:val="none"/>
              </w:rPr>
              <w:t>_____</w:t>
            </w:r>
            <w:r>
              <w:rPr>
                <w:rFonts w:hint="eastAsia" w:ascii="宋体" w:hAnsi="宋体" w:eastAsia="宋体" w:cs="宋体"/>
                <w:color w:val="auto"/>
                <w:sz w:val="24"/>
                <w:highlight w:val="none"/>
              </w:rPr>
              <w:t>月</w:t>
            </w:r>
            <w:r>
              <w:rPr>
                <w:rFonts w:hint="eastAsia" w:ascii="宋体" w:hAnsi="宋体" w:eastAsia="宋体" w:cs="宋体"/>
                <w:color w:val="auto"/>
                <w:kern w:val="0"/>
                <w:sz w:val="24"/>
                <w:highlight w:val="none"/>
              </w:rPr>
              <w:t>____日</w:t>
            </w:r>
          </w:p>
        </w:tc>
      </w:tr>
      <w:tr>
        <w:tblPrEx>
          <w:tblCellMar>
            <w:top w:w="0" w:type="dxa"/>
            <w:left w:w="108" w:type="dxa"/>
            <w:bottom w:w="0" w:type="dxa"/>
            <w:right w:w="108" w:type="dxa"/>
          </w:tblCellMar>
        </w:tblPrEx>
        <w:trPr>
          <w:trHeight w:val="680" w:hRule="atLeast"/>
        </w:trPr>
        <w:tc>
          <w:tcPr>
            <w:tcW w:w="4519"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r>
              <w:rPr>
                <w:rFonts w:hint="eastAsia" w:ascii="宋体" w:hAnsi="宋体" w:eastAsia="宋体" w:cs="宋体"/>
                <w:color w:val="auto"/>
                <w:kern w:val="0"/>
                <w:sz w:val="24"/>
                <w:highlight w:val="none"/>
              </w:rPr>
              <w:t>_____________________</w:t>
            </w:r>
          </w:p>
        </w:tc>
        <w:tc>
          <w:tcPr>
            <w:tcW w:w="4520" w:type="dxa"/>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r>
              <w:rPr>
                <w:rFonts w:hint="eastAsia" w:ascii="宋体" w:hAnsi="宋体" w:eastAsia="宋体" w:cs="宋体"/>
                <w:color w:val="auto"/>
                <w:kern w:val="0"/>
                <w:sz w:val="24"/>
                <w:highlight w:val="none"/>
              </w:rPr>
              <w:t>_____________________</w:t>
            </w:r>
          </w:p>
        </w:tc>
      </w:tr>
    </w:tbl>
    <w:p>
      <w:pPr>
        <w:spacing w:line="360" w:lineRule="auto"/>
        <w:ind w:left="-420" w:leftChars="-200" w:right="-420" w:rightChars="-200" w:firstLine="420" w:firstLineChars="200"/>
        <w:rPr>
          <w:rFonts w:ascii="宋体" w:hAnsi="宋体" w:cs="宋体"/>
          <w:sz w:val="24"/>
        </w:rPr>
      </w:pPr>
      <w:r>
        <w:rPr>
          <w:rFonts w:hint="eastAsia" w:ascii="宋体" w:hAnsi="宋体" w:cs="宋体"/>
          <w:kern w:val="0"/>
        </w:rPr>
        <w:br w:type="page"/>
      </w:r>
    </w:p>
    <w:p>
      <w:pPr>
        <w:spacing w:line="360" w:lineRule="auto"/>
        <w:ind w:firstLine="562" w:firstLineChars="200"/>
        <w:jc w:val="center"/>
        <w:rPr>
          <w:rFonts w:asciiTheme="minorEastAsia" w:hAnsiTheme="minorEastAsia" w:eastAsiaTheme="minorEastAsia"/>
          <w:b/>
          <w:sz w:val="28"/>
          <w:szCs w:val="28"/>
        </w:rPr>
      </w:pP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108"/>
      <w:bookmarkEnd w:id="109"/>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4"/>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(供应商全称)授权(全权代表姓名)(职务、职称)为全权代表，参加贵方组织的（项目名称）【项目编号：（采购编号）】的有关活动，并对此项目进行响应。为此：</w:t>
      </w:r>
    </w:p>
    <w:p>
      <w:pPr>
        <w:pStyle w:val="105"/>
        <w:numPr>
          <w:ilvl w:val="0"/>
          <w:numId w:val="10"/>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numPr>
          <w:ilvl w:val="0"/>
          <w:numId w:val="10"/>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5"/>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ind w:firstLine="5760" w:firstLineChars="24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  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10"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10"/>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11"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11"/>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12" w:name="_Hlk101133173"/>
      <w:r>
        <w:rPr>
          <w:rFonts w:hint="eastAsia" w:cs="宋体" w:asciiTheme="minorEastAsia" w:hAnsiTheme="minorEastAsia" w:eastAsiaTheme="minorEastAsia"/>
          <w:sz w:val="24"/>
        </w:rPr>
        <w:t>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12"/>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兹委派我公司先生/女士(其在本公司的职务是： ，联系电话：手机：传真：)，代表我公司全权处理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19"/>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ind w:firstLine="2249" w:firstLineChars="7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4"/>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ind w:firstLine="305"/>
        <w:rPr>
          <w:rFonts w:asciiTheme="minorEastAsia" w:hAnsiTheme="minorEastAsia" w:eastAsiaTheme="minorEastAsia"/>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2、中小企业合同金额达到%，其中小微企业合同金额达到%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pPr>
        <w:spacing w:line="360" w:lineRule="auto"/>
        <w:ind w:firstLine="1333" w:firstLineChars="400"/>
        <w:jc w:val="left"/>
        <w:rPr>
          <w:rFonts w:asciiTheme="minorEastAsia" w:hAnsiTheme="minorEastAsia" w:eastAsiaTheme="minorEastAsia"/>
          <w:b/>
          <w:spacing w:val="6"/>
          <w:sz w:val="32"/>
          <w:szCs w:val="32"/>
        </w:rPr>
      </w:pPr>
    </w:p>
    <w:p>
      <w:pPr>
        <w:spacing w:line="360" w:lineRule="auto"/>
        <w:rPr>
          <w:rFonts w:asciiTheme="minorEastAsia" w:hAnsiTheme="minorEastAsia" w:eastAsiaTheme="minorEastAsia"/>
          <w:b/>
          <w:bCs/>
          <w:sz w:val="24"/>
        </w:rPr>
      </w:pPr>
    </w:p>
    <w:p>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pPr>
        <w:autoSpaceDE w:val="0"/>
        <w:autoSpaceDN w:val="0"/>
        <w:spacing w:line="360" w:lineRule="auto"/>
        <w:rPr>
          <w:rFonts w:cs="仿宋_GB2312" w:asciiTheme="minorEastAsia" w:hAnsiTheme="minorEastAsia" w:eastAsiaTheme="minorEastAsia"/>
          <w:b/>
          <w:kern w:val="0"/>
          <w:sz w:val="28"/>
          <w:szCs w:val="28"/>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rPr>
            </w:pPr>
            <w:r>
              <w:rPr>
                <w:rFonts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2"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c>
          <w:tcPr>
            <w:tcW w:w="553" w:type="dxa"/>
          </w:tcPr>
          <w:p>
            <w:pPr>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专业</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5"/>
              <w:spacing w:line="360" w:lineRule="auto"/>
              <w:jc w:val="center"/>
              <w:rPr>
                <w:rFonts w:cs="仿宋_GB2312" w:asciiTheme="minorEastAsia" w:hAnsiTheme="minorEastAsia" w:eastAsiaTheme="minorEastAsia"/>
                <w:sz w:val="24"/>
              </w:rPr>
            </w:pPr>
          </w:p>
        </w:tc>
        <w:tc>
          <w:tcPr>
            <w:tcW w:w="1900" w:type="dxa"/>
          </w:tcPr>
          <w:p>
            <w:pPr>
              <w:pStyle w:val="35"/>
              <w:spacing w:line="360" w:lineRule="auto"/>
              <w:jc w:val="center"/>
              <w:rPr>
                <w:rFonts w:cs="仿宋_GB2312" w:asciiTheme="minorEastAsia" w:hAnsiTheme="minorEastAsia" w:eastAsiaTheme="minorEastAsia"/>
                <w:sz w:val="24"/>
              </w:rPr>
            </w:pPr>
          </w:p>
        </w:tc>
        <w:tc>
          <w:tcPr>
            <w:tcW w:w="1800" w:type="dxa"/>
          </w:tcPr>
          <w:p>
            <w:pPr>
              <w:pStyle w:val="35"/>
              <w:spacing w:line="360" w:lineRule="auto"/>
              <w:jc w:val="center"/>
              <w:rPr>
                <w:rFonts w:cs="仿宋_GB2312" w:asciiTheme="minorEastAsia" w:hAnsiTheme="minorEastAsia" w:eastAsiaTheme="minorEastAsia"/>
                <w:sz w:val="24"/>
              </w:rPr>
            </w:pPr>
          </w:p>
        </w:tc>
        <w:tc>
          <w:tcPr>
            <w:tcW w:w="2880" w:type="dxa"/>
          </w:tcPr>
          <w:p>
            <w:pPr>
              <w:pStyle w:val="35"/>
              <w:spacing w:line="360" w:lineRule="auto"/>
              <w:jc w:val="center"/>
              <w:rPr>
                <w:rFonts w:cs="仿宋_GB2312" w:asciiTheme="minorEastAsia" w:hAnsiTheme="minorEastAsia" w:eastAsiaTheme="minorEastAsia"/>
                <w:sz w:val="24"/>
              </w:rPr>
            </w:pPr>
          </w:p>
        </w:tc>
        <w:tc>
          <w:tcPr>
            <w:tcW w:w="1332" w:type="dxa"/>
          </w:tcPr>
          <w:p>
            <w:pPr>
              <w:pStyle w:val="35"/>
              <w:spacing w:line="360" w:lineRule="auto"/>
              <w:jc w:val="center"/>
              <w:rPr>
                <w:rFonts w:cs="仿宋_GB2312" w:asciiTheme="minorEastAsia" w:hAnsiTheme="minorEastAsia" w:eastAsiaTheme="minorEastAsia"/>
                <w:sz w:val="24"/>
              </w:rPr>
            </w:pPr>
          </w:p>
        </w:tc>
      </w:tr>
    </w:tbl>
    <w:p>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最后报价一览表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2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5"/>
        <w:gridCol w:w="4282"/>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2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default" w:ascii="宋体" w:hAnsi="宋体" w:eastAsia="宋体" w:cs="宋体"/>
                <w:b w:val="0"/>
                <w:color w:val="auto"/>
                <w:sz w:val="24"/>
                <w:highlight w:val="none"/>
                <w:lang w:val="en-US" w:eastAsia="zh-CN"/>
              </w:rPr>
            </w:pPr>
            <w:r>
              <w:rPr>
                <w:rFonts w:hint="eastAsia" w:ascii="宋体" w:hAnsi="宋体" w:cs="宋体"/>
                <w:b w:val="0"/>
                <w:color w:val="auto"/>
                <w:sz w:val="24"/>
                <w:highlight w:val="none"/>
                <w:lang w:val="en-US" w:eastAsia="zh-CN"/>
              </w:rPr>
              <w:t>项目</w:t>
            </w:r>
            <w:r>
              <w:rPr>
                <w:rFonts w:hint="eastAsia" w:ascii="宋体" w:hAnsi="宋体" w:eastAsia="宋体" w:cs="宋体"/>
                <w:b w:val="0"/>
                <w:color w:val="auto"/>
                <w:sz w:val="24"/>
                <w:highlight w:val="none"/>
                <w:lang w:val="en-US" w:eastAsia="zh-CN"/>
              </w:rPr>
              <w:t>名称</w:t>
            </w:r>
          </w:p>
        </w:tc>
        <w:tc>
          <w:tcPr>
            <w:tcW w:w="42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投标报价</w:t>
            </w:r>
          </w:p>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lang w:val="en-US" w:eastAsia="zh-CN"/>
              </w:rPr>
              <w:t>元/人</w:t>
            </w:r>
            <w:r>
              <w:rPr>
                <w:rFonts w:hint="eastAsia" w:ascii="宋体" w:hAnsi="宋体" w:eastAsia="宋体" w:cs="宋体"/>
                <w:b w:val="0"/>
                <w:color w:val="auto"/>
                <w:sz w:val="24"/>
                <w:highlight w:val="none"/>
                <w:lang w:eastAsia="zh-CN"/>
              </w:rPr>
              <w:t>）</w:t>
            </w:r>
          </w:p>
        </w:tc>
        <w:tc>
          <w:tcPr>
            <w:tcW w:w="443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val="0"/>
                <w:color w:val="auto"/>
                <w:sz w:val="24"/>
                <w:highlight w:val="none"/>
                <w:lang w:val="en-US" w:eastAsia="zh-CN"/>
              </w:rPr>
            </w:pPr>
            <w:r>
              <w:rPr>
                <w:rFonts w:hint="eastAsia" w:ascii="宋体" w:hAnsi="宋体" w:cs="宋体"/>
                <w:b w:val="0"/>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2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default" w:ascii="宋体" w:hAnsi="宋体" w:eastAsia="宋体" w:cs="宋体"/>
                <w:b w:val="0"/>
                <w:color w:val="auto"/>
                <w:sz w:val="24"/>
                <w:highlight w:val="none"/>
                <w:lang w:val="en-US" w:eastAsia="zh-CN"/>
              </w:rPr>
            </w:pPr>
          </w:p>
        </w:tc>
        <w:tc>
          <w:tcPr>
            <w:tcW w:w="428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val="0"/>
                <w:color w:val="auto"/>
                <w:sz w:val="24"/>
                <w:highlight w:val="none"/>
              </w:rPr>
            </w:pPr>
          </w:p>
        </w:tc>
        <w:tc>
          <w:tcPr>
            <w:tcW w:w="4432"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240" w:lineRule="auto"/>
              <w:ind w:leftChars="0"/>
              <w:jc w:val="center"/>
              <w:textAlignment w:val="auto"/>
              <w:rPr>
                <w:rFonts w:hint="eastAsia" w:ascii="宋体" w:hAnsi="宋体" w:eastAsia="宋体" w:cs="宋体"/>
                <w:b w:val="0"/>
                <w:color w:val="auto"/>
                <w:sz w:val="24"/>
                <w:highlight w:val="none"/>
              </w:rPr>
            </w:pPr>
          </w:p>
        </w:tc>
      </w:tr>
    </w:tbl>
    <w:p>
      <w:pPr>
        <w:keepNext w:val="0"/>
        <w:keepLines w:val="0"/>
        <w:pageBreakBefore w:val="0"/>
        <w:kinsoku/>
        <w:wordWrap/>
        <w:overflowPunct/>
        <w:topLinePunct w:val="0"/>
        <w:bidi w:val="0"/>
        <w:spacing w:line="360" w:lineRule="exact"/>
        <w:ind w:left="-2" w:leftChars="-1" w:firstLine="480" w:firstLineChars="200"/>
        <w:textAlignment w:val="auto"/>
        <w:rPr>
          <w:rFonts w:hint="eastAsia" w:cs="仿宋_GB2312" w:asciiTheme="minorEastAsia" w:hAnsiTheme="minorEastAsia" w:eastAsiaTheme="minorEastAsia"/>
          <w:b/>
          <w:bCs/>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b/>
          <w:bCs/>
          <w:kern w:val="0"/>
          <w:sz w:val="24"/>
          <w:lang w:val="zh-CN"/>
        </w:rPr>
        <w:t>1、本项目最高限价：</w:t>
      </w:r>
      <w:r>
        <w:rPr>
          <w:rFonts w:hint="eastAsia" w:cs="仿宋_GB2312" w:asciiTheme="minorEastAsia" w:hAnsiTheme="minorEastAsia" w:eastAsiaTheme="minorEastAsia"/>
          <w:b/>
          <w:bCs/>
          <w:kern w:val="0"/>
          <w:sz w:val="24"/>
          <w:lang w:val="en-US" w:eastAsia="zh-CN"/>
        </w:rPr>
        <w:t>3000元/人</w:t>
      </w:r>
      <w:r>
        <w:rPr>
          <w:rFonts w:hint="eastAsia" w:cs="仿宋_GB2312" w:asciiTheme="minorEastAsia" w:hAnsiTheme="minorEastAsia" w:eastAsiaTheme="minorEastAsia"/>
          <w:b/>
          <w:bCs/>
          <w:kern w:val="0"/>
          <w:sz w:val="24"/>
          <w:lang w:val="zh-CN"/>
        </w:rPr>
        <w:t>。</w:t>
      </w:r>
    </w:p>
    <w:p>
      <w:pPr>
        <w:keepNext w:val="0"/>
        <w:keepLines w:val="0"/>
        <w:pageBreakBefore w:val="0"/>
        <w:kinsoku/>
        <w:wordWrap/>
        <w:overflowPunct/>
        <w:topLinePunct w:val="0"/>
        <w:bidi w:val="0"/>
        <w:spacing w:line="360" w:lineRule="exact"/>
        <w:ind w:left="-2" w:leftChars="-1" w:firstLine="480" w:firstLineChars="200"/>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2、</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keepNext w:val="0"/>
        <w:keepLines w:val="0"/>
        <w:pageBreakBefore w:val="0"/>
        <w:kinsoku/>
        <w:wordWrap/>
        <w:overflowPunct/>
        <w:topLinePunct w:val="0"/>
        <w:bidi w:val="0"/>
        <w:snapToGrid w:val="0"/>
        <w:spacing w:line="360" w:lineRule="exact"/>
        <w:ind w:firstLine="480" w:firstLineChars="200"/>
        <w:jc w:val="left"/>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3</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keepNext w:val="0"/>
        <w:keepLines w:val="0"/>
        <w:pageBreakBefore w:val="0"/>
        <w:kinsoku/>
        <w:wordWrap/>
        <w:overflowPunct/>
        <w:topLinePunct w:val="0"/>
        <w:bidi w:val="0"/>
        <w:snapToGrid w:val="0"/>
        <w:spacing w:line="360" w:lineRule="exact"/>
        <w:ind w:firstLine="480" w:firstLineChars="200"/>
        <w:jc w:val="left"/>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4</w:t>
      </w:r>
      <w:r>
        <w:rPr>
          <w:rFonts w:hint="eastAsia" w:cs="仿宋_GB2312" w:asciiTheme="minorEastAsia" w:hAnsiTheme="minorEastAsia" w:eastAsiaTheme="minorEastAsia"/>
          <w:kern w:val="0"/>
          <w:sz w:val="24"/>
          <w:lang w:val="zh-CN"/>
        </w:rPr>
        <w:t>、特别提示：采购代理机构将对项目名称和项目编号，成交供应商名称、地址和成交金额，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keepNext w:val="0"/>
        <w:keepLines w:val="0"/>
        <w:pageBreakBefore w:val="0"/>
        <w:kinsoku/>
        <w:wordWrap/>
        <w:overflowPunct/>
        <w:topLinePunct w:val="0"/>
        <w:bidi w:val="0"/>
        <w:spacing w:line="360" w:lineRule="exact"/>
        <w:ind w:firstLine="480" w:firstLineChars="200"/>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szCs w:val="22"/>
          <w:lang w:val="en-US" w:eastAsia="zh-CN"/>
        </w:rPr>
        <w:t>5</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keepNext w:val="0"/>
        <w:keepLines w:val="0"/>
        <w:pageBreakBefore w:val="0"/>
        <w:kinsoku/>
        <w:wordWrap/>
        <w:overflowPunct/>
        <w:topLinePunct w:val="0"/>
        <w:bidi w:val="0"/>
        <w:spacing w:line="360" w:lineRule="exact"/>
        <w:ind w:firstLine="10080" w:firstLineChars="4200"/>
        <w:textAlignment w:val="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keepNext w:val="0"/>
        <w:keepLines w:val="0"/>
        <w:pageBreakBefore w:val="0"/>
        <w:kinsoku/>
        <w:wordWrap/>
        <w:overflowPunct/>
        <w:topLinePunct w:val="0"/>
        <w:autoSpaceDE w:val="0"/>
        <w:autoSpaceDN w:val="0"/>
        <w:bidi w:val="0"/>
        <w:spacing w:line="360" w:lineRule="exact"/>
        <w:ind w:left="5040" w:hanging="5040" w:hangingChars="2100"/>
        <w:textAlignment w:val="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lang w:val="en-US" w:eastAsia="zh-CN"/>
        </w:rPr>
        <w:t xml:space="preserve">                                        </w:t>
      </w:r>
      <w:r>
        <w:rPr>
          <w:rFonts w:hint="eastAsia" w:cs="仿宋_GB2312" w:asciiTheme="minorEastAsia" w:hAnsiTheme="minorEastAsia" w:eastAsiaTheme="minorEastAsia"/>
          <w:kern w:val="0"/>
          <w:sz w:val="24"/>
          <w:lang w:val="zh-CN"/>
        </w:rPr>
        <w:t>日期：    年  月   日</w:t>
      </w:r>
    </w:p>
    <w:p>
      <w:pPr>
        <w:keepNext w:val="0"/>
        <w:keepLines w:val="0"/>
        <w:pageBreakBefore w:val="0"/>
        <w:widowControl/>
        <w:kinsoku/>
        <w:wordWrap/>
        <w:overflowPunct/>
        <w:topLinePunct w:val="0"/>
        <w:bidi w:val="0"/>
        <w:adjustRightInd/>
        <w:spacing w:line="360" w:lineRule="exact"/>
        <w:jc w:val="left"/>
        <w:textAlignment w:val="auto"/>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bookmarkStart w:id="113" w:name="_Toc465665161"/>
      <w:r>
        <w:rPr>
          <w:rFonts w:hint="eastAsia" w:cs="仿宋_GB2312" w:asciiTheme="minorEastAsia" w:hAnsiTheme="minorEastAsia" w:eastAsiaTheme="minorEastAsia"/>
        </w:rPr>
        <w:t>附件</w:t>
      </w:r>
      <w:bookmarkEnd w:id="113"/>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地址：邮编：</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联系人：联系电话：</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 邮编：</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质疑项目的编号：包号：</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p>
    <w:p>
      <w:pPr>
        <w:snapToGrid w:val="0"/>
        <w:spacing w:line="360" w:lineRule="auto"/>
        <w:rPr>
          <w:rFonts w:cs="仿宋_GB2312" w:asciiTheme="minorEastAsia" w:hAnsiTheme="minorEastAsia" w:eastAsiaTheme="minorEastAsia"/>
          <w:sz w:val="24"/>
          <w:u w:val="dotted"/>
        </w:rPr>
      </w:pP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址：邮编：</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址：邮编：</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联系人：联系电话：</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采购项目编号：包号：</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投诉人于年月日,向提出质疑，质疑事项为：</w:t>
      </w:r>
    </w:p>
    <w:p>
      <w:pPr>
        <w:spacing w:line="360" w:lineRule="auto"/>
        <w:rPr>
          <w:rFonts w:cs="仿宋_GB2312" w:asciiTheme="minorEastAsia" w:hAnsiTheme="minorEastAsia" w:eastAsiaTheme="minorEastAsia"/>
          <w:sz w:val="24"/>
          <w:u w:val="dotted"/>
        </w:rPr>
      </w:pP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于年月日,就质疑事项作出了答复/没有在法定期限内作出答复。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p>
    <w:p>
      <w:pPr>
        <w:spacing w:line="360" w:lineRule="auto"/>
        <w:rPr>
          <w:rFonts w:cs="仿宋_GB2312" w:asciiTheme="minorEastAsia" w:hAnsiTheme="minorEastAsia" w:eastAsiaTheme="minorEastAsia"/>
          <w:sz w:val="24"/>
          <w:u w:val="dotted"/>
        </w:rPr>
      </w:pP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p>
    <w:p>
      <w:pPr>
        <w:spacing w:line="360" w:lineRule="auto"/>
        <w:rPr>
          <w:rFonts w:cs="仿宋_GB2312" w:asciiTheme="minorEastAsia" w:hAnsiTheme="minorEastAsia" w:eastAsiaTheme="minorEastAsia"/>
          <w:sz w:val="24"/>
          <w:u w:val="dotted"/>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p>
    <w:p>
      <w:pPr>
        <w:spacing w:line="360" w:lineRule="auto"/>
        <w:rPr>
          <w:rFonts w:cs="仿宋_GB2312" w:asciiTheme="minorEastAsia" w:hAnsiTheme="minorEastAsia" w:eastAsiaTheme="minorEastAsia"/>
          <w:sz w:val="24"/>
          <w:u w:val="single"/>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FjFc0jkCAACABAAADgAAAAAAAAABACAAAAAnAQAAZHJz&#10;L2Uyb0RvYy54bWxQSwUGAAAAAAYABgBZAQAA0gU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Mq0s6DcCAAB+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0P&#10;lab0yPfkWOf8GsoDuYfQjS1dWlrUgF84a2hkCx4+bwUqzswbRx2YDIbDdsZTMBxd5RTgZWZ9mRFO&#10;ElTBI2fdchG7e7H1qDc1nTRIih3cUNcqnfxs+XWsqA9tQGOZOnK8Qu3cX8ap6s9vY/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YxHptgAAAAKAQAADwAAAAAAAAABACAAAAAiAAAAZHJzL2Rvd25y&#10;ZXYueG1sUEsBAhQAFAAAAAgAh07iQDKtLOg3AgAAfgQAAA4AAAAAAAAAAQAgAAAAJwEAAGRycy9l&#10;Mm9Eb2MueG1sUEsFBgAAAAAGAAYAWQEAANA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4"/>
      </w:rPr>
    </w:pPr>
    <w:r>
      <w:fldChar w:fldCharType="begin"/>
    </w:r>
    <w:r>
      <w:rPr>
        <w:rStyle w:val="6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4"/>
      </w:rPr>
    </w:pPr>
    <w:r>
      <w:fldChar w:fldCharType="begin"/>
    </w:r>
    <w:r>
      <w:rPr>
        <w:rStyle w:val="64"/>
      </w:rPr>
      <w:instrText xml:space="preserve">PAGE  </w:instrTex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14" w:name="_Toc36110187"/>
    <w:bookmarkStart w:id="115" w:name="_Toc164085800"/>
    <w:bookmarkStart w:id="116" w:name="_Toc131845147"/>
    <w:bookmarkStart w:id="117" w:name="_Toc91899912"/>
    <w:r>
      <w:rPr>
        <w:rFonts w:hint="eastAsia" w:ascii="仿宋_GB2312" w:eastAsia="仿宋_GB2312"/>
        <w:kern w:val="0"/>
        <w:szCs w:val="21"/>
      </w:rPr>
      <w:t xml:space="preserve"> 页</w:t>
    </w:r>
    <w:bookmarkEnd w:id="114"/>
    <w:bookmarkEnd w:id="115"/>
    <w:bookmarkEnd w:id="116"/>
    <w:bookmarkEnd w:id="11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180" w:firstLineChars="100"/>
      <w:jc w:val="right"/>
      <w:rPr>
        <w:rFonts w:ascii="仿宋_GB2312" w:eastAsia="仿宋_GB2312"/>
        <w:b w:val="0"/>
        <w:i/>
        <w:sz w:val="18"/>
        <w:u w:val="single"/>
      </w:rPr>
    </w:pPr>
    <w:r>
      <w:rPr>
        <w:rFonts w:hint="eastAsia" w:eastAsia="仿宋_GB2312"/>
        <w:b w:val="0"/>
        <w:i/>
        <w:sz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1566"/>
        </w:tabs>
        <w:ind w:left="1566" w:hanging="432"/>
      </w:pPr>
      <w:rPr>
        <w:lang w:val="en-US"/>
      </w:rPr>
    </w:lvl>
    <w:lvl w:ilvl="1" w:tentative="0">
      <w:start w:val="1"/>
      <w:numFmt w:val="decimal"/>
      <w:lvlText w:val="%1.%2"/>
      <w:lvlJc w:val="left"/>
      <w:pPr>
        <w:tabs>
          <w:tab w:val="left" w:pos="1994"/>
        </w:tabs>
        <w:ind w:left="1994" w:hanging="576"/>
      </w:pPr>
    </w:lvl>
    <w:lvl w:ilvl="2" w:tentative="0">
      <w:start w:val="1"/>
      <w:numFmt w:val="decimal"/>
      <w:lvlText w:val="%1.%2.%3"/>
      <w:lvlJc w:val="left"/>
      <w:pPr>
        <w:tabs>
          <w:tab w:val="left" w:pos="1854"/>
        </w:tabs>
        <w:ind w:left="1854" w:hanging="720"/>
      </w:pPr>
    </w:lvl>
    <w:lvl w:ilvl="3" w:tentative="0">
      <w:start w:val="1"/>
      <w:numFmt w:val="decimal"/>
      <w:lvlText w:val="%1.%2.%3.%4"/>
      <w:lvlJc w:val="left"/>
      <w:pPr>
        <w:tabs>
          <w:tab w:val="left" w:pos="1998"/>
        </w:tabs>
        <w:ind w:left="1998" w:hanging="864"/>
      </w:pPr>
    </w:lvl>
    <w:lvl w:ilvl="4" w:tentative="0">
      <w:start w:val="1"/>
      <w:numFmt w:val="decimal"/>
      <w:lvlText w:val="%1.%2.%3.%4.%5"/>
      <w:lvlJc w:val="left"/>
      <w:pPr>
        <w:tabs>
          <w:tab w:val="left" w:pos="2142"/>
        </w:tabs>
        <w:ind w:left="2142" w:hanging="1008"/>
      </w:pPr>
    </w:lvl>
    <w:lvl w:ilvl="5" w:tentative="0">
      <w:start w:val="1"/>
      <w:numFmt w:val="decimal"/>
      <w:lvlText w:val="%1.%2.%3.%4.%5.%6"/>
      <w:lvlJc w:val="left"/>
      <w:pPr>
        <w:tabs>
          <w:tab w:val="left" w:pos="2286"/>
        </w:tabs>
        <w:ind w:left="2286" w:hanging="1152"/>
      </w:pPr>
    </w:lvl>
    <w:lvl w:ilvl="6" w:tentative="0">
      <w:start w:val="1"/>
      <w:numFmt w:val="decimal"/>
      <w:lvlText w:val="%1.%2.%3.%4.%5.%6.%7"/>
      <w:lvlJc w:val="left"/>
      <w:pPr>
        <w:tabs>
          <w:tab w:val="left" w:pos="2430"/>
        </w:tabs>
        <w:ind w:left="2430" w:hanging="1296"/>
      </w:pPr>
    </w:lvl>
    <w:lvl w:ilvl="7" w:tentative="0">
      <w:start w:val="1"/>
      <w:numFmt w:val="decimal"/>
      <w:lvlText w:val="%1.%2.%3.%4.%5.%6.%7.%8"/>
      <w:lvlJc w:val="left"/>
      <w:pPr>
        <w:tabs>
          <w:tab w:val="left" w:pos="2574"/>
        </w:tabs>
        <w:ind w:left="2574" w:hanging="1440"/>
      </w:pPr>
    </w:lvl>
    <w:lvl w:ilvl="8" w:tentative="0">
      <w:start w:val="1"/>
      <w:numFmt w:val="decimal"/>
      <w:lvlText w:val="%1.%2.%3.%4.%5.%6.%7.%8.%9"/>
      <w:lvlJc w:val="left"/>
      <w:pPr>
        <w:tabs>
          <w:tab w:val="left" w:pos="2718"/>
        </w:tabs>
        <w:ind w:left="2718"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e 1989">
    <w15:presenceInfo w15:providerId="WPS Office" w15:userId="742384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Yzg1OGMwMTg4ODE4M2Q2MjAwZDRlZDA2ODc1ZTQifQ=="/>
    <w:docVar w:name="KSO_WPS_MARK_KEY" w:val="3bec9db5-d863-428f-935a-0a24a7bc66b2"/>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1C85"/>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54"/>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5A9E"/>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6FF0"/>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5E8C"/>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5A7F"/>
    <w:rsid w:val="0044739A"/>
    <w:rsid w:val="004475F7"/>
    <w:rsid w:val="00447DFB"/>
    <w:rsid w:val="00450B22"/>
    <w:rsid w:val="004533CE"/>
    <w:rsid w:val="004543AB"/>
    <w:rsid w:val="00455F71"/>
    <w:rsid w:val="00456272"/>
    <w:rsid w:val="004562E0"/>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59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6B9"/>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605F"/>
    <w:rsid w:val="005A733D"/>
    <w:rsid w:val="005A7A32"/>
    <w:rsid w:val="005A7F85"/>
    <w:rsid w:val="005B102C"/>
    <w:rsid w:val="005B1AAB"/>
    <w:rsid w:val="005B2930"/>
    <w:rsid w:val="005B2B87"/>
    <w:rsid w:val="005B387B"/>
    <w:rsid w:val="005B3B01"/>
    <w:rsid w:val="005B4333"/>
    <w:rsid w:val="005B4534"/>
    <w:rsid w:val="005B4683"/>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183"/>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707"/>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6BA7"/>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34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6F7"/>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5A71"/>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63C6"/>
    <w:rsid w:val="00887392"/>
    <w:rsid w:val="00890C40"/>
    <w:rsid w:val="008911F7"/>
    <w:rsid w:val="00893F41"/>
    <w:rsid w:val="00894BBD"/>
    <w:rsid w:val="00894C79"/>
    <w:rsid w:val="0089558A"/>
    <w:rsid w:val="008972B6"/>
    <w:rsid w:val="008977E1"/>
    <w:rsid w:val="008A0939"/>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9C6"/>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5F"/>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354E"/>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624"/>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4E0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C36"/>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C71F4"/>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2E8"/>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46BA7"/>
    <w:rsid w:val="00D5064C"/>
    <w:rsid w:val="00D5098E"/>
    <w:rsid w:val="00D51B02"/>
    <w:rsid w:val="00D539DA"/>
    <w:rsid w:val="00D53A97"/>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150D"/>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6E76"/>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6B85776"/>
    <w:rsid w:val="06C12F44"/>
    <w:rsid w:val="073562D9"/>
    <w:rsid w:val="075562B7"/>
    <w:rsid w:val="07F6164B"/>
    <w:rsid w:val="087A1B7A"/>
    <w:rsid w:val="096B2097"/>
    <w:rsid w:val="09803A75"/>
    <w:rsid w:val="09D92F4C"/>
    <w:rsid w:val="0A5B7E63"/>
    <w:rsid w:val="0C87121B"/>
    <w:rsid w:val="0CC36CDC"/>
    <w:rsid w:val="0DF702FE"/>
    <w:rsid w:val="0E3F698B"/>
    <w:rsid w:val="0F21508F"/>
    <w:rsid w:val="0F816ACD"/>
    <w:rsid w:val="0FB94501"/>
    <w:rsid w:val="10B047CF"/>
    <w:rsid w:val="10FC16EA"/>
    <w:rsid w:val="11896031"/>
    <w:rsid w:val="118963A1"/>
    <w:rsid w:val="127723A9"/>
    <w:rsid w:val="12A51281"/>
    <w:rsid w:val="13072A44"/>
    <w:rsid w:val="145044FA"/>
    <w:rsid w:val="15177660"/>
    <w:rsid w:val="16473B11"/>
    <w:rsid w:val="16E013F5"/>
    <w:rsid w:val="186742B0"/>
    <w:rsid w:val="19B778F5"/>
    <w:rsid w:val="1A9557A0"/>
    <w:rsid w:val="1B2A271F"/>
    <w:rsid w:val="1B890139"/>
    <w:rsid w:val="1D266CE1"/>
    <w:rsid w:val="1D3963AF"/>
    <w:rsid w:val="1DA104B8"/>
    <w:rsid w:val="1DD5149E"/>
    <w:rsid w:val="1E714A66"/>
    <w:rsid w:val="1EC334E7"/>
    <w:rsid w:val="1F8649B4"/>
    <w:rsid w:val="1FE868A9"/>
    <w:rsid w:val="211E26D6"/>
    <w:rsid w:val="2122555A"/>
    <w:rsid w:val="21283D08"/>
    <w:rsid w:val="212C6150"/>
    <w:rsid w:val="213A031C"/>
    <w:rsid w:val="25B440B3"/>
    <w:rsid w:val="269C5E99"/>
    <w:rsid w:val="26E232A1"/>
    <w:rsid w:val="26E37286"/>
    <w:rsid w:val="26F8651C"/>
    <w:rsid w:val="29560D14"/>
    <w:rsid w:val="29A07EBA"/>
    <w:rsid w:val="2AA1365A"/>
    <w:rsid w:val="2DD15014"/>
    <w:rsid w:val="2E144C32"/>
    <w:rsid w:val="2E8A5925"/>
    <w:rsid w:val="2F6C0937"/>
    <w:rsid w:val="2FD25781"/>
    <w:rsid w:val="311D0BA4"/>
    <w:rsid w:val="319C6071"/>
    <w:rsid w:val="322D17D7"/>
    <w:rsid w:val="32D11138"/>
    <w:rsid w:val="32DB72BE"/>
    <w:rsid w:val="33E00420"/>
    <w:rsid w:val="342E63AB"/>
    <w:rsid w:val="345D260B"/>
    <w:rsid w:val="365302AE"/>
    <w:rsid w:val="371545F7"/>
    <w:rsid w:val="37F142D2"/>
    <w:rsid w:val="38D643C9"/>
    <w:rsid w:val="39A13F14"/>
    <w:rsid w:val="3C5F759A"/>
    <w:rsid w:val="3D5C78D4"/>
    <w:rsid w:val="3FFF72A6"/>
    <w:rsid w:val="40EC1976"/>
    <w:rsid w:val="42173A7D"/>
    <w:rsid w:val="42E1381E"/>
    <w:rsid w:val="433067C3"/>
    <w:rsid w:val="435834B4"/>
    <w:rsid w:val="43776D56"/>
    <w:rsid w:val="43FB717C"/>
    <w:rsid w:val="451E447A"/>
    <w:rsid w:val="45345B76"/>
    <w:rsid w:val="45F975FD"/>
    <w:rsid w:val="47307808"/>
    <w:rsid w:val="486F747C"/>
    <w:rsid w:val="4D861CF6"/>
    <w:rsid w:val="4ECB4DD1"/>
    <w:rsid w:val="4FA61C26"/>
    <w:rsid w:val="51A0432A"/>
    <w:rsid w:val="520733A7"/>
    <w:rsid w:val="527140E5"/>
    <w:rsid w:val="5292508F"/>
    <w:rsid w:val="52A96B6F"/>
    <w:rsid w:val="550764A4"/>
    <w:rsid w:val="551926E0"/>
    <w:rsid w:val="55D76602"/>
    <w:rsid w:val="561279B9"/>
    <w:rsid w:val="56515F3B"/>
    <w:rsid w:val="572B71CA"/>
    <w:rsid w:val="575571DE"/>
    <w:rsid w:val="57F26909"/>
    <w:rsid w:val="58914083"/>
    <w:rsid w:val="58AE4F0C"/>
    <w:rsid w:val="5A2A7C7B"/>
    <w:rsid w:val="5C09211A"/>
    <w:rsid w:val="5C80234E"/>
    <w:rsid w:val="5E261785"/>
    <w:rsid w:val="5F5F18D7"/>
    <w:rsid w:val="5FCC5339"/>
    <w:rsid w:val="5FE70807"/>
    <w:rsid w:val="608149C3"/>
    <w:rsid w:val="60E53485"/>
    <w:rsid w:val="61054A27"/>
    <w:rsid w:val="61142171"/>
    <w:rsid w:val="611D2366"/>
    <w:rsid w:val="62885958"/>
    <w:rsid w:val="64CE2EAA"/>
    <w:rsid w:val="662E75B1"/>
    <w:rsid w:val="66342C2E"/>
    <w:rsid w:val="663E784C"/>
    <w:rsid w:val="67B00D73"/>
    <w:rsid w:val="680D6276"/>
    <w:rsid w:val="685867EC"/>
    <w:rsid w:val="6D816DA2"/>
    <w:rsid w:val="6E8E12EF"/>
    <w:rsid w:val="70352328"/>
    <w:rsid w:val="7119579E"/>
    <w:rsid w:val="71C106D6"/>
    <w:rsid w:val="71D43752"/>
    <w:rsid w:val="739F5555"/>
    <w:rsid w:val="73DD6243"/>
    <w:rsid w:val="741E2566"/>
    <w:rsid w:val="749C4185"/>
    <w:rsid w:val="75111D6A"/>
    <w:rsid w:val="75DA2C18"/>
    <w:rsid w:val="77026956"/>
    <w:rsid w:val="775319EF"/>
    <w:rsid w:val="790F1C77"/>
    <w:rsid w:val="7A67303B"/>
    <w:rsid w:val="7AAB1D04"/>
    <w:rsid w:val="7ABA4368"/>
    <w:rsid w:val="7B257FFD"/>
    <w:rsid w:val="7C2B1DA5"/>
    <w:rsid w:val="7DF4317E"/>
    <w:rsid w:val="7E64308B"/>
    <w:rsid w:val="7EAC7B3E"/>
    <w:rsid w:val="CFFFFFB6"/>
    <w:rsid w:val="FFB97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next w:val="17"/>
    <w:link w:val="614"/>
    <w:semiHidden/>
    <w:qFormat/>
    <w:uiPriority w:val="0"/>
    <w:rPr>
      <w:sz w:val="18"/>
      <w:szCs w:val="18"/>
    </w:rPr>
  </w:style>
  <w:style w:type="paragraph" w:styleId="17">
    <w:name w:val="toc 8"/>
    <w:basedOn w:val="1"/>
    <w:next w:val="1"/>
    <w:qFormat/>
    <w:uiPriority w:val="0"/>
    <w:pPr>
      <w:ind w:left="2940" w:leftChars="1400"/>
    </w:p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3"/>
    <w:qFormat/>
    <w:uiPriority w:val="99"/>
    <w:pPr>
      <w:jc w:val="left"/>
    </w:pPr>
  </w:style>
  <w:style w:type="paragraph" w:styleId="22">
    <w:name w:val="Salutation"/>
    <w:basedOn w:val="1"/>
    <w:next w:val="1"/>
    <w:link w:val="481"/>
    <w:qFormat/>
    <w:uiPriority w:val="0"/>
    <w:rPr>
      <w:rFonts w:ascii="仿宋_GB2312" w:eastAsia="仿宋_GB2312"/>
      <w:sz w:val="28"/>
      <w:szCs w:val="20"/>
    </w:rPr>
  </w:style>
  <w:style w:type="paragraph" w:styleId="23">
    <w:name w:val="Body Text 3"/>
    <w:basedOn w:val="1"/>
    <w:link w:val="580"/>
    <w:qFormat/>
    <w:uiPriority w:val="0"/>
    <w:pPr>
      <w:jc w:val="center"/>
    </w:pPr>
    <w:rPr>
      <w:szCs w:val="20"/>
    </w:rPr>
  </w:style>
  <w:style w:type="paragraph" w:styleId="24">
    <w:name w:val="Body Text"/>
    <w:basedOn w:val="1"/>
    <w:next w:val="25"/>
    <w:link w:val="511"/>
    <w:qFormat/>
    <w:uiPriority w:val="0"/>
    <w:pPr>
      <w:autoSpaceDE w:val="0"/>
      <w:autoSpaceDN w:val="0"/>
      <w:spacing w:line="360" w:lineRule="auto"/>
    </w:pPr>
    <w:rPr>
      <w:rFonts w:ascii="宋体"/>
      <w:sz w:val="24"/>
      <w:szCs w:val="21"/>
      <w:lang w:val="zh-CN"/>
    </w:rPr>
  </w:style>
  <w:style w:type="paragraph" w:styleId="25">
    <w:name w:val="Body Text First Indent"/>
    <w:basedOn w:val="24"/>
    <w:next w:val="26"/>
    <w:link w:val="544"/>
    <w:qFormat/>
    <w:uiPriority w:val="0"/>
    <w:pPr>
      <w:ind w:firstLine="420"/>
    </w:pPr>
    <w:rPr>
      <w:szCs w:val="20"/>
    </w:rPr>
  </w:style>
  <w:style w:type="paragraph" w:styleId="26">
    <w:name w:val="toc 6"/>
    <w:basedOn w:val="1"/>
    <w:next w:val="1"/>
    <w:qFormat/>
    <w:uiPriority w:val="0"/>
    <w:pPr>
      <w:ind w:left="2100" w:leftChars="1000"/>
    </w:pPr>
  </w:style>
  <w:style w:type="paragraph" w:styleId="27">
    <w:name w:val="Body Text Indent"/>
    <w:basedOn w:val="1"/>
    <w:next w:val="15"/>
    <w:link w:val="47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488"/>
    <w:qFormat/>
    <w:uiPriority w:val="0"/>
    <w:rPr>
      <w:rFonts w:ascii="宋体" w:hAnsi="Courier New"/>
      <w:szCs w:val="20"/>
    </w:rPr>
  </w:style>
  <w:style w:type="paragraph" w:styleId="36">
    <w:name w:val="toc 2"/>
    <w:basedOn w:val="1"/>
    <w:next w:val="1"/>
    <w:qFormat/>
    <w:uiPriority w:val="0"/>
    <w:pPr>
      <w:ind w:left="420" w:leftChars="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Date"/>
    <w:basedOn w:val="1"/>
    <w:next w:val="1"/>
    <w:link w:val="597"/>
    <w:qFormat/>
    <w:uiPriority w:val="0"/>
    <w:pPr>
      <w:ind w:left="100" w:leftChars="2500"/>
    </w:pPr>
    <w:rPr>
      <w:rFonts w:ascii="宋体"/>
      <w:sz w:val="24"/>
      <w:szCs w:val="21"/>
      <w:lang w:val="zh-CN"/>
    </w:rPr>
  </w:style>
  <w:style w:type="paragraph" w:styleId="39">
    <w:name w:val="Body Text Indent 2"/>
    <w:basedOn w:val="1"/>
    <w:link w:val="502"/>
    <w:qFormat/>
    <w:uiPriority w:val="0"/>
    <w:pPr>
      <w:spacing w:line="360" w:lineRule="auto"/>
      <w:ind w:firstLine="601"/>
      <w:textAlignment w:val="baseline"/>
    </w:pPr>
    <w:rPr>
      <w:rFonts w:ascii="宋体"/>
      <w:kern w:val="0"/>
      <w:sz w:val="28"/>
      <w:szCs w:val="20"/>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2"/>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7"/>
    <w:qFormat/>
    <w:uiPriority w:val="0"/>
    <w:pPr>
      <w:spacing w:line="360" w:lineRule="auto"/>
      <w:ind w:firstLine="420"/>
    </w:pPr>
    <w:rPr>
      <w:sz w:val="24"/>
      <w:szCs w:val="20"/>
    </w:r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1"/>
    <w:next w:val="21"/>
    <w:semiHidden/>
    <w:qFormat/>
    <w:uiPriority w:val="0"/>
    <w:rPr>
      <w:b/>
      <w:bCs/>
    </w:rPr>
  </w:style>
  <w:style w:type="paragraph" w:styleId="59">
    <w:name w:val="Body Text First Indent 2"/>
    <w:basedOn w:val="27"/>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autoRedefine/>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next w:val="99"/>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Lines="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9"/>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8"/>
    <w:next w:val="98"/>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89"/>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2"/>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50"/>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7"/>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2"/>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7"/>
    <w:qFormat/>
    <w:uiPriority w:val="0"/>
    <w:rPr>
      <w:rFonts w:ascii="Arial" w:hAnsi="Arial" w:eastAsia="隶书"/>
      <w:b/>
      <w:bCs/>
      <w:kern w:val="28"/>
      <w:sz w:val="44"/>
      <w:szCs w:val="32"/>
      <w:lang w:val="en-US" w:eastAsia="zh-CN" w:bidi="ar-SA"/>
    </w:rPr>
  </w:style>
  <w:style w:type="character" w:customStyle="1" w:styleId="48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9"/>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2"/>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5"/>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2"/>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3"/>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2"/>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8"/>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2"/>
    <w:qFormat/>
    <w:uiPriority w:val="0"/>
    <w:rPr>
      <w:rFonts w:ascii="宋体" w:eastAsia="宋体"/>
      <w:snapToGrid w:val="0"/>
      <w:color w:val="000000"/>
      <w:kern w:val="28"/>
      <w:sz w:val="28"/>
      <w:lang w:val="en-US" w:eastAsia="zh-CN" w:bidi="ar-SA"/>
    </w:rPr>
  </w:style>
  <w:style w:type="character" w:customStyle="1" w:styleId="613">
    <w:name w:val="批注文字 Char1"/>
    <w:link w:val="21"/>
    <w:qFormat/>
    <w:uiPriority w:val="99"/>
    <w:rPr>
      <w:kern w:val="2"/>
      <w:sz w:val="21"/>
      <w:szCs w:val="24"/>
    </w:rPr>
  </w:style>
  <w:style w:type="character" w:customStyle="1" w:styleId="614">
    <w:name w:val="批注框文本 Char"/>
    <w:link w:val="1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8"/>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A_正文_注释"/>
    <w:basedOn w:val="1"/>
    <w:qFormat/>
    <w:uiPriority w:val="0"/>
    <w:pPr>
      <w:tabs>
        <w:tab w:val="left" w:pos="1547"/>
      </w:tabs>
      <w:ind w:firstLine="600"/>
    </w:pPr>
    <w:rPr>
      <w:rFonts w:eastAsia="仿宋"/>
      <w:color w:val="0070C0"/>
    </w:rPr>
  </w:style>
  <w:style w:type="paragraph" w:customStyle="1" w:styleId="632">
    <w:name w:val="PlainText"/>
    <w:basedOn w:val="1"/>
    <w:qFormat/>
    <w:uiPriority w:val="0"/>
    <w:pPr>
      <w:spacing w:before="156" w:after="156" w:line="400" w:lineRule="exact"/>
    </w:pPr>
    <w:rPr>
      <w:rFonts w:ascii="宋体" w:hAnsi="Courier New" w:cs="Times New Roman"/>
      <w:sz w:val="24"/>
      <w:szCs w:val="24"/>
    </w:rPr>
  </w:style>
  <w:style w:type="character" w:customStyle="1" w:styleId="633">
    <w:name w:val="font51"/>
    <w:basedOn w:val="62"/>
    <w:autoRedefine/>
    <w:qFormat/>
    <w:uiPriority w:val="0"/>
    <w:rPr>
      <w:rFonts w:hint="eastAsia" w:ascii="宋体" w:hAnsi="宋体" w:eastAsia="宋体" w:cs="宋体"/>
      <w:color w:val="000000"/>
      <w:sz w:val="22"/>
      <w:szCs w:val="22"/>
      <w:u w:val="none"/>
    </w:rPr>
  </w:style>
  <w:style w:type="paragraph" w:customStyle="1" w:styleId="634">
    <w:name w:val="Plain Text"/>
    <w:basedOn w:val="1"/>
    <w:autoRedefine/>
    <w:qFormat/>
    <w:uiPriority w:val="0"/>
    <w:pPr>
      <w:spacing w:before="156" w:beforeLines="50" w:after="156"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36406</Words>
  <Characters>38374</Characters>
  <Lines>321</Lines>
  <Paragraphs>90</Paragraphs>
  <TotalTime>34</TotalTime>
  <ScaleCrop>false</ScaleCrop>
  <LinksUpToDate>false</LinksUpToDate>
  <CharactersWithSpaces>40564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宇佳</cp:lastModifiedBy>
  <cp:lastPrinted>2023-09-26T00:33:00Z</cp:lastPrinted>
  <dcterms:modified xsi:type="dcterms:W3CDTF">2024-05-30T11:33:09Z</dcterms:modified>
  <dc:title>杭州市市民卡扩大发卡工程</dc:title>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B662A364477F4EA0B4D5A3ADD155E9D1_13</vt:lpwstr>
  </property>
</Properties>
</file>