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36"/>
          <w:szCs w:val="36"/>
          <w:highlight w:val="none"/>
          <w:lang w:eastAsia="zh-CN"/>
        </w:rPr>
        <w:t>2025年杭州市钱塘区建筑工程消防验收第三方服务项目</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ind w:firstLine="3000" w:firstLineChars="1000"/>
        <w:jc w:val="both"/>
        <w:rPr>
          <w:rFonts w:hint="default" w:ascii="宋体" w:hAnsi="宋体" w:eastAsia="宋体" w:cs="宋体"/>
          <w:color w:val="auto"/>
          <w:sz w:val="28"/>
          <w:szCs w:val="20"/>
          <w:highlight w:val="none"/>
          <w:lang w:val="en-US" w:eastAsia="zh-CN"/>
        </w:rPr>
      </w:pPr>
      <w:r>
        <w:rPr>
          <w:rFonts w:hint="eastAsia" w:ascii="宋体" w:hAnsi="宋体" w:cs="宋体"/>
          <w:color w:val="auto"/>
          <w:sz w:val="30"/>
          <w:szCs w:val="30"/>
          <w:highlight w:val="none"/>
        </w:rPr>
        <w:t>编号:QTCG-GK-2025-084</w:t>
      </w: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pStyle w:val="5"/>
        <w:rPr>
          <w:color w:val="auto"/>
          <w:highlight w:val="none"/>
        </w:rPr>
      </w:pPr>
    </w:p>
    <w:p>
      <w:pPr>
        <w:pStyle w:val="2"/>
        <w:rPr>
          <w:rFonts w:hAnsi="宋体" w:cs="宋体"/>
          <w:b/>
          <w:color w:val="auto"/>
          <w:sz w:val="44"/>
          <w:szCs w:val="44"/>
          <w:highlight w:val="none"/>
        </w:rPr>
      </w:pPr>
    </w:p>
    <w:p>
      <w:pPr>
        <w:pStyle w:val="3"/>
        <w:rPr>
          <w:color w:val="auto"/>
          <w:highlight w:val="none"/>
        </w:rPr>
      </w:pPr>
    </w:p>
    <w:p>
      <w:pPr>
        <w:spacing w:line="360" w:lineRule="auto"/>
        <w:rPr>
          <w:rFonts w:ascii="宋体" w:hAnsi="宋体" w:cs="宋体"/>
          <w:color w:val="auto"/>
          <w:sz w:val="32"/>
          <w:szCs w:val="32"/>
          <w:highlight w:val="none"/>
        </w:rPr>
      </w:pPr>
    </w:p>
    <w:p>
      <w:pPr>
        <w:pStyle w:val="5"/>
        <w:ind w:left="0" w:leftChars="0" w:firstLine="0" w:firstLineChars="0"/>
        <w:rPr>
          <w:color w:val="auto"/>
          <w:highlight w:val="none"/>
        </w:rPr>
      </w:pPr>
    </w:p>
    <w:p>
      <w:pPr>
        <w:rPr>
          <w:color w:val="auto"/>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杭州市钱塘区住房和城乡建设局</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0</w:t>
      </w:r>
      <w:r>
        <w:rPr>
          <w:rFonts w:hint="default"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月</w:t>
      </w:r>
      <w:r>
        <w:rPr>
          <w:rFonts w:hint="default" w:ascii="宋体" w:hAnsi="宋体" w:cs="宋体"/>
          <w:bCs/>
          <w:color w:val="auto"/>
          <w:sz w:val="32"/>
          <w:szCs w:val="32"/>
          <w:highlight w:val="none"/>
          <w:lang w:val="en-US" w:eastAsia="zh-CN"/>
        </w:rPr>
        <w:t>15</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2025年杭州市钱塘区建筑工程消防验收第三方服务项目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highlight w:val="none"/>
          <w:u w:val="single"/>
          <w:lang w:val="en-US" w:eastAsia="zh-CN"/>
        </w:rPr>
        <w:t>8</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highlight w:val="none"/>
          <w:u w:val="single"/>
          <w:lang w:val="en-US" w:eastAsia="zh-CN"/>
        </w:rPr>
        <w:t>5</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项目编号：QTCG-GK-2025-084</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2025年杭州市钱塘区建筑工程消防验收第三方服务项目</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100</w:t>
      </w:r>
      <w:r>
        <w:rPr>
          <w:rFonts w:hint="eastAsia" w:ascii="宋体" w:hAnsi="宋体" w:cs="宋体"/>
          <w:b/>
          <w:color w:val="auto"/>
          <w:sz w:val="24"/>
          <w:highlight w:val="none"/>
        </w:rPr>
        <w:t>000</w:t>
      </w:r>
      <w:r>
        <w:rPr>
          <w:rFonts w:hint="eastAsia" w:ascii="宋体" w:hAnsi="宋体" w:cs="宋体"/>
          <w:b/>
          <w:color w:val="auto"/>
          <w:sz w:val="24"/>
          <w:highlight w:val="none"/>
          <w:lang w:val="en-US" w:eastAsia="zh-CN"/>
        </w:rPr>
        <w:t>0</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采购需求：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lang w:eastAsia="zh-CN"/>
        </w:rPr>
        <w:t>2025年杭州市钱塘区建筑工程消防验收第三方服务项目</w:t>
      </w:r>
      <w:r>
        <w:rPr>
          <w:rFonts w:hint="eastAsia" w:ascii="宋体" w:hAnsi="宋体" w:cs="宋体"/>
          <w:color w:val="auto"/>
          <w:sz w:val="24"/>
          <w:szCs w:val="24"/>
          <w:highlight w:val="none"/>
          <w:lang w:val="en-US" w:eastAsia="zh-CN"/>
        </w:rPr>
        <w:t>（标项一）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pPr>
        <w:spacing w:line="360" w:lineRule="auto"/>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预算金额（元）：</w:t>
      </w:r>
      <w:r>
        <w:rPr>
          <w:rFonts w:hint="eastAsia" w:ascii="宋体" w:hAnsi="宋体" w:cs="宋体"/>
          <w:b/>
          <w:color w:val="auto"/>
          <w:sz w:val="24"/>
          <w:highlight w:val="none"/>
          <w:lang w:val="en-US" w:eastAsia="zh-CN"/>
        </w:rPr>
        <w:t>250000</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cs="宋体"/>
          <w:b/>
          <w:bCs/>
          <w:color w:val="auto"/>
          <w:sz w:val="24"/>
          <w:szCs w:val="24"/>
          <w:highlight w:val="none"/>
          <w:lang w:eastAsia="zh-CN"/>
        </w:rPr>
        <w:t>根据采购人要求，对钱塘区下沙街道、临江街道的建筑工程消防验收提供第三方服务并出具报告（含建筑工程消防验收第三方服务报告、建筑工程消防验收现场评定表等）。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none"/>
          <w:lang w:val="en-US" w:eastAsia="zh-CN"/>
        </w:rPr>
        <w:t>/</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lang w:eastAsia="zh-CN"/>
        </w:rPr>
        <w:t>2025年杭州市钱塘区建筑工程消防验收第三方服务项目</w:t>
      </w:r>
      <w:r>
        <w:rPr>
          <w:rFonts w:hint="eastAsia" w:ascii="宋体" w:hAnsi="宋体" w:cs="宋体"/>
          <w:color w:val="auto"/>
          <w:sz w:val="24"/>
          <w:szCs w:val="24"/>
          <w:highlight w:val="none"/>
          <w:lang w:val="en-US" w:eastAsia="zh-CN"/>
        </w:rPr>
        <w:t>（标项二）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pPr>
        <w:spacing w:line="360" w:lineRule="auto"/>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预算金额（元）：</w:t>
      </w:r>
      <w:r>
        <w:rPr>
          <w:rFonts w:hint="eastAsia" w:ascii="宋体" w:hAnsi="宋体" w:cs="宋体"/>
          <w:b/>
          <w:color w:val="auto"/>
          <w:sz w:val="24"/>
          <w:highlight w:val="none"/>
          <w:lang w:val="en-US" w:eastAsia="zh-CN"/>
        </w:rPr>
        <w:t>250000</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cs="宋体"/>
          <w:b/>
          <w:bCs/>
          <w:color w:val="auto"/>
          <w:sz w:val="24"/>
          <w:szCs w:val="24"/>
          <w:highlight w:val="none"/>
          <w:lang w:eastAsia="zh-CN"/>
        </w:rPr>
        <w:t>根据采购人要求，对钱塘区白杨街道的建筑工程消防验收提供第三方服务并出具报告（含建筑工程消防验收第三方服务报告、建筑工程消防验收现场评定表等）。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none"/>
          <w:lang w:val="en-US" w:eastAsia="zh-CN"/>
        </w:rPr>
        <w:t>/</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lang w:eastAsia="zh-CN"/>
        </w:rPr>
        <w:t>2025年杭州市钱塘区建筑工程消防验收第三方服务项目</w:t>
      </w:r>
      <w:r>
        <w:rPr>
          <w:rFonts w:hint="eastAsia" w:ascii="宋体" w:hAnsi="宋体" w:cs="宋体"/>
          <w:color w:val="auto"/>
          <w:sz w:val="24"/>
          <w:szCs w:val="24"/>
          <w:highlight w:val="none"/>
          <w:lang w:val="en-US" w:eastAsia="zh-CN"/>
        </w:rPr>
        <w:t>（标项三）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pPr>
        <w:spacing w:line="360" w:lineRule="auto"/>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预算金额（元）：</w:t>
      </w:r>
      <w:r>
        <w:rPr>
          <w:rFonts w:hint="eastAsia" w:ascii="宋体" w:hAnsi="宋体" w:cs="宋体"/>
          <w:b/>
          <w:color w:val="auto"/>
          <w:sz w:val="24"/>
          <w:highlight w:val="none"/>
          <w:lang w:val="en-US" w:eastAsia="zh-CN"/>
        </w:rPr>
        <w:t>250000</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cs="宋体"/>
          <w:b/>
          <w:bCs/>
          <w:color w:val="auto"/>
          <w:sz w:val="24"/>
          <w:szCs w:val="24"/>
          <w:highlight w:val="none"/>
          <w:lang w:eastAsia="zh-CN"/>
        </w:rPr>
        <w:t>根据采购人要求，对钱塘区河庄街道、新湾街道的建筑工程消防验收提供第三方服务并出具报告（含建筑工程消防验收第三方服务报告、建筑工程消防验收现场评定表等）。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none"/>
          <w:lang w:val="en-US" w:eastAsia="zh-CN"/>
        </w:rPr>
        <w:t>/</w:t>
      </w:r>
    </w:p>
    <w:p>
      <w:pPr>
        <w:pStyle w:val="5"/>
        <w:rPr>
          <w:rFonts w:hint="eastAsia" w:ascii="宋体" w:hAnsi="宋体" w:eastAsia="宋体" w:cs="宋体"/>
          <w:color w:val="auto"/>
          <w:sz w:val="24"/>
          <w:szCs w:val="24"/>
          <w:highlight w:val="none"/>
          <w:u w:val="none"/>
          <w:lang w:val="en-US" w:eastAsia="zh-CN"/>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lang w:eastAsia="zh-CN"/>
        </w:rPr>
        <w:t>2025年杭州市钱塘区建筑工程消防验收第三方服务项目</w:t>
      </w:r>
      <w:r>
        <w:rPr>
          <w:rFonts w:hint="eastAsia" w:ascii="宋体" w:hAnsi="宋体" w:cs="宋体"/>
          <w:color w:val="auto"/>
          <w:sz w:val="24"/>
          <w:szCs w:val="24"/>
          <w:highlight w:val="none"/>
          <w:lang w:val="en-US" w:eastAsia="zh-CN"/>
        </w:rPr>
        <w:t>（标项四）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pPr>
        <w:spacing w:line="360" w:lineRule="auto"/>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预算金额（元）：</w:t>
      </w:r>
      <w:r>
        <w:rPr>
          <w:rFonts w:hint="eastAsia" w:ascii="宋体" w:hAnsi="宋体" w:cs="宋体"/>
          <w:b/>
          <w:color w:val="auto"/>
          <w:sz w:val="24"/>
          <w:highlight w:val="none"/>
          <w:lang w:val="en-US" w:eastAsia="zh-CN"/>
        </w:rPr>
        <w:t>250000</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cs="宋体"/>
          <w:b/>
          <w:bCs/>
          <w:color w:val="auto"/>
          <w:sz w:val="24"/>
          <w:szCs w:val="24"/>
          <w:highlight w:val="none"/>
          <w:lang w:eastAsia="zh-CN"/>
        </w:rPr>
        <w:t>根据采购人要求，对钱塘区义蓬街道、前进街道的建筑工程消防验收提供第三方服务并出具报告（含建筑工程消防验收第三方服务报告、建筑工程消防验收现场评定表等）。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none"/>
          <w:lang w:val="en-US" w:eastAsia="zh-CN"/>
        </w:rPr>
        <w:t>/</w:t>
      </w:r>
    </w:p>
    <w:p>
      <w:pPr>
        <w:rPr>
          <w:rFonts w:hint="eastAsia"/>
          <w:color w:val="auto"/>
          <w:highlight w:val="none"/>
        </w:rPr>
      </w:pP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合同履行期限：标项 1、2</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3、4</w:t>
      </w:r>
      <w:r>
        <w:rPr>
          <w:rFonts w:hint="eastAsia" w:ascii="宋体" w:hAnsi="宋体" w:eastAsia="宋体" w:cs="宋体"/>
          <w:b/>
          <w:bCs/>
          <w:color w:val="auto"/>
          <w:sz w:val="24"/>
          <w:szCs w:val="24"/>
          <w:highlight w:val="none"/>
        </w:rPr>
        <w:t>，整体服务期为一年，具体时间根据采购人要求安排。</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本项目（是）接受联合体投标。</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 以联合体形式投标的，提供联合协议；</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3.落实政府采购政策需满足的资格要求：</w:t>
      </w:r>
    </w:p>
    <w:p>
      <w:pPr>
        <w:spacing w:line="360" w:lineRule="auto"/>
        <w:ind w:firstLine="480" w:firstLineChars="200"/>
        <w:rPr>
          <w:rFonts w:ascii="宋体" w:hAnsi="宋体" w:cs="宋体"/>
          <w:color w:val="auto"/>
          <w:sz w:val="24"/>
          <w:highlight w:val="none"/>
        </w:rPr>
      </w:pPr>
      <w:r>
        <w:rPr>
          <w:rFonts w:ascii="Wingdings" w:hAnsi="Wingdings" w:cs="宋体"/>
          <w:color w:val="auto"/>
          <w:kern w:val="0"/>
          <w:sz w:val="24"/>
          <w:highlight w:val="none"/>
        </w:rPr>
        <w:t></w:t>
      </w:r>
      <w:sdt>
        <w:sdtPr>
          <w:rPr>
            <w:rFonts w:hint="eastAsia" w:ascii="宋体" w:hAnsi="宋体" w:cs="宋体"/>
            <w:color w:val="auto"/>
            <w:kern w:val="0"/>
            <w:sz w:val="24"/>
            <w:highlight w:val="none"/>
          </w:rPr>
          <w:id w:val="-1"/>
          <w:showingPlcHdr/>
        </w:sdtPr>
        <w:sdtEndPr>
          <w:rPr>
            <w:rFonts w:hint="eastAsia" w:ascii="宋体" w:hAnsi="宋体" w:cs="宋体"/>
            <w:color w:val="auto"/>
            <w:kern w:val="0"/>
            <w:sz w:val="24"/>
            <w:highlight w:val="none"/>
          </w:rPr>
        </w:sdtEndP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70210270"/>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
        <w:sdtPr>
          <w:rPr>
            <w:rFonts w:hint="eastAsia" w:ascii="宋体" w:hAnsi="宋体" w:cs="宋体"/>
            <w:color w:val="auto"/>
            <w:kern w:val="0"/>
            <w:sz w:val="24"/>
            <w:highlight w:val="none"/>
          </w:rPr>
          <w:id w:val="-1"/>
          <w:showingPlcHdr/>
        </w:sdtPr>
        <w:sdtEndPr>
          <w:rPr>
            <w:rFonts w:hint="eastAsia" w:ascii="宋体" w:hAnsi="宋体" w:cs="宋体"/>
            <w:color w:val="auto"/>
            <w:kern w:val="0"/>
            <w:sz w:val="24"/>
            <w:highlight w:val="none"/>
          </w:rPr>
        </w:sdtEndPr>
        <w:sdtContent/>
      </w:sdt>
      <w:sdt>
        <w:sdtPr>
          <w:rPr>
            <w:rFonts w:hint="eastAsia" w:ascii="宋体" w:hAnsi="宋体" w:cs="宋体"/>
            <w:color w:val="auto"/>
            <w:kern w:val="0"/>
            <w:sz w:val="24"/>
            <w:highlight w:val="none"/>
          </w:rPr>
          <w:id w:val="1928616923"/>
          <w:showingPlcHdr/>
        </w:sdtPr>
        <w:sdtEndPr>
          <w:rPr>
            <w:rFonts w:hint="eastAsia" w:ascii="宋体" w:hAnsi="宋体" w:cs="宋体"/>
            <w:color w:val="auto"/>
            <w:kern w:val="0"/>
            <w:sz w:val="24"/>
            <w:highlight w:val="none"/>
          </w:rPr>
        </w:sdtEndPr>
        <w:sdtContent/>
      </w:sdt>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84966016"/>
              <w:showingPlcHdr/>
            </w:sdtPr>
            <w:sdtEndPr>
              <w:rPr>
                <w:rFonts w:hint="eastAsia" w:ascii="宋体" w:hAnsi="宋体" w:cs="宋体"/>
                <w:color w:val="auto"/>
                <w:kern w:val="0"/>
                <w:sz w:val="24"/>
                <w:highlight w:val="none"/>
              </w:rPr>
            </w:sdtEndPr>
            <w:sdtContent/>
          </w:sdt>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11348065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sdt>
            <w:sdtPr>
              <w:rPr>
                <w:rFonts w:hint="eastAsia" w:ascii="宋体" w:hAnsi="宋体" w:cs="宋体"/>
                <w:color w:val="auto"/>
                <w:kern w:val="0"/>
                <w:sz w:val="24"/>
                <w:highlight w:val="none"/>
              </w:rPr>
              <w:id w:val="114872648"/>
              <w:showingPlcHdr/>
            </w:sdtPr>
            <w:sdtEndPr>
              <w:rPr>
                <w:rFonts w:hint="eastAsia" w:ascii="宋体" w:hAnsi="宋体" w:cs="宋体"/>
                <w:color w:val="auto"/>
                <w:kern w:val="0"/>
                <w:sz w:val="24"/>
                <w:highlight w:val="none"/>
              </w:rPr>
            </w:sdtEndPr>
            <w:sdtContent/>
          </w:sdt>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110024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sdt>
        <w:sdtPr>
          <w:rPr>
            <w:rFonts w:hint="eastAsia" w:ascii="宋体" w:hAnsi="宋体" w:cs="宋体"/>
            <w:color w:val="auto"/>
            <w:kern w:val="0"/>
            <w:sz w:val="24"/>
            <w:highlight w:val="none"/>
          </w:rPr>
          <w:id w:val="575789177"/>
          <w:showingPlcHdr/>
        </w:sdtPr>
        <w:sdtEndPr>
          <w:rPr>
            <w:rFonts w:hint="eastAsia" w:ascii="宋体" w:hAnsi="宋体" w:cs="宋体"/>
            <w:color w:val="auto"/>
            <w:kern w:val="0"/>
            <w:sz w:val="24"/>
            <w:highlight w:val="none"/>
          </w:rPr>
        </w:sdtEndP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8417745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sdt>
        <w:sdtPr>
          <w:rPr>
            <w:rFonts w:hint="eastAsia" w:ascii="宋体" w:hAnsi="宋体" w:cs="宋体"/>
            <w:color w:val="auto"/>
            <w:kern w:val="0"/>
            <w:sz w:val="24"/>
            <w:highlight w:val="none"/>
          </w:rPr>
          <w:id w:val="-1"/>
          <w:showingPlcHdr/>
        </w:sdtPr>
        <w:sdtEndPr>
          <w:rPr>
            <w:rFonts w:hint="eastAsia" w:ascii="宋体" w:hAnsi="宋体" w:cs="宋体"/>
            <w:color w:val="auto"/>
            <w:kern w:val="0"/>
            <w:sz w:val="24"/>
            <w:highlight w:val="none"/>
          </w:rPr>
        </w:sdtEndP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无</w:t>
      </w:r>
      <w:r>
        <w:rPr>
          <w:rFonts w:hint="eastAsia" w:ascii="宋体" w:hAnsi="宋体" w:eastAsia="宋体" w:cs="宋体"/>
          <w:color w:val="auto"/>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highlight w:val="none"/>
          <w:u w:val="single"/>
          <w:lang w:val="en-US" w:eastAsia="zh-CN"/>
        </w:rPr>
        <w:t>8</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highlight w:val="none"/>
          <w:u w:val="single"/>
          <w:lang w:val="en-US" w:eastAsia="zh-CN"/>
        </w:rPr>
        <w:t>8</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highlight w:val="none"/>
          <w:u w:val="single"/>
          <w:lang w:val="en-US" w:eastAsia="zh-CN"/>
        </w:rPr>
        <w:t>5</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日9点30分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0"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highlight w:val="none"/>
          <w:u w:val="single"/>
          <w:lang w:val="en-US" w:eastAsia="zh-CN"/>
        </w:rPr>
        <w:t>8</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highlight w:val="none"/>
          <w:u w:val="single"/>
          <w:lang w:val="en-US" w:eastAsia="zh-CN"/>
        </w:rPr>
        <w:t>5</w:t>
      </w:r>
      <w:r>
        <w:rPr>
          <w:rFonts w:hint="eastAsia" w:ascii="宋体" w:hAnsi="宋体" w:cs="宋体"/>
          <w:color w:val="auto"/>
          <w:sz w:val="24"/>
          <w:highlight w:val="none"/>
          <w:u w:val="single"/>
        </w:rPr>
        <w:t>日9点30分</w:t>
      </w:r>
      <w:r>
        <w:rPr>
          <w:rFonts w:hint="eastAsia" w:ascii="宋体" w:hAnsi="宋体" w:cs="宋体"/>
          <w:bCs/>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五、采购意向公开链接 </w:t>
      </w:r>
    </w:p>
    <w:p>
      <w:pPr>
        <w:spacing w:line="360" w:lineRule="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https://zfcg.czt.zj.gov.cn/site/detail?parentId=600007&amp;articleId=fahFDTahuxP9iBCRKoG7Vw%3D%3D</w:t>
      </w:r>
    </w:p>
    <w:p>
      <w:pPr>
        <w:spacing w:line="360" w:lineRule="auto"/>
        <w:rPr>
          <w:rFonts w:ascii="宋体" w:hAnsi="宋体" w:cs="宋体"/>
          <w:color w:val="auto"/>
          <w:sz w:val="24"/>
          <w:highlight w:val="none"/>
        </w:rPr>
      </w:pPr>
      <w:r>
        <w:rPr>
          <w:rFonts w:hint="eastAsia" w:ascii="宋体" w:hAnsi="宋体" w:cs="宋体"/>
          <w:b/>
          <w:color w:val="auto"/>
          <w:sz w:val="24"/>
          <w:highlight w:val="none"/>
          <w:lang w:eastAsia="zh-CN"/>
        </w:rPr>
        <w:t>六</w:t>
      </w:r>
      <w:r>
        <w:rPr>
          <w:rFonts w:hint="eastAsia" w:ascii="宋体" w:hAnsi="宋体" w:cs="宋体"/>
          <w:b/>
          <w:color w:val="auto"/>
          <w:sz w:val="24"/>
          <w:highlight w:val="none"/>
        </w:rPr>
        <w:t xml:space="preserve">、公告期限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eastAsia="zh-CN"/>
        </w:rPr>
        <w:t>七</w:t>
      </w:r>
      <w:r>
        <w:rPr>
          <w:rFonts w:hint="eastAsia" w:ascii="宋体" w:hAnsi="宋体" w:cs="宋体"/>
          <w:b/>
          <w:color w:val="auto"/>
          <w:sz w:val="24"/>
          <w:highlight w:val="none"/>
        </w:rPr>
        <w:t>、其他补充事宜</w:t>
      </w:r>
    </w:p>
    <w:p>
      <w:pPr>
        <w:spacing w:line="360" w:lineRule="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spacing w:line="360" w:lineRule="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eastAsia="zh-CN"/>
        </w:rPr>
        <w:t>八</w:t>
      </w:r>
      <w:r>
        <w:rPr>
          <w:rFonts w:hint="eastAsia" w:ascii="宋体" w:hAnsi="宋体" w:cs="宋体"/>
          <w:b/>
          <w:color w:val="auto"/>
          <w:sz w:val="24"/>
          <w:highlight w:val="none"/>
        </w:rPr>
        <w:t>、对本次采购提出询问、质疑、投诉，请按以下方式联系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称：杭州市钱塘区住房和城乡建设局 </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地 </w:t>
      </w:r>
      <w:r>
        <w:rPr>
          <w:rFonts w:hint="eastAsia" w:ascii="宋体" w:hAnsi="宋体" w:eastAsia="宋体" w:cs="宋体"/>
          <w:color w:val="auto"/>
          <w:sz w:val="24"/>
          <w:highlight w:val="none"/>
        </w:rPr>
        <w:t xml:space="preserve">   址：杭州市钱塘区青六北路499号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项目联系人（询问）：项强</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项目联系方式（询问）：0571-89535583</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孙哲伟</w:t>
      </w:r>
      <w:r>
        <w:rPr>
          <w:rFonts w:hint="eastAsia" w:ascii="宋体" w:hAnsi="宋体" w:eastAsia="宋体" w:cs="宋体"/>
          <w:color w:val="auto"/>
          <w:sz w:val="24"/>
          <w:highlight w:val="none"/>
        </w:rPr>
        <w:t xml:space="preserve">   </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质疑联系方式：0571-</w:t>
      </w:r>
      <w:r>
        <w:rPr>
          <w:rFonts w:hint="eastAsia" w:ascii="宋体" w:hAnsi="宋体" w:cs="宋体"/>
          <w:color w:val="auto"/>
          <w:sz w:val="24"/>
          <w:highlight w:val="none"/>
          <w:lang w:val="en-US" w:eastAsia="zh-CN"/>
        </w:rPr>
        <w:t>89535584</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华诚工程咨询集团有限公司</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 xml:space="preserve">地    </w:t>
      </w:r>
      <w:r>
        <w:rPr>
          <w:rFonts w:hint="eastAsia" w:ascii="宋体" w:hAnsi="宋体" w:cs="宋体"/>
          <w:color w:val="auto"/>
          <w:sz w:val="24"/>
          <w:highlight w:val="none"/>
          <w:lang w:eastAsia="zh-CN"/>
        </w:rPr>
        <w:t>址：杭州市萧山区新塘街道杭州南站东广场1号楼902室</w:t>
      </w:r>
      <w:r>
        <w:rPr>
          <w:rFonts w:hint="eastAsia" w:ascii="宋体" w:hAnsi="宋体" w:cs="宋体"/>
          <w:color w:val="auto"/>
          <w:sz w:val="24"/>
          <w:highlight w:val="none"/>
          <w:lang w:val="en-US" w:eastAsia="zh-CN"/>
        </w:rPr>
        <w:t xml:space="preserve">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传    真：</w:t>
      </w:r>
      <w:r>
        <w:rPr>
          <w:rFonts w:hint="eastAsia" w:ascii="宋体" w:hAnsi="宋体" w:cs="宋体"/>
          <w:color w:val="auto"/>
          <w:sz w:val="24"/>
          <w:highlight w:val="none"/>
          <w:lang w:val="en-US" w:eastAsia="zh-CN"/>
        </w:rPr>
        <w:t>/</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项目联系人（询问）：武工</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项目联系方式（询问）：</w:t>
      </w:r>
      <w:r>
        <w:rPr>
          <w:rFonts w:hint="eastAsia" w:ascii="宋体" w:hAnsi="宋体" w:cs="宋体"/>
          <w:color w:val="auto"/>
          <w:sz w:val="24"/>
          <w:highlight w:val="none"/>
          <w:lang w:val="en-US" w:eastAsia="zh-CN"/>
        </w:rPr>
        <w:t>18814892672</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质疑联系人：李能</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eastAsia="zh-CN"/>
        </w:rPr>
        <w:t>15967190407</w:t>
      </w:r>
      <w:r>
        <w:rPr>
          <w:rFonts w:hint="eastAsia" w:ascii="宋体" w:hAnsi="宋体" w:eastAsia="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称：杭州市钱塘区财政局、浙江省政府采购行政裁决服务中心（杭州）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址：杭州市上城区清泰街549号城建综合大楼11楼（快递仅限ems或顺丰）</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真：</w:t>
      </w:r>
      <w:r>
        <w:rPr>
          <w:rFonts w:hint="eastAsia" w:ascii="宋体" w:hAnsi="宋体" w:cs="宋体"/>
          <w:color w:val="auto"/>
          <w:sz w:val="24"/>
          <w:highlight w:val="none"/>
          <w:lang w:val="en-US"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人：匡老师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监督投诉电话：0571-87807798</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pStyle w:val="33"/>
        <w:spacing w:line="360" w:lineRule="auto"/>
        <w:ind w:firstLine="480" w:firstLineChars="200"/>
        <w:rPr>
          <w:rFonts w:hint="eastAsia" w:hAnsi="宋体" w:cs="宋体"/>
          <w:color w:val="auto"/>
          <w:sz w:val="24"/>
          <w:highlight w:val="none"/>
        </w:rPr>
      </w:pPr>
    </w:p>
    <w:p>
      <w:pPr>
        <w:pStyle w:val="33"/>
        <w:spacing w:line="360" w:lineRule="auto"/>
        <w:ind w:firstLine="480" w:firstLineChars="200"/>
        <w:rPr>
          <w:rFonts w:hint="eastAsia" w:hAnsi="宋体" w:cs="宋体"/>
          <w:color w:val="auto"/>
          <w:sz w:val="24"/>
          <w:highlight w:val="none"/>
        </w:rPr>
      </w:pPr>
    </w:p>
    <w:p>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CA问题联系电话（人工）：汇信CA 400-888-4636；天谷CA 400-087-8198。</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 xml:space="preserve">                              </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70"/>
        <w:gridCol w:w="6068"/>
      </w:tblGrid>
      <w:tr>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7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rPr>
          <w:trHeight w:val="60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7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0"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0"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rPr>
          <w:trHeight w:val="5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7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6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同意中型企业向小微企业、小微企业向小微企业合理分包。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
                  <w:sdtPr>
                    <w:rPr>
                      <w:rFonts w:hint="eastAsia" w:ascii="宋体" w:hAnsi="宋体" w:cs="宋体"/>
                      <w:color w:val="auto"/>
                      <w:kern w:val="0"/>
                      <w:sz w:val="24"/>
                      <w:highlight w:val="none"/>
                    </w:rPr>
                    <w:id w:val="-1"/>
                    <w:showingPlcHdr/>
                  </w:sdtPr>
                  <w:sdtEndPr>
                    <w:rPr>
                      <w:rFonts w:hint="eastAsia" w:ascii="宋体" w:hAnsi="宋体" w:cs="宋体"/>
                      <w:color w:val="auto"/>
                      <w:kern w:val="0"/>
                      <w:sz w:val="24"/>
                      <w:highlight w:val="none"/>
                    </w:rPr>
                  </w:sdtEndPr>
                  <w:sdtContent/>
                </w:sdt>
              </w:sdtContent>
            </w:sdt>
            <w:r>
              <w:rPr>
                <w:rFonts w:hint="eastAsia" w:ascii="宋体" w:hAnsi="宋体" w:cs="宋体"/>
                <w:color w:val="auto"/>
                <w:kern w:val="0"/>
                <w:sz w:val="24"/>
                <w:highlight w:val="none"/>
              </w:rPr>
              <w:t xml:space="preserve"> C</w:t>
            </w:r>
            <w:r>
              <w:rPr>
                <w:rFonts w:hint="eastAsia" w:ascii="宋体" w:hAnsi="宋体" w:cs="宋体"/>
                <w:color w:val="auto"/>
                <w:sz w:val="24"/>
                <w:highlight w:val="none"/>
              </w:rPr>
              <w:t>不同意分包。</w:t>
            </w:r>
          </w:p>
        </w:tc>
      </w:tr>
      <w:tr>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70"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68"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rPr>
          <w:trHeight w:val="587"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70"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68"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rPr>
          <w:trHeight w:val="6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7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6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7953060"/>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
                  <w:sdtPr>
                    <w:rPr>
                      <w:rFonts w:hint="eastAsia" w:ascii="宋体" w:hAnsi="宋体" w:cs="宋体"/>
                      <w:color w:val="auto"/>
                      <w:kern w:val="0"/>
                      <w:sz w:val="24"/>
                      <w:highlight w:val="none"/>
                    </w:rPr>
                    <w:id w:val="-1"/>
                    <w:showingPlcHdr/>
                  </w:sdtPr>
                  <w:sdtEndPr>
                    <w:rPr>
                      <w:rFonts w:hint="eastAsia" w:ascii="宋体" w:hAnsi="宋体" w:cs="宋体"/>
                      <w:color w:val="auto"/>
                      <w:kern w:val="0"/>
                      <w:sz w:val="24"/>
                      <w:highlight w:val="none"/>
                    </w:rPr>
                  </w:sdtEndP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7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6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8104057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
                  <w:sdtPr>
                    <w:rPr>
                      <w:rFonts w:hint="eastAsia" w:ascii="宋体" w:hAnsi="宋体" w:cs="宋体"/>
                      <w:color w:val="auto"/>
                      <w:kern w:val="0"/>
                      <w:sz w:val="24"/>
                      <w:highlight w:val="none"/>
                    </w:rPr>
                    <w:id w:val="826557240"/>
                    <w:showingPlcHdr/>
                  </w:sdtPr>
                  <w:sdtEndPr>
                    <w:rPr>
                      <w:rFonts w:hint="eastAsia" w:ascii="宋体" w:hAnsi="宋体" w:cs="宋体"/>
                      <w:color w:val="auto"/>
                      <w:kern w:val="0"/>
                      <w:sz w:val="24"/>
                      <w:highlight w:val="none"/>
                    </w:rPr>
                  </w:sdtEndP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7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6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55567993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
                  <w:sdtPr>
                    <w:rPr>
                      <w:rFonts w:hint="eastAsia" w:ascii="宋体" w:hAnsi="宋体" w:cs="宋体"/>
                      <w:color w:val="auto"/>
                      <w:kern w:val="0"/>
                      <w:sz w:val="24"/>
                      <w:highlight w:val="none"/>
                    </w:rPr>
                    <w:id w:val="-1"/>
                    <w:showingPlcHdr/>
                  </w:sdtPr>
                  <w:sdtEndPr>
                    <w:rPr>
                      <w:rFonts w:hint="eastAsia" w:ascii="宋体" w:hAnsi="宋体" w:cs="宋体"/>
                      <w:color w:val="auto"/>
                      <w:kern w:val="0"/>
                      <w:sz w:val="24"/>
                      <w:highlight w:val="none"/>
                    </w:rPr>
                  </w:sdtEndP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7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6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
                  <w:sdtPr>
                    <w:rPr>
                      <w:rFonts w:hint="eastAsia" w:ascii="宋体" w:hAnsi="宋体" w:cs="宋体"/>
                      <w:color w:val="auto"/>
                      <w:kern w:val="0"/>
                      <w:sz w:val="24"/>
                      <w:highlight w:val="none"/>
                    </w:rPr>
                    <w:id w:val="-1"/>
                    <w:showingPlcHdr/>
                  </w:sdtPr>
                  <w:sdtEndPr>
                    <w:rPr>
                      <w:rFonts w:hint="eastAsia" w:ascii="宋体" w:hAnsi="宋体" w:cs="宋体"/>
                      <w:color w:val="auto"/>
                      <w:kern w:val="0"/>
                      <w:sz w:val="24"/>
                      <w:highlight w:val="none"/>
                    </w:rPr>
                  </w:sdtEndPr>
                  <w:sdtContent/>
                </w:sdt>
              </w:sdtContent>
            </w:sdt>
            <w:r>
              <w:rPr>
                <w:rFonts w:hint="eastAsia" w:ascii="宋体" w:hAnsi="宋体" w:cs="宋体"/>
                <w:color w:val="auto"/>
                <w:kern w:val="0"/>
                <w:sz w:val="24"/>
                <w:highlight w:val="none"/>
              </w:rPr>
              <w:t>本项目不允许采购进口产品。</w:t>
            </w:r>
          </w:p>
        </w:tc>
      </w:tr>
      <w:tr>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7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6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9702971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
              <w:sdtPr>
                <w:rPr>
                  <w:rFonts w:hint="eastAsia" w:ascii="宋体" w:hAnsi="宋体" w:cs="宋体"/>
                  <w:color w:val="auto"/>
                  <w:kern w:val="0"/>
                  <w:sz w:val="24"/>
                  <w:highlight w:val="none"/>
                </w:rPr>
                <w:id w:val="-1"/>
                <w:showingPlcHdr/>
              </w:sdtPr>
              <w:sdtEndPr>
                <w:rPr>
                  <w:rFonts w:hint="eastAsia" w:ascii="宋体" w:hAnsi="宋体" w:cs="宋体"/>
                  <w:color w:val="auto"/>
                  <w:kern w:val="0"/>
                  <w:sz w:val="24"/>
                  <w:highlight w:val="none"/>
                </w:rPr>
              </w:sdtEndPr>
              <w:sdtContent/>
            </w:sdt>
            <w:r>
              <w:rPr>
                <w:rFonts w:hint="eastAsia" w:ascii="宋体" w:hAnsi="宋体" w:cs="宋体"/>
                <w:color w:val="auto"/>
                <w:kern w:val="0"/>
                <w:sz w:val="24"/>
                <w:highlight w:val="none"/>
              </w:rPr>
              <w:t>B</w:t>
            </w:r>
            <w:r>
              <w:rPr>
                <w:rFonts w:hint="eastAsia" w:ascii="宋体" w:hAnsi="宋体" w:cs="宋体"/>
                <w:color w:val="auto"/>
                <w:sz w:val="24"/>
                <w:highlight w:val="none"/>
              </w:rPr>
              <w:t>服务类。</w:t>
            </w:r>
          </w:p>
        </w:tc>
      </w:tr>
      <w:tr>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70"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068"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标项一</w:t>
            </w:r>
            <w:r>
              <w:rPr>
                <w:rFonts w:hint="eastAsia" w:ascii="宋体" w:hAnsi="宋体" w:eastAsia="宋体" w:cs="宋体"/>
                <w:b/>
                <w:bCs/>
                <w:color w:val="auto"/>
                <w:sz w:val="24"/>
                <w:highlight w:val="none"/>
              </w:rPr>
              <w:t>标的为：</w:t>
            </w:r>
            <w:r>
              <w:rPr>
                <w:rFonts w:hint="eastAsia" w:ascii="宋体" w:hAnsi="宋体" w:cs="宋体"/>
                <w:b/>
                <w:bCs/>
                <w:color w:val="auto"/>
                <w:sz w:val="24"/>
                <w:highlight w:val="none"/>
                <w:u w:val="single"/>
                <w:lang w:eastAsia="zh-CN"/>
              </w:rPr>
              <w:t>2025年杭州市钱塘区建筑工程消防验收第三方服务项目</w:t>
            </w:r>
            <w:r>
              <w:rPr>
                <w:rFonts w:hint="eastAsia" w:ascii="宋体" w:hAnsi="宋体" w:eastAsia="宋体" w:cs="宋体"/>
                <w:b/>
                <w:bCs/>
                <w:color w:val="auto"/>
                <w:sz w:val="24"/>
                <w:highlight w:val="none"/>
              </w:rPr>
              <w:t xml:space="preserve"> ，属于</w:t>
            </w:r>
            <w:r>
              <w:rPr>
                <w:rFonts w:hint="eastAsia" w:ascii="宋体" w:hAnsi="宋体" w:eastAsia="宋体" w:cs="宋体"/>
                <w:b/>
                <w:bCs/>
                <w:color w:val="auto"/>
                <w:sz w:val="24"/>
                <w:highlight w:val="none"/>
                <w:u w:val="single"/>
              </w:rPr>
              <w:t>其他未列明行业</w:t>
            </w:r>
            <w:r>
              <w:rPr>
                <w:rFonts w:hint="eastAsia" w:ascii="宋体" w:hAnsi="宋体" w:eastAsia="宋体" w:cs="宋体"/>
                <w:b/>
                <w:bCs/>
                <w:color w:val="auto"/>
                <w:sz w:val="24"/>
                <w:highlight w:val="none"/>
              </w:rPr>
              <w:t>。</w:t>
            </w:r>
          </w:p>
          <w:p>
            <w:pPr>
              <w:pStyle w:val="5"/>
              <w:pageBreakBefore w:val="0"/>
              <w:widowControl w:val="0"/>
              <w:kinsoku/>
              <w:wordWrap/>
              <w:overflowPunct/>
              <w:topLinePunct w:val="0"/>
              <w:autoSpaceDE/>
              <w:autoSpaceDN/>
              <w:bidi w:val="0"/>
              <w:spacing w:line="360" w:lineRule="auto"/>
              <w:ind w:left="0" w:firstLine="0"/>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2"/>
                <w:sz w:val="24"/>
                <w:szCs w:val="24"/>
                <w:highlight w:val="none"/>
                <w:lang w:val="en-US" w:eastAsia="zh-CN" w:bidi="ar-SA"/>
              </w:rPr>
              <w:t>标项二标的为</w:t>
            </w:r>
            <w:r>
              <w:rPr>
                <w:rFonts w:hint="eastAsia" w:ascii="宋体" w:hAnsi="宋体" w:eastAsia="宋体" w:cs="宋体"/>
                <w:b/>
                <w:bCs/>
                <w:color w:val="auto"/>
                <w:sz w:val="24"/>
                <w:highlight w:val="none"/>
              </w:rPr>
              <w:t>：</w:t>
            </w:r>
            <w:r>
              <w:rPr>
                <w:rFonts w:hint="eastAsia" w:ascii="宋体" w:hAnsi="宋体" w:eastAsia="宋体" w:cs="宋体"/>
                <w:b/>
                <w:bCs/>
                <w:color w:val="auto"/>
                <w:kern w:val="2"/>
                <w:sz w:val="24"/>
                <w:szCs w:val="24"/>
                <w:highlight w:val="none"/>
                <w:u w:val="single"/>
                <w:lang w:val="en-US" w:eastAsia="zh-CN" w:bidi="ar-SA"/>
              </w:rPr>
              <w:t>2025年杭州市钱塘区建筑工程消防验收第三方服务项目</w:t>
            </w:r>
            <w:r>
              <w:rPr>
                <w:rFonts w:hint="eastAsia" w:ascii="宋体" w:hAnsi="宋体" w:eastAsia="宋体" w:cs="宋体"/>
                <w:b/>
                <w:bCs/>
                <w:color w:val="auto"/>
                <w:sz w:val="24"/>
                <w:highlight w:val="none"/>
              </w:rPr>
              <w:t xml:space="preserve"> ，属于</w:t>
            </w:r>
            <w:r>
              <w:rPr>
                <w:rFonts w:hint="eastAsia" w:ascii="宋体" w:hAnsi="宋体" w:eastAsia="宋体" w:cs="宋体"/>
                <w:b/>
                <w:bCs/>
                <w:color w:val="auto"/>
                <w:sz w:val="24"/>
                <w:highlight w:val="none"/>
                <w:u w:val="single"/>
              </w:rPr>
              <w:t>其他未列明行业</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lang w:eastAsia="zh-CN"/>
              </w:rPr>
              <w:t>。</w:t>
            </w:r>
          </w:p>
          <w:p>
            <w:p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2"/>
                <w:sz w:val="24"/>
                <w:szCs w:val="24"/>
                <w:highlight w:val="none"/>
                <w:lang w:val="en-US" w:eastAsia="zh-CN" w:bidi="ar-SA"/>
              </w:rPr>
              <w:t>标项</w:t>
            </w: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标的为</w:t>
            </w:r>
            <w:r>
              <w:rPr>
                <w:rFonts w:hint="eastAsia" w:ascii="宋体" w:hAnsi="宋体" w:eastAsia="宋体" w:cs="宋体"/>
                <w:b/>
                <w:bCs/>
                <w:color w:val="auto"/>
                <w:sz w:val="24"/>
                <w:highlight w:val="none"/>
              </w:rPr>
              <w:t>：</w:t>
            </w:r>
            <w:r>
              <w:rPr>
                <w:rFonts w:hint="eastAsia" w:ascii="宋体" w:hAnsi="宋体" w:cs="宋体"/>
                <w:b/>
                <w:bCs/>
                <w:color w:val="auto"/>
                <w:kern w:val="2"/>
                <w:sz w:val="24"/>
                <w:szCs w:val="24"/>
                <w:highlight w:val="none"/>
                <w:u w:val="single"/>
                <w:lang w:val="en-US" w:eastAsia="zh-CN" w:bidi="ar-SA"/>
              </w:rPr>
              <w:t>2025年杭州市钱塘区建筑工程消防验收第三方服务项目</w:t>
            </w:r>
            <w:r>
              <w:rPr>
                <w:rFonts w:hint="eastAsia" w:ascii="宋体" w:hAnsi="宋体" w:eastAsia="宋体" w:cs="宋体"/>
                <w:b/>
                <w:bCs/>
                <w:color w:val="auto"/>
                <w:sz w:val="24"/>
                <w:highlight w:val="none"/>
              </w:rPr>
              <w:t xml:space="preserve"> ，属于</w:t>
            </w:r>
            <w:r>
              <w:rPr>
                <w:rFonts w:hint="eastAsia" w:ascii="宋体" w:hAnsi="宋体" w:eastAsia="宋体" w:cs="宋体"/>
                <w:b/>
                <w:bCs/>
                <w:color w:val="auto"/>
                <w:sz w:val="24"/>
                <w:highlight w:val="none"/>
                <w:u w:val="single"/>
              </w:rPr>
              <w:t>其他未列明行业</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lang w:eastAsia="zh-CN"/>
              </w:rPr>
              <w:t>。</w:t>
            </w:r>
          </w:p>
          <w:p>
            <w:pPr>
              <w:pStyle w:val="5"/>
              <w:pageBreakBefore w:val="0"/>
              <w:widowControl w:val="0"/>
              <w:kinsoku/>
              <w:wordWrap/>
              <w:overflowPunct/>
              <w:topLinePunct w:val="0"/>
              <w:autoSpaceDE/>
              <w:autoSpaceDN/>
              <w:bidi w:val="0"/>
              <w:spacing w:line="360" w:lineRule="auto"/>
              <w:ind w:left="0" w:firstLine="0"/>
              <w:jc w:val="left"/>
              <w:textAlignment w:val="auto"/>
              <w:rPr>
                <w:rFonts w:hint="eastAsia"/>
                <w:color w:val="auto"/>
                <w:highlight w:val="none"/>
              </w:rPr>
            </w:pPr>
            <w:r>
              <w:rPr>
                <w:rFonts w:hint="eastAsia" w:ascii="宋体" w:hAnsi="宋体" w:eastAsia="宋体" w:cs="宋体"/>
                <w:b/>
                <w:bCs/>
                <w:color w:val="auto"/>
                <w:kern w:val="2"/>
                <w:sz w:val="24"/>
                <w:szCs w:val="24"/>
                <w:highlight w:val="none"/>
                <w:lang w:val="en-US" w:eastAsia="zh-CN" w:bidi="ar-SA"/>
              </w:rPr>
              <w:t>标项四标的为</w:t>
            </w:r>
            <w:r>
              <w:rPr>
                <w:rFonts w:hint="eastAsia" w:ascii="宋体" w:hAnsi="宋体" w:eastAsia="宋体" w:cs="宋体"/>
                <w:b/>
                <w:bCs/>
                <w:color w:val="auto"/>
                <w:sz w:val="24"/>
                <w:highlight w:val="none"/>
              </w:rPr>
              <w:t>：</w:t>
            </w:r>
            <w:r>
              <w:rPr>
                <w:rFonts w:hint="eastAsia" w:ascii="宋体" w:hAnsi="宋体" w:eastAsia="宋体" w:cs="宋体"/>
                <w:b/>
                <w:bCs/>
                <w:color w:val="auto"/>
                <w:kern w:val="2"/>
                <w:sz w:val="24"/>
                <w:szCs w:val="24"/>
                <w:highlight w:val="none"/>
                <w:u w:val="single"/>
                <w:lang w:val="en-US" w:eastAsia="zh-CN" w:bidi="ar-SA"/>
              </w:rPr>
              <w:t>2025年杭州市钱塘区建筑工程消防验收第三方服务项目</w:t>
            </w:r>
            <w:r>
              <w:rPr>
                <w:rFonts w:hint="eastAsia" w:ascii="宋体" w:hAnsi="宋体" w:eastAsia="宋体" w:cs="宋体"/>
                <w:b/>
                <w:bCs/>
                <w:color w:val="auto"/>
                <w:sz w:val="24"/>
                <w:highlight w:val="none"/>
              </w:rPr>
              <w:t xml:space="preserve"> ，属于</w:t>
            </w:r>
            <w:r>
              <w:rPr>
                <w:rFonts w:hint="eastAsia" w:ascii="宋体" w:hAnsi="宋体" w:eastAsia="宋体" w:cs="宋体"/>
                <w:b/>
                <w:bCs/>
                <w:color w:val="auto"/>
                <w:sz w:val="24"/>
                <w:highlight w:val="none"/>
                <w:u w:val="single"/>
              </w:rPr>
              <w:t>其他未列明行业</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lang w:eastAsia="zh-CN"/>
              </w:rPr>
              <w:t>。</w:t>
            </w:r>
          </w:p>
        </w:tc>
      </w:tr>
      <w:tr>
        <w:trPr>
          <w:trHeight w:val="686"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70"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68" w:type="dxa"/>
            <w:tcBorders>
              <w:top w:val="single" w:color="000000" w:sz="8" w:space="0"/>
              <w:left w:val="single" w:color="000000" w:sz="2" w:space="0"/>
              <w:bottom w:val="single" w:color="000000" w:sz="8" w:space="0"/>
              <w:right w:val="single" w:color="000000" w:sz="8" w:space="0"/>
            </w:tcBorders>
            <w:vAlign w:val="center"/>
          </w:tcPr>
          <w:p>
            <w:pPr>
              <w:pStyle w:val="5"/>
              <w:keepNext/>
              <w:keepLines/>
              <w:pageBreakBefore w:val="0"/>
              <w:widowControl w:val="0"/>
              <w:kinsoku/>
              <w:wordWrap/>
              <w:overflowPunct/>
              <w:topLinePunct w:val="0"/>
              <w:autoSpaceDE/>
              <w:autoSpaceDN/>
              <w:bidi w:val="0"/>
              <w:adjustRightInd/>
              <w:snapToGrid/>
              <w:ind w:left="0" w:firstLine="0"/>
              <w:jc w:val="both"/>
              <w:textAlignment w:val="auto"/>
              <w:rPr>
                <w:rFonts w:ascii="宋体" w:hAnsi="宋体" w:eastAsia="宋体" w:cs="宋体"/>
                <w:color w:val="auto"/>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SA"/>
              </w:rPr>
              <w:t>其他未列明行业中，从业人员300人以下的为中小微型企业。其中，从业人员100人及以上的为中型企业；从业人员10人及以上的为小型企业；从业人员10人以下的为微型企业。</w:t>
            </w:r>
          </w:p>
        </w:tc>
      </w:tr>
      <w:tr>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70"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68"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（1）投标人填写中小企业声明函时，标的为</w:t>
            </w:r>
            <w:r>
              <w:rPr>
                <w:rFonts w:hint="eastAsia" w:ascii="宋体" w:hAnsi="宋体" w:cs="宋体"/>
                <w:b/>
                <w:bCs/>
                <w:color w:val="auto"/>
                <w:kern w:val="0"/>
                <w:sz w:val="24"/>
                <w:highlight w:val="none"/>
                <w:u w:val="single"/>
                <w:lang w:eastAsia="zh-CN"/>
              </w:rPr>
              <w:t>2025年杭州市钱塘区建筑工程消防验收第三方服务项目</w:t>
            </w:r>
            <w:r>
              <w:rPr>
                <w:rFonts w:hint="eastAsia" w:ascii="宋体" w:hAnsi="宋体" w:eastAsia="宋体" w:cs="宋体"/>
                <w:color w:val="auto"/>
                <w:kern w:val="0"/>
                <w:sz w:val="24"/>
                <w:highlight w:val="none"/>
              </w:rPr>
              <w:t>，所属行业为</w:t>
            </w:r>
            <w:r>
              <w:rPr>
                <w:rFonts w:hint="eastAsia" w:ascii="宋体" w:hAnsi="宋体" w:eastAsia="宋体" w:cs="宋体"/>
                <w:b/>
                <w:bCs/>
                <w:color w:val="auto"/>
                <w:kern w:val="0"/>
                <w:sz w:val="24"/>
                <w:highlight w:val="none"/>
                <w:u w:val="single"/>
              </w:rPr>
              <w:t>其他未列明行业</w:t>
            </w:r>
            <w:r>
              <w:rPr>
                <w:rFonts w:hint="eastAsia" w:ascii="宋体" w:hAnsi="宋体" w:eastAsia="宋体" w:cs="宋体"/>
                <w:color w:val="auto"/>
                <w:kern w:val="0"/>
                <w:sz w:val="24"/>
                <w:highlight w:val="none"/>
              </w:rPr>
              <w:t xml:space="preserve"> ；</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（2）从业人员、营业收入、资产总额填报上一年度数据，无上一年度数据的新成立企业可不填报；</w:t>
            </w:r>
          </w:p>
          <w:p>
            <w:pPr>
              <w:pStyle w:val="5"/>
              <w:keepNext/>
              <w:keepLines/>
              <w:pageBreakBefore w:val="0"/>
              <w:widowControl w:val="0"/>
              <w:kinsoku/>
              <w:wordWrap/>
              <w:overflowPunct/>
              <w:topLinePunct w:val="0"/>
              <w:autoSpaceDE/>
              <w:autoSpaceDN/>
              <w:bidi w:val="0"/>
              <w:adjustRightInd/>
              <w:snapToGrid/>
              <w:spacing w:line="360" w:lineRule="auto"/>
              <w:ind w:left="0" w:firstLine="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0"/>
                <w:sz w:val="24"/>
                <w:highlight w:val="none"/>
              </w:rPr>
              <w:t>（3）中型企业、小型企业、微型企业等3种企业类型，结合以上数据，依据《中小企业划型标准规定》（工信部联企业〔2011〕300号）确定的</w:t>
            </w:r>
            <w:r>
              <w:rPr>
                <w:rFonts w:hint="eastAsia" w:ascii="宋体" w:hAnsi="宋体" w:eastAsia="宋体" w:cs="宋体"/>
                <w:b/>
                <w:bCs/>
                <w:color w:val="auto"/>
                <w:kern w:val="0"/>
                <w:sz w:val="24"/>
                <w:highlight w:val="none"/>
                <w:u w:val="single"/>
              </w:rPr>
              <w:t>其他未列明行业</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填写时应明确是</w:t>
            </w:r>
            <w:r>
              <w:rPr>
                <w:rFonts w:hint="eastAsia" w:ascii="宋体" w:hAnsi="宋体" w:eastAsia="宋体" w:cs="宋体"/>
                <w:b/>
                <w:bCs/>
                <w:color w:val="auto"/>
                <w:kern w:val="0"/>
                <w:sz w:val="24"/>
                <w:highlight w:val="none"/>
                <w:u w:val="single"/>
                <w:lang w:val="en-US" w:eastAsia="zh-CN"/>
              </w:rPr>
              <w:t>中型或</w:t>
            </w:r>
            <w:r>
              <w:rPr>
                <w:rFonts w:hint="eastAsia" w:ascii="宋体" w:hAnsi="宋体" w:eastAsia="宋体" w:cs="宋体"/>
                <w:b/>
                <w:bCs/>
                <w:color w:val="auto"/>
                <w:kern w:val="0"/>
                <w:sz w:val="24"/>
                <w:highlight w:val="none"/>
                <w:u w:val="single"/>
              </w:rPr>
              <w:t>小型或微型</w:t>
            </w:r>
            <w:r>
              <w:rPr>
                <w:rFonts w:hint="eastAsia" w:ascii="宋体" w:hAnsi="宋体" w:eastAsia="宋体" w:cs="宋体"/>
                <w:color w:val="auto"/>
                <w:kern w:val="0"/>
                <w:sz w:val="24"/>
                <w:highlight w:val="none"/>
              </w:rPr>
              <w:t>。</w:t>
            </w:r>
          </w:p>
        </w:tc>
      </w:tr>
      <w:tr>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7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18727868"/>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
                  <w:sdtPr>
                    <w:rPr>
                      <w:rFonts w:hint="eastAsia" w:ascii="宋体" w:hAnsi="宋体" w:cs="宋体"/>
                      <w:color w:val="auto"/>
                      <w:kern w:val="0"/>
                      <w:sz w:val="24"/>
                      <w:highlight w:val="none"/>
                    </w:rPr>
                    <w:id w:val="-1"/>
                    <w:showingPlcHdr/>
                  </w:sdtPr>
                  <w:sdtEndPr>
                    <w:rPr>
                      <w:rFonts w:hint="eastAsia" w:ascii="宋体" w:hAnsi="宋体" w:cs="宋体"/>
                      <w:color w:val="auto"/>
                      <w:kern w:val="0"/>
                      <w:sz w:val="24"/>
                      <w:highlight w:val="none"/>
                    </w:rPr>
                  </w:sdtEndPr>
                  <w:sdtContent/>
                </w:sdt>
              </w:sdtContent>
            </w:sdt>
            <w:r>
              <w:rPr>
                <w:rFonts w:hint="eastAsia" w:ascii="宋体" w:hAnsi="宋体" w:cs="宋体"/>
                <w:color w:val="auto"/>
                <w:kern w:val="0"/>
                <w:sz w:val="24"/>
                <w:highlight w:val="none"/>
              </w:rPr>
              <w:t>A无</w:t>
            </w:r>
          </w:p>
        </w:tc>
      </w:tr>
      <w:tr>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70"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6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80" w:firstLineChars="200"/>
              <w:jc w:val="center"/>
              <w:rPr>
                <w:rFonts w:ascii="宋体" w:hAnsi="宋体" w:cs="宋体"/>
                <w:color w:val="auto"/>
                <w:sz w:val="24"/>
                <w:highlight w:val="none"/>
              </w:rPr>
            </w:pPr>
          </w:p>
        </w:tc>
        <w:tc>
          <w:tcPr>
            <w:tcW w:w="1870" w:type="dxa"/>
            <w:vMerge w:val="continue"/>
            <w:tcBorders>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p>
        </w:tc>
        <w:tc>
          <w:tcPr>
            <w:tcW w:w="606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rPr>
          <w:trHeight w:val="392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r>
              <w:rPr>
                <w:rFonts w:hint="eastAsia" w:ascii="宋体" w:hAnsi="宋体" w:cs="宋体"/>
                <w:snapToGrid w:val="0"/>
                <w:color w:val="auto"/>
                <w:kern w:val="28"/>
                <w:sz w:val="24"/>
                <w:highlight w:val="none"/>
              </w:rPr>
              <w:t>采购代理服务费</w:t>
            </w:r>
          </w:p>
        </w:tc>
        <w:tc>
          <w:tcPr>
            <w:tcW w:w="606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本项目的采购代理服务费由中标供应商支付。</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1、计费标准按《计价格［2002］1980号》及《发改办价格［2003］857号》文件规定按服务类收费标准计算。</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cs="宋体"/>
                <w:snapToGrid w:val="0"/>
                <w:color w:val="auto"/>
                <w:kern w:val="28"/>
                <w:sz w:val="24"/>
                <w:highlight w:val="none"/>
              </w:rPr>
              <w:t>2、结算方式及时间为：在领取中标通知书时由中标供应商一次性向采购代理机构付清。</w:t>
            </w:r>
          </w:p>
          <w:p>
            <w:pPr>
              <w:spacing w:line="360" w:lineRule="auto"/>
              <w:ind w:firstLine="480" w:firstLineChars="200"/>
              <w:rPr>
                <w:rFonts w:ascii="宋体" w:hAnsi="宋体" w:cs="宋体"/>
                <w:color w:val="auto"/>
                <w:kern w:val="28"/>
                <w:sz w:val="24"/>
                <w:highlight w:val="none"/>
              </w:rPr>
            </w:pPr>
            <w:r>
              <w:rPr>
                <w:rFonts w:hint="eastAsia" w:ascii="宋体" w:hAnsi="宋体" w:eastAsia="宋体" w:cs="宋体"/>
                <w:b/>
                <w:bCs/>
                <w:snapToGrid w:val="0"/>
                <w:color w:val="auto"/>
                <w:kern w:val="28"/>
                <w:sz w:val="24"/>
                <w:highlight w:val="none"/>
                <w:lang w:val="en-US" w:eastAsia="zh-CN"/>
              </w:rPr>
              <w:t>特别说明：中标、成交供应商放弃中标、成交资格导致重新采购的，应当承担支付代理费和专家评审费等费用在内的赔偿责任。</w:t>
            </w:r>
          </w:p>
        </w:tc>
      </w:tr>
      <w:tr>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7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68"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33"/>
              <w:spacing w:line="360" w:lineRule="auto"/>
              <w:rPr>
                <w:rFonts w:hAnsi="宋体" w:cs="宋体"/>
                <w:color w:val="auto"/>
                <w:kern w:val="28"/>
                <w:sz w:val="24"/>
                <w:szCs w:val="24"/>
                <w:highlight w:val="none"/>
              </w:rPr>
            </w:pPr>
            <w:r>
              <w:rPr>
                <w:rFonts w:hint="eastAsia" w:ascii="宋体" w:hAnsi="宋体" w:eastAsia="宋体" w:cs="宋体"/>
                <w:b/>
                <w:color w:val="auto"/>
                <w:sz w:val="24"/>
                <w:szCs w:val="24"/>
                <w:highlight w:val="none"/>
              </w:rPr>
              <w:t>采购人、采购机构不强制或变相强制投标人提交备份投标文件。</w:t>
            </w:r>
          </w:p>
        </w:tc>
      </w:tr>
      <w:tr>
        <w:trPr>
          <w:trHeight w:val="151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70"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6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sym w:font="Wingdings 2" w:char="00A3"/>
            </w: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pPr>
              <w:spacing w:line="360" w:lineRule="auto"/>
              <w:rPr>
                <w:rFonts w:ascii="宋体" w:hAnsi="宋体" w:cs="宋体"/>
                <w:bCs/>
                <w:color w:val="auto"/>
                <w:sz w:val="24"/>
                <w:highlight w:val="none"/>
              </w:rPr>
            </w:pPr>
            <w:r>
              <w:rPr>
                <w:rFonts w:hint="eastAsia" w:ascii="宋体" w:hAnsi="宋体" w:eastAsia="宋体" w:cs="宋体"/>
                <w:snapToGrid w:val="0"/>
                <w:color w:val="auto"/>
                <w:kern w:val="28"/>
                <w:sz w:val="24"/>
                <w:szCs w:val="24"/>
                <w:highlight w:val="none"/>
              </w:rPr>
              <w:sym w:font="Wingdings 2" w:char="0052"/>
            </w:r>
            <w:r>
              <w:rPr>
                <w:rFonts w:hint="eastAsia" w:ascii="宋体" w:hAnsi="宋体" w:eastAsia="宋体" w:cs="宋体"/>
                <w:snapToGrid w:val="0"/>
                <w:color w:val="auto"/>
                <w:kern w:val="28"/>
                <w:sz w:val="24"/>
                <w:szCs w:val="24"/>
                <w:highlight w:val="none"/>
              </w:rPr>
              <w:t>联合体投标的，由联合体牵头方出具相应的业绩证明</w:t>
            </w:r>
            <w:r>
              <w:rPr>
                <w:rFonts w:hint="eastAsia" w:ascii="宋体" w:hAnsi="宋体" w:cs="宋体"/>
                <w:snapToGrid w:val="0"/>
                <w:color w:val="auto"/>
                <w:kern w:val="28"/>
                <w:sz w:val="24"/>
                <w:szCs w:val="24"/>
                <w:highlight w:val="none"/>
                <w:lang w:eastAsia="zh-CN"/>
              </w:rPr>
              <w:t>材料。</w:t>
            </w:r>
          </w:p>
        </w:tc>
      </w:tr>
      <w:tr>
        <w:trPr>
          <w:trHeight w:val="686"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bookmarkStart w:id="11" w:name="第三部分"/>
            <w:bookmarkStart w:id="12" w:name="_Toc164416483"/>
          </w:p>
        </w:tc>
        <w:tc>
          <w:tcPr>
            <w:tcW w:w="1870"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6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bCs/>
                <w:color w:val="auto"/>
                <w:sz w:val="24"/>
                <w:highlight w:val="none"/>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rPr>
          <w:trHeight w:val="686"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70"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6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1.本项目服务范围广，且不排除存在阶段性项目集中委托的可能性，为确保服务质量，根据服务区域的不同设置多个标项，每个标项产生一家中标人，即采用兼投不兼中的原则确定各标项第一中标候选人。</w:t>
            </w:r>
          </w:p>
          <w:p>
            <w:pPr>
              <w:spacing w:line="360" w:lineRule="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2.供应商可自行选择其中一个或多个标项投标，但只允许中标一个标项。若供应商同时参加多个标项投标的，各个标项的投标文件分别制作、上传。</w:t>
            </w:r>
          </w:p>
          <w:p>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3.评审时按照标项一、标项二、标项三、标项四的顺序依次进行评审，已在前面的标项中被推荐为第一中标候选人的供应商在后续标项中不再作为有效供应商。</w:t>
            </w:r>
          </w:p>
        </w:tc>
      </w:tr>
      <w:tr>
        <w:trPr>
          <w:trHeight w:val="686"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70"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6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bCs/>
                <w:snapToGrid w:val="0"/>
                <w:color w:val="auto"/>
                <w:kern w:val="28"/>
                <w:sz w:val="24"/>
                <w:highlight w:val="none"/>
                <w:lang w:val="en-US" w:eastAsia="zh-CN"/>
              </w:rPr>
            </w:pPr>
            <w:r>
              <w:rPr>
                <w:rFonts w:hint="eastAsia" w:ascii="宋体" w:hAnsi="宋体" w:eastAsia="宋体" w:cs="宋体"/>
                <w:color w:val="auto"/>
                <w:kern w:val="0"/>
                <w:sz w:val="24"/>
                <w:szCs w:val="24"/>
                <w:highlight w:val="none"/>
              </w:rPr>
              <w:t>评审因素对应的要求视为采购需求的一部分。</w:t>
            </w:r>
          </w:p>
        </w:tc>
      </w:tr>
      <w:tr>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70"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6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以联合体形式投标的，除联合协议、符合参加政府采购活动应当具备的一般条件的承诺函、中小企业声明函、授权委托书之外的需盖章处仅由联合体牵头人加盖单位印章即可</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未按要求盖章的视为无效投标。</w:t>
            </w:r>
          </w:p>
        </w:tc>
      </w:tr>
      <w:bookmarkEnd w:id="10"/>
    </w:tbl>
    <w:p>
      <w:pPr>
        <w:rPr>
          <w:rFonts w:ascii="宋体" w:hAnsi="宋体" w:cs="宋体"/>
          <w:b/>
          <w:color w:val="auto"/>
          <w:sz w:val="32"/>
          <w:szCs w:val="20"/>
          <w:highlight w:val="none"/>
        </w:rPr>
      </w:pPr>
      <w:r>
        <w:rPr>
          <w:rFonts w:hint="eastAsia" w:ascii="宋体" w:hAnsi="宋体" w:cs="宋体"/>
          <w:b/>
          <w:color w:val="auto"/>
          <w:sz w:val="32"/>
          <w:szCs w:val="20"/>
          <w:highlight w:val="none"/>
        </w:rPr>
        <w:br w:type="page"/>
      </w:r>
    </w:p>
    <w:p>
      <w:pPr>
        <w:adjustRightInd/>
        <w:spacing w:line="360" w:lineRule="auto"/>
        <w:ind w:firstLine="3834"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0"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系指实质性要求条款，“★”系产品采购项目中单一产品或核心产品，“</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975705383"/>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
            <w:sdtPr>
              <w:rPr>
                <w:rFonts w:hint="eastAsia" w:ascii="宋体" w:hAnsi="宋体" w:cs="宋体"/>
                <w:color w:val="auto"/>
                <w:kern w:val="0"/>
                <w:sz w:val="24"/>
                <w:highlight w:val="none"/>
              </w:rPr>
              <w:id w:val="1206297263"/>
              <w:showingPlcHdr/>
            </w:sdtPr>
            <w:sdtEndPr>
              <w:rPr>
                <w:rFonts w:hint="eastAsia" w:ascii="宋体" w:hAnsi="宋体" w:cs="宋体"/>
                <w:color w:val="auto"/>
                <w:kern w:val="0"/>
                <w:sz w:val="24"/>
                <w:highlight w:val="none"/>
              </w:rPr>
            </w:sdtEndPr>
            <w:sdtContent/>
          </w:sdt>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sdt>
            <w:sdtPr>
              <w:rPr>
                <w:rFonts w:hint="eastAsia" w:ascii="宋体" w:hAnsi="宋体" w:cs="宋体"/>
                <w:color w:val="auto"/>
                <w:kern w:val="0"/>
                <w:sz w:val="24"/>
                <w:highlight w:val="none"/>
              </w:rPr>
              <w:id w:val="1613327087"/>
              <w:showingPlcHdr/>
            </w:sdtPr>
            <w:sdtEndPr>
              <w:rPr>
                <w:rFonts w:hint="eastAsia" w:ascii="宋体" w:hAnsi="宋体" w:cs="宋体"/>
                <w:color w:val="auto"/>
                <w:kern w:val="0"/>
                <w:sz w:val="24"/>
                <w:highlight w:val="none"/>
              </w:rPr>
            </w:sdtEndPr>
            <w:sdtContent/>
          </w:sdt>
        </w:sdtContent>
      </w:sdt>
      <w:r>
        <w:rPr>
          <w:rFonts w:hint="eastAsia" w:ascii="宋体" w:hAnsi="宋体" w:cs="宋体"/>
          <w:color w:val="auto"/>
          <w:sz w:val="24"/>
          <w:highlight w:val="none"/>
        </w:rPr>
        <w:t>” 系指不适用本项目的要求。</w:t>
      </w:r>
    </w:p>
    <w:p>
      <w:pPr>
        <w:spacing w:line="360" w:lineRule="auto"/>
        <w:ind w:firstLine="240"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3.3.3对于未预留份额专门面向中小企业的政府采购货物或服务项目，以及预留份额政府采购货物或服务项目中的非预留部分标项，对小型和微型企业的投标报价给予10%-20%的扣除（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pStyle w:val="5"/>
        <w:adjustRightInd w:val="0"/>
        <w:snapToGrid w:val="0"/>
        <w:ind w:left="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5"/>
        <w:adjustRightInd w:val="0"/>
        <w:snapToGrid w:val="0"/>
        <w:ind w:left="0" w:firstLine="480" w:firstLineChars="200"/>
        <w:rPr>
          <w:rFonts w:ascii="宋体" w:hAnsi="宋体" w:eastAsia="宋体" w:cs="仿宋"/>
          <w:b w:val="0"/>
          <w:bCs w:val="0"/>
          <w:color w:val="auto"/>
          <w:sz w:val="24"/>
          <w:szCs w:val="24"/>
          <w:highlight w:val="none"/>
          <w:lang w:val="en-US"/>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color w:val="auto"/>
          <w:sz w:val="24"/>
          <w:highlight w:val="none"/>
        </w:rPr>
        <w:t>3.5中小企业信用融资：</w:t>
      </w: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3.6平等对待内外资企业和符合条件的破产重整企业</w:t>
      </w:r>
    </w:p>
    <w:p>
      <w:pPr>
        <w:spacing w:line="360" w:lineRule="auto"/>
        <w:ind w:firstLine="480" w:firstLineChars="200"/>
        <w:rPr>
          <w:rFonts w:hint="eastAsia" w:ascii="宋体" w:hAnsi="宋体" w:cs="宋体"/>
          <w:b/>
          <w:color w:val="auto"/>
          <w:sz w:val="24"/>
          <w:highlight w:val="none"/>
        </w:rPr>
      </w:pPr>
      <w:r>
        <w:rPr>
          <w:rFonts w:hint="eastAsia" w:ascii="宋体" w:hAnsi="宋体" w:cs="宋体"/>
          <w:snapToGrid w:val="0"/>
          <w:color w:val="auto"/>
          <w:kern w:val="28"/>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 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4.5 补偿救济</w:t>
      </w:r>
    </w:p>
    <w:p>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11.1.2落实政府采购政策需满足的资格要求；</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11.1.3联合协议（如有）；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11.1.4本项目的特定资格要求（如有）；</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11.2.7拟派项目团队配备情况表；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11.2.8商务技术偏离表；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rPr>
        <w:t>11.2.9政府采购供应商廉洁自律承诺书；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中小企业声明函（如有）。</w:t>
      </w:r>
    </w:p>
    <w:p>
      <w:pPr>
        <w:spacing w:line="360" w:lineRule="auto"/>
        <w:ind w:firstLine="721"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1"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1" w:firstLineChars="300"/>
        <w:rPr>
          <w:rFonts w:hint="eastAsia" w:ascii="宋体" w:hAnsi="宋体" w:cs="宋体"/>
          <w:b/>
          <w:bCs/>
          <w:color w:val="auto"/>
          <w:sz w:val="24"/>
          <w:highlight w:val="none"/>
        </w:rPr>
      </w:pPr>
      <w:r>
        <w:rPr>
          <w:rFonts w:hint="eastAsia" w:ascii="宋体" w:hAnsi="宋体" w:cs="宋体"/>
          <w:b/>
          <w:bCs/>
          <w:color w:val="auto"/>
          <w:sz w:val="24"/>
          <w:highlight w:val="none"/>
        </w:rPr>
        <w:t>供应商报价低于</w:t>
      </w:r>
      <w:r>
        <w:rPr>
          <w:rFonts w:hint="eastAsia" w:ascii="宋体" w:hAnsi="宋体" w:cs="宋体"/>
          <w:b/>
          <w:bCs/>
          <w:color w:val="auto"/>
          <w:sz w:val="24"/>
          <w:highlight w:val="none"/>
          <w:lang w:eastAsia="zh-CN"/>
        </w:rPr>
        <w:t>最高限价</w:t>
      </w:r>
      <w:r>
        <w:rPr>
          <w:rFonts w:hint="eastAsia" w:ascii="宋体" w:hAnsi="宋体" w:cs="宋体"/>
          <w:b/>
          <w:bCs/>
          <w:color w:val="auto"/>
          <w:sz w:val="24"/>
          <w:highlight w:val="none"/>
        </w:rPr>
        <w:t>50%的，应当在报价文件中详细阐述不影响产品质量或者诚信履约的具体原因。</w:t>
      </w:r>
    </w:p>
    <w:p>
      <w:pPr>
        <w:spacing w:line="360" w:lineRule="auto"/>
        <w:ind w:firstLine="721" w:firstLineChars="300"/>
        <w:rPr>
          <w:b/>
          <w:bCs/>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8"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15.5投标人仅提交备份投标文件，没有在电子交易平台传输递交投标文件的，投标无效。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“4.2投标无效”规定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pStyle w:val="131"/>
        <w:spacing w:before="0"/>
        <w:ind w:firstLine="1922"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采购人或采购机构依据法律法规和招标文件的规定，对投标人的基本资格条件、特定资格条件进行审查。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31"/>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31"/>
        <w:snapToGrid w:val="0"/>
        <w:spacing w:before="0"/>
        <w:ind w:firstLine="480"/>
        <w:rPr>
          <w:rStyle w:val="79"/>
          <w:color w:val="auto"/>
          <w:highlight w:val="none"/>
        </w:rPr>
      </w:pPr>
      <w:r>
        <w:rPr>
          <w:rFonts w:hint="eastAsia" w:ascii="宋体" w:hAnsi="宋体" w:cs="宋体"/>
          <w:color w:val="auto"/>
          <w:kern w:val="0"/>
          <w:szCs w:val="24"/>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20.1信用信息查询渠道及截止时间：采购机构将通过“信用中国”网站(www.creditchina.gov.cn)、中国政府采购网(www.ccgp.gov.cn)等渠道查询投标人投标截止时间当天的信用记录。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8"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23.4由于中标、成交供应商原因导致重新采购的，应当承担支付代理费和专家评审费等费用在内的赔偿责任。</w:t>
      </w:r>
    </w:p>
    <w:p>
      <w:pPr>
        <w:snapToGrid w:val="0"/>
        <w:spacing w:line="360" w:lineRule="auto"/>
        <w:ind w:left="120" w:leftChars="57" w:firstLine="480" w:firstLineChars="150"/>
        <w:jc w:val="center"/>
        <w:rPr>
          <w:rFonts w:ascii="宋体" w:hAnsi="宋体" w:cs="宋体"/>
          <w:b/>
          <w:color w:val="auto"/>
          <w:sz w:val="32"/>
          <w:highlight w:val="none"/>
        </w:rPr>
      </w:pPr>
    </w:p>
    <w:p>
      <w:pPr>
        <w:snapToGrid w:val="0"/>
        <w:spacing w:line="360" w:lineRule="auto"/>
        <w:ind w:left="120" w:leftChars="57" w:firstLine="480"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8"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8"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w:t>
      </w:r>
      <w:r>
        <w:rPr>
          <w:rFonts w:hint="eastAsia" w:ascii="宋体" w:hAnsi="宋体" w:cs="宋体"/>
          <w:color w:val="auto"/>
          <w:kern w:val="0"/>
          <w:sz w:val="24"/>
          <w:highlight w:val="none"/>
          <w:lang w:eastAsia="zh-CN"/>
        </w:rPr>
        <w:t>个工作</w:t>
      </w:r>
      <w:r>
        <w:rPr>
          <w:rFonts w:hint="eastAsia" w:ascii="宋体" w:hAnsi="宋体" w:cs="宋体"/>
          <w:color w:val="auto"/>
          <w:kern w:val="0"/>
          <w:sz w:val="24"/>
          <w:highlight w:val="none"/>
        </w:rPr>
        <w:t>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8"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szCs w:val="20"/>
          <w:highlight w:val="none"/>
        </w:rPr>
      </w:pPr>
      <w:r>
        <w:rPr>
          <w:rFonts w:hint="eastAsia" w:ascii="宋体" w:hAnsi="宋体" w:cs="宋体"/>
          <w:color w:val="auto"/>
          <w:sz w:val="24"/>
          <w:szCs w:val="20"/>
          <w:highlight w:val="none"/>
        </w:rPr>
        <w:t xml:space="preserve"> 杭州市政府采购网公布的供应商履约评价为满分的免收履约保证金。确需收取履约保证金的，履约保证金的数额不得超过政府采购合同金额的1%。鼓励和支持供应商以银行、保险公司出具的电子保函形式提供履约保证金。采购人不得拒收履约保函。</w:t>
      </w:r>
    </w:p>
    <w:p>
      <w:pPr>
        <w:tabs>
          <w:tab w:val="left" w:pos="0"/>
        </w:tabs>
        <w:spacing w:line="360" w:lineRule="auto"/>
        <w:ind w:firstLine="482"/>
        <w:rPr>
          <w:rFonts w:ascii="宋体" w:hAnsi="宋体" w:cs="宋体"/>
          <w:color w:val="auto"/>
          <w:sz w:val="24"/>
          <w:szCs w:val="20"/>
          <w:highlight w:val="none"/>
        </w:rPr>
      </w:pPr>
      <w:r>
        <w:rPr>
          <w:rFonts w:hint="eastAsia" w:ascii="宋体" w:hAnsi="宋体" w:cs="宋体"/>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pStyle w:val="25"/>
        <w:spacing w:line="360" w:lineRule="auto"/>
        <w:ind w:left="479" w:hanging="478" w:hangingChars="199"/>
        <w:rPr>
          <w:rFonts w:cs="宋体"/>
          <w:b/>
          <w:color w:val="auto"/>
          <w:highlight w:val="none"/>
        </w:rPr>
      </w:pPr>
    </w:p>
    <w:p>
      <w:pPr>
        <w:snapToGrid w:val="0"/>
        <w:spacing w:line="360" w:lineRule="auto"/>
        <w:ind w:firstLine="334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8.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 xml:space="preserve"> 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0"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cs="宋体"/>
          <w:color w:val="auto"/>
          <w:kern w:val="0"/>
          <w:sz w:val="24"/>
          <w:highlight w:val="none"/>
          <w:lang w:val="en-US"/>
        </w:rPr>
      </w:pPr>
      <w:bookmarkStart w:id="14" w:name="_Hlt74707468"/>
      <w:bookmarkEnd w:id="14"/>
      <w:bookmarkStart w:id="15" w:name="_Hlt75236011"/>
      <w:bookmarkEnd w:id="15"/>
      <w:bookmarkStart w:id="16" w:name="_Hlt68073093"/>
      <w:bookmarkEnd w:id="16"/>
      <w:bookmarkStart w:id="17" w:name="_Hlt68072998"/>
      <w:bookmarkEnd w:id="17"/>
      <w:bookmarkStart w:id="18" w:name="_Hlt74730295"/>
      <w:bookmarkEnd w:id="18"/>
      <w:bookmarkStart w:id="19" w:name="_Hlt75236101"/>
      <w:bookmarkEnd w:id="19"/>
      <w:bookmarkStart w:id="20" w:name="_Hlt68403820"/>
      <w:bookmarkEnd w:id="20"/>
      <w:bookmarkStart w:id="21" w:name="_Hlt68072990"/>
      <w:bookmarkEnd w:id="21"/>
      <w:bookmarkStart w:id="22" w:name="_Hlt68057669"/>
      <w:bookmarkEnd w:id="22"/>
      <w:bookmarkStart w:id="23" w:name="_Hlt74714665"/>
      <w:bookmarkEnd w:id="23"/>
      <w:bookmarkStart w:id="24" w:name="_Hlt74729768"/>
      <w:bookmarkEnd w:id="24"/>
      <w:bookmarkStart w:id="25" w:name="_Hlt75236290"/>
      <w:bookmarkEnd w:id="25"/>
      <w:r>
        <w:rPr>
          <w:rFonts w:hint="eastAsia" w:ascii="宋体" w:hAnsi="宋体"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cs="宋体"/>
          <w:color w:val="auto"/>
          <w:kern w:val="0"/>
          <w:sz w:val="24"/>
          <w:highlight w:val="none"/>
          <w:lang w:val="en-US" w:eastAsia="zh-CN"/>
        </w:rPr>
        <w:t>合同管理</w:t>
      </w:r>
      <w:r>
        <w:rPr>
          <w:rFonts w:hint="eastAsia" w:ascii="宋体" w:hAnsi="宋体" w:cs="宋体"/>
          <w:color w:val="auto"/>
          <w:kern w:val="0"/>
          <w:sz w:val="24"/>
          <w:highlight w:val="none"/>
          <w:lang w:val="en-US"/>
        </w:rPr>
        <w:t>-支付管理。对于供应商提起在线支付申请的，采购</w:t>
      </w:r>
      <w:r>
        <w:rPr>
          <w:rFonts w:hint="eastAsia" w:ascii="宋体" w:hAnsi="宋体" w:cs="宋体"/>
          <w:color w:val="auto"/>
          <w:kern w:val="0"/>
          <w:sz w:val="24"/>
          <w:highlight w:val="none"/>
          <w:lang w:val="en-US" w:eastAsia="zh-CN"/>
        </w:rPr>
        <w:t>人</w:t>
      </w:r>
      <w:r>
        <w:rPr>
          <w:rFonts w:hint="eastAsia" w:ascii="宋体" w:hAnsi="宋体" w:cs="宋体"/>
          <w:color w:val="auto"/>
          <w:kern w:val="0"/>
          <w:sz w:val="24"/>
          <w:highlight w:val="none"/>
          <w:lang w:val="en-US"/>
        </w:rPr>
        <w:t>应当</w:t>
      </w:r>
      <w:r>
        <w:rPr>
          <w:rFonts w:hint="eastAsia" w:ascii="宋体" w:hAnsi="宋体" w:cs="宋体"/>
          <w:color w:val="auto"/>
          <w:kern w:val="0"/>
          <w:sz w:val="24"/>
          <w:highlight w:val="none"/>
          <w:lang w:val="en-US" w:eastAsia="zh-CN"/>
        </w:rPr>
        <w:t>按规定</w:t>
      </w:r>
      <w:r>
        <w:rPr>
          <w:rFonts w:hint="eastAsia" w:ascii="宋体" w:hAnsi="宋体" w:cs="宋体"/>
          <w:color w:val="auto"/>
          <w:kern w:val="0"/>
          <w:sz w:val="24"/>
          <w:highlight w:val="none"/>
          <w:lang w:val="en-US"/>
        </w:rPr>
        <w:t>做好审核并完成支付。</w:t>
      </w:r>
    </w:p>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028" w:bottom="468" w:left="1418" w:header="851" w:footer="992" w:gutter="0"/>
          <w:cols w:space="720" w:num="1"/>
          <w:titlePg/>
          <w:docGrid w:linePitch="312" w:charSpace="0"/>
        </w:sectPr>
      </w:pPr>
    </w:p>
    <w:bookmarkEnd w:id="11"/>
    <w:bookmarkEnd w:id="12"/>
    <w:p>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pPr>
        <w:pStyle w:val="5"/>
        <w:spacing w:before="120" w:after="120" w:line="360" w:lineRule="auto"/>
        <w:rPr>
          <w:rFonts w:hint="eastAsia" w:ascii="宋体" w:hAnsi="宋体" w:eastAsia="宋体" w:cs="宋体"/>
          <w:color w:val="auto"/>
          <w:sz w:val="24"/>
          <w:szCs w:val="24"/>
          <w:highlight w:val="none"/>
        </w:rPr>
      </w:pPr>
      <w:bookmarkStart w:id="27" w:name="_Toc30857"/>
      <w:bookmarkStart w:id="28" w:name="_Toc418846105"/>
      <w:bookmarkStart w:id="29" w:name="_Toc23050"/>
      <w:bookmarkStart w:id="30" w:name="_Toc17647"/>
      <w:bookmarkStart w:id="31" w:name="_Toc5161"/>
      <w:r>
        <w:rPr>
          <w:rFonts w:hint="eastAsia" w:ascii="宋体" w:hAnsi="宋体" w:eastAsia="宋体" w:cs="宋体"/>
          <w:color w:val="auto"/>
          <w:sz w:val="24"/>
          <w:szCs w:val="24"/>
          <w:highlight w:val="none"/>
        </w:rPr>
        <w:t>一、项目概况</w:t>
      </w:r>
      <w:bookmarkEnd w:id="27"/>
      <w:bookmarkEnd w:id="28"/>
      <w:bookmarkEnd w:id="29"/>
      <w:bookmarkEnd w:id="30"/>
      <w:bookmarkEnd w:id="31"/>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1、项目名称：</w:t>
      </w:r>
      <w:r>
        <w:rPr>
          <w:rFonts w:hint="eastAsia" w:hAnsi="宋体" w:cs="宋体"/>
          <w:color w:val="auto"/>
          <w:sz w:val="24"/>
          <w:szCs w:val="24"/>
          <w:highlight w:val="none"/>
          <w:lang w:eastAsia="zh-CN"/>
        </w:rPr>
        <w:t>2025年杭州市钱塘区建筑工程消防验收第三方服务项目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2、项目地点：</w:t>
      </w:r>
      <w:r>
        <w:rPr>
          <w:rFonts w:hint="eastAsia" w:ascii="宋体" w:hAnsi="宋体" w:eastAsia="宋体" w:cs="宋体"/>
          <w:color w:val="auto"/>
          <w:sz w:val="24"/>
          <w:szCs w:val="24"/>
          <w:highlight w:val="none"/>
          <w:lang w:val="en-US" w:eastAsia="zh-CN"/>
        </w:rPr>
        <w:t>本项目分为四个标项，每个标项的服务地点由</w:t>
      </w:r>
      <w:r>
        <w:rPr>
          <w:rFonts w:hint="eastAsia" w:ascii="宋体" w:hAnsi="宋体" w:eastAsia="宋体" w:cs="宋体"/>
          <w:color w:val="auto"/>
          <w:sz w:val="24"/>
          <w:szCs w:val="24"/>
          <w:highlight w:val="none"/>
        </w:rPr>
        <w:t>采购人指定。</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3、实施期限：整体服务期为一年。具体时间根据采购人要求安排。</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4、基本内容：根据采购人要求，对钱塘区相应街道的建筑工程消防验收提供第三方服务并出具报告</w:t>
      </w:r>
      <w:r>
        <w:rPr>
          <w:rFonts w:hint="eastAsia" w:ascii="宋体" w:hAnsi="宋体" w:cs="宋体"/>
          <w:b/>
          <w:bCs/>
          <w:color w:val="auto"/>
          <w:sz w:val="24"/>
          <w:szCs w:val="24"/>
          <w:highlight w:val="none"/>
          <w:lang w:eastAsia="zh-CN"/>
        </w:rPr>
        <w:t>（含建筑工程消防验收第三方服务报告、建筑工程消防验收现场评定表等）</w:t>
      </w:r>
      <w:r>
        <w:rPr>
          <w:rFonts w:hint="eastAsia" w:ascii="宋体" w:hAnsi="宋体" w:eastAsia="宋体" w:cs="宋体"/>
          <w:color w:val="auto"/>
          <w:sz w:val="24"/>
          <w:szCs w:val="24"/>
          <w:highlight w:val="none"/>
          <w:lang w:val="en-US" w:eastAsia="zh-CN"/>
        </w:rPr>
        <w:t>。</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5、投标人提供的</w:t>
      </w:r>
      <w:r>
        <w:rPr>
          <w:rFonts w:hint="eastAsia" w:ascii="宋体" w:hAnsi="宋体" w:eastAsia="宋体" w:cs="宋体"/>
          <w:color w:val="auto"/>
          <w:sz w:val="24"/>
          <w:szCs w:val="24"/>
          <w:highlight w:val="none"/>
          <w:lang w:val="en-US" w:eastAsia="zh-CN"/>
        </w:rPr>
        <w:t>服务、证明材料等</w:t>
      </w:r>
      <w:r>
        <w:rPr>
          <w:rFonts w:hint="eastAsia" w:ascii="宋体" w:hAnsi="宋体" w:eastAsia="宋体" w:cs="宋体"/>
          <w:color w:val="auto"/>
          <w:sz w:val="24"/>
          <w:szCs w:val="24"/>
          <w:highlight w:val="none"/>
        </w:rPr>
        <w:t>实际情况与投标文件中所承诺</w:t>
      </w:r>
      <w:r>
        <w:rPr>
          <w:rFonts w:hint="eastAsia" w:ascii="宋体" w:hAnsi="宋体" w:eastAsia="宋体" w:cs="宋体"/>
          <w:color w:val="auto"/>
          <w:sz w:val="24"/>
          <w:szCs w:val="24"/>
          <w:highlight w:val="none"/>
          <w:lang w:val="en-US" w:eastAsia="zh-CN"/>
        </w:rPr>
        <w:t>或响应内容</w:t>
      </w:r>
      <w:r>
        <w:rPr>
          <w:rFonts w:hint="eastAsia" w:ascii="宋体" w:hAnsi="宋体" w:eastAsia="宋体" w:cs="宋体"/>
          <w:color w:val="auto"/>
          <w:sz w:val="24"/>
          <w:szCs w:val="24"/>
          <w:highlight w:val="none"/>
        </w:rPr>
        <w:t>不符合，可视为虚假应标及欺诈行为，并追究相应责任。</w:t>
      </w:r>
    </w:p>
    <w:p>
      <w:pPr>
        <w:pStyle w:val="5"/>
        <w:spacing w:before="120" w:after="120" w:line="360" w:lineRule="auto"/>
        <w:rPr>
          <w:rFonts w:hint="eastAsia" w:ascii="宋体" w:hAnsi="宋体" w:eastAsia="宋体" w:cs="宋体"/>
          <w:color w:val="auto"/>
          <w:sz w:val="24"/>
          <w:szCs w:val="24"/>
          <w:highlight w:val="none"/>
        </w:rPr>
      </w:pPr>
      <w:bookmarkStart w:id="32" w:name="_Toc6499"/>
      <w:bookmarkStart w:id="33" w:name="_Toc25347"/>
      <w:bookmarkStart w:id="34" w:name="_Toc18499"/>
      <w:r>
        <w:rPr>
          <w:rFonts w:hint="eastAsia" w:ascii="宋体" w:hAnsi="宋体" w:eastAsia="宋体" w:cs="宋体"/>
          <w:color w:val="auto"/>
          <w:sz w:val="24"/>
          <w:szCs w:val="24"/>
          <w:highlight w:val="none"/>
        </w:rPr>
        <w:t>二</w:t>
      </w:r>
      <w:bookmarkEnd w:id="32"/>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服务要求、内容和范围</w:t>
      </w:r>
      <w:bookmarkEnd w:id="33"/>
      <w:bookmarkEnd w:id="34"/>
    </w:p>
    <w:p>
      <w:pPr>
        <w:pStyle w:val="2"/>
        <w:adjustRightInd w:val="0"/>
        <w:snapToGrid w:val="0"/>
        <w:spacing w:after="0" w:line="360" w:lineRule="auto"/>
        <w:ind w:firstLine="480" w:firstLineChars="200"/>
        <w:outlineLvl w:val="2"/>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技术服务</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1．技术服务的目标：通过适合或先进的试验仪器设备检测获得相关的数据结果，判断工程中使用的材料、成品和半成品及实体质量等是否达到标准或设计要求。</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2．技术服务的内容：</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提供的材料、成品和半成品或</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委托的现场取样和检测等要求，按照国家和行业规范进行试验，获取相关的指标。</w:t>
      </w:r>
    </w:p>
    <w:p>
      <w:pPr>
        <w:pStyle w:val="2"/>
        <w:adjustRightInd w:val="0"/>
        <w:snapToGrid w:val="0"/>
        <w:spacing w:after="0" w:line="360" w:lineRule="auto"/>
        <w:ind w:firstLine="480" w:firstLineChars="200"/>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指定的项目，严格依据国家法律法规、国家工程建设消防技术标准和省、市有关规定，开展图纸核验及技术交底服务、建设过程服务、现场评定服务、档案整理服务等工作，对工程提供全过程消防技术服务，及时出具意见或报告，并对出具的意见或报告负责。服务的具体内容包括但不限于以下内容：</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2.1图纸核验及技术交底服务</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在项目建设过程中，须对涉及消防相关施工图纸进行复核，并组织参建主体对项目进行技术交底。</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2.2现场评定服务</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核验咨询涉及消防的建设工程竣工图纸与经核验咨询合格的消防设计文件相符情况。核验咨询消防验收报验材料是否齐全完整，真实合法。</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现场评定应当依据消防法律法规、国家工程建设消防技术标准和省、市住房和城乡建设主管部门有关规定、涉及消防的建设工程竣工图纸、消防设计核验咨询意见，对建筑物防（灭）火设施的外观进行现场查看；通过专业仪器设备对涉及距离、高度、宽度、长度、面积、厚度等可测量的指标进行现场测量；对消防设施的功能进行测试、联调联试消防设施的系统功能等。现场评定具体项目包括：</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(1)建筑分类与耐火等级；</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(2)总平面布局，包括防火间距、消防车道、消防车登高面、消防救援口、消防车登高操作场地等项目；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(3)平面布置，包括消防控制室、消防水泵房、柴油发电机房、变配电房、民用建筑中其他特殊场所、工业建筑中其他特殊场所等项目；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(4)建筑外墙、屋面保温和建筑外墙装饰；</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(5)建筑内部装修防火，包括装修情况、建筑吊顶墙面和地面等装修材料的防火性能、电气安装与装修、对消防设施的影响，对疏散设施的影响等项目；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防火分隔、防烟分隔、固定窗，包括防火分区，防火墙，防火隔墙、柱、梁、楼板、疏散楼梯、屋顶承重构件，防火门、窗，竖向管道井，防火卷帘，变形缝，其他有防火分隔要求的部位，防烟分隔，固定窗等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(7)防爆，包括爆炸危险场所（部位），泄压设施，电气防爆，以及防静电、防积聚、防流散等措施；</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(8)安全疏散，包括安全出口、疏散门、疏散走道、避难层(间)、避难走道等项目；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(9)消防电梯；</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(10)消火栓系统，包括供水水源、消防水池、消防水泵、消防给水设备、消防水箱、管网、室外消火栓及取水口、室内消火栓、水泵接合器、系统功能、消防排水等项目；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(11)自动喷水灭火系统，包括供水水源、消防水池、消防水泵、气压给水设备、消防水箱、报警阀组、管网、喷头、水泵接合器、系统功能等项目；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（12）消防供配电及电器装置，包括消防电源、备用发电机、其他备用电源、消防配电、用电设施等项目；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消防应急照明和疏散指示系统，包括文件资料、系统类型选择、系统路线、布线、灯具、应急照明控制器、集中电源、应急照明配电箱、集中控制型系统、非集中控制型系统、系统备用照明等项目；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火灾自动报警系统，包括文件资料和消防控制室，火灾探测器，消防通讯，布线，应急广播及警报装置，火灾报警控制器、联动设备及消防控制室图形显示装置，系统功能，电气火灾监控系统，消防设备电源监控系统，防火门监控系统，可燃气体探测报警系统等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防烟排烟系统及通风、空调系统防火，包括自然通风，加压送风系统设置与送风机，自然排烟，机械排烟系统设置与排烟风机，防排烟管道，排烟防火阀、排烟阀（口）、常闭加压风口及防火阀等，挡烟垂壁，系统功能，通风、空调系统防火等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(16)建筑灭火器，包括种类、数量、配置、布置等项目；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(17)泡沫灭火系统，包括泡沫灭火系统防护区，泡沫储罐，以及泡沫比例混合、泡沫发生装置等，系统功能等项目；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(18)气体灭火系统的系统，包括防护区、储存装置间、灭火剂储存装置、驱动装置、管网、喷嘴、系统功能等项目；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（19）热能动力防火，包括锅炉房、柴油发电机房、液化石油气瓶组间（站）、燃油燃气管道等项目；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(20)其他国家工程建设消防技术标准强制性条文规定的项目，以及带有“严禁”、“必须”、“应”、“不应”、“不得”要求的非强制性条文规定的项目。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②抽样要求</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现场查看、测量、设施及系统功能测试应符合下列要求：</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浙江省建筑</w:t>
      </w:r>
      <w:r>
        <w:rPr>
          <w:rFonts w:hint="eastAsia" w:ascii="宋体" w:hAnsi="宋体" w:eastAsia="宋体" w:cs="宋体"/>
          <w:color w:val="auto"/>
          <w:sz w:val="24"/>
          <w:szCs w:val="24"/>
          <w:highlight w:val="none"/>
        </w:rPr>
        <w:t>工程消防验收</w:t>
      </w:r>
      <w:r>
        <w:rPr>
          <w:rFonts w:hint="eastAsia" w:hAnsi="宋体" w:cs="宋体"/>
          <w:color w:val="auto"/>
          <w:sz w:val="24"/>
          <w:szCs w:val="24"/>
          <w:highlight w:val="none"/>
          <w:lang w:eastAsia="zh-CN"/>
        </w:rPr>
        <w:t>操作</w:t>
      </w:r>
      <w:r>
        <w:rPr>
          <w:rFonts w:hint="eastAsia" w:ascii="宋体" w:hAnsi="宋体" w:eastAsia="宋体" w:cs="宋体"/>
          <w:color w:val="auto"/>
          <w:sz w:val="24"/>
          <w:szCs w:val="24"/>
          <w:highlight w:val="none"/>
        </w:rPr>
        <w:t>技术导则（试行）》中规定要查验的内容应全部检查。</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③现场评定结论</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消防验收现场评定符合下列条件的，结论为合格；不符合下列任意一项的，结论为不合格：</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（1）现场评定内容符合经消防设计核验咨询合格的消防设计文件；</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（2）现场评定内容符合国家工程建设消防技术标准强制性条文规定的要求；</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（3）有距离、高度、宽度、长度、面积、厚度等要求的内容，其与设计图纸标示的数值误差满足国家工程建设消防技术标准的要求；国家工程建设消防技术标准没有数值误差要求的，误差不超过 5%，且不影响正常使用功能和消防安全；</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（4）现场评定内容为消防设施性能的，满足设计文件要求并能正常实现；</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（5）现场评定内容为系统功能的，系统主要功能满足设计文件要求并能正常实现。</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2.3档案整理服务</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应当协助采购人及时对所承办的消防验收的相关资料进行收集、整理，及时按照归档内容及装订顺序立卷存放，确保案卷材料齐全完整、真实合法。</w:t>
      </w:r>
    </w:p>
    <w:p>
      <w:pPr>
        <w:pStyle w:val="2"/>
        <w:adjustRightInd w:val="0"/>
        <w:snapToGrid w:val="0"/>
        <w:spacing w:after="0" w:line="360" w:lineRule="auto"/>
        <w:ind w:firstLine="480" w:firstLineChars="200"/>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服务要求</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1. 技术服务的方式</w:t>
      </w:r>
      <w:r>
        <w:rPr>
          <w:rFonts w:hint="eastAsia" w:ascii="宋体" w:hAnsi="宋体" w:eastAsia="宋体" w:cs="宋体"/>
          <w:color w:val="auto"/>
          <w:sz w:val="24"/>
          <w:szCs w:val="24"/>
          <w:highlight w:val="none"/>
          <w:u w:val="none"/>
        </w:rPr>
        <w:t>：室内、外试验和室内计算分析；</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 技术服务进度：根据</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u w:val="none"/>
        </w:rPr>
        <w:t>工作要求；</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 技术</w:t>
      </w:r>
      <w:r>
        <w:rPr>
          <w:rFonts w:hint="eastAsia" w:ascii="宋体" w:hAnsi="宋体" w:eastAsia="宋体" w:cs="宋体"/>
          <w:color w:val="auto"/>
          <w:sz w:val="24"/>
          <w:szCs w:val="24"/>
          <w:highlight w:val="none"/>
          <w:u w:val="none"/>
          <w:lang w:val="en-US" w:eastAsia="zh-CN"/>
        </w:rPr>
        <w:t>规范</w:t>
      </w:r>
      <w:r>
        <w:rPr>
          <w:rFonts w:hint="eastAsia" w:ascii="宋体" w:hAnsi="宋体" w:eastAsia="宋体" w:cs="宋体"/>
          <w:color w:val="auto"/>
          <w:sz w:val="24"/>
          <w:szCs w:val="24"/>
          <w:highlight w:val="none"/>
          <w:u w:val="none"/>
        </w:rPr>
        <w:t>：</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①《中华人民共和国消防法》（2021年4月29日修正版）；</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②《建设工程消防设计审查验收管理暂行规定》（住房和城乡建设部令第51号）；</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③住房和城乡建设部《关于印发〈建设工程消防设计审查验收工作细则〉和〈建设工程消防设计审查、消防验收、备案和抽查文书式样〉的通知》（建科规〔2020〕5号）；</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④《关于深化消防执法改革的意见》（厅字〔2019〕34号）；</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⑤《浙江省建设工程消防设计审查验收管理暂行办法》；</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⑥建设部门相关监督管理办法及规章制度；</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⑦《浙江省建筑工程消防验收操作技术导则（试行）》</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⑧其他国家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地方</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行业</w:t>
      </w:r>
      <w:r>
        <w:rPr>
          <w:rFonts w:hint="eastAsia" w:ascii="宋体" w:hAnsi="宋体" w:eastAsia="宋体" w:cs="宋体"/>
          <w:color w:val="auto"/>
          <w:sz w:val="24"/>
          <w:szCs w:val="24"/>
          <w:highlight w:val="none"/>
          <w:u w:val="none"/>
        </w:rPr>
        <w:t>要求执行的法律法规。</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注：如违背上述法规或规章制度，采购人有权终止合同，并要求供应商做出相应赔偿。</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检测任务的服务</w:t>
      </w:r>
      <w:r>
        <w:rPr>
          <w:rFonts w:hint="eastAsia" w:ascii="宋体" w:hAnsi="宋体" w:eastAsia="宋体" w:cs="宋体"/>
          <w:color w:val="auto"/>
          <w:sz w:val="24"/>
          <w:szCs w:val="24"/>
          <w:highlight w:val="none"/>
        </w:rPr>
        <w:t>期限要求：</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845"/>
        <w:gridCol w:w="4860"/>
        <w:gridCol w:w="1422"/>
      </w:tblGrid>
      <w:tr>
        <w:trPr>
          <w:trHeight w:val="459" w:hRule="atLeast"/>
        </w:trPr>
        <w:tc>
          <w:tcPr>
            <w:tcW w:w="833"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845"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类别</w:t>
            </w:r>
          </w:p>
        </w:tc>
        <w:tc>
          <w:tcPr>
            <w:tcW w:w="4860"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时间要求</w:t>
            </w:r>
          </w:p>
        </w:tc>
        <w:tc>
          <w:tcPr>
            <w:tcW w:w="1422"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trPr>
          <w:trHeight w:val="1475" w:hRule="atLeast"/>
        </w:trPr>
        <w:tc>
          <w:tcPr>
            <w:tcW w:w="833"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845"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建筑面积大于10万方以上</w:t>
            </w:r>
          </w:p>
        </w:tc>
        <w:tc>
          <w:tcPr>
            <w:tcW w:w="4860"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接任务单</w:t>
            </w:r>
            <w:r>
              <w:rPr>
                <w:rFonts w:hint="eastAsia" w:ascii="宋体" w:hAnsi="宋体" w:eastAsia="宋体" w:cs="宋体"/>
                <w:color w:val="auto"/>
                <w:sz w:val="24"/>
                <w:szCs w:val="24"/>
                <w:highlight w:val="none"/>
              </w:rPr>
              <w:t>（含任务告知）后1个工作日内开展消防验收第三方服务检测，3个工作日内完成现场检测检查工作，现场检测检查完成后的2个工作日内（含）出具检测报告</w:t>
            </w:r>
          </w:p>
        </w:tc>
        <w:tc>
          <w:tcPr>
            <w:tcW w:w="1422"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color w:val="auto"/>
                <w:sz w:val="24"/>
                <w:szCs w:val="24"/>
                <w:highlight w:val="none"/>
                <w:vertAlign w:val="baseline"/>
              </w:rPr>
            </w:pPr>
          </w:p>
        </w:tc>
      </w:tr>
      <w:tr>
        <w:trPr>
          <w:trHeight w:val="1203" w:hRule="atLeast"/>
        </w:trPr>
        <w:tc>
          <w:tcPr>
            <w:tcW w:w="833"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845"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建筑面积小于10万方（含10万方）以下</w:t>
            </w:r>
          </w:p>
        </w:tc>
        <w:tc>
          <w:tcPr>
            <w:tcW w:w="4860"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接任务单</w:t>
            </w:r>
            <w:r>
              <w:rPr>
                <w:rFonts w:hint="eastAsia" w:ascii="宋体" w:hAnsi="宋体" w:eastAsia="宋体" w:cs="宋体"/>
                <w:color w:val="auto"/>
                <w:sz w:val="24"/>
                <w:szCs w:val="24"/>
                <w:highlight w:val="none"/>
              </w:rPr>
              <w:t>（含任务告知）后1个工作日内开展消防验收第三方服务检测，</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个工作日内完成现场检测检查工作，现场检测检查完成后的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个工作日内（含）出具检测报告</w:t>
            </w:r>
          </w:p>
        </w:tc>
        <w:tc>
          <w:tcPr>
            <w:tcW w:w="1422"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color w:val="auto"/>
                <w:sz w:val="24"/>
                <w:szCs w:val="24"/>
                <w:highlight w:val="none"/>
                <w:vertAlign w:val="baseline"/>
              </w:rPr>
            </w:pPr>
          </w:p>
        </w:tc>
      </w:tr>
    </w:tbl>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其它要求：</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有义务配合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完成市级及以上建设行政主管部门和监督管理部门组织的消防专项检查工作。</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有义务根据</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要求对完成的服务项目定期进行工作总结；对服务工作存在的问题进行分析并提出改进的合理化建议。</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收取的服务费用为项目每平方米固定单价，如有重复开展检测（复查等）的行为，不重复计价，不影响最终结算。</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如在服务项目中已经承接</w:t>
      </w:r>
      <w:r>
        <w:rPr>
          <w:rFonts w:hint="eastAsia" w:ascii="宋体" w:hAnsi="宋体" w:eastAsia="宋体" w:cs="宋体"/>
          <w:color w:val="auto"/>
          <w:sz w:val="24"/>
          <w:szCs w:val="24"/>
          <w:highlight w:val="none"/>
          <w:lang w:val="en-US" w:eastAsia="zh-CN"/>
        </w:rPr>
        <w:t>了</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采购人（或责任主体）</w:t>
      </w:r>
      <w:r>
        <w:rPr>
          <w:rFonts w:hint="eastAsia" w:ascii="宋体" w:hAnsi="宋体" w:eastAsia="宋体" w:cs="宋体"/>
          <w:color w:val="auto"/>
          <w:sz w:val="24"/>
          <w:szCs w:val="24"/>
          <w:highlight w:val="none"/>
        </w:rPr>
        <w:t>委托的消防类服务，</w:t>
      </w:r>
      <w:r>
        <w:rPr>
          <w:rFonts w:hint="eastAsia" w:ascii="宋体" w:hAnsi="宋体" w:eastAsia="宋体" w:cs="宋体"/>
          <w:color w:val="auto"/>
          <w:sz w:val="24"/>
          <w:szCs w:val="24"/>
          <w:highlight w:val="none"/>
          <w:lang w:val="en-US" w:eastAsia="zh-CN"/>
        </w:rPr>
        <w:t>根据回避原则，采购人有权</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文件依序委托</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标段中标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进行消防验收第三方服务检测，费用另行核算。</w:t>
      </w:r>
    </w:p>
    <w:p>
      <w:pPr>
        <w:pStyle w:val="2"/>
        <w:adjustRightInd w:val="0"/>
        <w:snapToGrid w:val="0"/>
        <w:spacing w:after="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（5）中标人每周安排最少一人到采购人处，协助处理消防验收技术档案。</w:t>
      </w:r>
    </w:p>
    <w:p>
      <w:pPr>
        <w:pStyle w:val="2"/>
        <w:adjustRightInd w:val="0"/>
        <w:snapToGrid w:val="0"/>
        <w:spacing w:after="0" w:line="360" w:lineRule="auto"/>
        <w:ind w:firstLine="480" w:firstLineChars="200"/>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（四）其他</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须对</w:t>
      </w:r>
      <w:r>
        <w:rPr>
          <w:rFonts w:hint="eastAsia" w:ascii="宋体" w:hAnsi="宋体" w:eastAsia="宋体" w:cs="宋体"/>
          <w:color w:val="auto"/>
          <w:sz w:val="24"/>
          <w:szCs w:val="24"/>
          <w:highlight w:val="none"/>
          <w:lang w:val="en-US" w:eastAsia="zh-CN"/>
        </w:rPr>
        <w:t>建筑工程消防检测有</w:t>
      </w:r>
      <w:r>
        <w:rPr>
          <w:rFonts w:hint="eastAsia" w:ascii="宋体" w:hAnsi="宋体" w:eastAsia="宋体" w:cs="宋体"/>
          <w:color w:val="auto"/>
          <w:sz w:val="24"/>
          <w:szCs w:val="24"/>
          <w:highlight w:val="none"/>
        </w:rPr>
        <w:t>全面</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了解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编制科学合理、切实可行的组织实施计划以及具体的保障措施、工作程序。</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按招标文件“采购需求”中相应内容</w:t>
      </w:r>
      <w:r>
        <w:rPr>
          <w:rFonts w:hint="eastAsia" w:ascii="宋体" w:hAnsi="宋体" w:eastAsia="宋体" w:cs="宋体"/>
          <w:color w:val="auto"/>
          <w:sz w:val="24"/>
          <w:szCs w:val="24"/>
          <w:highlight w:val="none"/>
        </w:rPr>
        <w:t>订立服务规程。</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应制订具体的质量保证措施及质量保证和相关服务承诺。</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需制定消防、抗台、安全等紧急预案，并切实地培训到每个岗位人员。</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、供应商需按照管理内容编制检查表，每日进行检查，发现问题及时整改。</w:t>
      </w:r>
    </w:p>
    <w:p>
      <w:pPr>
        <w:pStyle w:val="2"/>
        <w:adjustRightInd w:val="0"/>
        <w:snapToGrid w:val="0"/>
        <w:spacing w:after="0" w:line="360" w:lineRule="auto"/>
        <w:ind w:firstLine="480" w:firstLineChars="200"/>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验收</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按照采购合同开展履约验收。按照采购合同的约定对供应商履约情况进行验收，验收时，按照采购合同的约定对每一项技术、服务、安全标准的履约情况进行确认，出具验收报告并经验收小组全体成员签字。</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验收合格的项目，采购人将根据采购合同的约定及时向供应商支付采购资金。</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如果发现与合同中要求不符，供应商须承担由此发生的一切损失和费用，并接受相应的处理。</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采购合同的履行、违约责任和解决争议的方式等适用《中华人民共和国民法典》。</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验收产生的费用首次验收费用由采购人承担，如首次验收不合格，后续验收费用由中标人支付。</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验收内容及资料要求：根据采购文件确定的技术指标或者服务要求确定验收指标和标准。未进行相应约定的，应当符合国家强制性规定、政策要求、安全标准、行业或企业有关标准等。</w:t>
      </w:r>
    </w:p>
    <w:p>
      <w:pPr>
        <w:rPr>
          <w:rFonts w:hint="eastAsia" w:ascii="宋体" w:hAnsi="宋体" w:eastAsia="宋体" w:cs="宋体"/>
          <w:color w:val="auto"/>
          <w:sz w:val="24"/>
          <w:szCs w:val="24"/>
          <w:highlight w:val="none"/>
        </w:rPr>
      </w:pPr>
    </w:p>
    <w:p>
      <w:pPr>
        <w:pStyle w:val="5"/>
        <w:spacing w:before="120" w:after="120" w:line="360" w:lineRule="auto"/>
        <w:rPr>
          <w:rFonts w:hint="eastAsia" w:ascii="宋体" w:hAnsi="宋体" w:eastAsia="宋体" w:cs="宋体"/>
          <w:b/>
          <w:bCs/>
          <w:color w:val="auto"/>
          <w:sz w:val="24"/>
          <w:szCs w:val="24"/>
          <w:highlight w:val="none"/>
          <w:lang w:val="en-US" w:eastAsia="zh-CN"/>
        </w:rPr>
      </w:pPr>
      <w:bookmarkStart w:id="35" w:name="_Toc20573"/>
      <w:bookmarkStart w:id="36" w:name="_Toc6778"/>
      <w:r>
        <w:rPr>
          <w:rFonts w:hint="eastAsia" w:ascii="宋体" w:hAnsi="宋体" w:eastAsia="宋体" w:cs="宋体"/>
          <w:b/>
          <w:bCs/>
          <w:color w:val="auto"/>
          <w:sz w:val="24"/>
          <w:szCs w:val="24"/>
          <w:highlight w:val="none"/>
          <w:lang w:val="en-US" w:eastAsia="zh-CN"/>
        </w:rPr>
        <w:t>三、商务要求</w:t>
      </w:r>
      <w:bookmarkEnd w:id="35"/>
      <w:bookmarkEnd w:id="36"/>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（一）投标报价</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1、本项目采用综合单价包干方式，投标人按检测面积报价（指建筑面积），报价方式为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元/平方米。</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▲最高限价为0.5元/平方米（超过的投标无效）。</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投标人应考虑企业自身实力、经验及项目实施过程中的各种因素，根据采购要求，详细说明所能提供的各项具体服务内容，自主确定报价，并按服务的内容分别独立报价并提供报价组成与成本分析。</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w:t>
      </w:r>
      <w:r>
        <w:rPr>
          <w:rFonts w:hint="eastAsia" w:ascii="宋体" w:hAnsi="宋体" w:eastAsia="宋体" w:cs="宋体"/>
          <w:color w:val="auto"/>
          <w:sz w:val="24"/>
          <w:szCs w:val="24"/>
          <w:highlight w:val="none"/>
          <w:lang w:val="en-US" w:eastAsia="zh-CN"/>
        </w:rPr>
        <w:t>综合单价</w:t>
      </w:r>
      <w:r>
        <w:rPr>
          <w:rFonts w:hint="eastAsia" w:ascii="宋体" w:hAnsi="宋体" w:eastAsia="宋体" w:cs="宋体"/>
          <w:color w:val="auto"/>
          <w:sz w:val="24"/>
          <w:szCs w:val="24"/>
          <w:highlight w:val="none"/>
        </w:rPr>
        <w:t>应包括为完成本项目服务可能发生的全部费用及投标人的利润和应交纳的税金等（包括人员工资、各种社会保险、人员食宿与交通、办公费等）。投标人对合同内容的费用、质量、安全、文明服务等实行全面承包。</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如中标，合同费用按实结算，其中：①</w:t>
      </w:r>
      <w:r>
        <w:rPr>
          <w:rFonts w:hint="eastAsia" w:ascii="宋体" w:hAnsi="宋体" w:eastAsia="宋体" w:cs="宋体"/>
          <w:color w:val="auto"/>
          <w:sz w:val="24"/>
          <w:szCs w:val="24"/>
          <w:highlight w:val="none"/>
        </w:rPr>
        <w:t>单个项目服务价格低于3000元时，按3000元/项支付服务费用</w:t>
      </w:r>
      <w:r>
        <w:rPr>
          <w:rFonts w:hint="eastAsia" w:ascii="宋体" w:hAnsi="宋体" w:eastAsia="宋体" w:cs="宋体"/>
          <w:color w:val="auto"/>
          <w:sz w:val="24"/>
          <w:szCs w:val="24"/>
          <w:highlight w:val="none"/>
          <w:lang w:eastAsia="zh-CN"/>
        </w:rPr>
        <w:t>；②住宅</w:t>
      </w:r>
      <w:r>
        <w:rPr>
          <w:rFonts w:hint="eastAsia" w:ascii="宋体" w:hAnsi="宋体" w:eastAsia="宋体" w:cs="宋体"/>
          <w:color w:val="auto"/>
          <w:sz w:val="24"/>
          <w:szCs w:val="24"/>
          <w:highlight w:val="none"/>
          <w:lang w:val="en-US" w:eastAsia="zh-CN"/>
        </w:rPr>
        <w:t>类</w:t>
      </w:r>
      <w:r>
        <w:rPr>
          <w:rFonts w:hint="eastAsia" w:ascii="宋体" w:hAnsi="宋体" w:eastAsia="宋体" w:cs="宋体"/>
          <w:color w:val="auto"/>
          <w:sz w:val="24"/>
          <w:szCs w:val="24"/>
          <w:highlight w:val="none"/>
          <w:lang w:eastAsia="zh-CN"/>
        </w:rPr>
        <w:t>按照实际面积</w:t>
      </w:r>
      <w:r>
        <w:rPr>
          <w:rFonts w:hint="eastAsia" w:ascii="宋体" w:hAnsi="宋体" w:eastAsia="宋体" w:cs="宋体"/>
          <w:color w:val="auto"/>
          <w:sz w:val="24"/>
          <w:szCs w:val="24"/>
          <w:highlight w:val="none"/>
          <w:lang w:val="en-US" w:eastAsia="zh-CN"/>
        </w:rPr>
        <w:t>（指建筑面积）</w:t>
      </w:r>
      <w:r>
        <w:rPr>
          <w:rFonts w:hint="eastAsia" w:ascii="宋体" w:hAnsi="宋体" w:eastAsia="宋体" w:cs="宋体"/>
          <w:color w:val="auto"/>
          <w:sz w:val="24"/>
          <w:szCs w:val="24"/>
          <w:highlight w:val="none"/>
          <w:lang w:eastAsia="zh-CN"/>
        </w:rPr>
        <w:t>一半计费；③</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采购预算为合同支付上限</w:t>
      </w:r>
      <w:r>
        <w:rPr>
          <w:rFonts w:hint="eastAsia" w:ascii="宋体" w:hAnsi="宋体" w:eastAsia="宋体" w:cs="宋体"/>
          <w:color w:val="auto"/>
          <w:sz w:val="24"/>
          <w:szCs w:val="24"/>
          <w:highlight w:val="none"/>
        </w:rPr>
        <w:t>，乙方有义务提醒甲方项目总价的实时统计情况，以免工作量超限价。若因乙方疏忽造成总价超过</w:t>
      </w:r>
      <w:r>
        <w:rPr>
          <w:rFonts w:hint="eastAsia" w:ascii="宋体" w:hAnsi="宋体" w:eastAsia="宋体" w:cs="宋体"/>
          <w:color w:val="auto"/>
          <w:sz w:val="24"/>
          <w:szCs w:val="24"/>
          <w:highlight w:val="none"/>
          <w:lang w:val="en-US" w:eastAsia="zh-CN"/>
        </w:rPr>
        <w:t>合同预算</w:t>
      </w:r>
      <w:r>
        <w:rPr>
          <w:rFonts w:hint="eastAsia" w:ascii="宋体" w:hAnsi="宋体" w:eastAsia="宋体" w:cs="宋体"/>
          <w:color w:val="auto"/>
          <w:sz w:val="24"/>
          <w:szCs w:val="24"/>
          <w:highlight w:val="none"/>
        </w:rPr>
        <w:t>的，多余费用由乙方自行承担。</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）履约担保</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bCs/>
          <w:color w:val="auto"/>
          <w:sz w:val="24"/>
          <w:szCs w:val="24"/>
          <w:highlight w:val="none"/>
        </w:rPr>
      </w:pPr>
      <w:r>
        <w:rPr>
          <w:rFonts w:hint="eastAsia" w:ascii="宋体" w:hAnsi="宋体" w:cs="宋体"/>
          <w:snapToGrid w:val="0"/>
          <w:color w:val="auto"/>
          <w:kern w:val="0"/>
          <w:sz w:val="24"/>
          <w:szCs w:val="24"/>
          <w:highlight w:val="none"/>
          <w:lang w:eastAsia="zh-CN"/>
        </w:rPr>
        <w:t>无</w:t>
      </w:r>
      <w:r>
        <w:rPr>
          <w:rFonts w:hint="eastAsia" w:ascii="宋体" w:hAnsi="宋体" w:eastAsia="宋体" w:cs="宋体"/>
          <w:bCs/>
          <w:color w:val="auto"/>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）合同款支付</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1、合同生效以及具备实施条件后</w:t>
      </w:r>
      <w:r>
        <w:rPr>
          <w:rFonts w:hint="eastAsia" w:ascii="宋体" w:hAnsi="宋体" w:eastAsia="宋体" w:cs="宋体"/>
          <w:color w:val="auto"/>
          <w:sz w:val="24"/>
          <w:szCs w:val="24"/>
          <w:highlight w:val="none"/>
          <w:lang w:val="en-US" w:eastAsia="zh-CN"/>
        </w:rPr>
        <w:t>5个工作日内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预算</w:t>
      </w:r>
      <w:r>
        <w:rPr>
          <w:rFonts w:hint="eastAsia" w:ascii="宋体" w:hAnsi="宋体" w:eastAsia="宋体" w:cs="宋体"/>
          <w:color w:val="auto"/>
          <w:sz w:val="24"/>
          <w:szCs w:val="24"/>
          <w:highlight w:val="none"/>
        </w:rPr>
        <w:t>总额的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0%作为预付款。（在签订合同时，</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明确表示无需预付款或者主动要求降低预付款比例的，可不适用该规定）</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项目过程中，采购人</w:t>
      </w:r>
      <w:r>
        <w:rPr>
          <w:rFonts w:hint="eastAsia" w:ascii="宋体" w:hAnsi="宋体" w:eastAsia="宋体" w:cs="宋体"/>
          <w:color w:val="auto"/>
          <w:sz w:val="24"/>
          <w:szCs w:val="24"/>
          <w:highlight w:val="none"/>
        </w:rPr>
        <w:t>凭</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开具的正规、等额、合法、有效的发票，在每个季度次月的15日前支付上一季度的服务费用（按季度支付）。</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如支付了预付款的，支付进度款时需扣除预付款金额。</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4、特别说明：如因财政支付原因付款时间延后的，按采购人要求执行。</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考核</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采购人可以不定期组织检查班子根据考核要求对中标供应商服务质量进行考核，供应商</w:t>
      </w:r>
      <w:r>
        <w:rPr>
          <w:rFonts w:hint="eastAsia" w:ascii="宋体" w:hAnsi="宋体" w:eastAsia="宋体" w:cs="宋体"/>
          <w:color w:val="auto"/>
          <w:sz w:val="24"/>
          <w:szCs w:val="24"/>
          <w:highlight w:val="none"/>
          <w:lang w:val="zh-CN"/>
        </w:rPr>
        <w:t>须无条件接受检查班子的检查，采购人有权根据考核结果对</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进行处罚。</w:t>
      </w:r>
      <w:r>
        <w:rPr>
          <w:rFonts w:hint="eastAsia" w:ascii="宋体" w:hAnsi="宋体" w:eastAsia="宋体" w:cs="宋体"/>
          <w:color w:val="auto"/>
          <w:sz w:val="24"/>
          <w:szCs w:val="24"/>
          <w:highlight w:val="none"/>
          <w:lang w:val="en-US" w:eastAsia="zh-CN"/>
        </w:rPr>
        <w:t>相关违约处理见合同条款</w:t>
      </w:r>
      <w:r>
        <w:rPr>
          <w:rFonts w:hint="eastAsia" w:ascii="宋体" w:hAnsi="宋体" w:eastAsia="宋体" w:cs="宋体"/>
          <w:color w:val="auto"/>
          <w:sz w:val="24"/>
          <w:szCs w:val="24"/>
          <w:highlight w:val="none"/>
          <w:lang w:val="zh-CN"/>
        </w:rPr>
        <w:t>。</w:t>
      </w:r>
    </w:p>
    <w:p>
      <w:pPr>
        <w:pStyle w:val="5"/>
        <w:spacing w:before="120" w:after="120"/>
        <w:rPr>
          <w:rFonts w:hint="eastAsia" w:ascii="宋体" w:hAnsi="宋体" w:eastAsia="宋体" w:cs="宋体"/>
          <w:color w:val="auto"/>
          <w:sz w:val="24"/>
          <w:szCs w:val="24"/>
          <w:highlight w:val="none"/>
          <w:lang w:eastAsia="zh-CN"/>
        </w:rPr>
      </w:pPr>
      <w:bookmarkStart w:id="37" w:name="_Toc32149"/>
      <w:bookmarkStart w:id="38" w:name="_Toc1950"/>
      <w:bookmarkStart w:id="39" w:name="_Toc28348"/>
      <w:r>
        <w:rPr>
          <w:rFonts w:hint="eastAsia" w:ascii="宋体" w:hAnsi="宋体" w:eastAsia="宋体" w:cs="宋体"/>
          <w:color w:val="auto"/>
          <w:sz w:val="24"/>
          <w:szCs w:val="24"/>
          <w:highlight w:val="none"/>
        </w:rPr>
        <w:t>四、投标</w:t>
      </w:r>
      <w:bookmarkEnd w:id="37"/>
      <w:r>
        <w:rPr>
          <w:rFonts w:hint="eastAsia" w:ascii="宋体" w:hAnsi="宋体" w:eastAsia="宋体" w:cs="宋体"/>
          <w:color w:val="auto"/>
          <w:sz w:val="24"/>
          <w:szCs w:val="24"/>
          <w:highlight w:val="none"/>
          <w:lang w:val="en-US" w:eastAsia="zh-CN"/>
        </w:rPr>
        <w:t>相关说明</w:t>
      </w:r>
      <w:bookmarkEnd w:id="38"/>
      <w:bookmarkEnd w:id="39"/>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（一）投标人要求</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1、为确保项目的顺利实施，投标人应有类似项目业绩经验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系指</w:t>
      </w:r>
      <w:r>
        <w:rPr>
          <w:rFonts w:hint="eastAsia" w:ascii="宋体" w:hAnsi="宋体" w:eastAsia="宋体" w:cs="宋体"/>
          <w:color w:val="auto"/>
          <w:sz w:val="24"/>
          <w:szCs w:val="24"/>
          <w:highlight w:val="none"/>
          <w:lang w:val="en-US" w:eastAsia="zh-CN"/>
        </w:rPr>
        <w:t>消防检测业务类项目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2、投标人应能提供快速的服务响应，具有较强的项目管理、技术服务和组织实施能力。</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投标人</w:t>
      </w:r>
      <w:r>
        <w:rPr>
          <w:rFonts w:hint="eastAsia" w:ascii="宋体" w:hAnsi="宋体" w:eastAsia="宋体" w:cs="宋体"/>
          <w:bCs/>
          <w:color w:val="auto"/>
          <w:sz w:val="24"/>
          <w:szCs w:val="24"/>
          <w:highlight w:val="none"/>
          <w:lang w:val="en-US" w:eastAsia="zh-CN"/>
        </w:rPr>
        <w:t>获得有效的</w:t>
      </w:r>
      <w:r>
        <w:rPr>
          <w:rFonts w:hint="eastAsia" w:ascii="宋体" w:hAnsi="宋体" w:eastAsia="宋体" w:cs="宋体"/>
          <w:bCs/>
          <w:color w:val="auto"/>
          <w:sz w:val="24"/>
          <w:szCs w:val="24"/>
          <w:highlight w:val="none"/>
        </w:rPr>
        <w:t>质量管理体系、环境认证体系、</w:t>
      </w:r>
      <w:r>
        <w:rPr>
          <w:rFonts w:hint="eastAsia" w:ascii="宋体" w:hAnsi="宋体" w:eastAsia="宋体" w:cs="宋体"/>
          <w:bCs/>
          <w:color w:val="auto"/>
          <w:sz w:val="24"/>
          <w:szCs w:val="24"/>
          <w:highlight w:val="none"/>
          <w:lang w:val="en-US" w:eastAsia="zh-CN"/>
        </w:rPr>
        <w:t>中国</w:t>
      </w:r>
      <w:r>
        <w:rPr>
          <w:rFonts w:hint="eastAsia" w:ascii="宋体" w:hAnsi="宋体" w:eastAsia="宋体" w:cs="宋体"/>
          <w:bCs/>
          <w:color w:val="auto"/>
          <w:sz w:val="24"/>
          <w:szCs w:val="24"/>
          <w:highlight w:val="none"/>
        </w:rPr>
        <w:t>职业安全健康管理体系认证</w:t>
      </w:r>
      <w:r>
        <w:rPr>
          <w:rFonts w:hint="eastAsia" w:ascii="宋体" w:hAnsi="宋体" w:eastAsia="宋体" w:cs="宋体"/>
          <w:bCs/>
          <w:color w:val="auto"/>
          <w:sz w:val="24"/>
          <w:szCs w:val="24"/>
          <w:highlight w:val="none"/>
          <w:lang w:val="en-US" w:eastAsia="zh-CN"/>
        </w:rPr>
        <w:t>证书（在全国认证认可信息公共服务平台查询状态为有效）</w:t>
      </w:r>
      <w:r>
        <w:rPr>
          <w:rFonts w:hint="eastAsia" w:ascii="宋体" w:hAnsi="宋体" w:eastAsia="宋体" w:cs="宋体"/>
          <w:bCs/>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投标人符合《消防技术服务机构从业条件》中从事消防设施维护保养检测、消防安全评估服务的条件。投标文件中提供承诺书，承诺“符合《消防技术服务机构从业条件》中从事消防设施维护保养检测、消防安全评估服务的条件”，格式自拟。</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（二）项目团队要求</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投标人需</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所参与</w:t>
      </w:r>
      <w:r>
        <w:rPr>
          <w:rFonts w:hint="eastAsia" w:ascii="宋体" w:hAnsi="宋体" w:eastAsia="宋体" w:cs="宋体"/>
          <w:color w:val="auto"/>
          <w:sz w:val="24"/>
          <w:szCs w:val="24"/>
          <w:highlight w:val="none"/>
          <w:lang w:val="en-US" w:eastAsia="zh-CN"/>
        </w:rPr>
        <w:t>标项</w:t>
      </w: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团队</w:t>
      </w:r>
      <w:r>
        <w:rPr>
          <w:rFonts w:hint="eastAsia" w:ascii="宋体" w:hAnsi="宋体" w:eastAsia="宋体" w:cs="宋体"/>
          <w:color w:val="auto"/>
          <w:sz w:val="24"/>
          <w:szCs w:val="24"/>
          <w:highlight w:val="none"/>
          <w:lang w:eastAsia="zh-CN"/>
        </w:rPr>
        <w:t>，团队人员应为本单位员工</w:t>
      </w:r>
      <w:r>
        <w:rPr>
          <w:rFonts w:hint="eastAsia" w:ascii="宋体" w:hAnsi="宋体" w:eastAsia="宋体" w:cs="宋体"/>
          <w:color w:val="auto"/>
          <w:sz w:val="24"/>
          <w:szCs w:val="24"/>
          <w:highlight w:val="none"/>
          <w:lang w:val="en-US" w:eastAsia="zh-CN"/>
        </w:rPr>
        <w:t>。投标文件中提供团队清单，至少包含人员姓名、身份证号码，及</w:t>
      </w:r>
      <w:r>
        <w:rPr>
          <w:rFonts w:hint="eastAsia" w:ascii="宋体" w:hAnsi="宋体" w:eastAsia="宋体" w:cs="宋体"/>
          <w:color w:val="auto"/>
          <w:sz w:val="24"/>
          <w:szCs w:val="24"/>
          <w:highlight w:val="none"/>
          <w:lang w:val="zh-CN"/>
        </w:rPr>
        <w:t>社保机构出具的投标人为其缴纳的截止投标时间近3个月中任意一个月的社保证明，否则</w:t>
      </w:r>
      <w:r>
        <w:rPr>
          <w:rFonts w:hint="eastAsia" w:ascii="宋体" w:hAnsi="宋体" w:eastAsia="宋体" w:cs="宋体"/>
          <w:color w:val="auto"/>
          <w:sz w:val="24"/>
          <w:szCs w:val="24"/>
          <w:highlight w:val="none"/>
          <w:lang w:val="en-US" w:eastAsia="zh-CN"/>
        </w:rPr>
        <w:t>人员不予认可</w:t>
      </w:r>
      <w:r>
        <w:rPr>
          <w:rFonts w:hint="eastAsia" w:ascii="宋体" w:hAnsi="宋体" w:eastAsia="宋体" w:cs="宋体"/>
          <w:color w:val="auto"/>
          <w:sz w:val="24"/>
          <w:szCs w:val="24"/>
          <w:highlight w:val="none"/>
          <w:lang w:val="zh-CN"/>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每个标项需设项</w:t>
      </w:r>
      <w:r>
        <w:rPr>
          <w:rFonts w:hint="eastAsia" w:ascii="宋体" w:hAnsi="宋体" w:eastAsia="宋体" w:cs="宋体"/>
          <w:color w:val="auto"/>
          <w:sz w:val="24"/>
          <w:szCs w:val="24"/>
          <w:highlight w:val="none"/>
        </w:rPr>
        <w:t>目负责人1名，</w:t>
      </w:r>
      <w:r>
        <w:rPr>
          <w:rFonts w:hint="eastAsia" w:ascii="宋体" w:hAnsi="宋体" w:eastAsia="宋体" w:cs="宋体"/>
          <w:bCs/>
          <w:color w:val="auto"/>
          <w:sz w:val="24"/>
          <w:szCs w:val="24"/>
          <w:highlight w:val="none"/>
          <w:lang w:val="en-US" w:eastAsia="zh-CN"/>
        </w:rPr>
        <w:t>具有一级注册消防工程师资格。</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3、投标文件中应提供</w:t>
      </w:r>
      <w:r>
        <w:rPr>
          <w:rFonts w:hint="eastAsia" w:ascii="宋体" w:hAnsi="宋体" w:eastAsia="宋体" w:cs="宋体"/>
          <w:color w:val="auto"/>
          <w:sz w:val="24"/>
          <w:szCs w:val="24"/>
          <w:highlight w:val="none"/>
          <w:lang w:val="en-US" w:eastAsia="zh-CN"/>
        </w:rPr>
        <w:t>各标项</w:t>
      </w:r>
      <w:r>
        <w:rPr>
          <w:rFonts w:hint="eastAsia" w:ascii="宋体" w:hAnsi="宋体" w:eastAsia="宋体" w:cs="宋体"/>
          <w:bCs/>
          <w:color w:val="auto"/>
          <w:sz w:val="24"/>
          <w:szCs w:val="24"/>
          <w:highlight w:val="none"/>
          <w:lang w:val="en-US" w:eastAsia="zh-CN"/>
        </w:rPr>
        <w:t>团队成员名单，人数至少4人，合理配置。应有同类项目参与经验。提供每个参加项目人员提供履历介绍，主要内容包括学历、工作特长、经验与业绩、资质情况等，该人员参与的时间以及在项目中的责任。</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4、项目团队人员必须有吃苦耐劳的精神和高度的责任感，受过专门培训，严格遵守从业规范，严格履行岗位职责，善于发现各类问题，具备一定的从业经验和处理复杂技术问题能力。</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5、所有团队人员需确保胜任岗位职责、到位率，不得随意更换。需遵守并接受住建部门及其他相关业务部门的的指导与监督。</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6、除上述项目团队成员外，投标人应为所投标项配备消防专家1-2人，该部分人员可对本项目服务内容或可能遇到的疑难点或重大问题等，提供技术服务、咨询服务。该部分人员应有社保证明材料或聘任合同。</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（三）投标时对方案的要求</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1．投标人需针对本项目</w:t>
      </w:r>
      <w:r>
        <w:rPr>
          <w:rFonts w:hint="eastAsia" w:ascii="宋体" w:hAnsi="宋体" w:eastAsia="宋体" w:cs="宋体"/>
          <w:color w:val="auto"/>
          <w:sz w:val="24"/>
          <w:szCs w:val="24"/>
          <w:highlight w:val="none"/>
          <w:lang w:val="en-US" w:eastAsia="zh-CN"/>
        </w:rPr>
        <w:t>各标项</w:t>
      </w:r>
      <w:r>
        <w:rPr>
          <w:rFonts w:hint="eastAsia" w:ascii="宋体" w:hAnsi="宋体" w:eastAsia="宋体" w:cs="宋体"/>
          <w:bCs/>
          <w:color w:val="auto"/>
          <w:sz w:val="24"/>
          <w:szCs w:val="24"/>
          <w:highlight w:val="none"/>
        </w:rPr>
        <w:t>的实际情况与需求，提供完整的</w:t>
      </w:r>
      <w:r>
        <w:rPr>
          <w:rFonts w:hint="eastAsia" w:ascii="宋体" w:hAnsi="宋体" w:eastAsia="宋体" w:cs="宋体"/>
          <w:bCs/>
          <w:color w:val="auto"/>
          <w:sz w:val="24"/>
          <w:szCs w:val="24"/>
          <w:highlight w:val="none"/>
          <w:lang w:val="en-US" w:eastAsia="zh-CN"/>
        </w:rPr>
        <w:t>日常服务</w:t>
      </w:r>
      <w:r>
        <w:rPr>
          <w:rFonts w:hint="eastAsia" w:ascii="宋体" w:hAnsi="宋体" w:eastAsia="宋体" w:cs="宋体"/>
          <w:bCs/>
          <w:color w:val="auto"/>
          <w:sz w:val="24"/>
          <w:szCs w:val="24"/>
          <w:highlight w:val="none"/>
        </w:rPr>
        <w:t>方案。</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2．投标人需针对本项目</w:t>
      </w:r>
      <w:r>
        <w:rPr>
          <w:rFonts w:hint="eastAsia" w:ascii="宋体" w:hAnsi="宋体" w:eastAsia="宋体" w:cs="宋体"/>
          <w:color w:val="auto"/>
          <w:sz w:val="24"/>
          <w:szCs w:val="24"/>
          <w:highlight w:val="none"/>
          <w:lang w:val="en-US" w:eastAsia="zh-CN"/>
        </w:rPr>
        <w:t>各标项</w:t>
      </w:r>
      <w:r>
        <w:rPr>
          <w:rFonts w:hint="eastAsia" w:ascii="宋体" w:hAnsi="宋体" w:eastAsia="宋体" w:cs="宋体"/>
          <w:bCs/>
          <w:color w:val="auto"/>
          <w:sz w:val="24"/>
          <w:szCs w:val="24"/>
          <w:highlight w:val="none"/>
        </w:rPr>
        <w:t>的实际情况与需求，制定完善的管理制度。包括</w:t>
      </w:r>
      <w:r>
        <w:rPr>
          <w:rFonts w:hint="eastAsia" w:ascii="宋体" w:hAnsi="宋体" w:eastAsia="宋体" w:cs="宋体"/>
          <w:bCs/>
          <w:color w:val="auto"/>
          <w:sz w:val="24"/>
          <w:szCs w:val="24"/>
          <w:highlight w:val="none"/>
          <w:lang w:eastAsia="zh-CN"/>
        </w:rPr>
        <w:t>：①</w:t>
      </w:r>
      <w:r>
        <w:rPr>
          <w:rFonts w:hint="eastAsia" w:ascii="宋体" w:hAnsi="宋体" w:eastAsia="宋体" w:cs="宋体"/>
          <w:bCs/>
          <w:color w:val="auto"/>
          <w:sz w:val="24"/>
          <w:szCs w:val="24"/>
          <w:highlight w:val="none"/>
          <w:lang w:val="en-US" w:eastAsia="zh-CN"/>
        </w:rPr>
        <w:t>人员</w:t>
      </w:r>
      <w:r>
        <w:rPr>
          <w:rFonts w:hint="eastAsia" w:ascii="宋体" w:hAnsi="宋体" w:eastAsia="宋体" w:cs="宋体"/>
          <w:bCs/>
          <w:color w:val="auto"/>
          <w:sz w:val="24"/>
          <w:szCs w:val="24"/>
          <w:highlight w:val="none"/>
        </w:rPr>
        <w:t>制度、例会制度等；②档案管理制度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③考核</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bCs/>
          <w:color w:val="auto"/>
          <w:sz w:val="24"/>
          <w:szCs w:val="24"/>
          <w:highlight w:val="none"/>
        </w:rPr>
        <w:t>；④激励</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bCs/>
          <w:color w:val="auto"/>
          <w:sz w:val="24"/>
          <w:szCs w:val="24"/>
          <w:highlight w:val="none"/>
        </w:rPr>
        <w:t>；⑤监督</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bCs/>
          <w:color w:val="auto"/>
          <w:sz w:val="24"/>
          <w:szCs w:val="24"/>
          <w:highlight w:val="none"/>
        </w:rPr>
        <w:t>；⑥自我约束</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bCs/>
          <w:color w:val="auto"/>
          <w:sz w:val="24"/>
          <w:szCs w:val="24"/>
          <w:highlight w:val="none"/>
        </w:rPr>
        <w:t>；⑦及时处理机制</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bCs/>
          <w:color w:val="auto"/>
          <w:sz w:val="24"/>
          <w:szCs w:val="24"/>
          <w:highlight w:val="none"/>
        </w:rPr>
        <w:t>；⑧</w:t>
      </w:r>
      <w:r>
        <w:rPr>
          <w:rFonts w:hint="eastAsia" w:ascii="宋体" w:hAnsi="宋体" w:eastAsia="宋体" w:cs="宋体"/>
          <w:bCs/>
          <w:color w:val="auto"/>
          <w:sz w:val="24"/>
          <w:szCs w:val="24"/>
          <w:highlight w:val="none"/>
          <w:lang w:val="en-US" w:eastAsia="zh-CN"/>
        </w:rPr>
        <w:t>针对管理标准</w:t>
      </w:r>
      <w:r>
        <w:rPr>
          <w:rFonts w:hint="eastAsia" w:ascii="宋体" w:hAnsi="宋体" w:eastAsia="宋体" w:cs="宋体"/>
          <w:bCs/>
          <w:color w:val="auto"/>
          <w:sz w:val="24"/>
          <w:szCs w:val="24"/>
          <w:highlight w:val="none"/>
        </w:rPr>
        <w:t>建立</w:t>
      </w:r>
      <w:r>
        <w:rPr>
          <w:rFonts w:hint="eastAsia" w:ascii="宋体" w:hAnsi="宋体" w:eastAsia="宋体" w:cs="宋体"/>
          <w:bCs/>
          <w:color w:val="auto"/>
          <w:sz w:val="24"/>
          <w:szCs w:val="24"/>
          <w:highlight w:val="none"/>
          <w:lang w:val="en-US" w:eastAsia="zh-CN"/>
        </w:rPr>
        <w:t>相应</w:t>
      </w:r>
      <w:r>
        <w:rPr>
          <w:rFonts w:hint="eastAsia" w:ascii="宋体" w:hAnsi="宋体" w:eastAsia="宋体" w:cs="宋体"/>
          <w:bCs/>
          <w:color w:val="auto"/>
          <w:sz w:val="24"/>
          <w:szCs w:val="24"/>
          <w:highlight w:val="none"/>
        </w:rPr>
        <w:t>管理指标</w:t>
      </w:r>
      <w:r>
        <w:rPr>
          <w:rFonts w:hint="eastAsia" w:ascii="宋体" w:hAnsi="宋体" w:eastAsia="宋体" w:cs="宋体"/>
          <w:bCs/>
          <w:color w:val="auto"/>
          <w:sz w:val="24"/>
          <w:szCs w:val="24"/>
          <w:highlight w:val="none"/>
          <w:lang w:val="en-US" w:eastAsia="zh-CN"/>
        </w:rPr>
        <w:t>制度</w:t>
      </w:r>
      <w:r>
        <w:rPr>
          <w:rFonts w:hint="eastAsia" w:ascii="宋体" w:hAnsi="宋体" w:eastAsia="宋体" w:cs="宋体"/>
          <w:bCs/>
          <w:color w:val="auto"/>
          <w:sz w:val="24"/>
          <w:szCs w:val="24"/>
          <w:highlight w:val="none"/>
        </w:rPr>
        <w:t>。且相关制度需能体现标准化服务，并满足国家和行业相关标准要求。</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针对类别不同的两种检测任务，提供确保按期完成检测检查工作的时间安排方案</w:t>
      </w:r>
      <w:r>
        <w:rPr>
          <w:rFonts w:hint="eastAsia" w:ascii="宋体" w:hAnsi="宋体" w:eastAsia="宋体" w:cs="宋体"/>
          <w:bCs/>
          <w:color w:val="auto"/>
          <w:sz w:val="24"/>
          <w:szCs w:val="24"/>
          <w:highlight w:val="none"/>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．投标人需针对本项目</w:t>
      </w:r>
      <w:r>
        <w:rPr>
          <w:rFonts w:hint="eastAsia" w:ascii="宋体" w:hAnsi="宋体" w:eastAsia="宋体" w:cs="宋体"/>
          <w:color w:val="auto"/>
          <w:sz w:val="24"/>
          <w:szCs w:val="24"/>
          <w:highlight w:val="none"/>
          <w:lang w:val="en-US" w:eastAsia="zh-CN"/>
        </w:rPr>
        <w:t>各标项</w:t>
      </w:r>
      <w:r>
        <w:rPr>
          <w:rFonts w:hint="eastAsia" w:ascii="宋体" w:hAnsi="宋体" w:eastAsia="宋体" w:cs="宋体"/>
          <w:bCs/>
          <w:color w:val="auto"/>
          <w:sz w:val="24"/>
          <w:szCs w:val="24"/>
          <w:highlight w:val="none"/>
        </w:rPr>
        <w:t>的实际情况与需求，提供</w:t>
      </w:r>
      <w:r>
        <w:rPr>
          <w:rFonts w:hint="eastAsia" w:ascii="宋体" w:hAnsi="宋体" w:eastAsia="宋体" w:cs="宋体"/>
          <w:bCs/>
          <w:color w:val="auto"/>
          <w:sz w:val="24"/>
          <w:szCs w:val="24"/>
          <w:highlight w:val="none"/>
          <w:lang w:eastAsia="zh-CN"/>
        </w:rPr>
        <w:t>必要的</w:t>
      </w:r>
      <w:r>
        <w:rPr>
          <w:rFonts w:hint="eastAsia" w:ascii="宋体" w:hAnsi="宋体" w:eastAsia="宋体" w:cs="宋体"/>
          <w:bCs/>
          <w:color w:val="auto"/>
          <w:sz w:val="24"/>
          <w:szCs w:val="24"/>
          <w:highlight w:val="none"/>
          <w:lang w:val="en-US" w:eastAsia="zh-CN"/>
        </w:rPr>
        <w:t>检测仪器、装备（例如电子秒表、照度计、声级计、测距仪、风速计、微压计、流量计、试水装置等等）</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并</w:t>
      </w:r>
      <w:r>
        <w:rPr>
          <w:rFonts w:hint="eastAsia" w:ascii="宋体" w:hAnsi="宋体" w:eastAsia="宋体" w:cs="宋体"/>
          <w:bCs/>
          <w:color w:val="auto"/>
          <w:sz w:val="24"/>
          <w:szCs w:val="24"/>
          <w:highlight w:val="none"/>
          <w:lang w:eastAsia="zh-CN"/>
        </w:rPr>
        <w:t>在投标文件中</w:t>
      </w:r>
      <w:r>
        <w:rPr>
          <w:rFonts w:hint="eastAsia" w:ascii="宋体" w:hAnsi="宋体" w:eastAsia="宋体" w:cs="宋体"/>
          <w:bCs/>
          <w:color w:val="auto"/>
          <w:sz w:val="24"/>
          <w:szCs w:val="24"/>
          <w:highlight w:val="none"/>
        </w:rPr>
        <w:t>提供详细</w:t>
      </w:r>
      <w:r>
        <w:rPr>
          <w:rFonts w:hint="eastAsia" w:ascii="宋体" w:hAnsi="宋体" w:eastAsia="宋体" w:cs="宋体"/>
          <w:bCs/>
          <w:color w:val="auto"/>
          <w:sz w:val="24"/>
          <w:szCs w:val="24"/>
          <w:highlight w:val="none"/>
          <w:lang w:val="en-US" w:eastAsia="zh-CN"/>
        </w:rPr>
        <w:t>仪器/设备</w:t>
      </w:r>
      <w:r>
        <w:rPr>
          <w:rFonts w:hint="eastAsia" w:ascii="宋体" w:hAnsi="宋体" w:eastAsia="宋体" w:cs="宋体"/>
          <w:bCs/>
          <w:color w:val="auto"/>
          <w:sz w:val="24"/>
          <w:szCs w:val="24"/>
          <w:highlight w:val="none"/>
        </w:rPr>
        <w:t>清单</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及相应的技术指标、性能参数</w:t>
      </w:r>
      <w:r>
        <w:rPr>
          <w:rFonts w:hint="eastAsia" w:ascii="宋体" w:hAnsi="宋体" w:eastAsia="宋体" w:cs="宋体"/>
          <w:bCs/>
          <w:color w:val="auto"/>
          <w:sz w:val="24"/>
          <w:szCs w:val="24"/>
          <w:highlight w:val="none"/>
        </w:rPr>
        <w:t>。投入的仪器设备应满足消防设施检测、消防安全评估工作的要求。按国家相关规定需取得检定证书或符合使用要求的校准证书的检测仪器，需附相关证书。</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．投标人需结合对本项目</w:t>
      </w:r>
      <w:r>
        <w:rPr>
          <w:rFonts w:hint="eastAsia" w:ascii="宋体" w:hAnsi="宋体" w:eastAsia="宋体" w:cs="宋体"/>
          <w:color w:val="auto"/>
          <w:sz w:val="24"/>
          <w:szCs w:val="24"/>
          <w:highlight w:val="none"/>
          <w:lang w:val="en-US" w:eastAsia="zh-CN"/>
        </w:rPr>
        <w:t>各标项</w:t>
      </w:r>
      <w:r>
        <w:rPr>
          <w:rFonts w:hint="eastAsia" w:ascii="宋体" w:hAnsi="宋体" w:eastAsia="宋体" w:cs="宋体"/>
          <w:bCs/>
          <w:color w:val="auto"/>
          <w:sz w:val="24"/>
          <w:szCs w:val="24"/>
          <w:highlight w:val="none"/>
          <w:lang w:val="en-US" w:eastAsia="zh-CN"/>
        </w:rPr>
        <w:t>技术服务</w:t>
      </w:r>
      <w:r>
        <w:rPr>
          <w:rFonts w:hint="eastAsia" w:ascii="宋体" w:hAnsi="宋体" w:eastAsia="宋体" w:cs="宋体"/>
          <w:bCs/>
          <w:color w:val="auto"/>
          <w:sz w:val="24"/>
          <w:szCs w:val="24"/>
          <w:highlight w:val="none"/>
        </w:rPr>
        <w:t>需求的理解，分析服务存在的难点、要点问题</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并针对性的提出克服难点和要点的技术措施。</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6.投标人需提供防止检测结果出现意外情况或重大过失的预防方案。</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．投标人需提供服务质量保障方案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质量包括：工程的质量均应验收合格；质量控制资料完整；工程所含分部工程有关安全和功能的检测资料完整；主要功能项目的抽查结果应符合相关专业质量验收规范的规定；观感质量验收应符合要求等</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，方案具有具有详细可行的实施内容。</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中标推荐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szCs w:val="24"/>
          <w:highlight w:val="none"/>
        </w:rPr>
        <w:t>鉴于本项目范围广、实施复杂，且成果提交时间严格，投标人应投入最大技术能力参与本项目</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投标人可选择任意标项参与投标，但只能在其中一个项目标项中标。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snapToGrid w:val="0"/>
          <w:color w:val="auto"/>
          <w:kern w:val="0"/>
          <w:sz w:val="24"/>
          <w:szCs w:val="24"/>
          <w:highlight w:val="none"/>
          <w:shd w:val="clear" w:color="auto" w:fill="auto"/>
          <w:lang w:val="en-US" w:eastAsia="zh-CN"/>
        </w:rPr>
        <w:t>本项目采用兼投不兼中的原则确定各标项第一中标候选人，即：供应商可自行选择其中一个或多个标项投标，但只允许中标一个标项。评审时按照标项一、标项二、标项三、标项四的顺序依次进行评审，已在前面的标项中被推荐为第一中标候选人的供应商在后续标项中不再作为有效供应商</w:t>
      </w:r>
      <w:r>
        <w:rPr>
          <w:rFonts w:hint="eastAsia" w:ascii="宋体" w:hAnsi="宋体" w:eastAsia="宋体" w:cs="宋体"/>
          <w:color w:val="auto"/>
          <w:sz w:val="24"/>
          <w:szCs w:val="24"/>
          <w:highlight w:val="none"/>
          <w:lang w:val="en-US" w:eastAsia="zh-CN"/>
        </w:rPr>
        <w:t>。</w:t>
      </w:r>
    </w:p>
    <w:p>
      <w:pPr>
        <w:pStyle w:val="5"/>
        <w:spacing w:before="120" w:after="120" w:line="360" w:lineRule="auto"/>
        <w:rPr>
          <w:rFonts w:hint="eastAsia" w:ascii="宋体" w:hAnsi="宋体" w:eastAsia="宋体" w:cs="宋体"/>
          <w:b/>
          <w:bCs/>
          <w:color w:val="auto"/>
          <w:sz w:val="24"/>
          <w:szCs w:val="24"/>
          <w:highlight w:val="none"/>
          <w:lang w:val="en-US" w:eastAsia="zh-CN"/>
        </w:rPr>
      </w:pPr>
      <w:bookmarkStart w:id="40" w:name="_Toc9612"/>
      <w:bookmarkStart w:id="41" w:name="_Toc5721"/>
      <w:bookmarkStart w:id="42" w:name="_Toc5760"/>
      <w:r>
        <w:rPr>
          <w:rFonts w:hint="eastAsia" w:ascii="宋体" w:hAnsi="宋体" w:eastAsia="宋体" w:cs="宋体"/>
          <w:b/>
          <w:bCs/>
          <w:color w:val="auto"/>
          <w:sz w:val="24"/>
          <w:szCs w:val="24"/>
          <w:highlight w:val="none"/>
          <w:lang w:val="en-US" w:eastAsia="zh-CN"/>
        </w:rPr>
        <w:t>五、其他</w:t>
      </w:r>
      <w:bookmarkEnd w:id="40"/>
      <w:bookmarkEnd w:id="41"/>
      <w:bookmarkEnd w:id="42"/>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1、分包和转包</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（1）投标人不得将本合同范围的服务转包由其他单位承担；也不得未经采购人同意擅自部分内容分包给其他单位承担；如有违反以上情形，采购人有权解除合同，并追究中标人的违约责任。 </w:t>
      </w:r>
    </w:p>
    <w:p>
      <w:pPr>
        <w:pStyle w:val="2"/>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（2）享受《政府采购促进中小企业发展管理办法》的通知（财库〔2020〕46 号）的规定扶持政策获得政府采购合同的，小微企业不得将合同分包给大中型企业，中型企业不得将合同分包给大型企业。  </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投标时的证明材料要确保真实有效。如核实虚假的，采购人有权向监管部门反映，取消该投标人的中标资格并追究其法律责任。</w:t>
      </w:r>
    </w:p>
    <w:p>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zh-CN"/>
        </w:rPr>
        <w:t>未尽事宜可进一步参阅合同条款、</w:t>
      </w:r>
      <w:r>
        <w:rPr>
          <w:rFonts w:hint="eastAsia" w:ascii="宋体" w:hAnsi="宋体" w:eastAsia="宋体" w:cs="宋体"/>
          <w:snapToGrid w:val="0"/>
          <w:color w:val="auto"/>
          <w:kern w:val="0"/>
          <w:sz w:val="24"/>
          <w:szCs w:val="24"/>
          <w:highlight w:val="none"/>
        </w:rPr>
        <w:t>招标文件其他内容、</w:t>
      </w:r>
      <w:r>
        <w:rPr>
          <w:rFonts w:hint="eastAsia" w:ascii="宋体" w:hAnsi="宋体" w:eastAsia="宋体" w:cs="宋体"/>
          <w:snapToGrid w:val="0"/>
          <w:color w:val="auto"/>
          <w:kern w:val="0"/>
          <w:sz w:val="24"/>
          <w:szCs w:val="24"/>
          <w:highlight w:val="none"/>
          <w:lang w:val="zh-CN"/>
        </w:rPr>
        <w:t>相关附件。</w:t>
      </w:r>
    </w:p>
    <w:p>
      <w:pPr>
        <w:pStyle w:val="25"/>
        <w:rPr>
          <w:color w:val="auto"/>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rPr>
          <w:rFonts w:hint="eastAsia" w:ascii="宋体" w:hAnsi="宋体" w:cs="宋体"/>
          <w:b/>
          <w:color w:val="auto"/>
          <w:sz w:val="36"/>
          <w:szCs w:val="36"/>
          <w:highlight w:val="none"/>
        </w:rPr>
      </w:pP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3" w:name="_Toc184313257"/>
      <w:bookmarkEnd w:id="43"/>
      <w:bookmarkStart w:id="44" w:name="_Toc184308100"/>
      <w:bookmarkEnd w:id="44"/>
      <w:bookmarkStart w:id="45" w:name="_Toc184313288"/>
      <w:bookmarkEnd w:id="45"/>
      <w:bookmarkStart w:id="46" w:name="_Toc184312102"/>
      <w:bookmarkEnd w:id="46"/>
      <w:bookmarkStart w:id="47" w:name="_Toc184308038"/>
      <w:bookmarkEnd w:id="47"/>
      <w:bookmarkStart w:id="48" w:name="_Toc184308060"/>
      <w:bookmarkEnd w:id="48"/>
      <w:bookmarkStart w:id="49" w:name="_Toc184313293"/>
      <w:bookmarkEnd w:id="49"/>
      <w:bookmarkStart w:id="50" w:name="_Toc184310344"/>
      <w:bookmarkEnd w:id="50"/>
      <w:bookmarkStart w:id="51" w:name="_Toc184310275"/>
      <w:bookmarkEnd w:id="51"/>
      <w:bookmarkStart w:id="52" w:name="_Toc184312112"/>
      <w:bookmarkEnd w:id="52"/>
      <w:bookmarkStart w:id="53" w:name="_Toc184310300"/>
      <w:bookmarkEnd w:id="53"/>
      <w:bookmarkStart w:id="54" w:name="_Toc184314458"/>
      <w:bookmarkEnd w:id="54"/>
      <w:bookmarkStart w:id="55" w:name="_Toc184308053"/>
      <w:bookmarkEnd w:id="55"/>
      <w:bookmarkStart w:id="56" w:name="_Toc184312074"/>
      <w:bookmarkEnd w:id="56"/>
      <w:bookmarkStart w:id="57" w:name="_Toc184310286"/>
      <w:bookmarkEnd w:id="57"/>
      <w:bookmarkStart w:id="58" w:name="_Toc184314442"/>
      <w:bookmarkEnd w:id="58"/>
      <w:bookmarkStart w:id="59" w:name="_Toc184314478"/>
      <w:bookmarkEnd w:id="59"/>
      <w:bookmarkStart w:id="60" w:name="_Toc184312137"/>
      <w:bookmarkEnd w:id="60"/>
      <w:bookmarkStart w:id="61" w:name="_Toc184314424"/>
      <w:bookmarkEnd w:id="61"/>
      <w:bookmarkStart w:id="62" w:name="_Toc184314418"/>
      <w:bookmarkEnd w:id="62"/>
      <w:bookmarkStart w:id="63" w:name="_Toc184312108"/>
      <w:bookmarkEnd w:id="63"/>
      <w:bookmarkStart w:id="64" w:name="_Toc184313256"/>
      <w:bookmarkEnd w:id="64"/>
      <w:bookmarkStart w:id="65" w:name="_Toc184312082"/>
      <w:bookmarkEnd w:id="65"/>
      <w:bookmarkStart w:id="66" w:name="_Toc184310333"/>
      <w:bookmarkEnd w:id="66"/>
      <w:bookmarkStart w:id="67" w:name="_Toc184313300"/>
      <w:bookmarkEnd w:id="67"/>
      <w:bookmarkStart w:id="68" w:name="_Toc184312101"/>
      <w:bookmarkEnd w:id="68"/>
      <w:bookmarkStart w:id="69" w:name="_Toc184314444"/>
      <w:bookmarkEnd w:id="69"/>
      <w:bookmarkStart w:id="70" w:name="_Toc184314475"/>
      <w:bookmarkEnd w:id="70"/>
      <w:bookmarkStart w:id="71" w:name="_Toc184313244"/>
      <w:bookmarkEnd w:id="71"/>
      <w:bookmarkStart w:id="72" w:name="_Toc184310341"/>
      <w:bookmarkEnd w:id="72"/>
      <w:bookmarkStart w:id="73" w:name="_Toc184310303"/>
      <w:bookmarkEnd w:id="73"/>
      <w:bookmarkStart w:id="74" w:name="_Toc184308066"/>
      <w:bookmarkEnd w:id="74"/>
      <w:bookmarkStart w:id="75" w:name="_Toc184310310"/>
      <w:bookmarkEnd w:id="75"/>
      <w:bookmarkStart w:id="76" w:name="_Toc184312125"/>
      <w:bookmarkEnd w:id="76"/>
      <w:bookmarkStart w:id="77" w:name="_Toc184308107"/>
      <w:bookmarkEnd w:id="77"/>
      <w:bookmarkStart w:id="78" w:name="_Toc184310283"/>
      <w:bookmarkEnd w:id="78"/>
      <w:bookmarkStart w:id="79" w:name="_Toc184312106"/>
      <w:bookmarkEnd w:id="79"/>
      <w:bookmarkStart w:id="80" w:name="_Toc184308090"/>
      <w:bookmarkEnd w:id="80"/>
      <w:bookmarkStart w:id="81" w:name="_Toc184313246"/>
      <w:bookmarkEnd w:id="81"/>
      <w:bookmarkStart w:id="82" w:name="_Toc184312085"/>
      <w:bookmarkEnd w:id="82"/>
      <w:bookmarkStart w:id="83" w:name="_Toc184308094"/>
      <w:bookmarkEnd w:id="83"/>
      <w:bookmarkStart w:id="84" w:name="_Toc184308077"/>
      <w:bookmarkEnd w:id="84"/>
      <w:bookmarkStart w:id="85" w:name="_Toc184310305"/>
      <w:bookmarkEnd w:id="85"/>
      <w:bookmarkStart w:id="86" w:name="_Toc184310302"/>
      <w:bookmarkEnd w:id="86"/>
      <w:bookmarkStart w:id="87" w:name="_Toc184314452"/>
      <w:bookmarkEnd w:id="87"/>
      <w:bookmarkStart w:id="88" w:name="_Toc184310277"/>
      <w:bookmarkEnd w:id="88"/>
      <w:bookmarkStart w:id="89" w:name="_Toc184313285"/>
      <w:bookmarkEnd w:id="89"/>
      <w:bookmarkStart w:id="90" w:name="_Toc184313243"/>
      <w:bookmarkEnd w:id="90"/>
      <w:bookmarkStart w:id="91" w:name="_Toc184308048"/>
      <w:bookmarkEnd w:id="91"/>
      <w:bookmarkStart w:id="92" w:name="_Toc184310317"/>
      <w:bookmarkEnd w:id="92"/>
      <w:bookmarkStart w:id="93" w:name="_Toc184310314"/>
      <w:bookmarkEnd w:id="93"/>
      <w:bookmarkStart w:id="94" w:name="_Toc184313276"/>
      <w:bookmarkEnd w:id="94"/>
      <w:bookmarkStart w:id="95" w:name="_Toc184313249"/>
      <w:bookmarkEnd w:id="95"/>
      <w:bookmarkStart w:id="96" w:name="_Toc184310297"/>
      <w:bookmarkEnd w:id="96"/>
      <w:bookmarkStart w:id="97" w:name="_Toc184308080"/>
      <w:bookmarkEnd w:id="97"/>
      <w:bookmarkStart w:id="98" w:name="_Toc184310323"/>
      <w:bookmarkEnd w:id="98"/>
      <w:bookmarkStart w:id="99" w:name="_Toc184310274"/>
      <w:bookmarkEnd w:id="99"/>
      <w:bookmarkStart w:id="100" w:name="_Toc184314425"/>
      <w:bookmarkEnd w:id="100"/>
      <w:bookmarkStart w:id="101" w:name="_Toc184313252"/>
      <w:bookmarkEnd w:id="101"/>
      <w:bookmarkStart w:id="102" w:name="_Toc184308099"/>
      <w:bookmarkEnd w:id="102"/>
      <w:bookmarkStart w:id="103" w:name="_Toc184308095"/>
      <w:bookmarkEnd w:id="103"/>
      <w:bookmarkStart w:id="104" w:name="_Toc184314461"/>
      <w:bookmarkEnd w:id="104"/>
      <w:bookmarkStart w:id="105" w:name="_Toc184310330"/>
      <w:bookmarkEnd w:id="105"/>
      <w:bookmarkStart w:id="106" w:name="_Toc184308098"/>
      <w:bookmarkEnd w:id="106"/>
      <w:bookmarkStart w:id="107" w:name="_Toc184312124"/>
      <w:bookmarkEnd w:id="107"/>
      <w:bookmarkStart w:id="108" w:name="_Toc184310304"/>
      <w:bookmarkEnd w:id="108"/>
      <w:bookmarkStart w:id="109" w:name="_Toc184312133"/>
      <w:bookmarkEnd w:id="109"/>
      <w:bookmarkStart w:id="110" w:name="_Toc184313238"/>
      <w:bookmarkEnd w:id="110"/>
      <w:bookmarkStart w:id="111" w:name="_Toc184314445"/>
      <w:bookmarkEnd w:id="111"/>
      <w:bookmarkStart w:id="112" w:name="_Toc184314457"/>
      <w:bookmarkEnd w:id="112"/>
      <w:bookmarkStart w:id="113" w:name="_Toc184310279"/>
      <w:bookmarkEnd w:id="113"/>
      <w:bookmarkStart w:id="114" w:name="_Toc184308102"/>
      <w:bookmarkEnd w:id="114"/>
      <w:bookmarkStart w:id="115" w:name="_Toc184314449"/>
      <w:bookmarkEnd w:id="115"/>
      <w:bookmarkStart w:id="116" w:name="_Toc184308097"/>
      <w:bookmarkEnd w:id="116"/>
      <w:bookmarkStart w:id="117" w:name="_Toc184308083"/>
      <w:bookmarkEnd w:id="117"/>
      <w:bookmarkStart w:id="118" w:name="_Toc184312139"/>
      <w:bookmarkEnd w:id="118"/>
      <w:bookmarkStart w:id="119" w:name="_Toc184314434"/>
      <w:bookmarkEnd w:id="119"/>
      <w:bookmarkStart w:id="120" w:name="_Toc184314463"/>
      <w:bookmarkEnd w:id="120"/>
      <w:bookmarkStart w:id="121" w:name="_Toc184312105"/>
      <w:bookmarkEnd w:id="121"/>
      <w:bookmarkStart w:id="122" w:name="_Toc184308089"/>
      <w:bookmarkEnd w:id="122"/>
      <w:bookmarkStart w:id="123" w:name="_Toc184312070"/>
      <w:bookmarkEnd w:id="123"/>
      <w:bookmarkStart w:id="124" w:name="_Toc184313273"/>
      <w:bookmarkEnd w:id="124"/>
      <w:bookmarkStart w:id="125" w:name="_Toc184308037"/>
      <w:bookmarkEnd w:id="125"/>
      <w:bookmarkStart w:id="126" w:name="_Toc184312114"/>
      <w:bookmarkEnd w:id="126"/>
      <w:bookmarkStart w:id="127" w:name="_Toc184314469"/>
      <w:bookmarkEnd w:id="127"/>
      <w:bookmarkStart w:id="128" w:name="_Toc184313286"/>
      <w:bookmarkEnd w:id="128"/>
      <w:bookmarkStart w:id="129" w:name="_Toc184313292"/>
      <w:bookmarkEnd w:id="129"/>
      <w:bookmarkStart w:id="130" w:name="_Toc184313254"/>
      <w:bookmarkEnd w:id="130"/>
      <w:bookmarkStart w:id="131" w:name="_Toc184313261"/>
      <w:bookmarkEnd w:id="131"/>
      <w:bookmarkStart w:id="132" w:name="_Toc184312131"/>
      <w:bookmarkEnd w:id="132"/>
      <w:bookmarkStart w:id="133" w:name="_Toc184314431"/>
      <w:bookmarkEnd w:id="133"/>
      <w:bookmarkStart w:id="134" w:name="_Toc184310296"/>
      <w:bookmarkEnd w:id="134"/>
      <w:bookmarkStart w:id="135" w:name="_Toc184312121"/>
      <w:bookmarkEnd w:id="135"/>
      <w:bookmarkStart w:id="136" w:name="_Toc184313269"/>
      <w:bookmarkEnd w:id="136"/>
      <w:bookmarkStart w:id="137" w:name="_Toc184314479"/>
      <w:bookmarkEnd w:id="137"/>
      <w:bookmarkStart w:id="138" w:name="_Toc184314448"/>
      <w:bookmarkEnd w:id="138"/>
      <w:bookmarkStart w:id="139" w:name="_Toc184308052"/>
      <w:bookmarkEnd w:id="139"/>
      <w:bookmarkStart w:id="140" w:name="_Toc184312098"/>
      <w:bookmarkEnd w:id="140"/>
      <w:bookmarkStart w:id="141" w:name="_Toc184313281"/>
      <w:bookmarkEnd w:id="141"/>
      <w:bookmarkStart w:id="142" w:name="_Toc184313265"/>
      <w:bookmarkEnd w:id="142"/>
      <w:bookmarkStart w:id="143" w:name="_Toc184310321"/>
      <w:bookmarkEnd w:id="143"/>
      <w:bookmarkStart w:id="144" w:name="_Toc184312130"/>
      <w:bookmarkEnd w:id="144"/>
      <w:bookmarkStart w:id="145" w:name="_Toc184314446"/>
      <w:bookmarkEnd w:id="145"/>
      <w:bookmarkStart w:id="146" w:name="_Toc184314420"/>
      <w:bookmarkEnd w:id="146"/>
      <w:bookmarkStart w:id="147" w:name="_Toc184310328"/>
      <w:bookmarkEnd w:id="147"/>
      <w:bookmarkStart w:id="148" w:name="_Toc184314459"/>
      <w:bookmarkEnd w:id="148"/>
      <w:bookmarkStart w:id="149" w:name="_Toc184313271"/>
      <w:bookmarkEnd w:id="149"/>
      <w:bookmarkStart w:id="150" w:name="_Toc184313308"/>
      <w:bookmarkEnd w:id="150"/>
      <w:bookmarkStart w:id="151" w:name="_Toc184310278"/>
      <w:bookmarkEnd w:id="151"/>
      <w:bookmarkStart w:id="152" w:name="_Toc184313310"/>
      <w:bookmarkEnd w:id="152"/>
      <w:bookmarkStart w:id="153" w:name="_Toc184310336"/>
      <w:bookmarkEnd w:id="153"/>
      <w:bookmarkStart w:id="154" w:name="_Toc184310280"/>
      <w:bookmarkEnd w:id="154"/>
      <w:bookmarkStart w:id="155" w:name="_Toc184313266"/>
      <w:bookmarkEnd w:id="155"/>
      <w:bookmarkStart w:id="156" w:name="_Toc184312111"/>
      <w:bookmarkEnd w:id="156"/>
      <w:bookmarkStart w:id="157" w:name="_Toc184310291"/>
      <w:bookmarkEnd w:id="157"/>
      <w:bookmarkStart w:id="158" w:name="_Toc184313250"/>
      <w:bookmarkEnd w:id="158"/>
      <w:bookmarkStart w:id="159" w:name="_Toc184314477"/>
      <w:bookmarkEnd w:id="159"/>
      <w:bookmarkStart w:id="160" w:name="_Toc184310276"/>
      <w:bookmarkEnd w:id="160"/>
      <w:bookmarkStart w:id="161" w:name="_Toc184314411"/>
      <w:bookmarkEnd w:id="161"/>
      <w:bookmarkStart w:id="162" w:name="_Toc184308065"/>
      <w:bookmarkEnd w:id="162"/>
      <w:bookmarkStart w:id="163" w:name="_Toc184312096"/>
      <w:bookmarkEnd w:id="163"/>
      <w:bookmarkStart w:id="164" w:name="_Toc184308070"/>
      <w:bookmarkEnd w:id="164"/>
      <w:bookmarkStart w:id="165" w:name="_Toc184314462"/>
      <w:bookmarkEnd w:id="165"/>
      <w:bookmarkStart w:id="166" w:name="_Toc184312090"/>
      <w:bookmarkEnd w:id="166"/>
      <w:bookmarkStart w:id="167" w:name="_Toc184308093"/>
      <w:bookmarkEnd w:id="167"/>
      <w:bookmarkStart w:id="168" w:name="_Toc184314429"/>
      <w:bookmarkEnd w:id="168"/>
      <w:bookmarkStart w:id="169" w:name="_Toc184310299"/>
      <w:bookmarkEnd w:id="169"/>
      <w:bookmarkStart w:id="170" w:name="_Toc184314466"/>
      <w:bookmarkEnd w:id="170"/>
      <w:bookmarkStart w:id="171" w:name="_Toc184310316"/>
      <w:bookmarkEnd w:id="171"/>
      <w:bookmarkStart w:id="172" w:name="_Toc184313303"/>
      <w:bookmarkEnd w:id="172"/>
      <w:bookmarkStart w:id="173" w:name="_Toc184310298"/>
      <w:bookmarkEnd w:id="173"/>
      <w:bookmarkStart w:id="174" w:name="_Toc184310281"/>
      <w:bookmarkEnd w:id="174"/>
      <w:bookmarkStart w:id="175" w:name="_Toc184312080"/>
      <w:bookmarkEnd w:id="175"/>
      <w:bookmarkStart w:id="176" w:name="_Toc184312097"/>
      <w:bookmarkEnd w:id="176"/>
      <w:bookmarkStart w:id="177" w:name="_Toc184313240"/>
      <w:bookmarkEnd w:id="177"/>
      <w:bookmarkStart w:id="178" w:name="_Toc184308106"/>
      <w:bookmarkEnd w:id="178"/>
      <w:bookmarkStart w:id="179" w:name="_Toc184314438"/>
      <w:bookmarkEnd w:id="179"/>
      <w:bookmarkStart w:id="180" w:name="_Toc184308063"/>
      <w:bookmarkEnd w:id="180"/>
      <w:bookmarkStart w:id="181" w:name="_Toc184308042"/>
      <w:bookmarkEnd w:id="181"/>
      <w:bookmarkStart w:id="182" w:name="_Toc184313268"/>
      <w:bookmarkEnd w:id="182"/>
      <w:bookmarkStart w:id="183" w:name="_Toc184314414"/>
      <w:bookmarkEnd w:id="183"/>
      <w:bookmarkStart w:id="184" w:name="_Toc184313282"/>
      <w:bookmarkEnd w:id="184"/>
      <w:bookmarkStart w:id="185" w:name="_Toc184310315"/>
      <w:bookmarkEnd w:id="185"/>
      <w:bookmarkStart w:id="186" w:name="_Toc184314443"/>
      <w:bookmarkEnd w:id="186"/>
      <w:bookmarkStart w:id="187" w:name="_Toc184310332"/>
      <w:bookmarkEnd w:id="187"/>
      <w:bookmarkStart w:id="188" w:name="_Toc184308057"/>
      <w:bookmarkEnd w:id="188"/>
      <w:bookmarkStart w:id="189" w:name="_Toc184308047"/>
      <w:bookmarkEnd w:id="189"/>
      <w:bookmarkStart w:id="190" w:name="_Toc184314460"/>
      <w:bookmarkEnd w:id="190"/>
      <w:bookmarkStart w:id="191" w:name="_Toc184310318"/>
      <w:bookmarkEnd w:id="191"/>
      <w:bookmarkStart w:id="192" w:name="_Toc184312073"/>
      <w:bookmarkEnd w:id="192"/>
      <w:bookmarkStart w:id="193" w:name="_Toc184310313"/>
      <w:bookmarkEnd w:id="193"/>
      <w:bookmarkStart w:id="194" w:name="_Toc184310290"/>
      <w:bookmarkEnd w:id="194"/>
      <w:bookmarkStart w:id="195" w:name="_Toc184314482"/>
      <w:bookmarkEnd w:id="195"/>
      <w:bookmarkStart w:id="196" w:name="_Toc184310334"/>
      <w:bookmarkEnd w:id="196"/>
      <w:bookmarkStart w:id="197" w:name="_Toc184312068"/>
      <w:bookmarkEnd w:id="197"/>
      <w:bookmarkStart w:id="198" w:name="_Toc184313280"/>
      <w:bookmarkEnd w:id="198"/>
      <w:bookmarkStart w:id="199" w:name="_Toc184308058"/>
      <w:bookmarkEnd w:id="199"/>
      <w:bookmarkStart w:id="200" w:name="_Toc184314421"/>
      <w:bookmarkEnd w:id="200"/>
      <w:bookmarkStart w:id="201" w:name="_Toc184310312"/>
      <w:bookmarkEnd w:id="201"/>
      <w:bookmarkStart w:id="202" w:name="_Toc184308054"/>
      <w:bookmarkEnd w:id="202"/>
      <w:bookmarkStart w:id="203" w:name="_Toc184312069"/>
      <w:bookmarkEnd w:id="203"/>
      <w:bookmarkStart w:id="204" w:name="_Toc184310320"/>
      <w:bookmarkEnd w:id="204"/>
      <w:bookmarkStart w:id="205" w:name="_Toc184312099"/>
      <w:bookmarkEnd w:id="205"/>
      <w:bookmarkStart w:id="206" w:name="_Toc184308059"/>
      <w:bookmarkEnd w:id="206"/>
      <w:bookmarkStart w:id="207" w:name="_Toc184308074"/>
      <w:bookmarkEnd w:id="207"/>
      <w:bookmarkStart w:id="208" w:name="_Toc184312123"/>
      <w:bookmarkEnd w:id="208"/>
      <w:bookmarkStart w:id="209" w:name="_Toc184314451"/>
      <w:bookmarkEnd w:id="209"/>
      <w:bookmarkStart w:id="210" w:name="_Toc184313287"/>
      <w:bookmarkEnd w:id="210"/>
      <w:bookmarkStart w:id="211" w:name="_Toc184308078"/>
      <w:bookmarkEnd w:id="211"/>
      <w:bookmarkStart w:id="212" w:name="_Toc184308104"/>
      <w:bookmarkEnd w:id="212"/>
      <w:bookmarkStart w:id="213" w:name="_Toc184314430"/>
      <w:bookmarkEnd w:id="213"/>
      <w:bookmarkStart w:id="214" w:name="_Toc184310339"/>
      <w:bookmarkEnd w:id="214"/>
      <w:bookmarkStart w:id="215" w:name="_Toc184308043"/>
      <w:bookmarkEnd w:id="215"/>
      <w:bookmarkStart w:id="216" w:name="_Toc184310293"/>
      <w:bookmarkEnd w:id="216"/>
      <w:bookmarkStart w:id="217" w:name="_Toc184312138"/>
      <w:bookmarkEnd w:id="217"/>
      <w:bookmarkStart w:id="218" w:name="_Toc184312081"/>
      <w:bookmarkEnd w:id="218"/>
      <w:bookmarkStart w:id="219" w:name="_Toc184313274"/>
      <w:bookmarkEnd w:id="219"/>
      <w:bookmarkStart w:id="220" w:name="_Toc184308061"/>
      <w:bookmarkEnd w:id="220"/>
      <w:bookmarkStart w:id="221" w:name="_Toc184313251"/>
      <w:bookmarkEnd w:id="221"/>
      <w:bookmarkStart w:id="222" w:name="_Toc184312086"/>
      <w:bookmarkEnd w:id="222"/>
      <w:bookmarkStart w:id="223" w:name="_Toc184313272"/>
      <w:bookmarkEnd w:id="223"/>
      <w:bookmarkStart w:id="224" w:name="_Toc184314465"/>
      <w:bookmarkEnd w:id="224"/>
      <w:bookmarkStart w:id="225" w:name="_Toc184314441"/>
      <w:bookmarkEnd w:id="225"/>
      <w:bookmarkStart w:id="226" w:name="_Toc184308096"/>
      <w:bookmarkEnd w:id="226"/>
      <w:bookmarkStart w:id="227" w:name="_Toc184312122"/>
      <w:bookmarkEnd w:id="227"/>
      <w:bookmarkStart w:id="228" w:name="_Toc184313309"/>
      <w:bookmarkEnd w:id="228"/>
      <w:bookmarkStart w:id="229" w:name="_Toc184313263"/>
      <w:bookmarkEnd w:id="229"/>
      <w:bookmarkStart w:id="230" w:name="_Toc184310308"/>
      <w:bookmarkEnd w:id="230"/>
      <w:bookmarkStart w:id="231" w:name="_Toc184308082"/>
      <w:bookmarkEnd w:id="231"/>
      <w:bookmarkStart w:id="232" w:name="_Toc184312078"/>
      <w:bookmarkEnd w:id="232"/>
      <w:bookmarkStart w:id="233" w:name="_Toc184314464"/>
      <w:bookmarkEnd w:id="233"/>
      <w:bookmarkStart w:id="234" w:name="_Toc184308088"/>
      <w:bookmarkEnd w:id="234"/>
      <w:bookmarkStart w:id="235" w:name="_Toc184308056"/>
      <w:bookmarkEnd w:id="235"/>
      <w:bookmarkStart w:id="236" w:name="_Toc184310327"/>
      <w:bookmarkEnd w:id="236"/>
      <w:bookmarkStart w:id="237" w:name="_Toc184312134"/>
      <w:bookmarkEnd w:id="237"/>
      <w:bookmarkStart w:id="238" w:name="_Toc184313294"/>
      <w:bookmarkEnd w:id="238"/>
      <w:bookmarkStart w:id="239" w:name="_Toc184314473"/>
      <w:bookmarkEnd w:id="239"/>
      <w:bookmarkStart w:id="240" w:name="_Toc184314476"/>
      <w:bookmarkEnd w:id="240"/>
      <w:bookmarkStart w:id="241" w:name="_Toc184312071"/>
      <w:bookmarkEnd w:id="241"/>
      <w:bookmarkStart w:id="242" w:name="_Toc184313301"/>
      <w:bookmarkEnd w:id="242"/>
      <w:bookmarkStart w:id="243" w:name="_Toc184312129"/>
      <w:bookmarkEnd w:id="243"/>
      <w:bookmarkStart w:id="244" w:name="_Toc184310272"/>
      <w:bookmarkEnd w:id="244"/>
      <w:bookmarkStart w:id="245" w:name="_Toc184308072"/>
      <w:bookmarkEnd w:id="245"/>
      <w:bookmarkStart w:id="246" w:name="_Toc184312120"/>
      <w:bookmarkEnd w:id="246"/>
      <w:bookmarkStart w:id="247" w:name="_Toc184312093"/>
      <w:bookmarkEnd w:id="247"/>
      <w:bookmarkStart w:id="248" w:name="_Toc184314419"/>
      <w:bookmarkEnd w:id="248"/>
      <w:bookmarkStart w:id="249" w:name="_Toc184313295"/>
      <w:bookmarkEnd w:id="249"/>
      <w:bookmarkStart w:id="250" w:name="_Toc184314422"/>
      <w:bookmarkEnd w:id="250"/>
      <w:bookmarkStart w:id="251" w:name="_Toc184314432"/>
      <w:bookmarkEnd w:id="251"/>
      <w:bookmarkStart w:id="252" w:name="_Toc184308101"/>
      <w:bookmarkEnd w:id="252"/>
      <w:bookmarkStart w:id="253" w:name="_Toc184310338"/>
      <w:bookmarkEnd w:id="253"/>
      <w:bookmarkStart w:id="254" w:name="_Toc184308076"/>
      <w:bookmarkEnd w:id="254"/>
      <w:bookmarkStart w:id="255" w:name="_Toc184310324"/>
      <w:bookmarkEnd w:id="255"/>
      <w:bookmarkStart w:id="256" w:name="_Toc184310285"/>
      <w:bookmarkEnd w:id="256"/>
      <w:bookmarkStart w:id="257" w:name="_Toc184310325"/>
      <w:bookmarkEnd w:id="257"/>
      <w:bookmarkStart w:id="258" w:name="_Toc184314481"/>
      <w:bookmarkEnd w:id="258"/>
      <w:bookmarkStart w:id="259" w:name="_Toc184312092"/>
      <w:bookmarkEnd w:id="259"/>
      <w:bookmarkStart w:id="260" w:name="_Toc184314415"/>
      <w:bookmarkEnd w:id="260"/>
      <w:bookmarkStart w:id="261" w:name="_Toc184308108"/>
      <w:bookmarkEnd w:id="261"/>
      <w:bookmarkStart w:id="262" w:name="_Toc184310288"/>
      <w:bookmarkEnd w:id="262"/>
      <w:bookmarkStart w:id="263" w:name="_Toc184313289"/>
      <w:bookmarkEnd w:id="263"/>
      <w:bookmarkStart w:id="264" w:name="_Toc184313239"/>
      <w:bookmarkEnd w:id="264"/>
      <w:bookmarkStart w:id="265" w:name="_Toc184308055"/>
      <w:bookmarkEnd w:id="265"/>
      <w:bookmarkStart w:id="266" w:name="_Toc184314470"/>
      <w:bookmarkEnd w:id="266"/>
      <w:bookmarkStart w:id="267" w:name="_Toc184314439"/>
      <w:bookmarkEnd w:id="267"/>
      <w:bookmarkStart w:id="268" w:name="_Toc184313247"/>
      <w:bookmarkEnd w:id="268"/>
      <w:bookmarkStart w:id="269" w:name="_Toc184310294"/>
      <w:bookmarkEnd w:id="269"/>
      <w:bookmarkStart w:id="270" w:name="_Toc184313253"/>
      <w:bookmarkEnd w:id="270"/>
      <w:bookmarkStart w:id="271" w:name="_Toc184312076"/>
      <w:bookmarkEnd w:id="271"/>
      <w:bookmarkStart w:id="272" w:name="_Toc184314474"/>
      <w:bookmarkEnd w:id="272"/>
      <w:bookmarkStart w:id="273" w:name="_Toc184313304"/>
      <w:bookmarkEnd w:id="273"/>
      <w:bookmarkStart w:id="274" w:name="_Toc184314468"/>
      <w:bookmarkEnd w:id="274"/>
      <w:bookmarkStart w:id="275" w:name="_Toc184314436"/>
      <w:bookmarkEnd w:id="275"/>
      <w:bookmarkStart w:id="276" w:name="_Toc184310337"/>
      <w:bookmarkEnd w:id="276"/>
      <w:bookmarkStart w:id="277" w:name="_Toc184313278"/>
      <w:bookmarkEnd w:id="277"/>
      <w:bookmarkStart w:id="278" w:name="_Toc184312110"/>
      <w:bookmarkEnd w:id="278"/>
      <w:bookmarkStart w:id="279" w:name="_Toc184308045"/>
      <w:bookmarkEnd w:id="279"/>
      <w:bookmarkStart w:id="280" w:name="_Toc184308084"/>
      <w:bookmarkEnd w:id="280"/>
      <w:bookmarkStart w:id="281" w:name="_Toc184308062"/>
      <w:bookmarkEnd w:id="281"/>
      <w:bookmarkStart w:id="282" w:name="_Toc184312088"/>
      <w:bookmarkEnd w:id="282"/>
      <w:bookmarkStart w:id="283" w:name="_Toc184310306"/>
      <w:bookmarkEnd w:id="283"/>
      <w:bookmarkStart w:id="284" w:name="_Toc184310307"/>
      <w:bookmarkEnd w:id="284"/>
      <w:bookmarkStart w:id="285" w:name="_Toc184314455"/>
      <w:bookmarkEnd w:id="285"/>
      <w:bookmarkStart w:id="286" w:name="_Toc184313299"/>
      <w:bookmarkEnd w:id="286"/>
      <w:bookmarkStart w:id="287" w:name="_Toc184312127"/>
      <w:bookmarkEnd w:id="287"/>
      <w:bookmarkStart w:id="288" w:name="_Toc184312135"/>
      <w:bookmarkEnd w:id="288"/>
      <w:bookmarkStart w:id="289" w:name="_Toc184310292"/>
      <w:bookmarkEnd w:id="289"/>
      <w:bookmarkStart w:id="290" w:name="_Toc184312104"/>
      <w:bookmarkEnd w:id="290"/>
      <w:bookmarkStart w:id="291" w:name="_Toc184314435"/>
      <w:bookmarkEnd w:id="291"/>
      <w:bookmarkStart w:id="292" w:name="_Toc184308071"/>
      <w:bookmarkEnd w:id="292"/>
      <w:bookmarkStart w:id="293" w:name="_Toc184313296"/>
      <w:bookmarkEnd w:id="293"/>
      <w:bookmarkStart w:id="294" w:name="_Toc184310289"/>
      <w:bookmarkEnd w:id="294"/>
      <w:bookmarkStart w:id="295" w:name="_Toc184308067"/>
      <w:bookmarkEnd w:id="295"/>
      <w:bookmarkStart w:id="296" w:name="_Toc184308079"/>
      <w:bookmarkEnd w:id="296"/>
      <w:bookmarkStart w:id="297" w:name="_Toc184313245"/>
      <w:bookmarkEnd w:id="297"/>
      <w:bookmarkStart w:id="298" w:name="_Toc184314467"/>
      <w:bookmarkEnd w:id="298"/>
      <w:bookmarkStart w:id="299" w:name="_Toc184312126"/>
      <w:bookmarkEnd w:id="299"/>
      <w:bookmarkStart w:id="300" w:name="_Toc184312095"/>
      <w:bookmarkEnd w:id="300"/>
      <w:bookmarkStart w:id="301" w:name="_Toc184313248"/>
      <w:bookmarkEnd w:id="301"/>
      <w:bookmarkStart w:id="302" w:name="_Toc184314447"/>
      <w:bookmarkEnd w:id="302"/>
      <w:bookmarkStart w:id="303" w:name="_Toc184308046"/>
      <w:bookmarkEnd w:id="303"/>
      <w:bookmarkStart w:id="304" w:name="_Toc184312103"/>
      <w:bookmarkEnd w:id="304"/>
      <w:bookmarkStart w:id="305" w:name="_Toc184313302"/>
      <w:bookmarkEnd w:id="305"/>
      <w:bookmarkStart w:id="306" w:name="_Toc184313279"/>
      <w:bookmarkEnd w:id="306"/>
      <w:bookmarkStart w:id="307" w:name="_Toc184313277"/>
      <w:bookmarkEnd w:id="307"/>
      <w:bookmarkStart w:id="308" w:name="_Toc184312107"/>
      <w:bookmarkEnd w:id="308"/>
      <w:bookmarkStart w:id="309" w:name="_Toc184313262"/>
      <w:bookmarkEnd w:id="309"/>
      <w:bookmarkStart w:id="310" w:name="_Toc184308039"/>
      <w:bookmarkEnd w:id="310"/>
      <w:bookmarkStart w:id="311" w:name="_Toc184308075"/>
      <w:bookmarkEnd w:id="311"/>
      <w:bookmarkStart w:id="312" w:name="_Toc184308081"/>
      <w:bookmarkEnd w:id="312"/>
      <w:bookmarkStart w:id="313" w:name="_Toc184312116"/>
      <w:bookmarkEnd w:id="313"/>
      <w:bookmarkStart w:id="314" w:name="_Toc184310287"/>
      <w:bookmarkEnd w:id="314"/>
      <w:bookmarkStart w:id="315" w:name="_Toc184313241"/>
      <w:bookmarkEnd w:id="315"/>
      <w:bookmarkStart w:id="316" w:name="_Toc184312119"/>
      <w:bookmarkEnd w:id="316"/>
      <w:bookmarkStart w:id="317" w:name="_Toc184314471"/>
      <w:bookmarkEnd w:id="317"/>
      <w:bookmarkStart w:id="318" w:name="_Toc184314456"/>
      <w:bookmarkEnd w:id="318"/>
      <w:bookmarkStart w:id="319" w:name="_Toc184308087"/>
      <w:bookmarkEnd w:id="319"/>
      <w:bookmarkStart w:id="320" w:name="_Toc184313264"/>
      <w:bookmarkEnd w:id="320"/>
      <w:bookmarkStart w:id="321" w:name="_Toc184313298"/>
      <w:bookmarkEnd w:id="321"/>
      <w:bookmarkStart w:id="322" w:name="_Toc184314423"/>
      <w:bookmarkEnd w:id="322"/>
      <w:bookmarkStart w:id="323" w:name="_Toc184308092"/>
      <w:bookmarkEnd w:id="323"/>
      <w:bookmarkStart w:id="324" w:name="_Toc184312089"/>
      <w:bookmarkEnd w:id="324"/>
      <w:bookmarkStart w:id="325" w:name="_Toc184312118"/>
      <w:bookmarkEnd w:id="325"/>
      <w:bookmarkStart w:id="326" w:name="_Toc184308105"/>
      <w:bookmarkEnd w:id="326"/>
      <w:bookmarkStart w:id="327" w:name="_Toc184314427"/>
      <w:bookmarkEnd w:id="327"/>
      <w:bookmarkStart w:id="328" w:name="_Toc184310311"/>
      <w:bookmarkEnd w:id="328"/>
      <w:bookmarkStart w:id="329" w:name="_Toc184314453"/>
      <w:bookmarkEnd w:id="329"/>
      <w:bookmarkStart w:id="330" w:name="_Toc184314440"/>
      <w:bookmarkEnd w:id="330"/>
      <w:bookmarkStart w:id="331" w:name="_Toc184312079"/>
      <w:bookmarkEnd w:id="331"/>
      <w:bookmarkStart w:id="332" w:name="_Toc184310284"/>
      <w:bookmarkEnd w:id="332"/>
      <w:bookmarkStart w:id="333" w:name="_Toc184312091"/>
      <w:bookmarkEnd w:id="333"/>
      <w:bookmarkStart w:id="334" w:name="_Toc184314416"/>
      <w:bookmarkEnd w:id="334"/>
      <w:bookmarkStart w:id="335" w:name="_Toc184314417"/>
      <w:bookmarkEnd w:id="335"/>
      <w:bookmarkStart w:id="336" w:name="_Toc184314472"/>
      <w:bookmarkEnd w:id="336"/>
      <w:bookmarkStart w:id="337" w:name="_Toc184308085"/>
      <w:bookmarkEnd w:id="337"/>
      <w:bookmarkStart w:id="338" w:name="_Toc184312117"/>
      <w:bookmarkEnd w:id="338"/>
      <w:bookmarkStart w:id="339" w:name="_Toc184308036"/>
      <w:bookmarkEnd w:id="339"/>
      <w:bookmarkStart w:id="340" w:name="_Toc184310342"/>
      <w:bookmarkEnd w:id="340"/>
      <w:bookmarkStart w:id="341" w:name="_Toc184312087"/>
      <w:bookmarkEnd w:id="341"/>
      <w:bookmarkStart w:id="342" w:name="_Toc184310273"/>
      <w:bookmarkEnd w:id="342"/>
      <w:bookmarkStart w:id="343" w:name="_Toc184310295"/>
      <w:bookmarkEnd w:id="343"/>
      <w:bookmarkStart w:id="344" w:name="_Toc184308064"/>
      <w:bookmarkEnd w:id="344"/>
      <w:bookmarkStart w:id="345" w:name="_Toc184313290"/>
      <w:bookmarkEnd w:id="345"/>
      <w:bookmarkStart w:id="346" w:name="_Toc184314426"/>
      <w:bookmarkEnd w:id="346"/>
      <w:bookmarkStart w:id="347" w:name="_Toc184313307"/>
      <w:bookmarkEnd w:id="347"/>
      <w:bookmarkStart w:id="348" w:name="_Toc184310319"/>
      <w:bookmarkEnd w:id="348"/>
      <w:bookmarkStart w:id="349" w:name="_Toc184312077"/>
      <w:bookmarkEnd w:id="349"/>
      <w:bookmarkStart w:id="350" w:name="_Toc184312094"/>
      <w:bookmarkEnd w:id="350"/>
      <w:bookmarkStart w:id="351" w:name="_Toc184310343"/>
      <w:bookmarkEnd w:id="351"/>
      <w:bookmarkStart w:id="352" w:name="_Toc184312132"/>
      <w:bookmarkEnd w:id="352"/>
      <w:bookmarkStart w:id="353" w:name="_Toc184313267"/>
      <w:bookmarkEnd w:id="353"/>
      <w:bookmarkStart w:id="354" w:name="_Toc184314454"/>
      <w:bookmarkEnd w:id="354"/>
      <w:bookmarkStart w:id="355" w:name="_Toc184308103"/>
      <w:bookmarkEnd w:id="355"/>
      <w:bookmarkStart w:id="356" w:name="_Toc184314480"/>
      <w:bookmarkEnd w:id="356"/>
      <w:bookmarkStart w:id="357" w:name="_Toc184308051"/>
      <w:bookmarkEnd w:id="357"/>
      <w:bookmarkStart w:id="358" w:name="_Toc184314428"/>
      <w:bookmarkEnd w:id="358"/>
      <w:bookmarkStart w:id="359" w:name="_Toc184310340"/>
      <w:bookmarkEnd w:id="359"/>
      <w:bookmarkStart w:id="360" w:name="_Toc184312136"/>
      <w:bookmarkEnd w:id="360"/>
      <w:bookmarkStart w:id="361" w:name="_Toc184313283"/>
      <w:bookmarkEnd w:id="361"/>
      <w:bookmarkStart w:id="362" w:name="_Toc184308050"/>
      <w:bookmarkEnd w:id="362"/>
      <w:bookmarkStart w:id="363" w:name="_Toc184312109"/>
      <w:bookmarkEnd w:id="363"/>
      <w:bookmarkStart w:id="364" w:name="_Toc184308086"/>
      <w:bookmarkEnd w:id="364"/>
      <w:bookmarkStart w:id="365" w:name="_Toc184314437"/>
      <w:bookmarkEnd w:id="365"/>
      <w:bookmarkStart w:id="366" w:name="_Toc184313259"/>
      <w:bookmarkEnd w:id="366"/>
      <w:bookmarkStart w:id="367" w:name="_Toc184310301"/>
      <w:bookmarkEnd w:id="367"/>
      <w:bookmarkStart w:id="368" w:name="_Toc184308091"/>
      <w:bookmarkEnd w:id="368"/>
      <w:bookmarkStart w:id="369" w:name="_Toc184308068"/>
      <w:bookmarkEnd w:id="369"/>
      <w:bookmarkStart w:id="370" w:name="_Toc184310309"/>
      <w:bookmarkEnd w:id="370"/>
      <w:bookmarkStart w:id="371" w:name="_Toc184313275"/>
      <w:bookmarkEnd w:id="371"/>
      <w:bookmarkStart w:id="372" w:name="_Toc184308040"/>
      <w:bookmarkEnd w:id="372"/>
      <w:bookmarkStart w:id="373" w:name="_Toc184308044"/>
      <w:bookmarkEnd w:id="373"/>
      <w:bookmarkStart w:id="374" w:name="_Toc184314433"/>
      <w:bookmarkEnd w:id="374"/>
      <w:bookmarkStart w:id="375" w:name="_Toc184313297"/>
      <w:bookmarkEnd w:id="375"/>
      <w:bookmarkStart w:id="376" w:name="_Toc184312067"/>
      <w:bookmarkEnd w:id="376"/>
      <w:bookmarkStart w:id="377" w:name="_Toc184312083"/>
      <w:bookmarkEnd w:id="377"/>
      <w:bookmarkStart w:id="378" w:name="_Toc184312113"/>
      <w:bookmarkEnd w:id="378"/>
      <w:bookmarkStart w:id="379" w:name="_Toc184310331"/>
      <w:bookmarkEnd w:id="379"/>
      <w:bookmarkStart w:id="380" w:name="_Toc184310335"/>
      <w:bookmarkEnd w:id="380"/>
      <w:bookmarkStart w:id="381" w:name="_Toc184313255"/>
      <w:bookmarkEnd w:id="381"/>
      <w:bookmarkStart w:id="382" w:name="_Toc184314413"/>
      <w:bookmarkEnd w:id="382"/>
      <w:bookmarkStart w:id="383" w:name="_Toc184308073"/>
      <w:bookmarkEnd w:id="383"/>
      <w:bookmarkStart w:id="384" w:name="_Toc184308069"/>
      <w:bookmarkEnd w:id="384"/>
      <w:bookmarkStart w:id="385" w:name="_Toc184313306"/>
      <w:bookmarkEnd w:id="385"/>
      <w:bookmarkStart w:id="386" w:name="_Toc184310322"/>
      <w:bookmarkEnd w:id="386"/>
      <w:bookmarkStart w:id="387" w:name="_Toc184314410"/>
      <w:bookmarkEnd w:id="387"/>
      <w:bookmarkStart w:id="388" w:name="_Toc184314450"/>
      <w:bookmarkEnd w:id="388"/>
      <w:bookmarkStart w:id="389" w:name="_Toc184310282"/>
      <w:bookmarkEnd w:id="389"/>
      <w:bookmarkStart w:id="390" w:name="_Toc184310326"/>
      <w:bookmarkEnd w:id="390"/>
      <w:bookmarkStart w:id="391" w:name="_Toc184314412"/>
      <w:bookmarkEnd w:id="391"/>
      <w:bookmarkStart w:id="392" w:name="_Toc184313305"/>
      <w:bookmarkEnd w:id="392"/>
      <w:bookmarkStart w:id="393" w:name="_Toc184312075"/>
      <w:bookmarkEnd w:id="393"/>
      <w:bookmarkStart w:id="394" w:name="_Toc184313291"/>
      <w:bookmarkEnd w:id="394"/>
      <w:bookmarkStart w:id="395" w:name="_Toc184312100"/>
      <w:bookmarkEnd w:id="395"/>
      <w:bookmarkStart w:id="396" w:name="_Toc184308041"/>
      <w:bookmarkEnd w:id="396"/>
      <w:bookmarkStart w:id="397" w:name="_Toc184308049"/>
      <w:bookmarkEnd w:id="397"/>
      <w:bookmarkStart w:id="398" w:name="_Toc184312084"/>
      <w:bookmarkEnd w:id="398"/>
      <w:bookmarkStart w:id="399" w:name="_Toc184312128"/>
      <w:bookmarkEnd w:id="399"/>
      <w:bookmarkStart w:id="400" w:name="_Toc184313260"/>
      <w:bookmarkEnd w:id="400"/>
      <w:bookmarkStart w:id="401" w:name="_Toc184312072"/>
      <w:bookmarkEnd w:id="401"/>
      <w:bookmarkStart w:id="402" w:name="_Toc184313270"/>
      <w:bookmarkEnd w:id="402"/>
      <w:bookmarkStart w:id="403" w:name="_Toc184310329"/>
      <w:bookmarkEnd w:id="403"/>
      <w:bookmarkStart w:id="404" w:name="_Toc184313242"/>
      <w:bookmarkEnd w:id="404"/>
      <w:bookmarkStart w:id="405" w:name="_Toc184312115"/>
      <w:bookmarkEnd w:id="405"/>
      <w:bookmarkStart w:id="406" w:name="_Toc184313258"/>
      <w:bookmarkEnd w:id="406"/>
      <w:bookmarkStart w:id="407" w:name="_Toc184313284"/>
      <w:bookmarkEnd w:id="407"/>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797"/>
        <w:gridCol w:w="1080"/>
        <w:gridCol w:w="950"/>
        <w:gridCol w:w="1485"/>
      </w:tblGrid>
      <w:tr>
        <w:trPr>
          <w:trHeight w:val="1547"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797"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评分因素</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主观分/客观分属性</w:t>
            </w:r>
          </w:p>
        </w:tc>
        <w:tc>
          <w:tcPr>
            <w:tcW w:w="1485"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w:t>
            </w:r>
          </w:p>
        </w:tc>
      </w:tr>
      <w:tr>
        <w:trPr>
          <w:trHeight w:val="458" w:hRule="atLeast"/>
          <w:jc w:val="center"/>
        </w:trPr>
        <w:tc>
          <w:tcPr>
            <w:tcW w:w="654" w:type="dxa"/>
            <w:vAlign w:val="center"/>
          </w:tcPr>
          <w:p>
            <w:pPr>
              <w:adjustRightInd w:val="0"/>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5797" w:type="dxa"/>
            <w:vAlign w:val="center"/>
          </w:tcPr>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投标人资信能力评价</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50" w:type="dxa"/>
            <w:vAlign w:val="center"/>
          </w:tcPr>
          <w:p>
            <w:pPr>
              <w:adjustRightInd w:val="0"/>
              <w:snapToGrid w:val="0"/>
              <w:jc w:val="center"/>
              <w:rPr>
                <w:rFonts w:hint="eastAsia" w:ascii="宋体" w:hAnsi="宋体" w:eastAsia="宋体" w:cs="宋体"/>
                <w:color w:val="auto"/>
                <w:sz w:val="24"/>
                <w:highlight w:val="none"/>
              </w:rPr>
            </w:pPr>
          </w:p>
        </w:tc>
        <w:tc>
          <w:tcPr>
            <w:tcW w:w="1485" w:type="dxa"/>
            <w:vAlign w:val="center"/>
          </w:tcPr>
          <w:p>
            <w:pPr>
              <w:adjustRightInd w:val="0"/>
              <w:snapToGrid w:val="0"/>
              <w:jc w:val="center"/>
              <w:rPr>
                <w:rFonts w:hint="eastAsia" w:ascii="宋体" w:hAnsi="宋体" w:eastAsia="宋体" w:cs="宋体"/>
                <w:b/>
                <w:color w:val="auto"/>
                <w:sz w:val="24"/>
                <w:highlight w:val="none"/>
              </w:rPr>
            </w:pPr>
          </w:p>
        </w:tc>
      </w:tr>
      <w:tr>
        <w:trPr>
          <w:trHeight w:val="1400"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w:t>
            </w:r>
            <w:r>
              <w:rPr>
                <w:rFonts w:hint="eastAsia" w:ascii="宋体" w:hAnsi="宋体" w:cs="宋体"/>
                <w:color w:val="auto"/>
                <w:sz w:val="24"/>
                <w:highlight w:val="none"/>
                <w:lang w:val="en-US" w:eastAsia="zh-CN"/>
              </w:rPr>
              <w:t>2022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月1日（含）以来（合同签署时间为准），承担过类似项目成功案例，提供一个案例得0.3分，最多得1.5分；</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说明：①不限特定行业、特定区域、特定金额；②类似项目系指消防检测业务类项目；③业绩证明材料需提供合复印件或扫描件</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1400"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投标人获得有效的质量管理</w:t>
            </w:r>
            <w:r>
              <w:rPr>
                <w:rFonts w:hint="eastAsia" w:ascii="宋体" w:hAnsi="宋体" w:cs="宋体"/>
                <w:color w:val="auto"/>
                <w:sz w:val="24"/>
                <w:highlight w:val="none"/>
                <w:lang w:eastAsia="zh-CN"/>
              </w:rPr>
              <w:t>认证</w:t>
            </w:r>
            <w:r>
              <w:rPr>
                <w:rFonts w:hint="eastAsia" w:ascii="宋体" w:hAnsi="宋体" w:eastAsia="宋体" w:cs="宋体"/>
                <w:color w:val="auto"/>
                <w:sz w:val="24"/>
                <w:highlight w:val="none"/>
              </w:rPr>
              <w:t>体系、环境管理</w:t>
            </w:r>
            <w:r>
              <w:rPr>
                <w:rFonts w:hint="eastAsia" w:ascii="宋体" w:hAnsi="宋体" w:cs="宋体"/>
                <w:color w:val="auto"/>
                <w:sz w:val="24"/>
                <w:highlight w:val="none"/>
                <w:lang w:eastAsia="zh-CN"/>
              </w:rPr>
              <w:t>认证</w:t>
            </w:r>
            <w:r>
              <w:rPr>
                <w:rFonts w:hint="eastAsia" w:ascii="宋体" w:hAnsi="宋体" w:eastAsia="宋体" w:cs="宋体"/>
                <w:color w:val="auto"/>
                <w:sz w:val="24"/>
                <w:highlight w:val="none"/>
              </w:rPr>
              <w:t>体系、职业安全健康管理体系认证证书的，每种得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pPr>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注：以上证书须由评审小组现场通过中国国家认证认可监督管理委员会备案通过的认证机构颁发且在全国认证认可信息公共服务平台（www.cnca.gov.cn）的网页查询</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状态为有效</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须提供认证证书的扫描件</w:t>
            </w:r>
            <w:r>
              <w:rPr>
                <w:rFonts w:hint="eastAsia" w:ascii="宋体" w:hAnsi="宋体" w:eastAsia="宋体" w:cs="宋体"/>
                <w:b/>
                <w:color w:val="auto"/>
                <w:sz w:val="24"/>
                <w:highlight w:val="none"/>
                <w:lang w:val="en-US" w:eastAsia="zh-CN"/>
              </w:rPr>
              <w:t>,未提供不得分</w:t>
            </w:r>
            <w:r>
              <w:rPr>
                <w:rFonts w:hint="eastAsia" w:ascii="宋体" w:hAnsi="宋体" w:eastAsia="宋体" w:cs="宋体"/>
                <w:bCs/>
                <w:color w:val="auto"/>
                <w:sz w:val="24"/>
                <w:highlight w:val="none"/>
              </w:rPr>
              <w:t>。</w:t>
            </w:r>
          </w:p>
        </w:tc>
        <w:tc>
          <w:tcPr>
            <w:tcW w:w="1080" w:type="dxa"/>
            <w:vAlign w:val="center"/>
          </w:tcPr>
          <w:p>
            <w:pPr>
              <w:adjustRightInd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90"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投标人管理方案评价</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50" w:type="dxa"/>
            <w:vAlign w:val="center"/>
          </w:tcPr>
          <w:p>
            <w:pPr>
              <w:adjustRightInd w:val="0"/>
              <w:snapToGrid w:val="0"/>
              <w:jc w:val="center"/>
              <w:rPr>
                <w:rFonts w:hint="eastAsia" w:ascii="宋体" w:hAnsi="宋体" w:eastAsia="宋体" w:cs="宋体"/>
                <w:color w:val="auto"/>
                <w:sz w:val="24"/>
                <w:highlight w:val="none"/>
              </w:rPr>
            </w:pP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890"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完善的管理制度（包括人员制度、例会制度等），根据提供的方案内容的完整性、与项目的匹配性进行评分。方案内容完整且与项目匹配度好的得4分；方案内容基本完整且与项目匹配度较好的得3分；方案内容存在欠缺或与项目匹配度一般的得2分；</w:t>
            </w:r>
            <w:r>
              <w:rPr>
                <w:rFonts w:hint="eastAsia" w:ascii="宋体" w:hAnsi="宋体" w:cs="宋体"/>
                <w:color w:val="auto"/>
                <w:sz w:val="24"/>
                <w:highlight w:val="none"/>
                <w:lang w:eastAsia="zh-CN"/>
              </w:rPr>
              <w:t>欠缺较大得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rPr>
              <w:t>方案内容缺失严重或与项目不匹配的不得分。</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890"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建立和完善档案管理制度等，体现标准化服务，根据提供的方案内容的完整性、与项目的匹配性进行评分。方案内容完整且与项目匹配度好的得4分；方案内容基本完整且与项目匹配度较好的得3分；方案内容存在欠缺或与项目匹配度一般的得2分；</w:t>
            </w:r>
            <w:r>
              <w:rPr>
                <w:rFonts w:hint="eastAsia" w:ascii="宋体" w:hAnsi="宋体" w:cs="宋体"/>
                <w:color w:val="auto"/>
                <w:sz w:val="24"/>
                <w:highlight w:val="none"/>
                <w:lang w:eastAsia="zh-CN"/>
              </w:rPr>
              <w:t>欠缺较大得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rPr>
              <w:t>方案内容缺失严重或与项目不匹配的不得分。</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318" w:hRule="atLeast"/>
          <w:jc w:val="center"/>
        </w:trPr>
        <w:tc>
          <w:tcPr>
            <w:tcW w:w="654" w:type="dxa"/>
            <w:vAlign w:val="center"/>
          </w:tcPr>
          <w:p>
            <w:pPr>
              <w:adjustRightInd w:val="0"/>
              <w:snapToGrid w:val="0"/>
              <w:jc w:val="center"/>
              <w:rPr>
                <w:rFonts w:hint="eastAsia" w:ascii="宋体" w:hAnsi="宋体" w:eastAsia="宋体" w:cs="宋体"/>
                <w:color w:val="auto"/>
                <w:sz w:val="16"/>
                <w:szCs w:val="16"/>
                <w:highlight w:val="none"/>
              </w:rPr>
            </w:pPr>
            <w:r>
              <w:rPr>
                <w:rFonts w:hint="eastAsia" w:ascii="宋体" w:hAnsi="宋体" w:eastAsia="宋体" w:cs="宋体"/>
                <w:color w:val="auto"/>
                <w:sz w:val="24"/>
                <w:highlight w:val="none"/>
              </w:rPr>
              <w:t>2.3</w:t>
            </w:r>
          </w:p>
        </w:tc>
        <w:tc>
          <w:tcPr>
            <w:tcW w:w="5797" w:type="dxa"/>
            <w:vAlign w:val="center"/>
          </w:tcPr>
          <w:p>
            <w:pPr>
              <w:snapToGrid w:val="0"/>
              <w:rPr>
                <w:rFonts w:hint="eastAsia" w:ascii="宋体" w:hAnsi="宋体" w:eastAsia="宋体" w:cs="宋体"/>
                <w:color w:val="auto"/>
                <w:sz w:val="24"/>
                <w:highlight w:val="none"/>
                <w:lang w:val="en" w:eastAsia="zh-CN"/>
              </w:rPr>
            </w:pPr>
            <w:r>
              <w:rPr>
                <w:rFonts w:hint="eastAsia" w:ascii="宋体" w:hAnsi="宋体" w:eastAsia="宋体" w:cs="宋体"/>
                <w:color w:val="auto"/>
                <w:sz w:val="24"/>
                <w:highlight w:val="none"/>
              </w:rPr>
              <w:t>建立考核机制，根据提供的方案内容的完整性、与项目的匹配性进行评分。方案内容完整且与项目匹配度好的得4分；方案内容基本完整且与项目匹配度较好的得3分；方案内容存在欠缺或与项目匹配度一般的得2分；</w:t>
            </w:r>
            <w:r>
              <w:rPr>
                <w:rFonts w:hint="eastAsia" w:ascii="宋体" w:hAnsi="宋体" w:cs="宋体"/>
                <w:color w:val="auto"/>
                <w:sz w:val="24"/>
                <w:highlight w:val="none"/>
                <w:lang w:eastAsia="zh-CN"/>
              </w:rPr>
              <w:t>欠缺较大得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rPr>
              <w:t>方案内容缺失严重或与项目不匹配的不得分。</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890"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建立激励机制，根据提供的方案内容的完整性、与项目的匹配性进行评分。方案内容完整且与项目匹配度好的得4分；方案内容基本完整且与项目匹配度较好的得3分；方案内容存在欠缺或与项目匹配度一般的得2分；</w:t>
            </w:r>
            <w:r>
              <w:rPr>
                <w:rFonts w:hint="eastAsia" w:ascii="宋体" w:hAnsi="宋体" w:cs="宋体"/>
                <w:color w:val="auto"/>
                <w:sz w:val="24"/>
                <w:highlight w:val="none"/>
                <w:lang w:eastAsia="zh-CN"/>
              </w:rPr>
              <w:t>欠缺较大得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rPr>
              <w:t>方案内容缺失严重或与项目不匹配的不得分。</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890"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建立监督机制，根据提供的方案内容的完整性、与项目的匹配性进行评分。方案内容完整且与项目匹配度好的得4分；方案内容基本完整且与项目匹配度较好的得3分；方案内容存在欠缺或与项目匹配度一般的得2分；</w:t>
            </w:r>
            <w:r>
              <w:rPr>
                <w:rFonts w:hint="eastAsia" w:ascii="宋体" w:hAnsi="宋体" w:cs="宋体"/>
                <w:color w:val="auto"/>
                <w:sz w:val="24"/>
                <w:highlight w:val="none"/>
                <w:lang w:eastAsia="zh-CN"/>
              </w:rPr>
              <w:t>欠缺较大得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rPr>
              <w:t>方案内容缺失严重或与项目不匹配的不得分。</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890"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建立自我约束机制，根据提供的方案内容的完整性、与项目的匹配性进行评分。方案内容完整且与项目匹配度好的得4分；方案内容基本完整且与项目匹配度较好的得3分；方案内容存在欠缺或与项目匹配度一般的得2分；</w:t>
            </w:r>
            <w:r>
              <w:rPr>
                <w:rFonts w:hint="eastAsia" w:ascii="宋体" w:hAnsi="宋体" w:cs="宋体"/>
                <w:color w:val="auto"/>
                <w:sz w:val="24"/>
                <w:highlight w:val="none"/>
                <w:lang w:eastAsia="zh-CN"/>
              </w:rPr>
              <w:t>欠缺较大得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rPr>
              <w:t>方案内容缺失严重或与项目不匹配的不得分。</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890"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建立及时处理机制，根据提供的方案内容的完整性、与项目的匹配性进行评分。方案内容完整且与项目匹配度好的得4分；方案内容基本完整且与项目匹配度较好的得3分；方案内容存在欠缺或与项目匹配度一般的得2分；</w:t>
            </w:r>
            <w:r>
              <w:rPr>
                <w:rFonts w:hint="eastAsia" w:ascii="宋体" w:hAnsi="宋体" w:cs="宋体"/>
                <w:color w:val="auto"/>
                <w:sz w:val="24"/>
                <w:highlight w:val="none"/>
                <w:lang w:eastAsia="zh-CN"/>
              </w:rPr>
              <w:t>欠缺较大得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rPr>
              <w:t>方案内容缺失严重或与项目不匹配的不得分。</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890"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2.8</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建立管理指标承诺达到管理标准，根据提供的方案内容的完整性、与项目的匹配性进行评分。方案内容完整且与项目匹配度好的得4分；方案内容基本完整且与项目匹配度较好的得3分；方案内容存在欠缺或与项目匹配度一般的得2分；</w:t>
            </w:r>
            <w:r>
              <w:rPr>
                <w:rFonts w:hint="eastAsia" w:ascii="宋体" w:hAnsi="宋体" w:cs="宋体"/>
                <w:color w:val="auto"/>
                <w:sz w:val="24"/>
                <w:highlight w:val="none"/>
                <w:lang w:eastAsia="zh-CN"/>
              </w:rPr>
              <w:t>欠缺较大得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rPr>
              <w:t>方案内容缺失严重或与项目不匹配的不得分。</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481"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日常工作方案</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50" w:type="dxa"/>
            <w:vAlign w:val="center"/>
          </w:tcPr>
          <w:p>
            <w:pPr>
              <w:adjustRightInd w:val="0"/>
              <w:snapToGrid w:val="0"/>
              <w:jc w:val="center"/>
              <w:rPr>
                <w:rFonts w:hint="eastAsia" w:ascii="宋体" w:hAnsi="宋体" w:eastAsia="宋体" w:cs="宋体"/>
                <w:color w:val="auto"/>
                <w:sz w:val="24"/>
                <w:highlight w:val="none"/>
              </w:rPr>
            </w:pP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596"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p>
        </w:tc>
        <w:tc>
          <w:tcPr>
            <w:tcW w:w="5797" w:type="dxa"/>
            <w:vAlign w:val="center"/>
          </w:tcPr>
          <w:p>
            <w:pPr>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图纸核验及技术交底服务方案，根据提供的方案内容的完整性、与项目的匹配性进行评分。方案内容完整且与项目匹配度好的得5分；方案内容基本完整且与项目匹配度较好的得4分；方案内容存在欠缺或与项目匹配度一般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欠缺较大得</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rPr>
              <w:t>方案内容缺失严重或与项目不匹配的不得分。</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596"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评定服务方案，根据提供的方案内容的完整性、与项目的匹配性进行评分。方案内容完整且与项目匹配度好的得5分；方案内容基本完整且与项目匹配度较好的得4分；方案内容存在欠缺或与项目匹配度一般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欠缺较大得</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rPr>
              <w:t>方案内容缺失严重或与项目不匹配的不得分。</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596"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档案整理服务方案，根据提供的方案内容的完整性、与项目的匹配性进行评分。方案内容完整且与项目匹配度好的得3分；方案内容基本完整且与项目匹配度较好的得2分；方案内容存在欠缺或与项目匹配度一般的得1分；方案内容缺失严重或与项目不匹配的不得分。</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534"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797" w:type="dxa"/>
            <w:vAlign w:val="center"/>
          </w:tcPr>
          <w:p>
            <w:pPr>
              <w:snapToGrid w:val="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人员方案。</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50" w:type="dxa"/>
            <w:vAlign w:val="center"/>
          </w:tcPr>
          <w:p>
            <w:pPr>
              <w:adjustRightInd w:val="0"/>
              <w:snapToGrid w:val="0"/>
              <w:jc w:val="center"/>
              <w:rPr>
                <w:rFonts w:hint="eastAsia" w:ascii="宋体" w:hAnsi="宋体" w:eastAsia="宋体" w:cs="宋体"/>
                <w:color w:val="auto"/>
                <w:sz w:val="24"/>
                <w:highlight w:val="none"/>
              </w:rPr>
            </w:pP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598"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4.1</w:t>
            </w:r>
          </w:p>
        </w:tc>
        <w:tc>
          <w:tcPr>
            <w:tcW w:w="5797" w:type="dxa"/>
            <w:vAlign w:val="center"/>
          </w:tcPr>
          <w:p>
            <w:pPr>
              <w:snapToGrid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项目负责人具有一级注册消防工程师的得2.5分。</w:t>
            </w:r>
          </w:p>
          <w:p>
            <w:pPr>
              <w:snapToGrid w:val="0"/>
              <w:rPr>
                <w:rFonts w:hint="eastAsia" w:eastAsia="宋体"/>
                <w:color w:val="auto"/>
                <w:highlight w:val="none"/>
                <w:lang w:eastAsia="zh-CN"/>
              </w:rPr>
            </w:pPr>
            <w:r>
              <w:rPr>
                <w:rFonts w:hint="eastAsia" w:ascii="宋体" w:hAnsi="宋体" w:eastAsia="宋体" w:cs="宋体"/>
                <w:bCs/>
                <w:color w:val="auto"/>
                <w:sz w:val="24"/>
                <w:highlight w:val="none"/>
                <w:lang w:eastAsia="zh-CN"/>
              </w:rPr>
              <w:t>证明材料：</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eastAsia="zh-CN"/>
              </w:rPr>
              <w:t>证书扫描件</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rPr>
              <w:t>社保机构出具</w:t>
            </w:r>
            <w:r>
              <w:rPr>
                <w:rFonts w:hint="eastAsia" w:ascii="宋体" w:hAnsi="宋体" w:cs="宋体"/>
                <w:bCs/>
                <w:color w:val="auto"/>
                <w:sz w:val="24"/>
                <w:highlight w:val="none"/>
                <w:lang w:val="zh-CN"/>
              </w:rPr>
              <w:t>的</w:t>
            </w: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lang w:val="zh-CN"/>
              </w:rPr>
              <w:t>为其缴纳的截止投标时间</w:t>
            </w:r>
            <w:r>
              <w:rPr>
                <w:rFonts w:hint="eastAsia" w:ascii="宋体" w:hAnsi="宋体" w:cs="宋体"/>
                <w:bCs/>
                <w:color w:val="auto"/>
                <w:sz w:val="24"/>
                <w:highlight w:val="none"/>
                <w:lang w:val="zh-CN"/>
              </w:rPr>
              <w:t>近</w:t>
            </w:r>
            <w:r>
              <w:rPr>
                <w:rFonts w:hint="eastAsia" w:ascii="宋体" w:hAnsi="宋体" w:eastAsia="宋体" w:cs="宋体"/>
                <w:bCs/>
                <w:color w:val="auto"/>
                <w:sz w:val="24"/>
                <w:highlight w:val="none"/>
                <w:lang w:val="zh-CN"/>
              </w:rPr>
              <w:t>3个月中任意一个月</w:t>
            </w:r>
            <w:r>
              <w:rPr>
                <w:rFonts w:hint="eastAsia" w:ascii="宋体" w:hAnsi="宋体" w:eastAsia="宋体" w:cs="宋体"/>
                <w:bCs/>
                <w:color w:val="auto"/>
                <w:sz w:val="24"/>
                <w:highlight w:val="none"/>
              </w:rPr>
              <w:t>的</w:t>
            </w:r>
            <w:r>
              <w:rPr>
                <w:rFonts w:hint="eastAsia" w:ascii="宋体" w:hAnsi="宋体" w:eastAsia="宋体" w:cs="宋体"/>
                <w:bCs/>
                <w:color w:val="auto"/>
                <w:sz w:val="24"/>
                <w:highlight w:val="none"/>
                <w:lang w:val="zh-CN"/>
              </w:rPr>
              <w:t>社保证明。</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833"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4.2</w:t>
            </w:r>
          </w:p>
        </w:tc>
        <w:tc>
          <w:tcPr>
            <w:tcW w:w="5797" w:type="dxa"/>
            <w:vAlign w:val="center"/>
          </w:tcPr>
          <w:p>
            <w:pPr>
              <w:snapToGrid w:val="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提供消防专家的简历、职称证书等材料。根据消防专家与项目匹配性进行评价。消防专家</w:t>
            </w:r>
            <w:r>
              <w:rPr>
                <w:rFonts w:hint="eastAsia" w:ascii="宋体" w:hAnsi="宋体" w:cs="宋体"/>
                <w:bCs/>
                <w:color w:val="auto"/>
                <w:sz w:val="24"/>
                <w:highlight w:val="none"/>
                <w:lang w:eastAsia="zh-CN"/>
              </w:rPr>
              <w:t>人数充足，人数符合或优于招标文件要求，</w:t>
            </w:r>
            <w:r>
              <w:rPr>
                <w:rFonts w:hint="eastAsia" w:ascii="宋体" w:hAnsi="宋体" w:eastAsia="宋体" w:cs="宋体"/>
                <w:bCs/>
                <w:color w:val="auto"/>
                <w:sz w:val="24"/>
                <w:highlight w:val="none"/>
              </w:rPr>
              <w:t>且与项目匹配</w:t>
            </w:r>
            <w:r>
              <w:rPr>
                <w:rFonts w:hint="eastAsia" w:ascii="宋体" w:hAnsi="宋体" w:cs="宋体"/>
                <w:bCs/>
                <w:color w:val="auto"/>
                <w:sz w:val="24"/>
                <w:highlight w:val="none"/>
                <w:lang w:eastAsia="zh-CN"/>
              </w:rPr>
              <w:t>性好</w:t>
            </w:r>
            <w:r>
              <w:rPr>
                <w:rFonts w:hint="eastAsia" w:ascii="宋体" w:hAnsi="宋体" w:eastAsia="宋体" w:cs="宋体"/>
                <w:bCs/>
                <w:color w:val="auto"/>
                <w:sz w:val="24"/>
                <w:highlight w:val="none"/>
              </w:rPr>
              <w:t>的得5分；</w:t>
            </w:r>
            <w:r>
              <w:rPr>
                <w:rFonts w:hint="eastAsia" w:ascii="宋体" w:hAnsi="宋体" w:cs="宋体"/>
                <w:bCs/>
                <w:color w:val="auto"/>
                <w:sz w:val="24"/>
                <w:highlight w:val="none"/>
                <w:lang w:eastAsia="zh-CN"/>
              </w:rPr>
              <w:t>人数符合或优于招标文件要求，</w:t>
            </w:r>
            <w:r>
              <w:rPr>
                <w:rFonts w:hint="eastAsia" w:ascii="宋体" w:hAnsi="宋体" w:eastAsia="宋体" w:cs="宋体"/>
                <w:bCs/>
                <w:color w:val="auto"/>
                <w:sz w:val="24"/>
                <w:highlight w:val="none"/>
              </w:rPr>
              <w:t>且与项目匹配</w:t>
            </w:r>
            <w:r>
              <w:rPr>
                <w:rFonts w:hint="eastAsia" w:ascii="宋体" w:hAnsi="宋体" w:cs="宋体"/>
                <w:bCs/>
                <w:color w:val="auto"/>
                <w:sz w:val="24"/>
                <w:highlight w:val="none"/>
                <w:lang w:eastAsia="zh-CN"/>
              </w:rPr>
              <w:t>性一般</w:t>
            </w:r>
            <w:r>
              <w:rPr>
                <w:rFonts w:hint="eastAsia" w:ascii="宋体" w:hAnsi="宋体" w:eastAsia="宋体" w:cs="宋体"/>
                <w:bCs/>
                <w:color w:val="auto"/>
                <w:sz w:val="24"/>
                <w:highlight w:val="none"/>
              </w:rPr>
              <w:t>的得</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分；消防专家</w:t>
            </w:r>
            <w:r>
              <w:rPr>
                <w:rFonts w:hint="eastAsia" w:ascii="宋体" w:hAnsi="宋体" w:cs="宋体"/>
                <w:bCs/>
                <w:color w:val="auto"/>
                <w:sz w:val="24"/>
                <w:highlight w:val="none"/>
                <w:lang w:eastAsia="zh-CN"/>
              </w:rPr>
              <w:t>人数基本符合招标文件要求，</w:t>
            </w:r>
            <w:r>
              <w:rPr>
                <w:rFonts w:hint="eastAsia" w:ascii="宋体" w:hAnsi="宋体" w:eastAsia="宋体" w:cs="宋体"/>
                <w:bCs/>
                <w:color w:val="auto"/>
                <w:sz w:val="24"/>
                <w:highlight w:val="none"/>
              </w:rPr>
              <w:t>且与项目匹配</w:t>
            </w:r>
            <w:r>
              <w:rPr>
                <w:rFonts w:hint="eastAsia" w:ascii="宋体" w:hAnsi="宋体" w:cs="宋体"/>
                <w:bCs/>
                <w:color w:val="auto"/>
                <w:sz w:val="24"/>
                <w:highlight w:val="none"/>
                <w:lang w:eastAsia="zh-CN"/>
              </w:rPr>
              <w:t>性好</w:t>
            </w:r>
            <w:r>
              <w:rPr>
                <w:rFonts w:hint="eastAsia" w:ascii="宋体" w:hAnsi="宋体" w:eastAsia="宋体" w:cs="宋体"/>
                <w:bCs/>
                <w:color w:val="auto"/>
                <w:sz w:val="24"/>
                <w:highlight w:val="none"/>
              </w:rPr>
              <w:t>的得</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分；消防专家</w:t>
            </w:r>
            <w:r>
              <w:rPr>
                <w:rFonts w:hint="eastAsia" w:ascii="宋体" w:hAnsi="宋体" w:cs="宋体"/>
                <w:bCs/>
                <w:color w:val="auto"/>
                <w:sz w:val="24"/>
                <w:highlight w:val="none"/>
                <w:lang w:eastAsia="zh-CN"/>
              </w:rPr>
              <w:t>人数基本符合招标文件要求，</w:t>
            </w:r>
            <w:r>
              <w:rPr>
                <w:rFonts w:hint="eastAsia" w:ascii="宋体" w:hAnsi="宋体" w:eastAsia="宋体" w:cs="宋体"/>
                <w:bCs/>
                <w:color w:val="auto"/>
                <w:sz w:val="24"/>
                <w:highlight w:val="none"/>
              </w:rPr>
              <w:t>与项目匹配</w:t>
            </w:r>
            <w:r>
              <w:rPr>
                <w:rFonts w:hint="eastAsia" w:ascii="宋体" w:hAnsi="宋体" w:cs="宋体"/>
                <w:bCs/>
                <w:color w:val="auto"/>
                <w:sz w:val="24"/>
                <w:highlight w:val="none"/>
                <w:lang w:eastAsia="zh-CN"/>
              </w:rPr>
              <w:t>性一般</w:t>
            </w:r>
            <w:r>
              <w:rPr>
                <w:rFonts w:hint="eastAsia" w:ascii="宋体" w:hAnsi="宋体" w:eastAsia="宋体" w:cs="宋体"/>
                <w:bCs/>
                <w:color w:val="auto"/>
                <w:sz w:val="24"/>
                <w:highlight w:val="none"/>
              </w:rPr>
              <w:t>的得</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分；</w:t>
            </w:r>
            <w:r>
              <w:rPr>
                <w:rFonts w:hint="eastAsia" w:ascii="宋体" w:hAnsi="宋体" w:cs="宋体"/>
                <w:bCs/>
                <w:color w:val="auto"/>
                <w:sz w:val="24"/>
                <w:highlight w:val="none"/>
                <w:lang w:eastAsia="zh-CN"/>
              </w:rPr>
              <w:t>针对性较差的得</w:t>
            </w:r>
            <w:r>
              <w:rPr>
                <w:rFonts w:hint="eastAsia" w:ascii="宋体" w:hAnsi="宋体" w:cs="宋体"/>
                <w:bCs/>
                <w:color w:val="auto"/>
                <w:sz w:val="24"/>
                <w:highlight w:val="none"/>
                <w:lang w:val="en-US" w:eastAsia="zh-CN"/>
              </w:rPr>
              <w:t>1分；</w:t>
            </w:r>
            <w:r>
              <w:rPr>
                <w:rFonts w:hint="eastAsia" w:ascii="宋体" w:hAnsi="宋体" w:eastAsia="宋体" w:cs="宋体"/>
                <w:bCs/>
                <w:color w:val="auto"/>
                <w:sz w:val="24"/>
                <w:highlight w:val="none"/>
              </w:rPr>
              <w:t>其余不得分</w:t>
            </w:r>
            <w:r>
              <w:rPr>
                <w:rFonts w:hint="eastAsia" w:ascii="宋体" w:hAnsi="宋体" w:eastAsia="宋体" w:cs="宋体"/>
                <w:bCs/>
                <w:color w:val="auto"/>
                <w:sz w:val="24"/>
                <w:highlight w:val="none"/>
                <w:lang w:eastAsia="zh-CN"/>
              </w:rPr>
              <w:t>。</w:t>
            </w:r>
          </w:p>
          <w:p>
            <w:pPr>
              <w:snapToGrid w:val="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证明材料：</w:t>
            </w:r>
            <w:r>
              <w:rPr>
                <w:rFonts w:hint="eastAsia" w:ascii="宋体" w:hAnsi="宋体" w:eastAsia="宋体" w:cs="宋体"/>
                <w:bCs/>
                <w:color w:val="auto"/>
                <w:sz w:val="24"/>
                <w:highlight w:val="none"/>
                <w:lang w:val="en-US" w:eastAsia="zh-CN"/>
              </w:rPr>
              <w:t>1、相关材料</w:t>
            </w:r>
            <w:r>
              <w:rPr>
                <w:rFonts w:hint="eastAsia" w:ascii="宋体" w:hAnsi="宋体" w:eastAsia="宋体" w:cs="宋体"/>
                <w:bCs/>
                <w:color w:val="auto"/>
                <w:sz w:val="24"/>
                <w:highlight w:val="none"/>
                <w:lang w:eastAsia="zh-CN"/>
              </w:rPr>
              <w:t>扫描件</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rPr>
              <w:t>社保机构出具</w:t>
            </w:r>
            <w:r>
              <w:rPr>
                <w:rFonts w:hint="eastAsia" w:ascii="宋体" w:hAnsi="宋体" w:cs="宋体"/>
                <w:bCs/>
                <w:color w:val="auto"/>
                <w:sz w:val="24"/>
                <w:highlight w:val="none"/>
                <w:lang w:val="zh-CN"/>
              </w:rPr>
              <w:t>的</w:t>
            </w: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lang w:val="zh-CN"/>
              </w:rPr>
              <w:t>为其缴纳的截止投标时间</w:t>
            </w:r>
            <w:r>
              <w:rPr>
                <w:rFonts w:hint="eastAsia" w:ascii="宋体" w:hAnsi="宋体" w:cs="宋体"/>
                <w:bCs/>
                <w:color w:val="auto"/>
                <w:sz w:val="24"/>
                <w:highlight w:val="none"/>
                <w:lang w:val="zh-CN"/>
              </w:rPr>
              <w:t>近</w:t>
            </w:r>
            <w:r>
              <w:rPr>
                <w:rFonts w:hint="eastAsia" w:ascii="宋体" w:hAnsi="宋体" w:eastAsia="宋体" w:cs="宋体"/>
                <w:bCs/>
                <w:color w:val="auto"/>
                <w:sz w:val="24"/>
                <w:highlight w:val="none"/>
                <w:lang w:val="zh-CN"/>
              </w:rPr>
              <w:t>3个月中任意一个月</w:t>
            </w:r>
            <w:r>
              <w:rPr>
                <w:rFonts w:hint="eastAsia" w:ascii="宋体" w:hAnsi="宋体" w:eastAsia="宋体" w:cs="宋体"/>
                <w:bCs/>
                <w:color w:val="auto"/>
                <w:sz w:val="24"/>
                <w:highlight w:val="none"/>
              </w:rPr>
              <w:t>的</w:t>
            </w:r>
            <w:r>
              <w:rPr>
                <w:rFonts w:hint="eastAsia" w:ascii="宋体" w:hAnsi="宋体" w:eastAsia="宋体" w:cs="宋体"/>
                <w:bCs/>
                <w:color w:val="auto"/>
                <w:sz w:val="24"/>
                <w:highlight w:val="none"/>
                <w:lang w:val="zh-CN"/>
              </w:rPr>
              <w:t>社保证明。</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5</w:t>
            </w:r>
          </w:p>
        </w:tc>
        <w:tc>
          <w:tcPr>
            <w:tcW w:w="950" w:type="dxa"/>
            <w:vAlign w:val="center"/>
          </w:tcPr>
          <w:p>
            <w:pPr>
              <w:adjustRightInd w:val="0"/>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686"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4.3</w:t>
            </w:r>
          </w:p>
        </w:tc>
        <w:tc>
          <w:tcPr>
            <w:tcW w:w="5797" w:type="dxa"/>
            <w:vAlign w:val="center"/>
          </w:tcPr>
          <w:p>
            <w:pPr>
              <w:snapToGrid w:val="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提供项目团队满足需求的得</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分，不满足不得分</w:t>
            </w:r>
            <w:r>
              <w:rPr>
                <w:rFonts w:hint="eastAsia" w:ascii="宋体" w:hAnsi="宋体" w:eastAsia="宋体" w:cs="宋体"/>
                <w:bCs/>
                <w:color w:val="auto"/>
                <w:sz w:val="24"/>
                <w:highlight w:val="none"/>
                <w:lang w:eastAsia="zh-CN"/>
              </w:rPr>
              <w:t>。</w:t>
            </w:r>
          </w:p>
          <w:p>
            <w:pPr>
              <w:snapToGrid w:val="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证明材料：</w:t>
            </w:r>
            <w:r>
              <w:rPr>
                <w:rFonts w:hint="eastAsia" w:ascii="宋体" w:hAnsi="宋体" w:eastAsia="宋体" w:cs="宋体"/>
                <w:bCs/>
                <w:color w:val="auto"/>
                <w:sz w:val="24"/>
                <w:highlight w:val="none"/>
                <w:lang w:val="en-US" w:eastAsia="zh-CN"/>
              </w:rPr>
              <w:t>1、</w:t>
            </w:r>
            <w:r>
              <w:rPr>
                <w:rFonts w:hint="eastAsia" w:ascii="宋体" w:hAnsi="宋体" w:eastAsia="宋体" w:cs="宋体"/>
                <w:color w:val="auto"/>
                <w:sz w:val="24"/>
                <w:highlight w:val="none"/>
              </w:rPr>
              <w:t>须提供团队清单，至少包含人员姓名、身份证号码</w:t>
            </w:r>
            <w:r>
              <w:rPr>
                <w:rFonts w:hint="eastAsia" w:ascii="宋体" w:hAnsi="宋体" w:eastAsia="宋体" w:cs="宋体"/>
                <w:color w:val="auto"/>
                <w:sz w:val="24"/>
                <w:highlight w:val="none"/>
                <w:lang w:val="en-US" w:eastAsia="zh-CN"/>
              </w:rPr>
              <w:t>2、</w:t>
            </w:r>
            <w:r>
              <w:rPr>
                <w:rFonts w:hint="eastAsia" w:ascii="宋体" w:hAnsi="宋体" w:eastAsia="宋体" w:cs="宋体"/>
                <w:bCs/>
                <w:color w:val="auto"/>
                <w:sz w:val="24"/>
                <w:highlight w:val="none"/>
                <w:lang w:val="zh-CN"/>
              </w:rPr>
              <w:t>社保机构出具</w:t>
            </w:r>
            <w:r>
              <w:rPr>
                <w:rFonts w:hint="eastAsia" w:ascii="宋体" w:hAnsi="宋体" w:cs="宋体"/>
                <w:bCs/>
                <w:color w:val="auto"/>
                <w:sz w:val="24"/>
                <w:highlight w:val="none"/>
                <w:lang w:val="zh-CN"/>
              </w:rPr>
              <w:t>的</w:t>
            </w: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lang w:val="zh-CN"/>
              </w:rPr>
              <w:t>为其缴纳的截止投标时间</w:t>
            </w:r>
            <w:r>
              <w:rPr>
                <w:rFonts w:hint="eastAsia" w:ascii="宋体" w:hAnsi="宋体" w:cs="宋体"/>
                <w:bCs/>
                <w:color w:val="auto"/>
                <w:sz w:val="24"/>
                <w:highlight w:val="none"/>
                <w:lang w:val="zh-CN"/>
              </w:rPr>
              <w:t>近</w:t>
            </w:r>
            <w:r>
              <w:rPr>
                <w:rFonts w:hint="eastAsia" w:ascii="宋体" w:hAnsi="宋体" w:eastAsia="宋体" w:cs="宋体"/>
                <w:bCs/>
                <w:color w:val="auto"/>
                <w:sz w:val="24"/>
                <w:highlight w:val="none"/>
                <w:lang w:val="zh-CN"/>
              </w:rPr>
              <w:t>3个月中任意一个月</w:t>
            </w:r>
            <w:r>
              <w:rPr>
                <w:rFonts w:hint="eastAsia" w:ascii="宋体" w:hAnsi="宋体" w:eastAsia="宋体" w:cs="宋体"/>
                <w:bCs/>
                <w:color w:val="auto"/>
                <w:sz w:val="24"/>
                <w:highlight w:val="none"/>
              </w:rPr>
              <w:t>的</w:t>
            </w:r>
            <w:r>
              <w:rPr>
                <w:rFonts w:hint="eastAsia" w:ascii="宋体" w:hAnsi="宋体" w:eastAsia="宋体" w:cs="宋体"/>
                <w:bCs/>
                <w:color w:val="auto"/>
                <w:sz w:val="24"/>
                <w:highlight w:val="none"/>
                <w:lang w:val="zh-CN"/>
              </w:rPr>
              <w:t>社保证明。</w:t>
            </w:r>
          </w:p>
        </w:tc>
        <w:tc>
          <w:tcPr>
            <w:tcW w:w="1080" w:type="dxa"/>
            <w:vAlign w:val="center"/>
          </w:tcPr>
          <w:p>
            <w:pPr>
              <w:adjustRightInd w:val="0"/>
              <w:snapToGrid w:val="0"/>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5</w:t>
            </w:r>
          </w:p>
        </w:tc>
        <w:tc>
          <w:tcPr>
            <w:tcW w:w="950" w:type="dxa"/>
            <w:vAlign w:val="center"/>
          </w:tcPr>
          <w:p>
            <w:pPr>
              <w:adjustRightInd w:val="0"/>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1757"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仪器设备配备情况，提供配置情况，根据配备齐全，与项目的匹配性进行打分。配置齐全、可满足检测任务需要的得5分；配置基本完整且与匹配度较好的得4分；方案内容存在欠缺或与项目匹配度一般的得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欠缺较大得</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rPr>
              <w:t>方案内容缺失严重或与项目不匹配的不得分。</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511"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提供防止检测结果意外情况或重大过失的预防方案，根据方案的周密性、可行性等情况评分。方案内容完整且与项目匹配度好的得5分；方案内容基本完整且与项目匹配度较好的得4分；方案内容存在欠缺或与项目匹配度一般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欠缺较大得</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rPr>
              <w:t>方案内容缺失严重或与项目不匹配的不得分。</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383"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保障方案及措施。</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50" w:type="dxa"/>
            <w:vAlign w:val="center"/>
          </w:tcPr>
          <w:p>
            <w:pPr>
              <w:adjustRightInd w:val="0"/>
              <w:snapToGrid w:val="0"/>
              <w:jc w:val="center"/>
              <w:rPr>
                <w:rFonts w:hint="eastAsia" w:ascii="宋体" w:hAnsi="宋体" w:eastAsia="宋体" w:cs="宋体"/>
                <w:color w:val="auto"/>
                <w:sz w:val="24"/>
                <w:highlight w:val="none"/>
              </w:rPr>
            </w:pP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383"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7.1</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服务质量保障方案。根据方案的周密性、可落地性进行打分。方案周密实施性强的得5分；方案比较周密、具有一定可实施性的得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分；方案有欠缺、可实施性</w:t>
            </w:r>
            <w:r>
              <w:rPr>
                <w:rFonts w:hint="eastAsia" w:ascii="宋体" w:hAnsi="宋体" w:cs="宋体"/>
                <w:color w:val="auto"/>
                <w:sz w:val="24"/>
                <w:highlight w:val="none"/>
                <w:lang w:eastAsia="zh-CN"/>
              </w:rPr>
              <w:t>一般</w:t>
            </w:r>
            <w:r>
              <w:rPr>
                <w:rFonts w:hint="eastAsia" w:ascii="宋体" w:hAnsi="宋体" w:eastAsia="宋体" w:cs="宋体"/>
                <w:color w:val="auto"/>
                <w:sz w:val="24"/>
                <w:highlight w:val="none"/>
              </w:rPr>
              <w:t>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欠缺较大得</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rPr>
              <w:t>不满足不得分。</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383"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7.2</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响应时间保障方案。根据方案的周密性、可落地性进行打分。方案周密实施性强的得5分；方案比较周密、具有一定可实施性的得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分；方案有欠缺、可实施性</w:t>
            </w:r>
            <w:r>
              <w:rPr>
                <w:rFonts w:hint="eastAsia" w:ascii="宋体" w:hAnsi="宋体" w:cs="宋体"/>
                <w:color w:val="auto"/>
                <w:sz w:val="24"/>
                <w:highlight w:val="none"/>
                <w:lang w:eastAsia="zh-CN"/>
              </w:rPr>
              <w:t>一般</w:t>
            </w:r>
            <w:r>
              <w:rPr>
                <w:rFonts w:hint="eastAsia" w:ascii="宋体" w:hAnsi="宋体" w:eastAsia="宋体" w:cs="宋体"/>
                <w:color w:val="auto"/>
                <w:sz w:val="24"/>
                <w:highlight w:val="none"/>
              </w:rPr>
              <w:t>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欠缺较大得</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rPr>
              <w:t>不满足不得分。</w:t>
            </w:r>
          </w:p>
        </w:tc>
        <w:tc>
          <w:tcPr>
            <w:tcW w:w="108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383" w:hRule="atLeast"/>
          <w:jc w:val="center"/>
        </w:trPr>
        <w:tc>
          <w:tcPr>
            <w:tcW w:w="654"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7.3</w:t>
            </w:r>
          </w:p>
        </w:tc>
        <w:tc>
          <w:tcPr>
            <w:tcW w:w="5797"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重难点分析及相应应对措施方案。根据方案的完整性、落地性进行打分。符合采购需求的得相应满分</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分，部分满足得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有欠缺得</w:t>
            </w:r>
            <w:r>
              <w:rPr>
                <w:rFonts w:hint="eastAsia" w:ascii="宋体" w:hAnsi="宋体" w:eastAsia="宋体" w:cs="宋体"/>
                <w:color w:val="auto"/>
                <w:sz w:val="24"/>
                <w:highlight w:val="none"/>
                <w:lang w:val="en-US" w:eastAsia="zh-CN"/>
              </w:rPr>
              <w:t>1分，</w:t>
            </w:r>
            <w:r>
              <w:rPr>
                <w:rFonts w:hint="eastAsia" w:ascii="宋体" w:hAnsi="宋体" w:eastAsia="宋体" w:cs="宋体"/>
                <w:color w:val="auto"/>
                <w:sz w:val="24"/>
                <w:highlight w:val="none"/>
              </w:rPr>
              <w:t>不满足不得分。</w:t>
            </w:r>
          </w:p>
        </w:tc>
        <w:tc>
          <w:tcPr>
            <w:tcW w:w="1080" w:type="dxa"/>
            <w:vAlign w:val="center"/>
          </w:tcPr>
          <w:p>
            <w:pPr>
              <w:adjustRightInd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950" w:type="dxa"/>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485" w:type="dxa"/>
            <w:vAlign w:val="center"/>
          </w:tcPr>
          <w:p>
            <w:pPr>
              <w:adjustRightInd w:val="0"/>
              <w:snapToGrid w:val="0"/>
              <w:jc w:val="center"/>
              <w:rPr>
                <w:rFonts w:hint="eastAsia" w:ascii="宋体" w:hAnsi="宋体" w:eastAsia="宋体" w:cs="宋体"/>
                <w:color w:val="auto"/>
                <w:sz w:val="24"/>
                <w:highlight w:val="none"/>
              </w:rPr>
            </w:pPr>
          </w:p>
        </w:tc>
      </w:tr>
      <w:tr>
        <w:trPr>
          <w:trHeight w:val="383" w:hRule="atLeast"/>
          <w:jc w:val="center"/>
        </w:trPr>
        <w:tc>
          <w:tcPr>
            <w:tcW w:w="654" w:type="dxa"/>
            <w:vAlign w:val="center"/>
          </w:tcPr>
          <w:p>
            <w:pPr>
              <w:spacing w:line="360" w:lineRule="auto"/>
              <w:ind w:firstLine="240" w:firstLineChars="1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p>
        </w:tc>
        <w:tc>
          <w:tcPr>
            <w:tcW w:w="5797" w:type="dxa"/>
            <w:vAlign w:val="center"/>
          </w:tcPr>
          <w:p>
            <w:pPr>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］的计算公式计算。</w:t>
            </w:r>
          </w:p>
          <w:p>
            <w:pPr>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widowControl/>
              <w:shd w:val="clear" w:color="auto" w:fill="FFFFFF"/>
              <w:adjustRightInd/>
              <w:spacing w:after="225" w:line="315" w:lineRule="atLeast"/>
              <w:ind w:firstLine="420" w:firstLine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因落实政府采购政策需要进行价格调整的，以调整后的价格计算评标基准价和投标报价。（本项目不适用）</w:t>
            </w:r>
          </w:p>
        </w:tc>
        <w:tc>
          <w:tcPr>
            <w:tcW w:w="1080" w:type="dxa"/>
            <w:vAlign w:val="center"/>
          </w:tcPr>
          <w:p>
            <w:pPr>
              <w:spacing w:line="360" w:lineRule="auto"/>
              <w:ind w:firstLine="120" w:firstLineChars="50"/>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p>
        </w:tc>
        <w:tc>
          <w:tcPr>
            <w:tcW w:w="950"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85" w:type="dxa"/>
            <w:vAlign w:val="center"/>
          </w:tcPr>
          <w:p>
            <w:pPr>
              <w:spacing w:line="360" w:lineRule="auto"/>
              <w:ind w:firstLine="240" w:firstLineChars="1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价格分</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1"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1"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审后得分相同的，按最终报价由低到高顺序排列；得分且最终报价相同，出现并列情形的，则由评标委员会投票，按照少数服从多数的原则作出结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1"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有下列情况之一的，投标无效：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4.2.12投标人仅提交备份投标文件，没有在电子交易平台传输递交投标文件的，投标无效；</w:t>
      </w:r>
    </w:p>
    <w:p>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pStyle w:val="25"/>
        <w:snapToGrid w:val="0"/>
        <w:spacing w:line="360" w:lineRule="auto"/>
        <w:ind w:firstLine="470" w:firstLineChars="196"/>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4.2.1</w:t>
      </w:r>
      <w:r>
        <w:rPr>
          <w:rFonts w:hint="eastAsia" w:cs="宋体"/>
          <w:color w:val="auto"/>
          <w:kern w:val="2"/>
          <w:sz w:val="24"/>
          <w:highlight w:val="none"/>
          <w:lang w:val="en-US" w:eastAsia="zh-CN"/>
        </w:rPr>
        <w:t xml:space="preserve">4 </w:t>
      </w:r>
      <w:r>
        <w:rPr>
          <w:rFonts w:hint="eastAsia" w:ascii="宋体" w:hAnsi="宋体" w:eastAsia="宋体" w:cs="宋体"/>
          <w:color w:val="auto"/>
          <w:kern w:val="2"/>
          <w:sz w:val="24"/>
          <w:highlight w:val="none"/>
        </w:rPr>
        <w:t>依据前附表第1</w:t>
      </w:r>
      <w:r>
        <w:rPr>
          <w:rFonts w:hint="eastAsia" w:cs="宋体"/>
          <w:color w:val="auto"/>
          <w:kern w:val="2"/>
          <w:sz w:val="24"/>
          <w:highlight w:val="none"/>
          <w:lang w:val="en-US" w:eastAsia="zh-CN"/>
        </w:rPr>
        <w:t>4</w:t>
      </w:r>
      <w:r>
        <w:rPr>
          <w:rFonts w:hint="eastAsia" w:ascii="宋体" w:hAnsi="宋体" w:eastAsia="宋体" w:cs="宋体"/>
          <w:color w:val="auto"/>
          <w:kern w:val="2"/>
          <w:sz w:val="24"/>
          <w:highlight w:val="none"/>
        </w:rPr>
        <w:t>项“特别说明”的中标推荐原则，属于不再参与下一标项详细评审情形的；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pPr>
        <w:pStyle w:val="25"/>
        <w:snapToGrid w:val="0"/>
        <w:spacing w:line="360" w:lineRule="auto"/>
        <w:ind w:firstLine="471"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5"/>
        <w:snapToGrid w:val="0"/>
        <w:spacing w:line="360" w:lineRule="auto"/>
        <w:ind w:firstLine="589"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89"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cs="宋体"/>
          <w:color w:val="auto"/>
          <w:highlight w:val="none"/>
        </w:rPr>
      </w:pPr>
      <w:r>
        <w:rPr>
          <w:rFonts w:hint="eastAsia" w:cs="宋体"/>
          <w:color w:val="auto"/>
          <w:highlight w:val="none"/>
        </w:rPr>
        <w:t>7.1未确定中标或者中标人的，终止本次政府采购活动，重新开展政府采购活动。</w:t>
      </w:r>
    </w:p>
    <w:p>
      <w:pPr>
        <w:pStyle w:val="25"/>
        <w:snapToGrid w:val="0"/>
        <w:spacing w:line="360" w:lineRule="auto"/>
        <w:ind w:firstLine="600" w:firstLineChars="250"/>
        <w:rPr>
          <w:rFonts w:cs="宋体"/>
          <w:color w:val="auto"/>
          <w:highlight w:val="none"/>
        </w:rPr>
      </w:pPr>
      <w:r>
        <w:rPr>
          <w:rFonts w:hint="eastAsia"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cs="宋体"/>
          <w:color w:val="auto"/>
          <w:highlight w:val="none"/>
        </w:rPr>
      </w:pPr>
      <w:r>
        <w:rPr>
          <w:rFonts w:hint="eastAsia"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的行为，经改正后仍然影响或者可能影响中标、成交结果或者依法被认定为中标、成交无效的，依照7.1-7.4规定处理。</w:t>
      </w:r>
    </w:p>
    <w:bookmarkEnd w:id="26"/>
    <w:p>
      <w:pPr>
        <w:rPr>
          <w:rFonts w:ascii="宋体" w:hAnsi="宋体" w:cs="宋体"/>
          <w:b/>
          <w:color w:val="auto"/>
          <w:sz w:val="36"/>
          <w:szCs w:val="36"/>
          <w:highlight w:val="none"/>
        </w:rPr>
      </w:pPr>
      <w:bookmarkStart w:id="408" w:name="第五部分"/>
      <w:bookmarkStart w:id="409" w:name="_Toc86217003"/>
      <w:r>
        <w:rPr>
          <w:rFonts w:hint="eastAsia" w:ascii="宋体" w:hAnsi="宋体" w:cs="宋体"/>
          <w:b/>
          <w:color w:val="auto"/>
          <w:sz w:val="36"/>
          <w:szCs w:val="36"/>
          <w:highlight w:val="none"/>
        </w:rPr>
        <w:br w:type="page"/>
      </w:r>
    </w:p>
    <w:p>
      <w:pPr>
        <w:spacing w:line="360" w:lineRule="auto"/>
        <w:ind w:left="720" w:leftChars="343" w:firstLine="1081"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360" w:lineRule="auto"/>
        <w:jc w:val="cente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t>2025年杭州市钱塘区建筑工程消防验收第三方服务项目</w:t>
      </w:r>
    </w:p>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b/>
          <w:color w:val="auto"/>
          <w:sz w:val="32"/>
          <w:szCs w:val="32"/>
          <w:highlight w:val="none"/>
          <w:lang w:eastAsia="zh-CN"/>
        </w:rPr>
        <w:t>合同</w:t>
      </w:r>
    </w:p>
    <w:p>
      <w:pPr>
        <w:adjustRightInd w:val="0"/>
        <w:snapToGrid w:val="0"/>
        <w:spacing w:line="360" w:lineRule="auto"/>
        <w:ind w:firstLine="480"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甲方：</w:t>
      </w:r>
      <w:r>
        <w:rPr>
          <w:rFonts w:hint="eastAsia" w:ascii="宋体" w:hAnsi="宋体" w:eastAsia="宋体" w:cs="宋体"/>
          <w:b/>
          <w:color w:val="auto"/>
          <w:sz w:val="24"/>
          <w:highlight w:val="none"/>
          <w:lang w:eastAsia="zh-CN"/>
        </w:rPr>
        <w:t>杭州市钱塘区住房和城乡建设局</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tabs>
          <w:tab w:val="left" w:pos="6237"/>
          <w:tab w:val="left" w:pos="6521"/>
        </w:tabs>
        <w:adjustRightInd w:val="0"/>
        <w:snapToGrid w:val="0"/>
        <w:spacing w:line="360" w:lineRule="auto"/>
        <w:ind w:firstLine="480" w:firstLineChars="200"/>
        <w:rPr>
          <w:rFonts w:hint="eastAsia" w:ascii="宋体" w:hAnsi="宋体" w:eastAsia="宋体" w:cs="宋体"/>
          <w:color w:val="auto"/>
          <w:sz w:val="24"/>
          <w:highlight w:val="none"/>
        </w:rPr>
      </w:pPr>
    </w:p>
    <w:p>
      <w:pPr>
        <w:adjustRightInd w:val="0"/>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乙方：</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授权代表： </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p>
    <w:p>
      <w:pPr>
        <w:pStyle w:val="968"/>
        <w:adjustRightInd w:val="0"/>
        <w:snapToGrid w:val="0"/>
        <w:spacing w:before="0" w:beforeAutospacing="0" w:after="0" w:afterAutospacing="0" w:line="360" w:lineRule="auto"/>
        <w:ind w:firstLine="480" w:firstLineChars="20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甲乙双方依据《中华人民共和国政府采购法》、《</w:t>
      </w:r>
      <w:r>
        <w:rPr>
          <w:rFonts w:hint="eastAsia" w:ascii="宋体" w:hAnsi="宋体" w:eastAsia="宋体" w:cs="宋体"/>
          <w:color w:val="auto"/>
          <w:szCs w:val="24"/>
          <w:highlight w:val="none"/>
          <w:shd w:val="clear" w:color="auto" w:fill="auto"/>
          <w:lang w:val="zh-CN"/>
        </w:rPr>
        <w:t>中华人民共和国民法典</w:t>
      </w:r>
      <w:r>
        <w:rPr>
          <w:rFonts w:hint="eastAsia" w:ascii="宋体" w:hAnsi="宋体" w:eastAsia="宋体" w:cs="宋体"/>
          <w:color w:val="auto"/>
          <w:szCs w:val="24"/>
          <w:highlight w:val="none"/>
          <w:shd w:val="clear" w:color="auto" w:fill="auto"/>
        </w:rPr>
        <w:t>》等相关法律法规，以及</w:t>
      </w:r>
      <w:r>
        <w:rPr>
          <w:rFonts w:hint="eastAsia" w:cs="宋体"/>
          <w:color w:val="auto"/>
          <w:szCs w:val="24"/>
          <w:highlight w:val="none"/>
          <w:u w:val="single"/>
          <w:shd w:val="clear" w:color="auto" w:fill="auto"/>
          <w:lang w:eastAsia="zh-CN"/>
        </w:rPr>
        <w:t>2025年杭州市钱塘区建筑工程消防验收第三方服务项目</w:t>
      </w:r>
      <w:r>
        <w:rPr>
          <w:rFonts w:hint="eastAsia" w:ascii="宋体" w:hAnsi="宋体" w:eastAsia="宋体" w:cs="宋体"/>
          <w:color w:val="auto"/>
          <w:szCs w:val="24"/>
          <w:highlight w:val="none"/>
          <w:shd w:val="clear" w:color="auto" w:fill="auto"/>
        </w:rPr>
        <w:t>（项目编号：</w:t>
      </w:r>
      <w:r>
        <w:rPr>
          <w:rFonts w:hint="eastAsia" w:ascii="宋体" w:hAnsi="宋体" w:eastAsia="宋体" w:cs="宋体"/>
          <w:color w:val="auto"/>
          <w:sz w:val="24"/>
          <w:szCs w:val="24"/>
          <w:highlight w:val="none"/>
          <w:lang w:val="en-US" w:eastAsia="zh-CN"/>
        </w:rPr>
        <w:t>QTCG-GK-2025-084</w:t>
      </w:r>
      <w:r>
        <w:rPr>
          <w:rFonts w:hint="eastAsia" w:ascii="宋体" w:hAnsi="宋体" w:eastAsia="宋体" w:cs="宋体"/>
          <w:color w:val="auto"/>
          <w:szCs w:val="24"/>
          <w:highlight w:val="none"/>
          <w:shd w:val="clear" w:color="auto" w:fill="auto"/>
        </w:rPr>
        <w:t>）的中标结果，在平等自愿的基础上，同意按照下面的条款和条件，签署政府采购合同。</w:t>
      </w:r>
    </w:p>
    <w:p>
      <w:pPr>
        <w:pStyle w:val="968"/>
        <w:adjustRightInd w:val="0"/>
        <w:snapToGrid w:val="0"/>
        <w:spacing w:before="0" w:beforeAutospacing="0" w:after="0" w:afterAutospacing="0" w:line="360" w:lineRule="auto"/>
        <w:ind w:firstLine="480" w:firstLineChars="200"/>
        <w:rPr>
          <w:rFonts w:hint="eastAsia" w:ascii="宋体" w:hAnsi="宋体" w:eastAsia="宋体" w:cs="宋体"/>
          <w:color w:val="auto"/>
          <w:szCs w:val="24"/>
          <w:highlight w:val="none"/>
          <w:shd w:val="clear" w:color="auto" w:fill="auto"/>
        </w:rPr>
      </w:pP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第一条 合同文件</w:t>
      </w:r>
    </w:p>
    <w:p>
      <w:pPr>
        <w:adjustRightInd w:val="0"/>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招标文件、投标文件、招标答疑、技术澄清及询标答复的所有内容是构成合同不可分割的部分，与本合同具有同等法律效力，当文件有相矛盾之处，以时间在后者为准。</w:t>
      </w: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 xml:space="preserve">第二条 服务内容、数量、价格及其它：              </w:t>
      </w:r>
    </w:p>
    <w:p>
      <w:pPr>
        <w:adjustRightInd w:val="0"/>
        <w:snapToGrid w:val="0"/>
        <w:spacing w:line="360" w:lineRule="auto"/>
        <w:ind w:firstLine="480" w:firstLineChars="200"/>
        <w:rPr>
          <w:rFonts w:hint="eastAsia" w:ascii="宋体" w:hAnsi="宋体" w:eastAsia="宋体" w:cs="宋体"/>
          <w:snapToGrid w:val="0"/>
          <w:color w:val="auto"/>
          <w:sz w:val="24"/>
          <w:szCs w:val="24"/>
          <w:highlight w:val="none"/>
          <w:u w:val="none"/>
          <w:lang w:val="en-US" w:eastAsia="zh-CN"/>
        </w:rPr>
      </w:pPr>
      <w:r>
        <w:rPr>
          <w:rFonts w:hint="eastAsia" w:ascii="宋体" w:hAnsi="宋体" w:eastAsia="宋体" w:cs="宋体"/>
          <w:snapToGrid w:val="0"/>
          <w:color w:val="auto"/>
          <w:sz w:val="24"/>
          <w:szCs w:val="24"/>
          <w:highlight w:val="none"/>
          <w:lang w:val="en-US" w:eastAsia="zh-CN"/>
        </w:rPr>
        <w:t>1、乙方服务范围为：</w:t>
      </w:r>
      <w:r>
        <w:rPr>
          <w:rFonts w:hint="eastAsia" w:ascii="宋体" w:hAnsi="宋体" w:eastAsia="宋体" w:cs="宋体"/>
          <w:snapToGrid w:val="0"/>
          <w:color w:val="auto"/>
          <w:sz w:val="24"/>
          <w:szCs w:val="24"/>
          <w:highlight w:val="none"/>
          <w:u w:val="single"/>
          <w:lang w:val="en-US" w:eastAsia="zh-CN"/>
        </w:rPr>
        <w:t xml:space="preserve">        （标项范围）                      </w:t>
      </w:r>
    </w:p>
    <w:p>
      <w:pPr>
        <w:adjustRightInd w:val="0"/>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2、乙方服务综合单价</w:t>
      </w:r>
      <w:r>
        <w:rPr>
          <w:rFonts w:hint="eastAsia" w:ascii="宋体" w:hAnsi="宋体" w:eastAsia="宋体" w:cs="宋体"/>
          <w:snapToGrid w:val="0"/>
          <w:color w:val="auto"/>
          <w:sz w:val="24"/>
          <w:szCs w:val="24"/>
          <w:highlight w:val="none"/>
        </w:rPr>
        <w:t>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元/平方米。           </w:t>
      </w:r>
    </w:p>
    <w:p>
      <w:pPr>
        <w:adjustRightInd w:val="0"/>
        <w:snapToGrid w:val="0"/>
        <w:spacing w:line="360" w:lineRule="auto"/>
        <w:ind w:firstLine="480" w:firstLineChars="200"/>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综合单价应包括完成全部检测内容所需的一切人工、工具、设备、保险、交通、利润、税金、其它需乙方承担的费用及潜在满足甲方监管要求可能涉及的一切费用。综合单价在合同执行期内固定不变，因各种原因而导致费用的增减，甲方均不考虑补偿，结算总价根据完成的检测项目数量按实结算。</w:t>
      </w:r>
    </w:p>
    <w:p>
      <w:pPr>
        <w:adjustRightInd w:val="0"/>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highlight w:val="none"/>
          <w:lang w:val="en-US" w:eastAsia="zh-CN"/>
        </w:rPr>
        <w:t>合同费用按实结算，其中：①</w:t>
      </w:r>
      <w:r>
        <w:rPr>
          <w:rFonts w:hint="eastAsia" w:ascii="宋体" w:hAnsi="宋体" w:eastAsia="宋体" w:cs="宋体"/>
          <w:color w:val="auto"/>
          <w:sz w:val="24"/>
          <w:highlight w:val="none"/>
        </w:rPr>
        <w:t>单个项目服务价格低于3000元时，按3000元/项支付服务费用</w:t>
      </w:r>
      <w:r>
        <w:rPr>
          <w:rFonts w:hint="eastAsia" w:ascii="宋体" w:hAnsi="宋体" w:eastAsia="宋体" w:cs="宋体"/>
          <w:color w:val="auto"/>
          <w:sz w:val="24"/>
          <w:highlight w:val="none"/>
          <w:lang w:eastAsia="zh-CN"/>
        </w:rPr>
        <w:t>；②住宅</w:t>
      </w:r>
      <w:r>
        <w:rPr>
          <w:rFonts w:hint="eastAsia" w:ascii="宋体" w:hAnsi="宋体" w:eastAsia="宋体" w:cs="宋体"/>
          <w:color w:val="auto"/>
          <w:sz w:val="24"/>
          <w:highlight w:val="none"/>
          <w:lang w:val="en-US" w:eastAsia="zh-CN"/>
        </w:rPr>
        <w:t>类</w:t>
      </w:r>
      <w:r>
        <w:rPr>
          <w:rFonts w:hint="eastAsia" w:ascii="宋体" w:hAnsi="宋体" w:eastAsia="宋体" w:cs="宋体"/>
          <w:color w:val="auto"/>
          <w:sz w:val="24"/>
          <w:highlight w:val="none"/>
          <w:lang w:eastAsia="zh-CN"/>
        </w:rPr>
        <w:t>按照实际面积（</w:t>
      </w:r>
      <w:r>
        <w:rPr>
          <w:rFonts w:hint="eastAsia" w:ascii="宋体" w:hAnsi="宋体" w:eastAsia="宋体" w:cs="宋体"/>
          <w:color w:val="auto"/>
          <w:sz w:val="24"/>
          <w:highlight w:val="none"/>
          <w:lang w:val="en-US" w:eastAsia="zh-CN"/>
        </w:rPr>
        <w:t>指建筑面积</w:t>
      </w:r>
      <w:r>
        <w:rPr>
          <w:rFonts w:hint="eastAsia" w:ascii="宋体" w:hAnsi="宋体" w:eastAsia="宋体" w:cs="宋体"/>
          <w:color w:val="auto"/>
          <w:sz w:val="24"/>
          <w:highlight w:val="none"/>
          <w:lang w:eastAsia="zh-CN"/>
        </w:rPr>
        <w:t>）一半计费；③</w:t>
      </w:r>
      <w:r>
        <w:rPr>
          <w:rFonts w:hint="eastAsia" w:ascii="宋体" w:hAnsi="宋体" w:eastAsia="宋体" w:cs="宋体"/>
          <w:snapToGrid w:val="0"/>
          <w:color w:val="auto"/>
          <w:sz w:val="24"/>
          <w:szCs w:val="24"/>
          <w:highlight w:val="none"/>
        </w:rPr>
        <w:t>本项目总计限价</w:t>
      </w:r>
      <w:r>
        <w:rPr>
          <w:rFonts w:hint="eastAsia" w:ascii="宋体" w:hAnsi="宋体" w:eastAsia="宋体" w:cs="宋体"/>
          <w:snapToGrid w:val="0"/>
          <w:color w:val="auto"/>
          <w:sz w:val="24"/>
          <w:szCs w:val="24"/>
          <w:highlight w:val="none"/>
          <w:lang w:val="en-US" w:eastAsia="zh-CN"/>
        </w:rPr>
        <w:t>25</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万元（即</w:t>
      </w:r>
      <w:r>
        <w:rPr>
          <w:rFonts w:hint="eastAsia" w:ascii="宋体" w:hAnsi="宋体" w:eastAsia="宋体" w:cs="宋体"/>
          <w:snapToGrid w:val="0"/>
          <w:color w:val="auto"/>
          <w:sz w:val="24"/>
          <w:szCs w:val="24"/>
          <w:highlight w:val="none"/>
          <w:lang w:val="en-US" w:eastAsia="zh-CN"/>
        </w:rPr>
        <w:t>项目该标项预算</w:t>
      </w:r>
      <w:r>
        <w:rPr>
          <w:rFonts w:hint="eastAsia" w:ascii="宋体" w:hAnsi="宋体" w:eastAsia="宋体" w:cs="宋体"/>
          <w:snapToGrid w:val="0"/>
          <w:color w:val="auto"/>
          <w:sz w:val="24"/>
          <w:szCs w:val="24"/>
          <w:highlight w:val="none"/>
        </w:rPr>
        <w:t>），乙方有义务提醒甲方项目总价的实时统计情况，以免工作量超限价。若因乙方疏忽造成总价超过</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u w:val="single"/>
          <w:lang w:val="en-US" w:eastAsia="zh-CN"/>
        </w:rPr>
        <w:t>25</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万元的，多余费用由乙方自行承担。</w:t>
      </w: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第三条 服务期限</w:t>
      </w:r>
    </w:p>
    <w:p>
      <w:pPr>
        <w:adjustRightInd w:val="0"/>
        <w:snapToGrid w:val="0"/>
        <w:spacing w:line="360" w:lineRule="auto"/>
        <w:ind w:firstLine="480" w:firstLineChars="200"/>
        <w:rPr>
          <w:rFonts w:hint="eastAsia" w:ascii="宋体" w:hAnsi="宋体" w:eastAsia="宋体" w:cs="宋体"/>
          <w:strike/>
          <w:color w:val="auto"/>
          <w:sz w:val="24"/>
          <w:szCs w:val="24"/>
          <w:highlight w:val="none"/>
          <w:u w:val="single"/>
          <w:lang w:val="en-US" w:eastAsia="zh-CN"/>
        </w:rPr>
      </w:pPr>
      <w:r>
        <w:rPr>
          <w:rFonts w:hint="eastAsia" w:ascii="宋体" w:hAnsi="宋体" w:eastAsia="宋体" w:cs="宋体"/>
          <w:color w:val="auto"/>
          <w:sz w:val="24"/>
          <w:szCs w:val="24"/>
          <w:highlight w:val="none"/>
          <w:u w:val="single"/>
        </w:rPr>
        <w:t>签订合同之日起至      年   月   日止</w:t>
      </w:r>
      <w:r>
        <w:rPr>
          <w:rFonts w:hint="eastAsia" w:ascii="宋体" w:hAnsi="宋体" w:eastAsia="宋体" w:cs="宋体"/>
          <w:color w:val="auto"/>
          <w:sz w:val="24"/>
          <w:szCs w:val="24"/>
          <w:highlight w:val="none"/>
          <w:u w:val="single"/>
          <w:lang w:eastAsia="zh-CN"/>
        </w:rPr>
        <w:t>（签订合同之日起一年），</w:t>
      </w:r>
      <w:r>
        <w:rPr>
          <w:rFonts w:hint="eastAsia" w:ascii="宋体" w:hAnsi="宋体" w:eastAsia="宋体" w:cs="宋体"/>
          <w:color w:val="auto"/>
          <w:sz w:val="24"/>
          <w:szCs w:val="24"/>
          <w:highlight w:val="none"/>
          <w:u w:val="single"/>
          <w:lang w:val="en-US" w:eastAsia="zh-CN"/>
        </w:rPr>
        <w:t>具体时间按甲方要求。</w:t>
      </w: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第四条 服务内容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1．技术服务的目标：</w:t>
      </w:r>
      <w:r>
        <w:rPr>
          <w:rFonts w:hint="eastAsia" w:ascii="宋体" w:hAnsi="宋体" w:eastAsia="宋体" w:cs="宋体"/>
          <w:color w:val="auto"/>
          <w:sz w:val="24"/>
          <w:szCs w:val="24"/>
          <w:highlight w:val="none"/>
          <w:u w:val="single"/>
        </w:rPr>
        <w:t>　通过适合或先进的试验仪器设备检测获得相关的数据结果，判断工程中使用的材料、成品和半成品及实体质量等是否达到标准或设计要求。</w:t>
      </w:r>
      <w:r>
        <w:rPr>
          <w:rFonts w:hint="eastAsia" w:ascii="宋体" w:hAnsi="宋体" w:eastAsia="宋体" w:cs="宋体"/>
          <w:color w:val="auto"/>
          <w:sz w:val="24"/>
          <w:szCs w:val="24"/>
          <w:highlight w:val="none"/>
          <w:u w:val="single"/>
          <w:lang w:val="en-US" w:eastAsia="zh-CN"/>
        </w:rPr>
        <w:t>详见</w:t>
      </w:r>
      <w:r>
        <w:rPr>
          <w:rFonts w:hint="eastAsia" w:ascii="宋体" w:hAnsi="宋体" w:eastAsia="宋体" w:cs="宋体"/>
          <w:color w:val="auto"/>
          <w:sz w:val="24"/>
          <w:szCs w:val="24"/>
          <w:highlight w:val="none"/>
          <w:u w:val="single"/>
        </w:rPr>
        <w:t>采购文件</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2．技术服务的内容：</w:t>
      </w:r>
      <w:r>
        <w:rPr>
          <w:rFonts w:hint="eastAsia" w:ascii="宋体" w:hAnsi="宋体" w:eastAsia="宋体" w:cs="宋体"/>
          <w:color w:val="auto"/>
          <w:sz w:val="24"/>
          <w:szCs w:val="24"/>
          <w:highlight w:val="none"/>
          <w:u w:val="single"/>
        </w:rPr>
        <w:t>　乙方根据甲方提供的材料、成品和半成品或甲方委托的现场取样和检测等要求，按照国家和行业规范进行试验，获取相关的指标</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详见</w:t>
      </w:r>
      <w:r>
        <w:rPr>
          <w:rFonts w:hint="eastAsia" w:ascii="宋体" w:hAnsi="宋体" w:eastAsia="宋体" w:cs="宋体"/>
          <w:color w:val="auto"/>
          <w:sz w:val="24"/>
          <w:szCs w:val="24"/>
          <w:highlight w:val="none"/>
          <w:u w:val="single"/>
        </w:rPr>
        <w:t>采购文件。</w:t>
      </w: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第五条 服务要求</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技术服务的方式：</w:t>
      </w:r>
      <w:r>
        <w:rPr>
          <w:rFonts w:hint="eastAsia" w:ascii="宋体" w:hAnsi="宋体" w:eastAsia="宋体" w:cs="宋体"/>
          <w:color w:val="auto"/>
          <w:sz w:val="24"/>
          <w:szCs w:val="24"/>
          <w:highlight w:val="none"/>
          <w:u w:val="single"/>
        </w:rPr>
        <w:t>　室内、外试验和室内计算分析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技术服务进度：</w:t>
      </w:r>
      <w:r>
        <w:rPr>
          <w:rFonts w:hint="eastAsia" w:ascii="宋体" w:hAnsi="宋体" w:eastAsia="宋体" w:cs="宋体"/>
          <w:color w:val="auto"/>
          <w:sz w:val="24"/>
          <w:szCs w:val="24"/>
          <w:highlight w:val="none"/>
          <w:u w:val="single"/>
        </w:rPr>
        <w:t>　根据甲方工作要求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 技术服务质量要求：</w:t>
      </w:r>
      <w:r>
        <w:rPr>
          <w:rFonts w:hint="eastAsia" w:ascii="宋体" w:hAnsi="宋体" w:eastAsia="宋体" w:cs="宋体"/>
          <w:snapToGrid w:val="0"/>
          <w:color w:val="auto"/>
          <w:kern w:val="0"/>
          <w:sz w:val="24"/>
          <w:szCs w:val="24"/>
          <w:highlight w:val="none"/>
          <w:u w:val="single"/>
        </w:rPr>
        <w:t>　按相关技术标准　　</w:t>
      </w:r>
      <w:r>
        <w:rPr>
          <w:rFonts w:hint="eastAsia" w:ascii="宋体" w:hAnsi="宋体" w:eastAsia="宋体" w:cs="宋体"/>
          <w:snapToGrid w:val="0"/>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 xml:space="preserve">4. </w:t>
      </w:r>
      <w:r>
        <w:rPr>
          <w:rFonts w:hint="eastAsia" w:ascii="宋体" w:hAnsi="宋体" w:eastAsia="宋体" w:cs="宋体"/>
          <w:color w:val="auto"/>
          <w:sz w:val="24"/>
          <w:szCs w:val="24"/>
          <w:highlight w:val="none"/>
        </w:rPr>
        <w:t>其它要求：</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b/>
          <w:color w:val="auto"/>
          <w:sz w:val="24"/>
          <w:szCs w:val="24"/>
          <w:highlight w:val="none"/>
          <w:u w:val="single"/>
        </w:rPr>
        <w:t>乙方有义务配合甲方完成市级及以上行政主管部门和监督管理部门组织的工程质量专项检查工作；</w:t>
      </w:r>
    </w:p>
    <w:p>
      <w:pPr>
        <w:adjustRightInd w:val="0"/>
        <w:snapToGrid w:val="0"/>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u w:val="single"/>
        </w:rPr>
        <w:t>乙方有义务根据甲方要求对完成的检测项目定期进行工作总结；对检测工作存在的问题进行分析并提出改进的合理化建议。</w:t>
      </w:r>
    </w:p>
    <w:p>
      <w:pPr>
        <w:adjustRightInd w:val="0"/>
        <w:snapToGrid w:val="0"/>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（3）乙方对安全、环保工作应负有责任。</w:t>
      </w: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第六条 检测报告的交付</w:t>
      </w:r>
    </w:p>
    <w:p>
      <w:pPr>
        <w:numPr>
          <w:ilvl w:val="0"/>
          <w:numId w:val="2"/>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乙方应在接到建筑面积大于10万方以上任务单（含任务告知）后1个工作日内开展消防验收第三方服务检测，3个工作日内完成现场检测检查工作，现场检测检查完成后的2个工作日内（含）出具检测报告。乙方应在接到建筑面积小于10万方（含10万方）以下任务单（含任务告知）后1个工作日内开展消防验收第三方服务检测，2个工作日内完成现场检测检查工作，现场检测检查完成后的1个工作日内（含）出具检测报告</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乙方交付检测报告及养护手册一式</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份，并对其准确性、真实性和可靠性负责。</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（二）双方约定按照下列第</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种方式交付相关成果。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1．甲方上门提取检测报告。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2．乙方送检测报告给甲方。</w:t>
      </w: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第七条 履约保证金</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eastAsia="zh-CN"/>
        </w:rPr>
        <w:t>无</w:t>
      </w:r>
      <w:r>
        <w:rPr>
          <w:rFonts w:hint="eastAsia" w:ascii="宋体" w:hAnsi="宋体" w:eastAsia="宋体" w:cs="宋体"/>
          <w:color w:val="auto"/>
          <w:sz w:val="24"/>
          <w:szCs w:val="24"/>
          <w:highlight w:val="none"/>
          <w:lang w:val="zh-CN"/>
        </w:rPr>
        <w:t>。</w:t>
      </w: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第八条 合同款的支付</w:t>
      </w:r>
    </w:p>
    <w:p>
      <w:pPr>
        <w:widowControl/>
        <w:shd w:val="clear" w:color="auto" w:fill="FFFFFF"/>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1.双方同意按照下列计算方式核算检测费用：按检测项目单价和实际检测数量计算总检测费用。</w:t>
      </w:r>
    </w:p>
    <w:p>
      <w:pPr>
        <w:widowControl/>
        <w:shd w:val="clear" w:color="auto" w:fill="FFFFFF"/>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2.双方同意按照下列方式支付检测费用：</w:t>
      </w:r>
    </w:p>
    <w:p>
      <w:pPr>
        <w:pStyle w:val="2"/>
        <w:adjustRightInd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合同生效以及具备实施条件后</w:t>
      </w:r>
      <w:r>
        <w:rPr>
          <w:rFonts w:hint="eastAsia" w:ascii="宋体" w:hAnsi="宋体" w:eastAsia="宋体" w:cs="宋体"/>
          <w:color w:val="auto"/>
          <w:sz w:val="24"/>
          <w:highlight w:val="none"/>
          <w:lang w:val="en-US" w:eastAsia="zh-CN"/>
        </w:rPr>
        <w:t>5个工作日内</w:t>
      </w:r>
      <w:r>
        <w:rPr>
          <w:rFonts w:hint="eastAsia" w:ascii="宋体" w:hAnsi="宋体" w:eastAsia="宋体" w:cs="宋体"/>
          <w:color w:val="auto"/>
          <w:sz w:val="24"/>
          <w:highlight w:val="none"/>
        </w:rPr>
        <w:t>，甲方向乙方支付</w:t>
      </w:r>
      <w:r>
        <w:rPr>
          <w:rFonts w:hint="eastAsia" w:ascii="宋体" w:hAnsi="宋体" w:eastAsia="宋体" w:cs="宋体"/>
          <w:color w:val="auto"/>
          <w:sz w:val="24"/>
          <w:highlight w:val="none"/>
          <w:lang w:val="en-US" w:eastAsia="zh-CN"/>
        </w:rPr>
        <w:t>预算</w:t>
      </w:r>
      <w:r>
        <w:rPr>
          <w:rFonts w:hint="eastAsia" w:ascii="宋体" w:hAnsi="宋体" w:eastAsia="宋体" w:cs="宋体"/>
          <w:color w:val="auto"/>
          <w:sz w:val="24"/>
          <w:highlight w:val="none"/>
        </w:rPr>
        <w:t>总额的</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0%作为预付款。（在签订合同时，乙方明确表示无需预付款或者主动要求降低预付款比例的，可不适用该规定）</w:t>
      </w:r>
    </w:p>
    <w:p>
      <w:pPr>
        <w:pStyle w:val="2"/>
        <w:adjustRightInd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项目过程中，甲方</w:t>
      </w:r>
      <w:r>
        <w:rPr>
          <w:rFonts w:hint="eastAsia" w:ascii="宋体" w:hAnsi="宋体" w:eastAsia="宋体" w:cs="宋体"/>
          <w:color w:val="auto"/>
          <w:sz w:val="24"/>
          <w:highlight w:val="none"/>
        </w:rPr>
        <w:t>凭</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开具的正规、等额、合法、有效的发票，在每个季度次月的15日前支付上一季度的服务费用（按季度支付）。</w:t>
      </w:r>
    </w:p>
    <w:p>
      <w:pPr>
        <w:pStyle w:val="2"/>
        <w:adjustRightInd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甲方如支付了预付款的，支付进度款时需扣除预付款金额。</w:t>
      </w:r>
    </w:p>
    <w:p>
      <w:pPr>
        <w:widowControl/>
        <w:shd w:val="clear" w:color="auto" w:fill="FFFFFF"/>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val="en-US" w:eastAsia="zh-CN"/>
        </w:rPr>
        <w:t>（4）特别说明：如因财政支付原因付款时间延后的，按甲方要求执行。</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3.乙方申请付款时，需提供工作量清单，并在每个指标栏后附上该指标所对应的法定文件条目号，便于审核。甲方对检测项目费用有异议的，应及时与乙方进行协商，但不得拖延其他无异议项目检测费用的支付。</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snapToGrid w:val="0"/>
          <w:color w:val="auto"/>
          <w:kern w:val="0"/>
          <w:sz w:val="24"/>
          <w:szCs w:val="24"/>
          <w:highlight w:val="none"/>
        </w:rPr>
        <w:t xml:space="preserve"> 最终支付单价按照中标费率测算综合单价，在执行过程中不变。如乙方费用超标的，乙方自行承担。</w:t>
      </w: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第九条 保密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1．保密内容（包括技术信息和经营信息）：</w:t>
      </w:r>
      <w:r>
        <w:rPr>
          <w:rFonts w:hint="eastAsia" w:ascii="宋体" w:hAnsi="宋体" w:eastAsia="宋体" w:cs="宋体"/>
          <w:color w:val="auto"/>
          <w:sz w:val="24"/>
          <w:szCs w:val="24"/>
          <w:highlight w:val="none"/>
          <w:u w:val="single"/>
        </w:rPr>
        <w:t>　与项目相关的所有试验资料与结果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2．涉密人员范围：</w:t>
      </w:r>
      <w:r>
        <w:rPr>
          <w:rFonts w:hint="eastAsia" w:ascii="宋体" w:hAnsi="宋体" w:eastAsia="宋体" w:cs="宋体"/>
          <w:color w:val="auto"/>
          <w:sz w:val="24"/>
          <w:szCs w:val="24"/>
          <w:highlight w:val="none"/>
          <w:u w:val="single"/>
        </w:rPr>
        <w:t xml:space="preserve">　项目组全体人员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3．保密期限：</w:t>
      </w:r>
      <w:r>
        <w:rPr>
          <w:rFonts w:hint="eastAsia" w:ascii="宋体" w:hAnsi="宋体" w:eastAsia="宋体" w:cs="宋体"/>
          <w:color w:val="auto"/>
          <w:sz w:val="24"/>
          <w:szCs w:val="24"/>
          <w:highlight w:val="none"/>
          <w:u w:val="single"/>
        </w:rPr>
        <w:t>　依据《浙江省检验机构管理条例》的有关规定执行　</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4．泄密责任：</w:t>
      </w:r>
      <w:r>
        <w:rPr>
          <w:rFonts w:hint="eastAsia" w:ascii="宋体" w:hAnsi="宋体" w:eastAsia="宋体" w:cs="宋体"/>
          <w:color w:val="auto"/>
          <w:sz w:val="24"/>
          <w:szCs w:val="24"/>
          <w:highlight w:val="none"/>
          <w:u w:val="single"/>
        </w:rPr>
        <w:t>　按泄密导致的损失协商解决　</w:t>
      </w:r>
      <w:r>
        <w:rPr>
          <w:rFonts w:hint="eastAsia" w:ascii="宋体" w:hAnsi="宋体" w:eastAsia="宋体" w:cs="宋体"/>
          <w:color w:val="auto"/>
          <w:sz w:val="24"/>
          <w:szCs w:val="24"/>
          <w:highlight w:val="none"/>
        </w:rPr>
        <w:t>。</w:t>
      </w: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第十条  服务质量</w:t>
      </w:r>
    </w:p>
    <w:p>
      <w:pPr>
        <w:adjustRightInd w:val="0"/>
        <w:snapToGrid w:val="0"/>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1.服务成果符合要求，甲方认可的，甲方有责任及时支付服务款项。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2．甲方应当负责与本工程检测业务有关的第三人的协调，为乙方提供必要的外部工作条件。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乙方应保证本合同范围内使用成果不受第三方提出的关于专利权、版权、设计、其他知识产权或使用许可的法律纠纷，倘若发生有关的诉讼，完全由卖方应诉并承担法律责任。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．乙方提供的成果不客观、不全面、不准确等情况，应负责无偿予以重测或采取补救措施，以达到甲方质量要求。</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乙方应认真仔细勘察现场。若未能准确及时发现病害，导致无法根据检测结论及意见实施整治的，该责任由乙方承担，应扣除该检测项目的检测费用，并承担等额的赔偿费用。</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乙方应</w:t>
      </w:r>
      <w:r>
        <w:rPr>
          <w:rFonts w:hint="eastAsia" w:ascii="宋体" w:hAnsi="宋体" w:eastAsia="宋体" w:cs="宋体"/>
          <w:color w:val="auto"/>
          <w:sz w:val="24"/>
          <w:szCs w:val="24"/>
          <w:highlight w:val="none"/>
        </w:rPr>
        <w:t>根据现场特点，按照国家相关规范规定，加强现场安全管理、文明施工</w:t>
      </w:r>
      <w:r>
        <w:rPr>
          <w:rFonts w:hint="eastAsia" w:ascii="宋体" w:hAnsi="宋体" w:eastAsia="宋体" w:cs="宋体"/>
          <w:color w:val="auto"/>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．本项目不得转包。</w:t>
      </w: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第十一条 其他约定</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在本合同有效期内，甲方利用乙方提交的技术服务工作成果所完成的新的技术成果，归</w:t>
      </w:r>
      <w:r>
        <w:rPr>
          <w:rFonts w:hint="eastAsia" w:ascii="宋体" w:hAnsi="宋体" w:eastAsia="宋体" w:cs="宋体"/>
          <w:color w:val="auto"/>
          <w:sz w:val="24"/>
          <w:szCs w:val="24"/>
          <w:highlight w:val="none"/>
          <w:u w:val="single"/>
        </w:rPr>
        <w:t>　甲　</w:t>
      </w:r>
      <w:r>
        <w:rPr>
          <w:rFonts w:hint="eastAsia" w:ascii="宋体" w:hAnsi="宋体" w:eastAsia="宋体" w:cs="宋体"/>
          <w:color w:val="auto"/>
          <w:sz w:val="24"/>
          <w:szCs w:val="24"/>
          <w:highlight w:val="none"/>
        </w:rPr>
        <w:t>方所有。</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在本合同有效期内，乙方利用甲方提供的技术资料和工作条件所完成的新的技术成果，归</w:t>
      </w:r>
      <w:r>
        <w:rPr>
          <w:rFonts w:hint="eastAsia" w:ascii="宋体" w:hAnsi="宋体" w:eastAsia="宋体" w:cs="宋体"/>
          <w:color w:val="auto"/>
          <w:sz w:val="24"/>
          <w:szCs w:val="24"/>
          <w:highlight w:val="none"/>
          <w:u w:val="single"/>
        </w:rPr>
        <w:t xml:space="preserve">　甲、乙双 </w:t>
      </w:r>
      <w:r>
        <w:rPr>
          <w:rFonts w:hint="eastAsia" w:ascii="宋体" w:hAnsi="宋体" w:eastAsia="宋体" w:cs="宋体"/>
          <w:color w:val="auto"/>
          <w:sz w:val="24"/>
          <w:szCs w:val="24"/>
          <w:highlight w:val="none"/>
        </w:rPr>
        <w:t>方所有。</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双方确定，在本合同有效期内，甲方指定</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为甲方项目联系人，乙方指定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为乙方项目联系人。项目联系人承担以下责任：</w:t>
      </w:r>
      <w:r>
        <w:rPr>
          <w:rFonts w:hint="eastAsia" w:ascii="宋体" w:hAnsi="宋体" w:eastAsia="宋体" w:cs="宋体"/>
          <w:color w:val="auto"/>
          <w:sz w:val="24"/>
          <w:szCs w:val="24"/>
          <w:highlight w:val="none"/>
          <w:u w:val="single"/>
        </w:rPr>
        <w:t>确保在接到甲方通知后乙方及时安排检测工作，检测完毕后及时向甲方提交检测报告</w:t>
      </w:r>
      <w:r>
        <w:rPr>
          <w:rFonts w:hint="eastAsia" w:ascii="宋体" w:hAnsi="宋体" w:eastAsia="宋体" w:cs="宋体"/>
          <w:color w:val="auto"/>
          <w:sz w:val="24"/>
          <w:szCs w:val="24"/>
          <w:highlight w:val="none"/>
        </w:rPr>
        <w:t>。一方变更项目联系人的，应当及时以书面形式通知另一方。未及时通知并影响本合同履行或造成损失的，应承担相应的责任。</w:t>
      </w:r>
    </w:p>
    <w:p>
      <w:pPr>
        <w:widowControl/>
        <w:shd w:val="clear" w:color="auto" w:fill="FFFFFF"/>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4．务必重视安全环保措施，全权负责安全责任、环保责任。</w:t>
      </w:r>
    </w:p>
    <w:p>
      <w:pPr>
        <w:widowControl/>
        <w:shd w:val="clear" w:color="auto" w:fill="FFFFFF"/>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5．同履行过程中发生的一切事故产生的任何费用由乙方全部承担，若造成甲方经济损失的，甲方有权向乙方追讨，相关费用直接从合同扣除，不足费用由乙方全额赔偿。</w:t>
      </w: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第十二条 对检测结论异议的处理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甲方对检测结论有异议的，甲方有权利直接委托经双方共同认可的检测机构复检。复检结论与原检测结论相同，由甲方支付复检费用；反之，则由乙方承担复检费用。</w:t>
      </w: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第十三条 违约责任</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.日常考核违约相关处理如下：</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color w:val="auto"/>
          <w:sz w:val="24"/>
          <w:szCs w:val="24"/>
          <w:highlight w:val="none"/>
        </w:rPr>
        <w:t>由于乙方的原因，未能按规定的日期提交检测成果时，应向甲方赔偿逾期损失费，逾期损失费按每天单个检测项目总费用的20%计算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直至整改完毕（或该单个项目检测费用扣完为止）</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（2）未经甲方同意，乙方自行更换项目组人员的，</w:t>
      </w:r>
      <w:r>
        <w:rPr>
          <w:rFonts w:hint="eastAsia" w:ascii="宋体" w:hAnsi="宋体" w:eastAsia="宋体" w:cs="宋体"/>
          <w:color w:val="auto"/>
          <w:sz w:val="24"/>
          <w:szCs w:val="24"/>
          <w:highlight w:val="none"/>
        </w:rPr>
        <w:t>按每天单个检测项目总费用的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0%计算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直至整改完毕（或该单个项目检测费用扣完为止）。</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rPr>
        <w:t xml:space="preserve"> 因成果质量、工期等不符合甲方要求造成不良后果时，乙方应对因此造成的直接损失负赔偿责任，并承担相应的法律责任（包括第三方责任）。</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3.因乙方原因</w:t>
      </w:r>
      <w:r>
        <w:rPr>
          <w:rFonts w:hint="eastAsia" w:ascii="宋体" w:hAnsi="宋体" w:eastAsia="宋体" w:cs="宋体"/>
          <w:color w:val="auto"/>
          <w:sz w:val="24"/>
          <w:szCs w:val="24"/>
          <w:highlight w:val="none"/>
        </w:rPr>
        <w:t>造成一切不良后果或人身伤害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给甲方</w:t>
      </w:r>
      <w:r>
        <w:rPr>
          <w:rFonts w:hint="eastAsia" w:ascii="宋体" w:hAnsi="宋体" w:eastAsia="宋体" w:cs="宋体"/>
          <w:color w:val="auto"/>
          <w:sz w:val="24"/>
          <w:szCs w:val="24"/>
          <w:highlight w:val="none"/>
        </w:rPr>
        <w:t>造成的损失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乙方负责赔偿。</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．除不可抗力外，出现下列情形，致使本合同的履行成为不必要或不可能的，甲方有权根据招标文件和相应的法律法规要求对乙方进行处罚，有权提前终止合同：</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（1）在委托检测期间，乙方发生检测质量责任事故造成严重损失的</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甲方</w:t>
      </w:r>
      <w:r>
        <w:rPr>
          <w:rFonts w:hint="eastAsia" w:ascii="宋体" w:hAnsi="宋体" w:eastAsia="宋体" w:cs="宋体"/>
          <w:snapToGrid w:val="0"/>
          <w:color w:val="auto"/>
          <w:kern w:val="0"/>
          <w:sz w:val="24"/>
          <w:szCs w:val="24"/>
          <w:highlight w:val="none"/>
          <w:lang w:eastAsia="zh-CN"/>
        </w:rPr>
        <w:t>有权终止合同</w:t>
      </w:r>
      <w:r>
        <w:rPr>
          <w:rFonts w:hint="eastAsia" w:ascii="宋体" w:hAnsi="宋体" w:eastAsia="宋体" w:cs="宋体"/>
          <w:snapToGrid w:val="0"/>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（2）在委托检测期间，乙方受到市级及以上的建设行政主管部门或监督管理部门通报批评、或因检测单位的过失而被媒体曝光或行政处罚等处理的</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甲方</w:t>
      </w:r>
      <w:r>
        <w:rPr>
          <w:rFonts w:hint="eastAsia" w:ascii="宋体" w:hAnsi="宋体" w:eastAsia="宋体" w:cs="宋体"/>
          <w:snapToGrid w:val="0"/>
          <w:color w:val="auto"/>
          <w:kern w:val="0"/>
          <w:sz w:val="24"/>
          <w:szCs w:val="24"/>
          <w:highlight w:val="none"/>
          <w:lang w:eastAsia="zh-CN"/>
        </w:rPr>
        <w:t>有权终止合同</w:t>
      </w:r>
      <w:r>
        <w:rPr>
          <w:rFonts w:hint="eastAsia" w:ascii="宋体" w:hAnsi="宋体" w:eastAsia="宋体" w:cs="宋体"/>
          <w:snapToGrid w:val="0"/>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（3）在委托检测期间，乙方被投诉存在出具虚假报告等违法违规行为，经调查属实的</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甲方</w:t>
      </w:r>
      <w:r>
        <w:rPr>
          <w:rFonts w:hint="eastAsia" w:ascii="宋体" w:hAnsi="宋体" w:eastAsia="宋体" w:cs="宋体"/>
          <w:snapToGrid w:val="0"/>
          <w:color w:val="auto"/>
          <w:kern w:val="0"/>
          <w:sz w:val="24"/>
          <w:szCs w:val="24"/>
          <w:highlight w:val="none"/>
          <w:lang w:eastAsia="zh-CN"/>
        </w:rPr>
        <w:t>有权终止合同</w:t>
      </w:r>
      <w:r>
        <w:rPr>
          <w:rFonts w:hint="eastAsia" w:ascii="宋体" w:hAnsi="宋体" w:eastAsia="宋体" w:cs="宋体"/>
          <w:snapToGrid w:val="0"/>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（4）在委托监督检测期间乙方检测人员有存在吃、拿、卡、要等违反廉政行为，经调查属实的</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甲方</w:t>
      </w:r>
      <w:r>
        <w:rPr>
          <w:rFonts w:hint="eastAsia" w:ascii="宋体" w:hAnsi="宋体" w:eastAsia="宋体" w:cs="宋体"/>
          <w:snapToGrid w:val="0"/>
          <w:color w:val="auto"/>
          <w:kern w:val="0"/>
          <w:sz w:val="24"/>
          <w:szCs w:val="24"/>
          <w:highlight w:val="none"/>
          <w:lang w:eastAsia="zh-CN"/>
        </w:rPr>
        <w:t>有权终止合同；</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乙方负责项目</w:t>
      </w:r>
      <w:r>
        <w:rPr>
          <w:rFonts w:hint="eastAsia" w:ascii="宋体" w:hAnsi="宋体" w:eastAsia="宋体" w:cs="宋体"/>
          <w:snapToGrid w:val="0"/>
          <w:color w:val="auto"/>
          <w:kern w:val="0"/>
          <w:sz w:val="24"/>
          <w:szCs w:val="24"/>
          <w:highlight w:val="none"/>
          <w:lang w:eastAsia="zh-CN"/>
        </w:rPr>
        <w:t>所有实施人员、</w:t>
      </w:r>
      <w:r>
        <w:rPr>
          <w:rFonts w:hint="eastAsia" w:ascii="宋体" w:hAnsi="宋体" w:eastAsia="宋体" w:cs="宋体"/>
          <w:snapToGrid w:val="0"/>
          <w:color w:val="auto"/>
          <w:kern w:val="0"/>
          <w:sz w:val="24"/>
          <w:szCs w:val="24"/>
          <w:highlight w:val="none"/>
          <w:lang w:val="en-US" w:eastAsia="zh-CN"/>
        </w:rPr>
        <w:t>检测对象的人身/财产安全</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并对因自身因素造成的</w:t>
      </w:r>
      <w:r>
        <w:rPr>
          <w:rFonts w:hint="eastAsia" w:ascii="宋体" w:hAnsi="宋体" w:eastAsia="宋体" w:cs="宋体"/>
          <w:snapToGrid w:val="0"/>
          <w:color w:val="auto"/>
          <w:kern w:val="0"/>
          <w:sz w:val="24"/>
          <w:szCs w:val="24"/>
          <w:highlight w:val="none"/>
          <w:lang w:eastAsia="zh-CN"/>
        </w:rPr>
        <w:t>人身</w:t>
      </w:r>
      <w:r>
        <w:rPr>
          <w:rFonts w:hint="eastAsia" w:ascii="宋体" w:hAnsi="宋体" w:eastAsia="宋体" w:cs="宋体"/>
          <w:snapToGrid w:val="0"/>
          <w:color w:val="auto"/>
          <w:kern w:val="0"/>
          <w:sz w:val="24"/>
          <w:szCs w:val="24"/>
          <w:highlight w:val="none"/>
          <w:lang w:val="en-US" w:eastAsia="zh-CN"/>
        </w:rPr>
        <w:t>/财产</w:t>
      </w:r>
      <w:r>
        <w:rPr>
          <w:rFonts w:hint="eastAsia" w:ascii="宋体" w:hAnsi="宋体" w:eastAsia="宋体" w:cs="宋体"/>
          <w:snapToGrid w:val="0"/>
          <w:color w:val="auto"/>
          <w:kern w:val="0"/>
          <w:sz w:val="24"/>
          <w:szCs w:val="24"/>
          <w:highlight w:val="none"/>
          <w:lang w:eastAsia="zh-CN"/>
        </w:rPr>
        <w:t>伤害事故承担全部责任。如</w:t>
      </w:r>
      <w:r>
        <w:rPr>
          <w:rFonts w:hint="eastAsia" w:ascii="宋体" w:hAnsi="宋体" w:eastAsia="宋体" w:cs="宋体"/>
          <w:snapToGrid w:val="0"/>
          <w:color w:val="auto"/>
          <w:kern w:val="0"/>
          <w:sz w:val="24"/>
          <w:szCs w:val="24"/>
          <w:highlight w:val="none"/>
          <w:lang w:val="en-US" w:eastAsia="zh-CN"/>
        </w:rPr>
        <w:t>乙方</w:t>
      </w:r>
      <w:r>
        <w:rPr>
          <w:rFonts w:hint="eastAsia" w:ascii="宋体" w:hAnsi="宋体" w:eastAsia="宋体" w:cs="宋体"/>
          <w:snapToGrid w:val="0"/>
          <w:color w:val="auto"/>
          <w:kern w:val="0"/>
          <w:sz w:val="24"/>
          <w:szCs w:val="24"/>
          <w:highlight w:val="none"/>
          <w:lang w:eastAsia="zh-CN"/>
        </w:rPr>
        <w:t>在</w:t>
      </w:r>
      <w:r>
        <w:rPr>
          <w:rFonts w:hint="eastAsia" w:ascii="宋体" w:hAnsi="宋体" w:eastAsia="宋体" w:cs="宋体"/>
          <w:snapToGrid w:val="0"/>
          <w:color w:val="auto"/>
          <w:kern w:val="0"/>
          <w:sz w:val="24"/>
          <w:szCs w:val="24"/>
          <w:highlight w:val="none"/>
          <w:lang w:val="en-US" w:eastAsia="zh-CN"/>
        </w:rPr>
        <w:t>项目</w:t>
      </w:r>
      <w:r>
        <w:rPr>
          <w:rFonts w:hint="eastAsia" w:ascii="宋体" w:hAnsi="宋体" w:eastAsia="宋体" w:cs="宋体"/>
          <w:snapToGrid w:val="0"/>
          <w:color w:val="auto"/>
          <w:kern w:val="0"/>
          <w:sz w:val="24"/>
          <w:szCs w:val="24"/>
          <w:highlight w:val="none"/>
          <w:lang w:eastAsia="zh-CN"/>
        </w:rPr>
        <w:t>过程中出现重大人身</w:t>
      </w:r>
      <w:r>
        <w:rPr>
          <w:rFonts w:hint="eastAsia" w:ascii="宋体" w:hAnsi="宋体" w:eastAsia="宋体" w:cs="宋体"/>
          <w:snapToGrid w:val="0"/>
          <w:color w:val="auto"/>
          <w:kern w:val="0"/>
          <w:sz w:val="24"/>
          <w:szCs w:val="24"/>
          <w:highlight w:val="none"/>
          <w:lang w:val="en-US" w:eastAsia="zh-CN"/>
        </w:rPr>
        <w:t>/财产</w:t>
      </w:r>
      <w:r>
        <w:rPr>
          <w:rFonts w:hint="eastAsia" w:ascii="宋体" w:hAnsi="宋体" w:eastAsia="宋体" w:cs="宋体"/>
          <w:snapToGrid w:val="0"/>
          <w:color w:val="auto"/>
          <w:kern w:val="0"/>
          <w:sz w:val="24"/>
          <w:szCs w:val="24"/>
          <w:highlight w:val="none"/>
          <w:lang w:eastAsia="zh-CN"/>
        </w:rPr>
        <w:t>伤害事故</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甲方</w:t>
      </w:r>
      <w:r>
        <w:rPr>
          <w:rFonts w:hint="eastAsia" w:ascii="宋体" w:hAnsi="宋体" w:eastAsia="宋体" w:cs="宋体"/>
          <w:snapToGrid w:val="0"/>
          <w:color w:val="auto"/>
          <w:kern w:val="0"/>
          <w:sz w:val="24"/>
          <w:szCs w:val="24"/>
          <w:highlight w:val="none"/>
          <w:lang w:eastAsia="zh-CN"/>
        </w:rPr>
        <w:t>有权终止合同；</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甲方多次要求乙方整改，乙方屡次整改不到位的，甲方</w:t>
      </w:r>
      <w:r>
        <w:rPr>
          <w:rFonts w:hint="eastAsia" w:ascii="宋体" w:hAnsi="宋体" w:eastAsia="宋体" w:cs="宋体"/>
          <w:snapToGrid w:val="0"/>
          <w:color w:val="auto"/>
          <w:kern w:val="0"/>
          <w:sz w:val="24"/>
          <w:szCs w:val="24"/>
          <w:highlight w:val="none"/>
          <w:lang w:eastAsia="zh-CN"/>
        </w:rPr>
        <w:t>有权终止合同。</w:t>
      </w: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第十四条 不可抗力</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不可抗力是指《</w:t>
      </w:r>
      <w:r>
        <w:rPr>
          <w:rFonts w:hint="eastAsia" w:ascii="宋体" w:hAnsi="宋体" w:eastAsia="宋体" w:cs="宋体"/>
          <w:snapToGrid w:val="0"/>
          <w:color w:val="auto"/>
          <w:kern w:val="0"/>
          <w:sz w:val="24"/>
          <w:szCs w:val="24"/>
          <w:highlight w:val="none"/>
          <w:lang w:eastAsia="zh-CN"/>
        </w:rPr>
        <w:t>中华人民共和国民法典</w:t>
      </w:r>
      <w:r>
        <w:rPr>
          <w:rFonts w:hint="eastAsia" w:ascii="宋体" w:hAnsi="宋体" w:eastAsia="宋体" w:cs="宋体"/>
          <w:snapToGrid w:val="0"/>
          <w:color w:val="auto"/>
          <w:kern w:val="0"/>
          <w:sz w:val="24"/>
          <w:szCs w:val="24"/>
          <w:highlight w:val="none"/>
        </w:rPr>
        <w:t>》所列举的不可抗力。不可抗力一旦发生，证明文件由法律规定部门签署，并由甲方、乙方协商合同逾期履行和继续履行的方法，在此情况下，任何一方不能要求损失赔偿。</w:t>
      </w: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第十五条 争议解决</w:t>
      </w:r>
    </w:p>
    <w:p>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snapToGrid w:val="0"/>
          <w:color w:val="auto"/>
          <w:sz w:val="24"/>
          <w:szCs w:val="24"/>
          <w:highlight w:val="none"/>
        </w:rPr>
        <w:t>关于本合同争议，应双方友好协商解决，协商不一致，仲裁或诉讼按合同履行地原则。</w:t>
      </w:r>
    </w:p>
    <w:p>
      <w:pPr>
        <w:adjustRightInd w:val="0"/>
        <w:snapToGrid w:val="0"/>
        <w:spacing w:before="190" w:beforeLines="50" w:after="190" w:afterLines="50"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第十六条 其他</w:t>
      </w:r>
    </w:p>
    <w:p>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份，甲方执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份、乙方执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2、合同履行期内甲乙双方均不得随意变更或解除合同。合同若有未尽事宜，需经双方共同协商，订立补充合同，补充合同与本合同有同等法律效力。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rPr>
        <w:t>3、招标文件、投标文件及评标过程中形成的文字资料、询标纪要、协议书均作为本合同的组成部分，具有同等效力。</w:t>
      </w: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auto"/>
        </w:rPr>
      </w:pP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auto"/>
        </w:rPr>
      </w:pP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auto"/>
        </w:rPr>
      </w:pP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auto"/>
        </w:rPr>
      </w:pPr>
    </w:p>
    <w:p>
      <w:pPr>
        <w:pStyle w:val="2"/>
        <w:rPr>
          <w:rFonts w:hint="eastAsia" w:ascii="宋体" w:hAnsi="宋体" w:eastAsia="宋体" w:cs="宋体"/>
          <w:color w:val="auto"/>
          <w:szCs w:val="21"/>
          <w:highlight w:val="none"/>
          <w:shd w:val="clear" w:color="auto" w:fill="auto"/>
        </w:rPr>
      </w:pPr>
    </w:p>
    <w:p>
      <w:pPr>
        <w:pStyle w:val="3"/>
        <w:rPr>
          <w:rFonts w:hint="eastAsia" w:ascii="宋体" w:hAnsi="宋体" w:eastAsia="宋体" w:cs="宋体"/>
          <w:color w:val="auto"/>
          <w:szCs w:val="21"/>
          <w:highlight w:val="none"/>
          <w:shd w:val="clear" w:color="auto" w:fill="auto"/>
        </w:rPr>
      </w:pPr>
    </w:p>
    <w:p>
      <w:pPr>
        <w:rPr>
          <w:rFonts w:hint="eastAsia" w:ascii="宋体" w:hAnsi="宋体" w:eastAsia="宋体" w:cs="宋体"/>
          <w:color w:val="auto"/>
          <w:szCs w:val="21"/>
          <w:highlight w:val="none"/>
          <w:shd w:val="clear" w:color="auto" w:fill="auto"/>
        </w:rPr>
      </w:pPr>
    </w:p>
    <w:p>
      <w:pPr>
        <w:pStyle w:val="2"/>
        <w:rPr>
          <w:rFonts w:hint="eastAsia" w:ascii="宋体" w:hAnsi="宋体" w:eastAsia="宋体" w:cs="宋体"/>
          <w:color w:val="auto"/>
          <w:szCs w:val="21"/>
          <w:highlight w:val="none"/>
          <w:shd w:val="clear" w:color="auto" w:fill="auto"/>
        </w:rPr>
      </w:pPr>
    </w:p>
    <w:p>
      <w:pPr>
        <w:pStyle w:val="3"/>
        <w:rPr>
          <w:rFonts w:hint="eastAsia" w:ascii="宋体" w:hAnsi="宋体" w:eastAsia="宋体" w:cs="宋体"/>
          <w:color w:val="auto"/>
          <w:szCs w:val="21"/>
          <w:highlight w:val="none"/>
          <w:shd w:val="clear" w:color="auto" w:fill="auto"/>
        </w:rPr>
      </w:pPr>
    </w:p>
    <w:p>
      <w:pPr>
        <w:rPr>
          <w:rFonts w:hint="eastAsia" w:ascii="宋体" w:hAnsi="宋体" w:eastAsia="宋体" w:cs="宋体"/>
          <w:color w:val="auto"/>
          <w:szCs w:val="21"/>
          <w:highlight w:val="none"/>
          <w:shd w:val="clear" w:color="auto" w:fill="auto"/>
        </w:rPr>
      </w:pPr>
    </w:p>
    <w:p>
      <w:pPr>
        <w:pStyle w:val="2"/>
        <w:rPr>
          <w:rFonts w:hint="eastAsia"/>
          <w:color w:val="auto"/>
          <w:highlight w:val="none"/>
        </w:rPr>
      </w:pP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（以下无正文）</w:t>
      </w:r>
    </w:p>
    <w:p>
      <w:pPr>
        <w:adjustRightInd w:val="0"/>
        <w:snapToGrid w:val="0"/>
        <w:spacing w:line="360" w:lineRule="auto"/>
        <w:ind w:firstLine="480" w:firstLineChars="200"/>
        <w:rPr>
          <w:rFonts w:hint="eastAsia" w:ascii="宋体" w:hAnsi="宋体" w:eastAsia="宋体" w:cs="宋体"/>
          <w:b/>
          <w:i/>
          <w:color w:val="auto"/>
          <w:sz w:val="24"/>
          <w:highlight w:val="none"/>
          <w:shd w:val="clear" w:color="auto" w:fill="auto"/>
        </w:rPr>
      </w:pPr>
      <w:r>
        <w:rPr>
          <w:rFonts w:hint="eastAsia" w:ascii="宋体" w:hAnsi="宋体" w:eastAsia="宋体" w:cs="宋体"/>
          <w:b/>
          <w:i/>
          <w:color w:val="auto"/>
          <w:sz w:val="24"/>
          <w:highlight w:val="none"/>
          <w:shd w:val="clear" w:color="auto" w:fill="auto"/>
        </w:rPr>
        <w:t>（本页无正文，为本合同签署页）注：如另起签署页的，需保留该内容。</w:t>
      </w:r>
    </w:p>
    <w:p>
      <w:pPr>
        <w:adjustRightInd w:val="0"/>
        <w:snapToGri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 xml:space="preserve">  </w:t>
      </w:r>
    </w:p>
    <w:tbl>
      <w:tblPr>
        <w:tblStyle w:val="63"/>
        <w:tblW w:w="0" w:type="auto"/>
        <w:tblCellSpacing w:w="0" w:type="dxa"/>
        <w:tblInd w:w="0" w:type="dxa"/>
        <w:tblLayout w:type="fixed"/>
        <w:tblCellMar>
          <w:top w:w="0" w:type="dxa"/>
          <w:left w:w="0" w:type="dxa"/>
          <w:bottom w:w="0" w:type="dxa"/>
          <w:right w:w="0" w:type="dxa"/>
        </w:tblCellMar>
      </w:tblPr>
      <w:tblGrid>
        <w:gridCol w:w="5160"/>
        <w:gridCol w:w="3735"/>
      </w:tblGrid>
      <w:tr>
        <w:trPr>
          <w:trHeight w:val="600" w:hRule="atLeast"/>
          <w:tblCellSpacing w:w="0" w:type="dxa"/>
        </w:trPr>
        <w:tc>
          <w:tcPr>
            <w:tcW w:w="5160"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甲方（采购单位）（盖章）： </w:t>
            </w:r>
          </w:p>
        </w:tc>
        <w:tc>
          <w:tcPr>
            <w:tcW w:w="3735"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乙方（供应商）（盖章）： </w:t>
            </w:r>
          </w:p>
        </w:tc>
      </w:tr>
      <w:tr>
        <w:trPr>
          <w:trHeight w:val="705" w:hRule="atLeast"/>
          <w:tblCellSpacing w:w="0" w:type="dxa"/>
        </w:trPr>
        <w:tc>
          <w:tcPr>
            <w:tcW w:w="5160"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法定代表人：</w:t>
            </w:r>
            <w:r>
              <w:rPr>
                <w:rFonts w:hint="eastAsia" w:ascii="宋体" w:hAnsi="宋体" w:eastAsia="宋体" w:cs="宋体"/>
                <w:color w:val="auto"/>
                <w:kern w:val="0"/>
                <w:sz w:val="24"/>
                <w:highlight w:val="none"/>
                <w:shd w:val="clear" w:color="auto" w:fill="auto"/>
              </w:rPr>
              <w:br w:type="textWrapping"/>
            </w:r>
            <w:r>
              <w:rPr>
                <w:rFonts w:hint="eastAsia" w:ascii="宋体" w:hAnsi="宋体" w:eastAsia="宋体" w:cs="宋体"/>
                <w:color w:val="auto"/>
                <w:kern w:val="0"/>
                <w:sz w:val="24"/>
                <w:highlight w:val="none"/>
                <w:shd w:val="clear" w:color="auto" w:fill="auto"/>
              </w:rPr>
              <w:t xml:space="preserve">或授权委托人（签字）： </w:t>
            </w:r>
          </w:p>
        </w:tc>
        <w:tc>
          <w:tcPr>
            <w:tcW w:w="3735"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法定代表人：</w:t>
            </w:r>
            <w:r>
              <w:rPr>
                <w:rFonts w:hint="eastAsia" w:ascii="宋体" w:hAnsi="宋体" w:eastAsia="宋体" w:cs="宋体"/>
                <w:color w:val="auto"/>
                <w:kern w:val="0"/>
                <w:sz w:val="24"/>
                <w:highlight w:val="none"/>
                <w:shd w:val="clear" w:color="auto" w:fill="auto"/>
              </w:rPr>
              <w:br w:type="textWrapping"/>
            </w:r>
            <w:r>
              <w:rPr>
                <w:rFonts w:hint="eastAsia" w:ascii="宋体" w:hAnsi="宋体" w:eastAsia="宋体" w:cs="宋体"/>
                <w:color w:val="auto"/>
                <w:kern w:val="0"/>
                <w:sz w:val="24"/>
                <w:highlight w:val="none"/>
                <w:shd w:val="clear" w:color="auto" w:fill="auto"/>
              </w:rPr>
              <w:t xml:space="preserve">或授权委托人（签字）： </w:t>
            </w:r>
          </w:p>
        </w:tc>
      </w:tr>
      <w:tr>
        <w:trPr>
          <w:trHeight w:val="600" w:hRule="atLeast"/>
          <w:tblCellSpacing w:w="0" w:type="dxa"/>
        </w:trPr>
        <w:tc>
          <w:tcPr>
            <w:tcW w:w="5160"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联系人（签字）： </w:t>
            </w:r>
          </w:p>
        </w:tc>
        <w:tc>
          <w:tcPr>
            <w:tcW w:w="3735"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联系人（签字）： </w:t>
            </w:r>
          </w:p>
        </w:tc>
      </w:tr>
      <w:tr>
        <w:trPr>
          <w:trHeight w:val="600" w:hRule="atLeast"/>
          <w:tblCellSpacing w:w="0" w:type="dxa"/>
        </w:trPr>
        <w:tc>
          <w:tcPr>
            <w:tcW w:w="5160"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地址： </w:t>
            </w:r>
          </w:p>
        </w:tc>
        <w:tc>
          <w:tcPr>
            <w:tcW w:w="3735"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地址： </w:t>
            </w:r>
          </w:p>
        </w:tc>
      </w:tr>
      <w:tr>
        <w:trPr>
          <w:trHeight w:val="600" w:hRule="atLeast"/>
          <w:tblCellSpacing w:w="0" w:type="dxa"/>
        </w:trPr>
        <w:tc>
          <w:tcPr>
            <w:tcW w:w="5160"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邮编：</w:t>
            </w:r>
          </w:p>
        </w:tc>
        <w:tc>
          <w:tcPr>
            <w:tcW w:w="3735"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邮编： </w:t>
            </w:r>
          </w:p>
        </w:tc>
      </w:tr>
      <w:tr>
        <w:trPr>
          <w:trHeight w:val="600" w:hRule="atLeast"/>
          <w:tblCellSpacing w:w="0" w:type="dxa"/>
        </w:trPr>
        <w:tc>
          <w:tcPr>
            <w:tcW w:w="5160"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电话：</w:t>
            </w:r>
          </w:p>
        </w:tc>
        <w:tc>
          <w:tcPr>
            <w:tcW w:w="3735"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电话： </w:t>
            </w:r>
          </w:p>
        </w:tc>
      </w:tr>
      <w:tr>
        <w:trPr>
          <w:trHeight w:val="600" w:hRule="atLeast"/>
          <w:tblCellSpacing w:w="0" w:type="dxa"/>
        </w:trPr>
        <w:tc>
          <w:tcPr>
            <w:tcW w:w="5160"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传真： </w:t>
            </w:r>
          </w:p>
        </w:tc>
        <w:tc>
          <w:tcPr>
            <w:tcW w:w="3735"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传真： </w:t>
            </w:r>
          </w:p>
        </w:tc>
      </w:tr>
      <w:tr>
        <w:trPr>
          <w:trHeight w:val="600" w:hRule="atLeast"/>
          <w:tblCellSpacing w:w="0" w:type="dxa"/>
        </w:trPr>
        <w:tc>
          <w:tcPr>
            <w:tcW w:w="5160"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开户银行： </w:t>
            </w:r>
          </w:p>
        </w:tc>
        <w:tc>
          <w:tcPr>
            <w:tcW w:w="3735"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开户银行： </w:t>
            </w:r>
          </w:p>
        </w:tc>
      </w:tr>
      <w:tr>
        <w:trPr>
          <w:trHeight w:val="600" w:hRule="atLeast"/>
          <w:tblCellSpacing w:w="0" w:type="dxa"/>
        </w:trPr>
        <w:tc>
          <w:tcPr>
            <w:tcW w:w="5160"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帐号 ： </w:t>
            </w:r>
          </w:p>
        </w:tc>
        <w:tc>
          <w:tcPr>
            <w:tcW w:w="3735" w:type="dxa"/>
            <w:noWrap w:val="0"/>
            <w:vAlign w:val="center"/>
          </w:tcPr>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帐号 ： </w:t>
            </w:r>
          </w:p>
        </w:tc>
      </w:tr>
    </w:tbl>
    <w:p>
      <w:pPr>
        <w:adjustRightInd w:val="0"/>
        <w:snapToGrid w:val="0"/>
        <w:spacing w:line="360" w:lineRule="auto"/>
        <w:rPr>
          <w:rFonts w:hint="eastAsia" w:ascii="宋体" w:hAnsi="宋体" w:eastAsia="宋体" w:cs="宋体"/>
          <w:color w:val="auto"/>
          <w:kern w:val="0"/>
          <w:sz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合同签订时间：    年 月  日</w:t>
      </w:r>
    </w:p>
    <w:p>
      <w:pPr>
        <w:adjustRightInd w:val="0"/>
        <w:snapToGrid w:val="0"/>
        <w:spacing w:line="360" w:lineRule="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签约地点：</w:t>
      </w:r>
    </w:p>
    <w:p>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spacing w:line="360" w:lineRule="auto"/>
        <w:ind w:left="720" w:firstLine="721"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8"/>
      <w:r>
        <w:rPr>
          <w:rFonts w:hint="eastAsia" w:ascii="宋体" w:hAnsi="宋体" w:cs="宋体"/>
          <w:b/>
          <w:color w:val="auto"/>
          <w:sz w:val="36"/>
          <w:szCs w:val="20"/>
          <w:highlight w:val="none"/>
        </w:rPr>
        <w:t xml:space="preserve"> </w:t>
      </w:r>
      <w:bookmarkEnd w:id="409"/>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（3）联合协议（如有）……………………………………………………（页码）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（4）本项目的特定资格要求（如有）……………………………………（页码）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我方参与（项目名称）【招标编号：（QTCG-GK-2025-084）】政府采购活动，郑重承诺：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sz w:val="22"/>
          <w:szCs w:val="28"/>
          <w:highlight w:val="none"/>
        </w:rPr>
      </w:pPr>
      <w:r>
        <w:rPr>
          <w:rFonts w:hint="eastAsia" w:cs="仿宋_GB2312" w:asciiTheme="minorEastAsia" w:hAnsiTheme="minorEastAsia" w:eastAsiaTheme="minorEastAsia"/>
          <w:b/>
          <w:color w:val="auto"/>
          <w:sz w:val="28"/>
          <w:szCs w:val="28"/>
          <w:highlight w:val="none"/>
          <w:u w:val="single"/>
          <w:lang w:val="en-US" w:eastAsia="zh-CN"/>
        </w:rPr>
        <w:t>▲投标人为联合体的，联合体各方均须签署并提供本承诺函，否则投标无效。</w:t>
      </w:r>
    </w:p>
    <w:p>
      <w:pPr>
        <w:pStyle w:val="5"/>
        <w:ind w:left="0" w:firstLine="0"/>
        <w:rPr>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1"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标项一</w:t>
      </w:r>
      <w:r>
        <w:rPr>
          <w:rFonts w:hint="eastAsia" w:ascii="宋体" w:hAnsi="宋体" w:eastAsia="宋体" w:cs="宋体"/>
          <w:b/>
          <w:bCs/>
          <w:color w:val="auto"/>
          <w:sz w:val="24"/>
          <w:highlight w:val="none"/>
        </w:rPr>
        <w:t>标的：</w:t>
      </w:r>
      <w:r>
        <w:rPr>
          <w:rFonts w:hint="eastAsia" w:ascii="宋体" w:hAnsi="宋体" w:cs="宋体"/>
          <w:b/>
          <w:bCs/>
          <w:color w:val="auto"/>
          <w:sz w:val="24"/>
          <w:highlight w:val="none"/>
          <w:u w:val="single"/>
          <w:lang w:eastAsia="zh-CN"/>
        </w:rPr>
        <w:t>2025年杭州市钱塘区建筑工程消防验收第三方服务项目</w:t>
      </w:r>
      <w:r>
        <w:rPr>
          <w:rFonts w:hint="eastAsia" w:ascii="宋体" w:hAnsi="宋体" w:eastAsia="宋体" w:cs="宋体"/>
          <w:b/>
          <w:bCs/>
          <w:color w:val="auto"/>
          <w:sz w:val="24"/>
          <w:highlight w:val="none"/>
        </w:rPr>
        <w:t xml:space="preserve"> ，属于</w:t>
      </w:r>
      <w:r>
        <w:rPr>
          <w:rFonts w:hint="eastAsia" w:ascii="宋体" w:hAnsi="宋体" w:eastAsia="宋体" w:cs="宋体"/>
          <w:b/>
          <w:bCs/>
          <w:color w:val="auto"/>
          <w:sz w:val="24"/>
          <w:highlight w:val="none"/>
          <w:u w:val="single"/>
        </w:rPr>
        <w:t>其他未列明行业</w:t>
      </w:r>
      <w:r>
        <w:rPr>
          <w:rFonts w:hint="eastAsia" w:ascii="宋体" w:hAnsi="宋体" w:eastAsia="宋体" w:cs="宋体"/>
          <w:b/>
          <w:bCs/>
          <w:color w:val="auto"/>
          <w:sz w:val="24"/>
          <w:highlight w:val="none"/>
        </w:rPr>
        <w:t>。</w:t>
      </w:r>
    </w:p>
    <w:p>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2"/>
          <w:sz w:val="24"/>
          <w:szCs w:val="24"/>
          <w:highlight w:val="none"/>
          <w:lang w:val="en-US" w:eastAsia="zh-CN" w:bidi="ar-SA"/>
        </w:rPr>
        <w:t>标项二标的</w:t>
      </w:r>
      <w:r>
        <w:rPr>
          <w:rFonts w:hint="eastAsia" w:ascii="宋体" w:hAnsi="宋体" w:eastAsia="宋体" w:cs="宋体"/>
          <w:b/>
          <w:bCs/>
          <w:color w:val="auto"/>
          <w:sz w:val="24"/>
          <w:highlight w:val="none"/>
        </w:rPr>
        <w:t>：</w:t>
      </w:r>
      <w:r>
        <w:rPr>
          <w:rFonts w:hint="eastAsia" w:ascii="宋体" w:hAnsi="宋体" w:cs="宋体"/>
          <w:b/>
          <w:bCs/>
          <w:color w:val="auto"/>
          <w:kern w:val="2"/>
          <w:sz w:val="24"/>
          <w:szCs w:val="24"/>
          <w:highlight w:val="none"/>
          <w:u w:val="single"/>
          <w:lang w:val="en-US" w:eastAsia="zh-CN" w:bidi="ar-SA"/>
        </w:rPr>
        <w:t>2025年杭州市钱塘区建筑工程消防验收第三方服务项目</w:t>
      </w:r>
      <w:r>
        <w:rPr>
          <w:rFonts w:hint="eastAsia" w:ascii="宋体" w:hAnsi="宋体" w:eastAsia="宋体" w:cs="宋体"/>
          <w:b/>
          <w:bCs/>
          <w:color w:val="auto"/>
          <w:sz w:val="24"/>
          <w:highlight w:val="none"/>
        </w:rPr>
        <w:t xml:space="preserve"> ，属于</w:t>
      </w:r>
      <w:r>
        <w:rPr>
          <w:rFonts w:hint="eastAsia" w:ascii="宋体" w:hAnsi="宋体" w:eastAsia="宋体" w:cs="宋体"/>
          <w:b/>
          <w:bCs/>
          <w:color w:val="auto"/>
          <w:sz w:val="24"/>
          <w:highlight w:val="none"/>
          <w:u w:val="single"/>
        </w:rPr>
        <w:t>其他未列明行业</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lang w:eastAsia="zh-CN"/>
        </w:rPr>
        <w:t>。</w:t>
      </w:r>
    </w:p>
    <w:p>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标项三</w:t>
      </w:r>
      <w:r>
        <w:rPr>
          <w:rFonts w:hint="eastAsia" w:ascii="宋体" w:hAnsi="宋体" w:eastAsia="宋体" w:cs="宋体"/>
          <w:b/>
          <w:bCs/>
          <w:color w:val="auto"/>
          <w:sz w:val="24"/>
          <w:highlight w:val="none"/>
        </w:rPr>
        <w:t>标的：</w:t>
      </w:r>
      <w:r>
        <w:rPr>
          <w:rFonts w:hint="eastAsia" w:ascii="宋体" w:hAnsi="宋体" w:cs="宋体"/>
          <w:b/>
          <w:bCs/>
          <w:color w:val="auto"/>
          <w:sz w:val="24"/>
          <w:highlight w:val="none"/>
          <w:u w:val="single"/>
          <w:lang w:eastAsia="zh-CN"/>
        </w:rPr>
        <w:t>2025年杭州市钱塘区建筑工程消防验收第三方服务项目</w:t>
      </w:r>
      <w:r>
        <w:rPr>
          <w:rFonts w:hint="eastAsia" w:ascii="宋体" w:hAnsi="宋体" w:eastAsia="宋体" w:cs="宋体"/>
          <w:b/>
          <w:bCs/>
          <w:color w:val="auto"/>
          <w:sz w:val="24"/>
          <w:highlight w:val="none"/>
        </w:rPr>
        <w:t xml:space="preserve"> ，属于</w:t>
      </w:r>
      <w:r>
        <w:rPr>
          <w:rFonts w:hint="eastAsia" w:ascii="宋体" w:hAnsi="宋体" w:eastAsia="宋体" w:cs="宋体"/>
          <w:b/>
          <w:bCs/>
          <w:color w:val="auto"/>
          <w:sz w:val="24"/>
          <w:highlight w:val="none"/>
          <w:u w:val="single"/>
        </w:rPr>
        <w:t>其他未列明行业</w:t>
      </w:r>
      <w:r>
        <w:rPr>
          <w:rFonts w:hint="eastAsia" w:ascii="宋体" w:hAnsi="宋体" w:eastAsia="宋体" w:cs="宋体"/>
          <w:b/>
          <w:bCs/>
          <w:color w:val="auto"/>
          <w:sz w:val="24"/>
          <w:highlight w:val="none"/>
        </w:rPr>
        <w:t>。</w:t>
      </w:r>
    </w:p>
    <w:p>
      <w:pPr>
        <w:widowControl/>
        <w:spacing w:line="360" w:lineRule="auto"/>
        <w:ind w:firstLine="480"/>
        <w:jc w:val="left"/>
        <w:rPr>
          <w:rFonts w:hint="eastAsia" w:eastAsia="宋体"/>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标项四标的</w:t>
      </w:r>
      <w:r>
        <w:rPr>
          <w:rFonts w:hint="eastAsia" w:ascii="宋体" w:hAnsi="宋体" w:eastAsia="宋体" w:cs="宋体"/>
          <w:b/>
          <w:bCs/>
          <w:color w:val="auto"/>
          <w:sz w:val="24"/>
          <w:highlight w:val="none"/>
        </w:rPr>
        <w:t>：</w:t>
      </w:r>
      <w:r>
        <w:rPr>
          <w:rFonts w:hint="eastAsia" w:ascii="宋体" w:hAnsi="宋体" w:cs="宋体"/>
          <w:b/>
          <w:bCs/>
          <w:color w:val="auto"/>
          <w:kern w:val="2"/>
          <w:sz w:val="24"/>
          <w:szCs w:val="24"/>
          <w:highlight w:val="none"/>
          <w:u w:val="single"/>
          <w:lang w:val="en-US" w:eastAsia="zh-CN" w:bidi="ar-SA"/>
        </w:rPr>
        <w:t>2025年杭州市钱塘区建筑工程消防验收第三方服务项目</w:t>
      </w:r>
      <w:r>
        <w:rPr>
          <w:rFonts w:hint="eastAsia" w:ascii="宋体" w:hAnsi="宋体" w:eastAsia="宋体" w:cs="宋体"/>
          <w:b/>
          <w:bCs/>
          <w:color w:val="auto"/>
          <w:sz w:val="24"/>
          <w:highlight w:val="none"/>
        </w:rPr>
        <w:t xml:space="preserve"> ，属于</w:t>
      </w:r>
      <w:r>
        <w:rPr>
          <w:rFonts w:hint="eastAsia" w:ascii="宋体" w:hAnsi="宋体" w:eastAsia="宋体" w:cs="宋体"/>
          <w:b/>
          <w:bCs/>
          <w:color w:val="auto"/>
          <w:sz w:val="24"/>
          <w:highlight w:val="none"/>
          <w:u w:val="single"/>
        </w:rPr>
        <w:t>其他未列明行业</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lang w:eastAsia="zh-CN"/>
        </w:rPr>
        <w:t>。</w:t>
      </w:r>
      <w:r>
        <w:rPr>
          <w:rFonts w:hint="eastAsia" w:ascii="宋体" w:hAnsi="宋体" w:cs="宋体"/>
          <w:color w:val="auto"/>
          <w:sz w:val="24"/>
          <w:highlight w:val="none"/>
          <w:lang w:val="en-US" w:eastAsia="zh-CN"/>
        </w:rPr>
        <w:t xml:space="preserve">  </w:t>
      </w:r>
    </w:p>
    <w:p>
      <w:pPr>
        <w:widowControl/>
        <w:spacing w:line="360" w:lineRule="auto"/>
        <w:ind w:firstLine="471"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pStyle w:val="2"/>
        <w:ind w:firstLine="240" w:firstLineChars="100"/>
        <w:rPr>
          <w:rFonts w:hint="eastAsia"/>
          <w:color w:val="auto"/>
        </w:rPr>
      </w:pPr>
    </w:p>
    <w:p>
      <w:pPr>
        <w:pStyle w:val="2"/>
        <w:ind w:firstLine="240" w:firstLineChars="100"/>
        <w:rPr>
          <w:color w:val="auto"/>
        </w:rPr>
      </w:pPr>
      <w:r>
        <w:rPr>
          <w:rFonts w:hint="eastAsia"/>
          <w:color w:val="auto"/>
        </w:rPr>
        <w:t>▲投标人为联合体的，联合体各方均须签署并提供</w:t>
      </w:r>
      <w:r>
        <w:rPr>
          <w:rFonts w:hint="eastAsia"/>
          <w:color w:val="auto"/>
          <w:lang w:val="en-US" w:eastAsia="zh-CN"/>
        </w:rPr>
        <w:t>声明</w:t>
      </w:r>
      <w:r>
        <w:rPr>
          <w:rFonts w:hint="eastAsia"/>
          <w:color w:val="auto"/>
        </w:rPr>
        <w:t>函，否则投标无效。</w:t>
      </w:r>
    </w:p>
    <w:p>
      <w:pPr>
        <w:snapToGrid w:val="0"/>
        <w:spacing w:before="50" w:after="50" w:line="360" w:lineRule="auto"/>
        <w:jc w:val="center"/>
        <w:rPr>
          <w:rFonts w:hint="eastAsia" w:ascii="宋体" w:hAnsi="宋体" w:cs="宋体"/>
          <w:b/>
          <w:color w:val="auto"/>
          <w:kern w:val="0"/>
          <w:sz w:val="32"/>
          <w:szCs w:val="32"/>
          <w:highlight w:val="none"/>
          <w:lang w:val="zh-CN"/>
        </w:rPr>
      </w:pPr>
    </w:p>
    <w:p>
      <w:pPr>
        <w:snapToGrid w:val="0"/>
        <w:spacing w:before="50" w:after="50" w:line="360" w:lineRule="auto"/>
        <w:jc w:val="center"/>
        <w:rPr>
          <w:rFonts w:hint="eastAsia" w:ascii="宋体" w:hAnsi="宋体" w:cs="宋体"/>
          <w:b/>
          <w:color w:val="auto"/>
          <w:kern w:val="0"/>
          <w:sz w:val="32"/>
          <w:szCs w:val="32"/>
          <w:highlight w:val="none"/>
          <w:lang w:val="zh-CN"/>
        </w:rPr>
      </w:pPr>
    </w:p>
    <w:p>
      <w:pPr>
        <w:snapToGrid w:val="0"/>
        <w:spacing w:before="50" w:after="50" w:line="360" w:lineRule="auto"/>
        <w:jc w:val="center"/>
        <w:rPr>
          <w:rFonts w:hint="eastAsia" w:ascii="宋体" w:hAnsi="宋体" w:cs="宋体"/>
          <w:b/>
          <w:color w:val="auto"/>
          <w:kern w:val="0"/>
          <w:sz w:val="32"/>
          <w:szCs w:val="32"/>
          <w:highlight w:val="none"/>
          <w:lang w:val="zh-CN"/>
        </w:rPr>
      </w:pPr>
    </w:p>
    <w:p>
      <w:pPr>
        <w:snapToGrid w:val="0"/>
        <w:spacing w:before="50" w:after="50" w:line="360" w:lineRule="auto"/>
        <w:jc w:val="center"/>
        <w:rPr>
          <w:rFonts w:hint="eastAsia" w:ascii="宋体" w:hAnsi="宋体" w:cs="宋体"/>
          <w:b/>
          <w:color w:val="auto"/>
          <w:kern w:val="0"/>
          <w:sz w:val="32"/>
          <w:szCs w:val="32"/>
          <w:highlight w:val="none"/>
          <w:lang w:val="zh-CN"/>
        </w:rPr>
      </w:pPr>
    </w:p>
    <w:p>
      <w:pPr>
        <w:snapToGrid w:val="0"/>
        <w:spacing w:before="50" w:after="50" w:line="360" w:lineRule="auto"/>
        <w:jc w:val="center"/>
        <w:rPr>
          <w:rFonts w:hint="eastAsia" w:ascii="宋体" w:hAnsi="宋体" w:cs="宋体"/>
          <w:b/>
          <w:color w:val="auto"/>
          <w:kern w:val="0"/>
          <w:sz w:val="32"/>
          <w:szCs w:val="32"/>
          <w:highlight w:val="none"/>
          <w:lang w:val="zh-CN"/>
        </w:rPr>
      </w:pPr>
    </w:p>
    <w:p>
      <w:pPr>
        <w:snapToGrid w:val="0"/>
        <w:spacing w:before="50" w:after="50" w:line="360" w:lineRule="auto"/>
        <w:jc w:val="center"/>
        <w:rPr>
          <w:rFonts w:hint="eastAsia" w:ascii="宋体" w:hAnsi="宋体" w:cs="宋体"/>
          <w:b/>
          <w:color w:val="auto"/>
          <w:kern w:val="0"/>
          <w:sz w:val="32"/>
          <w:szCs w:val="32"/>
          <w:highlight w:val="none"/>
          <w:lang w:val="zh-CN"/>
        </w:rPr>
      </w:pPr>
    </w:p>
    <w:p>
      <w:pPr>
        <w:snapToGrid w:val="0"/>
        <w:spacing w:before="50" w:after="50" w:line="360" w:lineRule="auto"/>
        <w:jc w:val="center"/>
        <w:rPr>
          <w:rFonts w:hint="eastAsia" w:ascii="宋体" w:hAnsi="宋体" w:cs="宋体"/>
          <w:b/>
          <w:color w:val="auto"/>
          <w:kern w:val="0"/>
          <w:sz w:val="32"/>
          <w:szCs w:val="32"/>
          <w:highlight w:val="none"/>
          <w:lang w:val="zh-CN"/>
        </w:rPr>
      </w:pPr>
    </w:p>
    <w:p>
      <w:pPr>
        <w:snapToGrid w:val="0"/>
        <w:spacing w:before="50" w:after="50"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联合协议</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QTCG-GK-2025-084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before="50" w:after="50" w:line="360" w:lineRule="auto"/>
        <w:jc w:val="center"/>
        <w:rPr>
          <w:rFonts w:ascii="宋体" w:hAnsi="宋体" w:cs="宋体"/>
          <w:color w:val="auto"/>
          <w:sz w:val="24"/>
          <w:highlight w:val="none"/>
        </w:rPr>
      </w:pPr>
      <w:r>
        <w:rPr>
          <w:rFonts w:hint="eastAsia" w:ascii="宋体" w:hAnsi="宋体" w:cs="宋体"/>
          <w:color w:val="auto"/>
          <w:kern w:val="0"/>
          <w:sz w:val="24"/>
          <w:highlight w:val="none"/>
          <w:lang w:val="zh-CN"/>
        </w:rPr>
        <w:t xml:space="preserve">                                               日期：  年  月   日</w:t>
      </w:r>
      <w:r>
        <w:rPr>
          <w:rFonts w:hint="eastAsia" w:ascii="宋体" w:hAnsi="宋体" w:cs="宋体"/>
          <w:b/>
          <w:color w:val="auto"/>
          <w:sz w:val="24"/>
          <w:highlight w:val="none"/>
        </w:rPr>
        <w:t xml:space="preserve">    </w:t>
      </w:r>
    </w:p>
    <w:p>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snapToGrid w:val="0"/>
        <w:spacing w:line="360" w:lineRule="auto"/>
        <w:ind w:firstLine="352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QTCG-GK-2025-084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8" w:firstLineChars="95"/>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snapToGrid w:val="0"/>
        <w:spacing w:line="360" w:lineRule="auto"/>
        <w:ind w:firstLine="576"/>
        <w:rPr>
          <w:rFonts w:ascii="宋体" w:hAnsi="宋体" w:cs="宋体"/>
          <w:color w:val="auto"/>
          <w:highlight w:val="none"/>
          <w:u w:val="single"/>
        </w:rPr>
      </w:pPr>
    </w:p>
    <w:p>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pPr>
        <w:snapToGrid w:val="0"/>
        <w:ind w:firstLine="576"/>
        <w:rPr>
          <w:rFonts w:ascii="宋体" w:hAnsi="宋体" w:cs="宋体"/>
          <w:color w:val="auto"/>
          <w:kern w:val="0"/>
          <w:sz w:val="24"/>
          <w:highlight w:val="none"/>
          <w:lang w:val="zh-CN"/>
        </w:rPr>
      </w:pPr>
    </w:p>
    <w:p>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snapToGrid w:val="0"/>
        <w:ind w:left="573" w:leftChars="273"/>
        <w:rPr>
          <w:rFonts w:ascii="宋体" w:hAnsi="宋体" w:cs="宋体"/>
          <w:color w:val="auto"/>
          <w:kern w:val="0"/>
          <w:sz w:val="24"/>
          <w:highlight w:val="none"/>
          <w:lang w:val="zh-CN"/>
        </w:rPr>
      </w:pPr>
    </w:p>
    <w:p>
      <w:pPr>
        <w:snapToGrid w:val="0"/>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snapToGrid w:val="0"/>
        <w:ind w:firstLine="576"/>
        <w:rPr>
          <w:rFonts w:ascii="宋体" w:hAnsi="宋体" w:cs="宋体"/>
          <w:color w:val="auto"/>
          <w:kern w:val="0"/>
          <w:sz w:val="24"/>
          <w:highlight w:val="none"/>
          <w:lang w:val="zh-CN"/>
        </w:rPr>
      </w:pPr>
    </w:p>
    <w:p>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 xml:space="preserve">  。                                           投标人名称(电子签名)：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三、联合协议（如有）</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pStyle w:val="5"/>
        <w:rPr>
          <w:rFonts w:ascii="宋体" w:hAnsi="宋体" w:eastAsia="宋体" w:cs="宋体"/>
          <w:color w:val="auto"/>
          <w:kern w:val="0"/>
          <w:highlight w:val="none"/>
        </w:rPr>
      </w:pPr>
    </w:p>
    <w:p>
      <w:pPr>
        <w:rPr>
          <w:rFonts w:ascii="宋体" w:hAnsi="宋体" w:cs="宋体"/>
          <w:color w:val="auto"/>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2"/>
        <w:rPr>
          <w:rFonts w:ascii="宋体" w:hAnsi="宋体" w:cs="宋体"/>
          <w:b/>
          <w:color w:val="auto"/>
          <w:kern w:val="0"/>
          <w:sz w:val="32"/>
          <w:szCs w:val="32"/>
          <w:highlight w:val="none"/>
        </w:rPr>
      </w:pPr>
    </w:p>
    <w:p>
      <w:pPr>
        <w:pStyle w:val="62"/>
        <w:rPr>
          <w:rFonts w:ascii="宋体" w:hAnsi="宋体" w:cs="宋体"/>
          <w:b/>
          <w:color w:val="auto"/>
          <w:kern w:val="0"/>
          <w:sz w:val="32"/>
          <w:szCs w:val="32"/>
          <w:highlight w:val="none"/>
        </w:rPr>
      </w:pPr>
    </w:p>
    <w:p>
      <w:pPr>
        <w:pStyle w:val="62"/>
        <w:rPr>
          <w:rFonts w:ascii="宋体" w:hAnsi="宋体" w:cs="宋体"/>
          <w:b/>
          <w:color w:val="auto"/>
          <w:kern w:val="0"/>
          <w:sz w:val="32"/>
          <w:szCs w:val="32"/>
          <w:highlight w:val="none"/>
        </w:rPr>
      </w:pPr>
    </w:p>
    <w:p>
      <w:pPr>
        <w:pStyle w:val="62"/>
        <w:rPr>
          <w:rFonts w:ascii="宋体" w:hAnsi="宋体" w:cs="宋体"/>
          <w:b/>
          <w:color w:val="auto"/>
          <w:kern w:val="0"/>
          <w:sz w:val="32"/>
          <w:szCs w:val="32"/>
          <w:highlight w:val="none"/>
        </w:rPr>
      </w:pPr>
    </w:p>
    <w:p>
      <w:pPr>
        <w:pStyle w:val="62"/>
        <w:rPr>
          <w:rFonts w:ascii="宋体" w:hAnsi="宋体" w:cs="宋体"/>
          <w:b/>
          <w:color w:val="auto"/>
          <w:kern w:val="0"/>
          <w:sz w:val="32"/>
          <w:szCs w:val="32"/>
          <w:highlight w:val="none"/>
        </w:rPr>
      </w:pPr>
    </w:p>
    <w:p>
      <w:pPr>
        <w:pStyle w:val="62"/>
        <w:rPr>
          <w:rFonts w:ascii="宋体" w:hAnsi="宋体" w:cs="宋体"/>
          <w:b/>
          <w:color w:val="auto"/>
          <w:kern w:val="0"/>
          <w:sz w:val="32"/>
          <w:szCs w:val="32"/>
          <w:highlight w:val="none"/>
        </w:rPr>
      </w:pPr>
    </w:p>
    <w:p>
      <w:pPr>
        <w:pStyle w:val="62"/>
        <w:rPr>
          <w:rFonts w:ascii="宋体" w:hAnsi="宋体" w:cs="宋体"/>
          <w:b/>
          <w:color w:val="auto"/>
          <w:kern w:val="0"/>
          <w:sz w:val="32"/>
          <w:szCs w:val="32"/>
          <w:highlight w:val="none"/>
        </w:rPr>
      </w:pPr>
    </w:p>
    <w:p>
      <w:pPr>
        <w:pStyle w:val="62"/>
        <w:rPr>
          <w:rFonts w:ascii="宋体" w:hAnsi="宋体" w:cs="宋体"/>
          <w:b/>
          <w:color w:val="auto"/>
          <w:kern w:val="0"/>
          <w:sz w:val="32"/>
          <w:szCs w:val="32"/>
          <w:highlight w:val="none"/>
        </w:rPr>
      </w:pPr>
    </w:p>
    <w:p>
      <w:pPr>
        <w:pStyle w:val="62"/>
        <w:rPr>
          <w:rFonts w:ascii="宋体" w:hAnsi="宋体" w:cs="宋体"/>
          <w:b/>
          <w:color w:val="auto"/>
          <w:kern w:val="0"/>
          <w:sz w:val="32"/>
          <w:szCs w:val="32"/>
          <w:highlight w:val="none"/>
        </w:rPr>
      </w:pPr>
    </w:p>
    <w:p>
      <w:pPr>
        <w:pStyle w:val="62"/>
        <w:rPr>
          <w:rFonts w:ascii="宋体" w:hAnsi="宋体" w:cs="宋体"/>
          <w:b/>
          <w:color w:val="auto"/>
          <w:kern w:val="0"/>
          <w:sz w:val="32"/>
          <w:szCs w:val="32"/>
          <w:highlight w:val="none"/>
        </w:rPr>
      </w:pPr>
    </w:p>
    <w:p>
      <w:pPr>
        <w:pStyle w:val="62"/>
        <w:rPr>
          <w:rFonts w:ascii="宋体" w:hAnsi="宋体" w:cs="宋体"/>
          <w:b/>
          <w:color w:val="auto"/>
          <w:kern w:val="0"/>
          <w:sz w:val="32"/>
          <w:szCs w:val="32"/>
          <w:highlight w:val="none"/>
        </w:rPr>
      </w:pPr>
    </w:p>
    <w:p>
      <w:pPr>
        <w:pStyle w:val="62"/>
        <w:rPr>
          <w:rFonts w:ascii="宋体" w:hAnsi="宋体" w:cs="宋体"/>
          <w:b/>
          <w:color w:val="auto"/>
          <w:kern w:val="0"/>
          <w:sz w:val="32"/>
          <w:szCs w:val="32"/>
          <w:highlight w:val="none"/>
        </w:rPr>
      </w:pPr>
    </w:p>
    <w:p>
      <w:pPr>
        <w:pStyle w:val="62"/>
        <w:rPr>
          <w:rFonts w:ascii="宋体" w:hAnsi="宋体" w:cs="宋体"/>
          <w:b/>
          <w:color w:val="auto"/>
          <w:kern w:val="0"/>
          <w:sz w:val="32"/>
          <w:szCs w:val="32"/>
          <w:highlight w:val="none"/>
        </w:rPr>
      </w:pPr>
    </w:p>
    <w:p>
      <w:pPr>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（5）评标标准相应的商务技术资料……………………………………………（页码）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（6）投标标的清单………………………………………………………………（页码）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（7）拟派项目团队配备情况表………………………………………………（页码）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（8）商务技术偏离表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我方参加你方组织的（项目名称）【招标编号：（QTCG-GK-2025-084）】招标的有关活动，并对此项目进行投标。为此：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2.1.2落实政府采购政策需满足的资格要求；</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2.1.3联合协议（如有）；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2.1.4本项目的特定资格要求（如有）。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pPr>
        <w:pStyle w:val="5"/>
        <w:ind w:left="664" w:leftChars="316" w:firstLine="228" w:firstLineChars="95"/>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highlight w:val="none"/>
        </w:rPr>
        <w:t>2.2.</w:t>
      </w:r>
      <w:r>
        <w:rPr>
          <w:rFonts w:hint="eastAsia" w:ascii="宋体" w:hAnsi="宋体" w:eastAsia="宋体" w:cs="宋体"/>
          <w:b w:val="0"/>
          <w:bCs w:val="0"/>
          <w:color w:val="auto"/>
          <w:sz w:val="24"/>
          <w:highlight w:val="none"/>
          <w:lang w:val="en-US"/>
        </w:rPr>
        <w:t>6投标</w:t>
      </w:r>
      <w:r>
        <w:rPr>
          <w:rFonts w:hint="eastAsia" w:ascii="宋体" w:hAnsi="宋体" w:eastAsia="宋体" w:cs="宋体"/>
          <w:b w:val="0"/>
          <w:bCs w:val="0"/>
          <w:color w:val="auto"/>
          <w:sz w:val="24"/>
          <w:szCs w:val="24"/>
          <w:highlight w:val="none"/>
          <w:lang w:val="en-US"/>
        </w:rPr>
        <w:t>标的清单；</w:t>
      </w:r>
    </w:p>
    <w:p>
      <w:pPr>
        <w:snapToGrid w:val="0"/>
        <w:spacing w:line="360" w:lineRule="auto"/>
        <w:ind w:left="210" w:leftChars="100" w:firstLine="720" w:firstLineChars="300"/>
        <w:rPr>
          <w:rFonts w:ascii="宋体" w:hAnsi="宋体" w:cs="宋体"/>
          <w:color w:val="auto"/>
          <w:sz w:val="24"/>
          <w:highlight w:val="none"/>
        </w:rPr>
      </w:pPr>
      <w:r>
        <w:rPr>
          <w:rFonts w:hint="eastAsia" w:ascii="宋体" w:hAnsi="宋体" w:cs="宋体"/>
          <w:color w:val="auto"/>
          <w:sz w:val="24"/>
          <w:highlight w:val="none"/>
        </w:rPr>
        <w:t>2.2.7拟派项目团队配备情况表；</w:t>
      </w:r>
    </w:p>
    <w:p>
      <w:pPr>
        <w:snapToGrid w:val="0"/>
        <w:spacing w:line="360" w:lineRule="auto"/>
        <w:ind w:left="210" w:leftChars="100" w:firstLine="720" w:firstLineChars="300"/>
        <w:rPr>
          <w:rFonts w:ascii="宋体" w:hAnsi="宋体" w:cs="宋体"/>
          <w:color w:val="auto"/>
          <w:sz w:val="24"/>
          <w:highlight w:val="none"/>
        </w:rPr>
      </w:pPr>
      <w:r>
        <w:rPr>
          <w:rFonts w:hint="eastAsia" w:ascii="宋体" w:hAnsi="宋体" w:cs="宋体"/>
          <w:color w:val="auto"/>
          <w:sz w:val="24"/>
          <w:highlight w:val="none"/>
        </w:rPr>
        <w:t>2.2.8商务技术偏离表；</w:t>
      </w:r>
    </w:p>
    <w:p>
      <w:pPr>
        <w:snapToGrid w:val="0"/>
        <w:spacing w:line="360" w:lineRule="auto"/>
        <w:ind w:left="210" w:leftChars="100" w:firstLine="720" w:firstLineChars="300"/>
        <w:rPr>
          <w:rFonts w:ascii="宋体" w:hAnsi="宋体" w:cs="宋体"/>
          <w:color w:val="auto"/>
          <w:sz w:val="24"/>
          <w:highlight w:val="none"/>
        </w:rPr>
      </w:pPr>
      <w:r>
        <w:rPr>
          <w:rFonts w:hint="eastAsia" w:ascii="宋体" w:hAnsi="宋体" w:cs="宋体"/>
          <w:color w:val="auto"/>
          <w:sz w:val="24"/>
          <w:highlight w:val="none"/>
        </w:rPr>
        <w:t>2.2.9政府采购供应商廉洁自律承诺书；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4.2在签订合同时不向你方提出附加条件；</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pStyle w:val="2"/>
        <w:rPr>
          <w:rFonts w:hAnsi="宋体" w:cs="宋体"/>
          <w:color w:val="auto"/>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64"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（项目名称）【招标编号：（QTCG-GK-2025-084）】</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（项目名称）【招标编号：（QTCG-GK-2025-084）】</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62"/>
        <w:rPr>
          <w:rFonts w:ascii="宋体" w:hAnsi="宋体" w:cs="宋体"/>
          <w:b/>
          <w:color w:val="auto"/>
          <w:kern w:val="0"/>
          <w:sz w:val="32"/>
          <w:szCs w:val="32"/>
          <w:highlight w:val="none"/>
        </w:rPr>
      </w:pPr>
    </w:p>
    <w:p>
      <w:pPr>
        <w:pStyle w:val="62"/>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both"/>
        <w:rPr>
          <w:rFonts w:ascii="宋体" w:hAnsi="宋体" w:cs="宋体"/>
          <w:b/>
          <w:color w:val="auto"/>
          <w:kern w:val="0"/>
          <w:sz w:val="32"/>
          <w:szCs w:val="32"/>
          <w:highlight w:val="none"/>
        </w:rPr>
      </w:pPr>
    </w:p>
    <w:p>
      <w:pPr>
        <w:jc w:val="both"/>
        <w:rPr>
          <w:rFonts w:ascii="宋体" w:hAnsi="宋体" w:cs="宋体"/>
          <w:b/>
          <w:color w:val="auto"/>
          <w:kern w:val="0"/>
          <w:sz w:val="32"/>
          <w:szCs w:val="32"/>
          <w:highlight w:val="none"/>
        </w:rPr>
      </w:pPr>
    </w:p>
    <w:p>
      <w:pPr>
        <w:snapToGrid w:val="0"/>
        <w:spacing w:line="360" w:lineRule="auto"/>
        <w:ind w:firstLine="352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val="en-US" w:eastAsia="zh-CN"/>
        </w:rPr>
        <w:t>QTCG-GK-2025-084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8" w:firstLineChars="95"/>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snapToGrid w:val="0"/>
        <w:spacing w:line="360" w:lineRule="auto"/>
        <w:ind w:firstLine="576"/>
        <w:rPr>
          <w:rFonts w:ascii="宋体" w:hAnsi="宋体" w:cs="宋体"/>
          <w:color w:val="auto"/>
          <w:highlight w:val="none"/>
          <w:u w:val="single"/>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snapToGrid w:val="0"/>
        <w:spacing w:line="360" w:lineRule="auto"/>
        <w:ind w:left="573" w:leftChars="273"/>
        <w:rPr>
          <w:rFonts w:ascii="宋体" w:hAnsi="宋体" w:cs="宋体"/>
          <w:color w:val="auto"/>
          <w:kern w:val="0"/>
          <w:sz w:val="24"/>
          <w:highlight w:val="none"/>
          <w:lang w:val="zh-CN"/>
        </w:rPr>
      </w:pP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u w:val="single"/>
        </w:rPr>
        <w:t>（分包供应商名称）提供的货物全部由小微企业制造，</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color w:val="auto"/>
          <w:kern w:val="0"/>
          <w:sz w:val="24"/>
          <w:highlight w:val="none"/>
        </w:rPr>
        <w:t>6</w:t>
      </w:r>
      <w:r>
        <w:rPr>
          <w:rFonts w:hint="eastAsia" w:ascii="宋体" w:hAnsi="宋体" w:cs="宋体"/>
          <w:b/>
          <w:color w:val="auto"/>
          <w:kern w:val="0"/>
          <w:sz w:val="24"/>
          <w:highlight w:val="none"/>
          <w:lang w:val="zh-CN"/>
        </w:rPr>
        <w:t>%的扣除）</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rPr>
          <w:trHeight w:val="882" w:hRule="atLeast"/>
        </w:trPr>
        <w:tc>
          <w:tcPr>
            <w:tcW w:w="646"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ascii="仿宋" w:hAnsi="仿宋" w:eastAsia="仿宋" w:cs="仿宋"/>
                <w:color w:val="auto"/>
                <w:highlight w:val="none"/>
              </w:rPr>
            </w:pPr>
            <w:r>
              <w:rPr>
                <w:rFonts w:hint="eastAsia" w:ascii="仿宋" w:hAnsi="仿宋" w:eastAsia="仿宋" w:cs="仿宋"/>
                <w:color w:val="auto"/>
                <w:sz w:val="24"/>
                <w:highlight w:val="none"/>
              </w:rPr>
              <w:t>第页</w:t>
            </w:r>
          </w:p>
        </w:tc>
      </w:tr>
      <w:tr>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r>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r>
        <w:trPr>
          <w:trHeight w:val="860" w:hRule="atLeast"/>
        </w:trPr>
        <w:tc>
          <w:tcPr>
            <w:tcW w:w="646" w:type="dxa"/>
            <w:vAlign w:val="center"/>
          </w:tcPr>
          <w:p>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4991" w:type="dxa"/>
          </w:tcPr>
          <w:p>
            <w:pPr>
              <w:pStyle w:val="2"/>
              <w:snapToGrid w:val="0"/>
              <w:rPr>
                <w:rFonts w:hint="eastAsia" w:ascii="仿宋" w:hAnsi="仿宋" w:eastAsia="仿宋" w:cs="仿宋"/>
                <w:color w:val="auto"/>
                <w:sz w:val="24"/>
                <w:highlight w:val="none"/>
              </w:rPr>
            </w:pPr>
            <w:r>
              <w:rPr>
                <w:rFonts w:hint="eastAsia" w:ascii="宋体" w:hAnsi="宋体" w:eastAsia="宋体" w:cs="宋体"/>
                <w:b/>
                <w:bCs w:val="0"/>
                <w:color w:val="auto"/>
                <w:sz w:val="24"/>
                <w:szCs w:val="24"/>
                <w:highlight w:val="none"/>
                <w:lang w:val="en-US" w:eastAsia="zh-CN"/>
              </w:rPr>
              <w:t>▲4、投标人符合《消防技术服务机构从业条件》中从事消防设施维护保养检测、消防安全评估服务的条件。投标文件中提供承诺书，承诺“符合《消防技术服务机构从业条件》中从事消防设施维护保养检测、消防安全评估服务的条件”，格式自拟。</w:t>
            </w:r>
          </w:p>
        </w:tc>
        <w:tc>
          <w:tcPr>
            <w:tcW w:w="2551" w:type="dxa"/>
            <w:vAlign w:val="center"/>
          </w:tcPr>
          <w:p>
            <w:pP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提供承诺函，格式自拟。</w:t>
            </w:r>
          </w:p>
        </w:tc>
        <w:tc>
          <w:tcPr>
            <w:tcW w:w="1418" w:type="dxa"/>
          </w:tcPr>
          <w:p>
            <w:pPr>
              <w:rPr>
                <w:rFonts w:hint="eastAsia" w:ascii="仿宋" w:hAnsi="仿宋" w:eastAsia="仿宋" w:cs="仿宋"/>
                <w:color w:val="auto"/>
                <w:sz w:val="24"/>
                <w:highlight w:val="none"/>
              </w:rPr>
            </w:pPr>
          </w:p>
        </w:tc>
      </w:tr>
      <w:tr>
        <w:trPr>
          <w:trHeight w:val="860" w:hRule="atLeast"/>
        </w:trPr>
        <w:tc>
          <w:tcPr>
            <w:tcW w:w="646" w:type="dxa"/>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评审时按照标项一、标项二、标项三、标项四的顺序依次进行评审，已在前面的标项中被推荐为第一中标候选人的供应商在后续标项中不再作为有效供应商。</w:t>
            </w:r>
          </w:p>
        </w:tc>
        <w:tc>
          <w:tcPr>
            <w:tcW w:w="2551" w:type="dxa"/>
            <w:vAlign w:val="center"/>
          </w:tcPr>
          <w:p>
            <w:pPr>
              <w:rPr>
                <w:rFonts w:hint="eastAsia" w:ascii="仿宋" w:hAnsi="仿宋" w:eastAsia="仿宋" w:cs="仿宋"/>
                <w:color w:val="auto"/>
                <w:kern w:val="0"/>
                <w:sz w:val="24"/>
                <w:highlight w:val="none"/>
                <w:lang w:eastAsia="zh-CN"/>
              </w:rPr>
            </w:pPr>
            <w:bookmarkStart w:id="417" w:name="_GoBack"/>
            <w:bookmarkEnd w:id="417"/>
          </w:p>
        </w:tc>
        <w:tc>
          <w:tcPr>
            <w:tcW w:w="1418" w:type="dxa"/>
          </w:tcPr>
          <w:p>
            <w:pPr>
              <w:rPr>
                <w:rFonts w:hint="eastAsia" w:ascii="仿宋" w:hAnsi="仿宋" w:eastAsia="仿宋" w:cs="仿宋"/>
                <w:color w:val="auto"/>
                <w:sz w:val="24"/>
                <w:highlight w:val="none"/>
              </w:rPr>
            </w:pPr>
          </w:p>
        </w:tc>
      </w:tr>
    </w:tbl>
    <w:p>
      <w:pPr>
        <w:jc w:val="center"/>
        <w:rPr>
          <w:rFonts w:ascii="宋体" w:hAnsi="宋体" w:cs="宋体"/>
          <w:b/>
          <w:color w:val="auto"/>
          <w:kern w:val="0"/>
          <w:sz w:val="32"/>
          <w:szCs w:val="32"/>
          <w:highlight w:val="none"/>
        </w:rPr>
      </w:pPr>
    </w:p>
    <w:p>
      <w:pPr>
        <w:jc w:val="center"/>
        <w:rPr>
          <w:color w:val="auto"/>
        </w:rPr>
      </w:pPr>
      <w:r>
        <w:rPr>
          <w:rFonts w:hint="eastAsia" w:ascii="宋体" w:hAnsi="宋体" w:cs="宋体"/>
          <w:b/>
          <w:color w:val="auto"/>
          <w:kern w:val="0"/>
          <w:sz w:val="32"/>
          <w:szCs w:val="32"/>
          <w:highlight w:val="none"/>
        </w:rPr>
        <w:t xml:space="preserve">      </w:t>
      </w:r>
    </w:p>
    <w:p>
      <w:pPr>
        <w:jc w:val="left"/>
        <w:rPr>
          <w:rFonts w:ascii="宋体" w:hAnsi="宋体" w:cs="宋体"/>
          <w:b/>
          <w:color w:val="auto"/>
          <w:kern w:val="0"/>
          <w:sz w:val="36"/>
          <w:szCs w:val="36"/>
          <w:highlight w:val="none"/>
        </w:rPr>
      </w:pPr>
      <w:r>
        <w:rPr>
          <w:rFonts w:hint="eastAsia" w:ascii="宋体" w:hAnsi="宋体" w:eastAsia="宋体" w:cs="宋体"/>
          <w:b/>
          <w:bCs w:val="0"/>
          <w:color w:val="auto"/>
          <w:sz w:val="28"/>
          <w:szCs w:val="28"/>
          <w:highlight w:val="none"/>
          <w:lang w:val="en-US" w:eastAsia="zh-CN"/>
        </w:rPr>
        <w:t>▲投标人符合《消防技术服务机构从业条件》中从事消防设施维护保养检测、消防安全评估服务的条件。投标文件中提供承诺书，承诺“符合《消防技术服务机构从业条件》中从事消防设施维护保养检测、消防安全评估服务的条件”，格式自拟。</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80"/>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p>
      <w:pPr>
        <w:pStyle w:val="5"/>
        <w:ind w:left="0" w:firstLine="0"/>
        <w:rPr>
          <w:rFonts w:ascii="宋体" w:hAnsi="宋体" w:eastAsia="宋体" w:cs="宋体"/>
          <w:color w:val="auto"/>
          <w:highlight w:val="none"/>
        </w:rPr>
      </w:pP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06"/>
        <w:gridCol w:w="1375"/>
        <w:gridCol w:w="2468"/>
        <w:gridCol w:w="930"/>
        <w:gridCol w:w="1526"/>
      </w:tblGrid>
      <w:tr>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30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七、拟派项目团队配备情况表</w:t>
      </w:r>
    </w:p>
    <w:p>
      <w:pPr>
        <w:jc w:val="center"/>
        <w:rPr>
          <w:rFonts w:ascii="仿宋_GB2312" w:hAnsi="仿宋" w:eastAsia="仿宋_GB2312" w:cs="仿宋_GB2312"/>
          <w:b/>
          <w:color w:val="auto"/>
          <w:kern w:val="0"/>
          <w:sz w:val="32"/>
          <w:szCs w:val="32"/>
          <w:highlight w:val="none"/>
        </w:rPr>
      </w:pPr>
    </w:p>
    <w:tbl>
      <w:tblPr>
        <w:tblStyle w:val="63"/>
        <w:tblW w:w="4996" w:type="pct"/>
        <w:tblInd w:w="0" w:type="dxa"/>
        <w:tblLayout w:type="autofit"/>
        <w:tblCellMar>
          <w:top w:w="0" w:type="dxa"/>
          <w:left w:w="108" w:type="dxa"/>
          <w:bottom w:w="0" w:type="dxa"/>
          <w:right w:w="108" w:type="dxa"/>
        </w:tblCellMar>
      </w:tblPr>
      <w:tblGrid>
        <w:gridCol w:w="658"/>
        <w:gridCol w:w="700"/>
        <w:gridCol w:w="1763"/>
        <w:gridCol w:w="1321"/>
        <w:gridCol w:w="658"/>
        <w:gridCol w:w="659"/>
        <w:gridCol w:w="659"/>
        <w:gridCol w:w="1101"/>
        <w:gridCol w:w="1101"/>
        <w:gridCol w:w="659"/>
      </w:tblGrid>
      <w:tr>
        <w:trPr>
          <w:trHeight w:val="396" w:hRule="atLeast"/>
        </w:trPr>
        <w:tc>
          <w:tcPr>
            <w:tcW w:w="427" w:type="pct"/>
            <w:tcBorders>
              <w:top w:val="single" w:color="auto" w:sz="12" w:space="0"/>
              <w:left w:val="single" w:color="auto" w:sz="12" w:space="0"/>
              <w:bottom w:val="single" w:color="auto" w:sz="12" w:space="0"/>
              <w:right w:val="single" w:color="auto" w:sz="6" w:space="0"/>
            </w:tcBorders>
            <w:noWrap/>
            <w:vAlign w:val="center"/>
          </w:tcPr>
          <w:p>
            <w:pPr>
              <w:autoSpaceDE w:val="0"/>
              <w:autoSpaceDN w:val="0"/>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456" w:type="pct"/>
            <w:tcBorders>
              <w:top w:val="single" w:color="auto" w:sz="12" w:space="0"/>
              <w:left w:val="single" w:color="auto" w:sz="6" w:space="0"/>
              <w:bottom w:val="single" w:color="auto" w:sz="12" w:space="0"/>
              <w:right w:val="single" w:color="auto" w:sz="6" w:space="0"/>
            </w:tcBorders>
            <w:noWrap/>
            <w:vAlign w:val="center"/>
          </w:tcPr>
          <w:p>
            <w:pPr>
              <w:autoSpaceDE w:val="0"/>
              <w:autoSpaceDN w:val="0"/>
              <w:jc w:val="center"/>
              <w:rPr>
                <w:rFonts w:ascii="仿宋" w:hAnsi="仿宋" w:eastAsia="仿宋" w:cs="仿宋"/>
                <w:b/>
                <w:bCs/>
                <w:color w:val="auto"/>
                <w:sz w:val="22"/>
                <w:szCs w:val="22"/>
                <w:highlight w:val="none"/>
                <w:lang w:val="zh-CN"/>
              </w:rPr>
            </w:pPr>
            <w:r>
              <w:rPr>
                <w:rFonts w:hint="eastAsia" w:ascii="仿宋" w:hAnsi="仿宋" w:eastAsia="仿宋" w:cs="仿宋"/>
                <w:b/>
                <w:bCs/>
                <w:color w:val="auto"/>
                <w:sz w:val="22"/>
                <w:szCs w:val="22"/>
                <w:highlight w:val="none"/>
                <w:lang w:val="zh-CN"/>
              </w:rPr>
              <w:t>姓名</w:t>
            </w:r>
          </w:p>
        </w:tc>
        <w:tc>
          <w:tcPr>
            <w:tcW w:w="591" w:type="pct"/>
            <w:tcBorders>
              <w:top w:val="single" w:color="auto" w:sz="12" w:space="0"/>
              <w:left w:val="single" w:color="auto" w:sz="6" w:space="0"/>
              <w:bottom w:val="single" w:color="auto" w:sz="12" w:space="0"/>
              <w:right w:val="single" w:color="auto" w:sz="6" w:space="0"/>
            </w:tcBorders>
            <w:noWrap/>
            <w:vAlign w:val="center"/>
          </w:tcPr>
          <w:p>
            <w:pPr>
              <w:autoSpaceDE w:val="0"/>
              <w:autoSpaceDN w:val="0"/>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本项目拟任岗位</w:t>
            </w:r>
          </w:p>
        </w:tc>
        <w:tc>
          <w:tcPr>
            <w:tcW w:w="718" w:type="pct"/>
            <w:tcBorders>
              <w:top w:val="single" w:color="auto" w:sz="12" w:space="0"/>
              <w:left w:val="single" w:color="auto" w:sz="6" w:space="0"/>
              <w:bottom w:val="single" w:color="auto" w:sz="12" w:space="0"/>
              <w:right w:val="single" w:color="auto" w:sz="6" w:space="0"/>
            </w:tcBorders>
            <w:noWrap/>
            <w:vAlign w:val="center"/>
          </w:tcPr>
          <w:p>
            <w:pPr>
              <w:autoSpaceDE w:val="0"/>
              <w:autoSpaceDN w:val="0"/>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身份证号码</w:t>
            </w:r>
          </w:p>
        </w:tc>
        <w:tc>
          <w:tcPr>
            <w:tcW w:w="409" w:type="pct"/>
            <w:tcBorders>
              <w:top w:val="single" w:color="auto" w:sz="12" w:space="0"/>
              <w:left w:val="single" w:color="auto" w:sz="6" w:space="0"/>
              <w:bottom w:val="single" w:color="auto" w:sz="12" w:space="0"/>
              <w:right w:val="single" w:color="auto" w:sz="6" w:space="0"/>
            </w:tcBorders>
            <w:noWrap/>
            <w:vAlign w:val="center"/>
          </w:tcPr>
          <w:p>
            <w:pPr>
              <w:autoSpaceDE w:val="0"/>
              <w:autoSpaceDN w:val="0"/>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年龄</w:t>
            </w:r>
          </w:p>
        </w:tc>
        <w:tc>
          <w:tcPr>
            <w:tcW w:w="371" w:type="pct"/>
            <w:tcBorders>
              <w:top w:val="single" w:color="auto" w:sz="12" w:space="0"/>
              <w:left w:val="single" w:color="auto" w:sz="6" w:space="0"/>
              <w:bottom w:val="single" w:color="auto" w:sz="12" w:space="0"/>
              <w:right w:val="single" w:color="auto" w:sz="6" w:space="0"/>
            </w:tcBorders>
            <w:noWrap/>
            <w:vAlign w:val="center"/>
          </w:tcPr>
          <w:p>
            <w:pPr>
              <w:autoSpaceDE w:val="0"/>
              <w:autoSpaceDN w:val="0"/>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性别</w:t>
            </w:r>
          </w:p>
        </w:tc>
        <w:tc>
          <w:tcPr>
            <w:tcW w:w="371" w:type="pct"/>
            <w:tcBorders>
              <w:top w:val="single" w:color="auto" w:sz="12" w:space="0"/>
              <w:left w:val="single" w:color="auto" w:sz="6" w:space="0"/>
              <w:bottom w:val="single" w:color="auto" w:sz="12" w:space="0"/>
              <w:right w:val="single" w:color="auto" w:sz="6" w:space="0"/>
            </w:tcBorders>
            <w:noWrap/>
            <w:vAlign w:val="center"/>
          </w:tcPr>
          <w:p>
            <w:pPr>
              <w:autoSpaceDE w:val="0"/>
              <w:autoSpaceDN w:val="0"/>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专业</w:t>
            </w:r>
          </w:p>
        </w:tc>
        <w:tc>
          <w:tcPr>
            <w:tcW w:w="371" w:type="pct"/>
            <w:tcBorders>
              <w:top w:val="single" w:color="auto" w:sz="12" w:space="0"/>
              <w:left w:val="single" w:color="auto" w:sz="6" w:space="0"/>
              <w:bottom w:val="single" w:color="auto" w:sz="12" w:space="0"/>
              <w:right w:val="single" w:color="auto" w:sz="6" w:space="0"/>
            </w:tcBorders>
            <w:noWrap/>
            <w:vAlign w:val="center"/>
          </w:tcPr>
          <w:p>
            <w:pPr>
              <w:autoSpaceDE w:val="0"/>
              <w:autoSpaceDN w:val="0"/>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专业年限</w:t>
            </w:r>
          </w:p>
        </w:tc>
        <w:tc>
          <w:tcPr>
            <w:tcW w:w="695" w:type="pct"/>
            <w:tcBorders>
              <w:top w:val="single" w:color="auto" w:sz="12" w:space="0"/>
              <w:left w:val="single" w:color="auto" w:sz="6" w:space="0"/>
              <w:bottom w:val="single" w:color="auto" w:sz="12" w:space="0"/>
              <w:right w:val="single" w:color="auto" w:sz="6" w:space="0"/>
            </w:tcBorders>
            <w:noWrap/>
            <w:vAlign w:val="center"/>
          </w:tcPr>
          <w:p>
            <w:pPr>
              <w:autoSpaceDE w:val="0"/>
              <w:autoSpaceDN w:val="0"/>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证书情况</w:t>
            </w:r>
          </w:p>
        </w:tc>
        <w:tc>
          <w:tcPr>
            <w:tcW w:w="587" w:type="pct"/>
            <w:tcBorders>
              <w:top w:val="single" w:color="auto" w:sz="12" w:space="0"/>
              <w:left w:val="single" w:color="auto" w:sz="6" w:space="0"/>
              <w:bottom w:val="single" w:color="auto" w:sz="12" w:space="0"/>
              <w:right w:val="single" w:color="auto" w:sz="12" w:space="0"/>
            </w:tcBorders>
            <w:noWrap/>
            <w:vAlign w:val="center"/>
          </w:tcPr>
          <w:p>
            <w:pPr>
              <w:autoSpaceDE w:val="0"/>
              <w:autoSpaceDN w:val="0"/>
              <w:jc w:val="center"/>
              <w:rPr>
                <w:rFonts w:ascii="仿宋" w:hAnsi="仿宋" w:eastAsia="仿宋" w:cs="仿宋"/>
                <w:b/>
                <w:bCs/>
                <w:color w:val="auto"/>
                <w:sz w:val="22"/>
                <w:szCs w:val="22"/>
                <w:highlight w:val="none"/>
                <w:lang w:val="zh-CN"/>
              </w:rPr>
            </w:pPr>
            <w:r>
              <w:rPr>
                <w:rFonts w:hint="eastAsia" w:ascii="仿宋" w:hAnsi="仿宋" w:eastAsia="仿宋" w:cs="仿宋"/>
                <w:b/>
                <w:bCs/>
                <w:color w:val="auto"/>
                <w:sz w:val="22"/>
                <w:szCs w:val="22"/>
                <w:highlight w:val="none"/>
                <w:lang w:val="zh-CN"/>
              </w:rPr>
              <w:t>备注</w:t>
            </w:r>
          </w:p>
        </w:tc>
      </w:tr>
      <w:tr>
        <w:trPr>
          <w:trHeight w:val="408" w:hRule="atLeast"/>
        </w:trPr>
        <w:tc>
          <w:tcPr>
            <w:tcW w:w="427" w:type="pct"/>
            <w:tcBorders>
              <w:top w:val="single" w:color="auto" w:sz="12" w:space="0"/>
              <w:left w:val="single" w:color="auto" w:sz="12"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12" w:space="0"/>
              <w:left w:val="single" w:color="auto" w:sz="6" w:space="0"/>
              <w:bottom w:val="single" w:color="auto" w:sz="6"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12"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12"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12"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12"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12"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12"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12" w:space="0"/>
              <w:left w:val="single" w:color="auto" w:sz="6" w:space="0"/>
              <w:bottom w:val="single" w:color="auto" w:sz="6" w:space="0"/>
              <w:right w:val="single" w:color="auto" w:sz="6" w:space="0"/>
            </w:tcBorders>
            <w:noWrap/>
            <w:vAlign w:val="center"/>
          </w:tcPr>
          <w:p>
            <w:pPr>
              <w:autoSpaceDE w:val="0"/>
              <w:autoSpaceDN w:val="0"/>
              <w:ind w:left="5250"/>
              <w:rPr>
                <w:rFonts w:ascii="仿宋" w:hAnsi="仿宋" w:eastAsia="仿宋" w:cs="仿宋"/>
                <w:color w:val="auto"/>
                <w:szCs w:val="21"/>
                <w:highlight w:val="none"/>
              </w:rPr>
            </w:pPr>
          </w:p>
        </w:tc>
        <w:tc>
          <w:tcPr>
            <w:tcW w:w="587" w:type="pct"/>
            <w:tcBorders>
              <w:top w:val="single" w:color="auto" w:sz="12" w:space="0"/>
              <w:left w:val="single" w:color="auto" w:sz="6" w:space="0"/>
              <w:bottom w:val="single" w:color="auto" w:sz="6" w:space="0"/>
              <w:right w:val="single" w:color="auto" w:sz="12" w:space="0"/>
            </w:tcBorders>
            <w:noWrap/>
            <w:vAlign w:val="center"/>
          </w:tcPr>
          <w:p>
            <w:pPr>
              <w:autoSpaceDE w:val="0"/>
              <w:autoSpaceDN w:val="0"/>
              <w:rPr>
                <w:rFonts w:ascii="仿宋" w:hAnsi="仿宋" w:eastAsia="仿宋" w:cs="仿宋"/>
                <w:color w:val="auto"/>
                <w:szCs w:val="21"/>
                <w:highlight w:val="none"/>
              </w:rPr>
            </w:pPr>
          </w:p>
        </w:tc>
      </w:tr>
      <w:tr>
        <w:trPr>
          <w:trHeight w:val="408" w:hRule="atLeast"/>
        </w:trPr>
        <w:tc>
          <w:tcPr>
            <w:tcW w:w="427" w:type="pct"/>
            <w:tcBorders>
              <w:top w:val="single" w:color="auto" w:sz="6" w:space="0"/>
              <w:left w:val="single" w:color="auto" w:sz="12"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ign w:val="center"/>
          </w:tcPr>
          <w:p>
            <w:pPr>
              <w:autoSpaceDE w:val="0"/>
              <w:autoSpaceDN w:val="0"/>
              <w:ind w:left="5250"/>
              <w:rPr>
                <w:rFonts w:ascii="仿宋" w:hAnsi="仿宋" w:eastAsia="仿宋" w:cs="仿宋"/>
                <w:color w:val="auto"/>
                <w:szCs w:val="21"/>
                <w:highlight w:val="none"/>
              </w:rPr>
            </w:pPr>
          </w:p>
        </w:tc>
      </w:tr>
      <w:tr>
        <w:trPr>
          <w:trHeight w:val="408" w:hRule="atLeast"/>
        </w:trPr>
        <w:tc>
          <w:tcPr>
            <w:tcW w:w="427" w:type="pct"/>
            <w:tcBorders>
              <w:top w:val="single" w:color="auto" w:sz="6" w:space="0"/>
              <w:left w:val="single" w:color="auto" w:sz="12"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ign w:val="center"/>
          </w:tcPr>
          <w:p>
            <w:pPr>
              <w:autoSpaceDE w:val="0"/>
              <w:autoSpaceDN w:val="0"/>
              <w:rPr>
                <w:rFonts w:ascii="仿宋" w:hAnsi="仿宋" w:eastAsia="仿宋" w:cs="仿宋"/>
                <w:color w:val="auto"/>
                <w:szCs w:val="21"/>
                <w:highlight w:val="none"/>
              </w:rPr>
            </w:pPr>
          </w:p>
        </w:tc>
      </w:tr>
      <w:tr>
        <w:trPr>
          <w:trHeight w:val="408" w:hRule="atLeast"/>
        </w:trPr>
        <w:tc>
          <w:tcPr>
            <w:tcW w:w="427" w:type="pct"/>
            <w:tcBorders>
              <w:top w:val="single" w:color="auto" w:sz="6" w:space="0"/>
              <w:left w:val="single" w:color="auto" w:sz="12"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ign w:val="center"/>
          </w:tcPr>
          <w:p>
            <w:pPr>
              <w:autoSpaceDE w:val="0"/>
              <w:autoSpaceDN w:val="0"/>
              <w:rPr>
                <w:rFonts w:ascii="仿宋" w:hAnsi="仿宋" w:eastAsia="仿宋" w:cs="仿宋"/>
                <w:color w:val="auto"/>
                <w:szCs w:val="21"/>
                <w:highlight w:val="none"/>
              </w:rPr>
            </w:pPr>
          </w:p>
        </w:tc>
      </w:tr>
      <w:tr>
        <w:trPr>
          <w:trHeight w:val="408" w:hRule="atLeast"/>
        </w:trPr>
        <w:tc>
          <w:tcPr>
            <w:tcW w:w="427" w:type="pct"/>
            <w:tcBorders>
              <w:top w:val="single" w:color="auto" w:sz="6" w:space="0"/>
              <w:left w:val="single" w:color="auto" w:sz="12"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ign w:val="center"/>
          </w:tcPr>
          <w:p>
            <w:pPr>
              <w:autoSpaceDE w:val="0"/>
              <w:autoSpaceDN w:val="0"/>
              <w:rPr>
                <w:rFonts w:ascii="仿宋" w:hAnsi="仿宋" w:eastAsia="仿宋" w:cs="仿宋"/>
                <w:color w:val="auto"/>
                <w:szCs w:val="21"/>
                <w:highlight w:val="none"/>
              </w:rPr>
            </w:pPr>
          </w:p>
        </w:tc>
      </w:tr>
      <w:tr>
        <w:trPr>
          <w:trHeight w:val="408" w:hRule="atLeast"/>
        </w:trPr>
        <w:tc>
          <w:tcPr>
            <w:tcW w:w="427" w:type="pct"/>
            <w:tcBorders>
              <w:top w:val="single" w:color="auto" w:sz="6" w:space="0"/>
              <w:left w:val="single" w:color="auto" w:sz="12"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ign w:val="center"/>
          </w:tcPr>
          <w:p>
            <w:pPr>
              <w:autoSpaceDE w:val="0"/>
              <w:autoSpaceDN w:val="0"/>
              <w:rPr>
                <w:rFonts w:ascii="仿宋" w:hAnsi="仿宋" w:eastAsia="仿宋" w:cs="仿宋"/>
                <w:color w:val="auto"/>
                <w:szCs w:val="21"/>
                <w:highlight w:val="none"/>
              </w:rPr>
            </w:pPr>
          </w:p>
        </w:tc>
      </w:tr>
      <w:tr>
        <w:trPr>
          <w:trHeight w:val="408" w:hRule="atLeast"/>
        </w:trPr>
        <w:tc>
          <w:tcPr>
            <w:tcW w:w="427" w:type="pct"/>
            <w:tcBorders>
              <w:top w:val="single" w:color="auto" w:sz="6" w:space="0"/>
              <w:left w:val="single" w:color="auto" w:sz="12"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ign w:val="center"/>
          </w:tcPr>
          <w:p>
            <w:pPr>
              <w:autoSpaceDE w:val="0"/>
              <w:autoSpaceDN w:val="0"/>
              <w:rPr>
                <w:rFonts w:ascii="仿宋" w:hAnsi="仿宋" w:eastAsia="仿宋" w:cs="仿宋"/>
                <w:color w:val="auto"/>
                <w:szCs w:val="21"/>
                <w:highlight w:val="none"/>
              </w:rPr>
            </w:pPr>
          </w:p>
        </w:tc>
      </w:tr>
      <w:tr>
        <w:trPr>
          <w:trHeight w:val="408" w:hRule="atLeast"/>
        </w:trPr>
        <w:tc>
          <w:tcPr>
            <w:tcW w:w="427" w:type="pct"/>
            <w:tcBorders>
              <w:top w:val="single" w:color="auto" w:sz="6" w:space="0"/>
              <w:left w:val="single" w:color="auto" w:sz="12"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ign w:val="center"/>
          </w:tcPr>
          <w:p>
            <w:pPr>
              <w:autoSpaceDE w:val="0"/>
              <w:autoSpaceDN w:val="0"/>
              <w:rPr>
                <w:rFonts w:ascii="仿宋" w:hAnsi="仿宋" w:eastAsia="仿宋" w:cs="仿宋"/>
                <w:color w:val="auto"/>
                <w:szCs w:val="21"/>
                <w:highlight w:val="none"/>
              </w:rPr>
            </w:pPr>
          </w:p>
        </w:tc>
      </w:tr>
      <w:tr>
        <w:trPr>
          <w:trHeight w:val="408" w:hRule="atLeast"/>
        </w:trPr>
        <w:tc>
          <w:tcPr>
            <w:tcW w:w="427" w:type="pct"/>
            <w:tcBorders>
              <w:top w:val="single" w:color="auto" w:sz="6" w:space="0"/>
              <w:left w:val="single" w:color="auto" w:sz="12"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ign w:val="center"/>
          </w:tcPr>
          <w:p>
            <w:pPr>
              <w:autoSpaceDE w:val="0"/>
              <w:autoSpaceDN w:val="0"/>
              <w:rPr>
                <w:rFonts w:ascii="仿宋" w:hAnsi="仿宋" w:eastAsia="仿宋" w:cs="仿宋"/>
                <w:color w:val="auto"/>
                <w:szCs w:val="21"/>
                <w:highlight w:val="none"/>
              </w:rPr>
            </w:pPr>
          </w:p>
        </w:tc>
      </w:tr>
      <w:tr>
        <w:trPr>
          <w:trHeight w:val="408" w:hRule="atLeast"/>
        </w:trPr>
        <w:tc>
          <w:tcPr>
            <w:tcW w:w="427" w:type="pct"/>
            <w:tcBorders>
              <w:top w:val="single" w:color="auto" w:sz="6" w:space="0"/>
              <w:left w:val="single" w:color="auto" w:sz="12"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ign w:val="center"/>
          </w:tcPr>
          <w:p>
            <w:pPr>
              <w:autoSpaceDE w:val="0"/>
              <w:autoSpaceDN w:val="0"/>
              <w:rPr>
                <w:rFonts w:ascii="仿宋" w:hAnsi="仿宋" w:eastAsia="仿宋" w:cs="仿宋"/>
                <w:color w:val="auto"/>
                <w:szCs w:val="21"/>
                <w:highlight w:val="none"/>
              </w:rPr>
            </w:pPr>
          </w:p>
        </w:tc>
      </w:tr>
      <w:tr>
        <w:trPr>
          <w:trHeight w:val="408" w:hRule="atLeast"/>
        </w:trPr>
        <w:tc>
          <w:tcPr>
            <w:tcW w:w="427" w:type="pct"/>
            <w:tcBorders>
              <w:top w:val="single" w:color="auto" w:sz="6" w:space="0"/>
              <w:left w:val="single" w:color="auto" w:sz="12"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ign w:val="center"/>
          </w:tcPr>
          <w:p>
            <w:pPr>
              <w:autoSpaceDE w:val="0"/>
              <w:autoSpaceDN w:val="0"/>
              <w:rPr>
                <w:rFonts w:ascii="仿宋" w:hAnsi="仿宋" w:eastAsia="仿宋" w:cs="仿宋"/>
                <w:color w:val="auto"/>
                <w:szCs w:val="21"/>
                <w:highlight w:val="none"/>
              </w:rPr>
            </w:pPr>
          </w:p>
        </w:tc>
      </w:tr>
      <w:tr>
        <w:trPr>
          <w:trHeight w:val="408" w:hRule="atLeast"/>
        </w:trPr>
        <w:tc>
          <w:tcPr>
            <w:tcW w:w="427" w:type="pct"/>
            <w:tcBorders>
              <w:top w:val="single" w:color="auto" w:sz="6" w:space="0"/>
              <w:left w:val="single" w:color="auto" w:sz="12"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ign w:val="center"/>
          </w:tcPr>
          <w:p>
            <w:pPr>
              <w:autoSpaceDE w:val="0"/>
              <w:autoSpaceDN w:val="0"/>
              <w:rPr>
                <w:rFonts w:ascii="仿宋" w:hAnsi="仿宋" w:eastAsia="仿宋" w:cs="仿宋"/>
                <w:color w:val="auto"/>
                <w:szCs w:val="21"/>
                <w:highlight w:val="none"/>
              </w:rPr>
            </w:pPr>
          </w:p>
        </w:tc>
      </w:tr>
      <w:tr>
        <w:trPr>
          <w:trHeight w:val="408" w:hRule="atLeast"/>
        </w:trPr>
        <w:tc>
          <w:tcPr>
            <w:tcW w:w="427" w:type="pct"/>
            <w:tcBorders>
              <w:top w:val="single" w:color="auto" w:sz="6" w:space="0"/>
              <w:left w:val="single" w:color="auto" w:sz="12"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ign w:val="center"/>
          </w:tcPr>
          <w:p>
            <w:pPr>
              <w:autoSpaceDE w:val="0"/>
              <w:autoSpaceDN w:val="0"/>
              <w:rPr>
                <w:rFonts w:ascii="仿宋" w:hAnsi="仿宋" w:eastAsia="仿宋" w:cs="仿宋"/>
                <w:color w:val="auto"/>
                <w:szCs w:val="21"/>
                <w:highlight w:val="none"/>
              </w:rPr>
            </w:pPr>
          </w:p>
        </w:tc>
      </w:tr>
      <w:tr>
        <w:trPr>
          <w:trHeight w:val="408" w:hRule="atLeast"/>
        </w:trPr>
        <w:tc>
          <w:tcPr>
            <w:tcW w:w="427" w:type="pct"/>
            <w:tcBorders>
              <w:top w:val="single" w:color="auto" w:sz="6" w:space="0"/>
              <w:left w:val="single" w:color="auto" w:sz="12"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ign w:val="center"/>
          </w:tcPr>
          <w:p>
            <w:pPr>
              <w:autoSpaceDE w:val="0"/>
              <w:autoSpaceDN w:val="0"/>
              <w:rPr>
                <w:rFonts w:ascii="仿宋" w:hAnsi="仿宋" w:eastAsia="仿宋" w:cs="仿宋"/>
                <w:color w:val="auto"/>
                <w:szCs w:val="21"/>
                <w:highlight w:val="none"/>
              </w:rPr>
            </w:pPr>
          </w:p>
        </w:tc>
      </w:tr>
      <w:tr>
        <w:trPr>
          <w:trHeight w:val="408" w:hRule="atLeast"/>
        </w:trPr>
        <w:tc>
          <w:tcPr>
            <w:tcW w:w="427" w:type="pct"/>
            <w:tcBorders>
              <w:top w:val="single" w:color="auto" w:sz="6" w:space="0"/>
              <w:left w:val="single" w:color="auto" w:sz="12"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ign w:val="center"/>
          </w:tcPr>
          <w:p>
            <w:pPr>
              <w:autoSpaceDE w:val="0"/>
              <w:autoSpaceDN w:val="0"/>
              <w:rPr>
                <w:rFonts w:ascii="仿宋" w:hAnsi="仿宋" w:eastAsia="仿宋" w:cs="仿宋"/>
                <w:color w:val="auto"/>
                <w:szCs w:val="21"/>
                <w:highlight w:val="none"/>
              </w:rPr>
            </w:pPr>
          </w:p>
        </w:tc>
      </w:tr>
      <w:tr>
        <w:trPr>
          <w:trHeight w:val="408" w:hRule="atLeast"/>
        </w:trPr>
        <w:tc>
          <w:tcPr>
            <w:tcW w:w="427" w:type="pct"/>
            <w:tcBorders>
              <w:top w:val="single" w:color="auto" w:sz="6" w:space="0"/>
              <w:left w:val="single" w:color="auto" w:sz="12" w:space="0"/>
              <w:bottom w:val="single" w:color="auto" w:sz="12"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56" w:type="pct"/>
            <w:tcBorders>
              <w:top w:val="single" w:color="auto" w:sz="6" w:space="0"/>
              <w:left w:val="single" w:color="auto" w:sz="6" w:space="0"/>
              <w:bottom w:val="single" w:color="auto" w:sz="12" w:space="0"/>
              <w:right w:val="single" w:color="auto" w:sz="6" w:space="0"/>
            </w:tcBorders>
            <w:noWrap/>
          </w:tcPr>
          <w:p>
            <w:pPr>
              <w:autoSpaceDE w:val="0"/>
              <w:autoSpaceDN w:val="0"/>
              <w:rPr>
                <w:rFonts w:ascii="仿宋" w:hAnsi="仿宋" w:eastAsia="仿宋" w:cs="仿宋"/>
                <w:color w:val="auto"/>
                <w:szCs w:val="21"/>
                <w:highlight w:val="none"/>
              </w:rPr>
            </w:pPr>
          </w:p>
        </w:tc>
        <w:tc>
          <w:tcPr>
            <w:tcW w:w="591" w:type="pct"/>
            <w:tcBorders>
              <w:top w:val="single" w:color="auto" w:sz="6" w:space="0"/>
              <w:left w:val="single" w:color="auto" w:sz="6" w:space="0"/>
              <w:bottom w:val="single" w:color="auto" w:sz="12"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718" w:type="pct"/>
            <w:tcBorders>
              <w:top w:val="single" w:color="auto" w:sz="6" w:space="0"/>
              <w:left w:val="single" w:color="auto" w:sz="6" w:space="0"/>
              <w:bottom w:val="single" w:color="auto" w:sz="12"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409" w:type="pct"/>
            <w:tcBorders>
              <w:top w:val="single" w:color="auto" w:sz="6" w:space="0"/>
              <w:left w:val="single" w:color="auto" w:sz="6" w:space="0"/>
              <w:bottom w:val="single" w:color="auto" w:sz="12"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12"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12"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371" w:type="pct"/>
            <w:tcBorders>
              <w:top w:val="single" w:color="auto" w:sz="6" w:space="0"/>
              <w:left w:val="single" w:color="auto" w:sz="6" w:space="0"/>
              <w:bottom w:val="single" w:color="auto" w:sz="12"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695" w:type="pct"/>
            <w:tcBorders>
              <w:top w:val="single" w:color="auto" w:sz="6" w:space="0"/>
              <w:left w:val="single" w:color="auto" w:sz="6" w:space="0"/>
              <w:bottom w:val="single" w:color="auto" w:sz="12" w:space="0"/>
              <w:right w:val="single" w:color="auto" w:sz="6" w:space="0"/>
            </w:tcBorders>
            <w:noWrap/>
            <w:vAlign w:val="center"/>
          </w:tcPr>
          <w:p>
            <w:pPr>
              <w:autoSpaceDE w:val="0"/>
              <w:autoSpaceDN w:val="0"/>
              <w:rPr>
                <w:rFonts w:ascii="仿宋" w:hAnsi="仿宋" w:eastAsia="仿宋" w:cs="仿宋"/>
                <w:color w:val="auto"/>
                <w:szCs w:val="21"/>
                <w:highlight w:val="none"/>
              </w:rPr>
            </w:pPr>
          </w:p>
        </w:tc>
        <w:tc>
          <w:tcPr>
            <w:tcW w:w="587" w:type="pct"/>
            <w:tcBorders>
              <w:top w:val="single" w:color="auto" w:sz="6" w:space="0"/>
              <w:left w:val="single" w:color="auto" w:sz="6" w:space="0"/>
              <w:bottom w:val="single" w:color="auto" w:sz="12" w:space="0"/>
              <w:right w:val="single" w:color="auto" w:sz="12" w:space="0"/>
            </w:tcBorders>
            <w:noWrap/>
            <w:vAlign w:val="center"/>
          </w:tcPr>
          <w:p>
            <w:pPr>
              <w:autoSpaceDE w:val="0"/>
              <w:autoSpaceDN w:val="0"/>
              <w:rPr>
                <w:rFonts w:ascii="仿宋" w:hAnsi="仿宋" w:eastAsia="仿宋" w:cs="仿宋"/>
                <w:color w:val="auto"/>
                <w:szCs w:val="21"/>
                <w:highlight w:val="none"/>
              </w:rPr>
            </w:pPr>
          </w:p>
        </w:tc>
      </w:tr>
    </w:tbl>
    <w:p>
      <w:pPr>
        <w:jc w:val="left"/>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注：后附相关材料。</w:t>
      </w:r>
    </w:p>
    <w:p>
      <w:pPr>
        <w:rPr>
          <w:rFonts w:ascii="宋体" w:hAnsi="宋体" w:cs="宋体"/>
          <w:color w:val="auto"/>
          <w:highlight w:val="none"/>
        </w:rPr>
      </w:pPr>
    </w:p>
    <w:p>
      <w:pPr>
        <w:pStyle w:val="5"/>
        <w:rPr>
          <w:rFonts w:ascii="宋体" w:hAnsi="宋体" w:eastAsia="宋体" w:cs="宋体"/>
          <w:color w:val="auto"/>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八、商务技术偏离表</w:t>
      </w:r>
    </w:p>
    <w:p>
      <w:pPr>
        <w:pStyle w:val="2"/>
        <w:spacing w:beforeLines="50"/>
        <w:ind w:left="420" w:leftChars="200"/>
        <w:jc w:val="center"/>
        <w:rPr>
          <w:rFonts w:ascii="仿宋_GB2312" w:hAnsi="仿宋" w:eastAsia="仿宋_GB2312" w:cs="仿宋_GB2312"/>
          <w:b/>
          <w:snapToGrid/>
          <w:color w:val="auto"/>
          <w:kern w:val="0"/>
          <w:sz w:val="32"/>
          <w:szCs w:val="32"/>
          <w:highlight w:val="none"/>
          <w:lang w:val="en-US"/>
        </w:rPr>
      </w:pPr>
      <w:r>
        <w:rPr>
          <w:rFonts w:hint="eastAsia" w:ascii="仿宋_GB2312" w:hAnsi="仿宋" w:eastAsia="仿宋_GB2312" w:cs="仿宋_GB2312"/>
          <w:b/>
          <w:snapToGrid/>
          <w:color w:val="auto"/>
          <w:kern w:val="0"/>
          <w:sz w:val="32"/>
          <w:szCs w:val="32"/>
          <w:highlight w:val="none"/>
          <w:lang w:val="en-US"/>
        </w:rPr>
        <w:t>（一）商务偏离表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（二）技术响应表</w:t>
      </w:r>
    </w:p>
    <w:p>
      <w:pPr>
        <w:pStyle w:val="62"/>
        <w:spacing w:beforeLines="50"/>
        <w:ind w:left="840" w:leftChars="400" w:firstLine="0" w:firstLineChars="0"/>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项目名称：                                                                项目编号：QTCG-GK-2025-084</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054"/>
        <w:gridCol w:w="4367"/>
        <w:gridCol w:w="4236"/>
        <w:gridCol w:w="2906"/>
      </w:tblGrid>
      <w:tr>
        <w:tc>
          <w:tcPr>
            <w:tcW w:w="329" w:type="pct"/>
            <w:vAlign w:val="center"/>
          </w:tcPr>
          <w:p>
            <w:pPr>
              <w:jc w:val="center"/>
              <w:rPr>
                <w:rFonts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t>序号</w:t>
            </w:r>
          </w:p>
        </w:tc>
        <w:tc>
          <w:tcPr>
            <w:tcW w:w="707" w:type="pct"/>
            <w:vAlign w:val="center"/>
          </w:tcPr>
          <w:p>
            <w:pPr>
              <w:jc w:val="center"/>
              <w:rPr>
                <w:rFonts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t>名称或内容</w:t>
            </w:r>
          </w:p>
        </w:tc>
        <w:tc>
          <w:tcPr>
            <w:tcW w:w="1503" w:type="pct"/>
            <w:vAlign w:val="center"/>
          </w:tcPr>
          <w:p>
            <w:pPr>
              <w:jc w:val="center"/>
              <w:rPr>
                <w:rFonts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t>招标要求</w:t>
            </w:r>
          </w:p>
        </w:tc>
        <w:tc>
          <w:tcPr>
            <w:tcW w:w="1458" w:type="pct"/>
            <w:vAlign w:val="center"/>
          </w:tcPr>
          <w:p>
            <w:pPr>
              <w:jc w:val="center"/>
              <w:rPr>
                <w:rFonts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t>投标响应</w:t>
            </w:r>
          </w:p>
          <w:p>
            <w:pPr>
              <w:jc w:val="center"/>
              <w:rPr>
                <w:rFonts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t>（逐一对应）</w:t>
            </w:r>
          </w:p>
        </w:tc>
        <w:tc>
          <w:tcPr>
            <w:tcW w:w="1000" w:type="pct"/>
            <w:vAlign w:val="center"/>
          </w:tcPr>
          <w:p>
            <w:pPr>
              <w:jc w:val="center"/>
              <w:rPr>
                <w:rFonts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t>偏离说明</w:t>
            </w:r>
          </w:p>
        </w:tc>
      </w:tr>
      <w:tr>
        <w:tc>
          <w:tcPr>
            <w:tcW w:w="329" w:type="pct"/>
          </w:tcPr>
          <w:p>
            <w:pPr>
              <w:rPr>
                <w:rFonts w:ascii="仿宋_GB2312" w:hAnsi="仿宋" w:eastAsia="仿宋_GB2312" w:cs="仿宋_GB2312"/>
                <w:b/>
                <w:color w:val="auto"/>
                <w:kern w:val="0"/>
                <w:sz w:val="32"/>
                <w:szCs w:val="32"/>
                <w:highlight w:val="none"/>
              </w:rPr>
            </w:pPr>
          </w:p>
        </w:tc>
        <w:tc>
          <w:tcPr>
            <w:tcW w:w="707" w:type="pct"/>
          </w:tcPr>
          <w:p>
            <w:pPr>
              <w:rPr>
                <w:rFonts w:ascii="仿宋_GB2312" w:hAnsi="仿宋" w:eastAsia="仿宋_GB2312" w:cs="仿宋_GB2312"/>
                <w:b/>
                <w:color w:val="auto"/>
                <w:kern w:val="0"/>
                <w:sz w:val="32"/>
                <w:szCs w:val="32"/>
                <w:highlight w:val="none"/>
              </w:rPr>
            </w:pPr>
          </w:p>
        </w:tc>
        <w:tc>
          <w:tcPr>
            <w:tcW w:w="1503" w:type="pct"/>
          </w:tcPr>
          <w:p>
            <w:pPr>
              <w:rPr>
                <w:rFonts w:ascii="仿宋_GB2312" w:hAnsi="仿宋" w:eastAsia="仿宋_GB2312" w:cs="仿宋_GB2312"/>
                <w:b/>
                <w:color w:val="auto"/>
                <w:kern w:val="0"/>
                <w:sz w:val="40"/>
                <w:szCs w:val="40"/>
                <w:highlight w:val="none"/>
              </w:rPr>
            </w:pPr>
          </w:p>
        </w:tc>
        <w:tc>
          <w:tcPr>
            <w:tcW w:w="1458" w:type="pct"/>
          </w:tcPr>
          <w:p>
            <w:pPr>
              <w:widowControl/>
              <w:jc w:val="left"/>
              <w:rPr>
                <w:rFonts w:ascii="仿宋_GB2312" w:hAnsi="仿宋" w:eastAsia="仿宋_GB2312" w:cs="仿宋_GB2312"/>
                <w:b/>
                <w:color w:val="auto"/>
                <w:kern w:val="0"/>
                <w:sz w:val="40"/>
                <w:szCs w:val="40"/>
                <w:highlight w:val="none"/>
              </w:rPr>
            </w:pPr>
          </w:p>
        </w:tc>
        <w:tc>
          <w:tcPr>
            <w:tcW w:w="1000" w:type="pct"/>
          </w:tcPr>
          <w:p>
            <w:pPr>
              <w:rPr>
                <w:rFonts w:ascii="仿宋_GB2312" w:hAnsi="仿宋" w:eastAsia="仿宋_GB2312" w:cs="仿宋_GB2312"/>
                <w:b/>
                <w:color w:val="auto"/>
                <w:kern w:val="0"/>
                <w:sz w:val="40"/>
                <w:szCs w:val="40"/>
                <w:highlight w:val="none"/>
              </w:rPr>
            </w:pPr>
          </w:p>
        </w:tc>
      </w:tr>
      <w:tr>
        <w:tc>
          <w:tcPr>
            <w:tcW w:w="329" w:type="pct"/>
          </w:tcPr>
          <w:p>
            <w:pPr>
              <w:rPr>
                <w:rFonts w:ascii="仿宋_GB2312" w:hAnsi="仿宋" w:eastAsia="仿宋_GB2312" w:cs="仿宋_GB2312"/>
                <w:b/>
                <w:color w:val="auto"/>
                <w:kern w:val="0"/>
                <w:sz w:val="40"/>
                <w:szCs w:val="40"/>
                <w:highlight w:val="none"/>
              </w:rPr>
            </w:pPr>
          </w:p>
        </w:tc>
        <w:tc>
          <w:tcPr>
            <w:tcW w:w="707" w:type="pct"/>
          </w:tcPr>
          <w:p>
            <w:pPr>
              <w:rPr>
                <w:rFonts w:ascii="仿宋_GB2312" w:hAnsi="仿宋" w:eastAsia="仿宋_GB2312" w:cs="仿宋_GB2312"/>
                <w:b/>
                <w:color w:val="auto"/>
                <w:kern w:val="0"/>
                <w:sz w:val="40"/>
                <w:szCs w:val="40"/>
                <w:highlight w:val="none"/>
              </w:rPr>
            </w:pPr>
          </w:p>
        </w:tc>
        <w:tc>
          <w:tcPr>
            <w:tcW w:w="1503" w:type="pct"/>
          </w:tcPr>
          <w:p>
            <w:pPr>
              <w:rPr>
                <w:rFonts w:ascii="仿宋_GB2312" w:hAnsi="仿宋" w:eastAsia="仿宋_GB2312" w:cs="仿宋_GB2312"/>
                <w:b/>
                <w:color w:val="auto"/>
                <w:kern w:val="0"/>
                <w:sz w:val="40"/>
                <w:szCs w:val="40"/>
                <w:highlight w:val="none"/>
              </w:rPr>
            </w:pPr>
          </w:p>
        </w:tc>
        <w:tc>
          <w:tcPr>
            <w:tcW w:w="1458" w:type="pct"/>
          </w:tcPr>
          <w:p>
            <w:pPr>
              <w:rPr>
                <w:rFonts w:ascii="仿宋_GB2312" w:hAnsi="仿宋" w:eastAsia="仿宋_GB2312" w:cs="仿宋_GB2312"/>
                <w:b/>
                <w:color w:val="auto"/>
                <w:kern w:val="0"/>
                <w:sz w:val="40"/>
                <w:szCs w:val="40"/>
                <w:highlight w:val="none"/>
              </w:rPr>
            </w:pPr>
          </w:p>
        </w:tc>
        <w:tc>
          <w:tcPr>
            <w:tcW w:w="1000" w:type="pct"/>
          </w:tcPr>
          <w:p>
            <w:pPr>
              <w:rPr>
                <w:rFonts w:ascii="仿宋_GB2312" w:hAnsi="仿宋" w:eastAsia="仿宋_GB2312" w:cs="仿宋_GB2312"/>
                <w:b/>
                <w:color w:val="auto"/>
                <w:kern w:val="0"/>
                <w:sz w:val="40"/>
                <w:szCs w:val="40"/>
                <w:highlight w:val="none"/>
              </w:rPr>
            </w:pPr>
          </w:p>
        </w:tc>
      </w:tr>
      <w:tr>
        <w:tc>
          <w:tcPr>
            <w:tcW w:w="329" w:type="pct"/>
          </w:tcPr>
          <w:p>
            <w:pPr>
              <w:rPr>
                <w:rFonts w:ascii="仿宋_GB2312" w:hAnsi="仿宋" w:eastAsia="仿宋_GB2312" w:cs="仿宋_GB2312"/>
                <w:b/>
                <w:color w:val="auto"/>
                <w:kern w:val="0"/>
                <w:sz w:val="40"/>
                <w:szCs w:val="40"/>
                <w:highlight w:val="none"/>
              </w:rPr>
            </w:pPr>
          </w:p>
        </w:tc>
        <w:tc>
          <w:tcPr>
            <w:tcW w:w="707" w:type="pct"/>
          </w:tcPr>
          <w:p>
            <w:pPr>
              <w:rPr>
                <w:rFonts w:ascii="仿宋_GB2312" w:hAnsi="仿宋" w:eastAsia="仿宋_GB2312" w:cs="仿宋_GB2312"/>
                <w:b/>
                <w:color w:val="auto"/>
                <w:kern w:val="0"/>
                <w:sz w:val="40"/>
                <w:szCs w:val="40"/>
                <w:highlight w:val="none"/>
              </w:rPr>
            </w:pPr>
          </w:p>
        </w:tc>
        <w:tc>
          <w:tcPr>
            <w:tcW w:w="1503" w:type="pct"/>
          </w:tcPr>
          <w:p>
            <w:pPr>
              <w:rPr>
                <w:rFonts w:ascii="仿宋_GB2312" w:hAnsi="仿宋" w:eastAsia="仿宋_GB2312" w:cs="仿宋_GB2312"/>
                <w:b/>
                <w:color w:val="auto"/>
                <w:kern w:val="0"/>
                <w:sz w:val="40"/>
                <w:szCs w:val="40"/>
                <w:highlight w:val="none"/>
              </w:rPr>
            </w:pPr>
          </w:p>
        </w:tc>
        <w:tc>
          <w:tcPr>
            <w:tcW w:w="1458" w:type="pct"/>
          </w:tcPr>
          <w:p>
            <w:pPr>
              <w:rPr>
                <w:rFonts w:ascii="仿宋_GB2312" w:hAnsi="仿宋" w:eastAsia="仿宋_GB2312" w:cs="仿宋_GB2312"/>
                <w:b/>
                <w:color w:val="auto"/>
                <w:kern w:val="0"/>
                <w:sz w:val="40"/>
                <w:szCs w:val="40"/>
                <w:highlight w:val="none"/>
              </w:rPr>
            </w:pPr>
          </w:p>
        </w:tc>
        <w:tc>
          <w:tcPr>
            <w:tcW w:w="1000" w:type="pct"/>
          </w:tcPr>
          <w:p>
            <w:pPr>
              <w:rPr>
                <w:rFonts w:ascii="仿宋_GB2312" w:hAnsi="仿宋" w:eastAsia="仿宋_GB2312" w:cs="仿宋_GB2312"/>
                <w:b/>
                <w:color w:val="auto"/>
                <w:kern w:val="0"/>
                <w:sz w:val="40"/>
                <w:szCs w:val="40"/>
                <w:highlight w:val="none"/>
              </w:rPr>
            </w:pPr>
          </w:p>
        </w:tc>
      </w:tr>
      <w:tr>
        <w:tc>
          <w:tcPr>
            <w:tcW w:w="329" w:type="pct"/>
          </w:tcPr>
          <w:p>
            <w:pPr>
              <w:rPr>
                <w:rFonts w:ascii="仿宋_GB2312" w:hAnsi="仿宋" w:eastAsia="仿宋_GB2312" w:cs="仿宋_GB2312"/>
                <w:b/>
                <w:color w:val="auto"/>
                <w:kern w:val="0"/>
                <w:sz w:val="40"/>
                <w:szCs w:val="40"/>
                <w:highlight w:val="none"/>
              </w:rPr>
            </w:pPr>
          </w:p>
        </w:tc>
        <w:tc>
          <w:tcPr>
            <w:tcW w:w="707" w:type="pct"/>
          </w:tcPr>
          <w:p>
            <w:pPr>
              <w:rPr>
                <w:rFonts w:ascii="仿宋_GB2312" w:hAnsi="仿宋" w:eastAsia="仿宋_GB2312" w:cs="仿宋_GB2312"/>
                <w:b/>
                <w:color w:val="auto"/>
                <w:kern w:val="0"/>
                <w:sz w:val="40"/>
                <w:szCs w:val="40"/>
                <w:highlight w:val="none"/>
              </w:rPr>
            </w:pPr>
          </w:p>
        </w:tc>
        <w:tc>
          <w:tcPr>
            <w:tcW w:w="1503" w:type="pct"/>
          </w:tcPr>
          <w:p>
            <w:pPr>
              <w:rPr>
                <w:rFonts w:ascii="仿宋_GB2312" w:hAnsi="仿宋" w:eastAsia="仿宋_GB2312" w:cs="仿宋_GB2312"/>
                <w:b/>
                <w:color w:val="auto"/>
                <w:kern w:val="0"/>
                <w:sz w:val="40"/>
                <w:szCs w:val="40"/>
                <w:highlight w:val="none"/>
              </w:rPr>
            </w:pPr>
          </w:p>
        </w:tc>
        <w:tc>
          <w:tcPr>
            <w:tcW w:w="1458" w:type="pct"/>
          </w:tcPr>
          <w:p>
            <w:pPr>
              <w:rPr>
                <w:rFonts w:ascii="仿宋_GB2312" w:hAnsi="仿宋" w:eastAsia="仿宋_GB2312" w:cs="仿宋_GB2312"/>
                <w:b/>
                <w:color w:val="auto"/>
                <w:kern w:val="0"/>
                <w:sz w:val="40"/>
                <w:szCs w:val="40"/>
                <w:highlight w:val="none"/>
              </w:rPr>
            </w:pPr>
          </w:p>
        </w:tc>
        <w:tc>
          <w:tcPr>
            <w:tcW w:w="1000" w:type="pct"/>
          </w:tcPr>
          <w:p>
            <w:pPr>
              <w:rPr>
                <w:rFonts w:ascii="仿宋_GB2312" w:hAnsi="仿宋" w:eastAsia="仿宋_GB2312" w:cs="仿宋_GB2312"/>
                <w:b/>
                <w:color w:val="auto"/>
                <w:kern w:val="0"/>
                <w:sz w:val="40"/>
                <w:szCs w:val="40"/>
                <w:highlight w:val="none"/>
              </w:rPr>
            </w:pPr>
          </w:p>
        </w:tc>
      </w:tr>
      <w:tr>
        <w:tc>
          <w:tcPr>
            <w:tcW w:w="329" w:type="pct"/>
          </w:tcPr>
          <w:p>
            <w:pPr>
              <w:rPr>
                <w:rFonts w:ascii="仿宋_GB2312" w:hAnsi="仿宋" w:eastAsia="仿宋_GB2312" w:cs="仿宋_GB2312"/>
                <w:b/>
                <w:color w:val="auto"/>
                <w:kern w:val="0"/>
                <w:sz w:val="40"/>
                <w:szCs w:val="40"/>
                <w:highlight w:val="none"/>
              </w:rPr>
            </w:pPr>
          </w:p>
        </w:tc>
        <w:tc>
          <w:tcPr>
            <w:tcW w:w="707" w:type="pct"/>
          </w:tcPr>
          <w:p>
            <w:pPr>
              <w:rPr>
                <w:rFonts w:ascii="仿宋_GB2312" w:hAnsi="仿宋" w:eastAsia="仿宋_GB2312" w:cs="仿宋_GB2312"/>
                <w:b/>
                <w:color w:val="auto"/>
                <w:kern w:val="0"/>
                <w:sz w:val="40"/>
                <w:szCs w:val="40"/>
                <w:highlight w:val="none"/>
              </w:rPr>
            </w:pPr>
          </w:p>
        </w:tc>
        <w:tc>
          <w:tcPr>
            <w:tcW w:w="1503" w:type="pct"/>
          </w:tcPr>
          <w:p>
            <w:pPr>
              <w:rPr>
                <w:rFonts w:ascii="仿宋_GB2312" w:hAnsi="仿宋" w:eastAsia="仿宋_GB2312" w:cs="仿宋_GB2312"/>
                <w:b/>
                <w:color w:val="auto"/>
                <w:kern w:val="0"/>
                <w:sz w:val="40"/>
                <w:szCs w:val="40"/>
                <w:highlight w:val="none"/>
              </w:rPr>
            </w:pPr>
          </w:p>
        </w:tc>
        <w:tc>
          <w:tcPr>
            <w:tcW w:w="1458" w:type="pct"/>
          </w:tcPr>
          <w:p>
            <w:pPr>
              <w:rPr>
                <w:rFonts w:ascii="仿宋_GB2312" w:hAnsi="仿宋" w:eastAsia="仿宋_GB2312" w:cs="仿宋_GB2312"/>
                <w:b/>
                <w:color w:val="auto"/>
                <w:kern w:val="0"/>
                <w:sz w:val="40"/>
                <w:szCs w:val="40"/>
                <w:highlight w:val="none"/>
              </w:rPr>
            </w:pPr>
          </w:p>
        </w:tc>
        <w:tc>
          <w:tcPr>
            <w:tcW w:w="1000" w:type="pct"/>
          </w:tcPr>
          <w:p>
            <w:pPr>
              <w:rPr>
                <w:rFonts w:ascii="仿宋_GB2312" w:hAnsi="仿宋" w:eastAsia="仿宋_GB2312" w:cs="仿宋_GB2312"/>
                <w:b/>
                <w:color w:val="auto"/>
                <w:kern w:val="0"/>
                <w:sz w:val="40"/>
                <w:szCs w:val="40"/>
                <w:highlight w:val="none"/>
              </w:rPr>
            </w:pPr>
          </w:p>
        </w:tc>
      </w:tr>
      <w:tr>
        <w:tc>
          <w:tcPr>
            <w:tcW w:w="329" w:type="pct"/>
          </w:tcPr>
          <w:p>
            <w:pPr>
              <w:rPr>
                <w:rFonts w:ascii="仿宋_GB2312" w:hAnsi="仿宋" w:eastAsia="仿宋_GB2312" w:cs="仿宋_GB2312"/>
                <w:b/>
                <w:color w:val="auto"/>
                <w:kern w:val="0"/>
                <w:sz w:val="40"/>
                <w:szCs w:val="40"/>
                <w:highlight w:val="none"/>
              </w:rPr>
            </w:pPr>
          </w:p>
        </w:tc>
        <w:tc>
          <w:tcPr>
            <w:tcW w:w="707" w:type="pct"/>
          </w:tcPr>
          <w:p>
            <w:pPr>
              <w:rPr>
                <w:rFonts w:ascii="仿宋_GB2312" w:hAnsi="仿宋" w:eastAsia="仿宋_GB2312" w:cs="仿宋_GB2312"/>
                <w:b/>
                <w:color w:val="auto"/>
                <w:kern w:val="0"/>
                <w:sz w:val="40"/>
                <w:szCs w:val="40"/>
                <w:highlight w:val="none"/>
              </w:rPr>
            </w:pPr>
          </w:p>
        </w:tc>
        <w:tc>
          <w:tcPr>
            <w:tcW w:w="1503" w:type="pct"/>
          </w:tcPr>
          <w:p>
            <w:pPr>
              <w:rPr>
                <w:rFonts w:ascii="仿宋_GB2312" w:hAnsi="仿宋" w:eastAsia="仿宋_GB2312" w:cs="仿宋_GB2312"/>
                <w:b/>
                <w:color w:val="auto"/>
                <w:kern w:val="0"/>
                <w:sz w:val="40"/>
                <w:szCs w:val="40"/>
                <w:highlight w:val="none"/>
              </w:rPr>
            </w:pPr>
          </w:p>
        </w:tc>
        <w:tc>
          <w:tcPr>
            <w:tcW w:w="1458" w:type="pct"/>
          </w:tcPr>
          <w:p>
            <w:pPr>
              <w:rPr>
                <w:rFonts w:ascii="仿宋_GB2312" w:hAnsi="仿宋" w:eastAsia="仿宋_GB2312" w:cs="仿宋_GB2312"/>
                <w:b/>
                <w:color w:val="auto"/>
                <w:kern w:val="0"/>
                <w:sz w:val="40"/>
                <w:szCs w:val="40"/>
                <w:highlight w:val="none"/>
              </w:rPr>
            </w:pPr>
          </w:p>
        </w:tc>
        <w:tc>
          <w:tcPr>
            <w:tcW w:w="1000" w:type="pct"/>
          </w:tcPr>
          <w:p>
            <w:pPr>
              <w:rPr>
                <w:rFonts w:ascii="仿宋_GB2312" w:hAnsi="仿宋" w:eastAsia="仿宋_GB2312" w:cs="仿宋_GB2312"/>
                <w:b/>
                <w:color w:val="auto"/>
                <w:kern w:val="0"/>
                <w:sz w:val="40"/>
                <w:szCs w:val="40"/>
                <w:highlight w:val="none"/>
              </w:rPr>
            </w:pPr>
          </w:p>
        </w:tc>
      </w:tr>
    </w:tbl>
    <w:p>
      <w:pPr>
        <w:widowControl/>
        <w:jc w:val="left"/>
        <w:rPr>
          <w:color w:val="auto"/>
          <w:highlight w:val="none"/>
        </w:rPr>
      </w:pPr>
      <w:r>
        <w:rPr>
          <w:rFonts w:ascii="仿宋" w:hAnsi="仿宋" w:eastAsia="仿宋" w:cs="仿宋"/>
          <w:b/>
          <w:bCs/>
          <w:color w:val="auto"/>
          <w:kern w:val="0"/>
          <w:sz w:val="24"/>
          <w:highlight w:val="none"/>
        </w:rPr>
        <w:t>备注：1、对照《第三部分 采购需求书》如实填写上表，虚假应标一律按提供虚假材料处理；2、“偏离情况”栏填写：</w:t>
      </w:r>
      <w:r>
        <w:rPr>
          <w:rFonts w:hint="eastAsia" w:ascii="仿宋" w:hAnsi="仿宋" w:eastAsia="仿宋" w:cs="仿宋"/>
          <w:b/>
          <w:bCs/>
          <w:color w:val="auto"/>
          <w:kern w:val="0"/>
          <w:sz w:val="24"/>
          <w:highlight w:val="none"/>
        </w:rPr>
        <w:t>“响应”或“不响应”。3、后附相关说明材料（如有）</w:t>
      </w:r>
    </w:p>
    <w:p>
      <w:pPr>
        <w:pStyle w:val="2"/>
        <w:rPr>
          <w:color w:val="auto"/>
          <w:highlight w:val="none"/>
        </w:rPr>
        <w:sectPr>
          <w:pgSz w:w="16838" w:h="11906" w:orient="landscape"/>
          <w:pgMar w:top="1418" w:right="1276" w:bottom="1418" w:left="1247" w:header="851" w:footer="992" w:gutter="0"/>
          <w:cols w:space="720" w:num="1"/>
          <w:titlePg/>
          <w:docGrid w:linePitch="312" w:charSpace="0"/>
        </w:sectPr>
      </w:pPr>
    </w:p>
    <w:p>
      <w:pPr>
        <w:pStyle w:val="2"/>
        <w:rPr>
          <w:color w:val="auto"/>
          <w:highlight w:val="none"/>
        </w:rPr>
      </w:pPr>
    </w:p>
    <w:p>
      <w:pPr>
        <w:ind w:firstLine="1906"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九、</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 xml:space="preserve">  （采购人）、（采购代理机构）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jc w:val="center"/>
        <w:rPr>
          <w:rFonts w:ascii="宋体" w:hAnsi="宋体" w:cs="宋体"/>
          <w:b/>
          <w:bCs/>
          <w:color w:val="auto"/>
          <w:sz w:val="24"/>
          <w:highlight w:val="none"/>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kern w:val="0"/>
          <w:sz w:val="24"/>
          <w:highlight w:val="none"/>
        </w:rPr>
        <w:t>项目名称</w:t>
      </w:r>
      <w:r>
        <w:rPr>
          <w:rFonts w:hint="eastAsia" w:ascii="仿宋" w:hAnsi="仿宋" w:eastAsia="仿宋" w:cs="仿宋"/>
          <w:color w:val="auto"/>
          <w:kern w:val="0"/>
          <w:sz w:val="24"/>
          <w:highlight w:val="none"/>
          <w:lang w:val="zh-CN"/>
        </w:rPr>
        <w:t>）【招标编号：QTCG-GK-2025-084</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2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4327"/>
        <w:gridCol w:w="5704"/>
        <w:gridCol w:w="1521"/>
      </w:tblGrid>
      <w:tr>
        <w:trPr>
          <w:trHeight w:val="798" w:hRule="atLeast"/>
          <w:jc w:val="center"/>
        </w:trPr>
        <w:tc>
          <w:tcPr>
            <w:tcW w:w="903"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327" w:type="dxa"/>
            <w:vAlign w:val="center"/>
          </w:tcPr>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标项名称</w:t>
            </w:r>
          </w:p>
        </w:tc>
        <w:tc>
          <w:tcPr>
            <w:tcW w:w="570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p>
        </w:tc>
        <w:tc>
          <w:tcPr>
            <w:tcW w:w="1521"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rPr>
          <w:trHeight w:val="472" w:hRule="atLeast"/>
          <w:jc w:val="center"/>
        </w:trPr>
        <w:tc>
          <w:tcPr>
            <w:tcW w:w="903" w:type="dxa"/>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4327" w:type="dxa"/>
            <w:vAlign w:val="center"/>
          </w:tcPr>
          <w:p>
            <w:pPr>
              <w:widowControl/>
              <w:spacing w:line="360" w:lineRule="auto"/>
              <w:jc w:val="center"/>
              <w:textAlignment w:val="center"/>
              <w:rPr>
                <w:rFonts w:hint="default"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lang w:eastAsia="zh-CN"/>
              </w:rPr>
              <w:t>2025年杭州市钱塘区建筑工程消防验收第三方服务项目项目</w:t>
            </w:r>
          </w:p>
        </w:tc>
        <w:tc>
          <w:tcPr>
            <w:tcW w:w="5704" w:type="dxa"/>
            <w:vAlign w:val="center"/>
          </w:tcPr>
          <w:p>
            <w:pP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元</w:t>
            </w:r>
            <w:r>
              <w:rPr>
                <w:rFonts w:hint="eastAsia" w:ascii="仿宋" w:hAnsi="仿宋" w:eastAsia="仿宋" w:cs="仿宋"/>
                <w:snapToGrid w:val="0"/>
                <w:color w:val="auto"/>
                <w:kern w:val="0"/>
                <w:sz w:val="24"/>
                <w:szCs w:val="24"/>
                <w:highlight w:val="none"/>
                <w:lang w:val="en-US" w:eastAsia="zh-CN"/>
              </w:rPr>
              <w:t>/平方米</w:t>
            </w:r>
            <w:r>
              <w:rPr>
                <w:rFonts w:hint="eastAsia" w:ascii="仿宋" w:hAnsi="仿宋" w:eastAsia="仿宋" w:cs="仿宋"/>
                <w:snapToGrid w:val="0"/>
                <w:color w:val="auto"/>
                <w:kern w:val="0"/>
                <w:sz w:val="24"/>
                <w:szCs w:val="24"/>
                <w:highlight w:val="none"/>
              </w:rPr>
              <w:t>（大写：</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w:t>
            </w:r>
          </w:p>
        </w:tc>
        <w:tc>
          <w:tcPr>
            <w:tcW w:w="1521" w:type="dxa"/>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ascii="宋体" w:hAnsi="宋体" w:cs="宋体"/>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kern w:val="0"/>
          <w:sz w:val="24"/>
          <w:highlight w:val="none"/>
          <w:lang w:val="zh-CN"/>
        </w:rPr>
        <w:t>总价</w:t>
      </w:r>
      <w:r>
        <w:rPr>
          <w:rFonts w:hint="eastAsia" w:ascii="仿宋" w:hAnsi="仿宋" w:eastAsia="仿宋" w:cs="仿宋"/>
          <w:color w:val="auto"/>
          <w:kern w:val="0"/>
          <w:sz w:val="24"/>
          <w:highlight w:val="none"/>
          <w:lang w:val="zh-CN" w:eastAsia="zh-CN"/>
        </w:rPr>
        <w:t>不为零</w:t>
      </w:r>
      <w:r>
        <w:rPr>
          <w:rFonts w:hint="eastAsia" w:ascii="仿宋" w:hAnsi="仿宋" w:eastAsia="仿宋" w:cs="仿宋"/>
          <w:color w:val="auto"/>
          <w:kern w:val="0"/>
          <w:sz w:val="24"/>
          <w:highlight w:val="none"/>
          <w:lang w:val="zh-CN"/>
        </w:rPr>
        <w:t>，报价明细表中</w:t>
      </w:r>
      <w:r>
        <w:rPr>
          <w:rFonts w:hint="eastAsia" w:ascii="仿宋" w:hAnsi="仿宋" w:eastAsia="仿宋" w:cs="仿宋"/>
          <w:color w:val="auto"/>
          <w:kern w:val="0"/>
          <w:sz w:val="24"/>
          <w:highlight w:val="none"/>
          <w:lang w:val="zh-CN" w:eastAsia="zh-CN"/>
        </w:rPr>
        <w:t>部分</w:t>
      </w:r>
      <w:r>
        <w:rPr>
          <w:rFonts w:hint="eastAsia" w:ascii="仿宋" w:hAnsi="仿宋" w:eastAsia="仿宋" w:cs="仿宋"/>
          <w:color w:val="auto"/>
          <w:kern w:val="0"/>
          <w:sz w:val="24"/>
          <w:highlight w:val="none"/>
          <w:lang w:val="zh-CN"/>
        </w:rPr>
        <w:t>产品、服务单价为零的，视作已包含在总价中</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仿宋" w:hAnsi="仿宋" w:eastAsia="仿宋" w:cs="仿宋"/>
          <w:color w:val="auto"/>
          <w:kern w:val="0"/>
          <w:sz w:val="24"/>
          <w:szCs w:val="22"/>
          <w:highlight w:val="none"/>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djustRightInd w:val="0"/>
        <w:snapToGrid w:val="0"/>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lang w:val="zh-CN" w:eastAsia="zh-CN"/>
        </w:rPr>
        <w:t>、</w:t>
      </w:r>
      <w:r>
        <w:rPr>
          <w:rFonts w:hint="eastAsia" w:ascii="宋体" w:hAnsi="宋体" w:eastAsia="宋体" w:cs="宋体"/>
          <w:b/>
          <w:bCs/>
          <w:color w:val="auto"/>
          <w:sz w:val="24"/>
          <w:highlight w:val="none"/>
          <w:lang w:eastAsia="zh-CN"/>
        </w:rPr>
        <w:t>供应商报价低于最高限价50%（不含）的，应当在报价文件中详细阐述不影响产品质量或者诚信履约的具体原因。</w:t>
      </w:r>
    </w:p>
    <w:p>
      <w:pPr>
        <w:adjustRightInd w:val="0"/>
        <w:snapToGrid w:val="0"/>
        <w:spacing w:line="360" w:lineRule="auto"/>
        <w:ind w:firstLine="480"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6、▲最高限价为0.5元/平方米（超过的投标无效）。</w:t>
      </w:r>
    </w:p>
    <w:p>
      <w:pPr>
        <w:spacing w:line="360" w:lineRule="auto"/>
        <w:ind w:firstLine="480" w:firstLineChars="200"/>
        <w:rPr>
          <w:rFonts w:ascii="宋体" w:hAnsi="宋体" w:cs="宋体"/>
          <w:b/>
          <w:color w:val="auto"/>
          <w:kern w:val="0"/>
          <w:sz w:val="24"/>
          <w:highlight w:val="none"/>
        </w:rPr>
        <w:sectPr>
          <w:pgSz w:w="16838" w:h="11906" w:orient="landscape"/>
          <w:pgMar w:top="1418" w:right="1247" w:bottom="1418" w:left="1276" w:header="851" w:footer="992" w:gutter="0"/>
          <w:cols w:space="720" w:num="1"/>
          <w:titlePg/>
          <w:docGrid w:linePitch="312" w:charSpace="0"/>
        </w:sectPr>
      </w:pPr>
    </w:p>
    <w:p>
      <w:pPr>
        <w:snapToGrid w:val="0"/>
        <w:jc w:val="center"/>
        <w:rPr>
          <w:color w:val="auto"/>
          <w:sz w:val="36"/>
          <w:szCs w:val="36"/>
          <w:highlight w:val="none"/>
        </w:rPr>
      </w:pPr>
      <w:r>
        <w:rPr>
          <w:rFonts w:hint="eastAsia" w:ascii="仿宋" w:hAnsi="仿宋" w:eastAsia="仿宋" w:cs="仿宋"/>
          <w:color w:val="auto"/>
          <w:sz w:val="32"/>
          <w:szCs w:val="32"/>
          <w:highlight w:val="none"/>
        </w:rPr>
        <w:t xml:space="preserve">  报价明细表</w:t>
      </w:r>
    </w:p>
    <w:p>
      <w:pPr>
        <w:spacing w:line="360" w:lineRule="auto"/>
        <w:rPr>
          <w:rFonts w:ascii="仿宋" w:hAnsi="仿宋" w:eastAsia="仿宋" w:cs="仿宋"/>
          <w:snapToGrid w:val="0"/>
          <w:color w:val="auto"/>
          <w:sz w:val="24"/>
          <w:szCs w:val="21"/>
          <w:highlight w:val="none"/>
          <w:lang w:val="zh-CN"/>
        </w:rPr>
      </w:pPr>
      <w:r>
        <w:rPr>
          <w:rFonts w:hint="eastAsia" w:ascii="仿宋" w:hAnsi="仿宋" w:eastAsia="仿宋" w:cs="仿宋"/>
          <w:snapToGrid w:val="0"/>
          <w:color w:val="auto"/>
          <w:sz w:val="24"/>
          <w:szCs w:val="21"/>
          <w:highlight w:val="none"/>
          <w:lang w:val="zh-CN"/>
        </w:rPr>
        <w:t>项目名称：</w:t>
      </w:r>
      <w:r>
        <w:rPr>
          <w:rFonts w:hint="eastAsia" w:ascii="仿宋" w:hAnsi="仿宋" w:eastAsia="仿宋" w:cs="仿宋"/>
          <w:snapToGrid w:val="0"/>
          <w:color w:val="auto"/>
          <w:sz w:val="24"/>
          <w:szCs w:val="21"/>
          <w:highlight w:val="none"/>
        </w:rPr>
        <w:t xml:space="preserve"> </w:t>
      </w:r>
    </w:p>
    <w:p>
      <w:pPr>
        <w:widowControl/>
        <w:spacing w:line="360" w:lineRule="auto"/>
        <w:jc w:val="left"/>
        <w:textAlignment w:val="top"/>
        <w:rPr>
          <w:rFonts w:ascii="仿宋" w:hAnsi="仿宋" w:eastAsia="仿宋" w:cs="仿宋"/>
          <w:color w:val="auto"/>
          <w:kern w:val="0"/>
          <w:sz w:val="24"/>
          <w:highlight w:val="none"/>
        </w:rPr>
      </w:pPr>
      <w:r>
        <w:rPr>
          <w:rFonts w:hint="eastAsia" w:ascii="仿宋" w:hAnsi="仿宋" w:eastAsia="仿宋" w:cs="仿宋"/>
          <w:snapToGrid w:val="0"/>
          <w:color w:val="auto"/>
          <w:sz w:val="24"/>
          <w:szCs w:val="21"/>
          <w:highlight w:val="none"/>
          <w:lang w:val="zh-CN"/>
        </w:rPr>
        <w:t>采购编号：</w:t>
      </w:r>
    </w:p>
    <w:p>
      <w:pPr>
        <w:widowControl/>
        <w:spacing w:line="360" w:lineRule="auto"/>
        <w:jc w:val="left"/>
        <w:textAlignment w:val="top"/>
        <w:rPr>
          <w:rFonts w:ascii="仿宋" w:hAnsi="仿宋" w:eastAsia="仿宋" w:cs="仿宋"/>
          <w:color w:val="auto"/>
          <w:kern w:val="0"/>
          <w:sz w:val="24"/>
          <w:highlight w:val="none"/>
        </w:rPr>
      </w:pPr>
    </w:p>
    <w:p>
      <w:pPr>
        <w:pStyle w:val="2"/>
        <w:rPr>
          <w:rFonts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rPr>
        <w:t>自拟</w:t>
      </w:r>
      <w:r>
        <w:rPr>
          <w:rFonts w:hint="eastAsia" w:ascii="仿宋" w:hAnsi="仿宋" w:eastAsia="仿宋" w:cs="仿宋"/>
          <w:color w:val="auto"/>
          <w:szCs w:val="24"/>
          <w:highlight w:val="none"/>
        </w:rPr>
        <w:t>）</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 报价明细内容自拟。</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2、上表所述“报价”应与“开标一览表”中的报价一致，如有矛盾，以“开标一览表”中的为准。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3.采购人将以合同形式有偿取得货物或服务，不接受投标人给予的赠品、回扣或者与采购无关的其他商品、服务，各项明细费用请按实填写（不得出现“0元”“免费赠送”等形式的无偿报价）。</w:t>
      </w:r>
    </w:p>
    <w:p>
      <w:pPr>
        <w:widowControl/>
        <w:spacing w:line="360" w:lineRule="auto"/>
        <w:jc w:val="left"/>
        <w:textAlignment w:val="top"/>
        <w:rPr>
          <w:rFonts w:ascii="仿宋" w:hAnsi="仿宋" w:eastAsia="仿宋" w:cs="仿宋"/>
          <w:color w:val="auto"/>
          <w:kern w:val="0"/>
          <w:sz w:val="24"/>
          <w:highlight w:val="none"/>
        </w:rPr>
      </w:pPr>
    </w:p>
    <w:p>
      <w:pPr>
        <w:autoSpaceDE w:val="0"/>
        <w:autoSpaceDN w:val="0"/>
        <w:ind w:left="2" w:leftChars="1" w:right="1120" w:firstLine="4560" w:firstLineChars="1900"/>
        <w:jc w:val="right"/>
        <w:rPr>
          <w:rFonts w:ascii="仿宋" w:hAnsi="仿宋" w:eastAsia="仿宋" w:cs="仿宋"/>
          <w:color w:val="auto"/>
          <w:sz w:val="24"/>
          <w:highlight w:val="none"/>
          <w:lang w:val="zh-CN"/>
        </w:rPr>
      </w:pPr>
    </w:p>
    <w:p>
      <w:pPr>
        <w:autoSpaceDE w:val="0"/>
        <w:autoSpaceDN w:val="0"/>
        <w:ind w:left="2" w:leftChars="1" w:right="1120" w:firstLine="4560" w:firstLineChars="1900"/>
        <w:jc w:val="right"/>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sz w:val="24"/>
          <w:highlight w:val="none"/>
          <w:lang w:val="zh-CN"/>
        </w:rPr>
        <w:t xml:space="preserve">）：                                                                                                                                                                                                               </w:t>
      </w:r>
    </w:p>
    <w:p>
      <w:pPr>
        <w:autoSpaceDE w:val="0"/>
        <w:autoSpaceDN w:val="0"/>
        <w:ind w:left="2" w:leftChars="1" w:right="1120" w:firstLine="4560" w:firstLineChars="1900"/>
        <w:jc w:val="right"/>
        <w:rPr>
          <w:rFonts w:ascii="宋体" w:hAnsi="宋体" w:cs="宋体"/>
          <w:color w:val="auto"/>
          <w:sz w:val="32"/>
          <w:szCs w:val="32"/>
          <w:highlight w:val="none"/>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   年   月   日</w:t>
      </w: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47" w:right="1418" w:bottom="1276" w:left="1418" w:header="851" w:footer="992" w:gutter="0"/>
          <w:cols w:space="720" w:num="1"/>
          <w:titlePg/>
          <w:docGrid w:linePitch="312" w:charSpace="0"/>
        </w:sectPr>
      </w:pPr>
    </w:p>
    <w:p>
      <w:pPr>
        <w:pStyle w:val="694"/>
        <w:keepNext w:val="0"/>
        <w:pageBreakBefore/>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w:t>
      </w:r>
      <w:r>
        <w:rPr>
          <w:rFonts w:hint="eastAsia" w:ascii="宋体" w:hAnsi="宋体" w:eastAsia="宋体" w:cs="宋体"/>
          <w:b w:val="0"/>
          <w:bCs w:val="0"/>
          <w:color w:val="auto"/>
          <w:sz w:val="24"/>
          <w:szCs w:val="24"/>
          <w:highlight w:val="none"/>
          <w:lang w:val="en-US" w:eastAsia="zh-CN"/>
        </w:rPr>
        <w:t>最高限价</w:t>
      </w:r>
      <w:r>
        <w:rPr>
          <w:rFonts w:hint="eastAsia" w:ascii="宋体" w:hAnsi="宋体" w:eastAsia="宋体" w:cs="宋体"/>
          <w:b w:val="0"/>
          <w:bCs w:val="0"/>
          <w:color w:val="auto"/>
          <w:sz w:val="24"/>
          <w:szCs w:val="24"/>
          <w:highlight w:val="none"/>
          <w:lang w:val="en-US"/>
        </w:rPr>
        <w:t>50%</w:t>
      </w:r>
      <w:r>
        <w:rPr>
          <w:rFonts w:hint="eastAsia" w:ascii="宋体" w:hAnsi="宋体" w:eastAsia="宋体" w:cs="宋体"/>
          <w:b w:val="0"/>
          <w:bCs w:val="0"/>
          <w:color w:val="auto"/>
          <w:sz w:val="24"/>
          <w:szCs w:val="24"/>
          <w:highlight w:val="none"/>
          <w:lang w:val="en-US" w:eastAsia="zh-CN"/>
        </w:rPr>
        <w:t>（不含）</w:t>
      </w:r>
      <w:r>
        <w:rPr>
          <w:rFonts w:hint="eastAsia" w:ascii="宋体" w:hAnsi="宋体" w:eastAsia="宋体" w:cs="宋体"/>
          <w:b w:val="0"/>
          <w:bCs w:val="0"/>
          <w:color w:val="auto"/>
          <w:sz w:val="24"/>
          <w:szCs w:val="24"/>
          <w:highlight w:val="none"/>
          <w:lang w:val="en-US"/>
        </w:rPr>
        <w:t>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lang w:eastAsia="zh-CN"/>
        </w:rPr>
        <w:br w:type="page"/>
      </w:r>
    </w:p>
    <w:p>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pPr>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关于钱塘区政府采购支持中小企业信用融资相关事项通知</w:t>
      </w:r>
    </w:p>
    <w:p>
      <w:pPr>
        <w:spacing w:line="360" w:lineRule="auto"/>
        <w:jc w:val="center"/>
        <w:rPr>
          <w:rFonts w:ascii="宋体" w:hAnsi="宋体" w:cs="宋体"/>
          <w:b/>
          <w:color w:val="auto"/>
          <w:szCs w:val="21"/>
          <w:highlight w:val="none"/>
        </w:rPr>
      </w:pP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0" w:firstLineChars="200"/>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一、适用对象</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在浙江“政采云”平台注册入库，并取得钱塘区政府采购合同的中小企业供应商。</w:t>
      </w:r>
    </w:p>
    <w:p>
      <w:pPr>
        <w:snapToGrid w:val="0"/>
        <w:spacing w:line="360" w:lineRule="auto"/>
        <w:ind w:firstLine="480" w:firstLineChars="200"/>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二、相关信息获取方式</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0" w:firstLineChars="200"/>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三、申请方式和步骤</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、采购单位应及时将信用融资合同提交备案。</w:t>
      </w:r>
    </w:p>
    <w:p>
      <w:pPr>
        <w:snapToGrid w:val="0"/>
        <w:spacing w:line="360" w:lineRule="auto"/>
        <w:ind w:firstLine="480" w:firstLineChars="200"/>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四、注意事项</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0" w:firstLineChars="200"/>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五、合作银行及联系方式</w:t>
      </w:r>
    </w:p>
    <w:tbl>
      <w:tblPr>
        <w:tblStyle w:val="63"/>
        <w:tblW w:w="0" w:type="auto"/>
        <w:tblInd w:w="95" w:type="dxa"/>
        <w:tblLayout w:type="fixed"/>
        <w:tblCellMar>
          <w:top w:w="0" w:type="dxa"/>
          <w:left w:w="108" w:type="dxa"/>
          <w:bottom w:w="0" w:type="dxa"/>
          <w:right w:w="108" w:type="dxa"/>
        </w:tblCellMar>
      </w:tblPr>
      <w:tblGrid>
        <w:gridCol w:w="1080"/>
        <w:gridCol w:w="3020"/>
        <w:gridCol w:w="1420"/>
        <w:gridCol w:w="3220"/>
      </w:tblGrid>
      <w:tr>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电话</w:t>
            </w:r>
          </w:p>
        </w:tc>
      </w:tr>
      <w:tr>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13065710830</w:t>
            </w:r>
          </w:p>
        </w:tc>
      </w:tr>
      <w:tr>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13777889798</w:t>
            </w:r>
          </w:p>
        </w:tc>
      </w:tr>
      <w:tr>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13906811832</w:t>
            </w:r>
          </w:p>
        </w:tc>
      </w:tr>
      <w:tr>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费莎</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13388617781</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13858023883</w:t>
            </w:r>
          </w:p>
        </w:tc>
      </w:tr>
      <w:tr>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13777421564</w:t>
            </w:r>
          </w:p>
        </w:tc>
      </w:tr>
      <w:tr>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13957168926</w:t>
            </w:r>
          </w:p>
        </w:tc>
      </w:tr>
      <w:tr>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13735710338</w:t>
            </w:r>
          </w:p>
        </w:tc>
      </w:tr>
      <w:tr>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13575745232</w:t>
            </w:r>
          </w:p>
        </w:tc>
      </w:tr>
      <w:tr>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18906520030</w:t>
            </w:r>
          </w:p>
        </w:tc>
      </w:tr>
      <w:tr>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王安东</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15158025713</w:t>
            </w:r>
          </w:p>
          <w:p>
            <w:pPr>
              <w:widowControl/>
              <w:jc w:val="center"/>
              <w:rPr>
                <w:rFonts w:ascii="宋体" w:hAnsi="宋体" w:cs="宋体"/>
                <w:color w:val="auto"/>
                <w:highlight w:val="none"/>
              </w:rPr>
            </w:pPr>
            <w:r>
              <w:rPr>
                <w:rFonts w:hint="eastAsia" w:ascii="宋体" w:hAnsi="宋体" w:cs="宋体"/>
                <w:color w:val="auto"/>
                <w:kern w:val="0"/>
                <w:sz w:val="24"/>
                <w:highlight w:val="none"/>
              </w:rPr>
              <w:t>15067483470</w:t>
            </w:r>
          </w:p>
        </w:tc>
      </w:tr>
      <w:tr>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82921293，18258888258</w:t>
            </w:r>
          </w:p>
        </w:tc>
      </w:tr>
      <w:tr>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18805812679</w:t>
            </w:r>
          </w:p>
        </w:tc>
      </w:tr>
    </w:tbl>
    <w:p>
      <w:pPr>
        <w:spacing w:line="360" w:lineRule="auto"/>
        <w:ind w:left="5060" w:hanging="5045" w:hangingChars="2100"/>
        <w:rPr>
          <w:rFonts w:ascii="宋体" w:hAnsi="宋体" w:cs="宋体"/>
          <w:b/>
          <w:bCs/>
          <w:color w:val="auto"/>
          <w:kern w:val="0"/>
          <w:sz w:val="24"/>
          <w:highlight w:val="none"/>
        </w:rPr>
      </w:pPr>
    </w:p>
    <w:p>
      <w:pPr>
        <w:pStyle w:val="4"/>
        <w:keepNext w:val="0"/>
        <w:keepLines w:val="0"/>
        <w:pageBreakBefore/>
        <w:widowControl/>
        <w:spacing w:before="100" w:beforeAutospacing="1" w:after="100" w:afterAutospacing="1" w:line="360" w:lineRule="auto"/>
        <w:ind w:left="1290" w:firstLine="3083" w:firstLineChars="700"/>
        <w:rPr>
          <w:rFonts w:ascii="宋体" w:hAnsi="宋体" w:cs="宋体"/>
          <w:color w:val="auto"/>
          <w:highlight w:val="none"/>
        </w:rPr>
      </w:pPr>
      <w:bookmarkStart w:id="410" w:name="_Toc465665161"/>
      <w:r>
        <w:rPr>
          <w:rFonts w:hint="eastAsia" w:ascii="宋体" w:hAnsi="宋体" w:cs="宋体"/>
          <w:color w:val="auto"/>
          <w:highlight w:val="none"/>
        </w:rPr>
        <w:t>附件</w:t>
      </w:r>
      <w:bookmarkEnd w:id="410"/>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11" w:name="OLE_LINK13"/>
      <w:bookmarkStart w:id="412" w:name="OLE_LINK14"/>
      <w:r>
        <w:rPr>
          <w:rFonts w:hint="eastAsia" w:ascii="宋体" w:hAnsi="宋体" w:cs="宋体"/>
          <w:b/>
          <w:color w:val="auto"/>
          <w:spacing w:val="6"/>
          <w:sz w:val="32"/>
          <w:szCs w:val="32"/>
          <w:highlight w:val="none"/>
        </w:rPr>
        <w:t>残疾人福利性单位声明函</w:t>
      </w:r>
    </w:p>
    <w:bookmarkEnd w:id="411"/>
    <w:bookmarkEnd w:id="41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1kA8/2AAAAAoBAAAPAAAAAAAAAAEAIAAA&#10;ADgAAABkcnMvZG93bnJldi54bWxQSwECFAAUAAAACACHTuJA3H4BjC8CAACCBAAADgAAAAAAAAAB&#10;ACAAAAA9AQAAZHJzL2Uyb0RvYy54bWxQSwUGAAAAAAYABgBZAQAA3g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ZjEem2AAAAAoBAAAPAAAAAAAAAAEAIAAA&#10;ADgAAABkcnMvZG93bnJldi54bWxQSwECFAAUAAAACACHTuJATWcsNC8CAACCBAAADgAAAAAAAAAB&#10;ACAAAAA9AQAAZHJzL2Uyb0RvYy54bWxQSwUGAAAAAAYABgBZAQAA3g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rPr>
          <w:rFonts w:ascii="宋体" w:hAnsi="宋体" w:cs="宋体"/>
          <w:color w:val="auto"/>
          <w:highlight w:val="none"/>
        </w:rPr>
      </w:pP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 （杭州市钱塘区住房和城乡建设局） 的 （</w:t>
      </w:r>
      <w:r>
        <w:rPr>
          <w:rFonts w:hint="eastAsia" w:ascii="宋体" w:hAnsi="宋体" w:cs="宋体"/>
          <w:color w:val="auto"/>
          <w:sz w:val="24"/>
          <w:highlight w:val="none"/>
          <w:lang w:eastAsia="zh-CN"/>
        </w:rPr>
        <w:t>2025年杭州市钱塘区建筑工程消防验收第三方服务项目</w:t>
      </w:r>
      <w:r>
        <w:rPr>
          <w:rFonts w:hint="eastAsia" w:ascii="宋体" w:hAnsi="宋体" w:cs="宋体"/>
          <w:color w:val="auto"/>
          <w:sz w:val="24"/>
          <w:highlight w:val="none"/>
        </w:rPr>
        <w:t>） 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2025年杭州市钱塘区建筑工程消防验收第三方服务项目</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09"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color w:val="auto"/>
          <w:highlight w:val="none"/>
          <w:lang w:val="en-US"/>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pStyle w:val="2"/>
        <w:rPr>
          <w:rFonts w:hAnsi="宋体" w:cs="宋体"/>
          <w:color w:val="auto"/>
          <w:highlight w:val="none"/>
        </w:rPr>
      </w:pPr>
      <w:r>
        <w:rPr>
          <w:rFonts w:hint="eastAsia" w:hAnsi="宋体" w:cs="宋体"/>
          <w:color w:val="auto"/>
          <w:highlight w:val="none"/>
          <w:lang w:val="en-US"/>
        </w:rPr>
        <w:drawing>
          <wp:inline distT="0" distB="0" distL="114300" distR="114300">
            <wp:extent cx="9091295" cy="5498465"/>
            <wp:effectExtent l="0" t="0" r="6985" b="317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6"/>
                    <a:stretch>
                      <a:fillRect/>
                    </a:stretch>
                  </pic:blipFill>
                  <pic:spPr>
                    <a:xfrm>
                      <a:off x="0" y="0"/>
                      <a:ext cx="9091295" cy="5498465"/>
                    </a:xfrm>
                    <a:prstGeom prst="rect">
                      <a:avLst/>
                    </a:prstGeom>
                    <a:noFill/>
                    <a:ln>
                      <a:noFill/>
                    </a:ln>
                  </pic:spPr>
                </pic:pic>
              </a:graphicData>
            </a:graphic>
          </wp:inline>
        </w:drawing>
      </w: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1"/>
    <w:family w:val="moder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0000000" w:usb3="00000000" w:csb0="2000019F" w:csb1="00000000"/>
  </w:font>
  <w:font w:name="微软雅黑">
    <w:altName w:val="汉仪旗黑"/>
    <w:panose1 w:val="020B0503020204020204"/>
    <w:charset w:val="86"/>
    <w:family w:val="swiss"/>
    <w:pitch w:val="default"/>
    <w:sig w:usb0="00000000" w:usb1="00000000" w:usb2="00000016" w:usb3="00000000" w:csb0="0004001F" w:csb1="00000000"/>
  </w:font>
  <w:font w:name="隶书">
    <w:altName w:val="报隶-简"/>
    <w:panose1 w:val="0201050906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Futura Bk">
    <w:altName w:val="苹方-简"/>
    <w:panose1 w:val="00000000000000000000"/>
    <w:charset w:val="00"/>
    <w:family w:val="swiss"/>
    <w:pitch w:val="default"/>
    <w:sig w:usb0="00000000" w:usb1="00000000" w:usb2="00000000" w:usb3="00000000" w:csb0="00000011" w:csb1="00000000"/>
  </w:font>
  <w:font w:name="华文中宋">
    <w:altName w:val="汉仪书宋二KW"/>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AFF" w:usb1="C000605B" w:usb2="00000029" w:usb3="00000000" w:csb0="200101FF" w:csb1="2028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altName w:val="华文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汉仪书宋二KW"/>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29" w:usb3="00000000" w:csb0="200001DF" w:csb1="20000000"/>
  </w:font>
  <w:font w:name="Latha">
    <w:altName w:val="苹方-简"/>
    <w:panose1 w:val="020B0604020202020204"/>
    <w:charset w:val="00"/>
    <w:family w:val="swiss"/>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503050405090304"/>
    <w:charset w:val="86"/>
    <w:family w:val="modern"/>
    <w:pitch w:val="default"/>
    <w:sig w:usb0="E0000AFF" w:usb1="00007843" w:usb2="00000001" w:usb3="00000000" w:csb0="400001BF" w:csb1="DFF70000"/>
  </w:font>
  <w:font w:name="Wingdings 2">
    <w:panose1 w:val="05020102010507070707"/>
    <w:charset w:val="02"/>
    <w:family w:val="auto"/>
    <w:pitch w:val="default"/>
    <w:sig w:usb0="00000000" w:usb1="00000000" w:usb2="00000000" w:usb3="00000000" w:csb0="80000000" w:csb1="00000000"/>
  </w:font>
  <w:font w:name="MS Mincho">
    <w:altName w:val="Hiragino Sans"/>
    <w:panose1 w:val="02020609040205080304"/>
    <w:charset w:val="80"/>
    <w:family w:val="modern"/>
    <w:pitch w:val="default"/>
    <w:sig w:usb0="00000000" w:usb1="00000000" w:usb2="00000012" w:usb3="00000000" w:csb0="4002009F" w:csb1="DFD7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Arial">
    <w:panose1 w:val="020B0604020202090204"/>
    <w:charset w:val="00"/>
    <w:family w:val="auto"/>
    <w:pitch w:val="default"/>
    <w:sig w:usb0="E0000AFF" w:usb1="00007843" w:usb2="00000001" w:usb3="00000000" w:csb0="400001BF" w:csb1="DFF70000"/>
  </w:font>
  <w:font w:name="华文宋体">
    <w:panose1 w:val="02010600040101010101"/>
    <w:charset w:val="86"/>
    <w:family w:val="auto"/>
    <w:pitch w:val="default"/>
    <w:sig w:usb0="80000287" w:usb1="280F3C52" w:usb2="00000016" w:usb3="00000000" w:csb0="0004001F" w:csb1="00000000"/>
  </w:font>
  <w:font w:name="汉仪楷体简">
    <w:panose1 w:val="02010600000101010101"/>
    <w:charset w:val="86"/>
    <w:family w:val="auto"/>
    <w:pitch w:val="default"/>
    <w:sig w:usb0="00000001" w:usb1="080E0800" w:usb2="00000002" w:usb3="00000000" w:csb0="00040000" w:csb1="00000000"/>
  </w:font>
  <w:font w:name="报隶-简">
    <w:panose1 w:val="02010600040101010101"/>
    <w:charset w:val="86"/>
    <w:family w:val="auto"/>
    <w:pitch w:val="default"/>
    <w:sig w:usb0="80000287" w:usb1="280F3C52" w:usb2="00000016" w:usb3="00000000" w:csb0="0004001F"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13" w:name="_Toc131845147"/>
    <w:bookmarkStart w:id="414" w:name="_Toc91899912"/>
    <w:bookmarkStart w:id="415" w:name="_Toc36110187"/>
    <w:bookmarkStart w:id="416" w:name="_Toc164085800"/>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0"/>
                            <w:jc w:val="center"/>
                            <w:rPr>
                              <w:rFonts w:ascii="仿宋" w:hAnsi="仿宋" w:eastAsia="仿宋" w:cs="仿宋"/>
                            </w:rPr>
                          </w:pPr>
                          <w:r>
                            <w:rPr>
                              <w:rFonts w:hint="eastAsia" w:ascii="仿宋" w:hAnsi="仿宋" w:eastAsia="仿宋" w:cs="仿宋"/>
                              <w:kern w:val="0"/>
                              <w:szCs w:val="21"/>
                            </w:rPr>
                            <w:t xml:space="preserve">第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PAGE </w:instrText>
                          </w:r>
                          <w:r>
                            <w:rPr>
                              <w:rFonts w:hint="eastAsia" w:ascii="仿宋" w:hAnsi="仿宋" w:eastAsia="仿宋" w:cs="仿宋"/>
                              <w:kern w:val="0"/>
                              <w:szCs w:val="21"/>
                            </w:rPr>
                            <w:fldChar w:fldCharType="separate"/>
                          </w:r>
                          <w:r>
                            <w:rPr>
                              <w:rFonts w:ascii="仿宋" w:hAnsi="仿宋" w:eastAsia="仿宋" w:cs="仿宋"/>
                              <w:kern w:val="0"/>
                              <w:szCs w:val="21"/>
                            </w:rPr>
                            <w:t>71</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 共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NUMPAGES </w:instrText>
                          </w:r>
                          <w:r>
                            <w:rPr>
                              <w:rFonts w:hint="eastAsia" w:ascii="仿宋" w:hAnsi="仿宋" w:eastAsia="仿宋" w:cs="仿宋"/>
                              <w:kern w:val="0"/>
                              <w:szCs w:val="21"/>
                            </w:rPr>
                            <w:fldChar w:fldCharType="separate"/>
                          </w:r>
                          <w:r>
                            <w:rPr>
                              <w:rFonts w:ascii="仿宋" w:hAnsi="仿宋" w:eastAsia="仿宋" w:cs="仿宋"/>
                              <w:kern w:val="0"/>
                              <w:szCs w:val="21"/>
                            </w:rPr>
                            <w:t>71</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GhpgkvTAAAABQEA&#10;AA8AAAAAAAAAAQAgAAAAOAAAAGRycy9kb3ducmV2LnhtbFBLAQIUABQAAAAIAIdO4kBRud4Y0AEA&#10;AKcDAAAOAAAAAAAAAAEAIAAAADgBAABkcnMvZTJvRG9jLnhtbFBLBQYAAAAABgAGAFkBAAB6BQAA&#10;AAA=&#10;">
              <v:fill on="f" focussize="0,0"/>
              <v:stroke on="f" weight="1.25pt"/>
              <v:imagedata o:title=""/>
              <o:lock v:ext="edit" aspectratio="f"/>
              <v:textbox inset="0mm,0mm,0mm,0mm" style="mso-fit-shape-to-text:t;">
                <w:txbxContent>
                  <w:p>
                    <w:pPr>
                      <w:pStyle w:val="40"/>
                      <w:jc w:val="center"/>
                      <w:rPr>
                        <w:rFonts w:ascii="仿宋" w:hAnsi="仿宋" w:eastAsia="仿宋" w:cs="仿宋"/>
                      </w:rPr>
                    </w:pPr>
                    <w:r>
                      <w:rPr>
                        <w:rFonts w:hint="eastAsia" w:ascii="仿宋" w:hAnsi="仿宋" w:eastAsia="仿宋" w:cs="仿宋"/>
                        <w:kern w:val="0"/>
                        <w:szCs w:val="21"/>
                      </w:rPr>
                      <w:t xml:space="preserve">第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PAGE </w:instrText>
                    </w:r>
                    <w:r>
                      <w:rPr>
                        <w:rFonts w:hint="eastAsia" w:ascii="仿宋" w:hAnsi="仿宋" w:eastAsia="仿宋" w:cs="仿宋"/>
                        <w:kern w:val="0"/>
                        <w:szCs w:val="21"/>
                      </w:rPr>
                      <w:fldChar w:fldCharType="separate"/>
                    </w:r>
                    <w:r>
                      <w:rPr>
                        <w:rFonts w:ascii="仿宋" w:hAnsi="仿宋" w:eastAsia="仿宋" w:cs="仿宋"/>
                        <w:kern w:val="0"/>
                        <w:szCs w:val="21"/>
                      </w:rPr>
                      <w:t>71</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 共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NUMPAGES </w:instrText>
                    </w:r>
                    <w:r>
                      <w:rPr>
                        <w:rFonts w:hint="eastAsia" w:ascii="仿宋" w:hAnsi="仿宋" w:eastAsia="仿宋" w:cs="仿宋"/>
                        <w:kern w:val="0"/>
                        <w:szCs w:val="21"/>
                      </w:rPr>
                      <w:fldChar w:fldCharType="separate"/>
                    </w:r>
                    <w:r>
                      <w:rPr>
                        <w:rFonts w:ascii="仿宋" w:hAnsi="仿宋" w:eastAsia="仿宋" w:cs="仿宋"/>
                        <w:kern w:val="0"/>
                        <w:szCs w:val="21"/>
                      </w:rPr>
                      <w:t>71</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GhpgkvTAAAABQEA&#10;AA8AAAAAAAAAAQAgAAAAOAAAAGRycy9kb3ducmV2LnhtbFBLAQIUABQAAAAIAIdO4kARG/gy0AEA&#10;AKcDAAAOAAAAAAAAAAEAIAAAADgBAABkcnMvZTJvRG9jLnhtbFBLBQYAAAAABgAGAFkBAAB6BQAA&#10;AAA=&#10;">
              <v:fill on="f" focussize="0,0"/>
              <v:stroke on="f" weight="1.25pt"/>
              <v:imagedata o:title=""/>
              <o:lock v:ext="edit" aspectratio="f"/>
              <v:textbox inset="0mm,0mm,0mm,0mm" style="mso-fit-shape-to-text:t;">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4"/>
      </w:pBdr>
      <w:jc w:val="right"/>
    </w:pPr>
    <w:r>
      <w:t></w:t>
    </w:r>
    <w:r>
      <w:rPr>
        <w:rFonts w:hint="eastAsia"/>
      </w:rPr>
      <w:t xml:space="preserve">       </w:t>
    </w:r>
    <w:r>
      <w:t>杭州市</w:t>
    </w:r>
    <w:r>
      <w:rPr>
        <w:rFonts w:hint="eastAsia"/>
      </w:rPr>
      <w:t>钱塘区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w:t>
    </w:r>
    <w:r>
      <w:rPr>
        <w:rFonts w:hint="eastAsia"/>
      </w:rPr>
      <w:t>钱塘区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lang w:val="en-US" w:eastAsia="zh-CN"/>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AAF17"/>
    <w:multiLevelType w:val="singleLevel"/>
    <w:tmpl w:val="FE9AAF17"/>
    <w:lvl w:ilvl="0" w:tentative="0">
      <w:start w:val="1"/>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661BB972"/>
    <w:multiLevelType w:val="singleLevel"/>
    <w:tmpl w:val="661BB972"/>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ZjBiYjZjMGM5ZTRmMzU0MjIzNDFkNzNiNzUzMz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5B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4CF7"/>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993"/>
    <w:rsid w:val="00092FE9"/>
    <w:rsid w:val="000936BF"/>
    <w:rsid w:val="0009382F"/>
    <w:rsid w:val="00093A30"/>
    <w:rsid w:val="00094342"/>
    <w:rsid w:val="000945BA"/>
    <w:rsid w:val="00095954"/>
    <w:rsid w:val="000960BA"/>
    <w:rsid w:val="0009662A"/>
    <w:rsid w:val="0009690D"/>
    <w:rsid w:val="00096DFF"/>
    <w:rsid w:val="000A0729"/>
    <w:rsid w:val="000A0E69"/>
    <w:rsid w:val="000A17D3"/>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A98"/>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591"/>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7C9"/>
    <w:rsid w:val="000F254E"/>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355"/>
    <w:rsid w:val="001164F4"/>
    <w:rsid w:val="001168F8"/>
    <w:rsid w:val="001176FF"/>
    <w:rsid w:val="00120BA0"/>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6D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8F3"/>
    <w:rsid w:val="00141D28"/>
    <w:rsid w:val="00141DFE"/>
    <w:rsid w:val="00142185"/>
    <w:rsid w:val="001422E2"/>
    <w:rsid w:val="001433BC"/>
    <w:rsid w:val="00143872"/>
    <w:rsid w:val="00143A85"/>
    <w:rsid w:val="00144649"/>
    <w:rsid w:val="00145022"/>
    <w:rsid w:val="00145662"/>
    <w:rsid w:val="00145B10"/>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638"/>
    <w:rsid w:val="00161185"/>
    <w:rsid w:val="001620BA"/>
    <w:rsid w:val="001623AC"/>
    <w:rsid w:val="001626A9"/>
    <w:rsid w:val="00162BAA"/>
    <w:rsid w:val="00163C40"/>
    <w:rsid w:val="0016488B"/>
    <w:rsid w:val="00165758"/>
    <w:rsid w:val="00165A65"/>
    <w:rsid w:val="00166317"/>
    <w:rsid w:val="00166B8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5C7"/>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BF0"/>
    <w:rsid w:val="002B51B6"/>
    <w:rsid w:val="002B5AEE"/>
    <w:rsid w:val="002B6177"/>
    <w:rsid w:val="002B650C"/>
    <w:rsid w:val="002B68E6"/>
    <w:rsid w:val="002B6985"/>
    <w:rsid w:val="002B6D7A"/>
    <w:rsid w:val="002C02BA"/>
    <w:rsid w:val="002C0301"/>
    <w:rsid w:val="002C0326"/>
    <w:rsid w:val="002C0A9F"/>
    <w:rsid w:val="002C0C0D"/>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51"/>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1ED"/>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2F85"/>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D02"/>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974"/>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F34"/>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2ED"/>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0E1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C24"/>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2E9E"/>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6B5"/>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9B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B3"/>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0F00"/>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97F"/>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70D"/>
    <w:rsid w:val="00974F3B"/>
    <w:rsid w:val="0097552A"/>
    <w:rsid w:val="0097564A"/>
    <w:rsid w:val="00975974"/>
    <w:rsid w:val="00975B4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5F29"/>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AFC"/>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1E9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5E4"/>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6EF"/>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D1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FFC"/>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53F"/>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A24"/>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4C0"/>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4C77"/>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15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91F"/>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2DB5"/>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649"/>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17EF3"/>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91"/>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2F74"/>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532"/>
    <w:rsid w:val="00DD6CE2"/>
    <w:rsid w:val="00DD720D"/>
    <w:rsid w:val="00DD7F60"/>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AEE"/>
    <w:rsid w:val="00E0232F"/>
    <w:rsid w:val="00E026A9"/>
    <w:rsid w:val="00E0356F"/>
    <w:rsid w:val="00E03B42"/>
    <w:rsid w:val="00E03C10"/>
    <w:rsid w:val="00E0479F"/>
    <w:rsid w:val="00E04816"/>
    <w:rsid w:val="00E04982"/>
    <w:rsid w:val="00E04D6A"/>
    <w:rsid w:val="00E0503D"/>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B00"/>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3B5"/>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670"/>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9D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1A3"/>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4D6"/>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08"/>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5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D000F"/>
    <w:rsid w:val="011F6449"/>
    <w:rsid w:val="01236AFB"/>
    <w:rsid w:val="0127533C"/>
    <w:rsid w:val="0182157D"/>
    <w:rsid w:val="019F7441"/>
    <w:rsid w:val="01A93FA3"/>
    <w:rsid w:val="01B37585"/>
    <w:rsid w:val="01D55165"/>
    <w:rsid w:val="01DF6BF8"/>
    <w:rsid w:val="01EC2C57"/>
    <w:rsid w:val="022A44B7"/>
    <w:rsid w:val="02421D02"/>
    <w:rsid w:val="024E22C1"/>
    <w:rsid w:val="026B2E25"/>
    <w:rsid w:val="02824D4D"/>
    <w:rsid w:val="02DC4B10"/>
    <w:rsid w:val="02DD76CE"/>
    <w:rsid w:val="02F36323"/>
    <w:rsid w:val="02F5619C"/>
    <w:rsid w:val="0326446A"/>
    <w:rsid w:val="032D5555"/>
    <w:rsid w:val="03317DF3"/>
    <w:rsid w:val="036634D2"/>
    <w:rsid w:val="03DD35E4"/>
    <w:rsid w:val="04076900"/>
    <w:rsid w:val="041A5A3B"/>
    <w:rsid w:val="042311BA"/>
    <w:rsid w:val="042B157A"/>
    <w:rsid w:val="047F0912"/>
    <w:rsid w:val="048F763B"/>
    <w:rsid w:val="049251C3"/>
    <w:rsid w:val="049F330E"/>
    <w:rsid w:val="04AA775C"/>
    <w:rsid w:val="04AE18D1"/>
    <w:rsid w:val="04AF1889"/>
    <w:rsid w:val="04B56E53"/>
    <w:rsid w:val="04F66F48"/>
    <w:rsid w:val="05090C88"/>
    <w:rsid w:val="05183DDF"/>
    <w:rsid w:val="052027CE"/>
    <w:rsid w:val="05251E14"/>
    <w:rsid w:val="054A425B"/>
    <w:rsid w:val="0558476D"/>
    <w:rsid w:val="05622323"/>
    <w:rsid w:val="05783352"/>
    <w:rsid w:val="05A16594"/>
    <w:rsid w:val="05A7762D"/>
    <w:rsid w:val="05AD5697"/>
    <w:rsid w:val="05E530D0"/>
    <w:rsid w:val="05F260A8"/>
    <w:rsid w:val="06007C59"/>
    <w:rsid w:val="060D24AA"/>
    <w:rsid w:val="060D4A0C"/>
    <w:rsid w:val="060E5941"/>
    <w:rsid w:val="06110FAF"/>
    <w:rsid w:val="06290196"/>
    <w:rsid w:val="063302DF"/>
    <w:rsid w:val="06493CA7"/>
    <w:rsid w:val="064A5A9D"/>
    <w:rsid w:val="065A6178"/>
    <w:rsid w:val="066F1CF3"/>
    <w:rsid w:val="06930BB8"/>
    <w:rsid w:val="06990DAE"/>
    <w:rsid w:val="06BC6527"/>
    <w:rsid w:val="072440CC"/>
    <w:rsid w:val="07245D42"/>
    <w:rsid w:val="07264C62"/>
    <w:rsid w:val="07265CA8"/>
    <w:rsid w:val="07336117"/>
    <w:rsid w:val="07375BAD"/>
    <w:rsid w:val="0779354C"/>
    <w:rsid w:val="07A86AAB"/>
    <w:rsid w:val="07B635D8"/>
    <w:rsid w:val="07BB00D5"/>
    <w:rsid w:val="07C8288B"/>
    <w:rsid w:val="07F9567C"/>
    <w:rsid w:val="08061376"/>
    <w:rsid w:val="08161C67"/>
    <w:rsid w:val="082B4D2E"/>
    <w:rsid w:val="08452D77"/>
    <w:rsid w:val="086401F8"/>
    <w:rsid w:val="08751CAA"/>
    <w:rsid w:val="087E4C40"/>
    <w:rsid w:val="08AA0601"/>
    <w:rsid w:val="08D66AD6"/>
    <w:rsid w:val="08D8516E"/>
    <w:rsid w:val="08DA33A3"/>
    <w:rsid w:val="08E009D8"/>
    <w:rsid w:val="08E80F13"/>
    <w:rsid w:val="08F90C61"/>
    <w:rsid w:val="09012917"/>
    <w:rsid w:val="09335624"/>
    <w:rsid w:val="09414035"/>
    <w:rsid w:val="0944690F"/>
    <w:rsid w:val="09535675"/>
    <w:rsid w:val="0958005D"/>
    <w:rsid w:val="095F057D"/>
    <w:rsid w:val="09642282"/>
    <w:rsid w:val="09733572"/>
    <w:rsid w:val="09772C16"/>
    <w:rsid w:val="098353B5"/>
    <w:rsid w:val="098F7F23"/>
    <w:rsid w:val="099D7B88"/>
    <w:rsid w:val="09A92330"/>
    <w:rsid w:val="09B06B87"/>
    <w:rsid w:val="09C13146"/>
    <w:rsid w:val="09CA0F5B"/>
    <w:rsid w:val="09CA3EEF"/>
    <w:rsid w:val="09E04166"/>
    <w:rsid w:val="09E244F6"/>
    <w:rsid w:val="09F77876"/>
    <w:rsid w:val="0A1C0718"/>
    <w:rsid w:val="0A314B36"/>
    <w:rsid w:val="0A3E7710"/>
    <w:rsid w:val="0A5B7E63"/>
    <w:rsid w:val="0A7B72A1"/>
    <w:rsid w:val="0A831762"/>
    <w:rsid w:val="0AA374A5"/>
    <w:rsid w:val="0AAB7649"/>
    <w:rsid w:val="0ABA0FCF"/>
    <w:rsid w:val="0ABC5606"/>
    <w:rsid w:val="0AED4F34"/>
    <w:rsid w:val="0B30404E"/>
    <w:rsid w:val="0B4C6C14"/>
    <w:rsid w:val="0B5A6B2D"/>
    <w:rsid w:val="0B631A88"/>
    <w:rsid w:val="0B65570E"/>
    <w:rsid w:val="0B683D45"/>
    <w:rsid w:val="0B7F3F11"/>
    <w:rsid w:val="0B884417"/>
    <w:rsid w:val="0BBB4540"/>
    <w:rsid w:val="0BC63728"/>
    <w:rsid w:val="0BF6188C"/>
    <w:rsid w:val="0BF73C91"/>
    <w:rsid w:val="0C006EB6"/>
    <w:rsid w:val="0C087B18"/>
    <w:rsid w:val="0C170175"/>
    <w:rsid w:val="0C571A41"/>
    <w:rsid w:val="0C5A3AFD"/>
    <w:rsid w:val="0C5C1171"/>
    <w:rsid w:val="0C5E1CBC"/>
    <w:rsid w:val="0C6100D1"/>
    <w:rsid w:val="0C615B50"/>
    <w:rsid w:val="0C8445DA"/>
    <w:rsid w:val="0C87121B"/>
    <w:rsid w:val="0CC007F7"/>
    <w:rsid w:val="0CFE707A"/>
    <w:rsid w:val="0D063BDA"/>
    <w:rsid w:val="0D08375F"/>
    <w:rsid w:val="0D184CFB"/>
    <w:rsid w:val="0D185504"/>
    <w:rsid w:val="0D2210AE"/>
    <w:rsid w:val="0D4A7419"/>
    <w:rsid w:val="0D5E6AD2"/>
    <w:rsid w:val="0D827401"/>
    <w:rsid w:val="0D84094E"/>
    <w:rsid w:val="0D8A00E9"/>
    <w:rsid w:val="0D8D589E"/>
    <w:rsid w:val="0DA01C73"/>
    <w:rsid w:val="0DD63300"/>
    <w:rsid w:val="0DDA1988"/>
    <w:rsid w:val="0DED3F7D"/>
    <w:rsid w:val="0DF20A80"/>
    <w:rsid w:val="0DF50604"/>
    <w:rsid w:val="0DF702FE"/>
    <w:rsid w:val="0E060E51"/>
    <w:rsid w:val="0E0B07B8"/>
    <w:rsid w:val="0E3B4869"/>
    <w:rsid w:val="0E48321F"/>
    <w:rsid w:val="0E4A0E95"/>
    <w:rsid w:val="0E5378BC"/>
    <w:rsid w:val="0E5604B2"/>
    <w:rsid w:val="0E5B3C5F"/>
    <w:rsid w:val="0E6D5D79"/>
    <w:rsid w:val="0E8973CD"/>
    <w:rsid w:val="0E9D0089"/>
    <w:rsid w:val="0EA46AC8"/>
    <w:rsid w:val="0EA578A0"/>
    <w:rsid w:val="0EB803EE"/>
    <w:rsid w:val="0EB922D4"/>
    <w:rsid w:val="0EB9334C"/>
    <w:rsid w:val="0EBD624E"/>
    <w:rsid w:val="0EF94D4B"/>
    <w:rsid w:val="0F4958DC"/>
    <w:rsid w:val="0F515DF7"/>
    <w:rsid w:val="0F596BA8"/>
    <w:rsid w:val="0F6248D2"/>
    <w:rsid w:val="0F693536"/>
    <w:rsid w:val="0F7B0511"/>
    <w:rsid w:val="0F7B76D9"/>
    <w:rsid w:val="0F816ACD"/>
    <w:rsid w:val="0F86776E"/>
    <w:rsid w:val="0F9832DB"/>
    <w:rsid w:val="0FA80580"/>
    <w:rsid w:val="0FBF3FD2"/>
    <w:rsid w:val="0FBF7FF3"/>
    <w:rsid w:val="0FCE2E27"/>
    <w:rsid w:val="0FD101B9"/>
    <w:rsid w:val="10492BB2"/>
    <w:rsid w:val="10625426"/>
    <w:rsid w:val="10646583"/>
    <w:rsid w:val="107D4B15"/>
    <w:rsid w:val="108A3C80"/>
    <w:rsid w:val="10A451BD"/>
    <w:rsid w:val="10AA1CBB"/>
    <w:rsid w:val="10C26171"/>
    <w:rsid w:val="10D854FC"/>
    <w:rsid w:val="10F33360"/>
    <w:rsid w:val="10FC16EA"/>
    <w:rsid w:val="11052878"/>
    <w:rsid w:val="110C00AB"/>
    <w:rsid w:val="110F1D40"/>
    <w:rsid w:val="11266F33"/>
    <w:rsid w:val="11511BFB"/>
    <w:rsid w:val="11867E5D"/>
    <w:rsid w:val="11877D9F"/>
    <w:rsid w:val="118963A1"/>
    <w:rsid w:val="11C6522A"/>
    <w:rsid w:val="11DD21FB"/>
    <w:rsid w:val="11E104CC"/>
    <w:rsid w:val="11E20309"/>
    <w:rsid w:val="11E3742D"/>
    <w:rsid w:val="120B7568"/>
    <w:rsid w:val="12255233"/>
    <w:rsid w:val="12402E84"/>
    <w:rsid w:val="12530213"/>
    <w:rsid w:val="127723A9"/>
    <w:rsid w:val="12862074"/>
    <w:rsid w:val="12883966"/>
    <w:rsid w:val="129C68B7"/>
    <w:rsid w:val="129E45B4"/>
    <w:rsid w:val="12D81596"/>
    <w:rsid w:val="13072A44"/>
    <w:rsid w:val="131D034D"/>
    <w:rsid w:val="1357061D"/>
    <w:rsid w:val="135F4BE2"/>
    <w:rsid w:val="139B1A0A"/>
    <w:rsid w:val="139D25C7"/>
    <w:rsid w:val="13BF3CE4"/>
    <w:rsid w:val="141008D8"/>
    <w:rsid w:val="14125FE6"/>
    <w:rsid w:val="14693851"/>
    <w:rsid w:val="146D271E"/>
    <w:rsid w:val="14982588"/>
    <w:rsid w:val="149A5AD9"/>
    <w:rsid w:val="149A7D65"/>
    <w:rsid w:val="149B4A25"/>
    <w:rsid w:val="14A7619D"/>
    <w:rsid w:val="150536C3"/>
    <w:rsid w:val="150C1963"/>
    <w:rsid w:val="151447A0"/>
    <w:rsid w:val="152C5355"/>
    <w:rsid w:val="154A6454"/>
    <w:rsid w:val="15762120"/>
    <w:rsid w:val="15C745A0"/>
    <w:rsid w:val="161C18B0"/>
    <w:rsid w:val="165622AB"/>
    <w:rsid w:val="16610551"/>
    <w:rsid w:val="16A14DF1"/>
    <w:rsid w:val="16A8729C"/>
    <w:rsid w:val="16AE61C8"/>
    <w:rsid w:val="16B33777"/>
    <w:rsid w:val="16BC70A7"/>
    <w:rsid w:val="16C6339E"/>
    <w:rsid w:val="16E1459C"/>
    <w:rsid w:val="16FE22E5"/>
    <w:rsid w:val="172F2D79"/>
    <w:rsid w:val="173706E1"/>
    <w:rsid w:val="1739771E"/>
    <w:rsid w:val="17557BEF"/>
    <w:rsid w:val="17CE15C4"/>
    <w:rsid w:val="17D349C1"/>
    <w:rsid w:val="17D47448"/>
    <w:rsid w:val="1830729E"/>
    <w:rsid w:val="185C1071"/>
    <w:rsid w:val="1862520D"/>
    <w:rsid w:val="186C0223"/>
    <w:rsid w:val="1870062C"/>
    <w:rsid w:val="18701553"/>
    <w:rsid w:val="18817102"/>
    <w:rsid w:val="18830A15"/>
    <w:rsid w:val="18852B28"/>
    <w:rsid w:val="188B5321"/>
    <w:rsid w:val="189310B2"/>
    <w:rsid w:val="18D07C10"/>
    <w:rsid w:val="18E73009"/>
    <w:rsid w:val="190E2B30"/>
    <w:rsid w:val="19682B5C"/>
    <w:rsid w:val="196B16E7"/>
    <w:rsid w:val="197113F3"/>
    <w:rsid w:val="19932372"/>
    <w:rsid w:val="19A20DD5"/>
    <w:rsid w:val="19A31984"/>
    <w:rsid w:val="19AE03F1"/>
    <w:rsid w:val="19BB7BD2"/>
    <w:rsid w:val="19CC03D7"/>
    <w:rsid w:val="19DD0836"/>
    <w:rsid w:val="1A071A03"/>
    <w:rsid w:val="1A0B502C"/>
    <w:rsid w:val="1A1B5468"/>
    <w:rsid w:val="1A1F16AE"/>
    <w:rsid w:val="1A3B5C77"/>
    <w:rsid w:val="1A40546F"/>
    <w:rsid w:val="1A861582"/>
    <w:rsid w:val="1A8F7FB2"/>
    <w:rsid w:val="1A984BAD"/>
    <w:rsid w:val="1AB8220E"/>
    <w:rsid w:val="1AE4166C"/>
    <w:rsid w:val="1AF06CFB"/>
    <w:rsid w:val="1AF11B8D"/>
    <w:rsid w:val="1AF66431"/>
    <w:rsid w:val="1AFF416F"/>
    <w:rsid w:val="1B11359C"/>
    <w:rsid w:val="1B2A271F"/>
    <w:rsid w:val="1B3D1D91"/>
    <w:rsid w:val="1B530544"/>
    <w:rsid w:val="1B6F7DCE"/>
    <w:rsid w:val="1B713184"/>
    <w:rsid w:val="1BA209CF"/>
    <w:rsid w:val="1BB03114"/>
    <w:rsid w:val="1BB4777D"/>
    <w:rsid w:val="1BD75AB8"/>
    <w:rsid w:val="1C0459C2"/>
    <w:rsid w:val="1C1B3B4A"/>
    <w:rsid w:val="1C257D13"/>
    <w:rsid w:val="1C70153A"/>
    <w:rsid w:val="1C88086E"/>
    <w:rsid w:val="1C9D605B"/>
    <w:rsid w:val="1CAC629E"/>
    <w:rsid w:val="1CB25FAA"/>
    <w:rsid w:val="1CB82E70"/>
    <w:rsid w:val="1D266CE1"/>
    <w:rsid w:val="1D3963AF"/>
    <w:rsid w:val="1D6A673C"/>
    <w:rsid w:val="1D79411E"/>
    <w:rsid w:val="1D9247AE"/>
    <w:rsid w:val="1DA4060B"/>
    <w:rsid w:val="1DB567EC"/>
    <w:rsid w:val="1DB73B26"/>
    <w:rsid w:val="1DED6501"/>
    <w:rsid w:val="1DF51A98"/>
    <w:rsid w:val="1E0D3A73"/>
    <w:rsid w:val="1E193BE3"/>
    <w:rsid w:val="1E3D060F"/>
    <w:rsid w:val="1E3F7D2E"/>
    <w:rsid w:val="1E4134E4"/>
    <w:rsid w:val="1E5062B3"/>
    <w:rsid w:val="1E523514"/>
    <w:rsid w:val="1E714A66"/>
    <w:rsid w:val="1E802593"/>
    <w:rsid w:val="1EA703CC"/>
    <w:rsid w:val="1EB7330C"/>
    <w:rsid w:val="1EC92309"/>
    <w:rsid w:val="1EE94378"/>
    <w:rsid w:val="1EF33E4F"/>
    <w:rsid w:val="1F0A0FF3"/>
    <w:rsid w:val="1F102E83"/>
    <w:rsid w:val="1F2952CA"/>
    <w:rsid w:val="1F33222D"/>
    <w:rsid w:val="1F5771FF"/>
    <w:rsid w:val="1F902F37"/>
    <w:rsid w:val="1FA91497"/>
    <w:rsid w:val="1FC833B6"/>
    <w:rsid w:val="1FD54776"/>
    <w:rsid w:val="1FE868A9"/>
    <w:rsid w:val="1FF24910"/>
    <w:rsid w:val="20034907"/>
    <w:rsid w:val="20173E4B"/>
    <w:rsid w:val="201D7620"/>
    <w:rsid w:val="204E48BC"/>
    <w:rsid w:val="20586E69"/>
    <w:rsid w:val="20757347"/>
    <w:rsid w:val="2075762A"/>
    <w:rsid w:val="208921B3"/>
    <w:rsid w:val="20973DEB"/>
    <w:rsid w:val="20992FDD"/>
    <w:rsid w:val="20B26522"/>
    <w:rsid w:val="20B44310"/>
    <w:rsid w:val="20DA58F2"/>
    <w:rsid w:val="211116EB"/>
    <w:rsid w:val="211445E0"/>
    <w:rsid w:val="21476B94"/>
    <w:rsid w:val="21505E37"/>
    <w:rsid w:val="216133FC"/>
    <w:rsid w:val="21A32365"/>
    <w:rsid w:val="21D56769"/>
    <w:rsid w:val="21E52EF3"/>
    <w:rsid w:val="21EE0130"/>
    <w:rsid w:val="21FB5D7B"/>
    <w:rsid w:val="21FE759C"/>
    <w:rsid w:val="220B1C3D"/>
    <w:rsid w:val="221D1D20"/>
    <w:rsid w:val="22334A87"/>
    <w:rsid w:val="224A1EDC"/>
    <w:rsid w:val="22A16179"/>
    <w:rsid w:val="22AB052C"/>
    <w:rsid w:val="22BE6801"/>
    <w:rsid w:val="231B2B24"/>
    <w:rsid w:val="232E00B4"/>
    <w:rsid w:val="233500BF"/>
    <w:rsid w:val="23377FF7"/>
    <w:rsid w:val="23675887"/>
    <w:rsid w:val="236B425F"/>
    <w:rsid w:val="23836192"/>
    <w:rsid w:val="238E0600"/>
    <w:rsid w:val="23901F29"/>
    <w:rsid w:val="239C0061"/>
    <w:rsid w:val="23B908A4"/>
    <w:rsid w:val="23E95BEF"/>
    <w:rsid w:val="23FD0064"/>
    <w:rsid w:val="243F735B"/>
    <w:rsid w:val="245375B0"/>
    <w:rsid w:val="245C04C3"/>
    <w:rsid w:val="245E3AAD"/>
    <w:rsid w:val="24642C0A"/>
    <w:rsid w:val="2466790C"/>
    <w:rsid w:val="246804FE"/>
    <w:rsid w:val="246C3D73"/>
    <w:rsid w:val="24910AD5"/>
    <w:rsid w:val="24A14E23"/>
    <w:rsid w:val="24AA3A0B"/>
    <w:rsid w:val="24B22173"/>
    <w:rsid w:val="24B95AD9"/>
    <w:rsid w:val="24BE24DA"/>
    <w:rsid w:val="24CF5825"/>
    <w:rsid w:val="24D663E6"/>
    <w:rsid w:val="24D77F2B"/>
    <w:rsid w:val="24F579FC"/>
    <w:rsid w:val="251C02B7"/>
    <w:rsid w:val="25425D52"/>
    <w:rsid w:val="258B00E2"/>
    <w:rsid w:val="25A917A6"/>
    <w:rsid w:val="25BE27CC"/>
    <w:rsid w:val="25F74A5C"/>
    <w:rsid w:val="2628662C"/>
    <w:rsid w:val="262D45DE"/>
    <w:rsid w:val="26414336"/>
    <w:rsid w:val="26A53EF9"/>
    <w:rsid w:val="26A94201"/>
    <w:rsid w:val="26AC274F"/>
    <w:rsid w:val="26D74138"/>
    <w:rsid w:val="26E015A3"/>
    <w:rsid w:val="26EF28A9"/>
    <w:rsid w:val="26F10CC3"/>
    <w:rsid w:val="27007912"/>
    <w:rsid w:val="27044A29"/>
    <w:rsid w:val="2707258A"/>
    <w:rsid w:val="271D34C8"/>
    <w:rsid w:val="276142BF"/>
    <w:rsid w:val="27783712"/>
    <w:rsid w:val="27907362"/>
    <w:rsid w:val="27A85178"/>
    <w:rsid w:val="27B1193F"/>
    <w:rsid w:val="27B452A6"/>
    <w:rsid w:val="27DE1AD3"/>
    <w:rsid w:val="27E0730D"/>
    <w:rsid w:val="28333E1D"/>
    <w:rsid w:val="28454BD6"/>
    <w:rsid w:val="28455253"/>
    <w:rsid w:val="28481892"/>
    <w:rsid w:val="28551971"/>
    <w:rsid w:val="285B1C53"/>
    <w:rsid w:val="2868457E"/>
    <w:rsid w:val="28902F18"/>
    <w:rsid w:val="28924EE2"/>
    <w:rsid w:val="28985005"/>
    <w:rsid w:val="289F7086"/>
    <w:rsid w:val="28A36CB5"/>
    <w:rsid w:val="28AB41A0"/>
    <w:rsid w:val="28B20D7B"/>
    <w:rsid w:val="28C32028"/>
    <w:rsid w:val="28CC490F"/>
    <w:rsid w:val="28DE40AA"/>
    <w:rsid w:val="28E43A61"/>
    <w:rsid w:val="28F73A66"/>
    <w:rsid w:val="28F9286B"/>
    <w:rsid w:val="291425EF"/>
    <w:rsid w:val="29345E77"/>
    <w:rsid w:val="294B1328"/>
    <w:rsid w:val="294C65AD"/>
    <w:rsid w:val="29806583"/>
    <w:rsid w:val="298B3C4C"/>
    <w:rsid w:val="29B03871"/>
    <w:rsid w:val="29C72026"/>
    <w:rsid w:val="29C72969"/>
    <w:rsid w:val="29F26D24"/>
    <w:rsid w:val="2A043BBD"/>
    <w:rsid w:val="2A0C65CE"/>
    <w:rsid w:val="2A15033F"/>
    <w:rsid w:val="2A1662C1"/>
    <w:rsid w:val="2A1C7367"/>
    <w:rsid w:val="2A2815FA"/>
    <w:rsid w:val="2A3F0751"/>
    <w:rsid w:val="2A522B7B"/>
    <w:rsid w:val="2A6D6092"/>
    <w:rsid w:val="2A6E5222"/>
    <w:rsid w:val="2A7A79DB"/>
    <w:rsid w:val="2A7D76B4"/>
    <w:rsid w:val="2AFF256D"/>
    <w:rsid w:val="2B437463"/>
    <w:rsid w:val="2B7807EE"/>
    <w:rsid w:val="2B7B3C10"/>
    <w:rsid w:val="2BBF00EC"/>
    <w:rsid w:val="2BC37CFD"/>
    <w:rsid w:val="2BD5237F"/>
    <w:rsid w:val="2BE536CE"/>
    <w:rsid w:val="2BE758D9"/>
    <w:rsid w:val="2BF37A45"/>
    <w:rsid w:val="2C09049E"/>
    <w:rsid w:val="2C0A653C"/>
    <w:rsid w:val="2C191F85"/>
    <w:rsid w:val="2C7A379B"/>
    <w:rsid w:val="2C7F5E51"/>
    <w:rsid w:val="2CD2219E"/>
    <w:rsid w:val="2CDD5D64"/>
    <w:rsid w:val="2CE82D6F"/>
    <w:rsid w:val="2D0F6B01"/>
    <w:rsid w:val="2D343236"/>
    <w:rsid w:val="2D355E3C"/>
    <w:rsid w:val="2D380706"/>
    <w:rsid w:val="2D7217B3"/>
    <w:rsid w:val="2DA01E52"/>
    <w:rsid w:val="2DD15014"/>
    <w:rsid w:val="2DF11AEB"/>
    <w:rsid w:val="2DF72DE4"/>
    <w:rsid w:val="2E0220AF"/>
    <w:rsid w:val="2E026666"/>
    <w:rsid w:val="2E4B082A"/>
    <w:rsid w:val="2E4E18AB"/>
    <w:rsid w:val="2E5D4E86"/>
    <w:rsid w:val="2E5D790B"/>
    <w:rsid w:val="2E5F13C2"/>
    <w:rsid w:val="2E797950"/>
    <w:rsid w:val="2E9A3C18"/>
    <w:rsid w:val="2EB92DEF"/>
    <w:rsid w:val="2EBB0FEE"/>
    <w:rsid w:val="2EC63002"/>
    <w:rsid w:val="2ED00512"/>
    <w:rsid w:val="2F0A6B38"/>
    <w:rsid w:val="2F1523C9"/>
    <w:rsid w:val="2F2C0CD3"/>
    <w:rsid w:val="2F3A3665"/>
    <w:rsid w:val="2F464330"/>
    <w:rsid w:val="2F8D60E3"/>
    <w:rsid w:val="2F946CCB"/>
    <w:rsid w:val="2FAF18EC"/>
    <w:rsid w:val="2FB15C4D"/>
    <w:rsid w:val="2FB366BB"/>
    <w:rsid w:val="2FD25781"/>
    <w:rsid w:val="2FFD7934"/>
    <w:rsid w:val="300E4360"/>
    <w:rsid w:val="30113625"/>
    <w:rsid w:val="30733ACD"/>
    <w:rsid w:val="308C3862"/>
    <w:rsid w:val="309379D8"/>
    <w:rsid w:val="30A270F7"/>
    <w:rsid w:val="30A43A04"/>
    <w:rsid w:val="30A844DF"/>
    <w:rsid w:val="30D65186"/>
    <w:rsid w:val="30DF1478"/>
    <w:rsid w:val="30DF4A3C"/>
    <w:rsid w:val="30E22E06"/>
    <w:rsid w:val="30EC586F"/>
    <w:rsid w:val="319C6071"/>
    <w:rsid w:val="31AC537E"/>
    <w:rsid w:val="31E3679B"/>
    <w:rsid w:val="31E427C4"/>
    <w:rsid w:val="31E732FD"/>
    <w:rsid w:val="31EB02AE"/>
    <w:rsid w:val="31FD7870"/>
    <w:rsid w:val="324218CF"/>
    <w:rsid w:val="3248536E"/>
    <w:rsid w:val="32517576"/>
    <w:rsid w:val="3252078B"/>
    <w:rsid w:val="32624DAF"/>
    <w:rsid w:val="327B2543"/>
    <w:rsid w:val="3282334A"/>
    <w:rsid w:val="32BE5C2C"/>
    <w:rsid w:val="32CE6B16"/>
    <w:rsid w:val="32FB6478"/>
    <w:rsid w:val="33107D6B"/>
    <w:rsid w:val="33263B3F"/>
    <w:rsid w:val="336963EB"/>
    <w:rsid w:val="33816EEB"/>
    <w:rsid w:val="339D60CB"/>
    <w:rsid w:val="33AD0E22"/>
    <w:rsid w:val="33EB55CD"/>
    <w:rsid w:val="33EC4C02"/>
    <w:rsid w:val="33F24A86"/>
    <w:rsid w:val="340D2360"/>
    <w:rsid w:val="3410665D"/>
    <w:rsid w:val="34211214"/>
    <w:rsid w:val="342E63AB"/>
    <w:rsid w:val="3454129D"/>
    <w:rsid w:val="34950E68"/>
    <w:rsid w:val="34986E94"/>
    <w:rsid w:val="34AF62C9"/>
    <w:rsid w:val="34CB4388"/>
    <w:rsid w:val="34CF6B76"/>
    <w:rsid w:val="34FA6E12"/>
    <w:rsid w:val="358D5588"/>
    <w:rsid w:val="35D5640E"/>
    <w:rsid w:val="360D2EDF"/>
    <w:rsid w:val="36321AB2"/>
    <w:rsid w:val="363A3B40"/>
    <w:rsid w:val="363F5330"/>
    <w:rsid w:val="364A5096"/>
    <w:rsid w:val="365302AE"/>
    <w:rsid w:val="36607A0A"/>
    <w:rsid w:val="36676D36"/>
    <w:rsid w:val="366E227C"/>
    <w:rsid w:val="366F2E0D"/>
    <w:rsid w:val="36783969"/>
    <w:rsid w:val="367B6A5C"/>
    <w:rsid w:val="36A74ADA"/>
    <w:rsid w:val="36AD60D5"/>
    <w:rsid w:val="36B224F9"/>
    <w:rsid w:val="36BD75CE"/>
    <w:rsid w:val="36EC0CC9"/>
    <w:rsid w:val="373B479E"/>
    <w:rsid w:val="373F410B"/>
    <w:rsid w:val="37673A15"/>
    <w:rsid w:val="377C2FE5"/>
    <w:rsid w:val="37882034"/>
    <w:rsid w:val="379A1DE6"/>
    <w:rsid w:val="379D0FA7"/>
    <w:rsid w:val="37B3452D"/>
    <w:rsid w:val="37E776C2"/>
    <w:rsid w:val="37EE7094"/>
    <w:rsid w:val="37F505D8"/>
    <w:rsid w:val="38060B00"/>
    <w:rsid w:val="38296C89"/>
    <w:rsid w:val="383002EB"/>
    <w:rsid w:val="38586797"/>
    <w:rsid w:val="38736485"/>
    <w:rsid w:val="38BC0149"/>
    <w:rsid w:val="38D539D2"/>
    <w:rsid w:val="38D87D1C"/>
    <w:rsid w:val="38F46226"/>
    <w:rsid w:val="39100AD4"/>
    <w:rsid w:val="39636459"/>
    <w:rsid w:val="396B7F6C"/>
    <w:rsid w:val="39B417A9"/>
    <w:rsid w:val="39B74C55"/>
    <w:rsid w:val="39B822CE"/>
    <w:rsid w:val="39FC5695"/>
    <w:rsid w:val="3A006D8E"/>
    <w:rsid w:val="3A287454"/>
    <w:rsid w:val="3A3651E5"/>
    <w:rsid w:val="3A3D7EDC"/>
    <w:rsid w:val="3A744481"/>
    <w:rsid w:val="3A8C7BEF"/>
    <w:rsid w:val="3A906246"/>
    <w:rsid w:val="3ADB5F75"/>
    <w:rsid w:val="3B204093"/>
    <w:rsid w:val="3B2349B7"/>
    <w:rsid w:val="3B31716D"/>
    <w:rsid w:val="3B616CFF"/>
    <w:rsid w:val="3B6259F6"/>
    <w:rsid w:val="3B8701AA"/>
    <w:rsid w:val="3B976654"/>
    <w:rsid w:val="3BBA0580"/>
    <w:rsid w:val="3BC01EFC"/>
    <w:rsid w:val="3BC40746"/>
    <w:rsid w:val="3BCA786A"/>
    <w:rsid w:val="3BD31E2F"/>
    <w:rsid w:val="3BD90096"/>
    <w:rsid w:val="3BF15831"/>
    <w:rsid w:val="3C044687"/>
    <w:rsid w:val="3C101822"/>
    <w:rsid w:val="3C105946"/>
    <w:rsid w:val="3C471448"/>
    <w:rsid w:val="3C5F759A"/>
    <w:rsid w:val="3C6C525A"/>
    <w:rsid w:val="3C722763"/>
    <w:rsid w:val="3C872D5D"/>
    <w:rsid w:val="3C990195"/>
    <w:rsid w:val="3CCE23CB"/>
    <w:rsid w:val="3CD17D17"/>
    <w:rsid w:val="3CEA279F"/>
    <w:rsid w:val="3D1B2745"/>
    <w:rsid w:val="3D3B5012"/>
    <w:rsid w:val="3D3C7F39"/>
    <w:rsid w:val="3D3E0D3C"/>
    <w:rsid w:val="3D440F09"/>
    <w:rsid w:val="3D4504A0"/>
    <w:rsid w:val="3D50703D"/>
    <w:rsid w:val="3D7529B0"/>
    <w:rsid w:val="3D7604D6"/>
    <w:rsid w:val="3D8734BB"/>
    <w:rsid w:val="3D9A11D4"/>
    <w:rsid w:val="3DA16D89"/>
    <w:rsid w:val="3DA364BE"/>
    <w:rsid w:val="3DCB1E53"/>
    <w:rsid w:val="3DE041CB"/>
    <w:rsid w:val="3E0D48F6"/>
    <w:rsid w:val="3E104487"/>
    <w:rsid w:val="3E18158D"/>
    <w:rsid w:val="3E1868B4"/>
    <w:rsid w:val="3E377251"/>
    <w:rsid w:val="3E42664B"/>
    <w:rsid w:val="3E5A7334"/>
    <w:rsid w:val="3E730BBA"/>
    <w:rsid w:val="3E7B5D6B"/>
    <w:rsid w:val="3E843E66"/>
    <w:rsid w:val="3E8F51FE"/>
    <w:rsid w:val="3E926F87"/>
    <w:rsid w:val="3E9A59DE"/>
    <w:rsid w:val="3EAF4836"/>
    <w:rsid w:val="3EC33DFA"/>
    <w:rsid w:val="3F060E16"/>
    <w:rsid w:val="3F0D09C6"/>
    <w:rsid w:val="3F1D1096"/>
    <w:rsid w:val="3F2F0234"/>
    <w:rsid w:val="3F35774F"/>
    <w:rsid w:val="3F3F385D"/>
    <w:rsid w:val="3F52505A"/>
    <w:rsid w:val="3F6363FE"/>
    <w:rsid w:val="3F7406EF"/>
    <w:rsid w:val="3F756B8F"/>
    <w:rsid w:val="3F95482B"/>
    <w:rsid w:val="3FF12096"/>
    <w:rsid w:val="4019356B"/>
    <w:rsid w:val="404228F2"/>
    <w:rsid w:val="40464160"/>
    <w:rsid w:val="40592157"/>
    <w:rsid w:val="406E1CAE"/>
    <w:rsid w:val="409749EB"/>
    <w:rsid w:val="40A0133A"/>
    <w:rsid w:val="40C31A53"/>
    <w:rsid w:val="40EA7211"/>
    <w:rsid w:val="40FF545D"/>
    <w:rsid w:val="410067C8"/>
    <w:rsid w:val="411E5666"/>
    <w:rsid w:val="41261DCB"/>
    <w:rsid w:val="418D2CF6"/>
    <w:rsid w:val="418F0D2A"/>
    <w:rsid w:val="41D01505"/>
    <w:rsid w:val="422B5D33"/>
    <w:rsid w:val="42324D5E"/>
    <w:rsid w:val="42474939"/>
    <w:rsid w:val="424C3C57"/>
    <w:rsid w:val="42613FF3"/>
    <w:rsid w:val="42660D96"/>
    <w:rsid w:val="426C3506"/>
    <w:rsid w:val="428667D2"/>
    <w:rsid w:val="42BA2C13"/>
    <w:rsid w:val="42CD1CE0"/>
    <w:rsid w:val="42E1381E"/>
    <w:rsid w:val="42E22685"/>
    <w:rsid w:val="42ED6459"/>
    <w:rsid w:val="42F9198D"/>
    <w:rsid w:val="42FE58DD"/>
    <w:rsid w:val="43174B3D"/>
    <w:rsid w:val="434B790E"/>
    <w:rsid w:val="4360274F"/>
    <w:rsid w:val="43641240"/>
    <w:rsid w:val="43977AB6"/>
    <w:rsid w:val="43A3342B"/>
    <w:rsid w:val="43C77C27"/>
    <w:rsid w:val="43D06572"/>
    <w:rsid w:val="43DE09EE"/>
    <w:rsid w:val="44002FAD"/>
    <w:rsid w:val="44095A75"/>
    <w:rsid w:val="440A08B0"/>
    <w:rsid w:val="443A431D"/>
    <w:rsid w:val="449101DD"/>
    <w:rsid w:val="449A11DA"/>
    <w:rsid w:val="44AD6911"/>
    <w:rsid w:val="44AE0556"/>
    <w:rsid w:val="44C24001"/>
    <w:rsid w:val="44DE1391"/>
    <w:rsid w:val="44FA7C3F"/>
    <w:rsid w:val="451B225C"/>
    <w:rsid w:val="452410C9"/>
    <w:rsid w:val="452D1C5D"/>
    <w:rsid w:val="45317DFB"/>
    <w:rsid w:val="453555D0"/>
    <w:rsid w:val="456D3CE4"/>
    <w:rsid w:val="457277D5"/>
    <w:rsid w:val="4579042C"/>
    <w:rsid w:val="457F0571"/>
    <w:rsid w:val="45851176"/>
    <w:rsid w:val="45930629"/>
    <w:rsid w:val="45AB2CE7"/>
    <w:rsid w:val="45BB0372"/>
    <w:rsid w:val="45C63B94"/>
    <w:rsid w:val="460E7DA5"/>
    <w:rsid w:val="460F3276"/>
    <w:rsid w:val="46252A99"/>
    <w:rsid w:val="46416AD6"/>
    <w:rsid w:val="46422483"/>
    <w:rsid w:val="4659254A"/>
    <w:rsid w:val="465B0637"/>
    <w:rsid w:val="465E3F0D"/>
    <w:rsid w:val="466A16E6"/>
    <w:rsid w:val="467B20E5"/>
    <w:rsid w:val="46893F2B"/>
    <w:rsid w:val="468B4FF2"/>
    <w:rsid w:val="46C4686E"/>
    <w:rsid w:val="46E45317"/>
    <w:rsid w:val="473176DF"/>
    <w:rsid w:val="477458F9"/>
    <w:rsid w:val="47762884"/>
    <w:rsid w:val="477B778F"/>
    <w:rsid w:val="478203EC"/>
    <w:rsid w:val="47A91C41"/>
    <w:rsid w:val="47B025FA"/>
    <w:rsid w:val="47B101A6"/>
    <w:rsid w:val="4809698F"/>
    <w:rsid w:val="4811697D"/>
    <w:rsid w:val="4846562C"/>
    <w:rsid w:val="484826A7"/>
    <w:rsid w:val="487A3E25"/>
    <w:rsid w:val="488B5503"/>
    <w:rsid w:val="48937E21"/>
    <w:rsid w:val="489A0361"/>
    <w:rsid w:val="48B94FF3"/>
    <w:rsid w:val="48E10AB0"/>
    <w:rsid w:val="48E37AAB"/>
    <w:rsid w:val="48EE1B09"/>
    <w:rsid w:val="48FD4B4C"/>
    <w:rsid w:val="490A68E0"/>
    <w:rsid w:val="491055FE"/>
    <w:rsid w:val="49165D74"/>
    <w:rsid w:val="492839CD"/>
    <w:rsid w:val="494046BD"/>
    <w:rsid w:val="495F5B3E"/>
    <w:rsid w:val="496F77D7"/>
    <w:rsid w:val="497654FD"/>
    <w:rsid w:val="498C7C1D"/>
    <w:rsid w:val="49AF4C83"/>
    <w:rsid w:val="49B64211"/>
    <w:rsid w:val="49BA49EF"/>
    <w:rsid w:val="49CC7283"/>
    <w:rsid w:val="49EF7646"/>
    <w:rsid w:val="49F6167F"/>
    <w:rsid w:val="4A064FA0"/>
    <w:rsid w:val="4A16615C"/>
    <w:rsid w:val="4A4424D7"/>
    <w:rsid w:val="4A537EBC"/>
    <w:rsid w:val="4AA76173"/>
    <w:rsid w:val="4AB82D0F"/>
    <w:rsid w:val="4AE81998"/>
    <w:rsid w:val="4AEB7664"/>
    <w:rsid w:val="4AFD7C19"/>
    <w:rsid w:val="4B041391"/>
    <w:rsid w:val="4B0567D1"/>
    <w:rsid w:val="4B236AAE"/>
    <w:rsid w:val="4B4E0B84"/>
    <w:rsid w:val="4B707271"/>
    <w:rsid w:val="4B9739F7"/>
    <w:rsid w:val="4BD91293"/>
    <w:rsid w:val="4BEE2503"/>
    <w:rsid w:val="4C245A30"/>
    <w:rsid w:val="4C417F01"/>
    <w:rsid w:val="4C8048C9"/>
    <w:rsid w:val="4C935908"/>
    <w:rsid w:val="4CB6685F"/>
    <w:rsid w:val="4CC367FE"/>
    <w:rsid w:val="4CD34FFD"/>
    <w:rsid w:val="4CE92EBD"/>
    <w:rsid w:val="4D077F3C"/>
    <w:rsid w:val="4D092950"/>
    <w:rsid w:val="4D123355"/>
    <w:rsid w:val="4D2A3B31"/>
    <w:rsid w:val="4D312C52"/>
    <w:rsid w:val="4D3B1C54"/>
    <w:rsid w:val="4D4A3F6C"/>
    <w:rsid w:val="4D6C7200"/>
    <w:rsid w:val="4D6F2B4A"/>
    <w:rsid w:val="4D905305"/>
    <w:rsid w:val="4D930C30"/>
    <w:rsid w:val="4D964A72"/>
    <w:rsid w:val="4D9C1254"/>
    <w:rsid w:val="4E233E1E"/>
    <w:rsid w:val="4E240946"/>
    <w:rsid w:val="4E455520"/>
    <w:rsid w:val="4E5C54C6"/>
    <w:rsid w:val="4E793892"/>
    <w:rsid w:val="4E800872"/>
    <w:rsid w:val="4EC569ED"/>
    <w:rsid w:val="4ED50EA1"/>
    <w:rsid w:val="4EEC050C"/>
    <w:rsid w:val="4F104EC3"/>
    <w:rsid w:val="4F1A70FB"/>
    <w:rsid w:val="4F47354A"/>
    <w:rsid w:val="4F6E63D1"/>
    <w:rsid w:val="4F730F55"/>
    <w:rsid w:val="4F911C54"/>
    <w:rsid w:val="4FAB1FCD"/>
    <w:rsid w:val="4FAB3A2E"/>
    <w:rsid w:val="4FB31ECA"/>
    <w:rsid w:val="4FE625E0"/>
    <w:rsid w:val="4FF57537"/>
    <w:rsid w:val="5021480F"/>
    <w:rsid w:val="50680152"/>
    <w:rsid w:val="506C3F7C"/>
    <w:rsid w:val="507F68F0"/>
    <w:rsid w:val="50962ECB"/>
    <w:rsid w:val="50A42E38"/>
    <w:rsid w:val="50A4577F"/>
    <w:rsid w:val="50B73D1F"/>
    <w:rsid w:val="50BD5BC9"/>
    <w:rsid w:val="50C11EEE"/>
    <w:rsid w:val="50E97CFC"/>
    <w:rsid w:val="50FA4028"/>
    <w:rsid w:val="510D65B7"/>
    <w:rsid w:val="511157AB"/>
    <w:rsid w:val="5142540C"/>
    <w:rsid w:val="516676AF"/>
    <w:rsid w:val="518832C8"/>
    <w:rsid w:val="519466DC"/>
    <w:rsid w:val="519F5DF6"/>
    <w:rsid w:val="51A0432A"/>
    <w:rsid w:val="51A86090"/>
    <w:rsid w:val="51AE7DE7"/>
    <w:rsid w:val="51B7396D"/>
    <w:rsid w:val="522E4CC3"/>
    <w:rsid w:val="5244713B"/>
    <w:rsid w:val="52555E41"/>
    <w:rsid w:val="52615633"/>
    <w:rsid w:val="5294522F"/>
    <w:rsid w:val="52977FD4"/>
    <w:rsid w:val="5298521F"/>
    <w:rsid w:val="529B60BF"/>
    <w:rsid w:val="52A24275"/>
    <w:rsid w:val="52A25790"/>
    <w:rsid w:val="52A96B6F"/>
    <w:rsid w:val="52AF3AC4"/>
    <w:rsid w:val="52B45975"/>
    <w:rsid w:val="52CC08C8"/>
    <w:rsid w:val="52D94AA4"/>
    <w:rsid w:val="52DE7838"/>
    <w:rsid w:val="52EA30A1"/>
    <w:rsid w:val="52EA3A62"/>
    <w:rsid w:val="52ED0DF4"/>
    <w:rsid w:val="52F50BB8"/>
    <w:rsid w:val="52FC26DC"/>
    <w:rsid w:val="53097272"/>
    <w:rsid w:val="530E57D2"/>
    <w:rsid w:val="53472121"/>
    <w:rsid w:val="53544462"/>
    <w:rsid w:val="5397158E"/>
    <w:rsid w:val="53980D4F"/>
    <w:rsid w:val="54013861"/>
    <w:rsid w:val="54487265"/>
    <w:rsid w:val="544D6070"/>
    <w:rsid w:val="545D4397"/>
    <w:rsid w:val="54605E1E"/>
    <w:rsid w:val="54B3506A"/>
    <w:rsid w:val="54CA0D16"/>
    <w:rsid w:val="54CD6280"/>
    <w:rsid w:val="54DD4057"/>
    <w:rsid w:val="54E7490F"/>
    <w:rsid w:val="54F95E44"/>
    <w:rsid w:val="550764A4"/>
    <w:rsid w:val="550B2BF6"/>
    <w:rsid w:val="55214EB5"/>
    <w:rsid w:val="55364EFD"/>
    <w:rsid w:val="555D4828"/>
    <w:rsid w:val="557A4C8B"/>
    <w:rsid w:val="558931E1"/>
    <w:rsid w:val="55923347"/>
    <w:rsid w:val="55925180"/>
    <w:rsid w:val="55983B1B"/>
    <w:rsid w:val="55A8376B"/>
    <w:rsid w:val="55DC29B6"/>
    <w:rsid w:val="55DD4241"/>
    <w:rsid w:val="561947DE"/>
    <w:rsid w:val="566B6D1E"/>
    <w:rsid w:val="566E3F26"/>
    <w:rsid w:val="56B0015D"/>
    <w:rsid w:val="56E542AB"/>
    <w:rsid w:val="56FF2D86"/>
    <w:rsid w:val="57032A2C"/>
    <w:rsid w:val="570F5219"/>
    <w:rsid w:val="57193F55"/>
    <w:rsid w:val="573E55CB"/>
    <w:rsid w:val="575D12B5"/>
    <w:rsid w:val="57610A87"/>
    <w:rsid w:val="577054DB"/>
    <w:rsid w:val="577B1140"/>
    <w:rsid w:val="577B7F21"/>
    <w:rsid w:val="577F181B"/>
    <w:rsid w:val="57921984"/>
    <w:rsid w:val="57924EA0"/>
    <w:rsid w:val="579737F0"/>
    <w:rsid w:val="57AB7B30"/>
    <w:rsid w:val="57AF5251"/>
    <w:rsid w:val="57B26373"/>
    <w:rsid w:val="57B63F04"/>
    <w:rsid w:val="57CD20C2"/>
    <w:rsid w:val="57D675AB"/>
    <w:rsid w:val="57D95FDD"/>
    <w:rsid w:val="57E36310"/>
    <w:rsid w:val="57F528D4"/>
    <w:rsid w:val="581A12F1"/>
    <w:rsid w:val="581F559B"/>
    <w:rsid w:val="58340DFC"/>
    <w:rsid w:val="58917D2F"/>
    <w:rsid w:val="5894085C"/>
    <w:rsid w:val="58AE4F0C"/>
    <w:rsid w:val="58AF1ADB"/>
    <w:rsid w:val="58B85899"/>
    <w:rsid w:val="58CF4C60"/>
    <w:rsid w:val="58E363A9"/>
    <w:rsid w:val="59202E04"/>
    <w:rsid w:val="595E1678"/>
    <w:rsid w:val="596D5BD4"/>
    <w:rsid w:val="59744806"/>
    <w:rsid w:val="597E3DD8"/>
    <w:rsid w:val="59A40C81"/>
    <w:rsid w:val="59B004EC"/>
    <w:rsid w:val="59B66673"/>
    <w:rsid w:val="59B863D7"/>
    <w:rsid w:val="59F80043"/>
    <w:rsid w:val="59FC1DBB"/>
    <w:rsid w:val="5A09252F"/>
    <w:rsid w:val="5A0B2778"/>
    <w:rsid w:val="5A2A7C7B"/>
    <w:rsid w:val="5A3E2560"/>
    <w:rsid w:val="5A5D3B6E"/>
    <w:rsid w:val="5A637A76"/>
    <w:rsid w:val="5A6D33BA"/>
    <w:rsid w:val="5A792B1F"/>
    <w:rsid w:val="5A874767"/>
    <w:rsid w:val="5A9827CA"/>
    <w:rsid w:val="5AAD6F28"/>
    <w:rsid w:val="5AB0697E"/>
    <w:rsid w:val="5AD44AB6"/>
    <w:rsid w:val="5AD63A24"/>
    <w:rsid w:val="5B022F52"/>
    <w:rsid w:val="5B2E1A1D"/>
    <w:rsid w:val="5B843A1C"/>
    <w:rsid w:val="5B873E3F"/>
    <w:rsid w:val="5B8A5C89"/>
    <w:rsid w:val="5BE2525D"/>
    <w:rsid w:val="5BE33D5D"/>
    <w:rsid w:val="5BF16DCD"/>
    <w:rsid w:val="5C02690E"/>
    <w:rsid w:val="5C03363F"/>
    <w:rsid w:val="5C196DA7"/>
    <w:rsid w:val="5C2A048C"/>
    <w:rsid w:val="5C725325"/>
    <w:rsid w:val="5C80234E"/>
    <w:rsid w:val="5C8A680C"/>
    <w:rsid w:val="5C94818D"/>
    <w:rsid w:val="5CA05B27"/>
    <w:rsid w:val="5CE868B8"/>
    <w:rsid w:val="5D0C4701"/>
    <w:rsid w:val="5D0F0395"/>
    <w:rsid w:val="5D221076"/>
    <w:rsid w:val="5D265497"/>
    <w:rsid w:val="5D2D358B"/>
    <w:rsid w:val="5D2F3949"/>
    <w:rsid w:val="5D397964"/>
    <w:rsid w:val="5D4A2C46"/>
    <w:rsid w:val="5D5A391C"/>
    <w:rsid w:val="5D5F10C0"/>
    <w:rsid w:val="5D891B7B"/>
    <w:rsid w:val="5D9535FE"/>
    <w:rsid w:val="5DAD38EE"/>
    <w:rsid w:val="5E006862"/>
    <w:rsid w:val="5E0207B9"/>
    <w:rsid w:val="5E1834A1"/>
    <w:rsid w:val="5E1D07CE"/>
    <w:rsid w:val="5E261785"/>
    <w:rsid w:val="5E3818F2"/>
    <w:rsid w:val="5E4A7017"/>
    <w:rsid w:val="5E552BBA"/>
    <w:rsid w:val="5E611C10"/>
    <w:rsid w:val="5EC40C4A"/>
    <w:rsid w:val="5EF62DCD"/>
    <w:rsid w:val="5EFC7377"/>
    <w:rsid w:val="5F025C16"/>
    <w:rsid w:val="5F06174D"/>
    <w:rsid w:val="5F0B6879"/>
    <w:rsid w:val="5F3A3602"/>
    <w:rsid w:val="5F6277C6"/>
    <w:rsid w:val="5F6D0B1D"/>
    <w:rsid w:val="5F8D0B82"/>
    <w:rsid w:val="5F9276C6"/>
    <w:rsid w:val="5FAB292D"/>
    <w:rsid w:val="5FCC5339"/>
    <w:rsid w:val="5FE34A5B"/>
    <w:rsid w:val="5FFE1E36"/>
    <w:rsid w:val="60232584"/>
    <w:rsid w:val="603F5D5C"/>
    <w:rsid w:val="604638E0"/>
    <w:rsid w:val="60557755"/>
    <w:rsid w:val="607330CE"/>
    <w:rsid w:val="60825176"/>
    <w:rsid w:val="609B00D0"/>
    <w:rsid w:val="609F2AC4"/>
    <w:rsid w:val="60B151FE"/>
    <w:rsid w:val="60FA2EE8"/>
    <w:rsid w:val="61054A27"/>
    <w:rsid w:val="610A52BC"/>
    <w:rsid w:val="61141BB9"/>
    <w:rsid w:val="6118527D"/>
    <w:rsid w:val="611A1845"/>
    <w:rsid w:val="611D2366"/>
    <w:rsid w:val="61421856"/>
    <w:rsid w:val="615227C4"/>
    <w:rsid w:val="615A2485"/>
    <w:rsid w:val="61654E3F"/>
    <w:rsid w:val="6182292A"/>
    <w:rsid w:val="619C58E2"/>
    <w:rsid w:val="619F7F92"/>
    <w:rsid w:val="61CD5E3A"/>
    <w:rsid w:val="61E643A1"/>
    <w:rsid w:val="61F94C26"/>
    <w:rsid w:val="62000E56"/>
    <w:rsid w:val="623E1252"/>
    <w:rsid w:val="624F3E49"/>
    <w:rsid w:val="62632286"/>
    <w:rsid w:val="62885958"/>
    <w:rsid w:val="62DB0C58"/>
    <w:rsid w:val="62E06D1C"/>
    <w:rsid w:val="62E50C04"/>
    <w:rsid w:val="62F40B65"/>
    <w:rsid w:val="62FC2CFE"/>
    <w:rsid w:val="63024505"/>
    <w:rsid w:val="63202106"/>
    <w:rsid w:val="634B7DEF"/>
    <w:rsid w:val="635B1DB5"/>
    <w:rsid w:val="635D1F7D"/>
    <w:rsid w:val="636B1FDC"/>
    <w:rsid w:val="63711FED"/>
    <w:rsid w:val="63880DDC"/>
    <w:rsid w:val="638D750D"/>
    <w:rsid w:val="63947DC2"/>
    <w:rsid w:val="63A6706F"/>
    <w:rsid w:val="63AC6CC0"/>
    <w:rsid w:val="63C94F54"/>
    <w:rsid w:val="63F363C5"/>
    <w:rsid w:val="63F41DB1"/>
    <w:rsid w:val="64055776"/>
    <w:rsid w:val="64240056"/>
    <w:rsid w:val="643E143A"/>
    <w:rsid w:val="648B6EEF"/>
    <w:rsid w:val="64B4766E"/>
    <w:rsid w:val="64C158BF"/>
    <w:rsid w:val="64CE2EAA"/>
    <w:rsid w:val="65312DB1"/>
    <w:rsid w:val="653C3090"/>
    <w:rsid w:val="65587EC8"/>
    <w:rsid w:val="65854376"/>
    <w:rsid w:val="658767BE"/>
    <w:rsid w:val="65892531"/>
    <w:rsid w:val="65896749"/>
    <w:rsid w:val="65EC0485"/>
    <w:rsid w:val="65F72DBC"/>
    <w:rsid w:val="66081D64"/>
    <w:rsid w:val="66140709"/>
    <w:rsid w:val="66195831"/>
    <w:rsid w:val="661978F4"/>
    <w:rsid w:val="662E75B1"/>
    <w:rsid w:val="66342C2E"/>
    <w:rsid w:val="663E784C"/>
    <w:rsid w:val="66660838"/>
    <w:rsid w:val="668B6A45"/>
    <w:rsid w:val="672F3F24"/>
    <w:rsid w:val="673E055F"/>
    <w:rsid w:val="67440ACF"/>
    <w:rsid w:val="67551CE3"/>
    <w:rsid w:val="675A152E"/>
    <w:rsid w:val="6760172C"/>
    <w:rsid w:val="676669E2"/>
    <w:rsid w:val="676E5BF7"/>
    <w:rsid w:val="67924586"/>
    <w:rsid w:val="67A07572"/>
    <w:rsid w:val="67A22552"/>
    <w:rsid w:val="67A91325"/>
    <w:rsid w:val="67B22DCC"/>
    <w:rsid w:val="67BE71AA"/>
    <w:rsid w:val="67D90273"/>
    <w:rsid w:val="67DA328C"/>
    <w:rsid w:val="67DE5875"/>
    <w:rsid w:val="67E55852"/>
    <w:rsid w:val="67EB1AB4"/>
    <w:rsid w:val="67FA1285"/>
    <w:rsid w:val="67FF4564"/>
    <w:rsid w:val="68106CAE"/>
    <w:rsid w:val="684568BD"/>
    <w:rsid w:val="685265CA"/>
    <w:rsid w:val="68551F4F"/>
    <w:rsid w:val="687C10C9"/>
    <w:rsid w:val="68840C16"/>
    <w:rsid w:val="68845596"/>
    <w:rsid w:val="688558EE"/>
    <w:rsid w:val="68876EFB"/>
    <w:rsid w:val="68884654"/>
    <w:rsid w:val="689F444F"/>
    <w:rsid w:val="68B96DBB"/>
    <w:rsid w:val="68CA2805"/>
    <w:rsid w:val="68E35296"/>
    <w:rsid w:val="68E937A3"/>
    <w:rsid w:val="69134D93"/>
    <w:rsid w:val="693E15D3"/>
    <w:rsid w:val="6953779A"/>
    <w:rsid w:val="69627681"/>
    <w:rsid w:val="6977531D"/>
    <w:rsid w:val="69B17F8E"/>
    <w:rsid w:val="69CC2BFF"/>
    <w:rsid w:val="69D02B99"/>
    <w:rsid w:val="69FD55B8"/>
    <w:rsid w:val="6A0B1C62"/>
    <w:rsid w:val="6A2406C8"/>
    <w:rsid w:val="6A611A43"/>
    <w:rsid w:val="6A627BD9"/>
    <w:rsid w:val="6A932C97"/>
    <w:rsid w:val="6AD37D33"/>
    <w:rsid w:val="6ADE0BD1"/>
    <w:rsid w:val="6AE96859"/>
    <w:rsid w:val="6AF6662F"/>
    <w:rsid w:val="6B013226"/>
    <w:rsid w:val="6B147746"/>
    <w:rsid w:val="6B24787C"/>
    <w:rsid w:val="6B573233"/>
    <w:rsid w:val="6B5B6274"/>
    <w:rsid w:val="6B707B2D"/>
    <w:rsid w:val="6B8B54C6"/>
    <w:rsid w:val="6B935D53"/>
    <w:rsid w:val="6C196F71"/>
    <w:rsid w:val="6C1F1BB5"/>
    <w:rsid w:val="6C1F5711"/>
    <w:rsid w:val="6C22436F"/>
    <w:rsid w:val="6C226FCB"/>
    <w:rsid w:val="6C31226F"/>
    <w:rsid w:val="6C552F0B"/>
    <w:rsid w:val="6C890D38"/>
    <w:rsid w:val="6C8C67B7"/>
    <w:rsid w:val="6C9D744C"/>
    <w:rsid w:val="6CDC15AF"/>
    <w:rsid w:val="6D064B23"/>
    <w:rsid w:val="6D167928"/>
    <w:rsid w:val="6D26299B"/>
    <w:rsid w:val="6D4772EC"/>
    <w:rsid w:val="6D9078AF"/>
    <w:rsid w:val="6D9F13CC"/>
    <w:rsid w:val="6DAA3FEF"/>
    <w:rsid w:val="6DBF0635"/>
    <w:rsid w:val="6DC0172B"/>
    <w:rsid w:val="6DCA3734"/>
    <w:rsid w:val="6DCB690C"/>
    <w:rsid w:val="6DD41A5B"/>
    <w:rsid w:val="6DF43C2E"/>
    <w:rsid w:val="6DF51CA3"/>
    <w:rsid w:val="6E2C1A26"/>
    <w:rsid w:val="6E8335BD"/>
    <w:rsid w:val="6E8E12EF"/>
    <w:rsid w:val="6E972936"/>
    <w:rsid w:val="6ED446C5"/>
    <w:rsid w:val="6F1A07D6"/>
    <w:rsid w:val="6F1E0AB6"/>
    <w:rsid w:val="6F2A7D94"/>
    <w:rsid w:val="6F3D2818"/>
    <w:rsid w:val="6F592B16"/>
    <w:rsid w:val="6F6C6382"/>
    <w:rsid w:val="6F8331F1"/>
    <w:rsid w:val="6FAE1A09"/>
    <w:rsid w:val="6FD75BF8"/>
    <w:rsid w:val="6FEB735C"/>
    <w:rsid w:val="701A1EE7"/>
    <w:rsid w:val="707723D0"/>
    <w:rsid w:val="70F33611"/>
    <w:rsid w:val="70F5661B"/>
    <w:rsid w:val="71360107"/>
    <w:rsid w:val="713B688E"/>
    <w:rsid w:val="71695B67"/>
    <w:rsid w:val="717958C4"/>
    <w:rsid w:val="71796B56"/>
    <w:rsid w:val="71871D75"/>
    <w:rsid w:val="71D43752"/>
    <w:rsid w:val="71F1796A"/>
    <w:rsid w:val="720A6E64"/>
    <w:rsid w:val="72154626"/>
    <w:rsid w:val="721970A7"/>
    <w:rsid w:val="72262B5D"/>
    <w:rsid w:val="72283FF7"/>
    <w:rsid w:val="722E7212"/>
    <w:rsid w:val="723A0474"/>
    <w:rsid w:val="725923E4"/>
    <w:rsid w:val="72864BF7"/>
    <w:rsid w:val="729023FC"/>
    <w:rsid w:val="72C74EA1"/>
    <w:rsid w:val="7309711B"/>
    <w:rsid w:val="73337CF4"/>
    <w:rsid w:val="73374EF1"/>
    <w:rsid w:val="73612AB3"/>
    <w:rsid w:val="73C02FFA"/>
    <w:rsid w:val="73C0646E"/>
    <w:rsid w:val="73D80A2F"/>
    <w:rsid w:val="73ED1FC4"/>
    <w:rsid w:val="73EF3BBA"/>
    <w:rsid w:val="742222F5"/>
    <w:rsid w:val="743C0E2B"/>
    <w:rsid w:val="74476126"/>
    <w:rsid w:val="74706664"/>
    <w:rsid w:val="747F3682"/>
    <w:rsid w:val="74884354"/>
    <w:rsid w:val="749C4185"/>
    <w:rsid w:val="74DE4FD2"/>
    <w:rsid w:val="74F41284"/>
    <w:rsid w:val="75067759"/>
    <w:rsid w:val="752E6DCD"/>
    <w:rsid w:val="754461E9"/>
    <w:rsid w:val="7551380D"/>
    <w:rsid w:val="75600BE5"/>
    <w:rsid w:val="7564475C"/>
    <w:rsid w:val="75706FDE"/>
    <w:rsid w:val="7583797F"/>
    <w:rsid w:val="75914DAC"/>
    <w:rsid w:val="75AB3829"/>
    <w:rsid w:val="75D20F1D"/>
    <w:rsid w:val="75DA2C18"/>
    <w:rsid w:val="75EA3234"/>
    <w:rsid w:val="75ED7121"/>
    <w:rsid w:val="75F54412"/>
    <w:rsid w:val="761D08E0"/>
    <w:rsid w:val="763267DA"/>
    <w:rsid w:val="76342701"/>
    <w:rsid w:val="765D347C"/>
    <w:rsid w:val="76826699"/>
    <w:rsid w:val="76C87133"/>
    <w:rsid w:val="76CD08D5"/>
    <w:rsid w:val="76D23B71"/>
    <w:rsid w:val="76DB4B92"/>
    <w:rsid w:val="76EB7264"/>
    <w:rsid w:val="77052AA4"/>
    <w:rsid w:val="77136511"/>
    <w:rsid w:val="77340A39"/>
    <w:rsid w:val="77351FD0"/>
    <w:rsid w:val="77472422"/>
    <w:rsid w:val="777F31F2"/>
    <w:rsid w:val="77AA2EC6"/>
    <w:rsid w:val="77D1700D"/>
    <w:rsid w:val="77EC04CC"/>
    <w:rsid w:val="78281DF2"/>
    <w:rsid w:val="78775729"/>
    <w:rsid w:val="78A42DB0"/>
    <w:rsid w:val="78A656AB"/>
    <w:rsid w:val="78B2245C"/>
    <w:rsid w:val="78C94EBB"/>
    <w:rsid w:val="78E172CC"/>
    <w:rsid w:val="78EA1D1F"/>
    <w:rsid w:val="790063EB"/>
    <w:rsid w:val="7904172F"/>
    <w:rsid w:val="790F7E27"/>
    <w:rsid w:val="79200D1B"/>
    <w:rsid w:val="79295E21"/>
    <w:rsid w:val="792A231A"/>
    <w:rsid w:val="792F71B0"/>
    <w:rsid w:val="79316829"/>
    <w:rsid w:val="793331D2"/>
    <w:rsid w:val="794B6758"/>
    <w:rsid w:val="79613A09"/>
    <w:rsid w:val="796671FD"/>
    <w:rsid w:val="79694470"/>
    <w:rsid w:val="797E31CB"/>
    <w:rsid w:val="797E66A9"/>
    <w:rsid w:val="79A97383"/>
    <w:rsid w:val="79E27E8B"/>
    <w:rsid w:val="79F2497C"/>
    <w:rsid w:val="79F850CE"/>
    <w:rsid w:val="79FD443C"/>
    <w:rsid w:val="7A005620"/>
    <w:rsid w:val="7A1926F8"/>
    <w:rsid w:val="7A1D1975"/>
    <w:rsid w:val="7A383C75"/>
    <w:rsid w:val="7A3E5150"/>
    <w:rsid w:val="7A4670D6"/>
    <w:rsid w:val="7A534B63"/>
    <w:rsid w:val="7A615382"/>
    <w:rsid w:val="7A67303B"/>
    <w:rsid w:val="7A801A3E"/>
    <w:rsid w:val="7A8A2A58"/>
    <w:rsid w:val="7A9C409B"/>
    <w:rsid w:val="7AAB1D04"/>
    <w:rsid w:val="7AB34E94"/>
    <w:rsid w:val="7ABA4368"/>
    <w:rsid w:val="7AD05746"/>
    <w:rsid w:val="7B060184"/>
    <w:rsid w:val="7B257FFD"/>
    <w:rsid w:val="7B334D35"/>
    <w:rsid w:val="7B343476"/>
    <w:rsid w:val="7B5A2978"/>
    <w:rsid w:val="7B5A7E4C"/>
    <w:rsid w:val="7B667AF9"/>
    <w:rsid w:val="7B7468F8"/>
    <w:rsid w:val="7B7E4E4F"/>
    <w:rsid w:val="7B9B1B19"/>
    <w:rsid w:val="7BD22D00"/>
    <w:rsid w:val="7BDF361B"/>
    <w:rsid w:val="7BEE0103"/>
    <w:rsid w:val="7C0A0FE4"/>
    <w:rsid w:val="7C254906"/>
    <w:rsid w:val="7C5045B3"/>
    <w:rsid w:val="7C590818"/>
    <w:rsid w:val="7C7C10F6"/>
    <w:rsid w:val="7C853BEA"/>
    <w:rsid w:val="7C881368"/>
    <w:rsid w:val="7CBE0B89"/>
    <w:rsid w:val="7CC618D3"/>
    <w:rsid w:val="7CE27788"/>
    <w:rsid w:val="7CE64029"/>
    <w:rsid w:val="7D0C32F1"/>
    <w:rsid w:val="7D0F408D"/>
    <w:rsid w:val="7D1B3B82"/>
    <w:rsid w:val="7D2E7EAA"/>
    <w:rsid w:val="7D491C6C"/>
    <w:rsid w:val="7D4A6A89"/>
    <w:rsid w:val="7D5429C0"/>
    <w:rsid w:val="7D6E6D43"/>
    <w:rsid w:val="7D825E08"/>
    <w:rsid w:val="7D8800D5"/>
    <w:rsid w:val="7DA3E0A0"/>
    <w:rsid w:val="7DA423A5"/>
    <w:rsid w:val="7DB57A34"/>
    <w:rsid w:val="7DE60973"/>
    <w:rsid w:val="7DEF0916"/>
    <w:rsid w:val="7E1E5218"/>
    <w:rsid w:val="7E205356"/>
    <w:rsid w:val="7E292823"/>
    <w:rsid w:val="7E9A4E1F"/>
    <w:rsid w:val="7EA7723A"/>
    <w:rsid w:val="7ED77CE9"/>
    <w:rsid w:val="7EF56FBB"/>
    <w:rsid w:val="7F0768EB"/>
    <w:rsid w:val="7F143BEC"/>
    <w:rsid w:val="7F715AF2"/>
    <w:rsid w:val="7F7D4E4C"/>
    <w:rsid w:val="7F886E69"/>
    <w:rsid w:val="7FAB010F"/>
    <w:rsid w:val="7FB7EEA2"/>
    <w:rsid w:val="7FDE95ED"/>
    <w:rsid w:val="7FEC3047"/>
    <w:rsid w:val="7FF16F6D"/>
    <w:rsid w:val="B57F7C22"/>
    <w:rsid w:val="BB7FA927"/>
    <w:rsid w:val="CBC55BB5"/>
    <w:rsid w:val="DD555D91"/>
    <w:rsid w:val="DEFB8CD0"/>
    <w:rsid w:val="DFEF7CE9"/>
    <w:rsid w:val="F2B3F65F"/>
    <w:rsid w:val="F5FFD31F"/>
    <w:rsid w:val="FD3BBF6E"/>
    <w:rsid w:val="FD7F399F"/>
    <w:rsid w:val="FDEF3D32"/>
    <w:rsid w:val="FF7DB491"/>
    <w:rsid w:val="FFF7C1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2"/>
    <w:qFormat/>
    <w:uiPriority w:val="0"/>
    <w:pPr>
      <w:ind w:firstLine="420"/>
    </w:pPr>
    <w:rPr>
      <w:rFonts w:hAnsi="Calibri" w:cs="Times New Roman"/>
      <w:snapToGrid/>
      <w:szCs w:val="20"/>
    </w:rPr>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cs="Arial"/>
      <w:sz w:val="24"/>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70"/>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basedOn w:val="70"/>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basedOn w:val="70"/>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C503-正文格式"/>
    <w:basedOn w:val="1"/>
    <w:qFormat/>
    <w:uiPriority w:val="0"/>
    <w:pPr>
      <w:spacing w:line="360" w:lineRule="auto"/>
      <w:ind w:firstLine="480" w:firstLineChars="200"/>
    </w:pPr>
    <w:rPr>
      <w:rFonts w:cs="宋体"/>
      <w:sz w:val="24"/>
      <w:szCs w:val="20"/>
    </w:rPr>
  </w:style>
  <w:style w:type="paragraph" w:customStyle="1" w:styleId="966">
    <w:name w:val="正文7"/>
    <w:basedOn w:val="1"/>
    <w:qFormat/>
    <w:uiPriority w:val="0"/>
    <w:pPr>
      <w:spacing w:line="318" w:lineRule="atLeast"/>
      <w:ind w:left="369" w:firstLine="369"/>
      <w:textAlignment w:val="baseline"/>
    </w:pPr>
    <w:rPr>
      <w:rFonts w:ascii="宋体"/>
      <w:szCs w:val="20"/>
    </w:rPr>
  </w:style>
  <w:style w:type="paragraph" w:customStyle="1" w:styleId="967">
    <w:name w:val="文章正文"/>
    <w:basedOn w:val="1"/>
    <w:qFormat/>
    <w:uiPriority w:val="0"/>
    <w:pPr>
      <w:spacing w:line="360" w:lineRule="auto"/>
      <w:ind w:firstLine="560" w:firstLineChars="200"/>
    </w:pPr>
    <w:rPr>
      <w:rFonts w:eastAsia="仿宋_GB2312"/>
      <w:kern w:val="0"/>
      <w:sz w:val="28"/>
    </w:rPr>
  </w:style>
  <w:style w:type="paragraph" w:customStyle="1" w:styleId="968">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41398</Words>
  <Characters>43657</Characters>
  <Lines>73</Lines>
  <Paragraphs>95</Paragraphs>
  <TotalTime>0</TotalTime>
  <ScaleCrop>false</ScaleCrop>
  <LinksUpToDate>false</LinksUpToDate>
  <CharactersWithSpaces>48018</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2023-11-06T02:09:00Z</dcterms:created>
  <dc:creator>玥</dc:creator>
  <cp:lastModifiedBy>华诚工程咨询-武婷</cp:lastModifiedBy>
  <cp:lastPrinted>2023-03-04T04:39:00Z</cp:lastPrinted>
  <dcterms:modified xsi:type="dcterms:W3CDTF">2025-07-15T13:25:59Z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4C2FE7FDA1237E1461CD7568E0FE2498_43</vt:lpwstr>
  </property>
</Properties>
</file>