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DC7C89">
      <w:pPr>
        <w:pStyle w:val="4"/>
        <w:spacing w:line="360" w:lineRule="exact"/>
        <w:rPr>
          <w:rFonts w:hAnsi="宋体"/>
        </w:rPr>
      </w:pPr>
      <w:r>
        <w:rPr>
          <w:rFonts w:hint="eastAsia" w:ascii="宋体" w:hAnsi="宋体"/>
          <w:sz w:val="20"/>
        </w:rPr>
        <mc:AlternateContent>
          <mc:Choice Requires="wps">
            <w:drawing>
              <wp:anchor distT="0" distB="0" distL="114300" distR="114300" simplePos="0" relativeHeight="251659264" behindDoc="0" locked="0" layoutInCell="1" allowOverlap="1">
                <wp:simplePos x="0" y="0"/>
                <wp:positionH relativeFrom="column">
                  <wp:posOffset>-896620</wp:posOffset>
                </wp:positionH>
                <wp:positionV relativeFrom="paragraph">
                  <wp:posOffset>-899795</wp:posOffset>
                </wp:positionV>
                <wp:extent cx="7561580" cy="10680065"/>
                <wp:effectExtent l="5080" t="4445" r="15240" b="2159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7561580" cy="10680065"/>
                        </a:xfrm>
                        <a:prstGeom prst="rect">
                          <a:avLst/>
                        </a:prstGeom>
                        <a:solidFill>
                          <a:srgbClr val="FFFFFF"/>
                        </a:solidFill>
                        <a:ln w="9525">
                          <a:solidFill>
                            <a:srgbClr val="000000"/>
                          </a:solidFill>
                          <a:miter lim="800000"/>
                        </a:ln>
                      </wps:spPr>
                      <wps:txbx>
                        <w:txbxContent>
                          <w:p w14:paraId="45785C2E">
                            <w:pPr>
                              <w:jc w:val="right"/>
                              <w:rPr>
                                <w:highlight w:val="yellow"/>
                              </w:rPr>
                            </w:pPr>
                          </w:p>
                          <w:p w14:paraId="23FC8579">
                            <w:pPr>
                              <w:ind w:left="0" w:leftChars="0" w:firstLine="840" w:firstLineChars="400"/>
                              <w:jc w:val="right"/>
                              <w:rPr>
                                <w:highlight w:val="yellow"/>
                              </w:rPr>
                            </w:pPr>
                          </w:p>
                          <w:p w14:paraId="69BE7200">
                            <w:pPr>
                              <w:ind w:left="0" w:leftChars="0" w:firstLine="840" w:firstLineChars="400"/>
                              <w:jc w:val="right"/>
                              <w:rPr>
                                <w:highlight w:val="yellow"/>
                              </w:rPr>
                            </w:pPr>
                          </w:p>
                          <w:p w14:paraId="5727803A">
                            <w:pPr>
                              <w:ind w:left="0" w:leftChars="0" w:firstLine="840" w:firstLineChars="400"/>
                              <w:jc w:val="right"/>
                              <w:rPr>
                                <w:highlight w:val="yellow"/>
                              </w:rPr>
                            </w:pPr>
                          </w:p>
                          <w:p w14:paraId="019A3B62">
                            <w:pPr>
                              <w:ind w:left="0" w:leftChars="0" w:firstLine="840" w:firstLineChars="400"/>
                              <w:jc w:val="left"/>
                              <w:rPr>
                                <w:rFonts w:hint="eastAsia" w:eastAsia="宋体"/>
                                <w:highlight w:val="yellow"/>
                                <w:lang w:eastAsia="zh-CN"/>
                              </w:rPr>
                            </w:pPr>
                          </w:p>
                          <w:p w14:paraId="21EFED5E">
                            <w:pPr>
                              <w:ind w:left="0" w:leftChars="0" w:firstLine="840" w:firstLineChars="400"/>
                              <w:jc w:val="left"/>
                              <w:rPr>
                                <w:rFonts w:hint="eastAsia" w:eastAsia="宋体"/>
                                <w:highlight w:val="none"/>
                                <w:lang w:eastAsia="zh-CN"/>
                              </w:rPr>
                            </w:pPr>
                            <w:r>
                              <w:rPr>
                                <w:rFonts w:hint="eastAsia"/>
                                <w:highlight w:val="none"/>
                                <w:lang w:val="en-US" w:eastAsia="zh-CN"/>
                              </w:rPr>
                              <w:t xml:space="preserve">     </w:t>
                            </w:r>
                            <w:r>
                              <w:rPr>
                                <w:rFonts w:hint="eastAsia" w:eastAsia="宋体"/>
                                <w:highlight w:val="none"/>
                                <w:lang w:eastAsia="zh-CN"/>
                              </w:rPr>
                              <w:drawing>
                                <wp:inline distT="0" distB="0" distL="114300" distR="114300">
                                  <wp:extent cx="800100" cy="704850"/>
                                  <wp:effectExtent l="0" t="0" r="0" b="0"/>
                                  <wp:docPr id="3" name="图片 3" descr="6fbbdcded20938bdaa7f63e3941e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6fbbdcded20938bdaa7f63e3941e744"/>
                                          <pic:cNvPicPr>
                                            <a:picLocks noChangeAspect="1"/>
                                          </pic:cNvPicPr>
                                        </pic:nvPicPr>
                                        <pic:blipFill>
                                          <a:blip r:embed="rId6"/>
                                          <a:stretch>
                                            <a:fillRect/>
                                          </a:stretch>
                                        </pic:blipFill>
                                        <pic:spPr>
                                          <a:xfrm>
                                            <a:off x="0" y="0"/>
                                            <a:ext cx="800100" cy="704850"/>
                                          </a:xfrm>
                                          <a:prstGeom prst="rect">
                                            <a:avLst/>
                                          </a:prstGeom>
                                        </pic:spPr>
                                      </pic:pic>
                                    </a:graphicData>
                                  </a:graphic>
                                </wp:inline>
                              </w:drawing>
                            </w:r>
                          </w:p>
                          <w:p w14:paraId="6243E5E4">
                            <w:pPr>
                              <w:wordWrap w:val="0"/>
                              <w:ind w:left="0" w:leftChars="0" w:firstLine="1108" w:firstLineChars="528"/>
                              <w:jc w:val="both"/>
                            </w:pPr>
                          </w:p>
                          <w:p w14:paraId="085542A4">
                            <w:pPr>
                              <w:wordWrap w:val="0"/>
                              <w:ind w:left="0" w:leftChars="0" w:firstLine="1108" w:firstLineChars="528"/>
                              <w:jc w:val="both"/>
                            </w:pPr>
                            <w:r>
                              <w:t xml:space="preserve">             </w:t>
                            </w:r>
                          </w:p>
                          <w:p w14:paraId="5BD2F939">
                            <w:pPr>
                              <w:ind w:left="0" w:leftChars="0" w:firstLine="1058" w:firstLineChars="378"/>
                              <w:rPr>
                                <w:rFonts w:hint="eastAsia" w:eastAsia="宋体"/>
                                <w:sz w:val="28"/>
                                <w:lang w:eastAsia="zh-CN"/>
                              </w:rPr>
                            </w:pPr>
                          </w:p>
                          <w:p w14:paraId="18921078">
                            <w:pPr>
                              <w:ind w:left="0" w:leftChars="0" w:firstLine="1478" w:firstLineChars="528"/>
                              <w:rPr>
                                <w:sz w:val="28"/>
                              </w:rPr>
                            </w:pPr>
                          </w:p>
                          <w:p w14:paraId="49B49944">
                            <w:pPr>
                              <w:jc w:val="center"/>
                              <w:rPr>
                                <w:sz w:val="28"/>
                              </w:rPr>
                            </w:pPr>
                          </w:p>
                          <w:p w14:paraId="59B1853C">
                            <w:pPr>
                              <w:jc w:val="center"/>
                              <w:rPr>
                                <w:rFonts w:eastAsia="方正大标宋简体"/>
                                <w:sz w:val="72"/>
                              </w:rPr>
                            </w:pPr>
                            <w:r>
                              <w:rPr>
                                <w:rFonts w:hint="eastAsia" w:ascii="华文行楷" w:hAnsi="华文行楷" w:eastAsia="华文行楷" w:cs="华文行楷"/>
                                <w:sz w:val="84"/>
                                <w:szCs w:val="84"/>
                              </w:rPr>
                              <w:t>工程造价咨询报告书</w:t>
                            </w:r>
                          </w:p>
                          <w:p w14:paraId="593EFE2B">
                            <w:pPr>
                              <w:jc w:val="center"/>
                              <w:rPr>
                                <w:sz w:val="28"/>
                              </w:rPr>
                            </w:pPr>
                          </w:p>
                          <w:p w14:paraId="58D7B851">
                            <w:pPr>
                              <w:jc w:val="center"/>
                              <w:rPr>
                                <w:sz w:val="28"/>
                              </w:rPr>
                            </w:pPr>
                          </w:p>
                          <w:p w14:paraId="7FEF3CF8">
                            <w:pPr>
                              <w:jc w:val="center"/>
                              <w:rPr>
                                <w:sz w:val="28"/>
                              </w:rPr>
                            </w:pPr>
                          </w:p>
                          <w:p w14:paraId="774D3F5F">
                            <w:pPr>
                              <w:keepNext w:val="0"/>
                              <w:keepLines w:val="0"/>
                              <w:pageBreakBefore w:val="0"/>
                              <w:widowControl w:val="0"/>
                              <w:kinsoku/>
                              <w:wordWrap/>
                              <w:overflowPunct/>
                              <w:topLinePunct w:val="0"/>
                              <w:autoSpaceDE/>
                              <w:autoSpaceDN/>
                              <w:bidi w:val="0"/>
                              <w:adjustRightInd/>
                              <w:snapToGrid/>
                              <w:spacing w:line="720" w:lineRule="auto"/>
                              <w:ind w:left="4202" w:leftChars="1064" w:hanging="1968" w:hangingChars="700"/>
                              <w:jc w:val="both"/>
                              <w:textAlignment w:val="auto"/>
                              <w:rPr>
                                <w:rFonts w:hint="default" w:ascii="仿宋" w:hAnsi="仿宋" w:eastAsia="仿宋" w:cs="仿宋"/>
                                <w:b/>
                                <w:bCs/>
                                <w:sz w:val="28"/>
                                <w:u w:val="single"/>
                                <w:lang w:val="en-US" w:eastAsia="zh-CN"/>
                              </w:rPr>
                            </w:pPr>
                            <w:r>
                              <w:rPr>
                                <w:rFonts w:hint="eastAsia" w:ascii="仿宋" w:hAnsi="仿宋" w:eastAsia="仿宋" w:cs="仿宋"/>
                                <w:b/>
                                <w:bCs/>
                                <w:sz w:val="28"/>
                              </w:rPr>
                              <w:t>咨询项目全称</w:t>
                            </w:r>
                            <w:r>
                              <w:rPr>
                                <w:rFonts w:hint="eastAsia" w:ascii="仿宋" w:hAnsi="仿宋" w:eastAsia="仿宋" w:cs="仿宋"/>
                                <w:b/>
                                <w:bCs/>
                                <w:sz w:val="28"/>
                                <w:lang w:val="en-US" w:eastAsia="zh-CN"/>
                              </w:rPr>
                              <w:t xml:space="preserve">  </w:t>
                            </w:r>
                            <w:r>
                              <w:rPr>
                                <w:rFonts w:hint="eastAsia" w:ascii="仿宋" w:hAnsi="仿宋" w:eastAsia="仿宋" w:cs="仿宋"/>
                                <w:b/>
                                <w:bCs/>
                                <w:sz w:val="28"/>
                                <w:u w:val="single"/>
                                <w:lang w:val="en-US" w:eastAsia="zh-CN"/>
                              </w:rPr>
                              <w:t xml:space="preserve">       </w:t>
                            </w:r>
                            <w:r>
                              <w:rPr>
                                <w:rFonts w:hint="eastAsia" w:ascii="仿宋" w:hAnsi="仿宋" w:eastAsia="仿宋" w:cs="仿宋"/>
                                <w:b/>
                                <w:bCs/>
                                <w:sz w:val="28"/>
                                <w:highlight w:val="none"/>
                                <w:u w:val="single"/>
                                <w:lang w:val="en-US" w:eastAsia="zh-CN"/>
                              </w:rPr>
                              <w:t xml:space="preserve">中国计量大学东校区T1食堂改造工程   </w:t>
                            </w:r>
                            <w:r>
                              <w:rPr>
                                <w:rFonts w:hint="eastAsia" w:ascii="仿宋" w:hAnsi="仿宋" w:eastAsia="仿宋" w:cs="仿宋"/>
                                <w:b/>
                                <w:bCs/>
                                <w:sz w:val="28"/>
                                <w:u w:val="single"/>
                                <w:lang w:val="en-US" w:eastAsia="zh-CN"/>
                              </w:rPr>
                              <w:t xml:space="preserve">  </w:t>
                            </w:r>
                          </w:p>
                          <w:p w14:paraId="5B5CFCF9">
                            <w:pPr>
                              <w:keepNext w:val="0"/>
                              <w:keepLines w:val="0"/>
                              <w:pageBreakBefore w:val="0"/>
                              <w:widowControl w:val="0"/>
                              <w:kinsoku/>
                              <w:wordWrap/>
                              <w:overflowPunct/>
                              <w:topLinePunct w:val="0"/>
                              <w:autoSpaceDE/>
                              <w:autoSpaceDN/>
                              <w:bidi w:val="0"/>
                              <w:adjustRightInd/>
                              <w:snapToGrid/>
                              <w:spacing w:line="720" w:lineRule="auto"/>
                              <w:ind w:firstLine="2249" w:firstLineChars="800"/>
                              <w:jc w:val="both"/>
                              <w:textAlignment w:val="auto"/>
                              <w:rPr>
                                <w:rFonts w:hint="eastAsia" w:ascii="仿宋" w:hAnsi="仿宋" w:eastAsia="仿宋" w:cs="仿宋"/>
                                <w:b/>
                                <w:bCs/>
                                <w:sz w:val="28"/>
                                <w:u w:val="single"/>
                              </w:rPr>
                            </w:pPr>
                            <w:r>
                              <w:rPr>
                                <w:rFonts w:hint="eastAsia" w:ascii="仿宋" w:hAnsi="仿宋" w:eastAsia="仿宋" w:cs="仿宋"/>
                                <w:b/>
                                <w:bCs/>
                                <w:sz w:val="28"/>
                              </w:rPr>
                              <w:t>咨询业务类别</w:t>
                            </w:r>
                            <w:r>
                              <w:rPr>
                                <w:rFonts w:hint="eastAsia" w:ascii="仿宋" w:hAnsi="仿宋" w:eastAsia="仿宋" w:cs="仿宋"/>
                                <w:b/>
                                <w:bCs/>
                                <w:sz w:val="28"/>
                                <w:lang w:val="en-US" w:eastAsia="zh-CN"/>
                              </w:rPr>
                              <w:t xml:space="preserve">  </w:t>
                            </w:r>
                            <w:r>
                              <w:rPr>
                                <w:rFonts w:hint="eastAsia" w:ascii="仿宋" w:hAnsi="仿宋" w:eastAsia="仿宋" w:cs="仿宋"/>
                                <w:b/>
                                <w:bCs/>
                                <w:sz w:val="28"/>
                                <w:u w:val="single"/>
                                <w:lang w:val="en-US" w:eastAsia="zh-CN"/>
                              </w:rPr>
                              <w:t xml:space="preserve">               工程量清单编制                </w:t>
                            </w:r>
                            <w:r>
                              <w:rPr>
                                <w:rFonts w:hint="eastAsia" w:ascii="仿宋" w:hAnsi="仿宋" w:eastAsia="仿宋" w:cs="仿宋"/>
                                <w:b/>
                                <w:bCs/>
                                <w:sz w:val="28"/>
                                <w:lang w:val="en-US" w:eastAsia="zh-CN"/>
                              </w:rPr>
                              <w:t xml:space="preserve">   </w:t>
                            </w:r>
                          </w:p>
                          <w:p w14:paraId="4D0BE54A">
                            <w:pPr>
                              <w:keepNext w:val="0"/>
                              <w:keepLines w:val="0"/>
                              <w:pageBreakBefore w:val="0"/>
                              <w:widowControl w:val="0"/>
                              <w:kinsoku/>
                              <w:wordWrap/>
                              <w:overflowPunct/>
                              <w:topLinePunct w:val="0"/>
                              <w:autoSpaceDE/>
                              <w:autoSpaceDN/>
                              <w:bidi w:val="0"/>
                              <w:adjustRightInd/>
                              <w:snapToGrid/>
                              <w:spacing w:line="720" w:lineRule="auto"/>
                              <w:ind w:firstLine="2249" w:firstLineChars="800"/>
                              <w:jc w:val="both"/>
                              <w:textAlignment w:val="auto"/>
                              <w:rPr>
                                <w:rFonts w:hint="default" w:ascii="仿宋" w:hAnsi="仿宋" w:eastAsia="仿宋" w:cs="仿宋"/>
                                <w:b/>
                                <w:bCs/>
                                <w:sz w:val="28"/>
                                <w:lang w:val="en-US" w:eastAsia="zh-CN"/>
                              </w:rPr>
                            </w:pPr>
                            <w:r>
                              <w:rPr>
                                <w:rFonts w:hint="eastAsia" w:ascii="仿宋" w:hAnsi="仿宋" w:eastAsia="仿宋" w:cs="仿宋"/>
                                <w:b/>
                                <w:bCs/>
                                <w:sz w:val="28"/>
                              </w:rPr>
                              <w:t>咨询报告日期</w:t>
                            </w:r>
                            <w:r>
                              <w:rPr>
                                <w:rFonts w:hint="eastAsia" w:ascii="仿宋" w:hAnsi="仿宋" w:eastAsia="仿宋" w:cs="仿宋"/>
                                <w:b/>
                                <w:bCs/>
                                <w:sz w:val="28"/>
                                <w:lang w:val="en-US" w:eastAsia="zh-CN"/>
                              </w:rPr>
                              <w:t xml:space="preserve">  </w:t>
                            </w:r>
                            <w:r>
                              <w:rPr>
                                <w:rFonts w:hint="eastAsia" w:ascii="仿宋" w:hAnsi="仿宋" w:eastAsia="仿宋" w:cs="仿宋"/>
                                <w:b/>
                                <w:bCs/>
                                <w:sz w:val="28"/>
                                <w:u w:val="single"/>
                                <w:lang w:val="en-US" w:eastAsia="zh-CN"/>
                              </w:rPr>
                              <w:t xml:space="preserve">              </w:t>
                            </w:r>
                            <w:r>
                              <w:rPr>
                                <w:rFonts w:hint="eastAsia" w:ascii="仿宋" w:hAnsi="仿宋" w:eastAsia="仿宋" w:cs="仿宋"/>
                                <w:b/>
                                <w:bCs/>
                                <w:sz w:val="28"/>
                                <w:highlight w:val="none"/>
                                <w:u w:val="single"/>
                                <w:lang w:val="en-US" w:eastAsia="zh-CN"/>
                              </w:rPr>
                              <w:t>2025年 06月23日</w:t>
                            </w:r>
                            <w:r>
                              <w:rPr>
                                <w:rFonts w:hint="eastAsia" w:ascii="仿宋" w:hAnsi="仿宋" w:eastAsia="仿宋" w:cs="仿宋"/>
                                <w:b/>
                                <w:bCs/>
                                <w:sz w:val="28"/>
                                <w:u w:val="single"/>
                                <w:lang w:val="en-US" w:eastAsia="zh-CN"/>
                              </w:rPr>
                              <w:t xml:space="preserve">              </w:t>
                            </w:r>
                            <w:r>
                              <w:rPr>
                                <w:rFonts w:hint="eastAsia" w:ascii="仿宋" w:hAnsi="仿宋" w:eastAsia="仿宋" w:cs="仿宋"/>
                                <w:b/>
                                <w:bCs/>
                                <w:sz w:val="28"/>
                                <w:lang w:val="en-US" w:eastAsia="zh-CN"/>
                              </w:rPr>
                              <w:t xml:space="preserve"> </w:t>
                            </w:r>
                          </w:p>
                          <w:p w14:paraId="3234ED41">
                            <w:pPr>
                              <w:jc w:val="center"/>
                              <w:rPr>
                                <w:sz w:val="28"/>
                              </w:rPr>
                            </w:pPr>
                          </w:p>
                          <w:p w14:paraId="72FFFE34">
                            <w:pPr>
                              <w:jc w:val="center"/>
                              <w:rPr>
                                <w:sz w:val="28"/>
                              </w:rPr>
                            </w:pPr>
                          </w:p>
                          <w:p w14:paraId="519E94C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华文行楷" w:hAnsi="华文行楷" w:eastAsia="华文行楷" w:cs="华文行楷"/>
                                <w:sz w:val="52"/>
                                <w:szCs w:val="52"/>
                              </w:rPr>
                            </w:pPr>
                            <w:r>
                              <w:rPr>
                                <w:rFonts w:hint="eastAsia" w:ascii="华文行楷" w:hAnsi="华文行楷" w:eastAsia="华文行楷" w:cs="华文行楷"/>
                                <w:sz w:val="52"/>
                                <w:szCs w:val="52"/>
                              </w:rPr>
                              <w:t>国信招标集团股份有限公司</w:t>
                            </w:r>
                          </w:p>
                          <w:p w14:paraId="7DBC1BC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方正粗黑宋简体" w:hAnsi="方正粗黑宋简体" w:eastAsia="方正粗黑宋简体" w:cs="方正粗黑宋简体"/>
                                <w:b w:val="0"/>
                                <w:bCs w:val="0"/>
                                <w:sz w:val="32"/>
                                <w:szCs w:val="32"/>
                                <w:lang w:val="en-US" w:eastAsia="zh-CN"/>
                              </w:rPr>
                            </w:pPr>
                            <w:r>
                              <w:rPr>
                                <w:rFonts w:hint="eastAsia" w:ascii="方正粗黑宋简体" w:hAnsi="方正粗黑宋简体" w:eastAsia="方正粗黑宋简体" w:cs="方正粗黑宋简体"/>
                                <w:b w:val="0"/>
                                <w:bCs w:val="0"/>
                                <w:sz w:val="32"/>
                                <w:szCs w:val="32"/>
                                <w:lang w:val="en-US" w:eastAsia="zh-CN"/>
                              </w:rPr>
                              <w:t>GUOXIN TENDER GROUP CO. , LTD.</w:t>
                            </w:r>
                          </w:p>
                          <w:p w14:paraId="7B3E3ABC">
                            <w:pPr>
                              <w:jc w:val="center"/>
                              <w:rPr>
                                <w:sz w:val="28"/>
                              </w:rPr>
                            </w:pPr>
                          </w:p>
                          <w:p w14:paraId="7DCCB0FE"/>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70.6pt;margin-top:-70.85pt;height:840.95pt;width:595.4pt;z-index:251659264;mso-width-relative:page;mso-height-relative:page;" fillcolor="#FFFFFF" filled="t" stroked="t" coordsize="21600,21600" o:gfxdata="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Che9/XbAAAADwEAAA8AAAAAAAAAAQAg&#10;AAAAIgAAAGRycy9kb3ducmV2LnhtbFBLAQIUABQAAAAIAIdO4kBUMq0ERAIAAIkEAAAOAAAAAAAA&#10;AAEAIAAAACoBAABkcnMvZTJvRG9jLnhtbFBLBQYAAAAABgAGAFkBAADgBQAAAAA=&#10;">
                <v:fill on="t" focussize="0,0"/>
                <v:stroke color="#000000" miterlimit="8" joinstyle="miter"/>
                <v:imagedata o:title=""/>
                <o:lock v:ext="edit" aspectratio="f"/>
                <v:textbox>
                  <w:txbxContent>
                    <w:p w14:paraId="45785C2E">
                      <w:pPr>
                        <w:jc w:val="right"/>
                        <w:rPr>
                          <w:highlight w:val="yellow"/>
                        </w:rPr>
                      </w:pPr>
                    </w:p>
                    <w:p w14:paraId="23FC8579">
                      <w:pPr>
                        <w:ind w:left="0" w:leftChars="0" w:firstLine="840" w:firstLineChars="400"/>
                        <w:jc w:val="right"/>
                        <w:rPr>
                          <w:highlight w:val="yellow"/>
                        </w:rPr>
                      </w:pPr>
                    </w:p>
                    <w:p w14:paraId="69BE7200">
                      <w:pPr>
                        <w:ind w:left="0" w:leftChars="0" w:firstLine="840" w:firstLineChars="400"/>
                        <w:jc w:val="right"/>
                        <w:rPr>
                          <w:highlight w:val="yellow"/>
                        </w:rPr>
                      </w:pPr>
                    </w:p>
                    <w:p w14:paraId="5727803A">
                      <w:pPr>
                        <w:ind w:left="0" w:leftChars="0" w:firstLine="840" w:firstLineChars="400"/>
                        <w:jc w:val="right"/>
                        <w:rPr>
                          <w:highlight w:val="yellow"/>
                        </w:rPr>
                      </w:pPr>
                    </w:p>
                    <w:p w14:paraId="019A3B62">
                      <w:pPr>
                        <w:ind w:left="0" w:leftChars="0" w:firstLine="840" w:firstLineChars="400"/>
                        <w:jc w:val="left"/>
                        <w:rPr>
                          <w:rFonts w:hint="eastAsia" w:eastAsia="宋体"/>
                          <w:highlight w:val="yellow"/>
                          <w:lang w:eastAsia="zh-CN"/>
                        </w:rPr>
                      </w:pPr>
                    </w:p>
                    <w:p w14:paraId="21EFED5E">
                      <w:pPr>
                        <w:ind w:left="0" w:leftChars="0" w:firstLine="840" w:firstLineChars="400"/>
                        <w:jc w:val="left"/>
                        <w:rPr>
                          <w:rFonts w:hint="eastAsia" w:eastAsia="宋体"/>
                          <w:highlight w:val="none"/>
                          <w:lang w:eastAsia="zh-CN"/>
                        </w:rPr>
                      </w:pPr>
                      <w:r>
                        <w:rPr>
                          <w:rFonts w:hint="eastAsia"/>
                          <w:highlight w:val="none"/>
                          <w:lang w:val="en-US" w:eastAsia="zh-CN"/>
                        </w:rPr>
                        <w:t xml:space="preserve">     </w:t>
                      </w:r>
                      <w:r>
                        <w:rPr>
                          <w:rFonts w:hint="eastAsia" w:eastAsia="宋体"/>
                          <w:highlight w:val="none"/>
                          <w:lang w:eastAsia="zh-CN"/>
                        </w:rPr>
                        <w:drawing>
                          <wp:inline distT="0" distB="0" distL="114300" distR="114300">
                            <wp:extent cx="800100" cy="704850"/>
                            <wp:effectExtent l="0" t="0" r="0" b="0"/>
                            <wp:docPr id="3" name="图片 3" descr="6fbbdcded20938bdaa7f63e3941e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6fbbdcded20938bdaa7f63e3941e744"/>
                                    <pic:cNvPicPr>
                                      <a:picLocks noChangeAspect="1"/>
                                    </pic:cNvPicPr>
                                  </pic:nvPicPr>
                                  <pic:blipFill>
                                    <a:blip r:embed="rId6"/>
                                    <a:stretch>
                                      <a:fillRect/>
                                    </a:stretch>
                                  </pic:blipFill>
                                  <pic:spPr>
                                    <a:xfrm>
                                      <a:off x="0" y="0"/>
                                      <a:ext cx="800100" cy="704850"/>
                                    </a:xfrm>
                                    <a:prstGeom prst="rect">
                                      <a:avLst/>
                                    </a:prstGeom>
                                  </pic:spPr>
                                </pic:pic>
                              </a:graphicData>
                            </a:graphic>
                          </wp:inline>
                        </w:drawing>
                      </w:r>
                    </w:p>
                    <w:p w14:paraId="6243E5E4">
                      <w:pPr>
                        <w:wordWrap w:val="0"/>
                        <w:ind w:left="0" w:leftChars="0" w:firstLine="1108" w:firstLineChars="528"/>
                        <w:jc w:val="both"/>
                      </w:pPr>
                    </w:p>
                    <w:p w14:paraId="085542A4">
                      <w:pPr>
                        <w:wordWrap w:val="0"/>
                        <w:ind w:left="0" w:leftChars="0" w:firstLine="1108" w:firstLineChars="528"/>
                        <w:jc w:val="both"/>
                      </w:pPr>
                      <w:r>
                        <w:t xml:space="preserve">             </w:t>
                      </w:r>
                    </w:p>
                    <w:p w14:paraId="5BD2F939">
                      <w:pPr>
                        <w:ind w:left="0" w:leftChars="0" w:firstLine="1058" w:firstLineChars="378"/>
                        <w:rPr>
                          <w:rFonts w:hint="eastAsia" w:eastAsia="宋体"/>
                          <w:sz w:val="28"/>
                          <w:lang w:eastAsia="zh-CN"/>
                        </w:rPr>
                      </w:pPr>
                    </w:p>
                    <w:p w14:paraId="18921078">
                      <w:pPr>
                        <w:ind w:left="0" w:leftChars="0" w:firstLine="1478" w:firstLineChars="528"/>
                        <w:rPr>
                          <w:sz w:val="28"/>
                        </w:rPr>
                      </w:pPr>
                    </w:p>
                    <w:p w14:paraId="49B49944">
                      <w:pPr>
                        <w:jc w:val="center"/>
                        <w:rPr>
                          <w:sz w:val="28"/>
                        </w:rPr>
                      </w:pPr>
                    </w:p>
                    <w:p w14:paraId="59B1853C">
                      <w:pPr>
                        <w:jc w:val="center"/>
                        <w:rPr>
                          <w:rFonts w:eastAsia="方正大标宋简体"/>
                          <w:sz w:val="72"/>
                        </w:rPr>
                      </w:pPr>
                      <w:r>
                        <w:rPr>
                          <w:rFonts w:hint="eastAsia" w:ascii="华文行楷" w:hAnsi="华文行楷" w:eastAsia="华文行楷" w:cs="华文行楷"/>
                          <w:sz w:val="84"/>
                          <w:szCs w:val="84"/>
                        </w:rPr>
                        <w:t>工程造价咨询报告书</w:t>
                      </w:r>
                    </w:p>
                    <w:p w14:paraId="593EFE2B">
                      <w:pPr>
                        <w:jc w:val="center"/>
                        <w:rPr>
                          <w:sz w:val="28"/>
                        </w:rPr>
                      </w:pPr>
                    </w:p>
                    <w:p w14:paraId="58D7B851">
                      <w:pPr>
                        <w:jc w:val="center"/>
                        <w:rPr>
                          <w:sz w:val="28"/>
                        </w:rPr>
                      </w:pPr>
                    </w:p>
                    <w:p w14:paraId="7FEF3CF8">
                      <w:pPr>
                        <w:jc w:val="center"/>
                        <w:rPr>
                          <w:sz w:val="28"/>
                        </w:rPr>
                      </w:pPr>
                    </w:p>
                    <w:p w14:paraId="774D3F5F">
                      <w:pPr>
                        <w:keepNext w:val="0"/>
                        <w:keepLines w:val="0"/>
                        <w:pageBreakBefore w:val="0"/>
                        <w:widowControl w:val="0"/>
                        <w:kinsoku/>
                        <w:wordWrap/>
                        <w:overflowPunct/>
                        <w:topLinePunct w:val="0"/>
                        <w:autoSpaceDE/>
                        <w:autoSpaceDN/>
                        <w:bidi w:val="0"/>
                        <w:adjustRightInd/>
                        <w:snapToGrid/>
                        <w:spacing w:line="720" w:lineRule="auto"/>
                        <w:ind w:left="4202" w:leftChars="1064" w:hanging="1968" w:hangingChars="700"/>
                        <w:jc w:val="both"/>
                        <w:textAlignment w:val="auto"/>
                        <w:rPr>
                          <w:rFonts w:hint="default" w:ascii="仿宋" w:hAnsi="仿宋" w:eastAsia="仿宋" w:cs="仿宋"/>
                          <w:b/>
                          <w:bCs/>
                          <w:sz w:val="28"/>
                          <w:u w:val="single"/>
                          <w:lang w:val="en-US" w:eastAsia="zh-CN"/>
                        </w:rPr>
                      </w:pPr>
                      <w:r>
                        <w:rPr>
                          <w:rFonts w:hint="eastAsia" w:ascii="仿宋" w:hAnsi="仿宋" w:eastAsia="仿宋" w:cs="仿宋"/>
                          <w:b/>
                          <w:bCs/>
                          <w:sz w:val="28"/>
                        </w:rPr>
                        <w:t>咨询项目全称</w:t>
                      </w:r>
                      <w:r>
                        <w:rPr>
                          <w:rFonts w:hint="eastAsia" w:ascii="仿宋" w:hAnsi="仿宋" w:eastAsia="仿宋" w:cs="仿宋"/>
                          <w:b/>
                          <w:bCs/>
                          <w:sz w:val="28"/>
                          <w:lang w:val="en-US" w:eastAsia="zh-CN"/>
                        </w:rPr>
                        <w:t xml:space="preserve">  </w:t>
                      </w:r>
                      <w:r>
                        <w:rPr>
                          <w:rFonts w:hint="eastAsia" w:ascii="仿宋" w:hAnsi="仿宋" w:eastAsia="仿宋" w:cs="仿宋"/>
                          <w:b/>
                          <w:bCs/>
                          <w:sz w:val="28"/>
                          <w:u w:val="single"/>
                          <w:lang w:val="en-US" w:eastAsia="zh-CN"/>
                        </w:rPr>
                        <w:t xml:space="preserve">       </w:t>
                      </w:r>
                      <w:r>
                        <w:rPr>
                          <w:rFonts w:hint="eastAsia" w:ascii="仿宋" w:hAnsi="仿宋" w:eastAsia="仿宋" w:cs="仿宋"/>
                          <w:b/>
                          <w:bCs/>
                          <w:sz w:val="28"/>
                          <w:highlight w:val="none"/>
                          <w:u w:val="single"/>
                          <w:lang w:val="en-US" w:eastAsia="zh-CN"/>
                        </w:rPr>
                        <w:t xml:space="preserve">中国计量大学东校区T1食堂改造工程   </w:t>
                      </w:r>
                      <w:r>
                        <w:rPr>
                          <w:rFonts w:hint="eastAsia" w:ascii="仿宋" w:hAnsi="仿宋" w:eastAsia="仿宋" w:cs="仿宋"/>
                          <w:b/>
                          <w:bCs/>
                          <w:sz w:val="28"/>
                          <w:u w:val="single"/>
                          <w:lang w:val="en-US" w:eastAsia="zh-CN"/>
                        </w:rPr>
                        <w:t xml:space="preserve">  </w:t>
                      </w:r>
                    </w:p>
                    <w:p w14:paraId="5B5CFCF9">
                      <w:pPr>
                        <w:keepNext w:val="0"/>
                        <w:keepLines w:val="0"/>
                        <w:pageBreakBefore w:val="0"/>
                        <w:widowControl w:val="0"/>
                        <w:kinsoku/>
                        <w:wordWrap/>
                        <w:overflowPunct/>
                        <w:topLinePunct w:val="0"/>
                        <w:autoSpaceDE/>
                        <w:autoSpaceDN/>
                        <w:bidi w:val="0"/>
                        <w:adjustRightInd/>
                        <w:snapToGrid/>
                        <w:spacing w:line="720" w:lineRule="auto"/>
                        <w:ind w:firstLine="2249" w:firstLineChars="800"/>
                        <w:jc w:val="both"/>
                        <w:textAlignment w:val="auto"/>
                        <w:rPr>
                          <w:rFonts w:hint="eastAsia" w:ascii="仿宋" w:hAnsi="仿宋" w:eastAsia="仿宋" w:cs="仿宋"/>
                          <w:b/>
                          <w:bCs/>
                          <w:sz w:val="28"/>
                          <w:u w:val="single"/>
                        </w:rPr>
                      </w:pPr>
                      <w:r>
                        <w:rPr>
                          <w:rFonts w:hint="eastAsia" w:ascii="仿宋" w:hAnsi="仿宋" w:eastAsia="仿宋" w:cs="仿宋"/>
                          <w:b/>
                          <w:bCs/>
                          <w:sz w:val="28"/>
                        </w:rPr>
                        <w:t>咨询业务类别</w:t>
                      </w:r>
                      <w:r>
                        <w:rPr>
                          <w:rFonts w:hint="eastAsia" w:ascii="仿宋" w:hAnsi="仿宋" w:eastAsia="仿宋" w:cs="仿宋"/>
                          <w:b/>
                          <w:bCs/>
                          <w:sz w:val="28"/>
                          <w:lang w:val="en-US" w:eastAsia="zh-CN"/>
                        </w:rPr>
                        <w:t xml:space="preserve">  </w:t>
                      </w:r>
                      <w:r>
                        <w:rPr>
                          <w:rFonts w:hint="eastAsia" w:ascii="仿宋" w:hAnsi="仿宋" w:eastAsia="仿宋" w:cs="仿宋"/>
                          <w:b/>
                          <w:bCs/>
                          <w:sz w:val="28"/>
                          <w:u w:val="single"/>
                          <w:lang w:val="en-US" w:eastAsia="zh-CN"/>
                        </w:rPr>
                        <w:t xml:space="preserve">               工程量清单编制                </w:t>
                      </w:r>
                      <w:r>
                        <w:rPr>
                          <w:rFonts w:hint="eastAsia" w:ascii="仿宋" w:hAnsi="仿宋" w:eastAsia="仿宋" w:cs="仿宋"/>
                          <w:b/>
                          <w:bCs/>
                          <w:sz w:val="28"/>
                          <w:lang w:val="en-US" w:eastAsia="zh-CN"/>
                        </w:rPr>
                        <w:t xml:space="preserve">   </w:t>
                      </w:r>
                    </w:p>
                    <w:p w14:paraId="4D0BE54A">
                      <w:pPr>
                        <w:keepNext w:val="0"/>
                        <w:keepLines w:val="0"/>
                        <w:pageBreakBefore w:val="0"/>
                        <w:widowControl w:val="0"/>
                        <w:kinsoku/>
                        <w:wordWrap/>
                        <w:overflowPunct/>
                        <w:topLinePunct w:val="0"/>
                        <w:autoSpaceDE/>
                        <w:autoSpaceDN/>
                        <w:bidi w:val="0"/>
                        <w:adjustRightInd/>
                        <w:snapToGrid/>
                        <w:spacing w:line="720" w:lineRule="auto"/>
                        <w:ind w:firstLine="2249" w:firstLineChars="800"/>
                        <w:jc w:val="both"/>
                        <w:textAlignment w:val="auto"/>
                        <w:rPr>
                          <w:rFonts w:hint="default" w:ascii="仿宋" w:hAnsi="仿宋" w:eastAsia="仿宋" w:cs="仿宋"/>
                          <w:b/>
                          <w:bCs/>
                          <w:sz w:val="28"/>
                          <w:lang w:val="en-US" w:eastAsia="zh-CN"/>
                        </w:rPr>
                      </w:pPr>
                      <w:r>
                        <w:rPr>
                          <w:rFonts w:hint="eastAsia" w:ascii="仿宋" w:hAnsi="仿宋" w:eastAsia="仿宋" w:cs="仿宋"/>
                          <w:b/>
                          <w:bCs/>
                          <w:sz w:val="28"/>
                        </w:rPr>
                        <w:t>咨询报告日期</w:t>
                      </w:r>
                      <w:r>
                        <w:rPr>
                          <w:rFonts w:hint="eastAsia" w:ascii="仿宋" w:hAnsi="仿宋" w:eastAsia="仿宋" w:cs="仿宋"/>
                          <w:b/>
                          <w:bCs/>
                          <w:sz w:val="28"/>
                          <w:lang w:val="en-US" w:eastAsia="zh-CN"/>
                        </w:rPr>
                        <w:t xml:space="preserve">  </w:t>
                      </w:r>
                      <w:r>
                        <w:rPr>
                          <w:rFonts w:hint="eastAsia" w:ascii="仿宋" w:hAnsi="仿宋" w:eastAsia="仿宋" w:cs="仿宋"/>
                          <w:b/>
                          <w:bCs/>
                          <w:sz w:val="28"/>
                          <w:u w:val="single"/>
                          <w:lang w:val="en-US" w:eastAsia="zh-CN"/>
                        </w:rPr>
                        <w:t xml:space="preserve">              </w:t>
                      </w:r>
                      <w:r>
                        <w:rPr>
                          <w:rFonts w:hint="eastAsia" w:ascii="仿宋" w:hAnsi="仿宋" w:eastAsia="仿宋" w:cs="仿宋"/>
                          <w:b/>
                          <w:bCs/>
                          <w:sz w:val="28"/>
                          <w:highlight w:val="none"/>
                          <w:u w:val="single"/>
                          <w:lang w:val="en-US" w:eastAsia="zh-CN"/>
                        </w:rPr>
                        <w:t>2025年 06月23日</w:t>
                      </w:r>
                      <w:r>
                        <w:rPr>
                          <w:rFonts w:hint="eastAsia" w:ascii="仿宋" w:hAnsi="仿宋" w:eastAsia="仿宋" w:cs="仿宋"/>
                          <w:b/>
                          <w:bCs/>
                          <w:sz w:val="28"/>
                          <w:u w:val="single"/>
                          <w:lang w:val="en-US" w:eastAsia="zh-CN"/>
                        </w:rPr>
                        <w:t xml:space="preserve">              </w:t>
                      </w:r>
                      <w:r>
                        <w:rPr>
                          <w:rFonts w:hint="eastAsia" w:ascii="仿宋" w:hAnsi="仿宋" w:eastAsia="仿宋" w:cs="仿宋"/>
                          <w:b/>
                          <w:bCs/>
                          <w:sz w:val="28"/>
                          <w:lang w:val="en-US" w:eastAsia="zh-CN"/>
                        </w:rPr>
                        <w:t xml:space="preserve"> </w:t>
                      </w:r>
                    </w:p>
                    <w:p w14:paraId="3234ED41">
                      <w:pPr>
                        <w:jc w:val="center"/>
                        <w:rPr>
                          <w:sz w:val="28"/>
                        </w:rPr>
                      </w:pPr>
                    </w:p>
                    <w:p w14:paraId="72FFFE34">
                      <w:pPr>
                        <w:jc w:val="center"/>
                        <w:rPr>
                          <w:sz w:val="28"/>
                        </w:rPr>
                      </w:pPr>
                    </w:p>
                    <w:p w14:paraId="519E94C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华文行楷" w:hAnsi="华文行楷" w:eastAsia="华文行楷" w:cs="华文行楷"/>
                          <w:sz w:val="52"/>
                          <w:szCs w:val="52"/>
                        </w:rPr>
                      </w:pPr>
                      <w:r>
                        <w:rPr>
                          <w:rFonts w:hint="eastAsia" w:ascii="华文行楷" w:hAnsi="华文行楷" w:eastAsia="华文行楷" w:cs="华文行楷"/>
                          <w:sz w:val="52"/>
                          <w:szCs w:val="52"/>
                        </w:rPr>
                        <w:t>国信招标集团股份有限公司</w:t>
                      </w:r>
                    </w:p>
                    <w:p w14:paraId="7DBC1BC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方正粗黑宋简体" w:hAnsi="方正粗黑宋简体" w:eastAsia="方正粗黑宋简体" w:cs="方正粗黑宋简体"/>
                          <w:b w:val="0"/>
                          <w:bCs w:val="0"/>
                          <w:sz w:val="32"/>
                          <w:szCs w:val="32"/>
                          <w:lang w:val="en-US" w:eastAsia="zh-CN"/>
                        </w:rPr>
                      </w:pPr>
                      <w:r>
                        <w:rPr>
                          <w:rFonts w:hint="eastAsia" w:ascii="方正粗黑宋简体" w:hAnsi="方正粗黑宋简体" w:eastAsia="方正粗黑宋简体" w:cs="方正粗黑宋简体"/>
                          <w:b w:val="0"/>
                          <w:bCs w:val="0"/>
                          <w:sz w:val="32"/>
                          <w:szCs w:val="32"/>
                          <w:lang w:val="en-US" w:eastAsia="zh-CN"/>
                        </w:rPr>
                        <w:t>GUOXIN TENDER GROUP CO. , LTD.</w:t>
                      </w:r>
                    </w:p>
                    <w:p w14:paraId="7B3E3ABC">
                      <w:pPr>
                        <w:jc w:val="center"/>
                        <w:rPr>
                          <w:sz w:val="28"/>
                        </w:rPr>
                      </w:pPr>
                    </w:p>
                    <w:p w14:paraId="7DCCB0FE"/>
                  </w:txbxContent>
                </v:textbox>
              </v:shape>
            </w:pict>
          </mc:Fallback>
        </mc:AlternateContent>
      </w:r>
    </w:p>
    <w:p w14:paraId="4092546F">
      <w:pPr>
        <w:spacing w:line="360" w:lineRule="exact"/>
        <w:rPr>
          <w:rFonts w:ascii="宋体" w:hAnsi="宋体"/>
        </w:rPr>
      </w:pPr>
    </w:p>
    <w:p w14:paraId="388DFC09">
      <w:pPr>
        <w:spacing w:line="360" w:lineRule="exact"/>
        <w:rPr>
          <w:rFonts w:ascii="宋体" w:hAnsi="宋体"/>
        </w:rPr>
      </w:pPr>
    </w:p>
    <w:p w14:paraId="0FA59194">
      <w:pPr>
        <w:spacing w:line="360" w:lineRule="exact"/>
        <w:rPr>
          <w:rFonts w:ascii="宋体" w:hAnsi="宋体"/>
        </w:rPr>
      </w:pPr>
    </w:p>
    <w:p w14:paraId="63989C6F">
      <w:pPr>
        <w:spacing w:line="360" w:lineRule="exact"/>
        <w:rPr>
          <w:rFonts w:ascii="宋体" w:hAnsi="宋体"/>
        </w:rPr>
      </w:pPr>
    </w:p>
    <w:p w14:paraId="2844C9C3">
      <w:pPr>
        <w:spacing w:line="360" w:lineRule="exact"/>
        <w:rPr>
          <w:rFonts w:ascii="宋体" w:hAnsi="宋体"/>
        </w:rPr>
      </w:pPr>
    </w:p>
    <w:p w14:paraId="49F45046">
      <w:pPr>
        <w:spacing w:line="360" w:lineRule="exact"/>
        <w:rPr>
          <w:rFonts w:ascii="宋体" w:hAnsi="宋体"/>
        </w:rPr>
      </w:pPr>
    </w:p>
    <w:p w14:paraId="776E182A">
      <w:pPr>
        <w:spacing w:line="360" w:lineRule="exact"/>
        <w:rPr>
          <w:rFonts w:ascii="宋体" w:hAnsi="宋体"/>
        </w:rPr>
      </w:pPr>
    </w:p>
    <w:p w14:paraId="04B87960">
      <w:pPr>
        <w:spacing w:line="360" w:lineRule="exact"/>
        <w:rPr>
          <w:rFonts w:ascii="宋体" w:hAnsi="宋体"/>
        </w:rPr>
      </w:pPr>
    </w:p>
    <w:p w14:paraId="1B2D2DFB">
      <w:pPr>
        <w:spacing w:line="360" w:lineRule="exact"/>
        <w:rPr>
          <w:rFonts w:ascii="宋体" w:hAnsi="宋体"/>
        </w:rPr>
      </w:pPr>
    </w:p>
    <w:p w14:paraId="149C3901">
      <w:pPr>
        <w:spacing w:line="360" w:lineRule="exact"/>
        <w:rPr>
          <w:rFonts w:ascii="宋体" w:hAnsi="宋体"/>
        </w:rPr>
      </w:pPr>
    </w:p>
    <w:p w14:paraId="03856495">
      <w:pPr>
        <w:spacing w:line="360" w:lineRule="exact"/>
        <w:rPr>
          <w:rFonts w:ascii="宋体" w:hAnsi="宋体"/>
        </w:rPr>
      </w:pPr>
    </w:p>
    <w:p w14:paraId="27ABCADC">
      <w:pPr>
        <w:spacing w:line="360" w:lineRule="exact"/>
        <w:rPr>
          <w:rFonts w:ascii="宋体" w:hAnsi="宋体"/>
        </w:rPr>
      </w:pPr>
    </w:p>
    <w:p w14:paraId="5A8B7B9A">
      <w:pPr>
        <w:spacing w:line="360" w:lineRule="exact"/>
        <w:rPr>
          <w:rFonts w:ascii="宋体" w:hAnsi="宋体"/>
        </w:rPr>
      </w:pPr>
    </w:p>
    <w:p w14:paraId="27194956">
      <w:pPr>
        <w:spacing w:line="360" w:lineRule="exact"/>
        <w:rPr>
          <w:rFonts w:ascii="宋体" w:hAnsi="宋体"/>
        </w:rPr>
      </w:pPr>
    </w:p>
    <w:p w14:paraId="7F1D648C">
      <w:pPr>
        <w:spacing w:line="360" w:lineRule="exact"/>
        <w:rPr>
          <w:rFonts w:ascii="宋体" w:hAnsi="宋体"/>
        </w:rPr>
      </w:pPr>
    </w:p>
    <w:p w14:paraId="0766E4D4">
      <w:pPr>
        <w:spacing w:line="360" w:lineRule="exact"/>
        <w:rPr>
          <w:rFonts w:ascii="宋体" w:hAnsi="宋体"/>
        </w:rPr>
      </w:pPr>
    </w:p>
    <w:p w14:paraId="6CE08C5F">
      <w:pPr>
        <w:spacing w:line="360" w:lineRule="exact"/>
        <w:rPr>
          <w:rFonts w:ascii="宋体" w:hAnsi="宋体"/>
        </w:rPr>
      </w:pPr>
    </w:p>
    <w:p w14:paraId="2CE59C64">
      <w:pPr>
        <w:spacing w:line="360" w:lineRule="exact"/>
        <w:rPr>
          <w:rFonts w:ascii="宋体" w:hAnsi="宋体"/>
        </w:rPr>
      </w:pPr>
    </w:p>
    <w:p w14:paraId="34E357DA">
      <w:pPr>
        <w:spacing w:line="360" w:lineRule="exact"/>
        <w:rPr>
          <w:rFonts w:ascii="宋体" w:hAnsi="宋体"/>
        </w:rPr>
      </w:pPr>
    </w:p>
    <w:p w14:paraId="4B0709D9">
      <w:pPr>
        <w:spacing w:line="360" w:lineRule="exact"/>
        <w:rPr>
          <w:rFonts w:ascii="宋体" w:hAnsi="宋体"/>
        </w:rPr>
      </w:pPr>
    </w:p>
    <w:p w14:paraId="7A0C4901">
      <w:pPr>
        <w:spacing w:line="360" w:lineRule="exact"/>
        <w:rPr>
          <w:rFonts w:ascii="宋体" w:hAnsi="宋体"/>
        </w:rPr>
      </w:pPr>
    </w:p>
    <w:p w14:paraId="62D1C906">
      <w:pPr>
        <w:spacing w:line="360" w:lineRule="exact"/>
        <w:rPr>
          <w:rFonts w:ascii="宋体" w:hAnsi="宋体"/>
        </w:rPr>
      </w:pPr>
    </w:p>
    <w:p w14:paraId="7B34B89E">
      <w:pPr>
        <w:spacing w:line="360" w:lineRule="exact"/>
        <w:rPr>
          <w:rFonts w:ascii="宋体" w:hAnsi="宋体"/>
        </w:rPr>
      </w:pPr>
    </w:p>
    <w:p w14:paraId="46BA8E4E">
      <w:pPr>
        <w:spacing w:line="360" w:lineRule="exact"/>
        <w:rPr>
          <w:rFonts w:ascii="宋体" w:hAnsi="宋体"/>
        </w:rPr>
      </w:pPr>
    </w:p>
    <w:p w14:paraId="0769F447">
      <w:pPr>
        <w:spacing w:line="360" w:lineRule="exact"/>
        <w:rPr>
          <w:rFonts w:ascii="宋体" w:hAnsi="宋体"/>
        </w:rPr>
      </w:pPr>
    </w:p>
    <w:p w14:paraId="0859B5D9">
      <w:pPr>
        <w:spacing w:line="360" w:lineRule="exact"/>
        <w:rPr>
          <w:rFonts w:ascii="宋体" w:hAnsi="宋体"/>
        </w:rPr>
      </w:pPr>
    </w:p>
    <w:p w14:paraId="434A1034">
      <w:pPr>
        <w:spacing w:line="360" w:lineRule="exact"/>
        <w:rPr>
          <w:rFonts w:ascii="宋体" w:hAnsi="宋体"/>
        </w:rPr>
      </w:pPr>
    </w:p>
    <w:p w14:paraId="68632631">
      <w:pPr>
        <w:spacing w:line="360" w:lineRule="exact"/>
        <w:rPr>
          <w:rFonts w:ascii="宋体" w:hAnsi="宋体"/>
        </w:rPr>
      </w:pPr>
    </w:p>
    <w:p w14:paraId="513ECEB9">
      <w:pPr>
        <w:spacing w:line="360" w:lineRule="exact"/>
        <w:rPr>
          <w:rFonts w:ascii="宋体" w:hAnsi="宋体"/>
        </w:rPr>
      </w:pPr>
    </w:p>
    <w:p w14:paraId="6531042D">
      <w:pPr>
        <w:spacing w:line="360" w:lineRule="exact"/>
        <w:rPr>
          <w:rFonts w:ascii="宋体" w:hAnsi="宋体"/>
        </w:rPr>
      </w:pPr>
    </w:p>
    <w:p w14:paraId="2DD8D2F1">
      <w:pPr>
        <w:spacing w:line="360" w:lineRule="exact"/>
        <w:rPr>
          <w:rFonts w:ascii="宋体" w:hAnsi="宋体"/>
        </w:rPr>
      </w:pPr>
    </w:p>
    <w:p w14:paraId="56485597">
      <w:pPr>
        <w:spacing w:line="360" w:lineRule="exact"/>
        <w:rPr>
          <w:rFonts w:ascii="宋体" w:hAnsi="宋体"/>
        </w:rPr>
      </w:pPr>
    </w:p>
    <w:p w14:paraId="399262E9">
      <w:pPr>
        <w:spacing w:line="360" w:lineRule="exact"/>
        <w:rPr>
          <w:rFonts w:ascii="宋体" w:hAnsi="宋体"/>
        </w:rPr>
      </w:pPr>
    </w:p>
    <w:p w14:paraId="4D1FE778">
      <w:pPr>
        <w:spacing w:line="360" w:lineRule="exact"/>
        <w:rPr>
          <w:rFonts w:ascii="宋体" w:hAnsi="宋体"/>
        </w:rPr>
      </w:pPr>
    </w:p>
    <w:p w14:paraId="7E789C9E">
      <w:pPr>
        <w:spacing w:line="360" w:lineRule="exact"/>
        <w:rPr>
          <w:rFonts w:ascii="宋体" w:hAnsi="宋体"/>
        </w:rPr>
      </w:pPr>
    </w:p>
    <w:p w14:paraId="4DABD31F">
      <w:pPr>
        <w:spacing w:line="360" w:lineRule="exact"/>
        <w:rPr>
          <w:rFonts w:ascii="宋体" w:hAnsi="宋体"/>
        </w:rPr>
      </w:pPr>
    </w:p>
    <w:p w14:paraId="280B49E3">
      <w:pPr>
        <w:spacing w:line="360" w:lineRule="exact"/>
        <w:rPr>
          <w:rFonts w:ascii="宋体" w:hAnsi="宋体"/>
        </w:rPr>
      </w:pPr>
    </w:p>
    <w:p w14:paraId="5F04A04C">
      <w:pPr>
        <w:spacing w:line="360" w:lineRule="auto"/>
        <w:jc w:val="center"/>
        <w:rPr>
          <w:rFonts w:hint="eastAsia" w:ascii="宋体" w:hAnsi="宋体"/>
          <w:sz w:val="44"/>
        </w:rPr>
        <w:sectPr>
          <w:pgSz w:w="11906" w:h="16838"/>
          <w:pgMar w:top="1440" w:right="1406" w:bottom="1440" w:left="1406" w:header="851" w:footer="992" w:gutter="0"/>
          <w:cols w:space="425" w:num="1"/>
          <w:docGrid w:type="lines" w:linePitch="312" w:charSpace="0"/>
        </w:sect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4322"/>
        <w:gridCol w:w="1275"/>
        <w:gridCol w:w="709"/>
        <w:gridCol w:w="1843"/>
      </w:tblGrid>
      <w:tr w14:paraId="7A62E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6" w:hRule="exact"/>
        </w:trPr>
        <w:tc>
          <w:tcPr>
            <w:tcW w:w="8789" w:type="dxa"/>
            <w:gridSpan w:val="5"/>
            <w:tcBorders>
              <w:top w:val="nil"/>
              <w:left w:val="nil"/>
              <w:bottom w:val="single" w:color="auto" w:sz="8" w:space="0"/>
              <w:right w:val="nil"/>
            </w:tcBorders>
            <w:vAlign w:val="center"/>
          </w:tcPr>
          <w:p w14:paraId="0DDF9A8D">
            <w:pPr>
              <w:spacing w:line="360" w:lineRule="auto"/>
              <w:jc w:val="center"/>
              <w:rPr>
                <w:rFonts w:ascii="宋体" w:hAnsi="宋体"/>
                <w:sz w:val="44"/>
              </w:rPr>
            </w:pPr>
            <w:r>
              <w:rPr>
                <w:rFonts w:hint="eastAsia" w:ascii="宋体" w:hAnsi="宋体"/>
                <w:sz w:val="44"/>
              </w:rPr>
              <w:t>咨 询 报 告 书 目 录</w:t>
            </w:r>
          </w:p>
          <w:p w14:paraId="79C7E246">
            <w:pPr>
              <w:spacing w:line="360" w:lineRule="exact"/>
              <w:jc w:val="center"/>
              <w:rPr>
                <w:rFonts w:ascii="宋体" w:hAnsi="宋体"/>
              </w:rPr>
            </w:pPr>
            <w:r>
              <w:rPr>
                <w:rFonts w:hint="eastAsia" w:ascii="宋体" w:hAnsi="宋体"/>
              </w:rPr>
              <w:t xml:space="preserve">                                                                    第    页</w:t>
            </w:r>
          </w:p>
        </w:tc>
      </w:tr>
      <w:tr w14:paraId="30AA7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exact"/>
        </w:trPr>
        <w:tc>
          <w:tcPr>
            <w:tcW w:w="640" w:type="dxa"/>
            <w:tcBorders>
              <w:top w:val="single" w:color="auto" w:sz="8" w:space="0"/>
            </w:tcBorders>
            <w:vAlign w:val="center"/>
          </w:tcPr>
          <w:p w14:paraId="269A727E">
            <w:pPr>
              <w:spacing w:line="360" w:lineRule="exact"/>
              <w:jc w:val="center"/>
              <w:rPr>
                <w:rFonts w:ascii="宋体" w:hAnsi="宋体"/>
              </w:rPr>
            </w:pPr>
            <w:r>
              <w:rPr>
                <w:rFonts w:hint="eastAsia" w:ascii="宋体" w:hAnsi="宋体"/>
              </w:rPr>
              <w:t>序号</w:t>
            </w:r>
          </w:p>
        </w:tc>
        <w:tc>
          <w:tcPr>
            <w:tcW w:w="4322" w:type="dxa"/>
            <w:tcBorders>
              <w:top w:val="single" w:color="auto" w:sz="8" w:space="0"/>
            </w:tcBorders>
            <w:vAlign w:val="center"/>
          </w:tcPr>
          <w:p w14:paraId="671AFE8D">
            <w:pPr>
              <w:spacing w:line="360" w:lineRule="exact"/>
              <w:jc w:val="center"/>
              <w:rPr>
                <w:rFonts w:ascii="宋体" w:hAnsi="宋体"/>
              </w:rPr>
            </w:pPr>
            <w:r>
              <w:rPr>
                <w:rFonts w:hint="eastAsia" w:ascii="宋体" w:hAnsi="宋体"/>
              </w:rPr>
              <w:t>文 件 内 容</w:t>
            </w:r>
          </w:p>
        </w:tc>
        <w:tc>
          <w:tcPr>
            <w:tcW w:w="1275" w:type="dxa"/>
            <w:tcBorders>
              <w:top w:val="single" w:color="auto" w:sz="8" w:space="0"/>
            </w:tcBorders>
            <w:vAlign w:val="center"/>
          </w:tcPr>
          <w:p w14:paraId="49742D4F">
            <w:pPr>
              <w:spacing w:line="360" w:lineRule="exact"/>
              <w:jc w:val="center"/>
              <w:rPr>
                <w:rFonts w:ascii="宋体" w:hAnsi="宋体"/>
              </w:rPr>
            </w:pPr>
            <w:r>
              <w:rPr>
                <w:rFonts w:hint="eastAsia" w:ascii="宋体" w:hAnsi="宋体"/>
              </w:rPr>
              <w:t>文件作者</w:t>
            </w:r>
          </w:p>
        </w:tc>
        <w:tc>
          <w:tcPr>
            <w:tcW w:w="709" w:type="dxa"/>
            <w:tcBorders>
              <w:top w:val="single" w:color="auto" w:sz="8" w:space="0"/>
            </w:tcBorders>
            <w:vAlign w:val="center"/>
          </w:tcPr>
          <w:p w14:paraId="4E199CFA">
            <w:pPr>
              <w:spacing w:line="360" w:lineRule="exact"/>
              <w:jc w:val="center"/>
              <w:rPr>
                <w:rFonts w:ascii="宋体" w:hAnsi="宋体"/>
              </w:rPr>
            </w:pPr>
            <w:r>
              <w:rPr>
                <w:rFonts w:hint="eastAsia" w:ascii="宋体" w:hAnsi="宋体"/>
              </w:rPr>
              <w:t>页码</w:t>
            </w:r>
          </w:p>
        </w:tc>
        <w:tc>
          <w:tcPr>
            <w:tcW w:w="1843" w:type="dxa"/>
            <w:tcBorders>
              <w:top w:val="single" w:color="auto" w:sz="8" w:space="0"/>
            </w:tcBorders>
            <w:vAlign w:val="center"/>
          </w:tcPr>
          <w:p w14:paraId="38DBA518">
            <w:pPr>
              <w:spacing w:line="360" w:lineRule="exact"/>
              <w:jc w:val="center"/>
              <w:rPr>
                <w:rFonts w:ascii="宋体" w:hAnsi="宋体"/>
              </w:rPr>
            </w:pPr>
            <w:r>
              <w:rPr>
                <w:rFonts w:hint="eastAsia" w:ascii="宋体" w:hAnsi="宋体"/>
              </w:rPr>
              <w:t>备 注</w:t>
            </w:r>
          </w:p>
        </w:tc>
      </w:tr>
      <w:tr w14:paraId="56542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550CCB51">
            <w:pPr>
              <w:spacing w:line="360" w:lineRule="exact"/>
              <w:jc w:val="center"/>
              <w:rPr>
                <w:rFonts w:ascii="宋体" w:hAnsi="宋体"/>
              </w:rPr>
            </w:pPr>
            <w:r>
              <w:rPr>
                <w:rFonts w:hint="eastAsia" w:ascii="宋体" w:hAnsi="宋体"/>
              </w:rPr>
              <w:t>1</w:t>
            </w:r>
          </w:p>
        </w:tc>
        <w:tc>
          <w:tcPr>
            <w:tcW w:w="4322" w:type="dxa"/>
            <w:vAlign w:val="center"/>
          </w:tcPr>
          <w:p w14:paraId="54D6FC75">
            <w:pPr>
              <w:spacing w:line="360" w:lineRule="exact"/>
              <w:jc w:val="center"/>
              <w:rPr>
                <w:rFonts w:hint="default" w:ascii="宋体" w:hAnsi="宋体" w:eastAsia="宋体"/>
                <w:lang w:val="en-US" w:eastAsia="zh-CN"/>
              </w:rPr>
            </w:pPr>
            <w:r>
              <w:rPr>
                <w:rFonts w:hint="eastAsia" w:ascii="宋体" w:hAnsi="宋体"/>
                <w:lang w:val="en-US" w:eastAsia="zh-CN"/>
              </w:rPr>
              <w:t>工程量清单编制说明</w:t>
            </w:r>
          </w:p>
        </w:tc>
        <w:tc>
          <w:tcPr>
            <w:tcW w:w="1275" w:type="dxa"/>
            <w:vAlign w:val="center"/>
          </w:tcPr>
          <w:p w14:paraId="02E4EEEA">
            <w:pPr>
              <w:spacing w:line="360" w:lineRule="exact"/>
              <w:jc w:val="center"/>
              <w:rPr>
                <w:rFonts w:ascii="宋体" w:hAnsi="宋体"/>
              </w:rPr>
            </w:pPr>
          </w:p>
        </w:tc>
        <w:tc>
          <w:tcPr>
            <w:tcW w:w="709" w:type="dxa"/>
            <w:vAlign w:val="center"/>
          </w:tcPr>
          <w:p w14:paraId="4D672C19">
            <w:pPr>
              <w:spacing w:line="360" w:lineRule="exact"/>
              <w:jc w:val="center"/>
              <w:rPr>
                <w:rFonts w:ascii="宋体" w:hAnsi="宋体"/>
              </w:rPr>
            </w:pPr>
          </w:p>
        </w:tc>
        <w:tc>
          <w:tcPr>
            <w:tcW w:w="1843" w:type="dxa"/>
            <w:vAlign w:val="center"/>
          </w:tcPr>
          <w:p w14:paraId="60855C1C">
            <w:pPr>
              <w:spacing w:line="360" w:lineRule="exact"/>
              <w:jc w:val="center"/>
              <w:rPr>
                <w:rFonts w:ascii="宋体" w:hAnsi="宋体"/>
              </w:rPr>
            </w:pPr>
          </w:p>
        </w:tc>
      </w:tr>
      <w:tr w14:paraId="238D5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171B993E">
            <w:pPr>
              <w:spacing w:line="360" w:lineRule="exact"/>
              <w:jc w:val="center"/>
              <w:rPr>
                <w:rFonts w:ascii="宋体" w:hAnsi="宋体"/>
              </w:rPr>
            </w:pPr>
            <w:r>
              <w:rPr>
                <w:rFonts w:hint="eastAsia" w:ascii="宋体" w:hAnsi="宋体"/>
              </w:rPr>
              <w:t>2</w:t>
            </w:r>
          </w:p>
        </w:tc>
        <w:tc>
          <w:tcPr>
            <w:tcW w:w="4322" w:type="dxa"/>
            <w:vAlign w:val="center"/>
          </w:tcPr>
          <w:p w14:paraId="390D06E1">
            <w:pPr>
              <w:spacing w:line="360" w:lineRule="exact"/>
              <w:jc w:val="center"/>
              <w:rPr>
                <w:rFonts w:hint="default" w:ascii="宋体" w:hAnsi="宋体" w:eastAsia="宋体"/>
                <w:lang w:val="en-US" w:eastAsia="zh-CN"/>
              </w:rPr>
            </w:pPr>
            <w:r>
              <w:rPr>
                <w:rFonts w:hint="eastAsia" w:ascii="宋体" w:hAnsi="宋体"/>
                <w:lang w:val="en-US" w:eastAsia="zh-CN"/>
              </w:rPr>
              <w:t>工程量清单</w:t>
            </w:r>
          </w:p>
        </w:tc>
        <w:tc>
          <w:tcPr>
            <w:tcW w:w="1275" w:type="dxa"/>
            <w:vAlign w:val="center"/>
          </w:tcPr>
          <w:p w14:paraId="245A2E12">
            <w:pPr>
              <w:spacing w:line="360" w:lineRule="exact"/>
              <w:jc w:val="center"/>
              <w:rPr>
                <w:rFonts w:ascii="宋体" w:hAnsi="宋体"/>
              </w:rPr>
            </w:pPr>
          </w:p>
        </w:tc>
        <w:tc>
          <w:tcPr>
            <w:tcW w:w="709" w:type="dxa"/>
            <w:vAlign w:val="center"/>
          </w:tcPr>
          <w:p w14:paraId="6F45AF82">
            <w:pPr>
              <w:spacing w:line="360" w:lineRule="exact"/>
              <w:jc w:val="center"/>
              <w:rPr>
                <w:rFonts w:ascii="宋体" w:hAnsi="宋体"/>
              </w:rPr>
            </w:pPr>
          </w:p>
        </w:tc>
        <w:tc>
          <w:tcPr>
            <w:tcW w:w="1843" w:type="dxa"/>
            <w:vAlign w:val="center"/>
          </w:tcPr>
          <w:p w14:paraId="1DBD0F76">
            <w:pPr>
              <w:spacing w:line="360" w:lineRule="exact"/>
              <w:jc w:val="center"/>
              <w:rPr>
                <w:rFonts w:ascii="宋体" w:hAnsi="宋体"/>
              </w:rPr>
            </w:pPr>
          </w:p>
        </w:tc>
      </w:tr>
      <w:tr w14:paraId="70323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324AE937">
            <w:pPr>
              <w:spacing w:line="360" w:lineRule="exact"/>
              <w:jc w:val="center"/>
              <w:rPr>
                <w:rFonts w:ascii="宋体" w:hAnsi="宋体"/>
              </w:rPr>
            </w:pPr>
          </w:p>
        </w:tc>
        <w:tc>
          <w:tcPr>
            <w:tcW w:w="4322" w:type="dxa"/>
            <w:vAlign w:val="center"/>
          </w:tcPr>
          <w:p w14:paraId="26542CB8">
            <w:pPr>
              <w:spacing w:line="360" w:lineRule="exact"/>
              <w:jc w:val="center"/>
              <w:rPr>
                <w:rFonts w:ascii="宋体" w:hAnsi="宋体"/>
              </w:rPr>
            </w:pPr>
          </w:p>
        </w:tc>
        <w:tc>
          <w:tcPr>
            <w:tcW w:w="1275" w:type="dxa"/>
            <w:vAlign w:val="center"/>
          </w:tcPr>
          <w:p w14:paraId="104C61A1">
            <w:pPr>
              <w:spacing w:line="360" w:lineRule="exact"/>
              <w:jc w:val="center"/>
              <w:rPr>
                <w:rFonts w:ascii="宋体" w:hAnsi="宋体"/>
              </w:rPr>
            </w:pPr>
          </w:p>
        </w:tc>
        <w:tc>
          <w:tcPr>
            <w:tcW w:w="709" w:type="dxa"/>
            <w:vAlign w:val="center"/>
          </w:tcPr>
          <w:p w14:paraId="1A6195CA">
            <w:pPr>
              <w:spacing w:line="360" w:lineRule="exact"/>
              <w:jc w:val="center"/>
              <w:rPr>
                <w:rFonts w:ascii="宋体" w:hAnsi="宋体"/>
              </w:rPr>
            </w:pPr>
          </w:p>
        </w:tc>
        <w:tc>
          <w:tcPr>
            <w:tcW w:w="1843" w:type="dxa"/>
            <w:vAlign w:val="center"/>
          </w:tcPr>
          <w:p w14:paraId="15041980">
            <w:pPr>
              <w:spacing w:line="360" w:lineRule="exact"/>
              <w:jc w:val="center"/>
              <w:rPr>
                <w:rFonts w:ascii="宋体" w:hAnsi="宋体"/>
              </w:rPr>
            </w:pPr>
          </w:p>
        </w:tc>
      </w:tr>
      <w:tr w14:paraId="1BCA6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65DBF307">
            <w:pPr>
              <w:spacing w:line="360" w:lineRule="exact"/>
              <w:jc w:val="center"/>
              <w:rPr>
                <w:rFonts w:ascii="宋体" w:hAnsi="宋体"/>
              </w:rPr>
            </w:pPr>
          </w:p>
        </w:tc>
        <w:tc>
          <w:tcPr>
            <w:tcW w:w="4322" w:type="dxa"/>
            <w:vAlign w:val="center"/>
          </w:tcPr>
          <w:p w14:paraId="34EC54F4">
            <w:pPr>
              <w:spacing w:line="360" w:lineRule="exact"/>
              <w:jc w:val="center"/>
              <w:rPr>
                <w:rFonts w:ascii="宋体" w:hAnsi="宋体"/>
              </w:rPr>
            </w:pPr>
          </w:p>
        </w:tc>
        <w:tc>
          <w:tcPr>
            <w:tcW w:w="1275" w:type="dxa"/>
            <w:vAlign w:val="center"/>
          </w:tcPr>
          <w:p w14:paraId="72468915">
            <w:pPr>
              <w:spacing w:line="360" w:lineRule="exact"/>
              <w:jc w:val="center"/>
              <w:rPr>
                <w:rFonts w:ascii="宋体" w:hAnsi="宋体"/>
              </w:rPr>
            </w:pPr>
          </w:p>
        </w:tc>
        <w:tc>
          <w:tcPr>
            <w:tcW w:w="709" w:type="dxa"/>
            <w:vAlign w:val="center"/>
          </w:tcPr>
          <w:p w14:paraId="54C08786">
            <w:pPr>
              <w:spacing w:line="360" w:lineRule="exact"/>
              <w:jc w:val="center"/>
              <w:rPr>
                <w:rFonts w:ascii="宋体" w:hAnsi="宋体"/>
              </w:rPr>
            </w:pPr>
          </w:p>
        </w:tc>
        <w:tc>
          <w:tcPr>
            <w:tcW w:w="1843" w:type="dxa"/>
            <w:vAlign w:val="center"/>
          </w:tcPr>
          <w:p w14:paraId="3D7DB02F">
            <w:pPr>
              <w:spacing w:line="360" w:lineRule="exact"/>
              <w:jc w:val="center"/>
              <w:rPr>
                <w:rFonts w:ascii="宋体" w:hAnsi="宋体"/>
              </w:rPr>
            </w:pPr>
          </w:p>
        </w:tc>
      </w:tr>
      <w:tr w14:paraId="0C7BD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3A6F27F5">
            <w:pPr>
              <w:spacing w:line="360" w:lineRule="exact"/>
              <w:jc w:val="center"/>
              <w:rPr>
                <w:rFonts w:ascii="宋体" w:hAnsi="宋体"/>
              </w:rPr>
            </w:pPr>
          </w:p>
        </w:tc>
        <w:tc>
          <w:tcPr>
            <w:tcW w:w="4322" w:type="dxa"/>
            <w:vAlign w:val="center"/>
          </w:tcPr>
          <w:p w14:paraId="2FF75A31">
            <w:pPr>
              <w:spacing w:line="360" w:lineRule="exact"/>
              <w:jc w:val="center"/>
              <w:rPr>
                <w:rFonts w:ascii="宋体" w:hAnsi="宋体"/>
              </w:rPr>
            </w:pPr>
          </w:p>
        </w:tc>
        <w:tc>
          <w:tcPr>
            <w:tcW w:w="1275" w:type="dxa"/>
            <w:vAlign w:val="center"/>
          </w:tcPr>
          <w:p w14:paraId="1638C90E">
            <w:pPr>
              <w:spacing w:line="360" w:lineRule="exact"/>
              <w:jc w:val="center"/>
              <w:rPr>
                <w:rFonts w:ascii="宋体" w:hAnsi="宋体"/>
              </w:rPr>
            </w:pPr>
          </w:p>
        </w:tc>
        <w:tc>
          <w:tcPr>
            <w:tcW w:w="709" w:type="dxa"/>
            <w:vAlign w:val="center"/>
          </w:tcPr>
          <w:p w14:paraId="0405EC1C">
            <w:pPr>
              <w:spacing w:line="360" w:lineRule="exact"/>
              <w:jc w:val="center"/>
              <w:rPr>
                <w:rFonts w:ascii="宋体" w:hAnsi="宋体"/>
              </w:rPr>
            </w:pPr>
          </w:p>
        </w:tc>
        <w:tc>
          <w:tcPr>
            <w:tcW w:w="1843" w:type="dxa"/>
            <w:vAlign w:val="center"/>
          </w:tcPr>
          <w:p w14:paraId="48100052">
            <w:pPr>
              <w:spacing w:line="360" w:lineRule="exact"/>
              <w:jc w:val="center"/>
              <w:rPr>
                <w:rFonts w:ascii="宋体" w:hAnsi="宋体"/>
              </w:rPr>
            </w:pPr>
          </w:p>
        </w:tc>
      </w:tr>
      <w:tr w14:paraId="26E10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4027E523">
            <w:pPr>
              <w:spacing w:line="360" w:lineRule="exact"/>
              <w:jc w:val="center"/>
              <w:rPr>
                <w:rFonts w:ascii="宋体" w:hAnsi="宋体"/>
              </w:rPr>
            </w:pPr>
          </w:p>
        </w:tc>
        <w:tc>
          <w:tcPr>
            <w:tcW w:w="4322" w:type="dxa"/>
            <w:vAlign w:val="center"/>
          </w:tcPr>
          <w:p w14:paraId="12A9D3F5">
            <w:pPr>
              <w:spacing w:line="360" w:lineRule="exact"/>
              <w:jc w:val="center"/>
              <w:rPr>
                <w:rFonts w:ascii="宋体" w:hAnsi="宋体"/>
              </w:rPr>
            </w:pPr>
          </w:p>
        </w:tc>
        <w:tc>
          <w:tcPr>
            <w:tcW w:w="1275" w:type="dxa"/>
            <w:vAlign w:val="center"/>
          </w:tcPr>
          <w:p w14:paraId="5ED2FDC5">
            <w:pPr>
              <w:spacing w:line="360" w:lineRule="exact"/>
              <w:jc w:val="center"/>
              <w:rPr>
                <w:rFonts w:ascii="宋体" w:hAnsi="宋体"/>
              </w:rPr>
            </w:pPr>
          </w:p>
        </w:tc>
        <w:tc>
          <w:tcPr>
            <w:tcW w:w="709" w:type="dxa"/>
            <w:vAlign w:val="center"/>
          </w:tcPr>
          <w:p w14:paraId="27A60E0F">
            <w:pPr>
              <w:spacing w:line="360" w:lineRule="exact"/>
              <w:jc w:val="center"/>
              <w:rPr>
                <w:rFonts w:ascii="宋体" w:hAnsi="宋体"/>
              </w:rPr>
            </w:pPr>
          </w:p>
        </w:tc>
        <w:tc>
          <w:tcPr>
            <w:tcW w:w="1843" w:type="dxa"/>
            <w:vAlign w:val="center"/>
          </w:tcPr>
          <w:p w14:paraId="2FCFC1CF">
            <w:pPr>
              <w:spacing w:line="360" w:lineRule="exact"/>
              <w:jc w:val="center"/>
              <w:rPr>
                <w:rFonts w:ascii="宋体" w:hAnsi="宋体"/>
              </w:rPr>
            </w:pPr>
          </w:p>
        </w:tc>
      </w:tr>
      <w:tr w14:paraId="48CD3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104EDF35">
            <w:pPr>
              <w:spacing w:line="360" w:lineRule="exact"/>
              <w:jc w:val="center"/>
              <w:rPr>
                <w:rFonts w:ascii="宋体" w:hAnsi="宋体"/>
              </w:rPr>
            </w:pPr>
          </w:p>
        </w:tc>
        <w:tc>
          <w:tcPr>
            <w:tcW w:w="4322" w:type="dxa"/>
            <w:vAlign w:val="center"/>
          </w:tcPr>
          <w:p w14:paraId="790E5CBA">
            <w:pPr>
              <w:spacing w:line="360" w:lineRule="exact"/>
              <w:jc w:val="center"/>
              <w:rPr>
                <w:rFonts w:ascii="宋体" w:hAnsi="宋体"/>
              </w:rPr>
            </w:pPr>
          </w:p>
        </w:tc>
        <w:tc>
          <w:tcPr>
            <w:tcW w:w="1275" w:type="dxa"/>
            <w:vAlign w:val="center"/>
          </w:tcPr>
          <w:p w14:paraId="7AFFD3BD">
            <w:pPr>
              <w:spacing w:line="360" w:lineRule="exact"/>
              <w:jc w:val="center"/>
              <w:rPr>
                <w:rFonts w:ascii="宋体" w:hAnsi="宋体"/>
              </w:rPr>
            </w:pPr>
          </w:p>
        </w:tc>
        <w:tc>
          <w:tcPr>
            <w:tcW w:w="709" w:type="dxa"/>
            <w:vAlign w:val="center"/>
          </w:tcPr>
          <w:p w14:paraId="359A024B">
            <w:pPr>
              <w:spacing w:line="360" w:lineRule="exact"/>
              <w:jc w:val="center"/>
              <w:rPr>
                <w:rFonts w:ascii="宋体" w:hAnsi="宋体"/>
              </w:rPr>
            </w:pPr>
          </w:p>
        </w:tc>
        <w:tc>
          <w:tcPr>
            <w:tcW w:w="1843" w:type="dxa"/>
            <w:vAlign w:val="center"/>
          </w:tcPr>
          <w:p w14:paraId="1A8DB877">
            <w:pPr>
              <w:spacing w:line="360" w:lineRule="exact"/>
              <w:jc w:val="center"/>
              <w:rPr>
                <w:rFonts w:ascii="宋体" w:hAnsi="宋体"/>
              </w:rPr>
            </w:pPr>
          </w:p>
        </w:tc>
      </w:tr>
      <w:tr w14:paraId="1EE33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54294804">
            <w:pPr>
              <w:spacing w:line="360" w:lineRule="exact"/>
              <w:jc w:val="center"/>
              <w:rPr>
                <w:rFonts w:ascii="宋体" w:hAnsi="宋体"/>
              </w:rPr>
            </w:pPr>
          </w:p>
        </w:tc>
        <w:tc>
          <w:tcPr>
            <w:tcW w:w="4322" w:type="dxa"/>
            <w:vAlign w:val="center"/>
          </w:tcPr>
          <w:p w14:paraId="1EB614C2">
            <w:pPr>
              <w:spacing w:line="360" w:lineRule="exact"/>
              <w:jc w:val="center"/>
              <w:rPr>
                <w:rFonts w:ascii="宋体" w:hAnsi="宋体"/>
              </w:rPr>
            </w:pPr>
          </w:p>
        </w:tc>
        <w:tc>
          <w:tcPr>
            <w:tcW w:w="1275" w:type="dxa"/>
            <w:vAlign w:val="center"/>
          </w:tcPr>
          <w:p w14:paraId="28AC53B2">
            <w:pPr>
              <w:spacing w:line="360" w:lineRule="exact"/>
              <w:jc w:val="center"/>
              <w:rPr>
                <w:rFonts w:ascii="宋体" w:hAnsi="宋体"/>
              </w:rPr>
            </w:pPr>
          </w:p>
        </w:tc>
        <w:tc>
          <w:tcPr>
            <w:tcW w:w="709" w:type="dxa"/>
            <w:vAlign w:val="center"/>
          </w:tcPr>
          <w:p w14:paraId="3D1EBF5A">
            <w:pPr>
              <w:spacing w:line="360" w:lineRule="exact"/>
              <w:jc w:val="center"/>
              <w:rPr>
                <w:rFonts w:ascii="宋体" w:hAnsi="宋体"/>
              </w:rPr>
            </w:pPr>
          </w:p>
        </w:tc>
        <w:tc>
          <w:tcPr>
            <w:tcW w:w="1843" w:type="dxa"/>
            <w:vAlign w:val="center"/>
          </w:tcPr>
          <w:p w14:paraId="2A42F1E9">
            <w:pPr>
              <w:spacing w:line="360" w:lineRule="exact"/>
              <w:jc w:val="center"/>
              <w:rPr>
                <w:rFonts w:ascii="宋体" w:hAnsi="宋体"/>
              </w:rPr>
            </w:pPr>
          </w:p>
        </w:tc>
      </w:tr>
      <w:tr w14:paraId="49802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08C41749">
            <w:pPr>
              <w:spacing w:line="360" w:lineRule="exact"/>
              <w:jc w:val="center"/>
              <w:rPr>
                <w:rFonts w:ascii="宋体" w:hAnsi="宋体"/>
              </w:rPr>
            </w:pPr>
          </w:p>
        </w:tc>
        <w:tc>
          <w:tcPr>
            <w:tcW w:w="4322" w:type="dxa"/>
            <w:vAlign w:val="center"/>
          </w:tcPr>
          <w:p w14:paraId="11B349AB">
            <w:pPr>
              <w:spacing w:line="360" w:lineRule="exact"/>
              <w:jc w:val="center"/>
              <w:rPr>
                <w:rFonts w:ascii="宋体" w:hAnsi="宋体"/>
              </w:rPr>
            </w:pPr>
          </w:p>
        </w:tc>
        <w:tc>
          <w:tcPr>
            <w:tcW w:w="1275" w:type="dxa"/>
            <w:vAlign w:val="center"/>
          </w:tcPr>
          <w:p w14:paraId="29367A2F">
            <w:pPr>
              <w:spacing w:line="360" w:lineRule="exact"/>
              <w:jc w:val="center"/>
              <w:rPr>
                <w:rFonts w:ascii="宋体" w:hAnsi="宋体"/>
              </w:rPr>
            </w:pPr>
          </w:p>
        </w:tc>
        <w:tc>
          <w:tcPr>
            <w:tcW w:w="709" w:type="dxa"/>
            <w:vAlign w:val="center"/>
          </w:tcPr>
          <w:p w14:paraId="5B95F347">
            <w:pPr>
              <w:spacing w:line="360" w:lineRule="exact"/>
              <w:jc w:val="center"/>
              <w:rPr>
                <w:rFonts w:ascii="宋体" w:hAnsi="宋体"/>
              </w:rPr>
            </w:pPr>
          </w:p>
        </w:tc>
        <w:tc>
          <w:tcPr>
            <w:tcW w:w="1843" w:type="dxa"/>
            <w:vAlign w:val="center"/>
          </w:tcPr>
          <w:p w14:paraId="16277C97">
            <w:pPr>
              <w:spacing w:line="360" w:lineRule="exact"/>
              <w:jc w:val="center"/>
              <w:rPr>
                <w:rFonts w:ascii="宋体" w:hAnsi="宋体"/>
              </w:rPr>
            </w:pPr>
          </w:p>
        </w:tc>
      </w:tr>
      <w:tr w14:paraId="5888B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7CF87248">
            <w:pPr>
              <w:spacing w:line="360" w:lineRule="exact"/>
              <w:jc w:val="center"/>
              <w:rPr>
                <w:rFonts w:ascii="宋体" w:hAnsi="宋体"/>
              </w:rPr>
            </w:pPr>
          </w:p>
        </w:tc>
        <w:tc>
          <w:tcPr>
            <w:tcW w:w="4322" w:type="dxa"/>
            <w:vAlign w:val="center"/>
          </w:tcPr>
          <w:p w14:paraId="6ADA71C2">
            <w:pPr>
              <w:spacing w:line="360" w:lineRule="exact"/>
              <w:jc w:val="center"/>
              <w:rPr>
                <w:rFonts w:ascii="宋体" w:hAnsi="宋体"/>
              </w:rPr>
            </w:pPr>
          </w:p>
        </w:tc>
        <w:tc>
          <w:tcPr>
            <w:tcW w:w="1275" w:type="dxa"/>
            <w:vAlign w:val="center"/>
          </w:tcPr>
          <w:p w14:paraId="7848098C">
            <w:pPr>
              <w:spacing w:line="360" w:lineRule="exact"/>
              <w:jc w:val="center"/>
              <w:rPr>
                <w:rFonts w:ascii="宋体" w:hAnsi="宋体"/>
              </w:rPr>
            </w:pPr>
          </w:p>
        </w:tc>
        <w:tc>
          <w:tcPr>
            <w:tcW w:w="709" w:type="dxa"/>
            <w:vAlign w:val="center"/>
          </w:tcPr>
          <w:p w14:paraId="58E1D812">
            <w:pPr>
              <w:spacing w:line="360" w:lineRule="exact"/>
              <w:jc w:val="center"/>
              <w:rPr>
                <w:rFonts w:ascii="宋体" w:hAnsi="宋体"/>
              </w:rPr>
            </w:pPr>
          </w:p>
        </w:tc>
        <w:tc>
          <w:tcPr>
            <w:tcW w:w="1843" w:type="dxa"/>
            <w:vAlign w:val="center"/>
          </w:tcPr>
          <w:p w14:paraId="07DC495E">
            <w:pPr>
              <w:spacing w:line="360" w:lineRule="exact"/>
              <w:jc w:val="center"/>
              <w:rPr>
                <w:rFonts w:ascii="宋体" w:hAnsi="宋体"/>
              </w:rPr>
            </w:pPr>
          </w:p>
        </w:tc>
      </w:tr>
      <w:tr w14:paraId="37E44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7FFAE409">
            <w:pPr>
              <w:spacing w:line="360" w:lineRule="exact"/>
              <w:jc w:val="center"/>
              <w:rPr>
                <w:rFonts w:ascii="宋体" w:hAnsi="宋体"/>
              </w:rPr>
            </w:pPr>
          </w:p>
        </w:tc>
        <w:tc>
          <w:tcPr>
            <w:tcW w:w="4322" w:type="dxa"/>
            <w:vAlign w:val="center"/>
          </w:tcPr>
          <w:p w14:paraId="54CC58BA">
            <w:pPr>
              <w:spacing w:line="360" w:lineRule="exact"/>
              <w:jc w:val="center"/>
              <w:rPr>
                <w:rFonts w:ascii="宋体" w:hAnsi="宋体"/>
              </w:rPr>
            </w:pPr>
          </w:p>
        </w:tc>
        <w:tc>
          <w:tcPr>
            <w:tcW w:w="1275" w:type="dxa"/>
            <w:vAlign w:val="center"/>
          </w:tcPr>
          <w:p w14:paraId="1023F364">
            <w:pPr>
              <w:spacing w:line="360" w:lineRule="exact"/>
              <w:jc w:val="center"/>
              <w:rPr>
                <w:rFonts w:ascii="宋体" w:hAnsi="宋体"/>
              </w:rPr>
            </w:pPr>
          </w:p>
        </w:tc>
        <w:tc>
          <w:tcPr>
            <w:tcW w:w="709" w:type="dxa"/>
            <w:vAlign w:val="center"/>
          </w:tcPr>
          <w:p w14:paraId="54C5B9D7">
            <w:pPr>
              <w:spacing w:line="360" w:lineRule="exact"/>
              <w:jc w:val="center"/>
              <w:rPr>
                <w:rFonts w:ascii="宋体" w:hAnsi="宋体"/>
              </w:rPr>
            </w:pPr>
          </w:p>
        </w:tc>
        <w:tc>
          <w:tcPr>
            <w:tcW w:w="1843" w:type="dxa"/>
            <w:vAlign w:val="center"/>
          </w:tcPr>
          <w:p w14:paraId="5EB53743">
            <w:pPr>
              <w:spacing w:line="360" w:lineRule="exact"/>
              <w:jc w:val="center"/>
              <w:rPr>
                <w:rFonts w:ascii="宋体" w:hAnsi="宋体"/>
              </w:rPr>
            </w:pPr>
          </w:p>
        </w:tc>
      </w:tr>
      <w:tr w14:paraId="32FD8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45915C56">
            <w:pPr>
              <w:spacing w:line="360" w:lineRule="exact"/>
              <w:jc w:val="center"/>
              <w:rPr>
                <w:rFonts w:ascii="宋体" w:hAnsi="宋体"/>
              </w:rPr>
            </w:pPr>
          </w:p>
        </w:tc>
        <w:tc>
          <w:tcPr>
            <w:tcW w:w="4322" w:type="dxa"/>
            <w:vAlign w:val="center"/>
          </w:tcPr>
          <w:p w14:paraId="5F8EB9F1">
            <w:pPr>
              <w:spacing w:line="360" w:lineRule="exact"/>
              <w:jc w:val="center"/>
              <w:rPr>
                <w:rFonts w:ascii="宋体" w:hAnsi="宋体"/>
              </w:rPr>
            </w:pPr>
          </w:p>
        </w:tc>
        <w:tc>
          <w:tcPr>
            <w:tcW w:w="1275" w:type="dxa"/>
            <w:vAlign w:val="center"/>
          </w:tcPr>
          <w:p w14:paraId="0DCBFCFF">
            <w:pPr>
              <w:spacing w:line="360" w:lineRule="exact"/>
              <w:jc w:val="center"/>
              <w:rPr>
                <w:rFonts w:ascii="宋体" w:hAnsi="宋体"/>
              </w:rPr>
            </w:pPr>
          </w:p>
        </w:tc>
        <w:tc>
          <w:tcPr>
            <w:tcW w:w="709" w:type="dxa"/>
            <w:vAlign w:val="center"/>
          </w:tcPr>
          <w:p w14:paraId="48A6C776">
            <w:pPr>
              <w:spacing w:line="360" w:lineRule="exact"/>
              <w:jc w:val="center"/>
              <w:rPr>
                <w:rFonts w:ascii="宋体" w:hAnsi="宋体"/>
              </w:rPr>
            </w:pPr>
          </w:p>
        </w:tc>
        <w:tc>
          <w:tcPr>
            <w:tcW w:w="1843" w:type="dxa"/>
            <w:vAlign w:val="center"/>
          </w:tcPr>
          <w:p w14:paraId="2B23D617">
            <w:pPr>
              <w:spacing w:line="360" w:lineRule="exact"/>
              <w:jc w:val="center"/>
              <w:rPr>
                <w:rFonts w:ascii="宋体" w:hAnsi="宋体"/>
              </w:rPr>
            </w:pPr>
          </w:p>
        </w:tc>
      </w:tr>
      <w:tr w14:paraId="4F370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192657B4">
            <w:pPr>
              <w:spacing w:line="360" w:lineRule="exact"/>
              <w:jc w:val="center"/>
              <w:rPr>
                <w:rFonts w:ascii="宋体" w:hAnsi="宋体"/>
              </w:rPr>
            </w:pPr>
          </w:p>
        </w:tc>
        <w:tc>
          <w:tcPr>
            <w:tcW w:w="4322" w:type="dxa"/>
            <w:vAlign w:val="center"/>
          </w:tcPr>
          <w:p w14:paraId="100DFB45">
            <w:pPr>
              <w:spacing w:line="360" w:lineRule="exact"/>
              <w:jc w:val="center"/>
              <w:rPr>
                <w:rFonts w:ascii="宋体" w:hAnsi="宋体"/>
              </w:rPr>
            </w:pPr>
          </w:p>
        </w:tc>
        <w:tc>
          <w:tcPr>
            <w:tcW w:w="1275" w:type="dxa"/>
            <w:vAlign w:val="center"/>
          </w:tcPr>
          <w:p w14:paraId="7CC5D99C">
            <w:pPr>
              <w:spacing w:line="360" w:lineRule="exact"/>
              <w:jc w:val="center"/>
              <w:rPr>
                <w:rFonts w:ascii="宋体" w:hAnsi="宋体"/>
              </w:rPr>
            </w:pPr>
          </w:p>
        </w:tc>
        <w:tc>
          <w:tcPr>
            <w:tcW w:w="709" w:type="dxa"/>
            <w:vAlign w:val="center"/>
          </w:tcPr>
          <w:p w14:paraId="28252B23">
            <w:pPr>
              <w:spacing w:line="360" w:lineRule="exact"/>
              <w:jc w:val="center"/>
              <w:rPr>
                <w:rFonts w:ascii="宋体" w:hAnsi="宋体"/>
              </w:rPr>
            </w:pPr>
          </w:p>
        </w:tc>
        <w:tc>
          <w:tcPr>
            <w:tcW w:w="1843" w:type="dxa"/>
            <w:vAlign w:val="center"/>
          </w:tcPr>
          <w:p w14:paraId="70A500ED">
            <w:pPr>
              <w:spacing w:line="360" w:lineRule="exact"/>
              <w:jc w:val="center"/>
              <w:rPr>
                <w:rFonts w:ascii="宋体" w:hAnsi="宋体"/>
              </w:rPr>
            </w:pPr>
          </w:p>
        </w:tc>
      </w:tr>
      <w:tr w14:paraId="71EA5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542AED27">
            <w:pPr>
              <w:spacing w:line="360" w:lineRule="exact"/>
              <w:jc w:val="center"/>
              <w:rPr>
                <w:rFonts w:ascii="宋体" w:hAnsi="宋体"/>
              </w:rPr>
            </w:pPr>
          </w:p>
        </w:tc>
        <w:tc>
          <w:tcPr>
            <w:tcW w:w="4322" w:type="dxa"/>
            <w:vAlign w:val="center"/>
          </w:tcPr>
          <w:p w14:paraId="504D2E0B">
            <w:pPr>
              <w:spacing w:line="360" w:lineRule="exact"/>
              <w:jc w:val="center"/>
              <w:rPr>
                <w:rFonts w:ascii="宋体" w:hAnsi="宋体"/>
              </w:rPr>
            </w:pPr>
          </w:p>
        </w:tc>
        <w:tc>
          <w:tcPr>
            <w:tcW w:w="1275" w:type="dxa"/>
            <w:vAlign w:val="center"/>
          </w:tcPr>
          <w:p w14:paraId="29FB7B71">
            <w:pPr>
              <w:spacing w:line="360" w:lineRule="exact"/>
              <w:jc w:val="center"/>
              <w:rPr>
                <w:rFonts w:ascii="宋体" w:hAnsi="宋体"/>
              </w:rPr>
            </w:pPr>
          </w:p>
        </w:tc>
        <w:tc>
          <w:tcPr>
            <w:tcW w:w="709" w:type="dxa"/>
            <w:vAlign w:val="center"/>
          </w:tcPr>
          <w:p w14:paraId="1978004D">
            <w:pPr>
              <w:spacing w:line="360" w:lineRule="exact"/>
              <w:jc w:val="center"/>
              <w:rPr>
                <w:rFonts w:ascii="宋体" w:hAnsi="宋体"/>
              </w:rPr>
            </w:pPr>
          </w:p>
        </w:tc>
        <w:tc>
          <w:tcPr>
            <w:tcW w:w="1843" w:type="dxa"/>
            <w:vAlign w:val="center"/>
          </w:tcPr>
          <w:p w14:paraId="44AE5E4E">
            <w:pPr>
              <w:spacing w:line="360" w:lineRule="exact"/>
              <w:jc w:val="center"/>
              <w:rPr>
                <w:rFonts w:ascii="宋体" w:hAnsi="宋体"/>
              </w:rPr>
            </w:pPr>
          </w:p>
        </w:tc>
      </w:tr>
      <w:tr w14:paraId="7EAE1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0BB5BEEB">
            <w:pPr>
              <w:spacing w:line="360" w:lineRule="exact"/>
              <w:jc w:val="center"/>
              <w:rPr>
                <w:rFonts w:ascii="宋体" w:hAnsi="宋体"/>
              </w:rPr>
            </w:pPr>
          </w:p>
        </w:tc>
        <w:tc>
          <w:tcPr>
            <w:tcW w:w="4322" w:type="dxa"/>
            <w:vAlign w:val="center"/>
          </w:tcPr>
          <w:p w14:paraId="5B0FD076">
            <w:pPr>
              <w:spacing w:line="360" w:lineRule="exact"/>
              <w:jc w:val="center"/>
              <w:rPr>
                <w:rFonts w:ascii="宋体" w:hAnsi="宋体"/>
              </w:rPr>
            </w:pPr>
          </w:p>
        </w:tc>
        <w:tc>
          <w:tcPr>
            <w:tcW w:w="1275" w:type="dxa"/>
            <w:vAlign w:val="center"/>
          </w:tcPr>
          <w:p w14:paraId="14370FCC">
            <w:pPr>
              <w:spacing w:line="360" w:lineRule="exact"/>
              <w:jc w:val="center"/>
              <w:rPr>
                <w:rFonts w:ascii="宋体" w:hAnsi="宋体"/>
              </w:rPr>
            </w:pPr>
          </w:p>
        </w:tc>
        <w:tc>
          <w:tcPr>
            <w:tcW w:w="709" w:type="dxa"/>
            <w:vAlign w:val="center"/>
          </w:tcPr>
          <w:p w14:paraId="5830BA0E">
            <w:pPr>
              <w:spacing w:line="360" w:lineRule="exact"/>
              <w:jc w:val="center"/>
              <w:rPr>
                <w:rFonts w:ascii="宋体" w:hAnsi="宋体"/>
              </w:rPr>
            </w:pPr>
          </w:p>
        </w:tc>
        <w:tc>
          <w:tcPr>
            <w:tcW w:w="1843" w:type="dxa"/>
            <w:vAlign w:val="center"/>
          </w:tcPr>
          <w:p w14:paraId="38765D92">
            <w:pPr>
              <w:spacing w:line="360" w:lineRule="exact"/>
              <w:jc w:val="center"/>
              <w:rPr>
                <w:rFonts w:ascii="宋体" w:hAnsi="宋体"/>
              </w:rPr>
            </w:pPr>
          </w:p>
        </w:tc>
      </w:tr>
      <w:tr w14:paraId="6025A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13E7535A">
            <w:pPr>
              <w:spacing w:line="360" w:lineRule="exact"/>
              <w:jc w:val="center"/>
              <w:rPr>
                <w:rFonts w:ascii="宋体" w:hAnsi="宋体"/>
              </w:rPr>
            </w:pPr>
          </w:p>
        </w:tc>
        <w:tc>
          <w:tcPr>
            <w:tcW w:w="4322" w:type="dxa"/>
            <w:vAlign w:val="center"/>
          </w:tcPr>
          <w:p w14:paraId="57F6BDB8">
            <w:pPr>
              <w:spacing w:line="360" w:lineRule="exact"/>
              <w:jc w:val="center"/>
              <w:rPr>
                <w:rFonts w:ascii="宋体" w:hAnsi="宋体"/>
              </w:rPr>
            </w:pPr>
          </w:p>
        </w:tc>
        <w:tc>
          <w:tcPr>
            <w:tcW w:w="1275" w:type="dxa"/>
            <w:vAlign w:val="center"/>
          </w:tcPr>
          <w:p w14:paraId="160F999E">
            <w:pPr>
              <w:spacing w:line="360" w:lineRule="exact"/>
              <w:jc w:val="center"/>
              <w:rPr>
                <w:rFonts w:ascii="宋体" w:hAnsi="宋体"/>
              </w:rPr>
            </w:pPr>
          </w:p>
        </w:tc>
        <w:tc>
          <w:tcPr>
            <w:tcW w:w="709" w:type="dxa"/>
            <w:vAlign w:val="center"/>
          </w:tcPr>
          <w:p w14:paraId="5B046263">
            <w:pPr>
              <w:spacing w:line="360" w:lineRule="exact"/>
              <w:jc w:val="center"/>
              <w:rPr>
                <w:rFonts w:ascii="宋体" w:hAnsi="宋体"/>
              </w:rPr>
            </w:pPr>
          </w:p>
        </w:tc>
        <w:tc>
          <w:tcPr>
            <w:tcW w:w="1843" w:type="dxa"/>
            <w:vAlign w:val="center"/>
          </w:tcPr>
          <w:p w14:paraId="02261CD5">
            <w:pPr>
              <w:spacing w:line="360" w:lineRule="exact"/>
              <w:jc w:val="center"/>
              <w:rPr>
                <w:rFonts w:ascii="宋体" w:hAnsi="宋体"/>
              </w:rPr>
            </w:pPr>
          </w:p>
        </w:tc>
      </w:tr>
      <w:tr w14:paraId="683AE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7330B640">
            <w:pPr>
              <w:spacing w:line="360" w:lineRule="exact"/>
              <w:jc w:val="center"/>
              <w:rPr>
                <w:rFonts w:ascii="宋体" w:hAnsi="宋体"/>
              </w:rPr>
            </w:pPr>
          </w:p>
        </w:tc>
        <w:tc>
          <w:tcPr>
            <w:tcW w:w="4322" w:type="dxa"/>
            <w:vAlign w:val="center"/>
          </w:tcPr>
          <w:p w14:paraId="1E3A2200">
            <w:pPr>
              <w:spacing w:line="360" w:lineRule="exact"/>
              <w:jc w:val="center"/>
              <w:rPr>
                <w:rFonts w:ascii="宋体" w:hAnsi="宋体"/>
              </w:rPr>
            </w:pPr>
          </w:p>
          <w:p w14:paraId="2EBEFB38">
            <w:pPr>
              <w:spacing w:line="360" w:lineRule="exact"/>
              <w:jc w:val="center"/>
              <w:rPr>
                <w:rFonts w:ascii="宋体" w:hAnsi="宋体"/>
              </w:rPr>
            </w:pPr>
          </w:p>
          <w:p w14:paraId="1FDDD983">
            <w:pPr>
              <w:spacing w:line="360" w:lineRule="exact"/>
              <w:jc w:val="center"/>
              <w:rPr>
                <w:rFonts w:ascii="宋体" w:hAnsi="宋体"/>
              </w:rPr>
            </w:pPr>
          </w:p>
        </w:tc>
        <w:tc>
          <w:tcPr>
            <w:tcW w:w="1275" w:type="dxa"/>
            <w:vAlign w:val="center"/>
          </w:tcPr>
          <w:p w14:paraId="4C981C38">
            <w:pPr>
              <w:spacing w:line="360" w:lineRule="exact"/>
              <w:jc w:val="center"/>
              <w:rPr>
                <w:rFonts w:ascii="宋体" w:hAnsi="宋体"/>
              </w:rPr>
            </w:pPr>
          </w:p>
        </w:tc>
        <w:tc>
          <w:tcPr>
            <w:tcW w:w="709" w:type="dxa"/>
            <w:vAlign w:val="center"/>
          </w:tcPr>
          <w:p w14:paraId="25D6E68F">
            <w:pPr>
              <w:spacing w:line="360" w:lineRule="exact"/>
              <w:jc w:val="center"/>
              <w:rPr>
                <w:rFonts w:ascii="宋体" w:hAnsi="宋体"/>
              </w:rPr>
            </w:pPr>
          </w:p>
        </w:tc>
        <w:tc>
          <w:tcPr>
            <w:tcW w:w="1843" w:type="dxa"/>
            <w:vAlign w:val="center"/>
          </w:tcPr>
          <w:p w14:paraId="1109D615">
            <w:pPr>
              <w:spacing w:line="360" w:lineRule="exact"/>
              <w:jc w:val="center"/>
              <w:rPr>
                <w:rFonts w:ascii="宋体" w:hAnsi="宋体"/>
              </w:rPr>
            </w:pPr>
          </w:p>
        </w:tc>
      </w:tr>
      <w:tr w14:paraId="400D5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2CFF968D">
            <w:pPr>
              <w:spacing w:line="360" w:lineRule="exact"/>
              <w:jc w:val="center"/>
              <w:rPr>
                <w:rFonts w:ascii="宋体" w:hAnsi="宋体"/>
              </w:rPr>
            </w:pPr>
          </w:p>
          <w:p w14:paraId="5DBB1EBF">
            <w:pPr>
              <w:spacing w:line="360" w:lineRule="exact"/>
              <w:jc w:val="center"/>
              <w:rPr>
                <w:rFonts w:ascii="宋体" w:hAnsi="宋体"/>
              </w:rPr>
            </w:pPr>
          </w:p>
        </w:tc>
        <w:tc>
          <w:tcPr>
            <w:tcW w:w="4322" w:type="dxa"/>
            <w:vAlign w:val="center"/>
          </w:tcPr>
          <w:p w14:paraId="575FF388">
            <w:pPr>
              <w:spacing w:line="360" w:lineRule="exact"/>
              <w:jc w:val="center"/>
              <w:rPr>
                <w:rFonts w:ascii="宋体" w:hAnsi="宋体"/>
              </w:rPr>
            </w:pPr>
          </w:p>
        </w:tc>
        <w:tc>
          <w:tcPr>
            <w:tcW w:w="1275" w:type="dxa"/>
            <w:vAlign w:val="center"/>
          </w:tcPr>
          <w:p w14:paraId="7B1EF853">
            <w:pPr>
              <w:spacing w:line="360" w:lineRule="exact"/>
              <w:jc w:val="center"/>
              <w:rPr>
                <w:rFonts w:ascii="宋体" w:hAnsi="宋体"/>
              </w:rPr>
            </w:pPr>
          </w:p>
        </w:tc>
        <w:tc>
          <w:tcPr>
            <w:tcW w:w="709" w:type="dxa"/>
            <w:vAlign w:val="center"/>
          </w:tcPr>
          <w:p w14:paraId="5147F671">
            <w:pPr>
              <w:spacing w:line="360" w:lineRule="exact"/>
              <w:jc w:val="center"/>
              <w:rPr>
                <w:rFonts w:ascii="宋体" w:hAnsi="宋体"/>
              </w:rPr>
            </w:pPr>
          </w:p>
        </w:tc>
        <w:tc>
          <w:tcPr>
            <w:tcW w:w="1843" w:type="dxa"/>
            <w:vAlign w:val="center"/>
          </w:tcPr>
          <w:p w14:paraId="3514CF74">
            <w:pPr>
              <w:spacing w:line="360" w:lineRule="exact"/>
              <w:jc w:val="center"/>
              <w:rPr>
                <w:rFonts w:ascii="宋体" w:hAnsi="宋体"/>
              </w:rPr>
            </w:pPr>
          </w:p>
        </w:tc>
      </w:tr>
      <w:tr w14:paraId="436D3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19B62B03">
            <w:pPr>
              <w:spacing w:line="360" w:lineRule="exact"/>
              <w:jc w:val="center"/>
              <w:rPr>
                <w:rFonts w:ascii="宋体" w:hAnsi="宋体"/>
              </w:rPr>
            </w:pPr>
          </w:p>
        </w:tc>
        <w:tc>
          <w:tcPr>
            <w:tcW w:w="4322" w:type="dxa"/>
            <w:vAlign w:val="center"/>
          </w:tcPr>
          <w:p w14:paraId="550AB651">
            <w:pPr>
              <w:spacing w:line="360" w:lineRule="exact"/>
              <w:jc w:val="center"/>
              <w:rPr>
                <w:rFonts w:ascii="宋体" w:hAnsi="宋体"/>
              </w:rPr>
            </w:pPr>
          </w:p>
        </w:tc>
        <w:tc>
          <w:tcPr>
            <w:tcW w:w="1275" w:type="dxa"/>
            <w:vAlign w:val="center"/>
          </w:tcPr>
          <w:p w14:paraId="32BA906D">
            <w:pPr>
              <w:spacing w:line="360" w:lineRule="exact"/>
              <w:jc w:val="center"/>
              <w:rPr>
                <w:rFonts w:ascii="宋体" w:hAnsi="宋体"/>
              </w:rPr>
            </w:pPr>
          </w:p>
        </w:tc>
        <w:tc>
          <w:tcPr>
            <w:tcW w:w="709" w:type="dxa"/>
            <w:vAlign w:val="center"/>
          </w:tcPr>
          <w:p w14:paraId="6C1E387B">
            <w:pPr>
              <w:spacing w:line="360" w:lineRule="exact"/>
              <w:jc w:val="center"/>
              <w:rPr>
                <w:rFonts w:ascii="宋体" w:hAnsi="宋体"/>
              </w:rPr>
            </w:pPr>
          </w:p>
        </w:tc>
        <w:tc>
          <w:tcPr>
            <w:tcW w:w="1843" w:type="dxa"/>
            <w:vAlign w:val="center"/>
          </w:tcPr>
          <w:p w14:paraId="048FCFAC">
            <w:pPr>
              <w:spacing w:line="360" w:lineRule="exact"/>
              <w:jc w:val="center"/>
              <w:rPr>
                <w:rFonts w:ascii="宋体" w:hAnsi="宋体"/>
              </w:rPr>
            </w:pPr>
          </w:p>
        </w:tc>
      </w:tr>
    </w:tbl>
    <w:p w14:paraId="0396B8BB">
      <w:pPr>
        <w:pStyle w:val="4"/>
        <w:spacing w:line="360" w:lineRule="exact"/>
        <w:rPr>
          <w:rFonts w:hAnsi="宋体"/>
        </w:rPr>
      </w:pPr>
    </w:p>
    <w:p w14:paraId="42AFC58D"/>
    <w:p w14:paraId="7D1E9B2E"/>
    <w:p w14:paraId="56287FDA">
      <w:pPr>
        <w:pStyle w:val="8"/>
        <w:spacing w:line="360" w:lineRule="auto"/>
        <w:jc w:val="center"/>
        <w:rPr>
          <w:rFonts w:hint="eastAsia"/>
          <w:b/>
          <w:sz w:val="44"/>
          <w:szCs w:val="44"/>
        </w:rPr>
        <w:sectPr>
          <w:footerReference r:id="rId3" w:type="default"/>
          <w:pgSz w:w="11906" w:h="16838"/>
          <w:pgMar w:top="1440" w:right="1406" w:bottom="1440" w:left="1406" w:header="851" w:footer="992" w:gutter="0"/>
          <w:pgNumType w:start="1"/>
          <w:cols w:space="425" w:num="1"/>
          <w:docGrid w:type="lines" w:linePitch="312" w:charSpace="0"/>
        </w:sectPr>
      </w:pPr>
    </w:p>
    <w:tbl>
      <w:tblPr>
        <w:tblStyle w:val="9"/>
        <w:tblW w:w="9543" w:type="dxa"/>
        <w:tblInd w:w="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3"/>
      </w:tblGrid>
      <w:tr w14:paraId="32F07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blHeader/>
        </w:trPr>
        <w:tc>
          <w:tcPr>
            <w:tcW w:w="9543" w:type="dxa"/>
            <w:tcBorders>
              <w:top w:val="nil"/>
              <w:left w:val="nil"/>
              <w:bottom w:val="nil"/>
              <w:right w:val="nil"/>
            </w:tcBorders>
            <w:noWrap w:val="0"/>
            <w:vAlign w:val="top"/>
          </w:tcPr>
          <w:p w14:paraId="67A77CEC">
            <w:pPr>
              <w:pStyle w:val="8"/>
              <w:spacing w:line="360" w:lineRule="auto"/>
              <w:jc w:val="center"/>
              <w:rPr>
                <w:rFonts w:hint="eastAsia" w:ascii="ˎ̥" w:hAnsi="ˎ̥"/>
                <w:b/>
                <w:sz w:val="44"/>
                <w:szCs w:val="44"/>
              </w:rPr>
            </w:pPr>
            <w:r>
              <w:rPr>
                <w:rFonts w:hint="eastAsia"/>
                <w:b/>
                <w:sz w:val="44"/>
                <w:szCs w:val="44"/>
              </w:rPr>
              <w:t>工程量清单编制说明</w:t>
            </w:r>
          </w:p>
        </w:tc>
      </w:tr>
      <w:tr w14:paraId="6F03A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blHeader/>
        </w:trPr>
        <w:tc>
          <w:tcPr>
            <w:tcW w:w="9543" w:type="dxa"/>
            <w:tcBorders>
              <w:top w:val="nil"/>
              <w:left w:val="nil"/>
              <w:bottom w:val="single" w:color="auto" w:sz="4" w:space="0"/>
              <w:right w:val="nil"/>
            </w:tcBorders>
            <w:noWrap w:val="0"/>
            <w:vAlign w:val="top"/>
          </w:tcPr>
          <w:p w14:paraId="0A3DD507">
            <w:pPr>
              <w:pStyle w:val="8"/>
              <w:spacing w:before="0" w:after="0"/>
              <w:rPr>
                <w:rFonts w:hint="eastAsia" w:hAnsi="宋体" w:cs="宋体"/>
              </w:rPr>
            </w:pPr>
            <w:r>
              <w:rPr>
                <w:rFonts w:hint="eastAsia" w:hAnsi="宋体" w:cs="宋体"/>
                <w:sz w:val="21"/>
                <w:szCs w:val="21"/>
              </w:rPr>
              <w:t>工程名称：</w:t>
            </w:r>
            <w:r>
              <w:rPr>
                <w:rFonts w:hint="eastAsia" w:hAnsi="宋体" w:cs="宋体"/>
                <w:sz w:val="21"/>
                <w:szCs w:val="21"/>
                <w:highlight w:val="none"/>
                <w:lang w:val="en-US" w:eastAsia="zh-CN"/>
              </w:rPr>
              <w:t>中国计量大学东校区T1食堂改造工程</w:t>
            </w:r>
          </w:p>
        </w:tc>
      </w:tr>
      <w:tr w14:paraId="5CC3D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8" w:hRule="atLeast"/>
        </w:trPr>
        <w:tc>
          <w:tcPr>
            <w:tcW w:w="9543" w:type="dxa"/>
            <w:tcBorders>
              <w:top w:val="single" w:color="auto" w:sz="4" w:space="0"/>
              <w:left w:val="single" w:color="auto" w:sz="4" w:space="0"/>
              <w:bottom w:val="single" w:color="auto" w:sz="4" w:space="0"/>
              <w:right w:val="single" w:color="auto" w:sz="4" w:space="0"/>
            </w:tcBorders>
            <w:noWrap w:val="0"/>
            <w:vAlign w:val="top"/>
          </w:tcPr>
          <w:p w14:paraId="6C2A472E">
            <w:pPr>
              <w:spacing w:line="360" w:lineRule="auto"/>
              <w:ind w:firstLine="420" w:firstLineChars="200"/>
              <w:rPr>
                <w:rFonts w:hint="eastAsia" w:ascii="宋体" w:hAnsi="宋体" w:cs="宋体"/>
                <w:szCs w:val="20"/>
                <w:highlight w:val="none"/>
              </w:rPr>
            </w:pPr>
          </w:p>
          <w:p w14:paraId="02E2B7D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szCs w:val="20"/>
                <w:highlight w:val="none"/>
              </w:rPr>
            </w:pPr>
            <w:r>
              <w:rPr>
                <w:rFonts w:hint="eastAsia" w:ascii="宋体" w:hAnsi="宋体" w:cs="宋体"/>
                <w:b/>
                <w:szCs w:val="20"/>
                <w:highlight w:val="none"/>
              </w:rPr>
              <w:t>工程概况</w:t>
            </w:r>
          </w:p>
          <w:p w14:paraId="4823420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default" w:ascii="宋体" w:hAnsi="宋体" w:eastAsia="宋体" w:cs="宋体"/>
                <w:b w:val="0"/>
                <w:bCs/>
                <w:szCs w:val="20"/>
                <w:highlight w:val="none"/>
                <w:lang w:val="en-US" w:eastAsia="zh-CN"/>
              </w:rPr>
            </w:pPr>
            <w:r>
              <w:rPr>
                <w:rFonts w:hint="eastAsia" w:ascii="宋体" w:hAnsi="宋体" w:cs="宋体"/>
                <w:b w:val="0"/>
                <w:bCs/>
                <w:szCs w:val="20"/>
                <w:highlight w:val="none"/>
                <w:lang w:val="en-US" w:eastAsia="zh-CN"/>
              </w:rPr>
              <w:t>本项目为中中国计量大学东校区T1食堂改造工程,工程地点位于杭州市钱塘区学源街168号中国计量大学东生活区。</w:t>
            </w:r>
          </w:p>
          <w:p w14:paraId="6034EA7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szCs w:val="20"/>
                <w:highlight w:val="none"/>
              </w:rPr>
            </w:pPr>
            <w:r>
              <w:rPr>
                <w:rFonts w:hint="eastAsia" w:ascii="宋体" w:hAnsi="宋体" w:cs="宋体"/>
                <w:b/>
                <w:szCs w:val="20"/>
                <w:highlight w:val="none"/>
              </w:rPr>
              <w:t>工程量清单编制范围</w:t>
            </w:r>
          </w:p>
          <w:p w14:paraId="48DFAC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default" w:ascii="宋体" w:hAnsi="宋体" w:eastAsia="宋体" w:cs="宋体"/>
                <w:b w:val="0"/>
                <w:bCs/>
                <w:szCs w:val="20"/>
                <w:highlight w:val="none"/>
                <w:lang w:val="en-US" w:eastAsia="zh-CN"/>
              </w:rPr>
            </w:pPr>
            <w:r>
              <w:rPr>
                <w:rFonts w:hint="eastAsia" w:ascii="宋体" w:hAnsi="宋体" w:cs="宋体"/>
                <w:b w:val="0"/>
                <w:bCs/>
                <w:szCs w:val="20"/>
                <w:highlight w:val="none"/>
                <w:lang w:val="en-US" w:eastAsia="zh-CN"/>
              </w:rPr>
              <w:t>设计图（含设计单位对设计图疑问的回复）中明确的改造工程、装修工程、安装工程。</w:t>
            </w:r>
          </w:p>
          <w:p w14:paraId="354C1181">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szCs w:val="20"/>
                <w:highlight w:val="none"/>
              </w:rPr>
            </w:pPr>
            <w:r>
              <w:rPr>
                <w:rFonts w:hint="eastAsia" w:ascii="宋体" w:hAnsi="宋体" w:cs="宋体"/>
                <w:b/>
                <w:szCs w:val="20"/>
                <w:highlight w:val="none"/>
              </w:rPr>
              <w:t>工程量清单编制依据</w:t>
            </w:r>
          </w:p>
          <w:p w14:paraId="3C3AE707">
            <w:pPr>
              <w:numPr>
                <w:ilvl w:val="0"/>
                <w:numId w:val="2"/>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《建设工程工程量清单计价规范》（GB50500-2013）、《房屋建筑与装饰工程工程量计算规范》（GB50854－2013）、《通用安装工程工程量计算规范》（GB50856-2013）</w:t>
            </w:r>
            <w:r>
              <w:rPr>
                <w:rFonts w:hint="eastAsia" w:ascii="宋体" w:hAnsi="宋体" w:cs="宋体"/>
                <w:szCs w:val="20"/>
                <w:highlight w:val="none"/>
                <w:lang w:eastAsia="zh-CN"/>
              </w:rPr>
              <w:t>、《</w:t>
            </w:r>
            <w:r>
              <w:rPr>
                <w:rFonts w:hint="eastAsia" w:ascii="宋体" w:hAnsi="宋体" w:cs="宋体"/>
                <w:szCs w:val="20"/>
                <w:highlight w:val="none"/>
              </w:rPr>
              <w:t>关于印发建设工程工程量计算规范（2013）浙江省补充规定的通知</w:t>
            </w:r>
            <w:r>
              <w:rPr>
                <w:rFonts w:hint="eastAsia" w:ascii="宋体" w:hAnsi="宋体" w:cs="宋体"/>
                <w:szCs w:val="20"/>
                <w:highlight w:val="none"/>
                <w:lang w:eastAsia="zh-CN"/>
              </w:rPr>
              <w:t>》（浙建站计﹝2013﹞63号）、《</w:t>
            </w:r>
            <w:r>
              <w:rPr>
                <w:rFonts w:hint="eastAsia" w:ascii="宋体" w:hAnsi="宋体" w:cs="宋体"/>
                <w:szCs w:val="20"/>
                <w:highlight w:val="none"/>
              </w:rPr>
              <w:t>关于印发</w:t>
            </w:r>
            <w:r>
              <w:rPr>
                <w:rFonts w:hint="eastAsia" w:ascii="宋体" w:hAnsi="宋体" w:cs="宋体"/>
                <w:szCs w:val="20"/>
                <w:highlight w:val="none"/>
                <w:lang w:eastAsia="zh-CN"/>
              </w:rPr>
              <w:t>建设工程工程量清单计算规范（2013）浙江省补充规定（二）</w:t>
            </w:r>
            <w:r>
              <w:rPr>
                <w:rFonts w:hint="eastAsia" w:ascii="宋体" w:hAnsi="宋体" w:cs="宋体"/>
                <w:szCs w:val="20"/>
                <w:highlight w:val="none"/>
                <w:lang w:val="en-US" w:eastAsia="zh-CN"/>
              </w:rPr>
              <w:t>的通知</w:t>
            </w:r>
            <w:r>
              <w:rPr>
                <w:rFonts w:hint="eastAsia" w:ascii="宋体" w:hAnsi="宋体" w:cs="宋体"/>
                <w:szCs w:val="20"/>
                <w:highlight w:val="none"/>
                <w:lang w:eastAsia="zh-CN"/>
              </w:rPr>
              <w:t>》（浙建站计﹝2014﹞31号）</w:t>
            </w:r>
            <w:r>
              <w:rPr>
                <w:rFonts w:hint="eastAsia" w:ascii="宋体" w:hAnsi="宋体" w:cs="宋体"/>
                <w:szCs w:val="20"/>
                <w:highlight w:val="none"/>
              </w:rPr>
              <w:t>。</w:t>
            </w:r>
          </w:p>
          <w:p w14:paraId="079C0BCF">
            <w:pPr>
              <w:numPr>
                <w:ilvl w:val="0"/>
                <w:numId w:val="2"/>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《浙江省建设工程计价规则》（2018版）及相关文件。</w:t>
            </w:r>
          </w:p>
          <w:p w14:paraId="23EB991B">
            <w:pPr>
              <w:numPr>
                <w:ilvl w:val="0"/>
                <w:numId w:val="2"/>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lang w:val="en-US" w:eastAsia="zh-CN"/>
              </w:rPr>
              <w:t>省市</w:t>
            </w:r>
            <w:r>
              <w:rPr>
                <w:rFonts w:hint="eastAsia" w:ascii="宋体" w:hAnsi="宋体" w:cs="宋体"/>
                <w:szCs w:val="20"/>
                <w:highlight w:val="none"/>
              </w:rPr>
              <w:t>相关文件</w:t>
            </w:r>
          </w:p>
          <w:p w14:paraId="0CF09949">
            <w:pPr>
              <w:numPr>
                <w:ilvl w:val="0"/>
                <w:numId w:val="3"/>
              </w:numPr>
              <w:spacing w:line="360" w:lineRule="auto"/>
              <w:ind w:left="0" w:leftChars="0" w:firstLine="420" w:firstLineChars="200"/>
              <w:rPr>
                <w:rFonts w:hint="eastAsia" w:ascii="宋体" w:hAnsi="宋体" w:cs="宋体"/>
                <w:szCs w:val="20"/>
                <w:highlight w:val="none"/>
              </w:rPr>
            </w:pPr>
            <w:r>
              <w:rPr>
                <w:rFonts w:hint="eastAsia" w:ascii="宋体" w:hAnsi="宋体" w:cs="宋体"/>
                <w:szCs w:val="20"/>
                <w:highlight w:val="none"/>
              </w:rPr>
              <w:t>《关于颁发浙江省建设工程计价依据（2018版）的通知》</w:t>
            </w:r>
            <w:r>
              <w:rPr>
                <w:rFonts w:hint="eastAsia" w:ascii="宋体" w:hAnsi="宋体" w:cs="宋体"/>
                <w:szCs w:val="20"/>
                <w:highlight w:val="none"/>
                <w:lang w:eastAsia="zh-CN"/>
              </w:rPr>
              <w:t>（</w:t>
            </w:r>
            <w:r>
              <w:rPr>
                <w:rFonts w:hint="eastAsia" w:ascii="宋体" w:hAnsi="宋体" w:cs="宋体"/>
                <w:szCs w:val="20"/>
                <w:highlight w:val="none"/>
              </w:rPr>
              <w:t>浙建建〔2018〕61号</w:t>
            </w:r>
            <w:r>
              <w:rPr>
                <w:rFonts w:hint="eastAsia" w:ascii="宋体" w:hAnsi="宋体" w:cs="宋体"/>
                <w:szCs w:val="20"/>
                <w:highlight w:val="none"/>
                <w:lang w:eastAsia="zh-CN"/>
              </w:rPr>
              <w:t>）</w:t>
            </w:r>
            <w:r>
              <w:rPr>
                <w:rFonts w:hint="eastAsia" w:ascii="宋体" w:hAnsi="宋体" w:cs="宋体"/>
                <w:szCs w:val="20"/>
                <w:highlight w:val="none"/>
              </w:rPr>
              <w:t>。</w:t>
            </w:r>
          </w:p>
          <w:p w14:paraId="5644E8EC">
            <w:pPr>
              <w:numPr>
                <w:ilvl w:val="0"/>
                <w:numId w:val="3"/>
              </w:numPr>
              <w:spacing w:line="360" w:lineRule="auto"/>
              <w:ind w:left="0" w:leftChars="0" w:firstLine="420" w:firstLineChars="200"/>
              <w:rPr>
                <w:rFonts w:hint="eastAsia" w:ascii="宋体" w:hAnsi="宋体" w:cs="宋体"/>
                <w:szCs w:val="20"/>
                <w:highlight w:val="none"/>
              </w:rPr>
            </w:pPr>
            <w:r>
              <w:rPr>
                <w:rFonts w:hint="eastAsia" w:ascii="宋体" w:hAnsi="宋体" w:cs="宋体"/>
                <w:szCs w:val="20"/>
                <w:highlight w:val="none"/>
              </w:rPr>
              <w:t>《关于增值税调整后我省建设工程计价依据增值税税率及有关计价调整的通知》</w:t>
            </w:r>
            <w:r>
              <w:rPr>
                <w:rFonts w:hint="eastAsia" w:ascii="宋体" w:hAnsi="宋体" w:cs="宋体"/>
                <w:szCs w:val="20"/>
                <w:highlight w:val="none"/>
                <w:lang w:eastAsia="zh-CN"/>
              </w:rPr>
              <w:t>（浙建建发〔2019〕92号）</w:t>
            </w:r>
            <w:r>
              <w:rPr>
                <w:rFonts w:hint="eastAsia" w:ascii="宋体" w:hAnsi="宋体" w:cs="宋体"/>
                <w:szCs w:val="20"/>
                <w:highlight w:val="none"/>
              </w:rPr>
              <w:t>。</w:t>
            </w:r>
          </w:p>
          <w:p w14:paraId="246B6AA0">
            <w:pPr>
              <w:numPr>
                <w:ilvl w:val="0"/>
                <w:numId w:val="3"/>
              </w:numPr>
              <w:spacing w:line="360" w:lineRule="auto"/>
              <w:ind w:left="0" w:leftChars="0" w:firstLine="420" w:firstLineChars="200"/>
              <w:rPr>
                <w:rFonts w:hint="eastAsia" w:ascii="宋体" w:hAnsi="宋体" w:cs="宋体"/>
                <w:szCs w:val="20"/>
                <w:highlight w:val="none"/>
              </w:rPr>
            </w:pPr>
            <w:r>
              <w:rPr>
                <w:rFonts w:hint="eastAsia" w:ascii="宋体" w:hAnsi="宋体" w:cs="宋体"/>
                <w:szCs w:val="20"/>
                <w:highlight w:val="none"/>
                <w:lang w:eastAsia="zh-CN"/>
              </w:rPr>
              <w:t>《</w:t>
            </w:r>
            <w:r>
              <w:rPr>
                <w:rFonts w:hint="eastAsia" w:ascii="宋体" w:hAnsi="宋体" w:cs="宋体"/>
                <w:szCs w:val="20"/>
                <w:highlight w:val="none"/>
              </w:rPr>
              <w:t>关于明确杭州市建筑施工领域安全生产责任保险费用计取的通知</w:t>
            </w:r>
            <w:r>
              <w:rPr>
                <w:rFonts w:hint="eastAsia" w:ascii="宋体" w:hAnsi="宋体" w:cs="宋体"/>
                <w:szCs w:val="20"/>
                <w:highlight w:val="none"/>
                <w:lang w:eastAsia="zh-CN"/>
              </w:rPr>
              <w:t>》（杭建招标造价中心〔2021〕84号）</w:t>
            </w:r>
            <w:r>
              <w:rPr>
                <w:rFonts w:hint="eastAsia" w:ascii="宋体" w:hAnsi="宋体" w:cs="宋体"/>
                <w:szCs w:val="20"/>
                <w:highlight w:val="none"/>
              </w:rPr>
              <w:t>。</w:t>
            </w:r>
          </w:p>
          <w:p w14:paraId="0F5AC268">
            <w:pPr>
              <w:numPr>
                <w:ilvl w:val="0"/>
                <w:numId w:val="3"/>
              </w:numPr>
              <w:spacing w:line="360" w:lineRule="auto"/>
              <w:ind w:left="0" w:leftChars="0" w:firstLine="420" w:firstLineChars="200"/>
              <w:rPr>
                <w:rFonts w:hint="eastAsia" w:ascii="宋体" w:hAnsi="宋体" w:cs="宋体"/>
                <w:szCs w:val="20"/>
                <w:highlight w:val="none"/>
              </w:rPr>
            </w:pPr>
            <w:r>
              <w:rPr>
                <w:rFonts w:hint="eastAsia" w:ascii="宋体" w:hAnsi="宋体" w:cs="宋体"/>
                <w:szCs w:val="20"/>
                <w:highlight w:val="none"/>
                <w:lang w:eastAsia="zh-CN"/>
              </w:rPr>
              <w:t>《</w:t>
            </w:r>
            <w:r>
              <w:rPr>
                <w:rFonts w:hint="eastAsia" w:ascii="宋体" w:hAnsi="宋体" w:cs="宋体"/>
                <w:szCs w:val="20"/>
                <w:highlight w:val="none"/>
              </w:rPr>
              <w:t>省建设厅关于调整建筑工程安全文明施工费的通知</w:t>
            </w:r>
            <w:r>
              <w:rPr>
                <w:rFonts w:hint="eastAsia" w:ascii="宋体" w:hAnsi="宋体" w:cs="宋体"/>
                <w:szCs w:val="20"/>
                <w:highlight w:val="none"/>
                <w:lang w:eastAsia="zh-CN"/>
              </w:rPr>
              <w:t>》（浙建建发〔2022〕37号文）</w:t>
            </w:r>
            <w:r>
              <w:rPr>
                <w:rFonts w:hint="eastAsia" w:ascii="宋体" w:hAnsi="宋体" w:cs="宋体"/>
                <w:szCs w:val="20"/>
                <w:highlight w:val="none"/>
              </w:rPr>
              <w:t>。</w:t>
            </w:r>
          </w:p>
          <w:p w14:paraId="2E049795">
            <w:pPr>
              <w:numPr>
                <w:ilvl w:val="0"/>
                <w:numId w:val="3"/>
              </w:numPr>
              <w:spacing w:line="360" w:lineRule="auto"/>
              <w:ind w:left="0" w:leftChars="0" w:firstLine="420" w:firstLineChars="200"/>
              <w:rPr>
                <w:rFonts w:hint="eastAsia" w:ascii="宋体" w:hAnsi="宋体" w:cs="宋体"/>
                <w:szCs w:val="20"/>
                <w:highlight w:val="none"/>
              </w:rPr>
            </w:pPr>
            <w:r>
              <w:rPr>
                <w:rFonts w:hint="eastAsia" w:ascii="宋体" w:hAnsi="宋体" w:cs="宋体"/>
                <w:szCs w:val="20"/>
                <w:highlight w:val="none"/>
              </w:rPr>
              <w:t>《关于进一步推进我省安全生产责任保险规范化工作的通知》（浙应急法规〔2020〕9号）。</w:t>
            </w:r>
          </w:p>
          <w:p w14:paraId="33ADF5A4">
            <w:pPr>
              <w:numPr>
                <w:ilvl w:val="0"/>
                <w:numId w:val="2"/>
              </w:numPr>
              <w:spacing w:beforeLines="0" w:afterLines="0" w:line="360" w:lineRule="auto"/>
              <w:ind w:firstLine="420" w:firstLineChars="200"/>
              <w:rPr>
                <w:rFonts w:hint="eastAsia" w:ascii="宋体" w:hAnsi="宋体" w:cs="宋体"/>
                <w:szCs w:val="20"/>
                <w:highlight w:val="none"/>
              </w:rPr>
            </w:pPr>
            <w:r>
              <w:rPr>
                <w:rFonts w:hint="eastAsia" w:ascii="宋体" w:hAnsi="宋体" w:eastAsia="宋体" w:cs="宋体"/>
                <w:sz w:val="21"/>
                <w:szCs w:val="24"/>
                <w:highlight w:val="none"/>
              </w:rPr>
              <w:t>招标人提供的本工程</w:t>
            </w:r>
            <w:r>
              <w:rPr>
                <w:rFonts w:hint="eastAsia" w:ascii="宋体" w:hAnsi="宋体" w:cs="宋体"/>
                <w:sz w:val="21"/>
                <w:szCs w:val="24"/>
                <w:highlight w:val="none"/>
                <w:lang w:val="en-US" w:eastAsia="zh-CN"/>
              </w:rPr>
              <w:t>设计</w:t>
            </w:r>
            <w:r>
              <w:rPr>
                <w:rFonts w:hint="eastAsia" w:ascii="宋体" w:hAnsi="宋体" w:eastAsia="宋体" w:cs="宋体"/>
                <w:sz w:val="21"/>
                <w:szCs w:val="24"/>
                <w:highlight w:val="none"/>
              </w:rPr>
              <w:t>图纸、设计单位对图纸疑问的回复意见及设计单位的相关修改意见、招标人对工程清单编制相关意见等。</w:t>
            </w:r>
          </w:p>
          <w:p w14:paraId="68FB0ED1">
            <w:pPr>
              <w:numPr>
                <w:ilvl w:val="0"/>
                <w:numId w:val="1"/>
              </w:numPr>
              <w:spacing w:beforeLines="0" w:afterLines="0" w:line="360" w:lineRule="auto"/>
              <w:ind w:firstLine="422" w:firstLineChars="200"/>
              <w:rPr>
                <w:rFonts w:hint="eastAsia" w:ascii="宋体" w:hAnsi="宋体" w:cs="宋体"/>
                <w:b/>
                <w:szCs w:val="20"/>
                <w:highlight w:val="none"/>
              </w:rPr>
            </w:pPr>
            <w:r>
              <w:rPr>
                <w:rFonts w:hint="eastAsia" w:ascii="宋体" w:hAnsi="宋体" w:cs="宋体"/>
                <w:b/>
                <w:szCs w:val="20"/>
                <w:highlight w:val="none"/>
              </w:rPr>
              <w:t>工程质量、工期、材料、施工等要求</w:t>
            </w:r>
          </w:p>
          <w:p w14:paraId="43F3E250">
            <w:pPr>
              <w:numPr>
                <w:ilvl w:val="0"/>
                <w:numId w:val="4"/>
              </w:numPr>
              <w:spacing w:line="360" w:lineRule="auto"/>
              <w:ind w:left="0" w:firstLine="420" w:firstLineChars="200"/>
              <w:rPr>
                <w:rFonts w:hint="eastAsia" w:ascii="宋体" w:hAnsi="宋体" w:cs="宋体"/>
                <w:szCs w:val="20"/>
                <w:highlight w:val="none"/>
              </w:rPr>
            </w:pPr>
            <w:r>
              <w:rPr>
                <w:rFonts w:hint="eastAsia" w:ascii="宋体" w:hAnsi="宋体" w:cs="宋体"/>
                <w:szCs w:val="20"/>
                <w:highlight w:val="none"/>
              </w:rPr>
              <w:t xml:space="preserve">工程质量：根据招标文件要求。  </w:t>
            </w:r>
          </w:p>
          <w:p w14:paraId="549E717A">
            <w:pPr>
              <w:numPr>
                <w:ilvl w:val="0"/>
                <w:numId w:val="4"/>
              </w:numPr>
              <w:spacing w:line="360" w:lineRule="auto"/>
              <w:ind w:left="0" w:firstLine="420" w:firstLineChars="200"/>
              <w:rPr>
                <w:rFonts w:hint="eastAsia" w:ascii="宋体" w:hAnsi="宋体" w:cs="宋体"/>
                <w:szCs w:val="20"/>
                <w:highlight w:val="none"/>
              </w:rPr>
            </w:pPr>
            <w:r>
              <w:rPr>
                <w:rFonts w:hint="eastAsia" w:ascii="宋体" w:hAnsi="宋体" w:cs="宋体"/>
                <w:szCs w:val="20"/>
                <w:highlight w:val="none"/>
              </w:rPr>
              <w:t>工期：根据招标文件要求。</w:t>
            </w:r>
          </w:p>
          <w:p w14:paraId="3A696620">
            <w:pPr>
              <w:numPr>
                <w:ilvl w:val="0"/>
                <w:numId w:val="4"/>
              </w:numPr>
              <w:spacing w:line="360" w:lineRule="auto"/>
              <w:ind w:left="0" w:firstLine="420" w:firstLineChars="200"/>
              <w:rPr>
                <w:rFonts w:hint="eastAsia" w:ascii="宋体" w:hAnsi="宋体" w:cs="宋体"/>
                <w:szCs w:val="20"/>
                <w:highlight w:val="none"/>
              </w:rPr>
            </w:pPr>
            <w:r>
              <w:rPr>
                <w:rFonts w:hint="eastAsia" w:ascii="宋体" w:hAnsi="宋体" w:cs="宋体"/>
                <w:szCs w:val="20"/>
                <w:highlight w:val="none"/>
              </w:rPr>
              <w:t>施工要求</w:t>
            </w:r>
            <w:r>
              <w:rPr>
                <w:rFonts w:hint="eastAsia" w:ascii="宋体" w:hAnsi="宋体" w:cs="宋体"/>
                <w:szCs w:val="20"/>
                <w:highlight w:val="none"/>
                <w:lang w:eastAsia="zh-CN"/>
              </w:rPr>
              <w:t>：</w:t>
            </w:r>
            <w:r>
              <w:rPr>
                <w:rFonts w:hint="eastAsia" w:ascii="宋体" w:hAnsi="宋体" w:cs="宋体"/>
                <w:szCs w:val="20"/>
                <w:highlight w:val="none"/>
              </w:rPr>
              <w:t>详见施工图及技术规范。</w:t>
            </w:r>
          </w:p>
          <w:p w14:paraId="4B525E6E">
            <w:pPr>
              <w:numPr>
                <w:ilvl w:val="0"/>
                <w:numId w:val="1"/>
              </w:numPr>
              <w:spacing w:beforeLines="0" w:afterLines="0" w:line="360" w:lineRule="auto"/>
              <w:ind w:firstLine="422" w:firstLineChars="200"/>
              <w:rPr>
                <w:rFonts w:hint="eastAsia" w:ascii="宋体" w:hAnsi="宋体" w:cs="宋体"/>
                <w:szCs w:val="20"/>
                <w:highlight w:val="none"/>
              </w:rPr>
            </w:pPr>
            <w:r>
              <w:rPr>
                <w:rFonts w:hint="eastAsia" w:ascii="宋体" w:hAnsi="宋体" w:cs="宋体"/>
                <w:b/>
                <w:bCs w:val="0"/>
                <w:szCs w:val="20"/>
                <w:highlight w:val="none"/>
              </w:rPr>
              <w:t>安全文明施工措施、标化工地、规费、税金、企业管理费、暂列金额等要求</w:t>
            </w:r>
          </w:p>
          <w:p w14:paraId="720C63D2">
            <w:pPr>
              <w:numPr>
                <w:ilvl w:val="0"/>
                <w:numId w:val="5"/>
              </w:numPr>
              <w:spacing w:line="360" w:lineRule="auto"/>
              <w:ind w:firstLine="420" w:firstLineChars="200"/>
              <w:rPr>
                <w:rFonts w:ascii="宋体" w:hAnsi="宋体" w:cs="宋体"/>
                <w:szCs w:val="20"/>
                <w:highlight w:val="none"/>
              </w:rPr>
            </w:pPr>
            <w:r>
              <w:rPr>
                <w:rFonts w:hint="eastAsia" w:ascii="宋体" w:hAnsi="宋体" w:cs="宋体"/>
                <w:szCs w:val="20"/>
                <w:highlight w:val="none"/>
              </w:rPr>
              <w:t>安全文明施工基本费</w:t>
            </w:r>
            <w:r>
              <w:rPr>
                <w:rFonts w:hint="eastAsia" w:ascii="宋体" w:hAnsi="宋体" w:cs="宋体"/>
                <w:szCs w:val="20"/>
                <w:highlight w:val="none"/>
                <w:lang w:val="en-US" w:eastAsia="zh-CN"/>
              </w:rPr>
              <w:t xml:space="preserve"> </w:t>
            </w:r>
          </w:p>
          <w:p w14:paraId="03C3432D">
            <w:pPr>
              <w:numPr>
                <w:ilvl w:val="0"/>
                <w:numId w:val="0"/>
              </w:numPr>
              <w:spacing w:line="360" w:lineRule="auto"/>
              <w:ind w:leftChars="0" w:firstLine="420" w:firstLineChars="200"/>
              <w:rPr>
                <w:rFonts w:hint="eastAsia" w:ascii="宋体" w:hAnsi="宋体" w:cs="宋体"/>
                <w:szCs w:val="20"/>
                <w:highlight w:val="none"/>
              </w:rPr>
            </w:pPr>
            <w:r>
              <w:rPr>
                <w:rFonts w:hint="eastAsia" w:ascii="宋体" w:hAnsi="宋体" w:cs="宋体"/>
                <w:szCs w:val="20"/>
                <w:highlight w:val="none"/>
              </w:rPr>
              <w:t>安全文明施工费由文明施工费、环境保护费、临时设施费、安全施工费组成。根据“《浙江省建设工程计价规则（2018版）》”及“《省建设厅关于调整建筑工程安全文明施工费的通知》（浙建建发〔2022〕37号）”的相关规定，须以“分部分项工程量清单和技术措施项目清单”计价中的人工费+机械费之和为计算基础，装修工程费率不低于5.91%，通用安装工程费率不低于7.35%。安全文明施工费中已包括施工现场消防要求及扬尘处理等发生的费用。</w:t>
            </w:r>
          </w:p>
          <w:p w14:paraId="6FC832AC">
            <w:pPr>
              <w:numPr>
                <w:ilvl w:val="0"/>
                <w:numId w:val="0"/>
              </w:numPr>
              <w:spacing w:line="360" w:lineRule="auto"/>
              <w:ind w:leftChars="0" w:firstLine="420" w:firstLineChars="200"/>
              <w:rPr>
                <w:rFonts w:hint="eastAsia" w:ascii="宋体" w:hAnsi="宋体" w:cs="宋体"/>
                <w:szCs w:val="20"/>
                <w:highlight w:val="none"/>
              </w:rPr>
            </w:pPr>
            <w:r>
              <w:rPr>
                <w:rFonts w:hint="eastAsia" w:ascii="宋体" w:hAnsi="宋体" w:cs="宋体"/>
                <w:szCs w:val="20"/>
                <w:highlight w:val="none"/>
              </w:rPr>
              <w:t>2022年4月1日起，根据《省建设厅关于调整建筑工程安全文明施工费的通知》（浙建建发〔2022〕37号）的要求，安全文明施工费中增加智慧工地和疫情常态化防控费，投标人报价时应根据相关文件的要求进行报价，结算时不另行调整。</w:t>
            </w:r>
          </w:p>
          <w:p w14:paraId="550F2B07">
            <w:pPr>
              <w:numPr>
                <w:ilvl w:val="0"/>
                <w:numId w:val="5"/>
              </w:numPr>
              <w:spacing w:line="360" w:lineRule="auto"/>
              <w:ind w:firstLine="420" w:firstLineChars="200"/>
              <w:rPr>
                <w:rFonts w:ascii="宋体" w:hAnsi="宋体" w:cs="宋体"/>
                <w:szCs w:val="20"/>
                <w:highlight w:val="none"/>
              </w:rPr>
            </w:pPr>
            <w:r>
              <w:rPr>
                <w:rFonts w:hint="eastAsia" w:ascii="宋体" w:hAnsi="宋体" w:cs="宋体"/>
                <w:szCs w:val="20"/>
                <w:highlight w:val="none"/>
              </w:rPr>
              <w:t>标化工地增加费：无</w:t>
            </w:r>
          </w:p>
          <w:p w14:paraId="7E013A86">
            <w:pPr>
              <w:numPr>
                <w:ilvl w:val="0"/>
                <w:numId w:val="5"/>
              </w:numPr>
              <w:spacing w:line="360" w:lineRule="auto"/>
              <w:ind w:firstLine="420" w:firstLineChars="200"/>
              <w:rPr>
                <w:rFonts w:ascii="宋体" w:hAnsi="宋体" w:cs="宋体"/>
                <w:szCs w:val="20"/>
                <w:highlight w:val="none"/>
              </w:rPr>
            </w:pPr>
            <w:r>
              <w:rPr>
                <w:rFonts w:hint="eastAsia" w:ascii="宋体" w:hAnsi="宋体" w:cs="宋体"/>
                <w:szCs w:val="20"/>
                <w:highlight w:val="none"/>
              </w:rPr>
              <w:t>规费</w:t>
            </w:r>
          </w:p>
          <w:p w14:paraId="3E370388">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cs="宋体"/>
                <w:szCs w:val="20"/>
                <w:highlight w:val="none"/>
              </w:rPr>
            </w:pPr>
            <w:r>
              <w:rPr>
                <w:rFonts w:hint="eastAsia" w:ascii="宋体" w:hAnsi="宋体" w:cs="宋体"/>
                <w:szCs w:val="20"/>
                <w:highlight w:val="none"/>
                <w:lang w:val="en-US" w:eastAsia="zh-CN"/>
              </w:rPr>
              <w:t>规费包含</w:t>
            </w:r>
            <w:r>
              <w:rPr>
                <w:rFonts w:hint="eastAsia" w:ascii="宋体" w:hAnsi="宋体" w:cs="宋体"/>
                <w:szCs w:val="20"/>
                <w:highlight w:val="none"/>
              </w:rPr>
              <w:t>养老保险费、失业保险费、医疗保险费、生育保险费、工伤保险费）</w:t>
            </w:r>
            <w:r>
              <w:rPr>
                <w:rFonts w:hint="eastAsia" w:ascii="宋体" w:hAnsi="宋体" w:cs="宋体"/>
                <w:szCs w:val="20"/>
                <w:highlight w:val="none"/>
                <w:lang w:eastAsia="zh-CN"/>
              </w:rPr>
              <w:t>、</w:t>
            </w:r>
            <w:r>
              <w:rPr>
                <w:rFonts w:hint="eastAsia" w:ascii="宋体" w:hAnsi="宋体" w:cs="宋体"/>
                <w:szCs w:val="20"/>
                <w:highlight w:val="none"/>
              </w:rPr>
              <w:t>住房公积金。根据《浙江省建设工程计价规则》（2018版）规定，规费以分部分项工程费和技术措施项目费计价中的</w:t>
            </w:r>
            <w:r>
              <w:rPr>
                <w:rFonts w:hint="eastAsia" w:ascii="宋体" w:hAnsi="宋体" w:cs="宋体"/>
                <w:szCs w:val="20"/>
                <w:highlight w:val="none"/>
                <w:lang w:eastAsia="zh-CN"/>
              </w:rPr>
              <w:t>“</w:t>
            </w:r>
            <w:r>
              <w:rPr>
                <w:rFonts w:hint="eastAsia" w:ascii="宋体" w:hAnsi="宋体" w:cs="宋体"/>
                <w:szCs w:val="20"/>
                <w:highlight w:val="none"/>
              </w:rPr>
              <w:t>人工费+机械费</w:t>
            </w:r>
            <w:r>
              <w:rPr>
                <w:rFonts w:hint="eastAsia" w:ascii="宋体" w:hAnsi="宋体" w:cs="宋体"/>
                <w:szCs w:val="20"/>
                <w:highlight w:val="none"/>
                <w:lang w:eastAsia="zh-CN"/>
              </w:rPr>
              <w:t>”</w:t>
            </w:r>
            <w:r>
              <w:rPr>
                <w:rFonts w:hint="eastAsia" w:ascii="宋体" w:hAnsi="宋体" w:cs="宋体"/>
                <w:szCs w:val="20"/>
                <w:highlight w:val="none"/>
              </w:rPr>
              <w:t>为计算基数，根据《关于颁发浙江省建设工程计价依据（2018版）的通知》</w:t>
            </w:r>
            <w:r>
              <w:rPr>
                <w:rFonts w:hint="eastAsia" w:ascii="宋体" w:hAnsi="宋体" w:cs="宋体"/>
                <w:szCs w:val="20"/>
                <w:highlight w:val="none"/>
                <w:lang w:eastAsia="zh-CN"/>
              </w:rPr>
              <w:t>（浙建建〔2018〕61号）</w:t>
            </w:r>
            <w:r>
              <w:rPr>
                <w:rFonts w:hint="eastAsia" w:ascii="宋体" w:hAnsi="宋体" w:cs="宋体"/>
                <w:szCs w:val="20"/>
                <w:highlight w:val="none"/>
              </w:rPr>
              <w:t>，在规费政策平稳过渡期内不得低于标准费率的3</w:t>
            </w:r>
            <w:r>
              <w:rPr>
                <w:rFonts w:ascii="宋体" w:hAnsi="宋体" w:cs="宋体"/>
                <w:szCs w:val="20"/>
                <w:highlight w:val="none"/>
              </w:rPr>
              <w:t>0</w:t>
            </w:r>
            <w:r>
              <w:rPr>
                <w:rFonts w:hint="eastAsia" w:ascii="宋体" w:hAnsi="宋体" w:cs="宋体"/>
                <w:szCs w:val="20"/>
                <w:highlight w:val="none"/>
              </w:rPr>
              <w:t>%，</w:t>
            </w:r>
            <w:r>
              <w:rPr>
                <w:rFonts w:ascii="宋体" w:hAnsi="宋体" w:cs="宋体"/>
                <w:szCs w:val="20"/>
                <w:highlight w:val="none"/>
              </w:rPr>
              <w:t>即</w:t>
            </w:r>
            <w:r>
              <w:rPr>
                <w:rFonts w:hint="eastAsia" w:ascii="宋体" w:hAnsi="宋体" w:cs="宋体"/>
                <w:szCs w:val="20"/>
                <w:highlight w:val="none"/>
              </w:rPr>
              <w:t>：装修工程不得低于8.376</w:t>
            </w:r>
            <w:r>
              <w:rPr>
                <w:rFonts w:ascii="宋体" w:hAnsi="宋体" w:cs="宋体"/>
                <w:szCs w:val="20"/>
                <w:highlight w:val="none"/>
              </w:rPr>
              <w:t>%</w:t>
            </w:r>
            <w:r>
              <w:rPr>
                <w:rFonts w:hint="eastAsia" w:ascii="宋体" w:hAnsi="宋体" w:cs="宋体"/>
                <w:szCs w:val="20"/>
                <w:highlight w:val="none"/>
              </w:rPr>
              <w:t>，通用安装工程不得低于9.189</w:t>
            </w:r>
            <w:r>
              <w:rPr>
                <w:rFonts w:ascii="宋体" w:hAnsi="宋体" w:cs="宋体"/>
                <w:szCs w:val="20"/>
                <w:highlight w:val="none"/>
              </w:rPr>
              <w:t>%</w:t>
            </w:r>
            <w:r>
              <w:rPr>
                <w:rFonts w:hint="eastAsia" w:ascii="宋体" w:hAnsi="宋体" w:cs="宋体"/>
                <w:szCs w:val="20"/>
                <w:highlight w:val="none"/>
              </w:rPr>
              <w:t>。</w:t>
            </w:r>
          </w:p>
          <w:p w14:paraId="017375EA">
            <w:pPr>
              <w:numPr>
                <w:ilvl w:val="0"/>
                <w:numId w:val="5"/>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税金</w:t>
            </w:r>
          </w:p>
          <w:p w14:paraId="61A63FFD">
            <w:pPr>
              <w:numPr>
                <w:ilvl w:val="0"/>
                <w:numId w:val="0"/>
              </w:numPr>
              <w:spacing w:line="360" w:lineRule="auto"/>
              <w:ind w:leftChars="0" w:firstLine="420" w:firstLineChars="200"/>
              <w:rPr>
                <w:rFonts w:hint="eastAsia" w:ascii="宋体" w:hAnsi="宋体" w:eastAsia="宋体" w:cs="宋体"/>
                <w:sz w:val="21"/>
                <w:szCs w:val="24"/>
                <w:highlight w:val="none"/>
              </w:rPr>
            </w:pPr>
            <w:r>
              <w:rPr>
                <w:rFonts w:hint="eastAsia" w:ascii="宋体" w:hAnsi="宋体" w:cs="宋体"/>
                <w:szCs w:val="20"/>
                <w:highlight w:val="none"/>
              </w:rPr>
              <w:t>根据《关于增值税调整后我省建设工程计价依据增值税税率及有关计价调整的通知》</w:t>
            </w:r>
            <w:r>
              <w:rPr>
                <w:rFonts w:hint="eastAsia" w:ascii="宋体" w:hAnsi="宋体" w:cs="宋体"/>
                <w:szCs w:val="20"/>
                <w:highlight w:val="none"/>
                <w:lang w:eastAsia="zh-CN"/>
              </w:rPr>
              <w:t>（</w:t>
            </w:r>
            <w:r>
              <w:rPr>
                <w:rFonts w:hint="eastAsia" w:ascii="宋体" w:hAnsi="宋体" w:cs="宋体"/>
                <w:szCs w:val="20"/>
                <w:highlight w:val="none"/>
              </w:rPr>
              <w:t>浙建建发〔2019〕92号</w:t>
            </w:r>
            <w:r>
              <w:rPr>
                <w:rFonts w:hint="eastAsia" w:ascii="宋体" w:hAnsi="宋体" w:cs="宋体"/>
                <w:szCs w:val="20"/>
                <w:highlight w:val="none"/>
                <w:lang w:eastAsia="zh-CN"/>
              </w:rPr>
              <w:t>）</w:t>
            </w:r>
            <w:r>
              <w:rPr>
                <w:rFonts w:hint="eastAsia" w:ascii="宋体" w:hAnsi="宋体" w:cs="宋体"/>
                <w:szCs w:val="20"/>
                <w:highlight w:val="none"/>
              </w:rPr>
              <w:t>规定，税金以税前“分部分项工程费+措施项目费+其他项目费+规费”为计算基数，</w:t>
            </w:r>
            <w:r>
              <w:rPr>
                <w:rFonts w:hint="eastAsia" w:ascii="宋体" w:hAnsi="宋体" w:cs="宋体"/>
                <w:szCs w:val="20"/>
                <w:highlight w:val="none"/>
                <w:lang w:val="en-US" w:eastAsia="zh-CN"/>
              </w:rPr>
              <w:t>请投标人</w:t>
            </w:r>
            <w:r>
              <w:rPr>
                <w:rFonts w:hint="eastAsia" w:ascii="宋体" w:hAnsi="宋体" w:cs="宋体"/>
                <w:szCs w:val="20"/>
                <w:highlight w:val="none"/>
              </w:rPr>
              <w:t>按9%</w:t>
            </w:r>
            <w:r>
              <w:rPr>
                <w:rFonts w:hint="eastAsia" w:ascii="宋体" w:hAnsi="宋体" w:cs="宋体"/>
                <w:szCs w:val="20"/>
                <w:highlight w:val="none"/>
                <w:lang w:val="en-US" w:eastAsia="zh-CN"/>
              </w:rPr>
              <w:t>税</w:t>
            </w:r>
            <w:r>
              <w:rPr>
                <w:rFonts w:hint="eastAsia" w:ascii="宋体" w:hAnsi="宋体" w:cs="宋体"/>
                <w:szCs w:val="20"/>
                <w:highlight w:val="none"/>
              </w:rPr>
              <w:t xml:space="preserve">率报价。    </w:t>
            </w:r>
          </w:p>
          <w:p w14:paraId="438A3630">
            <w:pPr>
              <w:numPr>
                <w:ilvl w:val="0"/>
                <w:numId w:val="5"/>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企业管理费</w:t>
            </w:r>
          </w:p>
          <w:p w14:paraId="727284BA">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cs="宋体"/>
                <w:szCs w:val="20"/>
                <w:highlight w:val="none"/>
              </w:rPr>
            </w:pPr>
            <w:r>
              <w:rPr>
                <w:rFonts w:hint="eastAsia" w:ascii="宋体" w:hAnsi="宋体" w:cs="宋体"/>
                <w:szCs w:val="20"/>
                <w:highlight w:val="none"/>
              </w:rPr>
              <w:t>按照《浙江省建设工程计价规则》（2018版），企业管理费包含管理人员工资、办公费、差旅交通费、固定资产使用费、工具用具使用费、劳动保险费、检验试验费、夜间施工增加费、已完工程及设备保护费、工程定位复测费、工会经费、职工教育经费、财产保险费、财务费、税费及其他。</w:t>
            </w:r>
          </w:p>
          <w:p w14:paraId="07D48ECF">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cs="宋体"/>
                <w:szCs w:val="20"/>
                <w:highlight w:val="none"/>
              </w:rPr>
            </w:pPr>
            <w:r>
              <w:rPr>
                <w:rFonts w:hint="eastAsia" w:ascii="宋体" w:hAnsi="宋体" w:cs="宋体"/>
                <w:szCs w:val="20"/>
                <w:highlight w:val="none"/>
              </w:rPr>
              <w:t>根据《关于印发&lt;杭州市建设工程工程量清单计价实施细则&gt;（2018年修订）的通知》（杭建市发〔2018〕578号）文件的要求，企业管理费中还应包括施工企业现场监控和现场临时宿舍取暖降温费用，以及施工企业对建筑以及材料、构件和建筑安装物进行一般鉴定、检查所发生的检验试验费等相关费用。为保障工程质量和安全，企业管理费报价不得低于省建设行政主管部门颁发的施工费用定额和相关取费计价文件规定的对应专业工程企业管理费弹性费率下限乘以20%的计算值，否则其费用视为包含在相关项目综合单价中。</w:t>
            </w:r>
          </w:p>
          <w:p w14:paraId="392BF89B">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cs="宋体"/>
                <w:szCs w:val="20"/>
                <w:highlight w:val="none"/>
              </w:rPr>
            </w:pPr>
            <w:r>
              <w:rPr>
                <w:rFonts w:hint="eastAsia" w:ascii="宋体" w:hAnsi="宋体" w:cs="宋体"/>
                <w:szCs w:val="20"/>
                <w:highlight w:val="none"/>
              </w:rPr>
              <w:t>根据《关于开展建筑工程扬尘在线监测设施安装工作的通知》（杭建工[2019]103号）文的要求及《关于明确杭州市建筑工程扬尘在线监测设施补贴标准的通知》（杭建工[2020]45号）文的规定，投标人投标报价时应综合考虑扬尘在线监测设施安装及运维所产生的相关费用，结算时不再另行计算。</w:t>
            </w:r>
          </w:p>
          <w:p w14:paraId="025331BB">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cs="宋体"/>
                <w:szCs w:val="20"/>
                <w:highlight w:val="none"/>
              </w:rPr>
            </w:pPr>
            <w:r>
              <w:rPr>
                <w:rFonts w:hint="eastAsia" w:ascii="宋体" w:hAnsi="宋体" w:cs="宋体"/>
                <w:szCs w:val="20"/>
                <w:highlight w:val="none"/>
              </w:rPr>
              <w:t>根据《关于明确杭州市建筑施工领域安全生产责任保险费用计取的通知》（杭建招标造价中心〔2021〕84号）文的要求，投标人投标报价时，应结合工程实际和企业信用状况将安责险列入企业管理费中进行自主报价，结算时不再另行计算。</w:t>
            </w:r>
          </w:p>
          <w:p w14:paraId="39105EAE">
            <w:pPr>
              <w:numPr>
                <w:ilvl w:val="0"/>
                <w:numId w:val="5"/>
              </w:numPr>
              <w:spacing w:beforeLines="0" w:afterLines="0" w:line="360" w:lineRule="auto"/>
              <w:ind w:firstLine="422" w:firstLineChars="200"/>
              <w:rPr>
                <w:rFonts w:hint="eastAsia" w:ascii="宋体" w:hAnsi="宋体" w:eastAsia="宋体" w:cs="宋体"/>
                <w:b/>
                <w:bCs/>
                <w:kern w:val="2"/>
                <w:sz w:val="21"/>
                <w:szCs w:val="21"/>
                <w:highlight w:val="none"/>
              </w:rPr>
            </w:pPr>
            <w:r>
              <w:rPr>
                <w:rFonts w:hint="eastAsia" w:ascii="宋体" w:hAnsi="宋体" w:cs="宋体"/>
                <w:b/>
                <w:bCs/>
                <w:szCs w:val="20"/>
                <w:highlight w:val="none"/>
              </w:rPr>
              <w:t>暂列金额：</w:t>
            </w:r>
            <w:r>
              <w:rPr>
                <w:rFonts w:hint="eastAsia" w:ascii="宋体" w:hAnsi="宋体" w:cs="宋体"/>
                <w:b/>
                <w:bCs/>
                <w:szCs w:val="20"/>
                <w:highlight w:val="none"/>
                <w:lang w:val="en-US" w:eastAsia="zh-CN"/>
              </w:rPr>
              <w:t>150000元（不含税）</w:t>
            </w:r>
            <w:r>
              <w:rPr>
                <w:rFonts w:hint="eastAsia" w:ascii="宋体" w:hAnsi="宋体" w:cs="宋体"/>
                <w:b/>
                <w:bCs/>
                <w:szCs w:val="20"/>
                <w:highlight w:val="none"/>
              </w:rPr>
              <w:t>。</w:t>
            </w:r>
          </w:p>
          <w:p w14:paraId="79FA8591">
            <w:pPr>
              <w:numPr>
                <w:ilvl w:val="0"/>
                <w:numId w:val="1"/>
              </w:numPr>
              <w:spacing w:beforeLines="0" w:afterLines="0" w:line="360" w:lineRule="auto"/>
              <w:ind w:firstLine="422" w:firstLineChars="200"/>
              <w:rPr>
                <w:rFonts w:hint="eastAsia" w:ascii="宋体" w:hAnsi="宋体" w:cs="宋体"/>
                <w:szCs w:val="20"/>
                <w:highlight w:val="none"/>
              </w:rPr>
            </w:pPr>
            <w:r>
              <w:rPr>
                <w:rFonts w:hint="eastAsia" w:ascii="宋体" w:hAnsi="宋体" w:cs="宋体"/>
                <w:b/>
                <w:szCs w:val="20"/>
                <w:highlight w:val="none"/>
              </w:rPr>
              <w:t>工程量清单编制说明及其他需要说明的问题</w:t>
            </w:r>
            <w:r>
              <w:rPr>
                <w:rFonts w:hint="eastAsia" w:ascii="宋体" w:hAnsi="宋体" w:cs="宋体"/>
                <w:szCs w:val="20"/>
                <w:highlight w:val="none"/>
              </w:rPr>
              <w:t xml:space="preserve">    </w:t>
            </w:r>
          </w:p>
          <w:p w14:paraId="0F235637">
            <w:pPr>
              <w:numPr>
                <w:ilvl w:val="0"/>
                <w:numId w:val="6"/>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本工程量清单，其项目特征仅是对清单相应工作的概要描述，应与招标文件中的投标人须知、通用合同条款、专用合同条款、技术标准和要求及图纸等一起阅读和理解</w:t>
            </w:r>
            <w:r>
              <w:rPr>
                <w:rFonts w:hint="eastAsia" w:ascii="宋体" w:hAnsi="宋体" w:cs="宋体"/>
                <w:szCs w:val="20"/>
                <w:highlight w:val="none"/>
                <w:lang w:eastAsia="zh-CN"/>
              </w:rPr>
              <w:t>。</w:t>
            </w:r>
          </w:p>
          <w:p w14:paraId="01F93780">
            <w:pPr>
              <w:numPr>
                <w:ilvl w:val="0"/>
                <w:numId w:val="6"/>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lang w:val="en-US" w:eastAsia="zh-CN"/>
              </w:rPr>
              <w:t>本</w:t>
            </w:r>
            <w:r>
              <w:rPr>
                <w:rFonts w:hint="eastAsia" w:ascii="宋体" w:hAnsi="宋体" w:cs="宋体"/>
                <w:szCs w:val="20"/>
                <w:highlight w:val="none"/>
              </w:rPr>
              <w:t>工程量清单是根据招标文件中包括的、有合同约束力的图纸以及有关工程量清单的国家标准、行业标准、合同条款中约定的工程量计算规则编制。</w:t>
            </w:r>
          </w:p>
          <w:p w14:paraId="13F5601E">
            <w:pPr>
              <w:numPr>
                <w:ilvl w:val="0"/>
                <w:numId w:val="6"/>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约定计量规则中没有的子目，其工程量按照有合同约束力的图纸所标示尺寸的理论净量计算，计量采用中华人民共和国法定计量单位。</w:t>
            </w:r>
          </w:p>
          <w:p w14:paraId="569C6575">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本条与上述第1条和第2条的说明内容是构成合同文件的已标价工程量清单的组成部分。</w:t>
            </w:r>
          </w:p>
          <w:p w14:paraId="766A52EE">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投标人的投标报价应是完成招标范围及工期的全部。工程量清单中的每个子目须填入单价或合价，每一项目应当有且仅有唯一报价，任何有选择的报价将不予接受。投标人对列有数量的项目，如未填报单价或者合价，则其费用视为已经含在其他列有单价或合价的项目之中，在工程实施期间不再另行支付。工程实施过程，综合单价不因施工方案变动而调整。</w:t>
            </w:r>
          </w:p>
          <w:p w14:paraId="4B3EF321">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工程量清单中标价的单价或金额，均应包括为实施和完成合同工程所需的人工费、施工机械使用费、材料费、检测、质检、缺陷修复、保险、其他（运杂费、安装费、采保费，以及合同明示或暗示的风险、责任和义务等）、管理费、利润等，并考虑风险因素。投标人用于本合同工程的各类装备的提供、运输、拆卸、拼装等支付的费用，已包括在工程量清单的单价与合价之中。</w:t>
            </w:r>
          </w:p>
          <w:p w14:paraId="16B0BE0F">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投标人的投标报价，应是完成招标范围及工期的全部，不得以任何理由予以重复。</w:t>
            </w:r>
          </w:p>
          <w:p w14:paraId="1F98F442">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投标人在编制报价前，综合考虑图纸及技术规范中所涉及的材料规格、质量以及施工工序等方面的所有要求和标准，并将所有的费用包括在有关的项目中。</w:t>
            </w:r>
          </w:p>
          <w:p w14:paraId="3F6D5334">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除另有说明外，工程量不包括任何重叠量。任何须有不同程度重叠搭接要求的材料，报价中须包含此等重叠、搭接的费用。</w:t>
            </w:r>
          </w:p>
          <w:p w14:paraId="5E28BB21">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 xml:space="preserve"> 投标报价中包含本工程前期工程中的协调管理及配合等相关工作内容所发生的费用。</w:t>
            </w:r>
          </w:p>
          <w:p w14:paraId="42F0460D">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投标人应充分考虑招标人因管线搬迁、接电等工作未能及时完成而造成工程现场使用延时，投标人应积极配合解决工程实施的矛盾，对工程进度及时进行合理调整，由此产生的费用在本工程投标报价中综合考虑。</w:t>
            </w:r>
          </w:p>
          <w:p w14:paraId="119ABC30">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投标人应先到工地踏勘以充分了解工地位置、情况、道路、储存空间、装卸限制及任何其它足以影响报价的情况，任何因忽视或误解工地情况而导致的索赔或工期延长申请将不获批准。</w:t>
            </w:r>
          </w:p>
          <w:p w14:paraId="2C670B1A">
            <w:pPr>
              <w:numPr>
                <w:ilvl w:val="0"/>
                <w:numId w:val="6"/>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对于本工程的所有节点做法，本清单只描述了主要要素，投标单位需根据设计图纸、施工规范及施工现场需要自行深化，该部分费用包含在投标报价中。</w:t>
            </w:r>
          </w:p>
          <w:p w14:paraId="636169C3">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投标人的工程量清单报价应根据招标人编制的工程量清单的项目特征进行报价，投标人的工程量清单报价内容包括但不限于《建设工程工程量清单计价规范》(GB50500 -2013)、《房屋建筑与装饰工程工程量计算规范》(GB50854-2013)、《通用安装工程工程量计算规范》(GB50856-2013)、《市政工程工程量计算规范》(GB50857-2013)等计价规范所描述的工作内容。</w:t>
            </w:r>
          </w:p>
          <w:p w14:paraId="2D385B6C">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因施工机械进场施工而进行的必要的场地处理费用投标</w:t>
            </w:r>
            <w:r>
              <w:rPr>
                <w:rFonts w:hint="eastAsia" w:ascii="宋体" w:hAnsi="宋体" w:cs="宋体"/>
                <w:szCs w:val="20"/>
                <w:highlight w:val="none"/>
                <w:lang w:val="en-US" w:eastAsia="zh-CN"/>
              </w:rPr>
              <w:t>人</w:t>
            </w:r>
            <w:r>
              <w:rPr>
                <w:rFonts w:hint="eastAsia" w:ascii="宋体" w:hAnsi="宋体" w:cs="宋体"/>
                <w:szCs w:val="20"/>
                <w:highlight w:val="none"/>
              </w:rPr>
              <w:t>自行考虑并包含在投标报价中。</w:t>
            </w:r>
          </w:p>
          <w:p w14:paraId="0200174C">
            <w:pPr>
              <w:numPr>
                <w:ilvl w:val="0"/>
                <w:numId w:val="6"/>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 xml:space="preserve">除非项目计价条款特别规定，工程实体项目计量规则的“尺寸”均指构成永久结构工程以净尺寸为准。 </w:t>
            </w:r>
          </w:p>
          <w:p w14:paraId="26F1C5B1">
            <w:pPr>
              <w:numPr>
                <w:ilvl w:val="0"/>
                <w:numId w:val="6"/>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综合单价应包含施工过程的自检、互检、交接检，以及请建设工程有关部门莅临指导的各项费用。</w:t>
            </w:r>
          </w:p>
          <w:p w14:paraId="2FAE3266">
            <w:pPr>
              <w:numPr>
                <w:ilvl w:val="0"/>
                <w:numId w:val="6"/>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当工程量清单与工程量计算规则相冲突时，以工程量清单为准。</w:t>
            </w:r>
          </w:p>
          <w:p w14:paraId="60DD604F">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firstLine="420" w:firstLineChars="200"/>
              <w:textAlignment w:val="auto"/>
              <w:rPr>
                <w:rFonts w:hint="eastAsia" w:ascii="宋体" w:hAnsi="宋体" w:cs="宋体"/>
                <w:szCs w:val="20"/>
                <w:highlight w:val="none"/>
              </w:rPr>
            </w:pPr>
            <w:r>
              <w:rPr>
                <w:rFonts w:hint="eastAsia" w:ascii="宋体" w:hAnsi="宋体" w:cs="宋体"/>
                <w:szCs w:val="20"/>
                <w:highlight w:val="none"/>
              </w:rPr>
              <w:t>本工程量清单措施项目是按通常项目列出，投标人根据招标文件、工程量清单、施工图纸、现场情况及自行编制的施工方案或施工组织设计，如需要其他措施费用的请在投标报价中考虑，结算不再增加其他措施费用。</w:t>
            </w:r>
          </w:p>
          <w:p w14:paraId="0E67F063">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firstLine="422" w:firstLineChars="200"/>
              <w:textAlignment w:val="auto"/>
              <w:rPr>
                <w:rFonts w:hint="eastAsia" w:ascii="宋体" w:hAnsi="宋体" w:cs="宋体"/>
                <w:szCs w:val="20"/>
                <w:highlight w:val="none"/>
              </w:rPr>
            </w:pPr>
            <w:r>
              <w:rPr>
                <w:rFonts w:hint="eastAsia"/>
                <w:b/>
                <w:bCs/>
                <w:szCs w:val="20"/>
                <w:lang w:val="en-US" w:eastAsia="zh-CN"/>
              </w:rPr>
              <w:t>需要特殊说明的其他问题</w:t>
            </w:r>
          </w:p>
          <w:p w14:paraId="76897610">
            <w:pPr>
              <w:keepNext w:val="0"/>
              <w:keepLines w:val="0"/>
              <w:pageBreakBefore w:val="0"/>
              <w:widowControl/>
              <w:numPr>
                <w:ilvl w:val="0"/>
                <w:numId w:val="7"/>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szCs w:val="20"/>
                <w:highlight w:val="none"/>
                <w:lang w:val="en-US" w:eastAsia="zh-CN"/>
              </w:rPr>
            </w:pPr>
            <w:r>
              <w:rPr>
                <w:rFonts w:hint="eastAsia"/>
                <w:b/>
                <w:bCs/>
                <w:szCs w:val="20"/>
                <w:lang w:val="en-US" w:eastAsia="zh-CN"/>
              </w:rPr>
              <w:t>装修工程</w:t>
            </w:r>
          </w:p>
          <w:p w14:paraId="68C3134F">
            <w:pPr>
              <w:numPr>
                <w:ilvl w:val="0"/>
                <w:numId w:val="8"/>
              </w:numPr>
              <w:spacing w:line="360" w:lineRule="auto"/>
              <w:ind w:left="0" w:leftChars="0" w:firstLine="420" w:firstLineChars="200"/>
              <w:rPr>
                <w:rFonts w:hint="eastAsia" w:ascii="宋体" w:hAnsi="宋体" w:cs="宋体"/>
                <w:szCs w:val="20"/>
                <w:highlight w:val="none"/>
                <w:lang w:val="en-US" w:eastAsia="zh-CN"/>
              </w:rPr>
            </w:pPr>
            <w:r>
              <w:rPr>
                <w:rFonts w:hint="eastAsia" w:ascii="宋体" w:hAnsi="宋体" w:cs="宋体"/>
                <w:szCs w:val="20"/>
                <w:highlight w:val="none"/>
                <w:lang w:val="en-US" w:eastAsia="zh-CN"/>
              </w:rPr>
              <w:t>根据设计单位回复意见，</w:t>
            </w:r>
            <w:r>
              <w:rPr>
                <w:rFonts w:hint="eastAsia"/>
                <w:lang w:val="en-US" w:eastAsia="zh-CN"/>
              </w:rPr>
              <w:t>二层原有瓷砖墙面无需拆除</w:t>
            </w:r>
            <w:r>
              <w:rPr>
                <w:rFonts w:hint="eastAsia" w:ascii="宋体" w:hAnsi="宋体" w:cs="宋体"/>
                <w:szCs w:val="20"/>
                <w:highlight w:val="none"/>
                <w:lang w:val="en-US" w:eastAsia="zh-CN"/>
              </w:rPr>
              <w:t>。</w:t>
            </w:r>
          </w:p>
          <w:p w14:paraId="74578A64">
            <w:pPr>
              <w:numPr>
                <w:ilvl w:val="0"/>
                <w:numId w:val="8"/>
              </w:numPr>
              <w:spacing w:line="360" w:lineRule="auto"/>
              <w:ind w:left="0" w:leftChars="0" w:firstLine="420" w:firstLineChars="200"/>
              <w:rPr>
                <w:rFonts w:hint="eastAsia" w:ascii="宋体" w:hAnsi="宋体" w:cs="宋体"/>
                <w:szCs w:val="20"/>
                <w:highlight w:val="none"/>
                <w:lang w:val="en-US" w:eastAsia="zh-CN"/>
              </w:rPr>
            </w:pPr>
            <w:r>
              <w:rPr>
                <w:rFonts w:hint="eastAsia" w:ascii="宋体" w:hAnsi="宋体" w:cs="宋体"/>
                <w:szCs w:val="20"/>
                <w:highlight w:val="none"/>
                <w:lang w:val="en-US" w:eastAsia="zh-CN"/>
              </w:rPr>
              <w:t>根据设计单位回复意见，</w:t>
            </w:r>
            <w:r>
              <w:rPr>
                <w:rFonts w:hint="eastAsia"/>
                <w:lang w:val="en-US" w:eastAsia="zh-CN"/>
              </w:rPr>
              <w:t>消火栓暗门为成品铝合金框石膏板暗门，尺寸800*650，数量4樘</w:t>
            </w:r>
            <w:r>
              <w:rPr>
                <w:rFonts w:hint="eastAsia" w:ascii="宋体" w:hAnsi="宋体" w:cs="宋体"/>
                <w:szCs w:val="20"/>
                <w:highlight w:val="none"/>
                <w:lang w:val="en-US" w:eastAsia="zh-CN"/>
              </w:rPr>
              <w:t>。</w:t>
            </w:r>
          </w:p>
          <w:p w14:paraId="0E66BF66">
            <w:pPr>
              <w:numPr>
                <w:ilvl w:val="0"/>
                <w:numId w:val="8"/>
              </w:numPr>
              <w:spacing w:line="360" w:lineRule="auto"/>
              <w:ind w:left="0" w:leftChars="0" w:firstLine="420" w:firstLineChars="200"/>
              <w:rPr>
                <w:rFonts w:hint="eastAsia" w:ascii="宋体" w:hAnsi="宋体" w:cs="宋体"/>
                <w:szCs w:val="20"/>
                <w:highlight w:val="none"/>
              </w:rPr>
            </w:pPr>
            <w:r>
              <w:rPr>
                <w:rFonts w:hint="eastAsia"/>
                <w:lang w:val="en-US" w:eastAsia="zh-CN"/>
              </w:rPr>
              <w:t>暂列金额按150000元（不含税）计入，此费用不参与竞争，不参与下浮。</w:t>
            </w:r>
          </w:p>
          <w:p w14:paraId="2CC8AD52">
            <w:pPr>
              <w:numPr>
                <w:ilvl w:val="0"/>
                <w:numId w:val="8"/>
              </w:numPr>
              <w:spacing w:line="360" w:lineRule="auto"/>
              <w:ind w:left="0" w:leftChars="0" w:firstLine="420" w:firstLineChars="200"/>
              <w:rPr>
                <w:rFonts w:hint="eastAsia"/>
              </w:rPr>
            </w:pPr>
            <w:r>
              <w:rPr>
                <w:rFonts w:hint="eastAsia"/>
                <w:lang w:val="en-US" w:eastAsia="zh-CN"/>
              </w:rPr>
              <w:t>开荒保洁费用、其他措施费、空气质量检测</w:t>
            </w:r>
            <w:r>
              <w:rPr>
                <w:rFonts w:hint="eastAsia"/>
              </w:rPr>
              <w:t>费</w:t>
            </w:r>
            <w:r>
              <w:rPr>
                <w:rFonts w:hint="eastAsia"/>
                <w:lang w:eastAsia="zh-CN"/>
              </w:rPr>
              <w:t>，</w:t>
            </w:r>
            <w:r>
              <w:rPr>
                <w:rFonts w:hint="eastAsia"/>
                <w:lang w:val="en-US" w:eastAsia="zh-CN"/>
              </w:rPr>
              <w:t>以上措施费由施工单位自行综合报价，</w:t>
            </w:r>
            <w:r>
              <w:rPr>
                <w:rFonts w:hint="eastAsia" w:ascii="宋体" w:hAnsi="宋体" w:cs="宋体"/>
                <w:szCs w:val="20"/>
                <w:highlight w:val="none"/>
                <w:lang w:val="en-US" w:eastAsia="zh-CN"/>
              </w:rPr>
              <w:t>费用按项包干结算时不作调整。</w:t>
            </w:r>
          </w:p>
          <w:p w14:paraId="4B87FC00">
            <w:pPr>
              <w:keepNext w:val="0"/>
              <w:keepLines w:val="0"/>
              <w:pageBreakBefore w:val="0"/>
              <w:widowControl/>
              <w:numPr>
                <w:ilvl w:val="0"/>
                <w:numId w:val="7"/>
              </w:numPr>
              <w:kinsoku/>
              <w:wordWrap/>
              <w:overflowPunct/>
              <w:topLinePunct w:val="0"/>
              <w:autoSpaceDE/>
              <w:autoSpaceDN/>
              <w:bidi w:val="0"/>
              <w:adjustRightInd/>
              <w:snapToGrid/>
              <w:spacing w:line="360" w:lineRule="auto"/>
              <w:ind w:left="0" w:leftChars="0" w:firstLine="422" w:firstLineChars="200"/>
              <w:textAlignment w:val="auto"/>
              <w:rPr>
                <w:rFonts w:hint="eastAsia"/>
              </w:rPr>
            </w:pPr>
            <w:r>
              <w:rPr>
                <w:rFonts w:hint="eastAsia"/>
                <w:b/>
                <w:bCs/>
                <w:szCs w:val="20"/>
                <w:lang w:val="en-US" w:eastAsia="zh-CN"/>
              </w:rPr>
              <w:t>安装工程</w:t>
            </w:r>
          </w:p>
          <w:p w14:paraId="64864AAE">
            <w:pPr>
              <w:pStyle w:val="2"/>
              <w:keepNext w:val="0"/>
              <w:keepLines w:val="0"/>
              <w:pageBreakBefore w:val="0"/>
              <w:widowControl w:val="0"/>
              <w:numPr>
                <w:ilvl w:val="0"/>
                <w:numId w:val="9"/>
              </w:numPr>
              <w:kinsoku/>
              <w:wordWrap/>
              <w:overflowPunct/>
              <w:topLinePunct w:val="0"/>
              <w:autoSpaceDE/>
              <w:autoSpaceDN/>
              <w:bidi w:val="0"/>
              <w:adjustRightInd/>
              <w:snapToGrid/>
              <w:spacing w:line="360" w:lineRule="auto"/>
              <w:ind w:left="0" w:leftChars="0" w:firstLine="420" w:firstLineChars="200"/>
              <w:textAlignment w:val="auto"/>
              <w:rPr>
                <w:rFonts w:hint="default" w:eastAsia="宋体"/>
                <w:lang w:val="en-US" w:eastAsia="zh-CN"/>
              </w:rPr>
            </w:pPr>
            <w:r>
              <w:rPr>
                <w:rFonts w:hint="eastAsia"/>
                <w:lang w:val="en-US" w:eastAsia="zh-CN"/>
              </w:rPr>
              <w:t>新增空调及相应回路管线，根据建设单位意见后期再另行招标，不计入本次清单。</w:t>
            </w:r>
            <w:bookmarkStart w:id="0" w:name="_GoBack"/>
            <w:bookmarkEnd w:id="0"/>
          </w:p>
        </w:tc>
      </w:tr>
    </w:tbl>
    <w:p w14:paraId="2AA22585"/>
    <w:sectPr>
      <w:footerReference r:id="rId4" w:type="default"/>
      <w:pgSz w:w="11906" w:h="16838"/>
      <w:pgMar w:top="1440" w:right="1406" w:bottom="1440" w:left="1406"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大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行楷">
    <w:panose1 w:val="02010800040101010101"/>
    <w:charset w:val="86"/>
    <w:family w:val="auto"/>
    <w:pitch w:val="default"/>
    <w:sig w:usb0="00000001" w:usb1="080F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粗黑宋简体">
    <w:panose1 w:val="02000000000000000000"/>
    <w:charset w:val="86"/>
    <w:family w:val="auto"/>
    <w:pitch w:val="default"/>
    <w:sig w:usb0="A00002BF" w:usb1="184F6CFA" w:usb2="00000012" w:usb3="00000000" w:csb0="00040001" w:csb1="00000000"/>
  </w:font>
  <w:font w:name="ˎ̥">
    <w:altName w:val="Times New Roman"/>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F2472">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D9504E">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5F8E6B">
                          <w:pPr>
                            <w:pStyle w:val="6"/>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55F8E6B">
                    <w:pPr>
                      <w:pStyle w:val="6"/>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BACC76"/>
    <w:multiLevelType w:val="multilevel"/>
    <w:tmpl w:val="8BBACC76"/>
    <w:lvl w:ilvl="0" w:tentative="0">
      <w:start w:val="1"/>
      <w:numFmt w:val="decimal"/>
      <w:suff w:val="nothing"/>
      <w:lvlText w:val="%1．"/>
      <w:lvlJc w:val="left"/>
      <w:pPr>
        <w:ind w:left="0" w:firstLine="400"/>
      </w:pPr>
      <w:rPr>
        <w:rFonts w:hint="default"/>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
    <w:nsid w:val="99ED434D"/>
    <w:multiLevelType w:val="singleLevel"/>
    <w:tmpl w:val="99ED434D"/>
    <w:lvl w:ilvl="0" w:tentative="0">
      <w:start w:val="1"/>
      <w:numFmt w:val="decimalEnclosedCircleChinese"/>
      <w:suff w:val="nothing"/>
      <w:lvlText w:val="%1　"/>
      <w:lvlJc w:val="left"/>
      <w:pPr>
        <w:ind w:left="0" w:firstLine="400"/>
      </w:pPr>
      <w:rPr>
        <w:rFonts w:hint="eastAsia"/>
      </w:rPr>
    </w:lvl>
  </w:abstractNum>
  <w:abstractNum w:abstractNumId="2">
    <w:nsid w:val="A1D051AF"/>
    <w:multiLevelType w:val="singleLevel"/>
    <w:tmpl w:val="A1D051AF"/>
    <w:lvl w:ilvl="0" w:tentative="0">
      <w:start w:val="1"/>
      <w:numFmt w:val="decimalEnclosedCircleChinese"/>
      <w:suff w:val="nothing"/>
      <w:lvlText w:val="%1　"/>
      <w:lvlJc w:val="left"/>
      <w:pPr>
        <w:ind w:left="0" w:firstLine="400"/>
      </w:pPr>
      <w:rPr>
        <w:rFonts w:hint="eastAsia"/>
      </w:rPr>
    </w:lvl>
  </w:abstractNum>
  <w:abstractNum w:abstractNumId="3">
    <w:nsid w:val="EC1BFC82"/>
    <w:multiLevelType w:val="singleLevel"/>
    <w:tmpl w:val="EC1BFC82"/>
    <w:lvl w:ilvl="0" w:tentative="0">
      <w:start w:val="1"/>
      <w:numFmt w:val="decimal"/>
      <w:lvlText w:val="(%1)"/>
      <w:lvlJc w:val="left"/>
      <w:pPr>
        <w:ind w:left="425" w:hanging="425"/>
      </w:pPr>
      <w:rPr>
        <w:rFonts w:hint="default"/>
      </w:rPr>
    </w:lvl>
  </w:abstractNum>
  <w:abstractNum w:abstractNumId="4">
    <w:nsid w:val="FD5D8BC6"/>
    <w:multiLevelType w:val="singleLevel"/>
    <w:tmpl w:val="FD5D8BC6"/>
    <w:lvl w:ilvl="0" w:tentative="0">
      <w:start w:val="1"/>
      <w:numFmt w:val="decimal"/>
      <w:lvlText w:val="%1."/>
      <w:lvlJc w:val="left"/>
      <w:pPr>
        <w:ind w:left="425" w:hanging="425"/>
      </w:pPr>
      <w:rPr>
        <w:rFonts w:hint="default"/>
      </w:rPr>
    </w:lvl>
  </w:abstractNum>
  <w:abstractNum w:abstractNumId="5">
    <w:nsid w:val="125D502D"/>
    <w:multiLevelType w:val="multilevel"/>
    <w:tmpl w:val="125D502D"/>
    <w:lvl w:ilvl="0" w:tentative="0">
      <w:start w:val="1"/>
      <w:numFmt w:val="decimal"/>
      <w:suff w:val="nothing"/>
      <w:lvlText w:val="%1．"/>
      <w:lvlJc w:val="left"/>
      <w:pPr>
        <w:ind w:left="0" w:firstLine="400"/>
      </w:pPr>
      <w:rPr>
        <w:rFonts w:hint="default"/>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6">
    <w:nsid w:val="262F30D6"/>
    <w:multiLevelType w:val="multilevel"/>
    <w:tmpl w:val="262F30D6"/>
    <w:lvl w:ilvl="0" w:tentative="0">
      <w:start w:val="1"/>
      <w:numFmt w:val="chineseCounting"/>
      <w:suff w:val="nothing"/>
      <w:lvlText w:val="%1、"/>
      <w:lvlJc w:val="left"/>
      <w:pPr>
        <w:ind w:left="0" w:firstLine="420"/>
      </w:pPr>
      <w:rPr>
        <w:rFonts w:hint="eastAsia" w:ascii="宋体" w:hAnsi="宋体" w:eastAsia="宋体" w:cs="宋体"/>
        <w:b/>
        <w:bCs/>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7">
    <w:nsid w:val="5B246556"/>
    <w:multiLevelType w:val="singleLevel"/>
    <w:tmpl w:val="5B246556"/>
    <w:lvl w:ilvl="0" w:tentative="0">
      <w:start w:val="1"/>
      <w:numFmt w:val="decimal"/>
      <w:suff w:val="nothing"/>
      <w:lvlText w:val="%1．"/>
      <w:lvlJc w:val="left"/>
      <w:pPr>
        <w:ind w:left="0" w:firstLine="400"/>
      </w:pPr>
      <w:rPr>
        <w:rFonts w:hint="default"/>
      </w:rPr>
    </w:lvl>
  </w:abstractNum>
  <w:abstractNum w:abstractNumId="8">
    <w:nsid w:val="70B8177D"/>
    <w:multiLevelType w:val="singleLevel"/>
    <w:tmpl w:val="70B8177D"/>
    <w:lvl w:ilvl="0" w:tentative="0">
      <w:start w:val="1"/>
      <w:numFmt w:val="decimalEnclosedCircleChinese"/>
      <w:suff w:val="nothing"/>
      <w:lvlText w:val="%1　"/>
      <w:lvlJc w:val="left"/>
      <w:pPr>
        <w:ind w:left="0" w:firstLine="400"/>
      </w:pPr>
      <w:rPr>
        <w:rFonts w:hint="eastAsia"/>
      </w:rPr>
    </w:lvl>
  </w:abstractNum>
  <w:num w:numId="1">
    <w:abstractNumId w:val="6"/>
  </w:num>
  <w:num w:numId="2">
    <w:abstractNumId w:val="0"/>
  </w:num>
  <w:num w:numId="3">
    <w:abstractNumId w:val="8"/>
  </w:num>
  <w:num w:numId="4">
    <w:abstractNumId w:val="4"/>
  </w:num>
  <w:num w:numId="5">
    <w:abstractNumId w:val="5"/>
  </w:num>
  <w:num w:numId="6">
    <w:abstractNumId w:val="7"/>
  </w:num>
  <w:num w:numId="7">
    <w:abstractNumId w:val="3"/>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dhMjY4MzcyZTZjMzYwNjhhNWJiYWZiODhhNGE0ZjYifQ=="/>
  </w:docVars>
  <w:rsids>
    <w:rsidRoot w:val="003858D6"/>
    <w:rsid w:val="000B46FA"/>
    <w:rsid w:val="00156FD8"/>
    <w:rsid w:val="001F7153"/>
    <w:rsid w:val="00223131"/>
    <w:rsid w:val="002617BD"/>
    <w:rsid w:val="00375436"/>
    <w:rsid w:val="003858D6"/>
    <w:rsid w:val="00410D6E"/>
    <w:rsid w:val="004742B5"/>
    <w:rsid w:val="004C559D"/>
    <w:rsid w:val="005438E2"/>
    <w:rsid w:val="006732FF"/>
    <w:rsid w:val="0072581B"/>
    <w:rsid w:val="00732B2D"/>
    <w:rsid w:val="007B6AD5"/>
    <w:rsid w:val="007F623F"/>
    <w:rsid w:val="00856C87"/>
    <w:rsid w:val="00874A3F"/>
    <w:rsid w:val="008D4403"/>
    <w:rsid w:val="00AA5E9C"/>
    <w:rsid w:val="00AE1452"/>
    <w:rsid w:val="00D85D8D"/>
    <w:rsid w:val="00DD1772"/>
    <w:rsid w:val="00E25685"/>
    <w:rsid w:val="00E32A62"/>
    <w:rsid w:val="00F306E6"/>
    <w:rsid w:val="00F46E48"/>
    <w:rsid w:val="00F95A42"/>
    <w:rsid w:val="0159709B"/>
    <w:rsid w:val="03CE3EF1"/>
    <w:rsid w:val="03F95652"/>
    <w:rsid w:val="042E0790"/>
    <w:rsid w:val="049342C1"/>
    <w:rsid w:val="05585DEA"/>
    <w:rsid w:val="057E408C"/>
    <w:rsid w:val="0633208D"/>
    <w:rsid w:val="066C7362"/>
    <w:rsid w:val="06D53CC1"/>
    <w:rsid w:val="07857010"/>
    <w:rsid w:val="07ED2710"/>
    <w:rsid w:val="089808CE"/>
    <w:rsid w:val="08C42FDB"/>
    <w:rsid w:val="08F024B8"/>
    <w:rsid w:val="09733206"/>
    <w:rsid w:val="09AA0475"/>
    <w:rsid w:val="09EF276F"/>
    <w:rsid w:val="0A5C7F02"/>
    <w:rsid w:val="0ACB6BE6"/>
    <w:rsid w:val="0D1C2E03"/>
    <w:rsid w:val="0D374B59"/>
    <w:rsid w:val="0EE83C31"/>
    <w:rsid w:val="0F380589"/>
    <w:rsid w:val="0F9D4A1B"/>
    <w:rsid w:val="10457A2A"/>
    <w:rsid w:val="10D206F5"/>
    <w:rsid w:val="12503FC7"/>
    <w:rsid w:val="126B7053"/>
    <w:rsid w:val="12E36BE9"/>
    <w:rsid w:val="1377469A"/>
    <w:rsid w:val="137F2DB6"/>
    <w:rsid w:val="13E42AE9"/>
    <w:rsid w:val="13E663E4"/>
    <w:rsid w:val="143212EC"/>
    <w:rsid w:val="145E0C1D"/>
    <w:rsid w:val="157306F8"/>
    <w:rsid w:val="16314110"/>
    <w:rsid w:val="16BF796D"/>
    <w:rsid w:val="173F30D0"/>
    <w:rsid w:val="17C52D61"/>
    <w:rsid w:val="185B00EF"/>
    <w:rsid w:val="18ED7E2F"/>
    <w:rsid w:val="1A077661"/>
    <w:rsid w:val="1A290BFD"/>
    <w:rsid w:val="1AAB26E2"/>
    <w:rsid w:val="1B171B26"/>
    <w:rsid w:val="1B57544B"/>
    <w:rsid w:val="1BEE7DC5"/>
    <w:rsid w:val="1C16658D"/>
    <w:rsid w:val="1C2A3745"/>
    <w:rsid w:val="1C6A04D0"/>
    <w:rsid w:val="1C986258"/>
    <w:rsid w:val="1DED6B6E"/>
    <w:rsid w:val="1E890F8D"/>
    <w:rsid w:val="1E9D74CE"/>
    <w:rsid w:val="1ECC1FE0"/>
    <w:rsid w:val="1EFC274B"/>
    <w:rsid w:val="1F1C1CCB"/>
    <w:rsid w:val="1F3C4F99"/>
    <w:rsid w:val="1F7917E5"/>
    <w:rsid w:val="1F7F5EEC"/>
    <w:rsid w:val="1FF42436"/>
    <w:rsid w:val="202F767B"/>
    <w:rsid w:val="208C2A54"/>
    <w:rsid w:val="215C7313"/>
    <w:rsid w:val="21F52495"/>
    <w:rsid w:val="22400872"/>
    <w:rsid w:val="224A6DE1"/>
    <w:rsid w:val="226769F4"/>
    <w:rsid w:val="230A2AC4"/>
    <w:rsid w:val="2519649B"/>
    <w:rsid w:val="25365872"/>
    <w:rsid w:val="261D7FF3"/>
    <w:rsid w:val="26606A77"/>
    <w:rsid w:val="2685203A"/>
    <w:rsid w:val="26B05A2A"/>
    <w:rsid w:val="26C2328E"/>
    <w:rsid w:val="279D7857"/>
    <w:rsid w:val="283518A7"/>
    <w:rsid w:val="287426E6"/>
    <w:rsid w:val="28A6098D"/>
    <w:rsid w:val="29052806"/>
    <w:rsid w:val="290F6532"/>
    <w:rsid w:val="292673D8"/>
    <w:rsid w:val="29DF5F05"/>
    <w:rsid w:val="29F31EA0"/>
    <w:rsid w:val="2ACF41CB"/>
    <w:rsid w:val="2B3B028B"/>
    <w:rsid w:val="2B4759C9"/>
    <w:rsid w:val="2B5621F6"/>
    <w:rsid w:val="2BE912BD"/>
    <w:rsid w:val="2D666463"/>
    <w:rsid w:val="2DAF2092"/>
    <w:rsid w:val="2E16672E"/>
    <w:rsid w:val="2E3514B0"/>
    <w:rsid w:val="2F7025CE"/>
    <w:rsid w:val="2FF97655"/>
    <w:rsid w:val="3025488D"/>
    <w:rsid w:val="302D5F1E"/>
    <w:rsid w:val="31CA7F73"/>
    <w:rsid w:val="31D55C17"/>
    <w:rsid w:val="32C25DD7"/>
    <w:rsid w:val="32FA5B5D"/>
    <w:rsid w:val="335979E8"/>
    <w:rsid w:val="34C957E7"/>
    <w:rsid w:val="350C55EE"/>
    <w:rsid w:val="354457B6"/>
    <w:rsid w:val="357F059C"/>
    <w:rsid w:val="35953C75"/>
    <w:rsid w:val="35A45811"/>
    <w:rsid w:val="363C5356"/>
    <w:rsid w:val="367B0144"/>
    <w:rsid w:val="36A82FF9"/>
    <w:rsid w:val="37346BE2"/>
    <w:rsid w:val="37546F04"/>
    <w:rsid w:val="37652B55"/>
    <w:rsid w:val="37F94635"/>
    <w:rsid w:val="38433657"/>
    <w:rsid w:val="38E86458"/>
    <w:rsid w:val="3918374D"/>
    <w:rsid w:val="39D52E80"/>
    <w:rsid w:val="3BD3519D"/>
    <w:rsid w:val="3C855059"/>
    <w:rsid w:val="3D0E16F8"/>
    <w:rsid w:val="3D1837B0"/>
    <w:rsid w:val="3D625478"/>
    <w:rsid w:val="3E416D36"/>
    <w:rsid w:val="3EC705B5"/>
    <w:rsid w:val="3FBD419A"/>
    <w:rsid w:val="3FD2586C"/>
    <w:rsid w:val="413B5CBF"/>
    <w:rsid w:val="419D0727"/>
    <w:rsid w:val="41F62E0C"/>
    <w:rsid w:val="42480AD2"/>
    <w:rsid w:val="436314FD"/>
    <w:rsid w:val="438020AF"/>
    <w:rsid w:val="442C01BF"/>
    <w:rsid w:val="44872FC9"/>
    <w:rsid w:val="468054CC"/>
    <w:rsid w:val="468C0D6B"/>
    <w:rsid w:val="472F14D5"/>
    <w:rsid w:val="478D08F6"/>
    <w:rsid w:val="48054938"/>
    <w:rsid w:val="483E60F6"/>
    <w:rsid w:val="48CB2EBC"/>
    <w:rsid w:val="49720735"/>
    <w:rsid w:val="4A7B086E"/>
    <w:rsid w:val="4B0A13C0"/>
    <w:rsid w:val="4C7B4735"/>
    <w:rsid w:val="4D1675E0"/>
    <w:rsid w:val="4D61085B"/>
    <w:rsid w:val="4DD03C33"/>
    <w:rsid w:val="4DF35F6D"/>
    <w:rsid w:val="4E0631B0"/>
    <w:rsid w:val="51600E2A"/>
    <w:rsid w:val="516215DB"/>
    <w:rsid w:val="526733E9"/>
    <w:rsid w:val="52990A97"/>
    <w:rsid w:val="52F81465"/>
    <w:rsid w:val="52FB6CC7"/>
    <w:rsid w:val="53373430"/>
    <w:rsid w:val="539C3D0D"/>
    <w:rsid w:val="53F768A4"/>
    <w:rsid w:val="54BE4BBF"/>
    <w:rsid w:val="54C16083"/>
    <w:rsid w:val="54CC5781"/>
    <w:rsid w:val="54E56216"/>
    <w:rsid w:val="55555BA8"/>
    <w:rsid w:val="55707E2C"/>
    <w:rsid w:val="560E354A"/>
    <w:rsid w:val="57CE5446"/>
    <w:rsid w:val="584E7C2E"/>
    <w:rsid w:val="58AC2BA6"/>
    <w:rsid w:val="595C6022"/>
    <w:rsid w:val="59C34D12"/>
    <w:rsid w:val="59C74222"/>
    <w:rsid w:val="5A76346C"/>
    <w:rsid w:val="5BD842A9"/>
    <w:rsid w:val="5BF412EC"/>
    <w:rsid w:val="5C176227"/>
    <w:rsid w:val="5CDA3F26"/>
    <w:rsid w:val="5D3C393C"/>
    <w:rsid w:val="5D8F0699"/>
    <w:rsid w:val="5E1B2CA8"/>
    <w:rsid w:val="5E7423B8"/>
    <w:rsid w:val="5E9A264D"/>
    <w:rsid w:val="5EEA373D"/>
    <w:rsid w:val="5F3005FC"/>
    <w:rsid w:val="5F447FDD"/>
    <w:rsid w:val="603158D4"/>
    <w:rsid w:val="60336BFF"/>
    <w:rsid w:val="60997EB4"/>
    <w:rsid w:val="60B82A30"/>
    <w:rsid w:val="60BA67A8"/>
    <w:rsid w:val="60E6759D"/>
    <w:rsid w:val="61426E42"/>
    <w:rsid w:val="62426A55"/>
    <w:rsid w:val="636D6842"/>
    <w:rsid w:val="63BB69D5"/>
    <w:rsid w:val="63E60605"/>
    <w:rsid w:val="644041B0"/>
    <w:rsid w:val="64F97173"/>
    <w:rsid w:val="65120A02"/>
    <w:rsid w:val="654505FB"/>
    <w:rsid w:val="657A3992"/>
    <w:rsid w:val="65E73470"/>
    <w:rsid w:val="661E50E3"/>
    <w:rsid w:val="68FD6A66"/>
    <w:rsid w:val="69131CBD"/>
    <w:rsid w:val="695A7739"/>
    <w:rsid w:val="69812498"/>
    <w:rsid w:val="69CD6B71"/>
    <w:rsid w:val="6AB31EA3"/>
    <w:rsid w:val="6AE83F12"/>
    <w:rsid w:val="6BDD77EF"/>
    <w:rsid w:val="6C011415"/>
    <w:rsid w:val="6CFA6318"/>
    <w:rsid w:val="6DB9234D"/>
    <w:rsid w:val="6DD2496C"/>
    <w:rsid w:val="6EBD6178"/>
    <w:rsid w:val="70347F2B"/>
    <w:rsid w:val="70F21646"/>
    <w:rsid w:val="710E27D0"/>
    <w:rsid w:val="71771B4C"/>
    <w:rsid w:val="71D40D4C"/>
    <w:rsid w:val="72987FCC"/>
    <w:rsid w:val="730C2768"/>
    <w:rsid w:val="73A15C81"/>
    <w:rsid w:val="742A7349"/>
    <w:rsid w:val="756D573F"/>
    <w:rsid w:val="75B110E2"/>
    <w:rsid w:val="76764AC8"/>
    <w:rsid w:val="76E12BE7"/>
    <w:rsid w:val="78433F84"/>
    <w:rsid w:val="78B0705F"/>
    <w:rsid w:val="78D02D84"/>
    <w:rsid w:val="79907FC1"/>
    <w:rsid w:val="79FE3071"/>
    <w:rsid w:val="7A123D90"/>
    <w:rsid w:val="7A9C2623"/>
    <w:rsid w:val="7BD05DB6"/>
    <w:rsid w:val="7C1135C8"/>
    <w:rsid w:val="7CEA58C8"/>
    <w:rsid w:val="7EB4618D"/>
    <w:rsid w:val="7EB55AE6"/>
    <w:rsid w:val="7EEB5927"/>
    <w:rsid w:val="7EF24F07"/>
    <w:rsid w:val="7F79337B"/>
    <w:rsid w:val="7F8A0095"/>
    <w:rsid w:val="7F8C234E"/>
    <w:rsid w:val="7FAF5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toa heading"/>
    <w:basedOn w:val="1"/>
    <w:next w:val="1"/>
    <w:autoRedefine/>
    <w:qFormat/>
    <w:uiPriority w:val="99"/>
    <w:rPr>
      <w:rFonts w:ascii="Arial" w:hAnsi="Arial"/>
      <w:szCs w:val="22"/>
    </w:rPr>
  </w:style>
  <w:style w:type="paragraph" w:styleId="3">
    <w:name w:val="annotation text"/>
    <w:basedOn w:val="1"/>
    <w:autoRedefine/>
    <w:semiHidden/>
    <w:unhideWhenUsed/>
    <w:qFormat/>
    <w:uiPriority w:val="99"/>
    <w:pPr>
      <w:jc w:val="left"/>
    </w:pPr>
  </w:style>
  <w:style w:type="paragraph" w:styleId="4">
    <w:name w:val="Plain Text"/>
    <w:basedOn w:val="1"/>
    <w:link w:val="15"/>
    <w:autoRedefine/>
    <w:qFormat/>
    <w:uiPriority w:val="0"/>
    <w:rPr>
      <w:rFonts w:ascii="宋体" w:hAnsi="Courier New" w:cs="Courier New"/>
      <w:szCs w:val="21"/>
    </w:rPr>
  </w:style>
  <w:style w:type="paragraph" w:styleId="5">
    <w:name w:val="Balloon Text"/>
    <w:basedOn w:val="1"/>
    <w:link w:val="14"/>
    <w:autoRedefine/>
    <w:semiHidden/>
    <w:unhideWhenUsed/>
    <w:qFormat/>
    <w:uiPriority w:val="99"/>
    <w:rPr>
      <w:sz w:val="18"/>
      <w:szCs w:val="18"/>
    </w:rPr>
  </w:style>
  <w:style w:type="paragraph" w:styleId="6">
    <w:name w:val="footer"/>
    <w:basedOn w:val="1"/>
    <w:link w:val="13"/>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2"/>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Times New Roman" w:eastAsia="宋体" w:cs="Times New Roman"/>
      <w:color w:val="000000"/>
      <w:kern w:val="0"/>
      <w:sz w:val="24"/>
      <w:szCs w:val="24"/>
      <w:lang w:val="en-US" w:eastAsia="zh-CN" w:bidi="ar-SA"/>
    </w:rPr>
  </w:style>
  <w:style w:type="character" w:styleId="11">
    <w:name w:val="page number"/>
    <w:autoRedefine/>
    <w:qFormat/>
    <w:uiPriority w:val="0"/>
  </w:style>
  <w:style w:type="character" w:customStyle="1" w:styleId="12">
    <w:name w:val="页眉 Char"/>
    <w:basedOn w:val="10"/>
    <w:link w:val="7"/>
    <w:autoRedefine/>
    <w:qFormat/>
    <w:uiPriority w:val="99"/>
    <w:rPr>
      <w:sz w:val="18"/>
      <w:szCs w:val="18"/>
    </w:rPr>
  </w:style>
  <w:style w:type="character" w:customStyle="1" w:styleId="13">
    <w:name w:val="页脚 Char"/>
    <w:basedOn w:val="10"/>
    <w:link w:val="6"/>
    <w:autoRedefine/>
    <w:qFormat/>
    <w:uiPriority w:val="99"/>
    <w:rPr>
      <w:sz w:val="18"/>
      <w:szCs w:val="18"/>
    </w:rPr>
  </w:style>
  <w:style w:type="character" w:customStyle="1" w:styleId="14">
    <w:name w:val="批注框文本 Char"/>
    <w:basedOn w:val="10"/>
    <w:link w:val="5"/>
    <w:autoRedefine/>
    <w:semiHidden/>
    <w:qFormat/>
    <w:uiPriority w:val="99"/>
    <w:rPr>
      <w:sz w:val="18"/>
      <w:szCs w:val="18"/>
    </w:rPr>
  </w:style>
  <w:style w:type="character" w:customStyle="1" w:styleId="15">
    <w:name w:val="纯文本 Char"/>
    <w:basedOn w:val="10"/>
    <w:link w:val="4"/>
    <w:autoRedefine/>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7</Pages>
  <Words>3503</Words>
  <Characters>3725</Characters>
  <Lines>4</Lines>
  <Paragraphs>1</Paragraphs>
  <TotalTime>1</TotalTime>
  <ScaleCrop>false</ScaleCrop>
  <LinksUpToDate>false</LinksUpToDate>
  <CharactersWithSpaces>3821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2016-06-15T12:44:00Z</dcterms:created>
  <dc:creator>User</dc:creator>
  <cp:lastModifiedBy>C。</cp:lastModifiedBy>
  <cp:lastPrinted>2016-08-04T03:10:00Z</cp:lastPrinted>
  <dcterms:modified xsi:type="dcterms:W3CDTF">2025-06-24T03:29:39Z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20D28EEC680449C2B7F2AEB67B38CB19_13</vt:lpwstr>
  </property>
  <property fmtid="{D5CDD505-2E9C-101B-9397-08002B2CF9AE}" pid="4" name="KSOSaveFontToCloudKey">
    <vt:lpwstr>437552407_btnclosed</vt:lpwstr>
  </property>
  <property fmtid="{D5CDD505-2E9C-101B-9397-08002B2CF9AE}" pid="5" name="KSOTemplateDocerSaveRecord">
    <vt:lpwstr>eyJoZGlkIjoiYzZkNzQ4ZWFiZmQ4NTRhOWRkZTk3YTMwMjlmMmZhYmUiLCJ1c2VySWQiOiI1NjU0ODM1MTEifQ==</vt:lpwstr>
  </property>
</Properties>
</file>