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8955F">
      <w:pPr>
        <w:keepNext w:val="0"/>
        <w:keepLines w:val="0"/>
        <w:pageBreakBefore w:val="0"/>
        <w:widowControl/>
        <w:kinsoku w:val="0"/>
        <w:wordWrap w:val="0"/>
        <w:overflowPunct/>
        <w:topLinePunct w:val="0"/>
        <w:autoSpaceDE w:val="0"/>
        <w:autoSpaceDN w:val="0"/>
        <w:bidi w:val="0"/>
        <w:adjustRightInd w:val="0"/>
        <w:snapToGrid w:val="0"/>
        <w:spacing w:before="51" w:line="224" w:lineRule="auto"/>
        <w:jc w:val="center"/>
        <w:textAlignment w:val="baseline"/>
        <w:rPr>
          <w:rFonts w:hint="eastAsia" w:ascii="宋体" w:hAnsi="宋体" w:eastAsia="宋体" w:cs="宋体"/>
          <w:color w:val="auto"/>
          <w:spacing w:val="0"/>
          <w:w w:val="100"/>
          <w:position w:val="0"/>
          <w:sz w:val="43"/>
          <w:szCs w:val="43"/>
          <w:lang w:eastAsia="zh-CN"/>
        </w:rPr>
      </w:pPr>
      <w:r>
        <w:rPr>
          <w:rFonts w:hint="eastAsia" w:ascii="宋体" w:hAnsi="宋体" w:eastAsia="宋体" w:cs="宋体"/>
          <w:b/>
          <w:bCs/>
          <w:color w:val="auto"/>
          <w:spacing w:val="0"/>
          <w:w w:val="100"/>
          <w:position w:val="0"/>
          <w:sz w:val="43"/>
          <w:szCs w:val="43"/>
          <w:lang w:eastAsia="zh-CN"/>
        </w:rPr>
        <w:t>长春医学高等专科学校心苑宿舍楼、药学楼及大学生活动中心消防管道维修项目</w:t>
      </w:r>
    </w:p>
    <w:p w14:paraId="15DE4891">
      <w:pPr>
        <w:pStyle w:val="8"/>
        <w:spacing w:line="255" w:lineRule="auto"/>
        <w:rPr>
          <w:color w:val="auto"/>
          <w:highlight w:val="none"/>
        </w:rPr>
      </w:pPr>
    </w:p>
    <w:p w14:paraId="7DF540BF">
      <w:pPr>
        <w:pStyle w:val="8"/>
        <w:spacing w:line="255" w:lineRule="auto"/>
        <w:rPr>
          <w:color w:val="auto"/>
          <w:highlight w:val="none"/>
        </w:rPr>
      </w:pPr>
    </w:p>
    <w:p w14:paraId="19226BDB">
      <w:pPr>
        <w:pStyle w:val="8"/>
        <w:spacing w:line="255" w:lineRule="auto"/>
        <w:rPr>
          <w:color w:val="auto"/>
          <w:highlight w:val="none"/>
        </w:rPr>
      </w:pPr>
    </w:p>
    <w:p w14:paraId="78AA0A75">
      <w:pPr>
        <w:pStyle w:val="8"/>
        <w:spacing w:line="256" w:lineRule="auto"/>
        <w:rPr>
          <w:color w:val="auto"/>
          <w:highlight w:val="none"/>
        </w:rPr>
      </w:pPr>
    </w:p>
    <w:p w14:paraId="189BD959">
      <w:pPr>
        <w:pStyle w:val="8"/>
        <w:spacing w:line="256" w:lineRule="auto"/>
        <w:rPr>
          <w:color w:val="auto"/>
          <w:highlight w:val="none"/>
        </w:rPr>
      </w:pPr>
    </w:p>
    <w:p w14:paraId="0084D480">
      <w:pPr>
        <w:pStyle w:val="8"/>
        <w:spacing w:line="256" w:lineRule="auto"/>
        <w:rPr>
          <w:color w:val="auto"/>
          <w:highlight w:val="none"/>
        </w:rPr>
      </w:pPr>
    </w:p>
    <w:p w14:paraId="4055E867">
      <w:pPr>
        <w:pStyle w:val="8"/>
        <w:spacing w:line="256" w:lineRule="auto"/>
        <w:rPr>
          <w:color w:val="auto"/>
          <w:highlight w:val="none"/>
        </w:rPr>
      </w:pPr>
    </w:p>
    <w:p w14:paraId="0ED78CF8">
      <w:pPr>
        <w:pStyle w:val="8"/>
        <w:spacing w:line="256" w:lineRule="auto"/>
        <w:rPr>
          <w:color w:val="auto"/>
          <w:highlight w:val="none"/>
        </w:rPr>
      </w:pPr>
    </w:p>
    <w:p w14:paraId="68F477B6">
      <w:pPr>
        <w:pStyle w:val="8"/>
        <w:spacing w:line="256" w:lineRule="auto"/>
        <w:rPr>
          <w:color w:val="auto"/>
          <w:highlight w:val="none"/>
        </w:rPr>
      </w:pPr>
    </w:p>
    <w:p w14:paraId="72EB5FBB">
      <w:pPr>
        <w:spacing w:before="257" w:line="221" w:lineRule="auto"/>
        <w:ind w:left="1570"/>
        <w:rPr>
          <w:rFonts w:ascii="宋体" w:hAnsi="宋体" w:eastAsia="宋体" w:cs="宋体"/>
          <w:color w:val="auto"/>
          <w:sz w:val="79"/>
          <w:szCs w:val="79"/>
          <w:highlight w:val="none"/>
        </w:rPr>
      </w:pPr>
      <w:r>
        <w:rPr>
          <w:rFonts w:ascii="宋体" w:hAnsi="宋体" w:eastAsia="宋体" w:cs="宋体"/>
          <w:b/>
          <w:bCs/>
          <w:color w:val="auto"/>
          <w:spacing w:val="-2"/>
          <w:sz w:val="79"/>
          <w:szCs w:val="79"/>
          <w:highlight w:val="none"/>
        </w:rPr>
        <w:t>竞争性磋商文件</w:t>
      </w:r>
    </w:p>
    <w:p w14:paraId="0C9AFBF7">
      <w:pPr>
        <w:spacing w:before="91" w:line="218" w:lineRule="auto"/>
        <w:jc w:val="both"/>
        <w:rPr>
          <w:rFonts w:ascii="仿宋" w:hAnsi="仿宋" w:eastAsia="仿宋" w:cs="仿宋"/>
          <w:b/>
          <w:bCs/>
          <w:color w:val="auto"/>
          <w:spacing w:val="-3"/>
          <w:sz w:val="28"/>
          <w:szCs w:val="28"/>
          <w:highlight w:val="none"/>
        </w:rPr>
      </w:pPr>
    </w:p>
    <w:p w14:paraId="592CCF37">
      <w:pPr>
        <w:spacing w:before="91" w:line="218" w:lineRule="auto"/>
        <w:jc w:val="center"/>
        <w:rPr>
          <w:rFonts w:hint="default" w:ascii="仿宋" w:hAnsi="仿宋" w:eastAsia="仿宋" w:cs="仿宋"/>
          <w:b/>
          <w:bCs/>
          <w:color w:val="auto"/>
          <w:spacing w:val="-3"/>
          <w:sz w:val="28"/>
          <w:szCs w:val="28"/>
          <w:highlight w:val="none"/>
          <w:lang w:val="en-US" w:eastAsia="zh-CN"/>
        </w:rPr>
      </w:pPr>
      <w:r>
        <w:rPr>
          <w:rFonts w:ascii="仿宋" w:hAnsi="仿宋" w:eastAsia="仿宋" w:cs="仿宋"/>
          <w:b/>
          <w:bCs/>
          <w:color w:val="auto"/>
          <w:spacing w:val="-3"/>
          <w:sz w:val="28"/>
          <w:szCs w:val="28"/>
          <w:highlight w:val="none"/>
        </w:rPr>
        <w:t>项目编号:</w:t>
      </w:r>
      <w:r>
        <w:rPr>
          <w:rFonts w:hint="eastAsia" w:ascii="仿宋" w:hAnsi="仿宋" w:eastAsia="仿宋" w:cs="仿宋"/>
          <w:b/>
          <w:bCs/>
          <w:color w:val="auto"/>
          <w:spacing w:val="-3"/>
          <w:sz w:val="28"/>
          <w:szCs w:val="28"/>
          <w:highlight w:val="none"/>
          <w:lang w:eastAsia="zh-CN"/>
        </w:rPr>
        <w:t>JM-2025-06-00640(YCZB-CCYZ2025002)</w:t>
      </w:r>
    </w:p>
    <w:p w14:paraId="5CC38110">
      <w:pPr>
        <w:spacing w:before="91" w:line="218" w:lineRule="auto"/>
        <w:ind w:left="939"/>
        <w:rPr>
          <w:rFonts w:ascii="仿宋" w:hAnsi="仿宋" w:eastAsia="仿宋" w:cs="仿宋"/>
          <w:b/>
          <w:bCs/>
          <w:color w:val="auto"/>
          <w:spacing w:val="-3"/>
          <w:sz w:val="28"/>
          <w:szCs w:val="28"/>
          <w:highlight w:val="none"/>
        </w:rPr>
      </w:pPr>
    </w:p>
    <w:p w14:paraId="0BA4BC18">
      <w:pPr>
        <w:pStyle w:val="8"/>
        <w:spacing w:line="252" w:lineRule="auto"/>
        <w:rPr>
          <w:color w:val="auto"/>
          <w:highlight w:val="none"/>
        </w:rPr>
      </w:pPr>
    </w:p>
    <w:p w14:paraId="7B90AD96">
      <w:pPr>
        <w:pStyle w:val="8"/>
        <w:spacing w:line="252" w:lineRule="auto"/>
        <w:rPr>
          <w:color w:val="auto"/>
          <w:highlight w:val="none"/>
        </w:rPr>
      </w:pPr>
    </w:p>
    <w:p w14:paraId="637755B3">
      <w:pPr>
        <w:pStyle w:val="8"/>
        <w:spacing w:line="252" w:lineRule="auto"/>
        <w:rPr>
          <w:color w:val="auto"/>
          <w:highlight w:val="none"/>
        </w:rPr>
      </w:pPr>
    </w:p>
    <w:p w14:paraId="364E99F0">
      <w:pPr>
        <w:pStyle w:val="8"/>
        <w:spacing w:line="253" w:lineRule="auto"/>
        <w:rPr>
          <w:color w:val="auto"/>
          <w:highlight w:val="none"/>
        </w:rPr>
      </w:pPr>
    </w:p>
    <w:p w14:paraId="017A8C29">
      <w:pPr>
        <w:pStyle w:val="8"/>
        <w:spacing w:line="253" w:lineRule="auto"/>
        <w:rPr>
          <w:color w:val="auto"/>
          <w:highlight w:val="none"/>
        </w:rPr>
      </w:pPr>
    </w:p>
    <w:p w14:paraId="3CD0F6C3">
      <w:pPr>
        <w:pStyle w:val="8"/>
        <w:spacing w:line="253" w:lineRule="auto"/>
        <w:rPr>
          <w:color w:val="auto"/>
          <w:highlight w:val="none"/>
        </w:rPr>
      </w:pPr>
    </w:p>
    <w:p w14:paraId="47C42DD2">
      <w:pPr>
        <w:pStyle w:val="8"/>
        <w:spacing w:line="253" w:lineRule="auto"/>
        <w:rPr>
          <w:color w:val="auto"/>
          <w:highlight w:val="none"/>
        </w:rPr>
      </w:pPr>
    </w:p>
    <w:p w14:paraId="7B57EB8E">
      <w:pPr>
        <w:pStyle w:val="8"/>
        <w:spacing w:line="253" w:lineRule="auto"/>
        <w:rPr>
          <w:color w:val="auto"/>
          <w:highlight w:val="none"/>
        </w:rPr>
      </w:pPr>
    </w:p>
    <w:p w14:paraId="378772CC">
      <w:pPr>
        <w:pStyle w:val="8"/>
        <w:spacing w:line="253" w:lineRule="auto"/>
        <w:rPr>
          <w:color w:val="auto"/>
          <w:highlight w:val="none"/>
        </w:rPr>
      </w:pPr>
    </w:p>
    <w:p w14:paraId="5D7D1924">
      <w:pPr>
        <w:pStyle w:val="8"/>
        <w:spacing w:line="253" w:lineRule="auto"/>
        <w:rPr>
          <w:color w:val="auto"/>
          <w:highlight w:val="none"/>
        </w:rPr>
      </w:pPr>
    </w:p>
    <w:p w14:paraId="5E6E22E5">
      <w:pPr>
        <w:pStyle w:val="8"/>
        <w:spacing w:line="253" w:lineRule="auto"/>
        <w:rPr>
          <w:color w:val="auto"/>
          <w:highlight w:val="none"/>
        </w:rPr>
      </w:pPr>
    </w:p>
    <w:p w14:paraId="495B46D7">
      <w:pPr>
        <w:pStyle w:val="8"/>
        <w:spacing w:line="253" w:lineRule="auto"/>
        <w:rPr>
          <w:color w:val="auto"/>
          <w:highlight w:val="none"/>
        </w:rPr>
      </w:pPr>
    </w:p>
    <w:p w14:paraId="15438B22">
      <w:pPr>
        <w:spacing w:before="101" w:line="224" w:lineRule="auto"/>
        <w:ind w:left="1039"/>
        <w:rPr>
          <w:rFonts w:hint="eastAsia" w:ascii="宋体" w:hAnsi="宋体" w:eastAsia="宋体" w:cs="宋体"/>
          <w:color w:val="auto"/>
          <w:sz w:val="31"/>
          <w:szCs w:val="31"/>
          <w:highlight w:val="none"/>
          <w:lang w:eastAsia="zh-CN"/>
        </w:rPr>
      </w:pPr>
      <w:r>
        <w:rPr>
          <w:rFonts w:ascii="宋体" w:hAnsi="宋体" w:eastAsia="宋体" w:cs="宋体"/>
          <w:b/>
          <w:bCs/>
          <w:color w:val="auto"/>
          <w:spacing w:val="6"/>
          <w:sz w:val="31"/>
          <w:szCs w:val="31"/>
          <w:highlight w:val="none"/>
        </w:rPr>
        <w:t>采</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购</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人：</w:t>
      </w:r>
      <w:r>
        <w:rPr>
          <w:rFonts w:hint="eastAsia" w:ascii="宋体" w:hAnsi="宋体" w:eastAsia="宋体" w:cs="宋体"/>
          <w:b/>
          <w:bCs/>
          <w:color w:val="auto"/>
          <w:spacing w:val="6"/>
          <w:sz w:val="31"/>
          <w:szCs w:val="31"/>
          <w:highlight w:val="none"/>
          <w:lang w:eastAsia="zh-CN"/>
        </w:rPr>
        <w:t>长春医学高等专科学校</w:t>
      </w:r>
    </w:p>
    <w:p w14:paraId="31780704">
      <w:pPr>
        <w:pStyle w:val="8"/>
        <w:spacing w:line="321" w:lineRule="auto"/>
        <w:rPr>
          <w:color w:val="auto"/>
          <w:highlight w:val="none"/>
        </w:rPr>
      </w:pPr>
    </w:p>
    <w:p w14:paraId="614A10F1">
      <w:pPr>
        <w:pStyle w:val="8"/>
        <w:spacing w:line="321" w:lineRule="auto"/>
        <w:rPr>
          <w:color w:val="auto"/>
          <w:highlight w:val="none"/>
        </w:rPr>
      </w:pPr>
    </w:p>
    <w:p w14:paraId="350D8E70">
      <w:pPr>
        <w:spacing w:before="101" w:line="224" w:lineRule="auto"/>
        <w:ind w:left="1039"/>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采购代理机构</w:t>
      </w:r>
      <w:r>
        <w:rPr>
          <w:rFonts w:ascii="Calibri" w:hAnsi="Calibri" w:eastAsia="Calibri" w:cs="Calibri"/>
          <w:b/>
          <w:bCs/>
          <w:color w:val="auto"/>
          <w:spacing w:val="5"/>
          <w:sz w:val="31"/>
          <w:szCs w:val="31"/>
          <w:highlight w:val="none"/>
        </w:rPr>
        <w:t>:</w:t>
      </w:r>
      <w:r>
        <w:rPr>
          <w:rFonts w:ascii="Calibri" w:hAnsi="Calibri" w:eastAsia="Calibri" w:cs="Calibri"/>
          <w:b/>
          <w:bCs/>
          <w:color w:val="auto"/>
          <w:spacing w:val="30"/>
          <w:sz w:val="31"/>
          <w:szCs w:val="31"/>
          <w:highlight w:val="none"/>
        </w:rPr>
        <w:t xml:space="preserve">  </w:t>
      </w:r>
      <w:r>
        <w:rPr>
          <w:rFonts w:hint="eastAsia" w:ascii="Calibri" w:hAnsi="Calibri" w:eastAsia="Calibri" w:cs="Calibri"/>
          <w:b/>
          <w:bCs/>
          <w:color w:val="auto"/>
          <w:spacing w:val="30"/>
          <w:sz w:val="31"/>
          <w:szCs w:val="31"/>
          <w:highlight w:val="none"/>
          <w:lang w:val="zh-CN"/>
        </w:rPr>
        <w:t>亿诚建设项目管理有限公司</w:t>
      </w:r>
    </w:p>
    <w:p w14:paraId="4EFD74B7">
      <w:pPr>
        <w:pStyle w:val="8"/>
        <w:spacing w:line="325" w:lineRule="auto"/>
        <w:rPr>
          <w:color w:val="auto"/>
          <w:highlight w:val="none"/>
        </w:rPr>
      </w:pPr>
    </w:p>
    <w:p w14:paraId="4CFBAC18">
      <w:pPr>
        <w:pStyle w:val="8"/>
        <w:spacing w:line="326" w:lineRule="auto"/>
        <w:rPr>
          <w:color w:val="auto"/>
          <w:highlight w:val="none"/>
        </w:rPr>
      </w:pPr>
    </w:p>
    <w:p w14:paraId="08FCBDE3">
      <w:pPr>
        <w:spacing w:before="101" w:line="225" w:lineRule="auto"/>
        <w:ind w:left="3234"/>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二〇二</w:t>
      </w:r>
      <w:r>
        <w:rPr>
          <w:rFonts w:hint="eastAsia" w:ascii="宋体" w:hAnsi="宋体" w:eastAsia="宋体" w:cs="宋体"/>
          <w:b/>
          <w:bCs/>
          <w:color w:val="auto"/>
          <w:spacing w:val="5"/>
          <w:sz w:val="31"/>
          <w:szCs w:val="31"/>
          <w:highlight w:val="none"/>
          <w:lang w:eastAsia="zh-CN"/>
        </w:rPr>
        <w:t>五</w:t>
      </w:r>
      <w:r>
        <w:rPr>
          <w:rFonts w:ascii="宋体" w:hAnsi="宋体" w:eastAsia="宋体" w:cs="宋体"/>
          <w:b/>
          <w:bCs/>
          <w:color w:val="auto"/>
          <w:spacing w:val="5"/>
          <w:sz w:val="31"/>
          <w:szCs w:val="31"/>
          <w:highlight w:val="none"/>
        </w:rPr>
        <w:t>年</w:t>
      </w:r>
      <w:r>
        <w:rPr>
          <w:rFonts w:hint="eastAsia" w:ascii="宋体" w:hAnsi="宋体" w:eastAsia="宋体" w:cs="宋体"/>
          <w:b/>
          <w:bCs/>
          <w:color w:val="auto"/>
          <w:spacing w:val="5"/>
          <w:sz w:val="31"/>
          <w:szCs w:val="31"/>
          <w:highlight w:val="none"/>
          <w:lang w:eastAsia="zh-CN"/>
        </w:rPr>
        <w:t>六</w:t>
      </w:r>
      <w:r>
        <w:rPr>
          <w:rFonts w:ascii="宋体" w:hAnsi="宋体" w:eastAsia="宋体" w:cs="宋体"/>
          <w:b/>
          <w:bCs/>
          <w:color w:val="auto"/>
          <w:spacing w:val="5"/>
          <w:sz w:val="31"/>
          <w:szCs w:val="31"/>
          <w:highlight w:val="none"/>
        </w:rPr>
        <w:t>月</w:t>
      </w:r>
    </w:p>
    <w:p w14:paraId="6CBADD0B">
      <w:pPr>
        <w:spacing w:line="225" w:lineRule="auto"/>
        <w:rPr>
          <w:rFonts w:ascii="宋体" w:hAnsi="宋体" w:eastAsia="宋体" w:cs="宋体"/>
          <w:color w:val="auto"/>
          <w:sz w:val="31"/>
          <w:szCs w:val="31"/>
          <w:highlight w:val="none"/>
        </w:rPr>
        <w:sectPr>
          <w:pgSz w:w="11907" w:h="16840"/>
          <w:pgMar w:top="1329" w:right="1586" w:bottom="0" w:left="1611" w:header="0" w:footer="0" w:gutter="0"/>
          <w:cols w:space="720" w:num="1"/>
        </w:sectPr>
      </w:pPr>
    </w:p>
    <w:p w14:paraId="59D2A0DF">
      <w:pPr>
        <w:spacing w:before="226" w:line="222" w:lineRule="auto"/>
        <w:ind w:left="3936"/>
        <w:outlineLvl w:val="0"/>
        <w:rPr>
          <w:rFonts w:ascii="宋体" w:hAnsi="宋体" w:eastAsia="宋体" w:cs="宋体"/>
          <w:color w:val="auto"/>
          <w:sz w:val="52"/>
          <w:szCs w:val="52"/>
          <w:highlight w:val="none"/>
        </w:rPr>
      </w:pPr>
      <w:bookmarkStart w:id="0" w:name="_Toc12223"/>
      <w:r>
        <w:rPr>
          <w:rFonts w:ascii="宋体" w:hAnsi="宋体" w:eastAsia="宋体" w:cs="宋体"/>
          <w:b/>
          <w:bCs/>
          <w:color w:val="auto"/>
          <w:spacing w:val="-65"/>
          <w:sz w:val="52"/>
          <w:szCs w:val="52"/>
          <w:highlight w:val="none"/>
        </w:rPr>
        <w:t>目</w:t>
      </w:r>
      <w:r>
        <w:rPr>
          <w:rFonts w:ascii="宋体" w:hAnsi="宋体" w:eastAsia="宋体" w:cs="宋体"/>
          <w:color w:val="auto"/>
          <w:spacing w:val="11"/>
          <w:sz w:val="52"/>
          <w:szCs w:val="52"/>
          <w:highlight w:val="none"/>
        </w:rPr>
        <w:t xml:space="preserve">  </w:t>
      </w:r>
      <w:r>
        <w:rPr>
          <w:rFonts w:ascii="宋体" w:hAnsi="宋体" w:eastAsia="宋体" w:cs="宋体"/>
          <w:b/>
          <w:bCs/>
          <w:color w:val="auto"/>
          <w:spacing w:val="-65"/>
          <w:sz w:val="52"/>
          <w:szCs w:val="52"/>
          <w:highlight w:val="none"/>
        </w:rPr>
        <w:t>录</w:t>
      </w:r>
      <w:bookmarkEnd w:id="0"/>
    </w:p>
    <w:p w14:paraId="639E9B74">
      <w:pPr>
        <w:pStyle w:val="8"/>
        <w:spacing w:line="307" w:lineRule="auto"/>
        <w:rPr>
          <w:color w:val="auto"/>
          <w:highlight w:val="none"/>
        </w:rPr>
      </w:pPr>
    </w:p>
    <w:p w14:paraId="60815472">
      <w:pPr>
        <w:pStyle w:val="8"/>
        <w:spacing w:line="307" w:lineRule="auto"/>
        <w:rPr>
          <w:color w:val="auto"/>
          <w:highlight w:val="none"/>
        </w:rPr>
      </w:pPr>
    </w:p>
    <w:sdt>
      <w:sdtPr>
        <w:rPr>
          <w:rFonts w:ascii="宋体" w:hAnsi="宋体" w:eastAsia="宋体" w:cs="Arial"/>
          <w:snapToGrid w:val="0"/>
          <w:color w:val="auto"/>
          <w:kern w:val="0"/>
          <w:sz w:val="21"/>
          <w:szCs w:val="21"/>
          <w:highlight w:val="none"/>
          <w:lang w:val="en-US" w:eastAsia="en-US" w:bidi="ar-SA"/>
        </w:rPr>
        <w:id w:val="147458414"/>
        <w15:color w:val="DBDBDB"/>
        <w:docPartObj>
          <w:docPartGallery w:val="Table of Contents"/>
          <w:docPartUnique/>
        </w:docPartObj>
      </w:sdtPr>
      <w:sdtEndPr>
        <w:rPr>
          <w:rFonts w:ascii="宋体" w:hAnsi="宋体" w:eastAsia="宋体" w:cs="宋体"/>
          <w:bCs/>
          <w:snapToGrid w:val="0"/>
          <w:color w:val="auto"/>
          <w:spacing w:val="6"/>
          <w:kern w:val="0"/>
          <w:sz w:val="21"/>
          <w:szCs w:val="31"/>
          <w:highlight w:val="none"/>
          <w:lang w:val="en-US" w:eastAsia="en-US" w:bidi="ar-SA"/>
        </w:rPr>
      </w:sdtEndPr>
      <w:sdtContent>
        <w:p w14:paraId="400D6B09">
          <w:pPr>
            <w:spacing w:before="0" w:beforeLines="0" w:after="0" w:afterLines="0" w:line="240" w:lineRule="auto"/>
            <w:ind w:left="0" w:leftChars="0" w:right="0" w:rightChars="0" w:firstLine="0" w:firstLineChars="0"/>
            <w:jc w:val="center"/>
            <w:rPr>
              <w:color w:val="auto"/>
              <w:highlight w:val="none"/>
            </w:rPr>
          </w:pPr>
          <w:bookmarkStart w:id="1" w:name="bookmark1"/>
          <w:bookmarkEnd w:id="1"/>
        </w:p>
        <w:p w14:paraId="7A7F6D7C">
          <w:pPr>
            <w:pStyle w:val="12"/>
            <w:tabs>
              <w:tab w:val="right" w:leader="dot" w:pos="9477"/>
            </w:tabs>
            <w:rPr>
              <w:color w:val="auto"/>
              <w:highlight w:val="none"/>
            </w:rPr>
          </w:pPr>
          <w:r>
            <w:rPr>
              <w:rFonts w:ascii="宋体" w:hAnsi="宋体" w:eastAsia="宋体" w:cs="宋体"/>
              <w:b/>
              <w:bCs/>
              <w:color w:val="auto"/>
              <w:spacing w:val="6"/>
              <w:sz w:val="31"/>
              <w:szCs w:val="31"/>
              <w:highlight w:val="none"/>
            </w:rPr>
            <w:fldChar w:fldCharType="begin"/>
          </w:r>
          <w:r>
            <w:rPr>
              <w:rFonts w:ascii="宋体" w:hAnsi="宋体" w:eastAsia="宋体" w:cs="宋体"/>
              <w:b/>
              <w:bCs/>
              <w:color w:val="auto"/>
              <w:spacing w:val="6"/>
              <w:sz w:val="31"/>
              <w:szCs w:val="31"/>
              <w:highlight w:val="none"/>
            </w:rPr>
            <w:instrText xml:space="preserve">TOC \o "1-3" \h \u </w:instrText>
          </w:r>
          <w:r>
            <w:rPr>
              <w:rFonts w:ascii="宋体" w:hAnsi="宋体" w:eastAsia="宋体" w:cs="宋体"/>
              <w:b/>
              <w:bCs/>
              <w:color w:val="auto"/>
              <w:spacing w:val="6"/>
              <w:sz w:val="31"/>
              <w:szCs w:val="31"/>
              <w:highlight w:val="none"/>
            </w:rPr>
            <w:fldChar w:fldCharType="separate"/>
          </w:r>
        </w:p>
        <w:p w14:paraId="6DF5A8A4">
          <w:pPr>
            <w:pStyle w:val="12"/>
            <w:tabs>
              <w:tab w:val="right" w:leader="dot" w:pos="9477"/>
            </w:tabs>
            <w:rPr>
              <w:color w:val="auto"/>
              <w:highlight w:val="none"/>
            </w:rPr>
          </w:pPr>
          <w:r>
            <w:rPr>
              <w:rFonts w:ascii="宋体" w:hAnsi="宋体" w:eastAsia="宋体" w:cs="宋体"/>
              <w:bCs/>
              <w:color w:val="auto"/>
              <w:spacing w:val="6"/>
              <w:szCs w:val="31"/>
              <w:highlight w:val="none"/>
            </w:rPr>
            <w:fldChar w:fldCharType="begin"/>
          </w:r>
          <w:r>
            <w:rPr>
              <w:rFonts w:ascii="宋体" w:hAnsi="宋体" w:eastAsia="宋体" w:cs="宋体"/>
              <w:bCs/>
              <w:color w:val="auto"/>
              <w:spacing w:val="6"/>
              <w:szCs w:val="31"/>
              <w:highlight w:val="none"/>
            </w:rPr>
            <w:instrText xml:space="preserve"> HYPERLINK \l _Toc653 </w:instrText>
          </w:r>
          <w:r>
            <w:rPr>
              <w:rFonts w:ascii="宋体" w:hAnsi="宋体" w:eastAsia="宋体" w:cs="宋体"/>
              <w:bCs/>
              <w:color w:val="auto"/>
              <w:spacing w:val="6"/>
              <w:szCs w:val="31"/>
              <w:highlight w:val="none"/>
            </w:rPr>
            <w:fldChar w:fldCharType="separate"/>
          </w:r>
          <w:r>
            <w:rPr>
              <w:rFonts w:hint="eastAsia" w:asciiTheme="majorEastAsia" w:hAnsiTheme="majorEastAsia" w:eastAsiaTheme="majorEastAsia" w:cstheme="majorEastAsia"/>
              <w:bCs/>
              <w:color w:val="auto"/>
              <w:spacing w:val="6"/>
              <w:szCs w:val="31"/>
              <w:highlight w:val="none"/>
            </w:rPr>
            <w:t>第一章</w:t>
          </w:r>
          <w:r>
            <w:rPr>
              <w:rFonts w:hint="eastAsia" w:asciiTheme="majorEastAsia" w:hAnsiTheme="majorEastAsia" w:eastAsiaTheme="majorEastAsia" w:cstheme="majorEastAsia"/>
              <w:color w:val="auto"/>
              <w:spacing w:val="6"/>
              <w:szCs w:val="31"/>
              <w:highlight w:val="none"/>
            </w:rPr>
            <w:t xml:space="preserve"> </w:t>
          </w:r>
          <w:r>
            <w:rPr>
              <w:rFonts w:hint="eastAsia" w:asciiTheme="majorEastAsia" w:hAnsiTheme="majorEastAsia" w:eastAsiaTheme="majorEastAsia" w:cstheme="majorEastAsia"/>
              <w:bCs/>
              <w:color w:val="auto"/>
              <w:spacing w:val="6"/>
              <w:szCs w:val="31"/>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_Toc653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s="宋体"/>
              <w:bCs/>
              <w:color w:val="auto"/>
              <w:spacing w:val="6"/>
              <w:szCs w:val="31"/>
              <w:highlight w:val="none"/>
            </w:rPr>
            <w:fldChar w:fldCharType="end"/>
          </w:r>
        </w:p>
        <w:p w14:paraId="7135AF98">
          <w:pPr>
            <w:pStyle w:val="12"/>
            <w:tabs>
              <w:tab w:val="right" w:leader="dot" w:pos="9477"/>
            </w:tabs>
            <w:rPr>
              <w:color w:val="auto"/>
              <w:highlight w:val="none"/>
            </w:rPr>
          </w:pPr>
          <w:r>
            <w:rPr>
              <w:rFonts w:ascii="宋体" w:hAnsi="宋体" w:eastAsia="宋体" w:cs="宋体"/>
              <w:bCs/>
              <w:color w:val="auto"/>
              <w:spacing w:val="6"/>
              <w:szCs w:val="31"/>
              <w:highlight w:val="none"/>
            </w:rPr>
            <w:fldChar w:fldCharType="begin"/>
          </w:r>
          <w:r>
            <w:rPr>
              <w:rFonts w:ascii="宋体" w:hAnsi="宋体" w:eastAsia="宋体" w:cs="宋体"/>
              <w:bCs/>
              <w:color w:val="auto"/>
              <w:spacing w:val="6"/>
              <w:szCs w:val="31"/>
              <w:highlight w:val="none"/>
            </w:rPr>
            <w:instrText xml:space="preserve"> HYPERLINK \l _Toc12538 </w:instrText>
          </w:r>
          <w:r>
            <w:rPr>
              <w:rFonts w:ascii="宋体" w:hAnsi="宋体" w:eastAsia="宋体" w:cs="宋体"/>
              <w:bCs/>
              <w:color w:val="auto"/>
              <w:spacing w:val="6"/>
              <w:szCs w:val="31"/>
              <w:highlight w:val="none"/>
            </w:rPr>
            <w:fldChar w:fldCharType="separate"/>
          </w:r>
          <w:r>
            <w:rPr>
              <w:rFonts w:hint="eastAsia" w:asciiTheme="majorEastAsia" w:hAnsiTheme="majorEastAsia" w:eastAsiaTheme="majorEastAsia" w:cstheme="majorEastAsia"/>
              <w:bCs/>
              <w:color w:val="auto"/>
              <w:spacing w:val="6"/>
              <w:szCs w:val="31"/>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_Toc12538 \h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s="宋体"/>
              <w:bCs/>
              <w:color w:val="auto"/>
              <w:spacing w:val="6"/>
              <w:szCs w:val="31"/>
              <w:highlight w:val="none"/>
            </w:rPr>
            <w:fldChar w:fldCharType="end"/>
          </w:r>
        </w:p>
        <w:p w14:paraId="16978A8A">
          <w:pPr>
            <w:pStyle w:val="12"/>
            <w:tabs>
              <w:tab w:val="right" w:leader="dot" w:pos="9477"/>
            </w:tabs>
            <w:rPr>
              <w:rFonts w:hint="eastAsia" w:eastAsia="宋体"/>
              <w:color w:val="auto"/>
              <w:highlight w:val="none"/>
              <w:lang w:val="en-US" w:eastAsia="zh-CN"/>
            </w:rPr>
          </w:pPr>
          <w:r>
            <w:rPr>
              <w:rFonts w:hint="eastAsia" w:eastAsia="宋体"/>
              <w:color w:val="auto"/>
              <w:highlight w:val="none"/>
              <w:lang w:eastAsia="zh-CN"/>
            </w:rPr>
            <w:t>第三章</w:t>
          </w:r>
          <w:r>
            <w:rPr>
              <w:rFonts w:hint="eastAsia" w:eastAsia="宋体"/>
              <w:color w:val="auto"/>
              <w:highlight w:val="none"/>
              <w:lang w:val="en-US" w:eastAsia="zh-CN"/>
            </w:rPr>
            <w:t xml:space="preserve">  </w:t>
          </w:r>
          <w:r>
            <w:rPr>
              <w:rFonts w:hint="eastAsia" w:eastAsia="宋体"/>
              <w:color w:val="auto"/>
              <w:highlight w:val="none"/>
              <w:lang w:eastAsia="zh-CN"/>
            </w:rPr>
            <w:t>合同条款</w:t>
          </w:r>
          <w:r>
            <w:rPr>
              <w:color w:val="auto"/>
              <w:highlight w:val="none"/>
            </w:rPr>
            <w:tab/>
          </w:r>
          <w:r>
            <w:rPr>
              <w:rFonts w:hint="eastAsia" w:eastAsia="宋体"/>
              <w:color w:val="auto"/>
              <w:highlight w:val="none"/>
              <w:lang w:val="en-US" w:eastAsia="zh-CN"/>
            </w:rPr>
            <w:t>20</w:t>
          </w:r>
        </w:p>
        <w:p w14:paraId="38B83DB1">
          <w:pPr>
            <w:rPr>
              <w:rFonts w:hint="eastAsia" w:eastAsia="宋体"/>
              <w:color w:val="auto"/>
              <w:highlight w:val="none"/>
              <w:lang w:val="en-US" w:eastAsia="zh-CN"/>
            </w:rPr>
          </w:pPr>
          <w:r>
            <w:rPr>
              <w:rFonts w:hint="eastAsia" w:eastAsia="宋体"/>
              <w:color w:val="auto"/>
              <w:highlight w:val="none"/>
              <w:lang w:val="en-US" w:eastAsia="zh-CN"/>
            </w:rPr>
            <w:t>第四章  技术标准和要求........................................................................................................................21</w:t>
          </w:r>
        </w:p>
        <w:p w14:paraId="411E164B">
          <w:pPr>
            <w:rPr>
              <w:rFonts w:hint="default" w:eastAsia="宋体"/>
              <w:color w:val="auto"/>
              <w:highlight w:val="none"/>
              <w:lang w:val="en-US" w:eastAsia="zh-CN"/>
            </w:rPr>
          </w:pPr>
          <w:r>
            <w:rPr>
              <w:rFonts w:hint="eastAsia" w:eastAsia="宋体"/>
              <w:color w:val="auto"/>
              <w:highlight w:val="none"/>
              <w:lang w:val="en-US" w:eastAsia="zh-CN"/>
            </w:rPr>
            <w:t>第五章  响应文件格式............................................................................................................................34</w:t>
          </w:r>
        </w:p>
        <w:p w14:paraId="226B4E2F">
          <w:pPr>
            <w:rPr>
              <w:rFonts w:hint="default"/>
              <w:color w:val="auto"/>
              <w:highlight w:val="none"/>
              <w:lang w:val="en-US" w:eastAsia="zh-CN"/>
            </w:rPr>
          </w:pPr>
          <w:r>
            <w:rPr>
              <w:rFonts w:hint="eastAsia" w:eastAsia="宋体"/>
              <w:color w:val="auto"/>
              <w:highlight w:val="none"/>
              <w:lang w:val="en-US" w:eastAsia="zh-CN"/>
            </w:rPr>
            <w:t>第六章  竞争性磋商办法........................................................................................................................69</w:t>
          </w:r>
        </w:p>
        <w:p w14:paraId="06E4AB52">
          <w:pPr>
            <w:spacing w:before="91" w:line="223" w:lineRule="auto"/>
            <w:ind w:left="3065"/>
            <w:outlineLvl w:val="0"/>
            <w:rPr>
              <w:rFonts w:ascii="宋体" w:hAnsi="宋体" w:eastAsia="宋体" w:cs="宋体"/>
              <w:bCs/>
              <w:snapToGrid w:val="0"/>
              <w:color w:val="auto"/>
              <w:spacing w:val="6"/>
              <w:kern w:val="0"/>
              <w:sz w:val="21"/>
              <w:szCs w:val="31"/>
              <w:highlight w:val="none"/>
              <w:lang w:val="en-US" w:eastAsia="en-US" w:bidi="ar-SA"/>
            </w:rPr>
            <w:sectPr>
              <w:footerReference r:id="rId5" w:type="default"/>
              <w:pgSz w:w="11906" w:h="16839"/>
              <w:pgMar w:top="1431" w:right="1215" w:bottom="1156" w:left="1214" w:header="0" w:footer="994" w:gutter="0"/>
              <w:cols w:space="720" w:num="1"/>
            </w:sectPr>
          </w:pPr>
          <w:r>
            <w:rPr>
              <w:rFonts w:ascii="宋体" w:hAnsi="宋体" w:eastAsia="宋体" w:cs="宋体"/>
              <w:bCs/>
              <w:color w:val="auto"/>
              <w:spacing w:val="6"/>
              <w:szCs w:val="31"/>
              <w:highlight w:val="none"/>
            </w:rPr>
            <w:fldChar w:fldCharType="end"/>
          </w:r>
        </w:p>
      </w:sdtContent>
    </w:sdt>
    <w:p w14:paraId="08521DFF">
      <w:pPr>
        <w:spacing w:before="91" w:line="223" w:lineRule="auto"/>
        <w:ind w:left="3065"/>
        <w:outlineLvl w:val="0"/>
        <w:rPr>
          <w:rFonts w:hint="eastAsia" w:asciiTheme="majorEastAsia" w:hAnsiTheme="majorEastAsia" w:eastAsiaTheme="majorEastAsia" w:cstheme="majorEastAsia"/>
          <w:color w:val="auto"/>
          <w:highlight w:val="none"/>
        </w:rPr>
      </w:pPr>
      <w:bookmarkStart w:id="2" w:name="_Toc653"/>
      <w:r>
        <w:rPr>
          <w:rFonts w:hint="eastAsia" w:asciiTheme="majorEastAsia" w:hAnsiTheme="majorEastAsia" w:eastAsiaTheme="majorEastAsia" w:cstheme="majorEastAsia"/>
          <w:b/>
          <w:bCs/>
          <w:color w:val="auto"/>
          <w:spacing w:val="6"/>
          <w:sz w:val="31"/>
          <w:szCs w:val="31"/>
          <w:highlight w:val="none"/>
        </w:rPr>
        <w:t>第一章</w:t>
      </w:r>
      <w:r>
        <w:rPr>
          <w:rFonts w:hint="eastAsia" w:asciiTheme="majorEastAsia" w:hAnsiTheme="majorEastAsia" w:eastAsiaTheme="majorEastAsia" w:cstheme="majorEastAsia"/>
          <w:color w:val="auto"/>
          <w:spacing w:val="6"/>
          <w:sz w:val="31"/>
          <w:szCs w:val="31"/>
          <w:highlight w:val="none"/>
        </w:rPr>
        <w:t xml:space="preserve"> </w:t>
      </w:r>
      <w:r>
        <w:rPr>
          <w:rFonts w:hint="eastAsia" w:asciiTheme="majorEastAsia" w:hAnsiTheme="majorEastAsia" w:eastAsiaTheme="majorEastAsia" w:cstheme="majorEastAsia"/>
          <w:b/>
          <w:bCs/>
          <w:color w:val="auto"/>
          <w:spacing w:val="6"/>
          <w:sz w:val="31"/>
          <w:szCs w:val="31"/>
          <w:highlight w:val="none"/>
        </w:rPr>
        <w:t>竞争性磋商公告</w:t>
      </w:r>
      <w:bookmarkEnd w:id="2"/>
    </w:p>
    <w:p w14:paraId="7C185B42">
      <w:pPr>
        <w:spacing w:before="60"/>
        <w:rPr>
          <w:color w:val="auto"/>
          <w:highlight w:val="none"/>
        </w:rPr>
      </w:pPr>
    </w:p>
    <w:tbl>
      <w:tblPr>
        <w:tblStyle w:val="20"/>
        <w:tblW w:w="947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1543FD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471" w:type="dxa"/>
            <w:vAlign w:val="top"/>
          </w:tcPr>
          <w:p w14:paraId="3F5EABE9">
            <w:pPr>
              <w:pStyle w:val="21"/>
              <w:spacing w:before="56" w:line="228" w:lineRule="auto"/>
              <w:ind w:left="96"/>
              <w:rPr>
                <w:color w:val="auto"/>
                <w:sz w:val="21"/>
                <w:szCs w:val="21"/>
                <w:highlight w:val="none"/>
              </w:rPr>
            </w:pPr>
            <w:r>
              <w:rPr>
                <w:color w:val="auto"/>
                <w:spacing w:val="6"/>
                <w:sz w:val="21"/>
                <w:szCs w:val="21"/>
                <w:highlight w:val="none"/>
              </w:rPr>
              <w:t>项目概况</w:t>
            </w:r>
          </w:p>
          <w:p w14:paraId="47B4060D">
            <w:pPr>
              <w:pStyle w:val="21"/>
              <w:spacing w:before="160" w:line="370" w:lineRule="auto"/>
              <w:ind w:left="90" w:right="84" w:firstLine="422"/>
              <w:rPr>
                <w:color w:val="auto"/>
                <w:highlight w:val="none"/>
              </w:rPr>
            </w:pPr>
            <w:r>
              <w:rPr>
                <w:rFonts w:hint="eastAsia"/>
                <w:color w:val="auto"/>
                <w:spacing w:val="10"/>
                <w:sz w:val="21"/>
                <w:szCs w:val="21"/>
                <w:highlight w:val="none"/>
                <w:u w:val="single"/>
                <w:lang w:val="en-US" w:eastAsia="zh-CN"/>
              </w:rPr>
              <w:t>长春医学高等专科学校心苑宿舍楼、药学楼及大学生活动中心消防管道维修项目</w:t>
            </w:r>
            <w:r>
              <w:rPr>
                <w:color w:val="auto"/>
                <w:spacing w:val="10"/>
                <w:sz w:val="21"/>
                <w:szCs w:val="21"/>
                <w:highlight w:val="none"/>
              </w:rPr>
              <w:t>的</w:t>
            </w:r>
            <w:r>
              <w:rPr>
                <w:rFonts w:hint="eastAsia"/>
                <w:color w:val="auto"/>
                <w:spacing w:val="10"/>
                <w:sz w:val="21"/>
                <w:szCs w:val="21"/>
                <w:highlight w:val="none"/>
              </w:rPr>
              <w:t>潜在</w:t>
            </w:r>
            <w:r>
              <w:rPr>
                <w:rFonts w:hint="eastAsia"/>
                <w:color w:val="auto"/>
                <w:spacing w:val="10"/>
                <w:sz w:val="21"/>
                <w:szCs w:val="21"/>
                <w:highlight w:val="none"/>
                <w:lang w:eastAsia="zh-CN"/>
              </w:rPr>
              <w:t>供应商</w:t>
            </w:r>
            <w:r>
              <w:rPr>
                <w:rFonts w:hint="eastAsia"/>
                <w:color w:val="auto"/>
                <w:spacing w:val="10"/>
                <w:sz w:val="21"/>
                <w:szCs w:val="21"/>
                <w:highlight w:val="none"/>
              </w:rPr>
              <w:t>应在“政采云”平台（http：//www.zcygov.cn）获取</w:t>
            </w:r>
            <w:r>
              <w:rPr>
                <w:rFonts w:hint="eastAsia"/>
                <w:color w:val="auto"/>
                <w:spacing w:val="10"/>
                <w:sz w:val="21"/>
                <w:szCs w:val="21"/>
                <w:highlight w:val="none"/>
                <w:lang w:eastAsia="zh-CN"/>
              </w:rPr>
              <w:t>竞争性磋商</w:t>
            </w:r>
            <w:r>
              <w:rPr>
                <w:rFonts w:hint="eastAsia"/>
                <w:color w:val="auto"/>
                <w:spacing w:val="10"/>
                <w:sz w:val="21"/>
                <w:szCs w:val="21"/>
                <w:highlight w:val="none"/>
              </w:rPr>
              <w:t>文件，并于202</w:t>
            </w:r>
            <w:r>
              <w:rPr>
                <w:rFonts w:hint="eastAsia"/>
                <w:color w:val="auto"/>
                <w:spacing w:val="10"/>
                <w:sz w:val="21"/>
                <w:szCs w:val="21"/>
                <w:highlight w:val="none"/>
                <w:lang w:val="en-US" w:eastAsia="zh-CN"/>
              </w:rPr>
              <w:t>5</w:t>
            </w:r>
            <w:r>
              <w:rPr>
                <w:rFonts w:hint="eastAsia"/>
                <w:color w:val="auto"/>
                <w:spacing w:val="10"/>
                <w:sz w:val="21"/>
                <w:szCs w:val="21"/>
                <w:highlight w:val="none"/>
              </w:rPr>
              <w:t>年</w:t>
            </w:r>
            <w:r>
              <w:rPr>
                <w:rFonts w:hint="eastAsia"/>
                <w:color w:val="auto"/>
                <w:spacing w:val="10"/>
                <w:sz w:val="21"/>
                <w:szCs w:val="21"/>
                <w:highlight w:val="none"/>
                <w:lang w:val="en-US" w:eastAsia="zh-CN"/>
              </w:rPr>
              <w:t>7</w:t>
            </w:r>
            <w:r>
              <w:rPr>
                <w:rFonts w:hint="eastAsia"/>
                <w:color w:val="auto"/>
                <w:spacing w:val="10"/>
                <w:sz w:val="21"/>
                <w:szCs w:val="21"/>
                <w:highlight w:val="none"/>
              </w:rPr>
              <w:t>月</w:t>
            </w:r>
            <w:r>
              <w:rPr>
                <w:rFonts w:hint="eastAsia"/>
                <w:color w:val="auto"/>
                <w:spacing w:val="10"/>
                <w:sz w:val="21"/>
                <w:szCs w:val="21"/>
                <w:highlight w:val="none"/>
                <w:lang w:val="en-US" w:eastAsia="zh-CN"/>
              </w:rPr>
              <w:t>8</w:t>
            </w:r>
            <w:r>
              <w:rPr>
                <w:rFonts w:hint="eastAsia"/>
                <w:color w:val="auto"/>
                <w:spacing w:val="10"/>
                <w:sz w:val="21"/>
                <w:szCs w:val="21"/>
                <w:highlight w:val="none"/>
              </w:rPr>
              <w:t>日</w:t>
            </w:r>
            <w:r>
              <w:rPr>
                <w:rFonts w:hint="eastAsia"/>
                <w:color w:val="auto"/>
                <w:spacing w:val="10"/>
                <w:sz w:val="21"/>
                <w:szCs w:val="21"/>
                <w:highlight w:val="none"/>
                <w:lang w:val="en-US" w:eastAsia="zh-CN"/>
              </w:rPr>
              <w:t>13</w:t>
            </w:r>
            <w:r>
              <w:rPr>
                <w:rFonts w:hint="eastAsia"/>
                <w:color w:val="auto"/>
                <w:spacing w:val="10"/>
                <w:sz w:val="21"/>
                <w:szCs w:val="21"/>
                <w:highlight w:val="none"/>
              </w:rPr>
              <w:t>时</w:t>
            </w:r>
            <w:r>
              <w:rPr>
                <w:rFonts w:hint="eastAsia"/>
                <w:color w:val="auto"/>
                <w:spacing w:val="10"/>
                <w:sz w:val="21"/>
                <w:szCs w:val="21"/>
                <w:highlight w:val="none"/>
                <w:lang w:val="en-US" w:eastAsia="zh-CN"/>
              </w:rPr>
              <w:t>00</w:t>
            </w:r>
            <w:r>
              <w:rPr>
                <w:rFonts w:hint="eastAsia"/>
                <w:color w:val="auto"/>
                <w:spacing w:val="10"/>
                <w:sz w:val="21"/>
                <w:szCs w:val="21"/>
                <w:highlight w:val="none"/>
              </w:rPr>
              <w:t>分（北京时间）前在“政采云”平台提交电子</w:t>
            </w:r>
            <w:r>
              <w:rPr>
                <w:rFonts w:hint="eastAsia"/>
                <w:color w:val="auto"/>
                <w:spacing w:val="10"/>
                <w:sz w:val="21"/>
                <w:szCs w:val="21"/>
                <w:highlight w:val="none"/>
                <w:lang w:eastAsia="zh-CN"/>
              </w:rPr>
              <w:t>响应</w:t>
            </w:r>
            <w:r>
              <w:rPr>
                <w:rFonts w:hint="eastAsia"/>
                <w:color w:val="auto"/>
                <w:spacing w:val="10"/>
                <w:sz w:val="21"/>
                <w:szCs w:val="21"/>
                <w:highlight w:val="none"/>
              </w:rPr>
              <w:t>文件。</w:t>
            </w:r>
          </w:p>
        </w:tc>
      </w:tr>
    </w:tbl>
    <w:p w14:paraId="5DA38804">
      <w:pPr>
        <w:spacing w:before="154" w:line="228" w:lineRule="auto"/>
        <w:ind w:left="100"/>
        <w:outlineLvl w:val="1"/>
        <w:rPr>
          <w:rFonts w:ascii="宋体" w:hAnsi="宋体" w:eastAsia="宋体" w:cs="宋体"/>
          <w:b/>
          <w:bCs/>
          <w:color w:val="auto"/>
          <w:spacing w:val="9"/>
          <w:position w:val="13"/>
          <w:sz w:val="21"/>
          <w:szCs w:val="21"/>
          <w:highlight w:val="none"/>
        </w:rPr>
      </w:pPr>
      <w:bookmarkStart w:id="3" w:name="_Toc20530"/>
      <w:r>
        <w:rPr>
          <w:rFonts w:ascii="宋体" w:hAnsi="宋体" w:eastAsia="宋体" w:cs="宋体"/>
          <w:b/>
          <w:bCs/>
          <w:color w:val="auto"/>
          <w:spacing w:val="9"/>
          <w:position w:val="13"/>
          <w:sz w:val="21"/>
          <w:szCs w:val="21"/>
          <w:highlight w:val="none"/>
        </w:rPr>
        <w:t>一、项目基本情况</w:t>
      </w:r>
      <w:bookmarkEnd w:id="3"/>
    </w:p>
    <w:p w14:paraId="587C566F">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rPr>
        <w:t>1.项目编号：</w:t>
      </w:r>
      <w:r>
        <w:rPr>
          <w:rFonts w:hint="eastAsia" w:ascii="宋体" w:hAnsi="宋体" w:eastAsia="宋体" w:cs="宋体"/>
          <w:color w:val="auto"/>
          <w:spacing w:val="9"/>
          <w:position w:val="13"/>
          <w:sz w:val="21"/>
          <w:szCs w:val="21"/>
          <w:highlight w:val="none"/>
          <w:lang w:eastAsia="zh-CN"/>
        </w:rPr>
        <w:t>JM-2025-06-00640(YCZB-CCYZ2025002)</w:t>
      </w:r>
    </w:p>
    <w:p w14:paraId="2A7FF670">
      <w:pPr>
        <w:spacing w:before="135" w:line="382" w:lineRule="exact"/>
        <w:ind w:left="520"/>
        <w:rPr>
          <w:rFonts w:ascii="宋体" w:hAnsi="宋体" w:eastAsia="宋体" w:cs="宋体"/>
          <w:color w:val="auto"/>
          <w:sz w:val="21"/>
          <w:szCs w:val="21"/>
          <w:highlight w:val="none"/>
        </w:rPr>
      </w:pPr>
      <w:r>
        <w:rPr>
          <w:rFonts w:hint="eastAsia" w:ascii="宋体" w:hAnsi="宋体" w:eastAsia="宋体" w:cs="宋体"/>
          <w:color w:val="auto"/>
          <w:spacing w:val="9"/>
          <w:position w:val="13"/>
          <w:sz w:val="21"/>
          <w:szCs w:val="21"/>
          <w:highlight w:val="none"/>
        </w:rPr>
        <w:t>2.项目名称：</w:t>
      </w:r>
      <w:r>
        <w:rPr>
          <w:rFonts w:hint="eastAsia" w:ascii="宋体" w:hAnsi="宋体" w:eastAsia="宋体" w:cs="宋体"/>
          <w:color w:val="auto"/>
          <w:spacing w:val="9"/>
          <w:position w:val="13"/>
          <w:sz w:val="21"/>
          <w:szCs w:val="21"/>
          <w:highlight w:val="none"/>
          <w:lang w:val="en-US" w:eastAsia="zh-CN"/>
        </w:rPr>
        <w:t>长春医学高等专科学校心苑宿舍楼、药学楼及大学生活动中心消防管道维修项目</w:t>
      </w:r>
      <w:r>
        <w:rPr>
          <w:rFonts w:hint="eastAsia" w:ascii="宋体" w:hAnsi="宋体" w:eastAsia="宋体" w:cs="宋体"/>
          <w:color w:val="auto"/>
          <w:spacing w:val="9"/>
          <w:position w:val="13"/>
          <w:sz w:val="21"/>
          <w:szCs w:val="21"/>
          <w:highlight w:val="none"/>
        </w:rPr>
        <w:t>。</w:t>
      </w:r>
    </w:p>
    <w:p w14:paraId="2611172A">
      <w:pPr>
        <w:spacing w:before="135" w:line="382" w:lineRule="exact"/>
        <w:ind w:left="520"/>
        <w:rPr>
          <w:rFonts w:ascii="宋体" w:hAnsi="宋体" w:eastAsia="宋体" w:cs="宋体"/>
          <w:color w:val="auto"/>
          <w:spacing w:val="9"/>
          <w:position w:val="13"/>
          <w:sz w:val="21"/>
          <w:szCs w:val="21"/>
          <w:highlight w:val="none"/>
        </w:rPr>
      </w:pPr>
      <w:r>
        <w:rPr>
          <w:rFonts w:ascii="宋体" w:hAnsi="宋体" w:eastAsia="宋体" w:cs="宋体"/>
          <w:color w:val="auto"/>
          <w:spacing w:val="9"/>
          <w:position w:val="13"/>
          <w:sz w:val="21"/>
          <w:szCs w:val="21"/>
          <w:highlight w:val="none"/>
        </w:rPr>
        <w:t>3.</w:t>
      </w:r>
      <w:r>
        <w:rPr>
          <w:rFonts w:hint="eastAsia" w:ascii="宋体" w:hAnsi="宋体" w:eastAsia="宋体" w:cs="宋体"/>
          <w:color w:val="auto"/>
          <w:spacing w:val="9"/>
          <w:position w:val="13"/>
          <w:sz w:val="21"/>
          <w:szCs w:val="21"/>
          <w:highlight w:val="none"/>
        </w:rPr>
        <w:t>采购方式：□竞争性谈判</w:t>
      </w:r>
      <w:r>
        <w:rPr>
          <w:rFonts w:hint="eastAsia" w:ascii="宋体" w:hAnsi="宋体" w:eastAsia="宋体" w:cs="宋体"/>
          <w:color w:val="auto"/>
          <w:spacing w:val="9"/>
          <w:position w:val="13"/>
          <w:sz w:val="21"/>
          <w:szCs w:val="21"/>
          <w:highlight w:val="none"/>
          <w:lang w:eastAsia="zh-CN"/>
        </w:rPr>
        <w:t>☑</w:t>
      </w:r>
      <w:r>
        <w:rPr>
          <w:rFonts w:hint="eastAsia" w:ascii="宋体" w:hAnsi="宋体" w:eastAsia="宋体" w:cs="宋体"/>
          <w:color w:val="auto"/>
          <w:spacing w:val="9"/>
          <w:position w:val="13"/>
          <w:sz w:val="21"/>
          <w:szCs w:val="21"/>
          <w:highlight w:val="none"/>
        </w:rPr>
        <w:t>竞争性磋商</w:t>
      </w:r>
      <w:r>
        <w:rPr>
          <w:rFonts w:hint="eastAsia" w:ascii="宋体" w:hAnsi="宋体" w:eastAsia="宋体" w:cs="宋体"/>
          <w:color w:val="auto"/>
          <w:spacing w:val="9"/>
          <w:position w:val="13"/>
          <w:sz w:val="21"/>
          <w:szCs w:val="21"/>
          <w:highlight w:val="none"/>
          <w:lang w:eastAsia="zh-CN"/>
        </w:rPr>
        <w:t>□</w:t>
      </w:r>
      <w:r>
        <w:rPr>
          <w:rFonts w:hint="eastAsia" w:ascii="宋体" w:hAnsi="宋体" w:eastAsia="宋体" w:cs="宋体"/>
          <w:color w:val="auto"/>
          <w:spacing w:val="9"/>
          <w:position w:val="13"/>
          <w:sz w:val="21"/>
          <w:szCs w:val="21"/>
          <w:highlight w:val="none"/>
        </w:rPr>
        <w:t>询价</w:t>
      </w:r>
    </w:p>
    <w:p w14:paraId="2C965AEE">
      <w:pPr>
        <w:spacing w:before="135" w:line="382" w:lineRule="exact"/>
        <w:ind w:left="520"/>
        <w:rPr>
          <w:rFonts w:hint="eastAsia" w:ascii="宋体" w:hAnsi="宋体" w:eastAsia="宋体" w:cs="宋体"/>
          <w:color w:val="auto"/>
          <w:spacing w:val="9"/>
          <w:position w:val="13"/>
          <w:sz w:val="21"/>
          <w:szCs w:val="21"/>
          <w:highlight w:val="none"/>
          <w:lang w:eastAsia="zh-CN"/>
        </w:rPr>
      </w:pPr>
      <w:r>
        <w:rPr>
          <w:rFonts w:hint="eastAsia" w:ascii="宋体" w:hAnsi="宋体" w:eastAsia="宋体" w:cs="宋体"/>
          <w:color w:val="auto"/>
          <w:spacing w:val="9"/>
          <w:position w:val="13"/>
          <w:sz w:val="21"/>
          <w:szCs w:val="21"/>
          <w:highlight w:val="none"/>
          <w:lang w:val="en-US" w:eastAsia="zh-CN"/>
        </w:rPr>
        <w:t>4.</w:t>
      </w:r>
      <w:r>
        <w:rPr>
          <w:rFonts w:hint="eastAsia" w:ascii="宋体" w:hAnsi="宋体" w:eastAsia="宋体" w:cs="宋体"/>
          <w:color w:val="auto"/>
          <w:spacing w:val="9"/>
          <w:position w:val="13"/>
          <w:sz w:val="21"/>
          <w:szCs w:val="21"/>
          <w:highlight w:val="none"/>
        </w:rPr>
        <w:t>预算金额：</w:t>
      </w:r>
      <w:r>
        <w:rPr>
          <w:rFonts w:hint="eastAsia" w:ascii="宋体" w:hAnsi="宋体" w:eastAsia="宋体" w:cs="宋体"/>
          <w:color w:val="auto"/>
          <w:spacing w:val="9"/>
          <w:position w:val="13"/>
          <w:sz w:val="21"/>
          <w:szCs w:val="21"/>
          <w:highlight w:val="none"/>
          <w:lang w:val="en-US" w:eastAsia="zh-CN"/>
        </w:rPr>
        <w:t>67.403万</w:t>
      </w:r>
      <w:r>
        <w:rPr>
          <w:rFonts w:hint="eastAsia" w:ascii="宋体" w:hAnsi="宋体" w:eastAsia="宋体" w:cs="宋体"/>
          <w:color w:val="auto"/>
          <w:spacing w:val="9"/>
          <w:position w:val="13"/>
          <w:sz w:val="21"/>
          <w:szCs w:val="21"/>
          <w:highlight w:val="none"/>
          <w:lang w:eastAsia="zh-CN"/>
        </w:rPr>
        <w:t>元。</w:t>
      </w:r>
    </w:p>
    <w:p w14:paraId="27E51A38">
      <w:pPr>
        <w:spacing w:before="135" w:line="382" w:lineRule="exact"/>
        <w:ind w:left="520"/>
        <w:rPr>
          <w:rFonts w:hint="default"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5.最高限价：67.403万</w:t>
      </w:r>
      <w:r>
        <w:rPr>
          <w:rFonts w:hint="eastAsia" w:ascii="宋体" w:hAnsi="宋体" w:eastAsia="宋体" w:cs="宋体"/>
          <w:color w:val="auto"/>
          <w:spacing w:val="9"/>
          <w:position w:val="13"/>
          <w:sz w:val="21"/>
          <w:szCs w:val="21"/>
          <w:highlight w:val="none"/>
          <w:lang w:eastAsia="zh-CN"/>
        </w:rPr>
        <w:t>元。</w:t>
      </w:r>
    </w:p>
    <w:p w14:paraId="5D51BF14">
      <w:pPr>
        <w:spacing w:before="135" w:line="382" w:lineRule="exact"/>
        <w:ind w:left="520"/>
        <w:rPr>
          <w:rFonts w:hint="eastAsia" w:ascii="宋体" w:hAnsi="宋体" w:eastAsia="宋体" w:cs="宋体"/>
          <w:color w:val="auto"/>
          <w:spacing w:val="9"/>
          <w:position w:val="13"/>
          <w:sz w:val="21"/>
          <w:szCs w:val="21"/>
          <w:highlight w:val="none"/>
          <w:lang w:eastAsia="zh-CN"/>
        </w:rPr>
      </w:pPr>
      <w:r>
        <w:rPr>
          <w:rFonts w:hint="eastAsia" w:ascii="宋体" w:hAnsi="宋体" w:eastAsia="宋体" w:cs="宋体"/>
          <w:color w:val="auto"/>
          <w:spacing w:val="9"/>
          <w:position w:val="13"/>
          <w:sz w:val="21"/>
          <w:szCs w:val="21"/>
          <w:highlight w:val="none"/>
          <w:lang w:val="en-US" w:eastAsia="zh-CN"/>
        </w:rPr>
        <w:t>6</w:t>
      </w:r>
      <w:r>
        <w:rPr>
          <w:rFonts w:ascii="宋体" w:hAnsi="宋体" w:eastAsia="宋体" w:cs="宋体"/>
          <w:color w:val="auto"/>
          <w:spacing w:val="9"/>
          <w:position w:val="13"/>
          <w:sz w:val="21"/>
          <w:szCs w:val="21"/>
          <w:highlight w:val="none"/>
        </w:rPr>
        <w:t>.采购需求：</w:t>
      </w:r>
      <w:r>
        <w:rPr>
          <w:rFonts w:hint="eastAsia" w:ascii="宋体" w:hAnsi="宋体" w:eastAsia="宋体" w:cs="宋体"/>
          <w:color w:val="auto"/>
          <w:spacing w:val="9"/>
          <w:position w:val="13"/>
          <w:sz w:val="21"/>
          <w:szCs w:val="21"/>
          <w:highlight w:val="none"/>
          <w:lang w:eastAsia="zh-CN"/>
        </w:rPr>
        <w:t>“长春医学高等专科学校心苑宿舍楼、药学楼及大学生活动中心消防管道维修项目”</w:t>
      </w:r>
      <w:r>
        <w:rPr>
          <w:rFonts w:hint="eastAsia" w:ascii="宋体" w:hAnsi="宋体" w:eastAsia="宋体" w:cs="宋体"/>
          <w:color w:val="auto"/>
          <w:spacing w:val="9"/>
          <w:position w:val="13"/>
          <w:sz w:val="21"/>
          <w:szCs w:val="21"/>
          <w:highlight w:val="none"/>
        </w:rPr>
        <w:t>内施工图内的全部工程,详见工程量清单。</w:t>
      </w:r>
    </w:p>
    <w:p w14:paraId="1FA94618">
      <w:pPr>
        <w:spacing w:before="135" w:line="382" w:lineRule="exact"/>
        <w:ind w:left="520"/>
        <w:rPr>
          <w:rFonts w:hint="eastAsia" w:ascii="宋体" w:hAnsi="宋体" w:eastAsia="宋体" w:cs="宋体"/>
          <w:color w:val="auto"/>
          <w:spacing w:val="9"/>
          <w:position w:val="13"/>
          <w:sz w:val="21"/>
          <w:szCs w:val="21"/>
          <w:highlight w:val="none"/>
          <w:lang w:eastAsia="zh-CN"/>
        </w:rPr>
      </w:pPr>
      <w:r>
        <w:rPr>
          <w:rFonts w:hint="eastAsia" w:ascii="宋体" w:hAnsi="宋体" w:eastAsia="宋体" w:cs="宋体"/>
          <w:color w:val="auto"/>
          <w:spacing w:val="9"/>
          <w:position w:val="13"/>
          <w:sz w:val="21"/>
          <w:szCs w:val="21"/>
          <w:highlight w:val="none"/>
          <w:lang w:val="en-US" w:eastAsia="zh-CN"/>
        </w:rPr>
        <w:t>7</w:t>
      </w:r>
      <w:r>
        <w:rPr>
          <w:rFonts w:ascii="宋体" w:hAnsi="宋体" w:eastAsia="宋体" w:cs="宋体"/>
          <w:color w:val="auto"/>
          <w:spacing w:val="9"/>
          <w:position w:val="13"/>
          <w:sz w:val="21"/>
          <w:szCs w:val="21"/>
          <w:highlight w:val="none"/>
        </w:rPr>
        <w:t>.</w:t>
      </w:r>
      <w:r>
        <w:rPr>
          <w:rFonts w:hint="eastAsia" w:ascii="宋体" w:hAnsi="宋体" w:eastAsia="宋体" w:cs="宋体"/>
          <w:color w:val="auto"/>
          <w:spacing w:val="9"/>
          <w:position w:val="13"/>
          <w:sz w:val="21"/>
          <w:szCs w:val="21"/>
          <w:highlight w:val="none"/>
          <w:lang w:eastAsia="zh-CN"/>
        </w:rPr>
        <w:t>项目</w:t>
      </w:r>
      <w:r>
        <w:rPr>
          <w:rFonts w:hint="eastAsia" w:ascii="宋体" w:hAnsi="宋体" w:eastAsia="宋体" w:cs="宋体"/>
          <w:color w:val="auto"/>
          <w:spacing w:val="9"/>
          <w:position w:val="13"/>
          <w:sz w:val="21"/>
          <w:szCs w:val="21"/>
          <w:highlight w:val="none"/>
        </w:rPr>
        <w:t>地点</w:t>
      </w:r>
      <w:r>
        <w:rPr>
          <w:rFonts w:ascii="宋体" w:hAnsi="宋体" w:eastAsia="宋体" w:cs="宋体"/>
          <w:color w:val="auto"/>
          <w:spacing w:val="9"/>
          <w:position w:val="13"/>
          <w:sz w:val="21"/>
          <w:szCs w:val="21"/>
          <w:highlight w:val="none"/>
        </w:rPr>
        <w:t>：</w:t>
      </w:r>
      <w:r>
        <w:rPr>
          <w:rFonts w:hint="eastAsia" w:ascii="宋体" w:hAnsi="宋体" w:eastAsia="宋体" w:cs="宋体"/>
          <w:color w:val="auto"/>
          <w:spacing w:val="9"/>
          <w:position w:val="13"/>
          <w:sz w:val="21"/>
          <w:szCs w:val="21"/>
          <w:highlight w:val="none"/>
          <w:lang w:eastAsia="zh-CN"/>
        </w:rPr>
        <w:t>长春医学高等专科学院</w:t>
      </w:r>
    </w:p>
    <w:p w14:paraId="68A62A17">
      <w:pPr>
        <w:spacing w:before="135" w:line="382" w:lineRule="exact"/>
        <w:ind w:left="520"/>
        <w:rPr>
          <w:rFonts w:ascii="宋体" w:hAnsi="宋体" w:eastAsia="宋体" w:cs="宋体"/>
          <w:color w:val="auto"/>
          <w:spacing w:val="9"/>
          <w:position w:val="13"/>
          <w:sz w:val="21"/>
          <w:szCs w:val="21"/>
          <w:highlight w:val="none"/>
        </w:rPr>
      </w:pPr>
      <w:r>
        <w:rPr>
          <w:rFonts w:hint="eastAsia" w:ascii="宋体" w:hAnsi="宋体" w:eastAsia="宋体" w:cs="宋体"/>
          <w:color w:val="auto"/>
          <w:spacing w:val="9"/>
          <w:position w:val="13"/>
          <w:sz w:val="21"/>
          <w:szCs w:val="21"/>
          <w:highlight w:val="none"/>
          <w:lang w:val="en-US" w:eastAsia="zh-CN"/>
        </w:rPr>
        <w:t>8</w:t>
      </w:r>
      <w:r>
        <w:rPr>
          <w:rFonts w:ascii="宋体" w:hAnsi="宋体" w:eastAsia="宋体" w:cs="宋体"/>
          <w:color w:val="auto"/>
          <w:spacing w:val="9"/>
          <w:position w:val="13"/>
          <w:sz w:val="21"/>
          <w:szCs w:val="21"/>
          <w:highlight w:val="none"/>
        </w:rPr>
        <w:t>.合同履行期限：</w:t>
      </w:r>
      <w:r>
        <w:rPr>
          <w:rFonts w:hint="eastAsia" w:ascii="宋体" w:hAnsi="宋体" w:eastAsia="宋体" w:cs="宋体"/>
          <w:color w:val="auto"/>
          <w:spacing w:val="9"/>
          <w:position w:val="13"/>
          <w:sz w:val="21"/>
          <w:szCs w:val="21"/>
          <w:highlight w:val="none"/>
          <w:lang w:val="en-US" w:eastAsia="en-US"/>
        </w:rPr>
        <w:t>采购合同签订之日起 35 天内</w:t>
      </w:r>
      <w:r>
        <w:rPr>
          <w:rFonts w:ascii="宋体" w:hAnsi="宋体" w:eastAsia="宋体" w:cs="宋体"/>
          <w:color w:val="auto"/>
          <w:spacing w:val="9"/>
          <w:position w:val="13"/>
          <w:sz w:val="21"/>
          <w:szCs w:val="21"/>
          <w:highlight w:val="none"/>
        </w:rPr>
        <w:t>。</w:t>
      </w:r>
    </w:p>
    <w:p w14:paraId="181F9C70">
      <w:pPr>
        <w:spacing w:before="135" w:line="382" w:lineRule="exact"/>
        <w:ind w:left="520"/>
        <w:rPr>
          <w:rFonts w:ascii="宋体" w:hAnsi="宋体" w:eastAsia="宋体" w:cs="宋体"/>
          <w:color w:val="auto"/>
          <w:spacing w:val="9"/>
          <w:position w:val="13"/>
          <w:sz w:val="21"/>
          <w:szCs w:val="21"/>
          <w:highlight w:val="none"/>
        </w:rPr>
      </w:pPr>
      <w:r>
        <w:rPr>
          <w:rFonts w:hint="eastAsia" w:ascii="宋体" w:hAnsi="宋体" w:eastAsia="宋体" w:cs="宋体"/>
          <w:color w:val="auto"/>
          <w:spacing w:val="9"/>
          <w:position w:val="13"/>
          <w:sz w:val="21"/>
          <w:szCs w:val="21"/>
          <w:highlight w:val="none"/>
          <w:lang w:val="en-US" w:eastAsia="zh-CN"/>
        </w:rPr>
        <w:t>9</w:t>
      </w:r>
      <w:r>
        <w:rPr>
          <w:rFonts w:ascii="宋体" w:hAnsi="宋体" w:eastAsia="宋体" w:cs="宋体"/>
          <w:color w:val="auto"/>
          <w:spacing w:val="9"/>
          <w:position w:val="13"/>
          <w:sz w:val="21"/>
          <w:szCs w:val="21"/>
          <w:highlight w:val="none"/>
        </w:rPr>
        <w:t>.质量标准：</w:t>
      </w:r>
      <w:r>
        <w:rPr>
          <w:rFonts w:hint="eastAsia" w:ascii="宋体" w:hAnsi="宋体" w:eastAsia="宋体" w:cs="宋体"/>
          <w:color w:val="auto"/>
          <w:spacing w:val="9"/>
          <w:position w:val="13"/>
          <w:sz w:val="21"/>
          <w:szCs w:val="21"/>
          <w:highlight w:val="none"/>
        </w:rPr>
        <w:t>符合国家《建筑工程施工质量验收统一标准》及相关标准的合格工程</w:t>
      </w:r>
      <w:r>
        <w:rPr>
          <w:rFonts w:ascii="宋体" w:hAnsi="宋体" w:eastAsia="宋体" w:cs="宋体"/>
          <w:color w:val="auto"/>
          <w:spacing w:val="9"/>
          <w:position w:val="13"/>
          <w:sz w:val="21"/>
          <w:szCs w:val="21"/>
          <w:highlight w:val="none"/>
        </w:rPr>
        <w:t>。</w:t>
      </w:r>
    </w:p>
    <w:p w14:paraId="0C6D7A71">
      <w:pPr>
        <w:spacing w:before="135" w:line="382" w:lineRule="exact"/>
        <w:ind w:left="520"/>
        <w:rPr>
          <w:rFonts w:ascii="宋体" w:hAnsi="宋体" w:eastAsia="宋体" w:cs="宋体"/>
          <w:color w:val="auto"/>
          <w:spacing w:val="9"/>
          <w:position w:val="13"/>
          <w:sz w:val="21"/>
          <w:szCs w:val="21"/>
          <w:highlight w:val="none"/>
        </w:rPr>
      </w:pPr>
      <w:r>
        <w:rPr>
          <w:rFonts w:hint="eastAsia" w:ascii="宋体" w:hAnsi="宋体" w:eastAsia="宋体" w:cs="宋体"/>
          <w:color w:val="auto"/>
          <w:spacing w:val="9"/>
          <w:position w:val="13"/>
          <w:sz w:val="21"/>
          <w:szCs w:val="21"/>
          <w:highlight w:val="none"/>
          <w:lang w:val="en-US" w:eastAsia="zh-CN"/>
        </w:rPr>
        <w:t>10</w:t>
      </w:r>
      <w:r>
        <w:rPr>
          <w:rFonts w:ascii="宋体" w:hAnsi="宋体" w:eastAsia="宋体" w:cs="宋体"/>
          <w:color w:val="auto"/>
          <w:spacing w:val="9"/>
          <w:position w:val="13"/>
          <w:sz w:val="21"/>
          <w:szCs w:val="21"/>
          <w:highlight w:val="none"/>
        </w:rPr>
        <w:t>.</w:t>
      </w:r>
      <w:r>
        <w:rPr>
          <w:rFonts w:hint="eastAsia" w:ascii="宋体" w:hAnsi="宋体" w:eastAsia="宋体" w:cs="宋体"/>
          <w:color w:val="auto"/>
          <w:spacing w:val="9"/>
          <w:position w:val="13"/>
          <w:sz w:val="21"/>
          <w:szCs w:val="21"/>
          <w:highlight w:val="none"/>
        </w:rPr>
        <w:t>本项目</w:t>
      </w:r>
      <w:r>
        <w:rPr>
          <w:rFonts w:hint="eastAsia" w:ascii="宋体" w:hAnsi="宋体" w:eastAsia="宋体" w:cs="宋体"/>
          <w:color w:val="auto"/>
          <w:spacing w:val="9"/>
          <w:position w:val="13"/>
          <w:sz w:val="21"/>
          <w:szCs w:val="21"/>
          <w:highlight w:val="none"/>
          <w:lang w:eastAsia="zh-CN"/>
        </w:rPr>
        <w:t>不</w:t>
      </w:r>
      <w:r>
        <w:rPr>
          <w:rFonts w:hint="eastAsia" w:ascii="宋体" w:hAnsi="宋体" w:eastAsia="宋体" w:cs="宋体"/>
          <w:color w:val="auto"/>
          <w:spacing w:val="9"/>
          <w:position w:val="13"/>
          <w:sz w:val="21"/>
          <w:szCs w:val="21"/>
          <w:highlight w:val="none"/>
        </w:rPr>
        <w:t>接受联合体。</w:t>
      </w:r>
    </w:p>
    <w:p w14:paraId="335F0100">
      <w:pPr>
        <w:spacing w:before="154" w:line="228" w:lineRule="auto"/>
        <w:ind w:left="100"/>
        <w:outlineLvl w:val="1"/>
        <w:rPr>
          <w:rFonts w:ascii="宋体" w:hAnsi="宋体" w:eastAsia="宋体" w:cs="宋体"/>
          <w:color w:val="auto"/>
          <w:sz w:val="20"/>
          <w:szCs w:val="20"/>
          <w:highlight w:val="none"/>
        </w:rPr>
      </w:pPr>
      <w:bookmarkStart w:id="4" w:name="_Toc1674"/>
      <w:r>
        <w:rPr>
          <w:rFonts w:ascii="宋体" w:hAnsi="宋体" w:eastAsia="宋体" w:cs="宋体"/>
          <w:b/>
          <w:bCs/>
          <w:color w:val="auto"/>
          <w:spacing w:val="9"/>
          <w:position w:val="13"/>
          <w:sz w:val="21"/>
          <w:szCs w:val="21"/>
          <w:highlight w:val="none"/>
        </w:rPr>
        <w:t>二、申请人的资格要求：</w:t>
      </w:r>
      <w:bookmarkEnd w:id="4"/>
    </w:p>
    <w:p w14:paraId="3F779E60">
      <w:pPr>
        <w:spacing w:before="135" w:line="382" w:lineRule="exact"/>
        <w:ind w:left="520"/>
        <w:rPr>
          <w:rFonts w:ascii="宋体" w:hAnsi="宋体" w:eastAsia="宋体" w:cs="宋体"/>
          <w:color w:val="auto"/>
          <w:spacing w:val="9"/>
          <w:position w:val="13"/>
          <w:sz w:val="21"/>
          <w:szCs w:val="21"/>
          <w:highlight w:val="none"/>
        </w:rPr>
      </w:pPr>
      <w:r>
        <w:rPr>
          <w:rFonts w:ascii="宋体" w:hAnsi="宋体" w:eastAsia="宋体" w:cs="宋体"/>
          <w:color w:val="auto"/>
          <w:spacing w:val="9"/>
          <w:position w:val="13"/>
          <w:sz w:val="21"/>
          <w:szCs w:val="21"/>
          <w:highlight w:val="none"/>
        </w:rPr>
        <w:t>1.满足《中华人民共和国政府采购法》第二十二条规定。</w:t>
      </w:r>
    </w:p>
    <w:p w14:paraId="26B2BFA2">
      <w:pPr>
        <w:spacing w:before="135" w:line="382" w:lineRule="exact"/>
        <w:ind w:left="520"/>
        <w:rPr>
          <w:rFonts w:ascii="宋体" w:hAnsi="宋体" w:eastAsia="宋体" w:cs="宋体"/>
          <w:color w:val="auto"/>
          <w:spacing w:val="9"/>
          <w:position w:val="13"/>
          <w:sz w:val="21"/>
          <w:szCs w:val="21"/>
          <w:highlight w:val="none"/>
        </w:rPr>
      </w:pPr>
      <w:r>
        <w:rPr>
          <w:rFonts w:ascii="宋体" w:hAnsi="宋体" w:eastAsia="宋体" w:cs="宋体"/>
          <w:color w:val="auto"/>
          <w:spacing w:val="9"/>
          <w:position w:val="13"/>
          <w:sz w:val="21"/>
          <w:szCs w:val="21"/>
          <w:highlight w:val="none"/>
        </w:rPr>
        <w:t>2</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落实政府采购政策需满足的资格要求：本项目专门面向中小企业采购的项目。需要落实的政府采购政策：《政府采购促进中小企业发展管理办法》</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财库[2020]46 号</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；《吉林省促进中小企业发展 条例》和《长春市财政局关于做好我市政府采购促进中小企业发展有关工作的通知》；《关于政府采购支持监狱企业发展有关问题的通知》</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财库[2014]68号</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；《三部门联合发布关于促进残疾人就业政府采购政策的通知》</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财库[2017]141号</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等。本项目所属行业为：建筑业。</w:t>
      </w:r>
    </w:p>
    <w:p w14:paraId="2101EFD7">
      <w:pPr>
        <w:spacing w:before="135" w:line="382" w:lineRule="exact"/>
        <w:ind w:left="520"/>
        <w:rPr>
          <w:rFonts w:ascii="宋体" w:hAnsi="宋体" w:eastAsia="宋体" w:cs="宋体"/>
          <w:color w:val="auto"/>
          <w:spacing w:val="9"/>
          <w:position w:val="13"/>
          <w:sz w:val="21"/>
          <w:szCs w:val="21"/>
          <w:highlight w:val="none"/>
        </w:rPr>
      </w:pPr>
      <w:r>
        <w:rPr>
          <w:rFonts w:ascii="宋体" w:hAnsi="宋体" w:eastAsia="宋体" w:cs="宋体"/>
          <w:color w:val="auto"/>
          <w:spacing w:val="9"/>
          <w:position w:val="13"/>
          <w:sz w:val="21"/>
          <w:szCs w:val="21"/>
          <w:highlight w:val="none"/>
        </w:rPr>
        <w:t>3</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本项目的特定资格要求：</w:t>
      </w:r>
    </w:p>
    <w:p w14:paraId="5F101710">
      <w:pPr>
        <w:spacing w:before="135" w:line="382" w:lineRule="exact"/>
        <w:ind w:left="520"/>
        <w:rPr>
          <w:rFonts w:ascii="宋体" w:hAnsi="宋体" w:eastAsia="宋体" w:cs="宋体"/>
          <w:color w:val="auto"/>
          <w:spacing w:val="9"/>
          <w:position w:val="13"/>
          <w:sz w:val="21"/>
          <w:szCs w:val="21"/>
          <w:highlight w:val="none"/>
        </w:rPr>
      </w:pPr>
      <w:r>
        <w:rPr>
          <w:rFonts w:ascii="宋体" w:hAnsi="宋体" w:eastAsia="宋体" w:cs="宋体"/>
          <w:color w:val="auto"/>
          <w:spacing w:val="9"/>
          <w:position w:val="13"/>
          <w:sz w:val="21"/>
          <w:szCs w:val="21"/>
          <w:highlight w:val="none"/>
        </w:rPr>
        <w:t xml:space="preserve">3.1 </w:t>
      </w:r>
      <w:r>
        <w:rPr>
          <w:rFonts w:hint="eastAsia" w:ascii="宋体" w:hAnsi="宋体" w:eastAsia="宋体" w:cs="宋体"/>
          <w:color w:val="auto"/>
          <w:spacing w:val="9"/>
          <w:position w:val="13"/>
          <w:sz w:val="21"/>
          <w:szCs w:val="21"/>
          <w:highlight w:val="none"/>
          <w:lang w:eastAsia="zh-CN"/>
        </w:rPr>
        <w:t>供应商</w:t>
      </w:r>
      <w:r>
        <w:rPr>
          <w:rFonts w:ascii="宋体" w:hAnsi="宋体" w:eastAsia="宋体" w:cs="宋体"/>
          <w:color w:val="auto"/>
          <w:spacing w:val="9"/>
          <w:position w:val="13"/>
          <w:sz w:val="21"/>
          <w:szCs w:val="21"/>
          <w:highlight w:val="none"/>
        </w:rPr>
        <w:t>具有独立法人资格，具有有效的营业执照，</w:t>
      </w:r>
      <w:r>
        <w:rPr>
          <w:rFonts w:hint="eastAsia" w:ascii="宋体" w:hAnsi="宋体" w:eastAsia="宋体" w:cs="宋体"/>
          <w:color w:val="auto"/>
          <w:spacing w:val="9"/>
          <w:position w:val="13"/>
          <w:sz w:val="21"/>
          <w:szCs w:val="21"/>
          <w:highlight w:val="none"/>
        </w:rPr>
        <w:t>具备建设行政主管部门核发的建筑工程施工总承包二级及以上资质或消防资质二级</w:t>
      </w:r>
      <w:r>
        <w:rPr>
          <w:rFonts w:ascii="宋体" w:hAnsi="宋体" w:eastAsia="宋体" w:cs="宋体"/>
          <w:color w:val="auto"/>
          <w:spacing w:val="9"/>
          <w:position w:val="13"/>
          <w:sz w:val="21"/>
          <w:szCs w:val="21"/>
          <w:highlight w:val="none"/>
        </w:rPr>
        <w:t>的法人或其他组织，具有有效的安全生产许可证，并在人员、设备、资金等方面具有相应的施工能力。</w:t>
      </w:r>
    </w:p>
    <w:p w14:paraId="690BCFBA">
      <w:pPr>
        <w:spacing w:before="135" w:line="382" w:lineRule="exact"/>
        <w:ind w:left="520"/>
        <w:rPr>
          <w:rFonts w:ascii="宋体" w:hAnsi="宋体" w:eastAsia="宋体" w:cs="宋体"/>
          <w:color w:val="auto"/>
          <w:spacing w:val="9"/>
          <w:position w:val="13"/>
          <w:sz w:val="21"/>
          <w:szCs w:val="21"/>
          <w:highlight w:val="none"/>
        </w:rPr>
      </w:pPr>
      <w:r>
        <w:rPr>
          <w:rFonts w:ascii="宋体" w:hAnsi="宋体" w:eastAsia="宋体" w:cs="宋体"/>
          <w:color w:val="auto"/>
          <w:spacing w:val="9"/>
          <w:position w:val="13"/>
          <w:sz w:val="21"/>
          <w:szCs w:val="21"/>
          <w:highlight w:val="none"/>
        </w:rPr>
        <w:t>3.2 项目经理及其他人员要求：投标单位拟派出的项目经理须具备建设行政主管部门核发的相关专业二级及以上注册建造师资格和有效的安全考核合格证书</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B类</w:t>
      </w:r>
      <w:r>
        <w:rPr>
          <w:rFonts w:hint="eastAsia" w:ascii="宋体" w:hAnsi="宋体" w:eastAsia="宋体" w:cs="宋体"/>
          <w:color w:val="auto"/>
          <w:spacing w:val="9"/>
          <w:position w:val="13"/>
          <w:sz w:val="21"/>
          <w:szCs w:val="21"/>
          <w:highlight w:val="none"/>
          <w:lang w:eastAsia="zh-CN"/>
        </w:rPr>
        <w:t>），</w:t>
      </w:r>
      <w:r>
        <w:rPr>
          <w:rFonts w:ascii="宋体" w:hAnsi="宋体" w:eastAsia="宋体" w:cs="宋体"/>
          <w:color w:val="auto"/>
          <w:spacing w:val="9"/>
          <w:position w:val="13"/>
          <w:sz w:val="21"/>
          <w:szCs w:val="21"/>
          <w:highlight w:val="none"/>
        </w:rPr>
        <w:t>项目经理和专职安全生产管理人员在“吉林省建设工程安管人员管理系统”中查询网络截图并提供合法有效的查询途径，外省未实行电子查询系统的应提供项目经理和专职安全生产管理人员安全生产考核合格证书。其他人员要求：拟派出的技术负责人须具备相关专业中级（含）以上的技术职称，且施工员、质量员、安全员等人员齐全。拟派出的项目管理人员应无其他在建工程，否则按无效投标处理。</w:t>
      </w:r>
    </w:p>
    <w:p w14:paraId="46267F95">
      <w:pPr>
        <w:spacing w:before="135" w:line="382" w:lineRule="exact"/>
        <w:ind w:left="520"/>
        <w:rPr>
          <w:rFonts w:ascii="宋体" w:hAnsi="宋体" w:eastAsia="宋体" w:cs="宋体"/>
          <w:color w:val="auto"/>
          <w:spacing w:val="9"/>
          <w:position w:val="13"/>
          <w:sz w:val="21"/>
          <w:szCs w:val="21"/>
          <w:highlight w:val="none"/>
        </w:rPr>
      </w:pPr>
      <w:r>
        <w:rPr>
          <w:rFonts w:ascii="宋体" w:hAnsi="宋体" w:eastAsia="宋体" w:cs="宋体"/>
          <w:color w:val="auto"/>
          <w:spacing w:val="9"/>
          <w:position w:val="13"/>
          <w:sz w:val="21"/>
          <w:szCs w:val="21"/>
          <w:highlight w:val="none"/>
        </w:rPr>
        <w:t>3.</w:t>
      </w:r>
      <w:r>
        <w:rPr>
          <w:rFonts w:hint="eastAsia" w:ascii="宋体" w:hAnsi="宋体" w:eastAsia="宋体" w:cs="宋体"/>
          <w:color w:val="auto"/>
          <w:spacing w:val="9"/>
          <w:position w:val="13"/>
          <w:sz w:val="21"/>
          <w:szCs w:val="21"/>
          <w:highlight w:val="none"/>
          <w:lang w:val="en-US" w:eastAsia="zh-CN"/>
        </w:rPr>
        <w:t>3</w:t>
      </w:r>
      <w:r>
        <w:rPr>
          <w:rFonts w:ascii="宋体" w:hAnsi="宋体" w:eastAsia="宋体" w:cs="宋体"/>
          <w:color w:val="auto"/>
          <w:spacing w:val="9"/>
          <w:position w:val="13"/>
          <w:sz w:val="21"/>
          <w:szCs w:val="21"/>
          <w:highlight w:val="none"/>
        </w:rPr>
        <w:t>供应商应按照《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628A1DDD">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3.4信誉要求：（1）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查询截止时点：投标截止时间前，并将查询结果网页打印。对列入失信被执行人、重大税收违法案件当事人名单、政府采购严重违法失信行为记录名单及其他不符合《中华人民共和国政府采购法》第二十二条规定条件的供应商，拒绝其参与政府采购活动。（4）在近三年（2022年-至今）内供应商和其法定代表人、拟委任的项目经理未在“中国裁判文书网”（wenshu.court.gov.cn）上有行贿犯罪行为。</w:t>
      </w:r>
    </w:p>
    <w:p w14:paraId="1FDDDE0E">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3.5单位负责人为同一人或者存在直接控股、管理关系的不同供应商，不得参加同一合同项下的政府 采购活动。除单一来源采购项目外，为采购项目提供整体设计、规范编制或者项目管理、监理、检测等服务的供应商，不得再参加该采购项目的其他采购活动。</w:t>
      </w:r>
    </w:p>
    <w:p w14:paraId="753A48D5">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3.6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p w14:paraId="718C4817">
      <w:pPr>
        <w:numPr>
          <w:ilvl w:val="0"/>
          <w:numId w:val="0"/>
        </w:numPr>
        <w:spacing w:before="154" w:line="228" w:lineRule="auto"/>
        <w:outlineLvl w:val="1"/>
        <w:rPr>
          <w:rFonts w:hint="eastAsia" w:ascii="宋体" w:hAnsi="宋体" w:eastAsia="宋体" w:cs="宋体"/>
          <w:b/>
          <w:bCs/>
          <w:color w:val="auto"/>
          <w:spacing w:val="9"/>
          <w:position w:val="13"/>
          <w:sz w:val="21"/>
          <w:szCs w:val="21"/>
          <w:highlight w:val="none"/>
        </w:rPr>
      </w:pPr>
      <w:bookmarkStart w:id="5" w:name="_Toc35393800"/>
      <w:bookmarkStart w:id="6" w:name="_Toc35393631"/>
      <w:bookmarkStart w:id="7" w:name="_Toc29019"/>
      <w:r>
        <w:rPr>
          <w:rFonts w:hint="eastAsia" w:ascii="宋体" w:hAnsi="宋体" w:eastAsia="宋体" w:cs="宋体"/>
          <w:b/>
          <w:bCs/>
          <w:color w:val="auto"/>
          <w:spacing w:val="9"/>
          <w:position w:val="13"/>
          <w:sz w:val="21"/>
          <w:szCs w:val="21"/>
          <w:highlight w:val="none"/>
          <w:lang w:eastAsia="zh-CN"/>
        </w:rPr>
        <w:t>三、</w:t>
      </w:r>
      <w:r>
        <w:rPr>
          <w:rFonts w:hint="eastAsia" w:ascii="宋体" w:hAnsi="宋体" w:eastAsia="宋体" w:cs="宋体"/>
          <w:b/>
          <w:bCs/>
          <w:color w:val="auto"/>
          <w:spacing w:val="9"/>
          <w:position w:val="13"/>
          <w:sz w:val="21"/>
          <w:szCs w:val="21"/>
          <w:highlight w:val="none"/>
        </w:rPr>
        <w:t>获取采购文件</w:t>
      </w:r>
      <w:bookmarkEnd w:id="5"/>
      <w:bookmarkEnd w:id="6"/>
      <w:bookmarkEnd w:id="7"/>
    </w:p>
    <w:p w14:paraId="384E463C">
      <w:pPr>
        <w:spacing w:before="135" w:line="382" w:lineRule="exact"/>
        <w:ind w:left="520"/>
        <w:rPr>
          <w:rFonts w:hint="eastAsia" w:ascii="宋体" w:hAnsi="宋体" w:eastAsia="宋体" w:cs="宋体"/>
          <w:color w:val="auto"/>
          <w:spacing w:val="9"/>
          <w:position w:val="13"/>
          <w:sz w:val="21"/>
          <w:szCs w:val="21"/>
          <w:highlight w:val="yellow"/>
          <w:lang w:val="en-US" w:eastAsia="zh-CN"/>
        </w:rPr>
      </w:pPr>
      <w:r>
        <w:rPr>
          <w:rFonts w:hint="eastAsia" w:ascii="宋体" w:hAnsi="宋体" w:eastAsia="宋体" w:cs="宋体"/>
          <w:color w:val="auto"/>
          <w:spacing w:val="9"/>
          <w:position w:val="13"/>
          <w:sz w:val="21"/>
          <w:szCs w:val="21"/>
          <w:highlight w:val="none"/>
          <w:lang w:val="en-US" w:eastAsia="zh-CN"/>
        </w:rPr>
        <w:t>时间：2025年06月26日至2025年7月3日，每天上午9:00至12:00，下午13:00至16:00（北京时间，法定节假日除外）</w:t>
      </w:r>
    </w:p>
    <w:p w14:paraId="3BA2D1B4">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地点：“政采云”平台（http：//www.zcygov.cn）自行下载。</w:t>
      </w:r>
    </w:p>
    <w:p w14:paraId="6B2B653F">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方式：网上免费获取（潜在供应商自行登录政府采购云平台（网址：http:// www.zcygov.cn）网上注册（https://middle.zcygov.cn/v-settle-front/registry）并下载竞争性磋商文件，其他途径获取的竞争性磋商文件开标时一律按无效投标处理）。咨询电话：95763。</w:t>
      </w:r>
    </w:p>
    <w:p w14:paraId="722DA240">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售价：0元。</w:t>
      </w:r>
    </w:p>
    <w:p w14:paraId="45F5BF65">
      <w:pPr>
        <w:numPr>
          <w:ilvl w:val="0"/>
          <w:numId w:val="0"/>
        </w:numPr>
        <w:spacing w:before="154" w:line="228" w:lineRule="auto"/>
        <w:ind w:left="100" w:leftChars="0"/>
        <w:outlineLvl w:val="1"/>
        <w:rPr>
          <w:rFonts w:hint="eastAsia" w:ascii="宋体" w:hAnsi="宋体" w:eastAsia="宋体" w:cs="宋体"/>
          <w:b/>
          <w:bCs/>
          <w:color w:val="auto"/>
          <w:spacing w:val="9"/>
          <w:position w:val="13"/>
          <w:sz w:val="21"/>
          <w:szCs w:val="21"/>
          <w:highlight w:val="none"/>
        </w:rPr>
      </w:pPr>
      <w:bookmarkStart w:id="8" w:name="_Toc28359092"/>
      <w:bookmarkStart w:id="9" w:name="_Toc35393801"/>
      <w:bookmarkStart w:id="10" w:name="_Toc28359015"/>
      <w:bookmarkStart w:id="11" w:name="_Toc35393632"/>
      <w:bookmarkStart w:id="12" w:name="_Toc1096"/>
      <w:r>
        <w:rPr>
          <w:rFonts w:hint="eastAsia" w:ascii="宋体" w:hAnsi="宋体" w:eastAsia="宋体" w:cs="宋体"/>
          <w:b/>
          <w:bCs/>
          <w:color w:val="auto"/>
          <w:spacing w:val="9"/>
          <w:position w:val="13"/>
          <w:sz w:val="21"/>
          <w:szCs w:val="21"/>
          <w:highlight w:val="none"/>
          <w:lang w:eastAsia="zh-CN"/>
        </w:rPr>
        <w:t>四、</w:t>
      </w:r>
      <w:r>
        <w:rPr>
          <w:rFonts w:hint="eastAsia" w:ascii="宋体" w:hAnsi="宋体" w:eastAsia="宋体" w:cs="宋体"/>
          <w:b/>
          <w:bCs/>
          <w:color w:val="auto"/>
          <w:spacing w:val="9"/>
          <w:position w:val="13"/>
          <w:sz w:val="21"/>
          <w:szCs w:val="21"/>
          <w:highlight w:val="none"/>
        </w:rPr>
        <w:t>响应文件提交</w:t>
      </w:r>
      <w:bookmarkEnd w:id="8"/>
      <w:bookmarkEnd w:id="9"/>
      <w:bookmarkEnd w:id="10"/>
      <w:bookmarkEnd w:id="11"/>
      <w:bookmarkEnd w:id="12"/>
    </w:p>
    <w:p w14:paraId="6408BB00">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截止时间：2025年07月8日13时00分（北京时间）；</w:t>
      </w:r>
    </w:p>
    <w:p w14:paraId="018D78B5">
      <w:pPr>
        <w:spacing w:before="135" w:line="382" w:lineRule="exact"/>
        <w:ind w:left="520"/>
        <w:rPr>
          <w:rFonts w:hint="eastAsia" w:ascii="宋体" w:hAnsi="宋体" w:eastAsia="宋体" w:cs="宋体"/>
          <w:color w:val="auto"/>
          <w:spacing w:val="9"/>
          <w:position w:val="13"/>
          <w:sz w:val="21"/>
          <w:szCs w:val="21"/>
          <w:highlight w:val="none"/>
          <w:u w:val="single"/>
          <w:lang w:val="en-US" w:eastAsia="zh-CN"/>
        </w:rPr>
      </w:pPr>
      <w:r>
        <w:rPr>
          <w:rFonts w:hint="eastAsia" w:ascii="宋体" w:hAnsi="宋体" w:eastAsia="宋体" w:cs="宋体"/>
          <w:color w:val="auto"/>
          <w:spacing w:val="9"/>
          <w:position w:val="13"/>
          <w:sz w:val="21"/>
          <w:szCs w:val="21"/>
          <w:highlight w:val="none"/>
          <w:lang w:val="en-US" w:eastAsia="zh-CN"/>
        </w:rPr>
        <w:t>地点：长春市高新区鸿达街248号吉林日报副楼4楼吉利招第四开标室；</w:t>
      </w:r>
    </w:p>
    <w:p w14:paraId="73B149BC">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本项目采用全流程电子化招投标，开标方式为远程开标，供应商在提交响应文件截止时间前通过政府采购云平台（网址：http://www.zcygov.cn）递交电子响应文件，并按照工作人员通知使用 CA 锁进行响应文件远程解密。</w:t>
      </w:r>
    </w:p>
    <w:p w14:paraId="4A60E6D6">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电子响应文件提交方式：本项目为全流程电子化项目，通过“政采云 ”平台（http：//www.zcygov.cn） 实行在线电子投标，供应商应先安装“政采云投标客户端 ”（请自行前往“政采云”平台进行下载），并按照本项目磋商文件和“政采云”平台的要求编制、加密后在提交响应文件截止时间前通过网络将电子响应文件上传至“政采云”平台，供应商在“政采云”平台提交电子响应文件时，请填写参加采购活动经办人联系方式。</w:t>
      </w:r>
    </w:p>
    <w:p w14:paraId="1EC98B8B">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电子响应文件解密期限及方式：开标时间后30分钟内，由供应商持制作该电子响应文件的同一数字证书（CA锁）及电脑进行远程解密（各供应商开标前及网上开评标系统公布供应商名单前，不要提前进行远程解密；具体解密时间在直播时采购代理机构工作人员会进行通知）。响应文件解密截止时间后，“政采云”平台公布投标报价信息，供应商持企业数字证书登录“政采云”平台在线查询投标报价信息。因投标供应商自身原因未能按时完成解密的，视为逾期未提交响应文件，其投标无效。</w:t>
      </w:r>
    </w:p>
    <w:p w14:paraId="09355E38">
      <w:pPr>
        <w:numPr>
          <w:ilvl w:val="0"/>
          <w:numId w:val="0"/>
        </w:numPr>
        <w:spacing w:before="154" w:line="228" w:lineRule="auto"/>
        <w:ind w:left="100" w:leftChars="0"/>
        <w:outlineLvl w:val="1"/>
        <w:rPr>
          <w:rFonts w:hint="eastAsia" w:ascii="宋体" w:hAnsi="宋体" w:eastAsia="宋体" w:cs="宋体"/>
          <w:b/>
          <w:bCs/>
          <w:color w:val="auto"/>
          <w:spacing w:val="9"/>
          <w:position w:val="13"/>
          <w:sz w:val="21"/>
          <w:szCs w:val="21"/>
          <w:highlight w:val="none"/>
        </w:rPr>
      </w:pPr>
      <w:bookmarkStart w:id="13" w:name="_Toc6801"/>
      <w:r>
        <w:rPr>
          <w:rFonts w:hint="eastAsia" w:ascii="宋体" w:hAnsi="宋体" w:eastAsia="宋体" w:cs="宋体"/>
          <w:b/>
          <w:bCs/>
          <w:color w:val="auto"/>
          <w:spacing w:val="9"/>
          <w:position w:val="13"/>
          <w:sz w:val="21"/>
          <w:szCs w:val="21"/>
          <w:highlight w:val="none"/>
          <w:lang w:eastAsia="zh-CN"/>
        </w:rPr>
        <w:t>五、</w:t>
      </w:r>
      <w:r>
        <w:rPr>
          <w:rFonts w:hint="eastAsia" w:ascii="宋体" w:hAnsi="宋体" w:eastAsia="宋体" w:cs="宋体"/>
          <w:b/>
          <w:bCs/>
          <w:color w:val="auto"/>
          <w:spacing w:val="9"/>
          <w:position w:val="13"/>
          <w:sz w:val="21"/>
          <w:szCs w:val="21"/>
          <w:highlight w:val="none"/>
        </w:rPr>
        <w:t>开启</w:t>
      </w:r>
      <w:bookmarkEnd w:id="13"/>
    </w:p>
    <w:p w14:paraId="0C457C88">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时间：2025年07月8日13时00分（北京时间）；</w:t>
      </w:r>
    </w:p>
    <w:p w14:paraId="39D221CC">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地点：长春市高新区鸿达街248号吉林日报副楼4楼吉利招第四开标室；</w:t>
      </w:r>
    </w:p>
    <w:p w14:paraId="57A522AD">
      <w:pPr>
        <w:numPr>
          <w:ilvl w:val="0"/>
          <w:numId w:val="0"/>
        </w:numPr>
        <w:spacing w:before="154" w:line="228" w:lineRule="auto"/>
        <w:ind w:left="100" w:leftChars="0"/>
        <w:outlineLvl w:val="1"/>
        <w:rPr>
          <w:rFonts w:hint="eastAsia" w:ascii="宋体" w:hAnsi="宋体" w:eastAsia="宋体" w:cs="宋体"/>
          <w:b/>
          <w:bCs/>
          <w:color w:val="auto"/>
          <w:spacing w:val="9"/>
          <w:position w:val="13"/>
          <w:sz w:val="21"/>
          <w:szCs w:val="21"/>
          <w:highlight w:val="none"/>
        </w:rPr>
      </w:pPr>
      <w:bookmarkStart w:id="14" w:name="_Toc28359017"/>
      <w:bookmarkStart w:id="15" w:name="_Toc28359094"/>
      <w:bookmarkStart w:id="16" w:name="_Toc20218"/>
      <w:bookmarkStart w:id="17" w:name="_Toc35393803"/>
      <w:bookmarkStart w:id="18" w:name="_Toc35393634"/>
      <w:r>
        <w:rPr>
          <w:rFonts w:hint="eastAsia" w:ascii="宋体" w:hAnsi="宋体" w:eastAsia="宋体" w:cs="宋体"/>
          <w:b/>
          <w:bCs/>
          <w:color w:val="auto"/>
          <w:spacing w:val="9"/>
          <w:position w:val="13"/>
          <w:sz w:val="21"/>
          <w:szCs w:val="21"/>
          <w:highlight w:val="none"/>
        </w:rPr>
        <w:t>六、公告期限</w:t>
      </w:r>
      <w:bookmarkEnd w:id="14"/>
      <w:bookmarkEnd w:id="15"/>
      <w:bookmarkEnd w:id="16"/>
      <w:bookmarkEnd w:id="17"/>
      <w:bookmarkEnd w:id="18"/>
    </w:p>
    <w:p w14:paraId="4FDBA4B7">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自本公告发布之日起5个工作日。</w:t>
      </w:r>
      <w:bookmarkStart w:id="19" w:name="_Toc35393804"/>
      <w:bookmarkStart w:id="20" w:name="_Toc35393635"/>
    </w:p>
    <w:p w14:paraId="4D7DED69">
      <w:pPr>
        <w:numPr>
          <w:ilvl w:val="0"/>
          <w:numId w:val="1"/>
        </w:numPr>
        <w:spacing w:before="135" w:line="382" w:lineRule="exact"/>
        <w:rPr>
          <w:rFonts w:hint="eastAsia" w:ascii="宋体" w:hAnsi="宋体" w:eastAsia="宋体" w:cs="宋体"/>
          <w:b/>
          <w:bCs/>
          <w:color w:val="auto"/>
          <w:spacing w:val="9"/>
          <w:position w:val="13"/>
          <w:sz w:val="21"/>
          <w:szCs w:val="21"/>
          <w:highlight w:val="none"/>
        </w:rPr>
      </w:pPr>
      <w:r>
        <w:rPr>
          <w:rFonts w:hint="eastAsia" w:ascii="宋体" w:hAnsi="宋体" w:eastAsia="宋体" w:cs="宋体"/>
          <w:b/>
          <w:bCs/>
          <w:color w:val="auto"/>
          <w:spacing w:val="9"/>
          <w:position w:val="13"/>
          <w:sz w:val="21"/>
          <w:szCs w:val="21"/>
          <w:highlight w:val="none"/>
        </w:rPr>
        <w:t>其他补充事宜</w:t>
      </w:r>
      <w:bookmarkEnd w:id="19"/>
      <w:bookmarkEnd w:id="20"/>
    </w:p>
    <w:p w14:paraId="77714AD3">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1.CA锁办理网址：请供应商自行办理CA 锁，网址链接（http://www.anxinca.com/kehu/zcy/kh-zcy-zsshenqing.html。） </w:t>
      </w:r>
    </w:p>
    <w:p w14:paraId="6DB67442">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2.收到CA锁以后在“政采云”登录界面，点击 CA 登录-CA 驱动下载-下载并安装政采云投标客户端和安信CA驱动，账号绑定CA后才能进行响应文件制作。 </w:t>
      </w:r>
    </w:p>
    <w:p w14:paraId="6FC15EFE">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3.未进行网上注册并办理CA认证的供应商将无法参与本次采购活动；后果自负。 </w:t>
      </w:r>
    </w:p>
    <w:p w14:paraId="018E81DC">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4.本次磋商公告同时在《中国政府采购网》、《政采云》、《长春医学高等专科学校官网》上发布。</w:t>
      </w:r>
    </w:p>
    <w:p w14:paraId="726A73B0">
      <w:pPr>
        <w:spacing w:before="282" w:line="227" w:lineRule="auto"/>
        <w:ind w:left="5"/>
        <w:outlineLvl w:val="1"/>
        <w:rPr>
          <w:rFonts w:ascii="宋体" w:hAnsi="宋体" w:eastAsia="宋体" w:cs="宋体"/>
          <w:color w:val="auto"/>
          <w:sz w:val="20"/>
          <w:szCs w:val="20"/>
          <w:highlight w:val="none"/>
        </w:rPr>
      </w:pPr>
      <w:bookmarkStart w:id="21" w:name="_Toc28359095"/>
      <w:bookmarkStart w:id="22" w:name="_Toc24225"/>
      <w:bookmarkStart w:id="23" w:name="_Toc28359018"/>
      <w:bookmarkStart w:id="24" w:name="_Toc35393636"/>
      <w:bookmarkStart w:id="25" w:name="_Toc35393805"/>
      <w:r>
        <w:rPr>
          <w:rFonts w:hint="eastAsia" w:ascii="宋体" w:hAnsi="宋体" w:eastAsia="宋体" w:cs="宋体"/>
          <w:b/>
          <w:bCs/>
          <w:color w:val="auto"/>
          <w:spacing w:val="9"/>
          <w:position w:val="13"/>
          <w:sz w:val="21"/>
          <w:szCs w:val="21"/>
          <w:highlight w:val="none"/>
        </w:rPr>
        <w:t>八、凡对本次采购提出询问，请按以下方式联系。</w:t>
      </w:r>
      <w:bookmarkEnd w:id="21"/>
      <w:bookmarkEnd w:id="22"/>
      <w:bookmarkEnd w:id="23"/>
      <w:bookmarkEnd w:id="24"/>
      <w:bookmarkEnd w:id="25"/>
    </w:p>
    <w:p w14:paraId="5B96F563">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1.采购人信息</w:t>
      </w:r>
    </w:p>
    <w:p w14:paraId="24D618C0">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采购单位名称：长春医学高等专科学校</w:t>
      </w:r>
    </w:p>
    <w:p w14:paraId="286AA7CE">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联系人：孙老师</w:t>
      </w:r>
    </w:p>
    <w:p w14:paraId="389C25A3">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联系方式：0431-84825251</w:t>
      </w:r>
    </w:p>
    <w:p w14:paraId="60634A3C">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2.采购代理机构信息</w:t>
      </w:r>
    </w:p>
    <w:p w14:paraId="45532811">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采购代理机构名称：</w:t>
      </w:r>
      <w:r>
        <w:rPr>
          <w:rFonts w:hint="eastAsia" w:ascii="宋体" w:hAnsi="宋体" w:eastAsia="宋体" w:cs="宋体"/>
          <w:color w:val="auto"/>
          <w:spacing w:val="9"/>
          <w:position w:val="13"/>
          <w:sz w:val="21"/>
          <w:szCs w:val="21"/>
          <w:highlight w:val="none"/>
          <w:lang w:val="zh-CN" w:eastAsia="zh-CN"/>
        </w:rPr>
        <w:t>亿诚建设项目管理有限公司</w:t>
      </w:r>
    </w:p>
    <w:p w14:paraId="5975A9A2">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地址：长春市经济技术开发区东南湖大路街1717号赛东大厦C座4楼402房</w:t>
      </w:r>
    </w:p>
    <w:p w14:paraId="60A87089">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联系人：</w:t>
      </w:r>
      <w:r>
        <w:rPr>
          <w:rFonts w:hint="eastAsia" w:ascii="宋体" w:hAnsi="宋体" w:eastAsia="宋体" w:cs="宋体"/>
          <w:color w:val="auto"/>
          <w:spacing w:val="9"/>
          <w:position w:val="13"/>
          <w:sz w:val="21"/>
          <w:szCs w:val="21"/>
          <w:highlight w:val="none"/>
          <w:lang w:val="zh-CN" w:eastAsia="zh-CN"/>
        </w:rPr>
        <w:t>周东琦</w:t>
      </w:r>
    </w:p>
    <w:p w14:paraId="4408160D">
      <w:pPr>
        <w:spacing w:before="135" w:line="382" w:lineRule="exact"/>
        <w:ind w:left="520"/>
        <w:rPr>
          <w:rFonts w:hint="default"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联系方式：15567566991</w:t>
      </w:r>
    </w:p>
    <w:p w14:paraId="5D89EBF7">
      <w:pPr>
        <w:spacing w:before="135" w:line="382" w:lineRule="exact"/>
        <w:ind w:left="520"/>
        <w:rPr>
          <w:rFonts w:hint="eastAsia" w:ascii="宋体" w:hAnsi="宋体" w:eastAsia="宋体" w:cs="宋体"/>
          <w:color w:val="auto"/>
          <w:spacing w:val="9"/>
          <w:position w:val="13"/>
          <w:sz w:val="21"/>
          <w:szCs w:val="21"/>
          <w:highlight w:val="none"/>
          <w:lang w:val="en-US" w:eastAsia="zh-CN"/>
        </w:rPr>
      </w:pPr>
      <w:r>
        <w:rPr>
          <w:rFonts w:hint="eastAsia" w:ascii="宋体" w:hAnsi="宋体" w:eastAsia="宋体" w:cs="宋体"/>
          <w:color w:val="auto"/>
          <w:spacing w:val="9"/>
          <w:position w:val="13"/>
          <w:sz w:val="21"/>
          <w:szCs w:val="21"/>
          <w:highlight w:val="none"/>
          <w:lang w:val="en-US" w:eastAsia="zh-CN"/>
        </w:rPr>
        <w:t>3.项目联系方式</w:t>
      </w:r>
    </w:p>
    <w:p w14:paraId="488ADFBF">
      <w:pPr>
        <w:spacing w:before="135" w:line="382" w:lineRule="exact"/>
        <w:ind w:left="520"/>
        <w:rPr>
          <w:rFonts w:hint="eastAsia" w:ascii="宋体" w:hAnsi="宋体" w:eastAsia="宋体" w:cs="宋体"/>
          <w:color w:val="auto"/>
          <w:spacing w:val="9"/>
          <w:position w:val="13"/>
          <w:sz w:val="21"/>
          <w:szCs w:val="21"/>
          <w:highlight w:val="none"/>
          <w:lang w:val="zh-CN" w:eastAsia="zh-CN"/>
        </w:rPr>
      </w:pPr>
      <w:r>
        <w:rPr>
          <w:rFonts w:hint="eastAsia" w:ascii="宋体" w:hAnsi="宋体" w:eastAsia="宋体" w:cs="宋体"/>
          <w:color w:val="auto"/>
          <w:spacing w:val="9"/>
          <w:position w:val="13"/>
          <w:sz w:val="21"/>
          <w:szCs w:val="21"/>
          <w:highlight w:val="none"/>
          <w:lang w:val="en-US" w:eastAsia="zh-CN"/>
        </w:rPr>
        <w:t>项目联系人：</w:t>
      </w:r>
      <w:r>
        <w:rPr>
          <w:rFonts w:hint="eastAsia" w:ascii="宋体" w:hAnsi="宋体" w:eastAsia="宋体" w:cs="宋体"/>
          <w:color w:val="auto"/>
          <w:spacing w:val="9"/>
          <w:position w:val="13"/>
          <w:sz w:val="21"/>
          <w:szCs w:val="21"/>
          <w:highlight w:val="none"/>
          <w:lang w:val="zh-CN" w:eastAsia="zh-CN"/>
        </w:rPr>
        <w:t>周东琦</w:t>
      </w:r>
    </w:p>
    <w:p w14:paraId="292010D8">
      <w:pPr>
        <w:spacing w:before="135" w:line="382" w:lineRule="exact"/>
        <w:ind w:left="520"/>
        <w:rPr>
          <w:rFonts w:hint="default" w:ascii="宋体" w:hAnsi="宋体" w:eastAsia="宋体" w:cs="宋体"/>
          <w:color w:val="auto"/>
          <w:spacing w:val="9"/>
          <w:position w:val="13"/>
          <w:sz w:val="21"/>
          <w:szCs w:val="21"/>
          <w:highlight w:val="none"/>
          <w:lang w:val="en-US" w:eastAsia="zh-CN"/>
        </w:rPr>
        <w:sectPr>
          <w:footerReference r:id="rId6" w:type="default"/>
          <w:pgSz w:w="11906" w:h="16839"/>
          <w:pgMar w:top="1431" w:right="1215" w:bottom="1156" w:left="1214" w:header="0" w:footer="994" w:gutter="0"/>
          <w:pgNumType w:fmt="decimal" w:start="1"/>
          <w:cols w:space="720" w:num="1"/>
        </w:sectPr>
      </w:pPr>
      <w:r>
        <w:rPr>
          <w:rFonts w:hint="eastAsia" w:ascii="宋体" w:hAnsi="宋体" w:eastAsia="宋体" w:cs="宋体"/>
          <w:color w:val="auto"/>
          <w:spacing w:val="9"/>
          <w:position w:val="13"/>
          <w:sz w:val="21"/>
          <w:szCs w:val="21"/>
          <w:highlight w:val="none"/>
          <w:lang w:val="en-US" w:eastAsia="zh-CN"/>
        </w:rPr>
        <w:t>电  话：15567566991</w:t>
      </w:r>
    </w:p>
    <w:p w14:paraId="4D68CB5D">
      <w:pPr>
        <w:spacing w:before="63" w:line="224" w:lineRule="auto"/>
        <w:ind w:left="3328"/>
        <w:outlineLvl w:val="0"/>
        <w:rPr>
          <w:rFonts w:ascii="宋体" w:hAnsi="宋体" w:eastAsia="宋体" w:cs="宋体"/>
          <w:color w:val="auto"/>
          <w:sz w:val="31"/>
          <w:szCs w:val="31"/>
          <w:highlight w:val="none"/>
        </w:rPr>
      </w:pPr>
      <w:bookmarkStart w:id="26" w:name="bookmark3"/>
      <w:bookmarkEnd w:id="26"/>
      <w:bookmarkStart w:id="27" w:name="_Toc12538"/>
      <w:r>
        <w:rPr>
          <w:rFonts w:hint="eastAsia" w:asciiTheme="majorEastAsia" w:hAnsiTheme="majorEastAsia" w:eastAsiaTheme="majorEastAsia" w:cstheme="majorEastAsia"/>
          <w:b/>
          <w:bCs/>
          <w:color w:val="auto"/>
          <w:spacing w:val="6"/>
          <w:sz w:val="31"/>
          <w:szCs w:val="31"/>
          <w:highlight w:val="none"/>
        </w:rPr>
        <w:t>第二章  供应商须知</w:t>
      </w:r>
      <w:bookmarkEnd w:id="27"/>
    </w:p>
    <w:p w14:paraId="0C19DFBE">
      <w:pPr>
        <w:pStyle w:val="8"/>
        <w:rPr>
          <w:color w:val="auto"/>
          <w:highlight w:val="none"/>
        </w:rPr>
      </w:pPr>
    </w:p>
    <w:p w14:paraId="796FE3E4">
      <w:pPr>
        <w:pStyle w:val="8"/>
        <w:spacing w:line="241" w:lineRule="auto"/>
        <w:rPr>
          <w:color w:val="auto"/>
          <w:highlight w:val="none"/>
        </w:rPr>
      </w:pPr>
    </w:p>
    <w:p w14:paraId="28AB85A4">
      <w:pPr>
        <w:ind w:firstLine="560" w:firstLineChars="200"/>
        <w:jc w:val="center"/>
        <w:rPr>
          <w:rFonts w:ascii="宋体" w:hAnsi="宋体" w:eastAsia="宋体" w:cs="宋体"/>
          <w:color w:val="auto"/>
          <w:sz w:val="24"/>
          <w:szCs w:val="24"/>
          <w:highlight w:val="none"/>
        </w:rPr>
      </w:pPr>
      <w:r>
        <w:rPr>
          <w:rFonts w:hint="eastAsia" w:ascii="宋体" w:hAnsi="宋体" w:cs="宋体"/>
          <w:b/>
          <w:color w:val="auto"/>
          <w:sz w:val="28"/>
          <w:highlight w:val="none"/>
        </w:rPr>
        <w:t>（一）供应商须知前附表</w:t>
      </w:r>
    </w:p>
    <w:p w14:paraId="64525540">
      <w:pPr>
        <w:spacing w:line="145" w:lineRule="exact"/>
        <w:rPr>
          <w:color w:val="auto"/>
          <w:highlight w:val="none"/>
        </w:rPr>
      </w:pPr>
    </w:p>
    <w:tbl>
      <w:tblPr>
        <w:tblStyle w:val="20"/>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008"/>
        <w:gridCol w:w="6823"/>
      </w:tblGrid>
      <w:tr w14:paraId="696F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87" w:type="dxa"/>
            <w:vAlign w:val="top"/>
          </w:tcPr>
          <w:p w14:paraId="5CE2F312">
            <w:pPr>
              <w:autoSpaceDN w:val="0"/>
              <w:snapToGrid w:val="0"/>
              <w:spacing w:line="360" w:lineRule="exact"/>
              <w:jc w:val="center"/>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序号</w:t>
            </w:r>
          </w:p>
        </w:tc>
        <w:tc>
          <w:tcPr>
            <w:tcW w:w="2008" w:type="dxa"/>
            <w:vAlign w:val="top"/>
          </w:tcPr>
          <w:p w14:paraId="7238A1C0">
            <w:pPr>
              <w:autoSpaceDN w:val="0"/>
              <w:snapToGrid w:val="0"/>
              <w:spacing w:line="360" w:lineRule="exact"/>
              <w:jc w:val="center"/>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条 款 名 称</w:t>
            </w:r>
          </w:p>
        </w:tc>
        <w:tc>
          <w:tcPr>
            <w:tcW w:w="6823" w:type="dxa"/>
            <w:vAlign w:val="top"/>
          </w:tcPr>
          <w:p w14:paraId="3964259F">
            <w:pPr>
              <w:autoSpaceDN w:val="0"/>
              <w:snapToGrid w:val="0"/>
              <w:spacing w:line="360" w:lineRule="exact"/>
              <w:jc w:val="center"/>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编 列 内 容</w:t>
            </w:r>
          </w:p>
        </w:tc>
      </w:tr>
      <w:tr w14:paraId="0ED3C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87" w:type="dxa"/>
            <w:vAlign w:val="center"/>
          </w:tcPr>
          <w:p w14:paraId="60664CCE">
            <w:pPr>
              <w:autoSpaceDN w:val="0"/>
              <w:snapToGrid w:val="0"/>
              <w:spacing w:line="360" w:lineRule="exact"/>
              <w:jc w:val="center"/>
              <w:rPr>
                <w:rFonts w:hint="eastAsia" w:ascii="宋体" w:hAnsi="宋体" w:cs="宋体"/>
                <w:bCs/>
                <w:color w:val="auto"/>
                <w:kern w:val="2"/>
                <w:szCs w:val="21"/>
                <w:highlight w:val="none"/>
                <w:lang w:val="zh-CN"/>
              </w:rPr>
            </w:pPr>
          </w:p>
          <w:p w14:paraId="62E3F931">
            <w:pPr>
              <w:autoSpaceDN w:val="0"/>
              <w:snapToGrid w:val="0"/>
              <w:spacing w:line="360" w:lineRule="exact"/>
              <w:jc w:val="center"/>
              <w:rPr>
                <w:rFonts w:hint="eastAsia" w:ascii="宋体" w:hAnsi="宋体" w:cs="宋体"/>
                <w:bCs/>
                <w:color w:val="auto"/>
                <w:kern w:val="2"/>
                <w:szCs w:val="21"/>
                <w:highlight w:val="none"/>
                <w:lang w:val="zh-CN"/>
              </w:rPr>
            </w:pPr>
          </w:p>
          <w:p w14:paraId="1D6D7DAC">
            <w:pPr>
              <w:autoSpaceDN w:val="0"/>
              <w:snapToGrid w:val="0"/>
              <w:spacing w:line="360" w:lineRule="exact"/>
              <w:jc w:val="center"/>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1</w:t>
            </w:r>
          </w:p>
        </w:tc>
        <w:tc>
          <w:tcPr>
            <w:tcW w:w="2008" w:type="dxa"/>
            <w:vAlign w:val="center"/>
          </w:tcPr>
          <w:p w14:paraId="15F4645E">
            <w:pPr>
              <w:autoSpaceDN w:val="0"/>
              <w:snapToGrid w:val="0"/>
              <w:spacing w:line="360" w:lineRule="exact"/>
              <w:jc w:val="center"/>
              <w:rPr>
                <w:color w:val="auto"/>
                <w:highlight w:val="none"/>
              </w:rPr>
            </w:pPr>
            <w:r>
              <w:rPr>
                <w:rFonts w:hint="eastAsia" w:ascii="宋体" w:hAnsi="宋体" w:cs="宋体"/>
                <w:color w:val="auto"/>
                <w:highlight w:val="none"/>
                <w:lang w:eastAsia="zh-CN"/>
              </w:rPr>
              <w:t>采购</w:t>
            </w:r>
            <w:r>
              <w:rPr>
                <w:rFonts w:hint="eastAsia" w:ascii="宋体" w:hAnsi="宋体" w:cs="宋体"/>
                <w:color w:val="auto"/>
                <w:highlight w:val="none"/>
              </w:rPr>
              <w:t>人</w:t>
            </w:r>
          </w:p>
        </w:tc>
        <w:tc>
          <w:tcPr>
            <w:tcW w:w="6823" w:type="dxa"/>
            <w:vAlign w:val="center"/>
          </w:tcPr>
          <w:p w14:paraId="4769F45E">
            <w:pPr>
              <w:autoSpaceDN w:val="0"/>
              <w:snapToGrid w:val="0"/>
              <w:spacing w:line="360" w:lineRule="exact"/>
              <w:rPr>
                <w:rFonts w:hint="eastAsia" w:ascii="宋体" w:hAnsi="宋体" w:cs="宋体"/>
                <w:bCs/>
                <w:color w:val="auto"/>
                <w:kern w:val="2"/>
                <w:szCs w:val="21"/>
                <w:highlight w:val="none"/>
                <w:lang w:val="zh-CN" w:eastAsia="zh-CN"/>
              </w:rPr>
            </w:pPr>
            <w:r>
              <w:rPr>
                <w:rFonts w:hint="eastAsia" w:ascii="宋体" w:hAnsi="宋体" w:cs="宋体"/>
                <w:bCs/>
                <w:color w:val="auto"/>
                <w:kern w:val="2"/>
                <w:szCs w:val="21"/>
                <w:highlight w:val="none"/>
                <w:lang w:val="zh-CN" w:eastAsia="zh-CN"/>
              </w:rPr>
              <w:t>采购单位名称：长春医学高等专科学校</w:t>
            </w:r>
          </w:p>
          <w:p w14:paraId="566EAC73">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联系人：孙老师</w:t>
            </w:r>
          </w:p>
          <w:p w14:paraId="69845457">
            <w:pPr>
              <w:autoSpaceDN w:val="0"/>
              <w:snapToGrid w:val="0"/>
              <w:spacing w:line="360" w:lineRule="exact"/>
              <w:rPr>
                <w:rFonts w:ascii="Calibri" w:hAnsi="Calibri" w:eastAsia="Calibri" w:cs="Calibri"/>
                <w:color w:val="auto"/>
                <w:highlight w:val="none"/>
              </w:rPr>
            </w:pPr>
            <w:r>
              <w:rPr>
                <w:rFonts w:hint="eastAsia" w:ascii="宋体" w:hAnsi="宋体" w:cs="宋体"/>
                <w:bCs/>
                <w:color w:val="auto"/>
                <w:kern w:val="2"/>
                <w:szCs w:val="21"/>
                <w:highlight w:val="none"/>
                <w:lang w:val="en-US" w:eastAsia="zh-CN"/>
              </w:rPr>
              <w:t>联系方式：0431-84825251</w:t>
            </w:r>
          </w:p>
        </w:tc>
      </w:tr>
      <w:tr w14:paraId="36118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687" w:type="dxa"/>
            <w:vAlign w:val="center"/>
          </w:tcPr>
          <w:p w14:paraId="18ECF90C">
            <w:pPr>
              <w:autoSpaceDN w:val="0"/>
              <w:snapToGrid w:val="0"/>
              <w:spacing w:line="360" w:lineRule="exact"/>
              <w:jc w:val="center"/>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2</w:t>
            </w:r>
          </w:p>
        </w:tc>
        <w:tc>
          <w:tcPr>
            <w:tcW w:w="2008" w:type="dxa"/>
            <w:vAlign w:val="center"/>
          </w:tcPr>
          <w:p w14:paraId="0BD0D672">
            <w:pPr>
              <w:autoSpaceDN w:val="0"/>
              <w:snapToGrid w:val="0"/>
              <w:spacing w:line="360" w:lineRule="exact"/>
              <w:jc w:val="center"/>
              <w:rPr>
                <w:color w:val="auto"/>
                <w:highlight w:val="none"/>
              </w:rPr>
            </w:pPr>
            <w:r>
              <w:rPr>
                <w:rFonts w:hint="eastAsia" w:ascii="宋体" w:hAnsi="宋体" w:cs="宋体"/>
                <w:bCs/>
                <w:color w:val="auto"/>
                <w:kern w:val="2"/>
                <w:szCs w:val="21"/>
                <w:highlight w:val="none"/>
                <w:lang w:val="zh-CN"/>
              </w:rPr>
              <w:t>采购代理机构</w:t>
            </w:r>
          </w:p>
        </w:tc>
        <w:tc>
          <w:tcPr>
            <w:tcW w:w="6823" w:type="dxa"/>
            <w:vAlign w:val="center"/>
          </w:tcPr>
          <w:p w14:paraId="0FD12404">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采购代理机构名称：</w:t>
            </w:r>
            <w:r>
              <w:rPr>
                <w:rFonts w:hint="eastAsia" w:ascii="宋体" w:hAnsi="宋体" w:cs="宋体"/>
                <w:bCs/>
                <w:color w:val="auto"/>
                <w:kern w:val="2"/>
                <w:szCs w:val="21"/>
                <w:highlight w:val="none"/>
                <w:lang w:val="zh-CN" w:eastAsia="zh-CN"/>
              </w:rPr>
              <w:t>亿诚建设项目管理有限公司</w:t>
            </w:r>
          </w:p>
          <w:p w14:paraId="46191C23">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地址：长春市经济技术开发区东南湖大路街1717号赛东大厦C座4楼402房</w:t>
            </w:r>
          </w:p>
          <w:p w14:paraId="173581D3">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联系人：</w:t>
            </w:r>
            <w:r>
              <w:rPr>
                <w:rFonts w:hint="eastAsia" w:ascii="宋体" w:hAnsi="宋体" w:cs="宋体"/>
                <w:bCs/>
                <w:color w:val="auto"/>
                <w:kern w:val="2"/>
                <w:szCs w:val="21"/>
                <w:highlight w:val="none"/>
                <w:lang w:val="zh-CN" w:eastAsia="zh-CN"/>
              </w:rPr>
              <w:t>周东琦</w:t>
            </w:r>
          </w:p>
          <w:p w14:paraId="0845AACF">
            <w:pPr>
              <w:autoSpaceDN w:val="0"/>
              <w:snapToGrid w:val="0"/>
              <w:spacing w:line="360" w:lineRule="exact"/>
              <w:rPr>
                <w:color w:val="auto"/>
                <w:highlight w:val="none"/>
              </w:rPr>
            </w:pPr>
            <w:r>
              <w:rPr>
                <w:rFonts w:hint="eastAsia" w:ascii="宋体" w:hAnsi="宋体" w:cs="宋体"/>
                <w:bCs/>
                <w:color w:val="auto"/>
                <w:kern w:val="2"/>
                <w:szCs w:val="21"/>
                <w:highlight w:val="none"/>
                <w:lang w:val="en-US" w:eastAsia="zh-CN"/>
              </w:rPr>
              <w:t>联系方式：15567566991</w:t>
            </w:r>
          </w:p>
        </w:tc>
      </w:tr>
      <w:tr w14:paraId="1191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7" w:type="dxa"/>
            <w:vAlign w:val="center"/>
          </w:tcPr>
          <w:p w14:paraId="4A791F3A">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3</w:t>
            </w:r>
          </w:p>
        </w:tc>
        <w:tc>
          <w:tcPr>
            <w:tcW w:w="2008" w:type="dxa"/>
            <w:vAlign w:val="center"/>
          </w:tcPr>
          <w:p w14:paraId="75298072">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项目名称</w:t>
            </w:r>
          </w:p>
        </w:tc>
        <w:tc>
          <w:tcPr>
            <w:tcW w:w="6823" w:type="dxa"/>
            <w:vAlign w:val="center"/>
          </w:tcPr>
          <w:p w14:paraId="685339C6">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en-US" w:eastAsia="zh-CN"/>
              </w:rPr>
              <w:t>长春医学高等专科学校心苑宿舍楼、药学楼及大学生活动中心消防管道维修项目</w:t>
            </w:r>
          </w:p>
        </w:tc>
      </w:tr>
      <w:tr w14:paraId="055AE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7" w:type="dxa"/>
            <w:vAlign w:val="center"/>
          </w:tcPr>
          <w:p w14:paraId="4BCEDC1B">
            <w:pPr>
              <w:autoSpaceDN w:val="0"/>
              <w:snapToGrid w:val="0"/>
              <w:spacing w:line="360" w:lineRule="exact"/>
              <w:jc w:val="center"/>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4</w:t>
            </w:r>
          </w:p>
        </w:tc>
        <w:tc>
          <w:tcPr>
            <w:tcW w:w="2008" w:type="dxa"/>
            <w:vAlign w:val="center"/>
          </w:tcPr>
          <w:p w14:paraId="4EAB1962">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采购需求</w:t>
            </w:r>
          </w:p>
        </w:tc>
        <w:tc>
          <w:tcPr>
            <w:tcW w:w="6823" w:type="dxa"/>
            <w:vAlign w:val="top"/>
          </w:tcPr>
          <w:p w14:paraId="51B6050A">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详见工程量清单</w:t>
            </w:r>
          </w:p>
        </w:tc>
      </w:tr>
      <w:tr w14:paraId="4CB7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7" w:type="dxa"/>
            <w:vAlign w:val="center"/>
          </w:tcPr>
          <w:p w14:paraId="0F9B831C">
            <w:pPr>
              <w:autoSpaceDN w:val="0"/>
              <w:snapToGrid w:val="0"/>
              <w:spacing w:line="360" w:lineRule="exact"/>
              <w:jc w:val="center"/>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5</w:t>
            </w:r>
          </w:p>
        </w:tc>
        <w:tc>
          <w:tcPr>
            <w:tcW w:w="2008" w:type="dxa"/>
            <w:vAlign w:val="center"/>
          </w:tcPr>
          <w:p w14:paraId="57BE596D">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项目地点</w:t>
            </w:r>
          </w:p>
        </w:tc>
        <w:tc>
          <w:tcPr>
            <w:tcW w:w="6823" w:type="dxa"/>
            <w:vAlign w:val="center"/>
          </w:tcPr>
          <w:p w14:paraId="381382CD">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eastAsia="zh-CN"/>
              </w:rPr>
              <w:t>长春医学高等专科学院</w:t>
            </w:r>
          </w:p>
        </w:tc>
      </w:tr>
      <w:tr w14:paraId="2A3C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7" w:type="dxa"/>
            <w:vAlign w:val="center"/>
          </w:tcPr>
          <w:p w14:paraId="44B9C4EE">
            <w:pPr>
              <w:autoSpaceDN w:val="0"/>
              <w:snapToGrid w:val="0"/>
              <w:spacing w:line="360" w:lineRule="exact"/>
              <w:jc w:val="center"/>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6</w:t>
            </w:r>
          </w:p>
        </w:tc>
        <w:tc>
          <w:tcPr>
            <w:tcW w:w="2008" w:type="dxa"/>
            <w:vAlign w:val="center"/>
          </w:tcPr>
          <w:p w14:paraId="67EC817B">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资金来源及落实情况</w:t>
            </w:r>
          </w:p>
        </w:tc>
        <w:tc>
          <w:tcPr>
            <w:tcW w:w="6823" w:type="dxa"/>
            <w:vAlign w:val="center"/>
          </w:tcPr>
          <w:p w14:paraId="2152F9D5">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资金来源：财政资金</w:t>
            </w:r>
          </w:p>
          <w:p w14:paraId="73EE24DB">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资金落实情况：已落实</w:t>
            </w:r>
          </w:p>
        </w:tc>
      </w:tr>
      <w:tr w14:paraId="4618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7" w:type="dxa"/>
            <w:vAlign w:val="center"/>
          </w:tcPr>
          <w:p w14:paraId="2ED7DC6F">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7</w:t>
            </w:r>
          </w:p>
        </w:tc>
        <w:tc>
          <w:tcPr>
            <w:tcW w:w="2008" w:type="dxa"/>
            <w:vAlign w:val="center"/>
          </w:tcPr>
          <w:p w14:paraId="6016CCC9">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合同履行期限</w:t>
            </w:r>
          </w:p>
        </w:tc>
        <w:tc>
          <w:tcPr>
            <w:tcW w:w="6823" w:type="dxa"/>
            <w:vAlign w:val="center"/>
          </w:tcPr>
          <w:p w14:paraId="2DB61135">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eastAsia="zh-CN"/>
              </w:rPr>
              <w:t>采购合同签订之日起 35 天内</w:t>
            </w:r>
          </w:p>
        </w:tc>
      </w:tr>
      <w:tr w14:paraId="624F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87" w:type="dxa"/>
            <w:vAlign w:val="top"/>
          </w:tcPr>
          <w:p w14:paraId="748787DC">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8</w:t>
            </w:r>
          </w:p>
        </w:tc>
        <w:tc>
          <w:tcPr>
            <w:tcW w:w="2008" w:type="dxa"/>
            <w:vAlign w:val="center"/>
          </w:tcPr>
          <w:p w14:paraId="3DBCFBD4">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质量标准</w:t>
            </w:r>
          </w:p>
        </w:tc>
        <w:tc>
          <w:tcPr>
            <w:tcW w:w="6823" w:type="dxa"/>
            <w:vAlign w:val="center"/>
          </w:tcPr>
          <w:p w14:paraId="35F0D0D3">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符合《建筑工程施工质量验收统一标准》及相关标准的合格工程。</w:t>
            </w:r>
          </w:p>
        </w:tc>
      </w:tr>
      <w:tr w14:paraId="6A4B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7" w:type="dxa"/>
            <w:vAlign w:val="top"/>
          </w:tcPr>
          <w:p w14:paraId="4E01EF6A">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9</w:t>
            </w:r>
          </w:p>
        </w:tc>
        <w:tc>
          <w:tcPr>
            <w:tcW w:w="2008" w:type="dxa"/>
            <w:vAlign w:val="top"/>
          </w:tcPr>
          <w:p w14:paraId="393C209C">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现场情况</w:t>
            </w:r>
          </w:p>
        </w:tc>
        <w:tc>
          <w:tcPr>
            <w:tcW w:w="6823" w:type="dxa"/>
            <w:vAlign w:val="top"/>
          </w:tcPr>
          <w:p w14:paraId="061D41A8">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具备开工条件</w:t>
            </w:r>
          </w:p>
        </w:tc>
      </w:tr>
      <w:tr w14:paraId="2437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7" w:type="dxa"/>
            <w:vAlign w:val="top"/>
          </w:tcPr>
          <w:p w14:paraId="43478A73">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10</w:t>
            </w:r>
          </w:p>
        </w:tc>
        <w:tc>
          <w:tcPr>
            <w:tcW w:w="2008" w:type="dxa"/>
            <w:vAlign w:val="top"/>
          </w:tcPr>
          <w:p w14:paraId="30928292">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现场踏勘</w:t>
            </w:r>
          </w:p>
        </w:tc>
        <w:tc>
          <w:tcPr>
            <w:tcW w:w="6823" w:type="dxa"/>
            <w:vAlign w:val="top"/>
          </w:tcPr>
          <w:p w14:paraId="46E18DB7">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不组织踏勘，可自行踏勘，</w:t>
            </w:r>
          </w:p>
          <w:p w14:paraId="42DB66DA">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踏勘联系人：王一名</w:t>
            </w:r>
          </w:p>
          <w:p w14:paraId="624861A4">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联系方式：19396230812</w:t>
            </w:r>
          </w:p>
        </w:tc>
      </w:tr>
      <w:tr w14:paraId="2BCE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7" w:type="dxa"/>
            <w:vAlign w:val="top"/>
          </w:tcPr>
          <w:p w14:paraId="018CF8CA">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11</w:t>
            </w:r>
          </w:p>
        </w:tc>
        <w:tc>
          <w:tcPr>
            <w:tcW w:w="2008" w:type="dxa"/>
            <w:vAlign w:val="top"/>
          </w:tcPr>
          <w:p w14:paraId="2B9606E3">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分包情况</w:t>
            </w:r>
          </w:p>
        </w:tc>
        <w:tc>
          <w:tcPr>
            <w:tcW w:w="6823" w:type="dxa"/>
            <w:vAlign w:val="top"/>
          </w:tcPr>
          <w:p w14:paraId="3773BFE7">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不允许分包</w:t>
            </w:r>
          </w:p>
        </w:tc>
      </w:tr>
      <w:tr w14:paraId="2F9A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7" w:type="dxa"/>
            <w:vAlign w:val="top"/>
          </w:tcPr>
          <w:p w14:paraId="58C0AC60">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12</w:t>
            </w:r>
          </w:p>
        </w:tc>
        <w:tc>
          <w:tcPr>
            <w:tcW w:w="2008" w:type="dxa"/>
            <w:vAlign w:val="top"/>
          </w:tcPr>
          <w:p w14:paraId="59DE099B">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采购方式</w:t>
            </w:r>
          </w:p>
        </w:tc>
        <w:tc>
          <w:tcPr>
            <w:tcW w:w="6823" w:type="dxa"/>
            <w:vAlign w:val="top"/>
          </w:tcPr>
          <w:p w14:paraId="657E4D2F">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竞争性磋商</w:t>
            </w:r>
          </w:p>
        </w:tc>
      </w:tr>
      <w:tr w14:paraId="6B8D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7" w:hRule="atLeast"/>
        </w:trPr>
        <w:tc>
          <w:tcPr>
            <w:tcW w:w="687" w:type="dxa"/>
            <w:vAlign w:val="top"/>
          </w:tcPr>
          <w:p w14:paraId="76F40042">
            <w:pPr>
              <w:autoSpaceDN w:val="0"/>
              <w:snapToGrid w:val="0"/>
              <w:spacing w:line="360" w:lineRule="exact"/>
              <w:jc w:val="center"/>
              <w:rPr>
                <w:rFonts w:hint="eastAsia" w:ascii="宋体" w:hAnsi="宋体" w:eastAsia="宋体" w:cs="宋体"/>
                <w:bCs/>
                <w:color w:val="auto"/>
                <w:kern w:val="2"/>
                <w:szCs w:val="21"/>
                <w:highlight w:val="none"/>
                <w:lang w:val="zh-CN"/>
              </w:rPr>
            </w:pPr>
          </w:p>
          <w:p w14:paraId="775692B6">
            <w:pPr>
              <w:autoSpaceDN w:val="0"/>
              <w:snapToGrid w:val="0"/>
              <w:spacing w:line="360" w:lineRule="exact"/>
              <w:jc w:val="center"/>
              <w:rPr>
                <w:rFonts w:hint="eastAsia" w:ascii="宋体" w:hAnsi="宋体" w:eastAsia="宋体" w:cs="宋体"/>
                <w:bCs/>
                <w:color w:val="auto"/>
                <w:kern w:val="2"/>
                <w:szCs w:val="21"/>
                <w:highlight w:val="none"/>
                <w:lang w:val="zh-CN"/>
              </w:rPr>
            </w:pPr>
          </w:p>
          <w:p w14:paraId="53ED5E96">
            <w:pPr>
              <w:autoSpaceDN w:val="0"/>
              <w:snapToGrid w:val="0"/>
              <w:spacing w:line="360" w:lineRule="exact"/>
              <w:jc w:val="center"/>
              <w:rPr>
                <w:rFonts w:hint="eastAsia" w:ascii="宋体" w:hAnsi="宋体" w:eastAsia="宋体" w:cs="宋体"/>
                <w:bCs/>
                <w:color w:val="auto"/>
                <w:kern w:val="2"/>
                <w:szCs w:val="21"/>
                <w:highlight w:val="none"/>
                <w:lang w:val="zh-CN"/>
              </w:rPr>
            </w:pPr>
          </w:p>
          <w:p w14:paraId="51FD1699">
            <w:pPr>
              <w:autoSpaceDN w:val="0"/>
              <w:snapToGrid w:val="0"/>
              <w:spacing w:line="360" w:lineRule="exact"/>
              <w:jc w:val="center"/>
              <w:rPr>
                <w:rFonts w:hint="eastAsia" w:ascii="宋体" w:hAnsi="宋体" w:eastAsia="宋体" w:cs="宋体"/>
                <w:bCs/>
                <w:color w:val="auto"/>
                <w:kern w:val="2"/>
                <w:szCs w:val="21"/>
                <w:highlight w:val="none"/>
                <w:lang w:val="zh-CN"/>
              </w:rPr>
            </w:pPr>
          </w:p>
          <w:p w14:paraId="3FA3DB8C">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13</w:t>
            </w:r>
          </w:p>
        </w:tc>
        <w:tc>
          <w:tcPr>
            <w:tcW w:w="2008" w:type="dxa"/>
            <w:vAlign w:val="top"/>
          </w:tcPr>
          <w:p w14:paraId="38AB066A">
            <w:pPr>
              <w:autoSpaceDN w:val="0"/>
              <w:snapToGrid w:val="0"/>
              <w:spacing w:line="360" w:lineRule="exact"/>
              <w:jc w:val="center"/>
              <w:rPr>
                <w:rFonts w:hint="eastAsia" w:ascii="宋体" w:hAnsi="宋体" w:eastAsia="宋体" w:cs="宋体"/>
                <w:bCs/>
                <w:color w:val="auto"/>
                <w:kern w:val="2"/>
                <w:szCs w:val="21"/>
                <w:highlight w:val="none"/>
                <w:lang w:val="zh-CN"/>
              </w:rPr>
            </w:pPr>
          </w:p>
          <w:p w14:paraId="417039F3">
            <w:pPr>
              <w:autoSpaceDN w:val="0"/>
              <w:snapToGrid w:val="0"/>
              <w:spacing w:line="360" w:lineRule="exact"/>
              <w:jc w:val="center"/>
              <w:rPr>
                <w:rFonts w:hint="eastAsia" w:ascii="宋体" w:hAnsi="宋体" w:eastAsia="宋体" w:cs="宋体"/>
                <w:bCs/>
                <w:color w:val="auto"/>
                <w:kern w:val="2"/>
                <w:szCs w:val="21"/>
                <w:highlight w:val="none"/>
                <w:lang w:val="zh-CN"/>
              </w:rPr>
            </w:pPr>
          </w:p>
          <w:p w14:paraId="6B8D6307">
            <w:pPr>
              <w:autoSpaceDN w:val="0"/>
              <w:snapToGrid w:val="0"/>
              <w:spacing w:line="360" w:lineRule="exact"/>
              <w:jc w:val="center"/>
              <w:rPr>
                <w:rFonts w:hint="eastAsia" w:ascii="宋体" w:hAnsi="宋体" w:eastAsia="宋体" w:cs="宋体"/>
                <w:bCs/>
                <w:color w:val="auto"/>
                <w:kern w:val="2"/>
                <w:szCs w:val="21"/>
                <w:highlight w:val="none"/>
                <w:lang w:val="zh-CN"/>
              </w:rPr>
            </w:pPr>
          </w:p>
          <w:p w14:paraId="73F32B32">
            <w:pPr>
              <w:autoSpaceDN w:val="0"/>
              <w:snapToGrid w:val="0"/>
              <w:spacing w:line="360" w:lineRule="exact"/>
              <w:jc w:val="center"/>
              <w:rPr>
                <w:rFonts w:hint="eastAsia" w:ascii="宋体" w:hAnsi="宋体" w:eastAsia="宋体" w:cs="宋体"/>
                <w:bCs/>
                <w:color w:val="auto"/>
                <w:kern w:val="2"/>
                <w:szCs w:val="21"/>
                <w:highlight w:val="none"/>
                <w:lang w:val="zh-CN"/>
              </w:rPr>
            </w:pPr>
          </w:p>
          <w:p w14:paraId="26F899C0">
            <w:pPr>
              <w:autoSpaceDN w:val="0"/>
              <w:snapToGrid w:val="0"/>
              <w:spacing w:line="360" w:lineRule="exact"/>
              <w:jc w:val="center"/>
              <w:rPr>
                <w:rFonts w:hint="eastAsia" w:ascii="宋体" w:hAnsi="宋体" w:eastAsia="宋体" w:cs="宋体"/>
                <w:bCs/>
                <w:color w:val="auto"/>
                <w:kern w:val="2"/>
                <w:szCs w:val="21"/>
                <w:highlight w:val="none"/>
                <w:lang w:val="zh-CN"/>
              </w:rPr>
            </w:pPr>
            <w:r>
              <w:rPr>
                <w:rFonts w:hint="eastAsia" w:ascii="宋体" w:hAnsi="宋体" w:eastAsia="宋体" w:cs="宋体"/>
                <w:bCs/>
                <w:color w:val="auto"/>
                <w:kern w:val="2"/>
                <w:szCs w:val="21"/>
                <w:highlight w:val="none"/>
                <w:lang w:val="zh-CN"/>
              </w:rPr>
              <w:t>供应商资格条件</w:t>
            </w:r>
          </w:p>
        </w:tc>
        <w:tc>
          <w:tcPr>
            <w:tcW w:w="6823" w:type="dxa"/>
            <w:vAlign w:val="top"/>
          </w:tcPr>
          <w:p w14:paraId="5CFF64DF">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1.满足《中华人民共和国政府采购法》第二十二条规定。</w:t>
            </w:r>
          </w:p>
          <w:p w14:paraId="1DDDCEE2">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2</w:t>
            </w:r>
            <w:r>
              <w:rPr>
                <w:rFonts w:hint="eastAsia" w:ascii="宋体" w:hAnsi="宋体" w:cs="宋体"/>
                <w:bCs/>
                <w:color w:val="auto"/>
                <w:kern w:val="2"/>
                <w:szCs w:val="21"/>
                <w:highlight w:val="none"/>
                <w:lang w:val="zh-CN" w:eastAsia="zh-CN"/>
              </w:rPr>
              <w:t>.</w:t>
            </w:r>
            <w:r>
              <w:rPr>
                <w:rFonts w:hint="eastAsia" w:ascii="宋体" w:hAnsi="宋体" w:cs="宋体"/>
                <w:bCs/>
                <w:color w:val="auto"/>
                <w:kern w:val="2"/>
                <w:szCs w:val="21"/>
                <w:highlight w:val="none"/>
                <w:lang w:val="zh-CN"/>
              </w:rPr>
              <w:t>落实政府采购政策需满足的资格要求：本项目专门面向中小企业采购的项目。需要落实的政府采购政策：《政府采购促进中小企业发展管理办法》（财库[2020]46 号）；《吉林省促进中小企业发展 条例》和《长春市财政局关于做好我市政府采购促进中小企业发展有关工作的通知》；《关于政府采购支持监狱企业发展有关问题的通知》 （财库[2014]68号）；《三部门联合发布关于促进残疾人就业政府采购政策的通知》 （财库[2017]141号）等。本项目所属行业为：建筑业。</w:t>
            </w:r>
          </w:p>
          <w:p w14:paraId="53D78775">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3</w:t>
            </w:r>
            <w:r>
              <w:rPr>
                <w:rFonts w:hint="eastAsia" w:ascii="宋体" w:hAnsi="宋体" w:cs="宋体"/>
                <w:bCs/>
                <w:color w:val="auto"/>
                <w:kern w:val="2"/>
                <w:szCs w:val="21"/>
                <w:highlight w:val="none"/>
                <w:lang w:val="zh-CN" w:eastAsia="zh-CN"/>
              </w:rPr>
              <w:t>.</w:t>
            </w:r>
            <w:r>
              <w:rPr>
                <w:rFonts w:hint="eastAsia" w:ascii="宋体" w:hAnsi="宋体" w:cs="宋体"/>
                <w:bCs/>
                <w:color w:val="auto"/>
                <w:kern w:val="2"/>
                <w:szCs w:val="21"/>
                <w:highlight w:val="none"/>
                <w:lang w:val="zh-CN"/>
              </w:rPr>
              <w:t>本项目的特定资格要求：</w:t>
            </w:r>
          </w:p>
          <w:p w14:paraId="169FF106">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3.1 供应商具有独立法人资格，具有有效的营业执照，具备建设行政主管部门核发的建筑工程施工总承包二级及以上资质或消防资质二级的法人或其他组织，具有有效的安全生产许可证，并在人员、设备、资金等方面具有相应的施工能力。</w:t>
            </w:r>
          </w:p>
          <w:p w14:paraId="014064BB">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3.2 项目经理及其他人员要求：投标单位拟派出的项目经理须具备建设行政主管部门核发的相关专业二级及以上注册建造师资格和有效的安全考核合格证书（B类）,项目经理和专职安全生产管理人员在“吉林省建设工程安管人员管理系统”中查询网络截图并提供合法有效的查询途径，外省未实行电子查询系统的应提供项目经理和专职安全生产管理人员安全生产考核合格证书。其他人员要求：拟派出的技术负责人须具备相关专业中级（含）以上的技术职称，且施工员、质量员、安全员等人员齐全。拟派出的项目管理人员应无其他在建工程，否则按无效投标处理。</w:t>
            </w:r>
          </w:p>
          <w:p w14:paraId="6FD8870F">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3.</w:t>
            </w:r>
            <w:r>
              <w:rPr>
                <w:rFonts w:hint="eastAsia" w:ascii="宋体" w:hAnsi="宋体" w:cs="宋体"/>
                <w:bCs/>
                <w:color w:val="auto"/>
                <w:kern w:val="2"/>
                <w:szCs w:val="21"/>
                <w:highlight w:val="none"/>
                <w:lang w:val="zh-CN" w:eastAsia="zh-CN"/>
              </w:rPr>
              <w:t>3</w:t>
            </w:r>
            <w:r>
              <w:rPr>
                <w:rFonts w:hint="eastAsia" w:ascii="宋体" w:hAnsi="宋体" w:cs="宋体"/>
                <w:bCs/>
                <w:color w:val="auto"/>
                <w:kern w:val="2"/>
                <w:szCs w:val="21"/>
                <w:highlight w:val="none"/>
                <w:lang w:val="zh-CN"/>
              </w:rPr>
              <w:t>供应商应按照《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59FE9E34">
            <w:pPr>
              <w:autoSpaceDN w:val="0"/>
              <w:snapToGrid w:val="0"/>
              <w:spacing w:line="360" w:lineRule="exact"/>
              <w:rPr>
                <w:rFonts w:hint="eastAsia" w:ascii="宋体" w:hAnsi="宋体" w:cs="宋体"/>
                <w:bCs/>
                <w:color w:val="auto"/>
                <w:kern w:val="2"/>
                <w:szCs w:val="21"/>
                <w:highlight w:val="none"/>
                <w:lang w:val="zh-CN" w:eastAsia="zh-CN"/>
              </w:rPr>
            </w:pPr>
            <w:r>
              <w:rPr>
                <w:rFonts w:hint="eastAsia" w:ascii="宋体" w:hAnsi="宋体" w:cs="宋体"/>
                <w:bCs/>
                <w:color w:val="auto"/>
                <w:kern w:val="2"/>
                <w:szCs w:val="21"/>
                <w:highlight w:val="none"/>
                <w:lang w:val="zh-CN" w:eastAsia="zh-CN"/>
              </w:rPr>
              <w:t>3.4信誉要求：（1）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查询截止时点：投标截止时间前，并将查询结果网页打印。对列入失信被执行人、重大税收违法案件当事人名单、政府采购严重违法失信行为记录名单及其他不符合《中华人民共和国政府采购法》第二十二条规定条件的供应商，拒绝其参与政府采购活动。（4）在近三年（202</w:t>
            </w:r>
            <w:r>
              <w:rPr>
                <w:rFonts w:hint="eastAsia" w:ascii="宋体" w:hAnsi="宋体" w:cs="宋体"/>
                <w:bCs/>
                <w:color w:val="auto"/>
                <w:kern w:val="2"/>
                <w:szCs w:val="21"/>
                <w:highlight w:val="none"/>
                <w:lang w:val="en-US" w:eastAsia="zh-CN"/>
              </w:rPr>
              <w:t>2</w:t>
            </w:r>
            <w:r>
              <w:rPr>
                <w:rFonts w:hint="eastAsia" w:ascii="宋体" w:hAnsi="宋体" w:cs="宋体"/>
                <w:bCs/>
                <w:color w:val="auto"/>
                <w:kern w:val="2"/>
                <w:szCs w:val="21"/>
                <w:highlight w:val="none"/>
                <w:lang w:val="zh-CN" w:eastAsia="zh-CN"/>
              </w:rPr>
              <w:t>年-至今）内供应商和其法定代表人、拟委任的项目经理未在“中国裁判文书网”（wenshu.court.gov.cn）上有行贿犯罪行为。</w:t>
            </w:r>
          </w:p>
          <w:p w14:paraId="156CCE1B">
            <w:pPr>
              <w:autoSpaceDN w:val="0"/>
              <w:snapToGrid w:val="0"/>
              <w:spacing w:line="360" w:lineRule="exact"/>
              <w:rPr>
                <w:rFonts w:hint="eastAsia" w:ascii="宋体" w:hAnsi="宋体" w:cs="宋体"/>
                <w:bCs/>
                <w:color w:val="auto"/>
                <w:kern w:val="2"/>
                <w:szCs w:val="21"/>
                <w:highlight w:val="none"/>
                <w:lang w:val="zh-CN" w:eastAsia="zh-CN"/>
              </w:rPr>
            </w:pPr>
            <w:r>
              <w:rPr>
                <w:rFonts w:hint="eastAsia" w:ascii="宋体" w:hAnsi="宋体" w:cs="宋体"/>
                <w:bCs/>
                <w:color w:val="auto"/>
                <w:kern w:val="2"/>
                <w:szCs w:val="21"/>
                <w:highlight w:val="none"/>
                <w:lang w:val="zh-CN" w:eastAsia="zh-CN"/>
              </w:rPr>
              <w:t>3.5单位负责人为同一人或者存在直接控股、管理关系的不同供应商，不得参加同一合同项下的政府 采购活动。除单一来源采购项目外，为采购项目提供整体设计、规范编制或者项目管理、监理、检测等服务的供应商，不得再参加该采购项目的其他采购活动。</w:t>
            </w:r>
          </w:p>
          <w:p w14:paraId="2EA931AD">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eastAsia="zh-CN"/>
              </w:rPr>
              <w:t>3.6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tc>
      </w:tr>
      <w:tr w14:paraId="6F01A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87" w:type="dxa"/>
            <w:vAlign w:val="center"/>
          </w:tcPr>
          <w:p w14:paraId="79316A9B">
            <w:pPr>
              <w:autoSpaceDN w:val="0"/>
              <w:snapToGrid w:val="0"/>
              <w:spacing w:line="360" w:lineRule="exact"/>
              <w:jc w:val="center"/>
              <w:rPr>
                <w:rFonts w:hint="eastAsia" w:ascii="宋体" w:hAnsi="宋体" w:eastAsia="宋体" w:cs="宋体"/>
                <w:bCs/>
                <w:snapToGrid w:val="0"/>
                <w:color w:val="auto"/>
                <w:kern w:val="2"/>
                <w:sz w:val="21"/>
                <w:szCs w:val="21"/>
                <w:highlight w:val="none"/>
                <w:lang w:val="zh-CN" w:eastAsia="en-US" w:bidi="ar-SA"/>
              </w:rPr>
            </w:pPr>
            <w:r>
              <w:rPr>
                <w:rFonts w:hint="eastAsia" w:ascii="宋体" w:hAnsi="宋体" w:eastAsia="宋体" w:cs="宋体"/>
                <w:bCs/>
                <w:color w:val="auto"/>
                <w:kern w:val="2"/>
                <w:szCs w:val="21"/>
                <w:highlight w:val="none"/>
                <w:lang w:val="zh-CN"/>
              </w:rPr>
              <w:t>14</w:t>
            </w:r>
          </w:p>
        </w:tc>
        <w:tc>
          <w:tcPr>
            <w:tcW w:w="2008" w:type="dxa"/>
            <w:vAlign w:val="center"/>
          </w:tcPr>
          <w:p w14:paraId="1EAF00C1">
            <w:pPr>
              <w:autoSpaceDN w:val="0"/>
              <w:snapToGrid w:val="0"/>
              <w:spacing w:line="360" w:lineRule="exact"/>
              <w:jc w:val="center"/>
              <w:rPr>
                <w:rFonts w:hint="eastAsia" w:ascii="宋体" w:hAnsi="宋体" w:eastAsia="宋体" w:cs="宋体"/>
                <w:bCs/>
                <w:snapToGrid w:val="0"/>
                <w:color w:val="auto"/>
                <w:kern w:val="2"/>
                <w:sz w:val="21"/>
                <w:szCs w:val="21"/>
                <w:highlight w:val="none"/>
                <w:lang w:val="zh-CN" w:eastAsia="en-US" w:bidi="ar-SA"/>
              </w:rPr>
            </w:pPr>
            <w:r>
              <w:rPr>
                <w:rFonts w:hint="eastAsia" w:ascii="宋体" w:hAnsi="宋体" w:eastAsia="宋体" w:cs="宋体"/>
                <w:bCs/>
                <w:color w:val="auto"/>
                <w:kern w:val="2"/>
                <w:szCs w:val="21"/>
                <w:highlight w:val="none"/>
                <w:lang w:val="zh-CN"/>
              </w:rPr>
              <w:t>投标预备会</w:t>
            </w:r>
          </w:p>
        </w:tc>
        <w:tc>
          <w:tcPr>
            <w:tcW w:w="6823" w:type="dxa"/>
            <w:vAlign w:val="center"/>
          </w:tcPr>
          <w:p w14:paraId="7C8CB333">
            <w:pPr>
              <w:autoSpaceDN w:val="0"/>
              <w:snapToGrid w:val="0"/>
              <w:spacing w:line="360" w:lineRule="exact"/>
              <w:rPr>
                <w:rFonts w:hint="eastAsia" w:ascii="宋体" w:hAnsi="宋体" w:eastAsia="Arial" w:cs="宋体"/>
                <w:bCs/>
                <w:snapToGrid w:val="0"/>
                <w:color w:val="auto"/>
                <w:kern w:val="2"/>
                <w:sz w:val="21"/>
                <w:szCs w:val="21"/>
                <w:highlight w:val="none"/>
                <w:lang w:val="zh-CN" w:eastAsia="zh-CN" w:bidi="ar-SA"/>
              </w:rPr>
            </w:pPr>
            <w:r>
              <w:rPr>
                <w:rFonts w:hint="eastAsia" w:ascii="宋体" w:hAnsi="宋体" w:cs="宋体"/>
                <w:bCs/>
                <w:color w:val="auto"/>
                <w:kern w:val="2"/>
                <w:szCs w:val="21"/>
                <w:highlight w:val="none"/>
                <w:lang w:val="en-US" w:eastAsia="zh-CN"/>
              </w:rPr>
              <w:t>不召开</w:t>
            </w:r>
          </w:p>
        </w:tc>
      </w:tr>
      <w:tr w14:paraId="07CD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87" w:type="dxa"/>
            <w:vAlign w:val="center"/>
          </w:tcPr>
          <w:p w14:paraId="3BA2C88F">
            <w:pPr>
              <w:autoSpaceDN w:val="0"/>
              <w:snapToGrid w:val="0"/>
              <w:spacing w:line="360" w:lineRule="exact"/>
              <w:jc w:val="center"/>
              <w:rPr>
                <w:rFonts w:hint="eastAsia" w:ascii="宋体" w:hAnsi="宋体" w:eastAsia="宋体" w:cs="宋体"/>
                <w:bCs/>
                <w:snapToGrid w:val="0"/>
                <w:color w:val="auto"/>
                <w:kern w:val="2"/>
                <w:sz w:val="21"/>
                <w:szCs w:val="21"/>
                <w:highlight w:val="none"/>
                <w:lang w:val="zh-CN" w:eastAsia="en-US" w:bidi="ar-SA"/>
              </w:rPr>
            </w:pPr>
            <w:r>
              <w:rPr>
                <w:rFonts w:hint="eastAsia" w:ascii="宋体" w:hAnsi="宋体" w:eastAsia="宋体" w:cs="宋体"/>
                <w:bCs/>
                <w:color w:val="auto"/>
                <w:kern w:val="2"/>
                <w:szCs w:val="21"/>
                <w:highlight w:val="none"/>
                <w:lang w:val="zh-CN"/>
              </w:rPr>
              <w:t>15</w:t>
            </w:r>
          </w:p>
        </w:tc>
        <w:tc>
          <w:tcPr>
            <w:tcW w:w="2008" w:type="dxa"/>
            <w:vAlign w:val="center"/>
          </w:tcPr>
          <w:p w14:paraId="1F37F82B">
            <w:pPr>
              <w:autoSpaceDN w:val="0"/>
              <w:snapToGrid w:val="0"/>
              <w:spacing w:line="360" w:lineRule="exact"/>
              <w:jc w:val="center"/>
              <w:rPr>
                <w:rFonts w:hint="eastAsia" w:ascii="宋体" w:hAnsi="宋体" w:eastAsia="宋体" w:cs="宋体"/>
                <w:bCs/>
                <w:snapToGrid w:val="0"/>
                <w:color w:val="auto"/>
                <w:kern w:val="2"/>
                <w:sz w:val="21"/>
                <w:szCs w:val="21"/>
                <w:highlight w:val="none"/>
                <w:lang w:val="zh-CN" w:eastAsia="en-US" w:bidi="ar-SA"/>
              </w:rPr>
            </w:pPr>
            <w:r>
              <w:rPr>
                <w:rFonts w:hint="eastAsia" w:ascii="宋体" w:hAnsi="宋体" w:eastAsia="宋体" w:cs="宋体"/>
                <w:bCs/>
                <w:color w:val="auto"/>
                <w:kern w:val="2"/>
                <w:szCs w:val="21"/>
                <w:highlight w:val="none"/>
                <w:lang w:val="zh-CN"/>
              </w:rPr>
              <w:t>供应商提出问题的截止时间</w:t>
            </w:r>
          </w:p>
        </w:tc>
        <w:tc>
          <w:tcPr>
            <w:tcW w:w="6823" w:type="dxa"/>
            <w:vAlign w:val="top"/>
          </w:tcPr>
          <w:p w14:paraId="2E5F3CA7">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响应文件截止时间 5 日前</w:t>
            </w:r>
          </w:p>
          <w:p w14:paraId="22BAA72B">
            <w:pPr>
              <w:autoSpaceDN w:val="0"/>
              <w:snapToGrid w:val="0"/>
              <w:spacing w:line="360" w:lineRule="exact"/>
              <w:rPr>
                <w:rFonts w:hint="eastAsia" w:ascii="宋体" w:hAnsi="宋体" w:eastAsia="Arial" w:cs="宋体"/>
                <w:bCs/>
                <w:snapToGrid w:val="0"/>
                <w:color w:val="auto"/>
                <w:kern w:val="2"/>
                <w:sz w:val="21"/>
                <w:szCs w:val="21"/>
                <w:highlight w:val="none"/>
                <w:lang w:val="zh-CN" w:eastAsia="zh-CN" w:bidi="ar-SA"/>
              </w:rPr>
            </w:pPr>
            <w:r>
              <w:rPr>
                <w:rFonts w:hint="eastAsia" w:ascii="宋体" w:hAnsi="宋体" w:cs="宋体"/>
                <w:bCs/>
                <w:color w:val="auto"/>
                <w:kern w:val="2"/>
                <w:szCs w:val="21"/>
                <w:highlight w:val="none"/>
                <w:lang w:val="en-US" w:eastAsia="zh-CN"/>
              </w:rPr>
              <w:t>形式：网上提交，在“政采云 ”平台（https://www.zcygov.cn/）上提交。 同时电话通知代理机构，若供应商未按规定提出，则视为其无疑问。</w:t>
            </w:r>
          </w:p>
        </w:tc>
      </w:tr>
    </w:tbl>
    <w:p w14:paraId="3F2667E4">
      <w:pPr>
        <w:rPr>
          <w:color w:val="auto"/>
          <w:highlight w:val="none"/>
        </w:rPr>
        <w:sectPr>
          <w:footerReference r:id="rId7" w:type="default"/>
          <w:pgSz w:w="11906" w:h="16839"/>
          <w:pgMar w:top="1120" w:right="1191" w:bottom="1156" w:left="1191" w:header="0" w:footer="994" w:gutter="0"/>
          <w:pgNumType w:fmt="decimal"/>
          <w:cols w:space="720" w:num="1"/>
        </w:sectPr>
      </w:pPr>
    </w:p>
    <w:tbl>
      <w:tblPr>
        <w:tblStyle w:val="20"/>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775"/>
        <w:gridCol w:w="7275"/>
      </w:tblGrid>
      <w:tr w14:paraId="7347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3" w:hRule="atLeast"/>
        </w:trPr>
        <w:tc>
          <w:tcPr>
            <w:tcW w:w="687" w:type="dxa"/>
            <w:vAlign w:val="center"/>
          </w:tcPr>
          <w:p w14:paraId="5F24847F">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rPr>
              <w:t>16</w:t>
            </w:r>
          </w:p>
        </w:tc>
        <w:tc>
          <w:tcPr>
            <w:tcW w:w="1775" w:type="dxa"/>
            <w:vAlign w:val="center"/>
          </w:tcPr>
          <w:p w14:paraId="00C72220">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rPr>
              <w:t>采购人书面澄清或者修改的时间</w:t>
            </w:r>
          </w:p>
        </w:tc>
        <w:tc>
          <w:tcPr>
            <w:tcW w:w="7275" w:type="dxa"/>
            <w:vAlign w:val="center"/>
          </w:tcPr>
          <w:p w14:paraId="308E76B7">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zh-CN"/>
              </w:rPr>
              <w:t>响应文件截止时间5日前网上发布，在“政采云 ”平台（https://www.zcygov.cn/）上发布</w:t>
            </w:r>
          </w:p>
        </w:tc>
      </w:tr>
      <w:tr w14:paraId="7F24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687" w:type="dxa"/>
            <w:vAlign w:val="center"/>
          </w:tcPr>
          <w:p w14:paraId="5BAEA28D">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rPr>
              <w:t>17</w:t>
            </w:r>
          </w:p>
        </w:tc>
        <w:tc>
          <w:tcPr>
            <w:tcW w:w="1775" w:type="dxa"/>
            <w:vAlign w:val="center"/>
          </w:tcPr>
          <w:p w14:paraId="775C4DD4">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rPr>
              <w:t>磋商保证金</w:t>
            </w:r>
          </w:p>
        </w:tc>
        <w:tc>
          <w:tcPr>
            <w:tcW w:w="7275" w:type="dxa"/>
            <w:vAlign w:val="top"/>
          </w:tcPr>
          <w:p w14:paraId="23CB988F">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诚信记录良好的供应商不收取投标保证金。</w:t>
            </w:r>
          </w:p>
          <w:p w14:paraId="490526F6">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根据长财采购〔2021〕695 号的通知，满足《中华人民共和国政府采购法》 第二十二条有关规定，经“信用中国 ”网站查询不存在行政处罚信息的供应 商不收取保证金。</w:t>
            </w:r>
          </w:p>
          <w:p w14:paraId="6897CF50">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en-US"/>
              </w:rPr>
              <w:t>投标保证金的金额：无</w:t>
            </w:r>
          </w:p>
        </w:tc>
      </w:tr>
      <w:tr w14:paraId="7EBB4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687" w:type="dxa"/>
            <w:vAlign w:val="top"/>
          </w:tcPr>
          <w:p w14:paraId="527D1A73">
            <w:pPr>
              <w:autoSpaceDN w:val="0"/>
              <w:snapToGrid w:val="0"/>
              <w:spacing w:line="360" w:lineRule="exact"/>
              <w:jc w:val="center"/>
              <w:rPr>
                <w:rFonts w:hint="eastAsia" w:ascii="宋体" w:hAnsi="宋体" w:eastAsia="宋体" w:cs="宋体"/>
                <w:bCs/>
                <w:color w:val="auto"/>
                <w:kern w:val="2"/>
                <w:szCs w:val="21"/>
                <w:highlight w:val="none"/>
                <w:lang w:val="zh-CN" w:eastAsia="en-US"/>
              </w:rPr>
            </w:pPr>
          </w:p>
          <w:p w14:paraId="721D7EBA">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18</w:t>
            </w:r>
          </w:p>
        </w:tc>
        <w:tc>
          <w:tcPr>
            <w:tcW w:w="1775" w:type="dxa"/>
            <w:vAlign w:val="center"/>
          </w:tcPr>
          <w:p w14:paraId="715063C2">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采购预算</w:t>
            </w:r>
          </w:p>
          <w:p w14:paraId="2F86E62B">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（最高投标限价）</w:t>
            </w:r>
          </w:p>
        </w:tc>
        <w:tc>
          <w:tcPr>
            <w:tcW w:w="7275" w:type="dxa"/>
            <w:vAlign w:val="top"/>
          </w:tcPr>
          <w:p w14:paraId="6643CC18">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最高投标限</w:t>
            </w:r>
            <w:r>
              <w:rPr>
                <w:rFonts w:hint="eastAsia" w:ascii="宋体" w:hAnsi="宋体" w:eastAsia="Arial" w:cs="宋体"/>
                <w:bCs/>
                <w:snapToGrid w:val="0"/>
                <w:color w:val="auto"/>
                <w:kern w:val="2"/>
                <w:sz w:val="21"/>
                <w:szCs w:val="21"/>
                <w:highlight w:val="none"/>
                <w:lang w:val="en-US" w:eastAsia="en-US" w:bidi="ar-SA"/>
              </w:rPr>
              <w:t>价：</w:t>
            </w:r>
            <w:r>
              <w:rPr>
                <w:rFonts w:hint="eastAsia" w:ascii="宋体" w:hAnsi="宋体" w:eastAsia="Arial" w:cs="宋体"/>
                <w:bCs/>
                <w:snapToGrid w:val="0"/>
                <w:color w:val="auto"/>
                <w:kern w:val="2"/>
                <w:sz w:val="21"/>
                <w:szCs w:val="21"/>
                <w:highlight w:val="none"/>
                <w:lang w:val="en-US" w:eastAsia="zh-CN" w:bidi="ar-SA"/>
              </w:rPr>
              <w:t>674030</w:t>
            </w:r>
            <w:r>
              <w:rPr>
                <w:rFonts w:hint="eastAsia" w:ascii="宋体" w:hAnsi="宋体" w:eastAsia="Arial" w:cs="宋体"/>
                <w:bCs/>
                <w:snapToGrid w:val="0"/>
                <w:color w:val="auto"/>
                <w:kern w:val="2"/>
                <w:sz w:val="21"/>
                <w:szCs w:val="21"/>
                <w:highlight w:val="none"/>
                <w:lang w:val="en-US" w:eastAsia="en-US" w:bidi="ar-SA"/>
              </w:rPr>
              <w:t>元。磋商</w:t>
            </w:r>
            <w:r>
              <w:rPr>
                <w:rFonts w:hint="eastAsia" w:ascii="宋体" w:hAnsi="宋体" w:cs="宋体"/>
                <w:bCs/>
                <w:color w:val="auto"/>
                <w:kern w:val="2"/>
                <w:szCs w:val="21"/>
                <w:highlight w:val="none"/>
                <w:lang w:val="en-US" w:eastAsia="en-US"/>
              </w:rPr>
              <w:t>报价（首次报价及最后报价）不得超过最高投标限价，超过最高投标限价为不实质性响应磋商文件，响应文件无效。</w:t>
            </w:r>
          </w:p>
          <w:p w14:paraId="16B12DD7">
            <w:pPr>
              <w:pStyle w:val="6"/>
              <w:jc w:val="left"/>
              <w:rPr>
                <w:rFonts w:hint="eastAsia"/>
                <w:color w:val="auto"/>
                <w:highlight w:val="none"/>
                <w:lang w:val="en-US" w:eastAsia="zh-CN"/>
              </w:rPr>
            </w:pPr>
            <w:r>
              <w:rPr>
                <w:rFonts w:hint="eastAsia" w:ascii="宋体" w:hAnsi="宋体" w:eastAsia="Arial" w:cs="宋体"/>
                <w:bCs/>
                <w:snapToGrid w:val="0"/>
                <w:color w:val="auto"/>
                <w:kern w:val="2"/>
                <w:sz w:val="21"/>
                <w:szCs w:val="21"/>
                <w:highlight w:val="none"/>
                <w:lang w:val="en-US" w:eastAsia="zh-CN" w:bidi="ar-SA"/>
              </w:rPr>
              <w:t>中标供应商应在规定时间内将按照最终报价调整后的清单报价送至代理机构存档</w:t>
            </w:r>
            <w:r>
              <w:rPr>
                <w:rFonts w:hint="eastAsia" w:cs="宋体"/>
                <w:bCs/>
                <w:snapToGrid w:val="0"/>
                <w:color w:val="auto"/>
                <w:kern w:val="2"/>
                <w:sz w:val="21"/>
                <w:szCs w:val="21"/>
                <w:highlight w:val="none"/>
                <w:lang w:val="en-US" w:eastAsia="zh-CN" w:bidi="ar-SA"/>
              </w:rPr>
              <w:t>。</w:t>
            </w:r>
          </w:p>
        </w:tc>
      </w:tr>
      <w:tr w14:paraId="72381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87" w:type="dxa"/>
            <w:vAlign w:val="center"/>
          </w:tcPr>
          <w:p w14:paraId="22A7D506">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19</w:t>
            </w:r>
          </w:p>
        </w:tc>
        <w:tc>
          <w:tcPr>
            <w:tcW w:w="1775" w:type="dxa"/>
            <w:vAlign w:val="center"/>
          </w:tcPr>
          <w:p w14:paraId="57693C08">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磋商有效期</w:t>
            </w:r>
          </w:p>
        </w:tc>
        <w:tc>
          <w:tcPr>
            <w:tcW w:w="7275" w:type="dxa"/>
            <w:vAlign w:val="center"/>
          </w:tcPr>
          <w:p w14:paraId="0F5D7329">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zh-CN" w:eastAsia="en-US"/>
              </w:rPr>
              <w:t>响应文件递交截止之日后</w:t>
            </w:r>
            <w:r>
              <w:rPr>
                <w:rFonts w:hint="eastAsia" w:ascii="宋体" w:hAnsi="宋体" w:cs="宋体"/>
                <w:bCs/>
                <w:color w:val="auto"/>
                <w:kern w:val="2"/>
                <w:szCs w:val="21"/>
                <w:highlight w:val="none"/>
                <w:lang w:val="en-US" w:eastAsia="zh-CN"/>
              </w:rPr>
              <w:t>90</w:t>
            </w:r>
            <w:r>
              <w:rPr>
                <w:rFonts w:hint="eastAsia" w:ascii="宋体" w:hAnsi="宋体" w:cs="宋体"/>
                <w:bCs/>
                <w:color w:val="auto"/>
                <w:kern w:val="2"/>
                <w:szCs w:val="21"/>
                <w:highlight w:val="none"/>
                <w:lang w:val="zh-CN" w:eastAsia="en-US"/>
              </w:rPr>
              <w:t>天（ 日历天）</w:t>
            </w:r>
          </w:p>
        </w:tc>
      </w:tr>
      <w:tr w14:paraId="7F78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87" w:type="dxa"/>
            <w:vAlign w:val="center"/>
          </w:tcPr>
          <w:p w14:paraId="7ACB3372">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20</w:t>
            </w:r>
          </w:p>
        </w:tc>
        <w:tc>
          <w:tcPr>
            <w:tcW w:w="1775" w:type="dxa"/>
            <w:vAlign w:val="center"/>
          </w:tcPr>
          <w:p w14:paraId="7B5609A9">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近年完成的类似项目的年份要求</w:t>
            </w:r>
          </w:p>
        </w:tc>
        <w:tc>
          <w:tcPr>
            <w:tcW w:w="7275" w:type="dxa"/>
            <w:vAlign w:val="center"/>
          </w:tcPr>
          <w:p w14:paraId="730455C9">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zh-CN" w:eastAsia="en-US"/>
              </w:rPr>
              <w:t>202</w:t>
            </w:r>
            <w:r>
              <w:rPr>
                <w:rFonts w:hint="eastAsia" w:ascii="宋体" w:hAnsi="宋体" w:eastAsia="宋体" w:cs="宋体"/>
                <w:bCs/>
                <w:color w:val="auto"/>
                <w:kern w:val="2"/>
                <w:szCs w:val="21"/>
                <w:highlight w:val="none"/>
                <w:lang w:val="en-US" w:eastAsia="zh-CN"/>
              </w:rPr>
              <w:t>2</w:t>
            </w:r>
            <w:r>
              <w:rPr>
                <w:rFonts w:hint="eastAsia" w:ascii="宋体" w:hAnsi="宋体" w:cs="宋体"/>
                <w:bCs/>
                <w:color w:val="auto"/>
                <w:kern w:val="2"/>
                <w:szCs w:val="21"/>
                <w:highlight w:val="none"/>
                <w:lang w:val="zh-CN" w:eastAsia="en-US"/>
              </w:rPr>
              <w:t>年至今</w:t>
            </w:r>
          </w:p>
        </w:tc>
      </w:tr>
      <w:tr w14:paraId="0393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687" w:type="dxa"/>
            <w:vAlign w:val="center"/>
          </w:tcPr>
          <w:p w14:paraId="72030AD6">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21</w:t>
            </w:r>
          </w:p>
        </w:tc>
        <w:tc>
          <w:tcPr>
            <w:tcW w:w="1775" w:type="dxa"/>
            <w:vAlign w:val="center"/>
          </w:tcPr>
          <w:p w14:paraId="69D65C59">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响应文件份数</w:t>
            </w:r>
          </w:p>
        </w:tc>
        <w:tc>
          <w:tcPr>
            <w:tcW w:w="7275" w:type="dxa"/>
            <w:vAlign w:val="top"/>
          </w:tcPr>
          <w:p w14:paraId="1D79ED92">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（1）线上：供应商在“政采云”平台（https://www.zcygov.cn/）通过有效数字证书（CA认证）制作的</w:t>
            </w:r>
            <w:r>
              <w:rPr>
                <w:rFonts w:hint="eastAsia" w:ascii="宋体" w:hAnsi="宋体" w:cs="宋体"/>
                <w:bCs/>
                <w:color w:val="auto"/>
                <w:kern w:val="2"/>
                <w:szCs w:val="21"/>
                <w:highlight w:val="none"/>
                <w:lang w:val="en-US" w:eastAsia="zh-CN"/>
              </w:rPr>
              <w:t>响应</w:t>
            </w:r>
            <w:r>
              <w:rPr>
                <w:rFonts w:hint="eastAsia" w:ascii="宋体" w:hAnsi="宋体" w:cs="宋体"/>
                <w:bCs/>
                <w:color w:val="auto"/>
                <w:kern w:val="2"/>
                <w:szCs w:val="21"/>
                <w:highlight w:val="none"/>
                <w:lang w:val="en-US" w:eastAsia="en-US"/>
              </w:rPr>
              <w:t>文件1份（此</w:t>
            </w:r>
            <w:r>
              <w:rPr>
                <w:rFonts w:hint="eastAsia" w:ascii="宋体" w:hAnsi="宋体" w:cs="宋体"/>
                <w:bCs/>
                <w:color w:val="auto"/>
                <w:kern w:val="2"/>
                <w:szCs w:val="21"/>
                <w:highlight w:val="none"/>
                <w:lang w:val="en-US" w:eastAsia="zh-CN"/>
              </w:rPr>
              <w:t>响应</w:t>
            </w:r>
            <w:r>
              <w:rPr>
                <w:rFonts w:hint="eastAsia" w:ascii="宋体" w:hAnsi="宋体" w:cs="宋体"/>
                <w:bCs/>
                <w:color w:val="auto"/>
                <w:kern w:val="2"/>
                <w:szCs w:val="21"/>
                <w:highlight w:val="none"/>
                <w:lang w:val="en-US" w:eastAsia="en-US"/>
              </w:rPr>
              <w:t>文件应上传至“政采云”平台）。</w:t>
            </w:r>
          </w:p>
          <w:p w14:paraId="6FA99017">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（2）线下：正本1份,副本3份，电子文档（U 盘）</w:t>
            </w:r>
            <w:r>
              <w:rPr>
                <w:rFonts w:hint="eastAsia" w:ascii="宋体" w:hAnsi="宋体" w:cs="宋体"/>
                <w:bCs/>
                <w:color w:val="auto"/>
                <w:kern w:val="2"/>
                <w:szCs w:val="21"/>
                <w:highlight w:val="none"/>
                <w:lang w:val="en-US" w:eastAsia="zh-CN"/>
              </w:rPr>
              <w:t>2</w:t>
            </w:r>
            <w:r>
              <w:rPr>
                <w:rFonts w:hint="eastAsia" w:ascii="宋体" w:hAnsi="宋体" w:cs="宋体"/>
                <w:bCs/>
                <w:color w:val="auto"/>
                <w:kern w:val="2"/>
                <w:szCs w:val="21"/>
                <w:highlight w:val="none"/>
                <w:lang w:val="en-US" w:eastAsia="en-US"/>
              </w:rPr>
              <w:t>份（U 盘，PDF 及 word 两种格式，PDF 格式包含所有投标文件签字及盖章内容，工程量清单提供 excel 版和软件版两种格式，U 盘内容必须可读取）</w:t>
            </w:r>
          </w:p>
          <w:p w14:paraId="0C29D54B">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en-US"/>
              </w:rPr>
              <w:t>纸质版</w:t>
            </w:r>
            <w:r>
              <w:rPr>
                <w:rFonts w:hint="eastAsia" w:ascii="宋体" w:hAnsi="宋体" w:eastAsia="宋体" w:cs="宋体"/>
                <w:bCs/>
                <w:color w:val="auto"/>
                <w:kern w:val="2"/>
                <w:szCs w:val="21"/>
                <w:highlight w:val="none"/>
                <w:lang w:val="en-US" w:eastAsia="zh-CN"/>
              </w:rPr>
              <w:t>响应</w:t>
            </w:r>
            <w:r>
              <w:rPr>
                <w:rFonts w:hint="eastAsia" w:ascii="宋体" w:hAnsi="宋体" w:cs="宋体"/>
                <w:bCs/>
                <w:color w:val="auto"/>
                <w:kern w:val="2"/>
                <w:szCs w:val="21"/>
                <w:highlight w:val="none"/>
                <w:lang w:val="en-US" w:eastAsia="en-US"/>
              </w:rPr>
              <w:t>文件由成交供应商在领取成交通知书时提供，线下递交的响应文件应与线上响应文件一致。</w:t>
            </w:r>
          </w:p>
        </w:tc>
      </w:tr>
      <w:tr w14:paraId="5394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7" w:type="dxa"/>
            <w:vAlign w:val="center"/>
          </w:tcPr>
          <w:p w14:paraId="2A9437BC">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22</w:t>
            </w:r>
          </w:p>
        </w:tc>
        <w:tc>
          <w:tcPr>
            <w:tcW w:w="1775" w:type="dxa"/>
            <w:vAlign w:val="center"/>
          </w:tcPr>
          <w:p w14:paraId="02CB5FE8">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递交文件地点</w:t>
            </w:r>
          </w:p>
        </w:tc>
        <w:tc>
          <w:tcPr>
            <w:tcW w:w="7275" w:type="dxa"/>
            <w:vAlign w:val="top"/>
          </w:tcPr>
          <w:p w14:paraId="018B0124">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“政采云 ”平台（http：//www.zcygov.cn） 截止时间：202</w:t>
            </w:r>
            <w:r>
              <w:rPr>
                <w:rFonts w:hint="eastAsia" w:ascii="宋体" w:hAnsi="宋体" w:eastAsia="宋体" w:cs="宋体"/>
                <w:bCs/>
                <w:color w:val="auto"/>
                <w:kern w:val="2"/>
                <w:szCs w:val="21"/>
                <w:highlight w:val="none"/>
                <w:lang w:val="en-US" w:eastAsia="zh-CN"/>
              </w:rPr>
              <w:t>5</w:t>
            </w:r>
            <w:r>
              <w:rPr>
                <w:rFonts w:hint="eastAsia" w:ascii="宋体" w:hAnsi="宋体" w:cs="宋体"/>
                <w:bCs/>
                <w:color w:val="auto"/>
                <w:kern w:val="2"/>
                <w:szCs w:val="21"/>
                <w:highlight w:val="none"/>
                <w:lang w:val="en-US" w:eastAsia="en-US"/>
              </w:rPr>
              <w:t>年</w:t>
            </w:r>
            <w:r>
              <w:rPr>
                <w:rFonts w:hint="eastAsia" w:ascii="宋体" w:hAnsi="宋体" w:cs="宋体"/>
                <w:bCs/>
                <w:color w:val="auto"/>
                <w:kern w:val="2"/>
                <w:szCs w:val="21"/>
                <w:highlight w:val="none"/>
                <w:lang w:val="en-US" w:eastAsia="zh-CN"/>
              </w:rPr>
              <w:t>07</w:t>
            </w:r>
            <w:r>
              <w:rPr>
                <w:rFonts w:hint="eastAsia" w:ascii="宋体" w:hAnsi="宋体" w:cs="宋体"/>
                <w:bCs/>
                <w:color w:val="auto"/>
                <w:kern w:val="2"/>
                <w:szCs w:val="21"/>
                <w:highlight w:val="none"/>
                <w:lang w:val="en-US" w:eastAsia="en-US"/>
              </w:rPr>
              <w:t>月</w:t>
            </w:r>
            <w:r>
              <w:rPr>
                <w:rFonts w:hint="eastAsia" w:ascii="宋体" w:hAnsi="宋体" w:eastAsia="宋体" w:cs="宋体"/>
                <w:bCs/>
                <w:color w:val="auto"/>
                <w:kern w:val="2"/>
                <w:szCs w:val="21"/>
                <w:highlight w:val="none"/>
                <w:lang w:val="en-US" w:eastAsia="zh-CN"/>
              </w:rPr>
              <w:t>8</w:t>
            </w:r>
            <w:r>
              <w:rPr>
                <w:rFonts w:hint="eastAsia" w:ascii="宋体" w:hAnsi="宋体" w:cs="宋体"/>
                <w:bCs/>
                <w:color w:val="auto"/>
                <w:kern w:val="2"/>
                <w:szCs w:val="21"/>
                <w:highlight w:val="none"/>
                <w:lang w:val="en-US" w:eastAsia="en-US"/>
              </w:rPr>
              <w:t>日</w:t>
            </w:r>
            <w:r>
              <w:rPr>
                <w:rFonts w:hint="eastAsia" w:ascii="宋体" w:hAnsi="宋体" w:cs="宋体"/>
                <w:bCs/>
                <w:color w:val="auto"/>
                <w:kern w:val="2"/>
                <w:szCs w:val="21"/>
                <w:highlight w:val="none"/>
                <w:lang w:val="en-US" w:eastAsia="zh-CN"/>
              </w:rPr>
              <w:t>13</w:t>
            </w:r>
            <w:r>
              <w:rPr>
                <w:rFonts w:hint="eastAsia" w:ascii="宋体" w:hAnsi="宋体" w:cs="宋体"/>
                <w:bCs/>
                <w:color w:val="auto"/>
                <w:kern w:val="2"/>
                <w:szCs w:val="21"/>
                <w:highlight w:val="none"/>
                <w:lang w:val="en-US" w:eastAsia="en-US"/>
              </w:rPr>
              <w:t>时</w:t>
            </w:r>
            <w:r>
              <w:rPr>
                <w:rFonts w:hint="eastAsia" w:ascii="宋体" w:hAnsi="宋体" w:cs="宋体"/>
                <w:bCs/>
                <w:color w:val="auto"/>
                <w:kern w:val="2"/>
                <w:szCs w:val="21"/>
                <w:highlight w:val="none"/>
                <w:lang w:val="en-US" w:eastAsia="zh-CN"/>
              </w:rPr>
              <w:t>00</w:t>
            </w:r>
            <w:r>
              <w:rPr>
                <w:rFonts w:hint="eastAsia" w:ascii="宋体" w:hAnsi="宋体" w:cs="宋体"/>
                <w:bCs/>
                <w:color w:val="auto"/>
                <w:kern w:val="2"/>
                <w:szCs w:val="21"/>
                <w:highlight w:val="none"/>
                <w:lang w:val="en-US" w:eastAsia="en-US"/>
              </w:rPr>
              <w:t>分</w:t>
            </w:r>
          </w:p>
          <w:p w14:paraId="2923A92A">
            <w:pPr>
              <w:autoSpaceDN w:val="0"/>
              <w:snapToGrid w:val="0"/>
              <w:spacing w:line="360" w:lineRule="exact"/>
              <w:rPr>
                <w:rFonts w:hint="eastAsia" w:ascii="宋体" w:hAnsi="宋体" w:cs="宋体"/>
                <w:bCs/>
                <w:color w:val="auto"/>
                <w:kern w:val="2"/>
                <w:szCs w:val="21"/>
                <w:highlight w:val="none"/>
                <w:lang w:val="zh-CN" w:eastAsia="en-US"/>
              </w:rPr>
            </w:pPr>
            <w:r>
              <w:rPr>
                <w:rFonts w:hint="eastAsia" w:ascii="宋体" w:hAnsi="宋体" w:cs="宋体"/>
                <w:bCs/>
                <w:color w:val="auto"/>
                <w:kern w:val="2"/>
                <w:szCs w:val="21"/>
                <w:highlight w:val="none"/>
                <w:lang w:val="en-US" w:eastAsia="en-US"/>
              </w:rPr>
              <w:t>地  点：</w:t>
            </w:r>
            <w:r>
              <w:rPr>
                <w:rFonts w:hint="eastAsia" w:ascii="宋体" w:hAnsi="宋体" w:cs="宋体"/>
                <w:bCs/>
                <w:color w:val="auto"/>
                <w:kern w:val="2"/>
                <w:szCs w:val="21"/>
                <w:highlight w:val="none"/>
                <w:lang w:val="en-US" w:eastAsia="zh-CN"/>
              </w:rPr>
              <w:t>长春市高新区鸿达街248号吉林日报副楼4楼吉利招第四开标室</w:t>
            </w:r>
            <w:r>
              <w:rPr>
                <w:rFonts w:hint="eastAsia" w:ascii="宋体" w:hAnsi="宋体" w:cs="宋体"/>
                <w:bCs/>
                <w:color w:val="auto"/>
                <w:kern w:val="2"/>
                <w:szCs w:val="21"/>
                <w:highlight w:val="none"/>
                <w:lang w:val="en-US" w:eastAsia="en-US"/>
              </w:rPr>
              <w:t>。</w:t>
            </w:r>
            <w:r>
              <w:rPr>
                <w:rFonts w:hint="eastAsia" w:ascii="宋体" w:hAnsi="宋体" w:cs="宋体"/>
                <w:bCs/>
                <w:color w:val="auto"/>
                <w:kern w:val="2"/>
                <w:szCs w:val="21"/>
                <w:highlight w:val="none"/>
                <w:lang w:val="zh-CN" w:eastAsia="en-US"/>
              </w:rPr>
              <w:t>本项目开标方式为远程开标，供应商不到开标现场。供应商开标时，应携带制作</w:t>
            </w:r>
            <w:r>
              <w:rPr>
                <w:rFonts w:hint="eastAsia" w:ascii="宋体" w:hAnsi="宋体" w:cs="宋体"/>
                <w:bCs/>
                <w:color w:val="auto"/>
                <w:kern w:val="2"/>
                <w:szCs w:val="21"/>
                <w:highlight w:val="none"/>
                <w:lang w:val="zh-CN" w:eastAsia="zh-CN"/>
              </w:rPr>
              <w:t>响应</w:t>
            </w:r>
            <w:r>
              <w:rPr>
                <w:rFonts w:hint="eastAsia" w:ascii="宋体" w:hAnsi="宋体" w:cs="宋体"/>
                <w:bCs/>
                <w:color w:val="auto"/>
                <w:kern w:val="2"/>
                <w:szCs w:val="21"/>
                <w:highlight w:val="none"/>
                <w:lang w:val="zh-CN" w:eastAsia="en-US"/>
              </w:rPr>
              <w:t>文件时用来加密的有效数字证书（CA认证）登录“政采云”平台电子开标大厅现场按规定时间对加密的投标文件进行解密。</w:t>
            </w:r>
          </w:p>
          <w:p w14:paraId="754F8F46">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响应文件提交方式：本项目为全流程电子化项目，通过“政采云”平台（http：//www.zcygov.cn）实行在线电子开标，投标人应先安装“政采云电子交易客户端”（请自行前往“政采云”平台进行下载），并按照本项目竞争性磋商文件和“政采云”平台的要求编制、加密后在提交响应文件截止时间前通过网络上传至“政采云”平台，投标人在“政采云”平台提交电子版响应文件时，请填写参加开标活动经办人联系方式。</w:t>
            </w:r>
          </w:p>
          <w:p w14:paraId="2C4686BB">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解密方式：投标文件递交截止时间后30分钟内完成解密工作，投标人参与开标会议时，应携带制作响应文件时用来加密的有效数字证书（CA认证）登录“政采云”平台电子开标大厅现场按规定时间对加密的响应文件进行解密。因投标人自身原因未能按时完成解密的，视为逾期未提交响应文件，其投标无效。</w:t>
            </w:r>
          </w:p>
        </w:tc>
      </w:tr>
      <w:tr w14:paraId="4C6A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7" w:type="dxa"/>
            <w:vAlign w:val="center"/>
          </w:tcPr>
          <w:p w14:paraId="7556D9BC">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23</w:t>
            </w:r>
          </w:p>
        </w:tc>
        <w:tc>
          <w:tcPr>
            <w:tcW w:w="1775" w:type="dxa"/>
            <w:vAlign w:val="center"/>
          </w:tcPr>
          <w:p w14:paraId="267E6456">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磋商小组的构成</w:t>
            </w:r>
          </w:p>
        </w:tc>
        <w:tc>
          <w:tcPr>
            <w:tcW w:w="7275" w:type="dxa"/>
            <w:vAlign w:val="top"/>
          </w:tcPr>
          <w:p w14:paraId="6E7A929B">
            <w:pPr>
              <w:autoSpaceDN w:val="0"/>
              <w:snapToGrid w:val="0"/>
              <w:spacing w:line="360" w:lineRule="exact"/>
              <w:rPr>
                <w:rFonts w:hint="eastAsia" w:ascii="宋体" w:hAnsi="宋体" w:eastAsia="宋体" w:cs="宋体"/>
                <w:bCs/>
                <w:color w:val="auto"/>
                <w:kern w:val="2"/>
                <w:szCs w:val="21"/>
                <w:highlight w:val="none"/>
                <w:lang w:val="en-US" w:eastAsia="zh-CN"/>
              </w:rPr>
            </w:pPr>
            <w:r>
              <w:rPr>
                <w:rFonts w:hint="eastAsia" w:ascii="宋体" w:hAnsi="宋体" w:cs="宋体"/>
                <w:bCs/>
                <w:color w:val="auto"/>
                <w:kern w:val="2"/>
                <w:szCs w:val="21"/>
                <w:highlight w:val="none"/>
                <w:lang w:val="en-US" w:eastAsia="en-US"/>
              </w:rPr>
              <w:t>磋商小组构成：相关专家3人；</w:t>
            </w:r>
            <w:r>
              <w:rPr>
                <w:rFonts w:hint="eastAsia" w:ascii="宋体" w:hAnsi="宋体" w:eastAsia="宋体" w:cs="宋体"/>
                <w:bCs/>
                <w:color w:val="auto"/>
                <w:kern w:val="2"/>
                <w:szCs w:val="21"/>
                <w:highlight w:val="none"/>
                <w:lang w:val="en-US" w:eastAsia="zh-CN"/>
              </w:rPr>
              <w:t>其中采购人评委代表：1人</w:t>
            </w:r>
          </w:p>
          <w:p w14:paraId="3B84920A">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en-US"/>
              </w:rPr>
              <w:t>评标专家确定方式：从政府采购评审专家库（政采云专家库）内相关专业的专家中随机抽取。</w:t>
            </w:r>
          </w:p>
        </w:tc>
      </w:tr>
      <w:tr w14:paraId="2A32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77EF3B0E">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24</w:t>
            </w:r>
          </w:p>
        </w:tc>
        <w:tc>
          <w:tcPr>
            <w:tcW w:w="1775" w:type="dxa"/>
            <w:vAlign w:val="center"/>
          </w:tcPr>
          <w:p w14:paraId="75E7342E">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是否授权磋商小组确定成交供应商</w:t>
            </w:r>
          </w:p>
        </w:tc>
        <w:tc>
          <w:tcPr>
            <w:tcW w:w="7275" w:type="dxa"/>
            <w:vAlign w:val="center"/>
          </w:tcPr>
          <w:p w14:paraId="05DF3030">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是</w:t>
            </w:r>
          </w:p>
        </w:tc>
      </w:tr>
      <w:tr w14:paraId="3065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87" w:type="dxa"/>
            <w:vAlign w:val="center"/>
          </w:tcPr>
          <w:p w14:paraId="4D571AB4">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25</w:t>
            </w:r>
          </w:p>
        </w:tc>
        <w:tc>
          <w:tcPr>
            <w:tcW w:w="1775" w:type="dxa"/>
            <w:vAlign w:val="center"/>
          </w:tcPr>
          <w:p w14:paraId="624088FB">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评审方法</w:t>
            </w:r>
          </w:p>
        </w:tc>
        <w:tc>
          <w:tcPr>
            <w:tcW w:w="7275" w:type="dxa"/>
            <w:vAlign w:val="center"/>
          </w:tcPr>
          <w:p w14:paraId="0A3CB10D">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综合评分法</w:t>
            </w:r>
          </w:p>
        </w:tc>
      </w:tr>
      <w:tr w14:paraId="7B33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87" w:type="dxa"/>
            <w:vMerge w:val="restart"/>
            <w:vAlign w:val="center"/>
          </w:tcPr>
          <w:p w14:paraId="36C5BFB7">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26</w:t>
            </w:r>
          </w:p>
        </w:tc>
        <w:tc>
          <w:tcPr>
            <w:tcW w:w="1775" w:type="dxa"/>
            <w:vAlign w:val="center"/>
          </w:tcPr>
          <w:p w14:paraId="3193732B">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合同方式</w:t>
            </w:r>
          </w:p>
        </w:tc>
        <w:tc>
          <w:tcPr>
            <w:tcW w:w="7275" w:type="dxa"/>
            <w:vAlign w:val="center"/>
          </w:tcPr>
          <w:p w14:paraId="299A5AD3">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本项目采用固定</w:t>
            </w:r>
            <w:r>
              <w:rPr>
                <w:rFonts w:hint="eastAsia" w:ascii="宋体" w:hAnsi="宋体" w:eastAsia="宋体" w:cs="宋体"/>
                <w:bCs/>
                <w:color w:val="auto"/>
                <w:kern w:val="2"/>
                <w:szCs w:val="21"/>
                <w:highlight w:val="none"/>
                <w:lang w:val="en-US" w:eastAsia="zh-CN"/>
              </w:rPr>
              <w:t>综合</w:t>
            </w:r>
            <w:r>
              <w:rPr>
                <w:rFonts w:hint="eastAsia" w:ascii="宋体" w:hAnsi="宋体" w:cs="宋体"/>
                <w:bCs/>
                <w:color w:val="auto"/>
                <w:kern w:val="2"/>
                <w:szCs w:val="21"/>
                <w:highlight w:val="none"/>
                <w:lang w:val="en-US" w:eastAsia="en-US"/>
              </w:rPr>
              <w:t>单价合同。</w:t>
            </w:r>
          </w:p>
        </w:tc>
      </w:tr>
      <w:tr w14:paraId="0E70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687" w:type="dxa"/>
            <w:vMerge w:val="continue"/>
            <w:vAlign w:val="center"/>
          </w:tcPr>
          <w:p w14:paraId="70A035EB">
            <w:pPr>
              <w:autoSpaceDN w:val="0"/>
              <w:snapToGrid w:val="0"/>
              <w:spacing w:line="360" w:lineRule="exact"/>
              <w:jc w:val="center"/>
              <w:rPr>
                <w:rFonts w:hint="eastAsia" w:ascii="宋体" w:hAnsi="宋体" w:eastAsia="宋体" w:cs="宋体"/>
                <w:bCs/>
                <w:color w:val="auto"/>
                <w:kern w:val="2"/>
                <w:szCs w:val="21"/>
                <w:highlight w:val="none"/>
                <w:lang w:val="zh-CN" w:eastAsia="en-US"/>
              </w:rPr>
            </w:pPr>
          </w:p>
        </w:tc>
        <w:tc>
          <w:tcPr>
            <w:tcW w:w="1775" w:type="dxa"/>
            <w:vAlign w:val="center"/>
          </w:tcPr>
          <w:p w14:paraId="26FB0B5D">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合同备案管理</w:t>
            </w:r>
          </w:p>
        </w:tc>
        <w:tc>
          <w:tcPr>
            <w:tcW w:w="7275" w:type="dxa"/>
            <w:vAlign w:val="center"/>
          </w:tcPr>
          <w:p w14:paraId="434F6AC6">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成交供应商与采购人签订合同后 2 日内，将扫描件交于采购代理机构，</w:t>
            </w:r>
          </w:p>
          <w:p w14:paraId="3EC1EBDC">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采购代理机构协助采购人，将政府采购合同在省级以上人民政府部门指  定的媒体上公告（政府采购合同中涉及国家秘密、商业秘密的内容除外）。</w:t>
            </w:r>
          </w:p>
        </w:tc>
      </w:tr>
      <w:tr w14:paraId="56861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5FFFEE71">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27</w:t>
            </w:r>
          </w:p>
        </w:tc>
        <w:tc>
          <w:tcPr>
            <w:tcW w:w="1775" w:type="dxa"/>
            <w:vAlign w:val="center"/>
          </w:tcPr>
          <w:p w14:paraId="46B8BDA6">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付款条件</w:t>
            </w:r>
          </w:p>
        </w:tc>
        <w:tc>
          <w:tcPr>
            <w:tcW w:w="7275" w:type="dxa"/>
            <w:vAlign w:val="center"/>
          </w:tcPr>
          <w:p w14:paraId="61078BAE">
            <w:pPr>
              <w:autoSpaceDN w:val="0"/>
              <w:snapToGrid w:val="0"/>
              <w:spacing w:line="360" w:lineRule="exact"/>
              <w:rPr>
                <w:rFonts w:hint="eastAsia" w:ascii="宋体" w:hAnsi="宋体" w:eastAsia="宋体" w:cs="宋体"/>
                <w:bCs/>
                <w:color w:val="auto"/>
                <w:kern w:val="2"/>
                <w:szCs w:val="21"/>
                <w:highlight w:val="none"/>
                <w:lang w:val="en-US" w:eastAsia="zh-CN"/>
              </w:rPr>
            </w:pPr>
            <w:r>
              <w:rPr>
                <w:rFonts w:hint="eastAsia" w:ascii="宋体" w:hAnsi="宋体" w:cs="宋体"/>
                <w:bCs/>
                <w:color w:val="auto"/>
                <w:kern w:val="2"/>
                <w:szCs w:val="21"/>
                <w:highlight w:val="none"/>
                <w:lang w:val="en-US" w:eastAsia="en-US"/>
              </w:rPr>
              <w:t>发包方应在合同签订后10日内，向承包方支付合同总价30%的预付款，承包方需提供等额的见索即付预付款保函后，发包方予以支付。原则上工程竣工经发包人及监理验收合格，提交财政或发包人委托的第三方审计确定工程价款后，且承包人提交了符合发包人要求的发票后45个工作日内，发包人支付审计后的工程余款，考虑发包人高校财务管理的特殊性，如该项目为跨年度工程或遇付款时间为学校财务封帐期及寒暑假等特殊情况，暂时无法支付工程款时，付款时间由发包人、承包人双方另行商定。质保期满后，如无质量问题，发包人一次性支付给承包人所有的质保金</w:t>
            </w:r>
            <w:r>
              <w:rPr>
                <w:rFonts w:hint="eastAsia" w:ascii="宋体" w:hAnsi="宋体" w:eastAsia="宋体" w:cs="宋体"/>
                <w:bCs/>
                <w:color w:val="auto"/>
                <w:kern w:val="2"/>
                <w:szCs w:val="21"/>
                <w:highlight w:val="none"/>
                <w:lang w:val="en-US" w:eastAsia="zh-CN"/>
              </w:rPr>
              <w:t>,质保期满后，质保金无息返还</w:t>
            </w:r>
            <w:r>
              <w:rPr>
                <w:rFonts w:hint="eastAsia" w:ascii="宋体" w:hAnsi="宋体" w:cs="宋体"/>
                <w:bCs/>
                <w:color w:val="auto"/>
                <w:kern w:val="2"/>
                <w:szCs w:val="21"/>
                <w:highlight w:val="none"/>
                <w:lang w:val="en-US" w:eastAsia="en-US"/>
              </w:rPr>
              <w:t>。（含履约保证金转化为质保金部分）。</w:t>
            </w:r>
          </w:p>
        </w:tc>
      </w:tr>
      <w:tr w14:paraId="4C56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87" w:type="dxa"/>
            <w:vAlign w:val="center"/>
          </w:tcPr>
          <w:p w14:paraId="26926D85">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28</w:t>
            </w:r>
          </w:p>
        </w:tc>
        <w:tc>
          <w:tcPr>
            <w:tcW w:w="1775" w:type="dxa"/>
            <w:vAlign w:val="center"/>
          </w:tcPr>
          <w:p w14:paraId="352E87FD">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质保期</w:t>
            </w:r>
          </w:p>
        </w:tc>
        <w:tc>
          <w:tcPr>
            <w:tcW w:w="7275" w:type="dxa"/>
            <w:vAlign w:val="center"/>
          </w:tcPr>
          <w:p w14:paraId="2E40F46F">
            <w:pPr>
              <w:autoSpaceDN w:val="0"/>
              <w:snapToGrid w:val="0"/>
              <w:spacing w:line="360" w:lineRule="exact"/>
              <w:rPr>
                <w:rFonts w:hint="eastAsia"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质保期2年(包括质量保修范围和保修期等)</w:t>
            </w:r>
          </w:p>
        </w:tc>
      </w:tr>
      <w:tr w14:paraId="6787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687" w:type="dxa"/>
            <w:vAlign w:val="center"/>
          </w:tcPr>
          <w:p w14:paraId="714E3037">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29</w:t>
            </w:r>
          </w:p>
        </w:tc>
        <w:tc>
          <w:tcPr>
            <w:tcW w:w="1775" w:type="dxa"/>
            <w:vAlign w:val="center"/>
          </w:tcPr>
          <w:p w14:paraId="7A52909B">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履约担保</w:t>
            </w:r>
          </w:p>
        </w:tc>
        <w:tc>
          <w:tcPr>
            <w:tcW w:w="7275" w:type="dxa"/>
            <w:vAlign w:val="center"/>
          </w:tcPr>
          <w:p w14:paraId="43427E4C">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履约保证金金额为合同签约价的【2%】，工程竣工并经发包人组织的验收合格后，自发包人组织的竣工合格验收报告签署之日起，履约保证金自动转为质量保证金，本工程质保期满且经发包人确认工程无质量问题且无任何遗留问题后，一次性无息退还承包人质量保证金(扣除因质量问题引起的维修费用、违约赔偿金等)。</w:t>
            </w:r>
          </w:p>
          <w:p w14:paraId="7494B238">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履约保证金账户</w:t>
            </w:r>
          </w:p>
          <w:p w14:paraId="6D5B03F6">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开户名：长春医学高等专科学校</w:t>
            </w:r>
          </w:p>
          <w:p w14:paraId="57B96952">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开户行：交通银行长春永昌支行</w:t>
            </w:r>
          </w:p>
          <w:p w14:paraId="1E6DC423">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账号：221000698013000251356</w:t>
            </w:r>
          </w:p>
        </w:tc>
      </w:tr>
      <w:tr w14:paraId="14FD2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87" w:type="dxa"/>
            <w:vAlign w:val="center"/>
          </w:tcPr>
          <w:p w14:paraId="5C098B40">
            <w:pPr>
              <w:autoSpaceDN w:val="0"/>
              <w:snapToGrid w:val="0"/>
              <w:spacing w:line="360" w:lineRule="exact"/>
              <w:jc w:val="center"/>
              <w:rPr>
                <w:rFonts w:hint="eastAsia" w:ascii="宋体" w:hAnsi="宋体" w:eastAsia="宋体" w:cs="宋体"/>
                <w:bCs/>
                <w:color w:val="auto"/>
                <w:kern w:val="2"/>
                <w:szCs w:val="21"/>
                <w:highlight w:val="none"/>
                <w:lang w:val="en-US" w:eastAsia="zh-CN"/>
              </w:rPr>
            </w:pPr>
          </w:p>
        </w:tc>
        <w:tc>
          <w:tcPr>
            <w:tcW w:w="1775" w:type="dxa"/>
            <w:shd w:val="clear" w:color="auto" w:fill="auto"/>
            <w:vAlign w:val="top"/>
          </w:tcPr>
          <w:p w14:paraId="36B7D281">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知识产权的归属 和处理方式</w:t>
            </w:r>
          </w:p>
        </w:tc>
        <w:tc>
          <w:tcPr>
            <w:tcW w:w="7275" w:type="dxa"/>
            <w:shd w:val="clear" w:color="auto" w:fill="auto"/>
            <w:vAlign w:val="top"/>
          </w:tcPr>
          <w:p w14:paraId="6B5ACB75">
            <w:pPr>
              <w:pStyle w:val="21"/>
              <w:spacing w:before="122" w:line="233" w:lineRule="auto"/>
              <w:jc w:val="both"/>
              <w:rPr>
                <w:rFonts w:hint="eastAsia" w:ascii="宋体" w:hAnsi="宋体" w:eastAsia="Arial" w:cs="宋体"/>
                <w:bCs/>
                <w:snapToGrid w:val="0"/>
                <w:color w:val="auto"/>
                <w:kern w:val="2"/>
                <w:sz w:val="21"/>
                <w:szCs w:val="21"/>
                <w:highlight w:val="none"/>
                <w:lang w:val="en-US" w:eastAsia="en-US" w:bidi="ar-SA"/>
              </w:rPr>
            </w:pPr>
            <w:r>
              <w:rPr>
                <w:rFonts w:hint="eastAsia" w:ascii="宋体" w:hAnsi="宋体" w:eastAsia="Arial" w:cs="宋体"/>
                <w:bCs/>
                <w:snapToGrid w:val="0"/>
                <w:color w:val="auto"/>
                <w:kern w:val="2"/>
                <w:sz w:val="21"/>
                <w:szCs w:val="21"/>
                <w:highlight w:val="none"/>
                <w:lang w:val="en-US" w:eastAsia="en-US" w:bidi="ar-SA"/>
              </w:rPr>
              <w:t>关于发包人提供给承包人的图纸、发包人为实施工程 自行编制或委托编制的技术规范以及反映发包人关于合 同要求或其他类似性质的文件的著作权的归属：按照通用 条款执行。</w:t>
            </w:r>
          </w:p>
        </w:tc>
      </w:tr>
      <w:tr w14:paraId="5E8FA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87" w:type="dxa"/>
            <w:vAlign w:val="center"/>
          </w:tcPr>
          <w:p w14:paraId="25B4D582">
            <w:pPr>
              <w:autoSpaceDN w:val="0"/>
              <w:snapToGrid w:val="0"/>
              <w:spacing w:line="360" w:lineRule="exact"/>
              <w:jc w:val="center"/>
              <w:rPr>
                <w:rFonts w:hint="eastAsia" w:ascii="宋体" w:hAnsi="宋体" w:eastAsia="宋体" w:cs="宋体"/>
                <w:bCs/>
                <w:color w:val="auto"/>
                <w:kern w:val="2"/>
                <w:szCs w:val="21"/>
                <w:highlight w:val="none"/>
                <w:lang w:val="en-US" w:eastAsia="zh-CN"/>
              </w:rPr>
            </w:pPr>
          </w:p>
        </w:tc>
        <w:tc>
          <w:tcPr>
            <w:tcW w:w="1775" w:type="dxa"/>
            <w:shd w:val="clear" w:color="auto" w:fill="auto"/>
            <w:vAlign w:val="top"/>
          </w:tcPr>
          <w:p w14:paraId="491DBD43">
            <w:pPr>
              <w:autoSpaceDN w:val="0"/>
              <w:snapToGrid w:val="0"/>
              <w:spacing w:line="360" w:lineRule="exact"/>
              <w:jc w:val="center"/>
              <w:rPr>
                <w:rFonts w:hint="eastAsia" w:ascii="宋体" w:hAnsi="宋体" w:eastAsia="宋体" w:cs="宋体"/>
                <w:bCs/>
                <w:color w:val="auto"/>
                <w:kern w:val="2"/>
                <w:szCs w:val="21"/>
                <w:highlight w:val="none"/>
                <w:lang w:val="zh-CN" w:eastAsia="en-US"/>
              </w:rPr>
            </w:pPr>
          </w:p>
          <w:p w14:paraId="6F464216">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履约验收要求</w:t>
            </w:r>
          </w:p>
        </w:tc>
        <w:tc>
          <w:tcPr>
            <w:tcW w:w="7275" w:type="dxa"/>
            <w:shd w:val="clear" w:color="auto" w:fill="auto"/>
            <w:vAlign w:val="top"/>
          </w:tcPr>
          <w:p w14:paraId="41972EE1">
            <w:pPr>
              <w:pStyle w:val="21"/>
              <w:spacing w:before="231" w:line="227" w:lineRule="auto"/>
              <w:ind w:right="7"/>
              <w:rPr>
                <w:rFonts w:hint="eastAsia" w:ascii="宋体" w:hAnsi="宋体" w:eastAsia="Arial" w:cs="宋体"/>
                <w:bCs/>
                <w:snapToGrid w:val="0"/>
                <w:color w:val="auto"/>
                <w:kern w:val="2"/>
                <w:sz w:val="21"/>
                <w:szCs w:val="21"/>
                <w:highlight w:val="none"/>
                <w:lang w:val="en-US" w:eastAsia="en-US" w:bidi="ar-SA"/>
              </w:rPr>
            </w:pPr>
            <w:r>
              <w:rPr>
                <w:rFonts w:hint="eastAsia" w:ascii="宋体" w:hAnsi="宋体" w:eastAsia="Arial" w:cs="宋体"/>
                <w:bCs/>
                <w:snapToGrid w:val="0"/>
                <w:color w:val="auto"/>
                <w:kern w:val="2"/>
                <w:sz w:val="21"/>
                <w:szCs w:val="21"/>
                <w:highlight w:val="none"/>
                <w:lang w:val="en-US" w:eastAsia="en-US" w:bidi="ar-SA"/>
              </w:rPr>
              <w:t>(包括履约验收的主体、时间、方式、程序、内容和验收 标准等事项)</w:t>
            </w:r>
          </w:p>
          <w:p w14:paraId="44DB61F2">
            <w:pPr>
              <w:pStyle w:val="21"/>
              <w:spacing w:line="219" w:lineRule="auto"/>
              <w:rPr>
                <w:rFonts w:hint="eastAsia" w:ascii="宋体" w:hAnsi="宋体" w:eastAsia="Arial" w:cs="宋体"/>
                <w:bCs/>
                <w:snapToGrid w:val="0"/>
                <w:color w:val="auto"/>
                <w:kern w:val="2"/>
                <w:sz w:val="21"/>
                <w:szCs w:val="21"/>
                <w:highlight w:val="none"/>
                <w:lang w:val="en-US" w:eastAsia="en-US" w:bidi="ar-SA"/>
              </w:rPr>
            </w:pPr>
            <w:r>
              <w:rPr>
                <w:rFonts w:hint="eastAsia" w:ascii="宋体" w:hAnsi="宋体" w:eastAsia="Arial" w:cs="宋体"/>
                <w:bCs/>
                <w:snapToGrid w:val="0"/>
                <w:color w:val="auto"/>
                <w:kern w:val="2"/>
                <w:sz w:val="21"/>
                <w:szCs w:val="21"/>
                <w:highlight w:val="none"/>
                <w:lang w:val="en-US" w:eastAsia="en-US" w:bidi="ar-SA"/>
              </w:rPr>
              <w:t>按照通用条款执行。</w:t>
            </w:r>
          </w:p>
        </w:tc>
      </w:tr>
      <w:tr w14:paraId="51864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687" w:type="dxa"/>
            <w:vAlign w:val="center"/>
          </w:tcPr>
          <w:p w14:paraId="3A064638">
            <w:pPr>
              <w:autoSpaceDN w:val="0"/>
              <w:snapToGrid w:val="0"/>
              <w:spacing w:line="360" w:lineRule="exact"/>
              <w:jc w:val="center"/>
              <w:rPr>
                <w:rFonts w:hint="eastAsia" w:ascii="宋体" w:hAnsi="宋体" w:eastAsia="宋体" w:cs="宋体"/>
                <w:bCs/>
                <w:color w:val="auto"/>
                <w:kern w:val="2"/>
                <w:szCs w:val="21"/>
                <w:highlight w:val="none"/>
                <w:lang w:val="en-US" w:eastAsia="zh-CN"/>
              </w:rPr>
            </w:pPr>
          </w:p>
        </w:tc>
        <w:tc>
          <w:tcPr>
            <w:tcW w:w="1775" w:type="dxa"/>
            <w:shd w:val="clear" w:color="auto" w:fill="auto"/>
            <w:vAlign w:val="top"/>
          </w:tcPr>
          <w:p w14:paraId="52764561">
            <w:pPr>
              <w:autoSpaceDN w:val="0"/>
              <w:snapToGrid w:val="0"/>
              <w:spacing w:line="360" w:lineRule="exact"/>
              <w:jc w:val="center"/>
              <w:rPr>
                <w:rFonts w:hint="eastAsia" w:ascii="宋体" w:hAnsi="宋体" w:eastAsia="宋体" w:cs="宋体"/>
                <w:bCs/>
                <w:color w:val="auto"/>
                <w:kern w:val="2"/>
                <w:szCs w:val="21"/>
                <w:highlight w:val="none"/>
                <w:lang w:val="zh-CN" w:eastAsia="en-US"/>
              </w:rPr>
            </w:pPr>
          </w:p>
          <w:p w14:paraId="44A6437D">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违约责任与解决争议的方法</w:t>
            </w:r>
          </w:p>
        </w:tc>
        <w:tc>
          <w:tcPr>
            <w:tcW w:w="7275" w:type="dxa"/>
            <w:shd w:val="clear" w:color="auto" w:fill="auto"/>
            <w:vAlign w:val="top"/>
          </w:tcPr>
          <w:p w14:paraId="754B218A">
            <w:pPr>
              <w:pStyle w:val="21"/>
              <w:spacing w:before="33" w:line="215" w:lineRule="auto"/>
              <w:ind w:right="3"/>
              <w:rPr>
                <w:rFonts w:hint="eastAsia" w:ascii="宋体" w:hAnsi="宋体" w:eastAsia="Arial" w:cs="宋体"/>
                <w:bCs/>
                <w:snapToGrid w:val="0"/>
                <w:color w:val="auto"/>
                <w:kern w:val="2"/>
                <w:sz w:val="21"/>
                <w:szCs w:val="21"/>
                <w:highlight w:val="none"/>
                <w:lang w:val="en-US" w:eastAsia="en-US" w:bidi="ar-SA"/>
              </w:rPr>
            </w:pPr>
            <w:r>
              <w:rPr>
                <w:rFonts w:hint="eastAsia" w:ascii="宋体" w:hAnsi="宋体" w:eastAsia="Arial" w:cs="宋体"/>
                <w:bCs/>
                <w:snapToGrid w:val="0"/>
                <w:color w:val="auto"/>
                <w:kern w:val="2"/>
                <w:sz w:val="21"/>
                <w:szCs w:val="21"/>
                <w:highlight w:val="none"/>
                <w:lang w:val="en-US" w:eastAsia="en-US" w:bidi="ar-SA"/>
              </w:rPr>
              <w:t>因发包人原因未能在计划开工日期前7天内下达开工 通知的违约责任：相应工期顺延。承包人不能按合同总工期竣工，每推迟一天，承包人向发 包人支付合同价款0.1%的违约金；违约金总额累计不超过 合同价款的5%。但是，若该违约金不足以弥补发包人损失 的，承包人还须继续承担赔偿责任，向发包人所在地人民法院起诉</w:t>
            </w:r>
          </w:p>
        </w:tc>
      </w:tr>
      <w:tr w14:paraId="6C0A4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687" w:type="dxa"/>
            <w:vAlign w:val="center"/>
          </w:tcPr>
          <w:p w14:paraId="5800C502">
            <w:pPr>
              <w:autoSpaceDN w:val="0"/>
              <w:snapToGrid w:val="0"/>
              <w:spacing w:line="360" w:lineRule="exact"/>
              <w:jc w:val="center"/>
              <w:rPr>
                <w:rFonts w:hint="eastAsia" w:ascii="宋体" w:hAnsi="宋体" w:eastAsia="宋体" w:cs="宋体"/>
                <w:bCs/>
                <w:color w:val="auto"/>
                <w:kern w:val="2"/>
                <w:szCs w:val="21"/>
                <w:highlight w:val="none"/>
                <w:lang w:val="en-US" w:eastAsia="zh-CN"/>
              </w:rPr>
            </w:pPr>
          </w:p>
        </w:tc>
        <w:tc>
          <w:tcPr>
            <w:tcW w:w="1775" w:type="dxa"/>
            <w:shd w:val="clear" w:color="auto" w:fill="auto"/>
            <w:vAlign w:val="top"/>
          </w:tcPr>
          <w:p w14:paraId="3D8EEA94">
            <w:pPr>
              <w:autoSpaceDN w:val="0"/>
              <w:snapToGrid w:val="0"/>
              <w:spacing w:line="360" w:lineRule="exact"/>
              <w:jc w:val="both"/>
              <w:rPr>
                <w:rFonts w:hint="eastAsia" w:ascii="宋体" w:hAnsi="宋体" w:eastAsia="宋体" w:cs="宋体"/>
                <w:bCs/>
                <w:color w:val="auto"/>
                <w:kern w:val="2"/>
                <w:szCs w:val="21"/>
                <w:highlight w:val="none"/>
                <w:lang w:val="zh-CN" w:eastAsia="en-US"/>
              </w:rPr>
            </w:pPr>
          </w:p>
          <w:p w14:paraId="15EE66A2">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特殊约定</w:t>
            </w:r>
          </w:p>
        </w:tc>
        <w:tc>
          <w:tcPr>
            <w:tcW w:w="7275" w:type="dxa"/>
            <w:shd w:val="clear" w:color="auto" w:fill="auto"/>
            <w:vAlign w:val="top"/>
          </w:tcPr>
          <w:p w14:paraId="02BB5FF7">
            <w:pPr>
              <w:pStyle w:val="21"/>
              <w:spacing w:before="14" w:line="223" w:lineRule="auto"/>
              <w:jc w:val="both"/>
              <w:rPr>
                <w:rFonts w:hint="eastAsia" w:ascii="宋体" w:hAnsi="宋体" w:eastAsia="Arial" w:cs="宋体"/>
                <w:bCs/>
                <w:snapToGrid w:val="0"/>
                <w:color w:val="auto"/>
                <w:kern w:val="2"/>
                <w:sz w:val="21"/>
                <w:szCs w:val="21"/>
                <w:highlight w:val="none"/>
                <w:lang w:val="en-US" w:eastAsia="en-US" w:bidi="ar-SA"/>
              </w:rPr>
            </w:pPr>
            <w:r>
              <w:rPr>
                <w:rFonts w:hint="eastAsia" w:ascii="宋体" w:hAnsi="宋体" w:eastAsia="Arial" w:cs="宋体"/>
                <w:bCs/>
                <w:snapToGrid w:val="0"/>
                <w:color w:val="auto"/>
                <w:kern w:val="2"/>
                <w:sz w:val="21"/>
                <w:szCs w:val="21"/>
                <w:highlight w:val="none"/>
                <w:lang w:val="en-US" w:eastAsia="en-US" w:bidi="ar-SA"/>
              </w:rPr>
              <w:t>发包人完成竣工付款的期限：发包人审计部门审计并 出具最终审计报告后按约定付款。但是，考虑发包人高校 财务管理的特殊性，如该项目为跨年度工程或遇付款时间 为学校财务封帐期及寒暑假等特殊情况，暂时无法支付工 程款时，付款时间由发包人、承包人双方另行商定。</w:t>
            </w:r>
          </w:p>
        </w:tc>
      </w:tr>
      <w:tr w14:paraId="28A7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57C04A21">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30</w:t>
            </w:r>
          </w:p>
        </w:tc>
        <w:tc>
          <w:tcPr>
            <w:tcW w:w="1775" w:type="dxa"/>
            <w:vAlign w:val="center"/>
          </w:tcPr>
          <w:p w14:paraId="58EBC6B9">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招标代理服务费</w:t>
            </w:r>
          </w:p>
        </w:tc>
        <w:tc>
          <w:tcPr>
            <w:tcW w:w="7275" w:type="dxa"/>
            <w:vAlign w:val="center"/>
          </w:tcPr>
          <w:p w14:paraId="1D15A368">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zh-CN" w:eastAsia="en-US"/>
              </w:rPr>
              <w:t>参考招标代理服务费计费执行计价格〔2002〕1980号文件的费率标准，执行国家发展计划委员会计价格〔2015〕299号文件，成交金额按标准计费后乘以折扣系数0.72，招标代理服务费由成交供应商支付。成交供应商应在成交结果公示结束后、成交通知书发出前将本工程招标代理服务费支付给招标代理机构。</w:t>
            </w:r>
          </w:p>
        </w:tc>
      </w:tr>
      <w:tr w14:paraId="47599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372F9BBA">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31</w:t>
            </w:r>
          </w:p>
        </w:tc>
        <w:tc>
          <w:tcPr>
            <w:tcW w:w="1775" w:type="dxa"/>
            <w:vAlign w:val="center"/>
          </w:tcPr>
          <w:p w14:paraId="410BA4BA">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政府采购进口产品的规定</w:t>
            </w:r>
          </w:p>
        </w:tc>
        <w:tc>
          <w:tcPr>
            <w:tcW w:w="7275" w:type="dxa"/>
            <w:vAlign w:val="top"/>
          </w:tcPr>
          <w:p w14:paraId="235618E1">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按照财政部《政府采购进口产品管理办法》第一章第四条关于“政府采购应当采购本国产品，确需采购进口产品（指通过中国海关报关验放进入中国境内且产自关境外的产品）的，实行审核管理”的规定，招标磋商文件中凡未明确标明采购进口产品的，均为采购本国产品，投标供应商必须投标本国产品，投标进口产品的为无效投标。</w:t>
            </w:r>
          </w:p>
          <w:p w14:paraId="3931120C">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在中国境内生产或组装的外国品牌产品须标明该产品在中国国内制造厂商名称。</w:t>
            </w:r>
          </w:p>
          <w:p w14:paraId="17ADC8B7">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drawing>
                <wp:inline distT="0" distB="0" distL="0" distR="0">
                  <wp:extent cx="106680" cy="102235"/>
                  <wp:effectExtent l="0" t="0" r="7620" b="12065"/>
                  <wp:docPr id="9" name="IM 2"/>
                  <wp:cNvGraphicFramePr/>
                  <a:graphic xmlns:a="http://schemas.openxmlformats.org/drawingml/2006/main">
                    <a:graphicData uri="http://schemas.openxmlformats.org/drawingml/2006/picture">
                      <pic:pic xmlns:pic="http://schemas.openxmlformats.org/drawingml/2006/picture">
                        <pic:nvPicPr>
                          <pic:cNvPr id="9" name="IM 2"/>
                          <pic:cNvPicPr/>
                        </pic:nvPicPr>
                        <pic:blipFill>
                          <a:blip r:embed="rId51"/>
                          <a:stretch>
                            <a:fillRect/>
                          </a:stretch>
                        </pic:blipFill>
                        <pic:spPr>
                          <a:xfrm>
                            <a:off x="0" y="0"/>
                            <a:ext cx="107101" cy="102588"/>
                          </a:xfrm>
                          <a:prstGeom prst="rect">
                            <a:avLst/>
                          </a:prstGeom>
                        </pic:spPr>
                      </pic:pic>
                    </a:graphicData>
                  </a:graphic>
                </wp:inline>
              </w:drawing>
            </w:r>
            <w:r>
              <w:rPr>
                <w:rFonts w:hint="eastAsia" w:ascii="宋体" w:hAnsi="宋体" w:cs="宋体"/>
                <w:bCs/>
                <w:color w:val="auto"/>
                <w:kern w:val="2"/>
                <w:szCs w:val="21"/>
                <w:highlight w:val="none"/>
                <w:lang w:val="en-US" w:eastAsia="en-US"/>
              </w:rPr>
              <w:t xml:space="preserve"> 本项目拒绝进口产品</w:t>
            </w:r>
          </w:p>
          <w:p w14:paraId="00C585A9">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□本项目已经财政部门审核同意购买进口产品</w:t>
            </w:r>
          </w:p>
        </w:tc>
      </w:tr>
      <w:tr w14:paraId="2665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76757E7C">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32</w:t>
            </w:r>
          </w:p>
        </w:tc>
        <w:tc>
          <w:tcPr>
            <w:tcW w:w="1775" w:type="dxa"/>
            <w:vAlign w:val="center"/>
          </w:tcPr>
          <w:p w14:paraId="1B8D550F">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政府采购优先采购环境标志产品</w:t>
            </w:r>
          </w:p>
        </w:tc>
        <w:tc>
          <w:tcPr>
            <w:tcW w:w="7275" w:type="dxa"/>
            <w:vAlign w:val="top"/>
          </w:tcPr>
          <w:p w14:paraId="2FB5BFC0">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采购产品为《环境标志产品政府采购清单》</w:t>
            </w: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第十八期</w:t>
            </w: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内的：</w:t>
            </w:r>
          </w:p>
          <w:p w14:paraId="41FA3A83">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1</w:t>
            </w: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采用最低评标价法时，应给予/%的价格扣除。本项目具体扣除比例为 /   % ;</w:t>
            </w:r>
          </w:p>
          <w:p w14:paraId="2349C041">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2</w:t>
            </w: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采用综合评分法时，对于技术和价格分，应分别给予总分值 3%的加分。 本项目具体加分比例分别为 ：技术 /   ％、价格 /   ％。</w:t>
            </w:r>
          </w:p>
        </w:tc>
      </w:tr>
      <w:tr w14:paraId="580B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63F39590">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33</w:t>
            </w:r>
          </w:p>
        </w:tc>
        <w:tc>
          <w:tcPr>
            <w:tcW w:w="1775" w:type="dxa"/>
            <w:vAlign w:val="center"/>
          </w:tcPr>
          <w:p w14:paraId="431731FA">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政府采购强制采购的节能产品</w:t>
            </w:r>
          </w:p>
        </w:tc>
        <w:tc>
          <w:tcPr>
            <w:tcW w:w="7275" w:type="dxa"/>
            <w:vAlign w:val="top"/>
          </w:tcPr>
          <w:p w14:paraId="185343C7">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强制采购的节能产品：按照财政部、发展改革委最新发布执行的《节能产品政府采购清单》的规定，《货物需求及技术规格要求》中凡包含强制采购产品的，投标供应商必须提供列入《节能产品政府采购清单》的产品，否则投标无效。</w:t>
            </w:r>
          </w:p>
          <w:p w14:paraId="7A82A11B">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 xml:space="preserve">政府采购强制采购标记*符号的节能产品： </w:t>
            </w:r>
            <w:r>
              <w:rPr>
                <w:rFonts w:hint="eastAsia" w:ascii="宋体" w:hAnsi="宋体" w:cs="宋体"/>
                <w:bCs/>
                <w:color w:val="auto"/>
                <w:kern w:val="2"/>
                <w:szCs w:val="21"/>
                <w:highlight w:val="none"/>
                <w:lang w:val="en-US" w:eastAsia="en-US"/>
              </w:rPr>
              <w:drawing>
                <wp:inline distT="0" distB="0" distL="0" distR="0">
                  <wp:extent cx="106680" cy="102235"/>
                  <wp:effectExtent l="0" t="0" r="7620" b="12065"/>
                  <wp:docPr id="10" name="IM 4"/>
                  <wp:cNvGraphicFramePr/>
                  <a:graphic xmlns:a="http://schemas.openxmlformats.org/drawingml/2006/main">
                    <a:graphicData uri="http://schemas.openxmlformats.org/drawingml/2006/picture">
                      <pic:pic xmlns:pic="http://schemas.openxmlformats.org/drawingml/2006/picture">
                        <pic:nvPicPr>
                          <pic:cNvPr id="10" name="IM 4"/>
                          <pic:cNvPicPr/>
                        </pic:nvPicPr>
                        <pic:blipFill>
                          <a:blip r:embed="rId52"/>
                          <a:stretch>
                            <a:fillRect/>
                          </a:stretch>
                        </pic:blipFill>
                        <pic:spPr>
                          <a:xfrm>
                            <a:off x="0" y="0"/>
                            <a:ext cx="107101" cy="102588"/>
                          </a:xfrm>
                          <a:prstGeom prst="rect">
                            <a:avLst/>
                          </a:prstGeom>
                        </pic:spPr>
                      </pic:pic>
                    </a:graphicData>
                  </a:graphic>
                </wp:inline>
              </w:drawing>
            </w:r>
            <w:r>
              <w:rPr>
                <w:rFonts w:hint="eastAsia" w:ascii="宋体" w:hAnsi="宋体" w:cs="宋体"/>
                <w:bCs/>
                <w:color w:val="auto"/>
                <w:kern w:val="2"/>
                <w:szCs w:val="21"/>
                <w:highlight w:val="none"/>
                <w:lang w:val="en-US" w:eastAsia="en-US"/>
              </w:rPr>
              <w:t xml:space="preserve"> 否</w:t>
            </w:r>
          </w:p>
          <w:p w14:paraId="52498ACE">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□是，采购《节能产品政府采购清单》 内标记*符号的节能产品。</w:t>
            </w:r>
          </w:p>
        </w:tc>
      </w:tr>
      <w:tr w14:paraId="743E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4E163FCD">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34</w:t>
            </w:r>
          </w:p>
        </w:tc>
        <w:tc>
          <w:tcPr>
            <w:tcW w:w="1775" w:type="dxa"/>
            <w:vAlign w:val="center"/>
          </w:tcPr>
          <w:p w14:paraId="293168C0">
            <w:pPr>
              <w:autoSpaceDN w:val="0"/>
              <w:snapToGrid w:val="0"/>
              <w:spacing w:line="360" w:lineRule="exact"/>
              <w:jc w:val="center"/>
              <w:rPr>
                <w:rFonts w:hint="eastAsia" w:ascii="宋体" w:hAnsi="宋体" w:eastAsia="宋体" w:cs="宋体"/>
                <w:bCs/>
                <w:color w:val="auto"/>
                <w:kern w:val="2"/>
                <w:szCs w:val="21"/>
                <w:highlight w:val="none"/>
                <w:lang w:val="zh-CN" w:eastAsia="en-US"/>
              </w:rPr>
            </w:pPr>
          </w:p>
          <w:p w14:paraId="1F08332A">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政府采购优先采购非标记*符号的节能产品</w:t>
            </w:r>
          </w:p>
        </w:tc>
        <w:tc>
          <w:tcPr>
            <w:tcW w:w="7275" w:type="dxa"/>
            <w:vAlign w:val="top"/>
          </w:tcPr>
          <w:p w14:paraId="5BA60366">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采购产品为《节能产品政府采购清单》</w:t>
            </w: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第二十期</w:t>
            </w: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内非标记*符号的：</w:t>
            </w:r>
          </w:p>
          <w:p w14:paraId="328CB6AA">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1</w:t>
            </w: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采用最低评标价法时，应给予/％的价格扣除。本项目具体扣除比例为 /   % ;</w:t>
            </w:r>
          </w:p>
          <w:p w14:paraId="6C35F6F1">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2</w:t>
            </w:r>
            <w:r>
              <w:rPr>
                <w:rFonts w:hint="eastAsia" w:ascii="宋体" w:hAnsi="宋体" w:eastAsia="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采用综合评分法时，对于技术和价格分，应分别给予总分值 3%的加分。 本项目具体加分比例分别为 ：技术 /％、价格 /％。</w:t>
            </w:r>
          </w:p>
        </w:tc>
      </w:tr>
      <w:tr w14:paraId="1893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6A4D1FE7">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35</w:t>
            </w:r>
          </w:p>
        </w:tc>
        <w:tc>
          <w:tcPr>
            <w:tcW w:w="1775" w:type="dxa"/>
            <w:vAlign w:val="center"/>
          </w:tcPr>
          <w:p w14:paraId="31736D40">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政府采购支持中小</w:t>
            </w:r>
          </w:p>
          <w:p w14:paraId="120423C1">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企业（含监狱企业）</w:t>
            </w:r>
          </w:p>
          <w:p w14:paraId="5E468CE0">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发展</w:t>
            </w:r>
          </w:p>
        </w:tc>
        <w:tc>
          <w:tcPr>
            <w:tcW w:w="7275" w:type="dxa"/>
            <w:vAlign w:val="top"/>
          </w:tcPr>
          <w:p w14:paraId="5B774492">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☑专门面向中小企业采购。</w:t>
            </w:r>
          </w:p>
          <w:p w14:paraId="44AFEC5C">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zh-CN"/>
              </w:rPr>
              <w:t>□</w:t>
            </w:r>
            <w:r>
              <w:rPr>
                <w:rFonts w:hint="eastAsia" w:ascii="宋体" w:hAnsi="宋体" w:cs="宋体"/>
                <w:bCs/>
                <w:color w:val="auto"/>
                <w:kern w:val="2"/>
                <w:szCs w:val="21"/>
                <w:highlight w:val="none"/>
                <w:lang w:val="en-US" w:eastAsia="en-US"/>
              </w:rPr>
              <w:t>非专门面向中小企业采购：</w:t>
            </w:r>
          </w:p>
          <w:p w14:paraId="018622A6">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对于小型或微型企业（含监狱企业）参与本项目投标的，符合规定的小 微企业报价给予/%的扣除，用扣除后的价格参加评审。</w:t>
            </w:r>
          </w:p>
          <w:p w14:paraId="1CF34D1D">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注：1）中小企业参加政府采购活动，按财库（2020）46 号的规定及格式 提供《中小企业声明函》；</w:t>
            </w:r>
          </w:p>
          <w:p w14:paraId="4137C13D">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2）监狱企业参加政府采购活动时，应当提供由省级以上监狱管理局、戒 毒管理局（含新疆生产建设兵团）出具的属于监狱企业的证明文件。</w:t>
            </w:r>
          </w:p>
        </w:tc>
      </w:tr>
      <w:tr w14:paraId="1FC4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3EB41AEB">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36</w:t>
            </w:r>
          </w:p>
        </w:tc>
        <w:tc>
          <w:tcPr>
            <w:tcW w:w="1775" w:type="dxa"/>
            <w:vAlign w:val="center"/>
          </w:tcPr>
          <w:p w14:paraId="44C1029B">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对供应商信用信息的查询</w:t>
            </w:r>
          </w:p>
        </w:tc>
        <w:tc>
          <w:tcPr>
            <w:tcW w:w="7275" w:type="dxa"/>
            <w:vAlign w:val="top"/>
          </w:tcPr>
          <w:p w14:paraId="36CC51FE">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查询渠道：①“信用中国 ”网站（www.creditchina.gov.cn）：失信被执行人、重大税收违法 案件当事人名单（即“税收违法黑名单 ”）。②中国政府采购网（www.ccgp.gov.cn)：政府采购严重违法失信行为信息记录。</w:t>
            </w:r>
          </w:p>
          <w:p w14:paraId="5D080B06">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查询截止时点：同投标截止时间</w:t>
            </w:r>
          </w:p>
          <w:p w14:paraId="3A55790C">
            <w:pPr>
              <w:autoSpaceDN w:val="0"/>
              <w:snapToGrid w:val="0"/>
              <w:spacing w:line="360" w:lineRule="exact"/>
              <w:rPr>
                <w:rFonts w:hint="eastAsia" w:ascii="宋体" w:hAnsi="宋体" w:cs="宋体"/>
                <w:bCs/>
                <w:color w:val="auto"/>
                <w:kern w:val="2"/>
                <w:szCs w:val="21"/>
                <w:highlight w:val="none"/>
                <w:lang w:val="zh-CN"/>
              </w:rPr>
            </w:pPr>
            <w:r>
              <w:rPr>
                <w:rFonts w:hint="eastAsia" w:ascii="宋体" w:hAnsi="宋体" w:cs="宋体"/>
                <w:bCs/>
                <w:color w:val="auto"/>
                <w:kern w:val="2"/>
                <w:szCs w:val="21"/>
                <w:highlight w:val="none"/>
                <w:lang w:val="zh-CN"/>
              </w:rPr>
              <w:t>信用信息查询记录和证据留存的具体方式：</w:t>
            </w:r>
          </w:p>
          <w:p w14:paraId="43D96AFF">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采购人或采购代理机构将按查询截止时点对所有</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的信用信息进行查询，网站查询记录作为招投标存档备案材料的组成部分进行留存。</w:t>
            </w:r>
          </w:p>
          <w:p w14:paraId="418A86B0">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信用信息的使用规则：</w:t>
            </w:r>
          </w:p>
          <w:p w14:paraId="6CD424BC">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采购人或采购代理机构按查询截止时点对所有</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的信用信息进行查询，查询记录将作为评 委评标的依据，对列入失信被执行人、重大税收违法案件当事人名单（即“税收违法黑名单 ”）、 政府采购严重违法失信行为记录名单的</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，投标文件作无效处理。</w:t>
            </w:r>
          </w:p>
        </w:tc>
      </w:tr>
      <w:tr w14:paraId="2F91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7C5C0FCD">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37</w:t>
            </w:r>
          </w:p>
        </w:tc>
        <w:tc>
          <w:tcPr>
            <w:tcW w:w="1775" w:type="dxa"/>
            <w:vAlign w:val="center"/>
          </w:tcPr>
          <w:p w14:paraId="1A13620C">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其他要求</w:t>
            </w:r>
          </w:p>
        </w:tc>
        <w:tc>
          <w:tcPr>
            <w:tcW w:w="7275" w:type="dxa"/>
            <w:vAlign w:val="center"/>
          </w:tcPr>
          <w:p w14:paraId="5CB56B03">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zh-CN"/>
              </w:rPr>
              <w:t>1</w:t>
            </w:r>
            <w:r>
              <w:rPr>
                <w:rFonts w:hint="eastAsia" w:ascii="宋体" w:hAnsi="宋体" w:cs="宋体"/>
                <w:bCs/>
                <w:color w:val="auto"/>
                <w:kern w:val="2"/>
                <w:szCs w:val="21"/>
                <w:highlight w:val="none"/>
                <w:lang w:val="en-US" w:eastAsia="en-US"/>
              </w:rPr>
              <w:t>、严禁转包、违法分包及挂靠等违法行为。转包、违法分包及挂靠认定标准依据住房和城乡建设部关于印发《建筑工程施工转包违法分包等违法行为认定查处管理办法》的通知规定标准执行。</w:t>
            </w:r>
          </w:p>
          <w:p w14:paraId="642395C4">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2、如潜在</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或其他利害关系对招标文件(或资格预审文件）、开标及评标结果有异议的，应依据《中华人民共和国招标投标法实施条例》第二十二条、第四十四条、第五十四条、第六十条规定，先向</w:t>
            </w:r>
            <w:r>
              <w:rPr>
                <w:rFonts w:hint="eastAsia" w:ascii="宋体" w:hAnsi="宋体" w:cs="宋体"/>
                <w:bCs/>
                <w:color w:val="auto"/>
                <w:kern w:val="2"/>
                <w:szCs w:val="21"/>
                <w:highlight w:val="none"/>
                <w:lang w:val="en-US" w:eastAsia="zh-CN"/>
              </w:rPr>
              <w:t>采购人</w:t>
            </w:r>
            <w:r>
              <w:rPr>
                <w:rFonts w:hint="eastAsia" w:ascii="宋体" w:hAnsi="宋体" w:cs="宋体"/>
                <w:bCs/>
                <w:color w:val="auto"/>
                <w:kern w:val="2"/>
                <w:szCs w:val="21"/>
                <w:highlight w:val="none"/>
                <w:lang w:val="en-US" w:eastAsia="en-US"/>
              </w:rPr>
              <w:t>提出异议。</w:t>
            </w:r>
          </w:p>
        </w:tc>
      </w:tr>
      <w:tr w14:paraId="64303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588DCBFA">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38</w:t>
            </w:r>
          </w:p>
        </w:tc>
        <w:tc>
          <w:tcPr>
            <w:tcW w:w="1775" w:type="dxa"/>
            <w:vAlign w:val="center"/>
          </w:tcPr>
          <w:p w14:paraId="024F7C54">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安全文明施工费</w:t>
            </w:r>
          </w:p>
        </w:tc>
        <w:tc>
          <w:tcPr>
            <w:tcW w:w="7275" w:type="dxa"/>
            <w:vAlign w:val="center"/>
          </w:tcPr>
          <w:p w14:paraId="4121B503">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安全文明施工费率应按吉建造[2021]6号关于调整建筑、市政工程安全文明施工费费率的通知执行。</w:t>
            </w:r>
          </w:p>
          <w:p w14:paraId="40B67377">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安全文明施工</w:t>
            </w:r>
            <w:r>
              <w:rPr>
                <w:rFonts w:hint="eastAsia" w:ascii="宋体" w:hAnsi="宋体" w:cs="宋体"/>
                <w:bCs/>
                <w:color w:val="auto"/>
                <w:kern w:val="2"/>
                <w:szCs w:val="21"/>
                <w:highlight w:val="none"/>
                <w:lang w:val="en-US" w:eastAsia="zh-CN"/>
              </w:rPr>
              <w:t>需</w:t>
            </w:r>
            <w:r>
              <w:rPr>
                <w:rFonts w:hint="eastAsia" w:ascii="宋体" w:hAnsi="宋体" w:cs="宋体"/>
                <w:bCs/>
                <w:color w:val="auto"/>
                <w:kern w:val="2"/>
                <w:szCs w:val="21"/>
                <w:highlight w:val="none"/>
                <w:lang w:val="en-US" w:eastAsia="en-US"/>
              </w:rPr>
              <w:t>严格执行相关国家相关的法律、法规及长春市城乡建设委员会《长春市政府投资建设市政工程文明施工管理实施细则（试行）》。</w:t>
            </w:r>
          </w:p>
        </w:tc>
      </w:tr>
      <w:tr w14:paraId="24116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87" w:type="dxa"/>
            <w:vAlign w:val="center"/>
          </w:tcPr>
          <w:p w14:paraId="157A3F49">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39</w:t>
            </w:r>
          </w:p>
        </w:tc>
        <w:tc>
          <w:tcPr>
            <w:tcW w:w="1775" w:type="dxa"/>
            <w:vAlign w:val="center"/>
          </w:tcPr>
          <w:p w14:paraId="4A7286FC">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eastAsia="宋体" w:cs="宋体"/>
                <w:bCs/>
                <w:color w:val="auto"/>
                <w:kern w:val="2"/>
                <w:szCs w:val="21"/>
                <w:highlight w:val="none"/>
                <w:lang w:val="zh-CN" w:eastAsia="en-US"/>
              </w:rPr>
              <w:t>危大工程有关要求</w:t>
            </w:r>
          </w:p>
        </w:tc>
        <w:tc>
          <w:tcPr>
            <w:tcW w:w="7275" w:type="dxa"/>
            <w:vAlign w:val="center"/>
          </w:tcPr>
          <w:p w14:paraId="2A380D38">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严格执行《危险性较大的分部分项工程安全管理规定》（建设部令第37号）和《住房城乡建设部办公厅关于实施&lt;危险性较大的分部分项工程安全管理规定&gt;有关问题的通知》（建办质〔2018〕31号）文件要求。</w:t>
            </w:r>
          </w:p>
        </w:tc>
      </w:tr>
      <w:tr w14:paraId="13F5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87" w:type="dxa"/>
            <w:vAlign w:val="center"/>
          </w:tcPr>
          <w:p w14:paraId="343A8101">
            <w:pPr>
              <w:autoSpaceDN w:val="0"/>
              <w:snapToGrid w:val="0"/>
              <w:spacing w:line="360" w:lineRule="exact"/>
              <w:jc w:val="center"/>
              <w:rPr>
                <w:rFonts w:hint="default" w:ascii="宋体" w:hAnsi="宋体" w:eastAsia="宋体" w:cs="宋体"/>
                <w:bCs/>
                <w:color w:val="auto"/>
                <w:kern w:val="2"/>
                <w:szCs w:val="21"/>
                <w:highlight w:val="none"/>
                <w:lang w:val="en-US" w:eastAsia="zh-CN"/>
              </w:rPr>
            </w:pPr>
            <w:r>
              <w:rPr>
                <w:rFonts w:hint="eastAsia" w:ascii="宋体" w:hAnsi="宋体" w:eastAsia="宋体" w:cs="宋体"/>
                <w:bCs/>
                <w:color w:val="auto"/>
                <w:kern w:val="2"/>
                <w:szCs w:val="21"/>
                <w:highlight w:val="none"/>
                <w:lang w:val="en-US" w:eastAsia="zh-CN"/>
              </w:rPr>
              <w:t>40</w:t>
            </w:r>
          </w:p>
        </w:tc>
        <w:tc>
          <w:tcPr>
            <w:tcW w:w="1775" w:type="dxa"/>
            <w:vAlign w:val="center"/>
          </w:tcPr>
          <w:p w14:paraId="62DA5BDE">
            <w:pPr>
              <w:autoSpaceDN w:val="0"/>
              <w:snapToGrid w:val="0"/>
              <w:spacing w:line="360" w:lineRule="exact"/>
              <w:jc w:val="center"/>
              <w:rPr>
                <w:rFonts w:hint="eastAsia" w:ascii="宋体" w:hAnsi="宋体" w:eastAsia="宋体" w:cs="宋体"/>
                <w:bCs/>
                <w:color w:val="auto"/>
                <w:kern w:val="2"/>
                <w:szCs w:val="21"/>
                <w:highlight w:val="none"/>
                <w:lang w:val="zh-CN" w:eastAsia="en-US"/>
              </w:rPr>
            </w:pPr>
            <w:r>
              <w:rPr>
                <w:rFonts w:hint="eastAsia" w:ascii="宋体" w:hAnsi="宋体"/>
                <w:color w:val="auto"/>
                <w:szCs w:val="21"/>
                <w:highlight w:val="none"/>
              </w:rPr>
              <w:t>缺陷责任期</w:t>
            </w:r>
          </w:p>
        </w:tc>
        <w:tc>
          <w:tcPr>
            <w:tcW w:w="7275" w:type="dxa"/>
            <w:vAlign w:val="center"/>
          </w:tcPr>
          <w:p w14:paraId="79E73CA4">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zh-CN"/>
              </w:rPr>
              <w:t>2</w:t>
            </w:r>
            <w:r>
              <w:rPr>
                <w:rFonts w:hint="eastAsia" w:ascii="宋体" w:hAnsi="宋体" w:cs="宋体"/>
                <w:bCs/>
                <w:color w:val="auto"/>
                <w:kern w:val="2"/>
                <w:szCs w:val="21"/>
                <w:highlight w:val="none"/>
                <w:lang w:val="en-US" w:eastAsia="en-US"/>
              </w:rPr>
              <w:t>4个月</w:t>
            </w:r>
          </w:p>
        </w:tc>
      </w:tr>
      <w:tr w14:paraId="307F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737" w:type="dxa"/>
            <w:gridSpan w:val="3"/>
            <w:vAlign w:val="center"/>
          </w:tcPr>
          <w:p w14:paraId="0EEBADD3">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施工单位应严格执行《吉林省住房和城乡建设厅关于进一步做好使用预拌砂浆工作的意见》（吉建发【2019】3号）、《吉林省住房和城乡建设厅关于加强预拌砂浆质量管理的通知》（吉建质【2020】6号），《关于禁止现场搅拌砂浆、加快推广使用预拌砂浆工作的通知》（长城乡发【2020】22号），本市禁止施工现场搅拌砂浆，加强预拌砂浆生产、进场检验、现场施工管理、检验批验收等环节质量监管，施工单位在投标时补充完善并明确相应的专项施工计划措施。</w:t>
            </w:r>
          </w:p>
        </w:tc>
      </w:tr>
      <w:tr w14:paraId="75A7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737" w:type="dxa"/>
            <w:gridSpan w:val="3"/>
            <w:vAlign w:val="center"/>
          </w:tcPr>
          <w:p w14:paraId="64C67115">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关于不拖欠农民工工资的承诺：根据《保障农民工工资支付条例》（中华人民共和国国务院令第724号）和吉政办发〔2016〕53号文件要求，投标单位需严格执行上述文件并在投标文件中承诺：依法足额支付农民工工资，并对所承包工程项目的农民工工资支付负总责，承诺绝不出现拖欠农民工工资的行为，否则，相关法律责任由投标单位自行承担，具体格式自拟。</w:t>
            </w:r>
          </w:p>
        </w:tc>
      </w:tr>
      <w:tr w14:paraId="1D35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737" w:type="dxa"/>
            <w:gridSpan w:val="3"/>
            <w:vAlign w:val="center"/>
          </w:tcPr>
          <w:p w14:paraId="6CCA498A">
            <w:pPr>
              <w:autoSpaceDN w:val="0"/>
              <w:snapToGrid w:val="0"/>
              <w:jc w:val="both"/>
              <w:rPr>
                <w:rFonts w:hint="eastAsia" w:hAnsi="宋体" w:cs="宋体"/>
                <w:b/>
                <w:bCs/>
                <w:color w:val="auto"/>
                <w:szCs w:val="21"/>
                <w:highlight w:val="none"/>
                <w:lang w:val="zh-CN"/>
              </w:rPr>
            </w:pPr>
            <w:r>
              <w:rPr>
                <w:rFonts w:hint="eastAsia" w:hAnsi="宋体" w:cs="宋体"/>
                <w:b/>
                <w:bCs/>
                <w:color w:val="auto"/>
                <w:szCs w:val="21"/>
                <w:highlight w:val="none"/>
                <w:lang w:val="zh-CN"/>
              </w:rPr>
              <w:t>中标人项目管理机构人员应与投标文件承诺一致，确因特殊原因需更换人员的，应经采购人同意，且中标人须认同合同中关于更换人员的违约条款，所更换人员必须是中标人本单位专职人员，其资格、条件不低于被更换人员，项目经理、技术负责人需每天到场，每天实行项目经理、技术负责人签到。响应文件内附由法定代表人及项目经理、技术负责人本人签字并加盖公章的承诺书。</w:t>
            </w:r>
          </w:p>
        </w:tc>
      </w:tr>
      <w:tr w14:paraId="29C5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737" w:type="dxa"/>
            <w:gridSpan w:val="3"/>
            <w:vAlign w:val="center"/>
          </w:tcPr>
          <w:p w14:paraId="59815162">
            <w:pPr>
              <w:autoSpaceDN w:val="0"/>
              <w:snapToGrid w:val="0"/>
              <w:jc w:val="both"/>
              <w:rPr>
                <w:rFonts w:hint="eastAsia" w:ascii="宋体" w:hAnsi="宋体" w:eastAsia="宋体" w:cs="宋体"/>
                <w:color w:val="auto"/>
                <w:highlight w:val="none"/>
                <w:lang w:val="en-US" w:eastAsia="en-US"/>
              </w:rPr>
            </w:pPr>
            <w:r>
              <w:rPr>
                <w:rFonts w:hint="eastAsia" w:hAnsi="宋体" w:cs="宋体"/>
                <w:b/>
                <w:bCs/>
                <w:color w:val="auto"/>
                <w:szCs w:val="21"/>
                <w:highlight w:val="none"/>
                <w:lang w:val="zh-CN"/>
              </w:rPr>
              <w:t>中标人须执行国家及相关行业标准，否则采购人有权要求支付违约金或解除合同</w:t>
            </w:r>
          </w:p>
        </w:tc>
      </w:tr>
      <w:tr w14:paraId="174A4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737" w:type="dxa"/>
            <w:gridSpan w:val="3"/>
            <w:vAlign w:val="center"/>
          </w:tcPr>
          <w:p w14:paraId="507A4DD2">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注意事项：</w:t>
            </w:r>
          </w:p>
          <w:p w14:paraId="556DDB64">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1、请各</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务必详细阅读本招标文件的全部条款，以减少不必要的失误，否则，由此引起的损失或风险由</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自行承担。</w:t>
            </w:r>
          </w:p>
          <w:p w14:paraId="420F0133">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2、中标单位进场施工时，需自行与项目区域内相关各责任单位（如电力、通信公司等单位）做好协调沟通工作，以保证工程所在地居民的供水、供电、网络通信等正常生活需要，否则带来的一切后果由中标方自行承担，与</w:t>
            </w:r>
            <w:r>
              <w:rPr>
                <w:rFonts w:hint="eastAsia" w:ascii="宋体" w:hAnsi="宋体" w:cs="宋体"/>
                <w:bCs/>
                <w:color w:val="auto"/>
                <w:kern w:val="2"/>
                <w:szCs w:val="21"/>
                <w:highlight w:val="none"/>
                <w:lang w:val="en-US" w:eastAsia="zh-CN"/>
              </w:rPr>
              <w:t>采购人</w:t>
            </w:r>
            <w:r>
              <w:rPr>
                <w:rFonts w:hint="eastAsia" w:ascii="宋体" w:hAnsi="宋体" w:cs="宋体"/>
                <w:bCs/>
                <w:color w:val="auto"/>
                <w:kern w:val="2"/>
                <w:szCs w:val="21"/>
                <w:highlight w:val="none"/>
                <w:lang w:val="en-US" w:eastAsia="en-US"/>
              </w:rPr>
              <w:t>无关。</w:t>
            </w:r>
          </w:p>
          <w:p w14:paraId="037605B7">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3、如潜在</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或其他利害关系对招标文件、开标及评标结果有异议的，应依据《中华人民共和国招标投标法实施条例》第二十二条、第四十四条、第五十四条、第六十条规定，先向</w:t>
            </w:r>
            <w:r>
              <w:rPr>
                <w:rFonts w:hint="eastAsia" w:ascii="宋体" w:hAnsi="宋体" w:cs="宋体"/>
                <w:bCs/>
                <w:color w:val="auto"/>
                <w:kern w:val="2"/>
                <w:szCs w:val="21"/>
                <w:highlight w:val="none"/>
                <w:lang w:val="en-US" w:eastAsia="zh-CN"/>
              </w:rPr>
              <w:t>采购人</w:t>
            </w:r>
            <w:r>
              <w:rPr>
                <w:rFonts w:hint="eastAsia" w:ascii="宋体" w:hAnsi="宋体" w:cs="宋体"/>
                <w:bCs/>
                <w:color w:val="auto"/>
                <w:kern w:val="2"/>
                <w:szCs w:val="21"/>
                <w:highlight w:val="none"/>
                <w:lang w:val="en-US" w:eastAsia="en-US"/>
              </w:rPr>
              <w:t>提出异议。</w:t>
            </w:r>
          </w:p>
          <w:p w14:paraId="580EF60F">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4、投诉人不得以投诉为名，排挤竞争对手，不得进行虚假、恶意投诉，阻碍招标投标活动的正常进行。</w:t>
            </w:r>
          </w:p>
          <w:p w14:paraId="63FE7CA6">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5、对投标企业有以行贿谋取中标、相互串通投标和以他人名义投标等方式弄虚作假骗取中标的，一经发现，依法严处，列入不良记录。涉嫌犯罪的，移交司法机关处理。</w:t>
            </w:r>
          </w:p>
          <w:p w14:paraId="00DF2DE2">
            <w:pPr>
              <w:autoSpaceDN w:val="0"/>
              <w:snapToGrid w:val="0"/>
              <w:spacing w:line="360" w:lineRule="exact"/>
              <w:rPr>
                <w:rFonts w:hint="eastAsia" w:ascii="宋体" w:hAnsi="宋体" w:cs="宋体"/>
                <w:bCs/>
                <w:color w:val="auto"/>
                <w:kern w:val="2"/>
                <w:szCs w:val="21"/>
                <w:highlight w:val="none"/>
                <w:lang w:val="en-US" w:eastAsia="en-US"/>
              </w:rPr>
            </w:pPr>
            <w:r>
              <w:rPr>
                <w:rFonts w:hint="eastAsia" w:ascii="宋体" w:hAnsi="宋体" w:cs="宋体"/>
                <w:bCs/>
                <w:color w:val="auto"/>
                <w:kern w:val="2"/>
                <w:szCs w:val="21"/>
                <w:highlight w:val="none"/>
                <w:lang w:val="en-US" w:eastAsia="en-US"/>
              </w:rPr>
              <w:t>6、</w:t>
            </w:r>
            <w:r>
              <w:rPr>
                <w:rFonts w:hint="eastAsia" w:ascii="宋体" w:hAnsi="宋体" w:cs="宋体"/>
                <w:bCs/>
                <w:color w:val="auto"/>
                <w:kern w:val="2"/>
                <w:szCs w:val="21"/>
                <w:highlight w:val="none"/>
                <w:lang w:val="en-US" w:eastAsia="zh-CN"/>
              </w:rPr>
              <w:t>采购人</w:t>
            </w:r>
            <w:r>
              <w:rPr>
                <w:rFonts w:hint="eastAsia" w:ascii="宋体" w:hAnsi="宋体" w:cs="宋体"/>
                <w:bCs/>
                <w:color w:val="auto"/>
                <w:kern w:val="2"/>
                <w:szCs w:val="21"/>
                <w:highlight w:val="none"/>
                <w:lang w:val="en-US" w:eastAsia="en-US"/>
              </w:rPr>
              <w:t>有权核查</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在投标文件中提供的材料，若在评标期间发现</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提供了虚假资料，评标委员会有权否决其投标；若在中标结果公示期间发现中标候选人提供了虚假材料，</w:t>
            </w:r>
            <w:r>
              <w:rPr>
                <w:rFonts w:hint="eastAsia" w:ascii="宋体" w:hAnsi="宋体" w:cs="宋体"/>
                <w:bCs/>
                <w:color w:val="auto"/>
                <w:kern w:val="2"/>
                <w:szCs w:val="21"/>
                <w:highlight w:val="none"/>
                <w:lang w:val="en-US" w:eastAsia="zh-CN"/>
              </w:rPr>
              <w:t>采购人</w:t>
            </w:r>
            <w:r>
              <w:rPr>
                <w:rFonts w:hint="eastAsia" w:ascii="宋体" w:hAnsi="宋体" w:cs="宋体"/>
                <w:bCs/>
                <w:color w:val="auto"/>
                <w:kern w:val="2"/>
                <w:szCs w:val="21"/>
                <w:highlight w:val="none"/>
                <w:lang w:val="en-US" w:eastAsia="en-US"/>
              </w:rPr>
              <w:t>有权取消其中标候选人资格；若在合同实施期间发现</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提供了虚假材料，</w:t>
            </w:r>
            <w:r>
              <w:rPr>
                <w:rFonts w:hint="eastAsia" w:ascii="宋体" w:hAnsi="宋体" w:cs="宋体"/>
                <w:bCs/>
                <w:color w:val="auto"/>
                <w:kern w:val="2"/>
                <w:szCs w:val="21"/>
                <w:highlight w:val="none"/>
                <w:lang w:val="en-US" w:eastAsia="zh-CN"/>
              </w:rPr>
              <w:t>采购人</w:t>
            </w:r>
            <w:r>
              <w:rPr>
                <w:rFonts w:hint="eastAsia" w:ascii="宋体" w:hAnsi="宋体" w:cs="宋体"/>
                <w:bCs/>
                <w:color w:val="auto"/>
                <w:kern w:val="2"/>
                <w:szCs w:val="21"/>
                <w:highlight w:val="none"/>
                <w:lang w:val="en-US" w:eastAsia="en-US"/>
              </w:rPr>
              <w:t>有权扣除履约保证金作为违约金。同时</w:t>
            </w:r>
            <w:r>
              <w:rPr>
                <w:rFonts w:hint="eastAsia" w:ascii="宋体" w:hAnsi="宋体" w:cs="宋体"/>
                <w:bCs/>
                <w:color w:val="auto"/>
                <w:kern w:val="2"/>
                <w:szCs w:val="21"/>
                <w:highlight w:val="none"/>
                <w:lang w:val="en-US" w:eastAsia="zh-CN"/>
              </w:rPr>
              <w:t>采购人</w:t>
            </w:r>
            <w:r>
              <w:rPr>
                <w:rFonts w:hint="eastAsia" w:ascii="宋体" w:hAnsi="宋体" w:cs="宋体"/>
                <w:bCs/>
                <w:color w:val="auto"/>
                <w:kern w:val="2"/>
                <w:szCs w:val="21"/>
                <w:highlight w:val="none"/>
                <w:lang w:val="en-US" w:eastAsia="en-US"/>
              </w:rPr>
              <w:t>将</w:t>
            </w:r>
            <w:r>
              <w:rPr>
                <w:rFonts w:hint="eastAsia" w:ascii="宋体" w:hAnsi="宋体" w:eastAsia="宋体" w:cs="宋体"/>
                <w:bCs/>
                <w:color w:val="auto"/>
                <w:kern w:val="2"/>
                <w:szCs w:val="21"/>
                <w:highlight w:val="none"/>
                <w:lang w:val="en-US" w:eastAsia="zh-CN"/>
              </w:rPr>
              <w:t>供应商</w:t>
            </w:r>
            <w:r>
              <w:rPr>
                <w:rFonts w:hint="eastAsia" w:ascii="宋体" w:hAnsi="宋体" w:cs="宋体"/>
                <w:bCs/>
                <w:color w:val="auto"/>
                <w:kern w:val="2"/>
                <w:szCs w:val="21"/>
                <w:highlight w:val="none"/>
                <w:lang w:val="en-US" w:eastAsia="en-US"/>
              </w:rPr>
              <w:t>以上弄虚作假行为上报省、市级建设主管部门。上述弄虚作假的行为，一经发现将依据《中华人民共和国招标投标法实施条例》第六十八条进行处理。</w:t>
            </w:r>
          </w:p>
          <w:p w14:paraId="11061BB5">
            <w:pPr>
              <w:autoSpaceDN w:val="0"/>
              <w:snapToGrid w:val="0"/>
              <w:spacing w:line="360" w:lineRule="exact"/>
              <w:rPr>
                <w:rFonts w:hint="eastAsia" w:ascii="宋体" w:hAnsi="宋体" w:cs="宋体"/>
                <w:bCs/>
                <w:color w:val="auto"/>
                <w:kern w:val="2"/>
                <w:szCs w:val="21"/>
                <w:highlight w:val="none"/>
                <w:lang w:val="zh-CN" w:eastAsia="en-US"/>
              </w:rPr>
            </w:pPr>
            <w:r>
              <w:rPr>
                <w:rFonts w:hint="eastAsia" w:ascii="宋体" w:hAnsi="宋体" w:cs="宋体"/>
                <w:bCs/>
                <w:color w:val="auto"/>
                <w:kern w:val="2"/>
                <w:szCs w:val="21"/>
                <w:highlight w:val="none"/>
                <w:lang w:val="en-US" w:eastAsia="en-US"/>
              </w:rPr>
              <w:t>7、施工单位对建设工程的施工质量负责。施工单位应当建立质量责任制，工程项目的项目负责人、技术负责人必须在岗履职。项目负责人必须组织做好隐蔽工程的验收工作，参加地基基础、主体结构等分部工程的验收，参加单位工程和工程竣工验收；必须在验收文件上签字，不得签署虚假文件。施工单位必须对建筑材料、建筑构配件、设备和商品混凝土进行检验，未经检验或者检验不合格的，不得使用。施工单位必须建立、健全施工质量的检验制度，严格工序管理，做好隐蔽工程的质量检查和记录。</w:t>
            </w:r>
          </w:p>
        </w:tc>
      </w:tr>
      <w:tr w14:paraId="4BE6A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737" w:type="dxa"/>
            <w:gridSpan w:val="3"/>
            <w:vAlign w:val="center"/>
          </w:tcPr>
          <w:p w14:paraId="2BC3B6FC">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一、供应商应按招标文件要求编制投标文件，将所有投标文件内容上传至“政采云”平台。</w:t>
            </w:r>
          </w:p>
          <w:p w14:paraId="09FB70CF">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二、投标文件中反应供应商资格审查的图片、扫描件、文字描述等，必须清晰可见。其中所有证书和执照必须为原件扫描。</w:t>
            </w:r>
          </w:p>
          <w:p w14:paraId="49DF14FB">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三、若供应商上传的电子投标文件因无法解密而对投标文件无法进行评价的，采购人可以拒绝该供应商投标。</w:t>
            </w:r>
          </w:p>
          <w:p w14:paraId="37D81D20">
            <w:pPr>
              <w:autoSpaceDN w:val="0"/>
              <w:snapToGrid w:val="0"/>
              <w:spacing w:line="360" w:lineRule="exact"/>
              <w:rPr>
                <w:rFonts w:hint="eastAsia" w:ascii="宋体" w:hAnsi="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四、未进行网上注册并办理数字证书（CA认证）的供应商将无法参与本项目政府采购活动，潜在供应商应当在提交投标文件截止时间前，完成电子交易平台上的CA数字证书办理及投标文件的提交。</w:t>
            </w:r>
          </w:p>
          <w:p w14:paraId="46A3ED19">
            <w:pPr>
              <w:autoSpaceDN w:val="0"/>
              <w:snapToGrid w:val="0"/>
              <w:spacing w:line="360" w:lineRule="exact"/>
              <w:rPr>
                <w:rFonts w:hint="eastAsia" w:ascii="宋体" w:hAnsi="宋体" w:cs="宋体"/>
                <w:bCs/>
                <w:color w:val="auto"/>
                <w:kern w:val="2"/>
                <w:szCs w:val="21"/>
                <w:highlight w:val="none"/>
                <w:lang w:val="zh-CN" w:eastAsia="en-US"/>
              </w:rPr>
            </w:pPr>
            <w:r>
              <w:rPr>
                <w:rFonts w:hint="eastAsia" w:ascii="宋体" w:hAnsi="宋体" w:cs="宋体"/>
                <w:bCs/>
                <w:color w:val="auto"/>
                <w:kern w:val="2"/>
                <w:szCs w:val="21"/>
                <w:highlight w:val="none"/>
                <w:lang w:val="en-US" w:eastAsia="zh-CN"/>
              </w:rPr>
              <w:t>五、供应商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bl>
    <w:p w14:paraId="0147C38E">
      <w:pPr>
        <w:autoSpaceDN w:val="0"/>
        <w:snapToGrid w:val="0"/>
        <w:jc w:val="both"/>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val="en-US" w:eastAsia="zh-CN"/>
        </w:rPr>
        <w:t>磋商公告与磋商文件不一致之处，以磋商文件为准。</w:t>
      </w:r>
    </w:p>
    <w:p w14:paraId="31FAFCD3">
      <w:pPr>
        <w:rPr>
          <w:color w:val="auto"/>
          <w:highlight w:val="none"/>
        </w:rPr>
        <w:sectPr>
          <w:footerReference r:id="rId8" w:type="default"/>
          <w:pgSz w:w="11906" w:h="16839"/>
          <w:pgMar w:top="1134" w:right="1191" w:bottom="1153" w:left="1191" w:header="0" w:footer="994" w:gutter="0"/>
          <w:pgNumType w:fmt="decimal"/>
          <w:cols w:space="720" w:num="1"/>
        </w:sectPr>
      </w:pPr>
    </w:p>
    <w:p w14:paraId="010444A2">
      <w:pPr>
        <w:spacing w:before="47" w:line="219" w:lineRule="auto"/>
        <w:ind w:left="3754"/>
        <w:outlineLvl w:val="1"/>
        <w:rPr>
          <w:rFonts w:hint="eastAsia" w:ascii="宋体" w:hAnsi="宋体" w:cs="宋体"/>
          <w:b/>
          <w:color w:val="auto"/>
          <w:sz w:val="28"/>
          <w:highlight w:val="none"/>
        </w:rPr>
      </w:pPr>
      <w:bookmarkStart w:id="28" w:name="_Toc24122"/>
      <w:r>
        <w:rPr>
          <w:rFonts w:hint="eastAsia" w:ascii="宋体" w:hAnsi="宋体" w:cs="宋体"/>
          <w:b/>
          <w:color w:val="auto"/>
          <w:sz w:val="28"/>
          <w:highlight w:val="none"/>
        </w:rPr>
        <w:t>（</w:t>
      </w:r>
      <w:r>
        <w:rPr>
          <w:rFonts w:hint="eastAsia" w:ascii="宋体" w:hAnsi="宋体" w:eastAsia="宋体" w:cs="宋体"/>
          <w:b/>
          <w:color w:val="auto"/>
          <w:sz w:val="28"/>
          <w:highlight w:val="none"/>
          <w:lang w:eastAsia="zh-CN"/>
        </w:rPr>
        <w:t>二</w:t>
      </w:r>
      <w:r>
        <w:rPr>
          <w:rFonts w:hint="eastAsia" w:ascii="宋体" w:hAnsi="宋体" w:cs="宋体"/>
          <w:b/>
          <w:color w:val="auto"/>
          <w:sz w:val="28"/>
          <w:highlight w:val="none"/>
        </w:rPr>
        <w:t>）供应商须知</w:t>
      </w:r>
      <w:bookmarkEnd w:id="28"/>
    </w:p>
    <w:p w14:paraId="22859694">
      <w:pPr>
        <w:pStyle w:val="4"/>
        <w:spacing w:line="240" w:lineRule="auto"/>
        <w:ind w:left="210" w:right="210"/>
        <w:rPr>
          <w:rFonts w:hint="eastAsia" w:ascii="宋体" w:hAnsi="宋体"/>
          <w:color w:val="auto"/>
          <w:highlight w:val="none"/>
        </w:rPr>
      </w:pPr>
      <w:bookmarkStart w:id="29" w:name="bookmark5"/>
      <w:bookmarkEnd w:id="29"/>
      <w:bookmarkStart w:id="30" w:name="_Toc179632546"/>
      <w:bookmarkStart w:id="31" w:name="_Toc247085689"/>
      <w:bookmarkStart w:id="32" w:name="_Toc144974497"/>
      <w:bookmarkStart w:id="33" w:name="_Toc409424374"/>
      <w:bookmarkStart w:id="34" w:name="_Toc246996918"/>
      <w:bookmarkStart w:id="35" w:name="_Toc409424313"/>
      <w:bookmarkStart w:id="36" w:name="_Toc12552"/>
      <w:bookmarkStart w:id="37" w:name="_Toc152045529"/>
      <w:bookmarkStart w:id="38" w:name="_Toc246996175"/>
      <w:bookmarkStart w:id="39" w:name="_Toc152042305"/>
      <w:bookmarkStart w:id="40" w:name="_Toc450588607"/>
      <w:r>
        <w:rPr>
          <w:rFonts w:hint="eastAsia" w:ascii="宋体" w:hAnsi="宋体" w:eastAsia="宋体" w:cs="Times New Roman"/>
          <w:b/>
          <w:color w:val="auto"/>
          <w:kern w:val="2"/>
          <w:sz w:val="21"/>
          <w:szCs w:val="24"/>
          <w:highlight w:val="none"/>
          <w:lang w:val="en-US" w:eastAsia="zh-CN" w:bidi="ar-SA"/>
        </w:rPr>
        <w:t>1. 总则</w:t>
      </w:r>
      <w:bookmarkEnd w:id="30"/>
      <w:bookmarkEnd w:id="31"/>
      <w:bookmarkEnd w:id="32"/>
      <w:bookmarkEnd w:id="33"/>
      <w:bookmarkEnd w:id="34"/>
      <w:bookmarkEnd w:id="35"/>
      <w:bookmarkEnd w:id="36"/>
      <w:bookmarkEnd w:id="37"/>
      <w:bookmarkEnd w:id="38"/>
      <w:bookmarkEnd w:id="39"/>
      <w:bookmarkEnd w:id="40"/>
    </w:p>
    <w:p w14:paraId="02D09771">
      <w:pPr>
        <w:spacing w:line="240" w:lineRule="auto"/>
        <w:jc w:val="left"/>
        <w:rPr>
          <w:rFonts w:hint="eastAsia" w:ascii="宋体" w:hAnsi="宋体"/>
          <w:b/>
          <w:color w:val="auto"/>
          <w:highlight w:val="none"/>
        </w:rPr>
      </w:pPr>
      <w:bookmarkStart w:id="41" w:name="_Toc246996176"/>
      <w:bookmarkStart w:id="42" w:name="_Toc144974498"/>
      <w:bookmarkStart w:id="43" w:name="_Toc152042306"/>
      <w:bookmarkStart w:id="44" w:name="_Toc247085690"/>
      <w:bookmarkStart w:id="45" w:name="_Toc152045530"/>
      <w:bookmarkStart w:id="46" w:name="_Toc179632547"/>
      <w:bookmarkStart w:id="47" w:name="_Toc246996919"/>
      <w:r>
        <w:rPr>
          <w:rFonts w:hint="eastAsia" w:ascii="宋体" w:hAnsi="宋体"/>
          <w:b/>
          <w:color w:val="auto"/>
          <w:highlight w:val="none"/>
        </w:rPr>
        <w:t>1.1 项目概况</w:t>
      </w:r>
      <w:bookmarkEnd w:id="41"/>
      <w:bookmarkEnd w:id="42"/>
      <w:bookmarkEnd w:id="43"/>
      <w:bookmarkEnd w:id="44"/>
      <w:bookmarkEnd w:id="45"/>
      <w:bookmarkEnd w:id="46"/>
      <w:bookmarkEnd w:id="47"/>
    </w:p>
    <w:p w14:paraId="6CFE637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1.1.1本磋商项目已具备磋商条件，现对本项目采用资格后审方式进行磋商。</w:t>
      </w:r>
    </w:p>
    <w:p w14:paraId="364E3BE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1.1.2 本磋商项目采购人：见响应人须知前附表。</w:t>
      </w:r>
    </w:p>
    <w:p w14:paraId="6493D67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1.1.3 本磋商项目采购代理机构：见响应人须知前附表。</w:t>
      </w:r>
    </w:p>
    <w:p w14:paraId="4451506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1.1.4 本磋商项目名称：见响应人须知前附表。</w:t>
      </w:r>
    </w:p>
    <w:p w14:paraId="1C5C58E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1.1.5 本磋商项目地点：见响应人须知前附表。</w:t>
      </w:r>
    </w:p>
    <w:p w14:paraId="6B223D4F">
      <w:pPr>
        <w:spacing w:line="240" w:lineRule="auto"/>
        <w:rPr>
          <w:rFonts w:hint="eastAsia" w:ascii="宋体" w:hAnsi="宋体"/>
          <w:b/>
          <w:color w:val="auto"/>
          <w:highlight w:val="none"/>
        </w:rPr>
      </w:pPr>
      <w:bookmarkStart w:id="48" w:name="_Toc152045531"/>
      <w:bookmarkStart w:id="49" w:name="_Toc179632548"/>
      <w:bookmarkStart w:id="50" w:name="_Toc144974499"/>
      <w:bookmarkStart w:id="51" w:name="_Toc152042307"/>
      <w:bookmarkStart w:id="52" w:name="_Toc247085691"/>
      <w:bookmarkStart w:id="53" w:name="_Toc246996920"/>
      <w:bookmarkStart w:id="54" w:name="_Toc246996177"/>
      <w:r>
        <w:rPr>
          <w:rFonts w:hint="eastAsia" w:ascii="宋体" w:hAnsi="宋体"/>
          <w:b/>
          <w:color w:val="auto"/>
          <w:highlight w:val="none"/>
        </w:rPr>
        <w:t>1.2 资金来源和落实情况</w:t>
      </w:r>
      <w:bookmarkEnd w:id="48"/>
      <w:bookmarkEnd w:id="49"/>
      <w:bookmarkEnd w:id="50"/>
      <w:bookmarkEnd w:id="51"/>
      <w:bookmarkEnd w:id="52"/>
      <w:bookmarkEnd w:id="53"/>
      <w:bookmarkEnd w:id="54"/>
    </w:p>
    <w:p w14:paraId="7C8E750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1.2.1 本磋商项目的资金来源及出资比例：见响应人须知前附表。</w:t>
      </w:r>
    </w:p>
    <w:p w14:paraId="580553C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1.2.2 本磋商项目的资金落实情况：见响应人须知前附表。</w:t>
      </w:r>
    </w:p>
    <w:p w14:paraId="3ED6035F">
      <w:pPr>
        <w:spacing w:line="240" w:lineRule="auto"/>
        <w:rPr>
          <w:rFonts w:hint="eastAsia" w:ascii="宋体" w:hAnsi="宋体"/>
          <w:b/>
          <w:color w:val="auto"/>
          <w:highlight w:val="none"/>
        </w:rPr>
      </w:pPr>
      <w:bookmarkStart w:id="55" w:name="_Toc144974500"/>
      <w:bookmarkStart w:id="56" w:name="_Toc246996921"/>
      <w:bookmarkStart w:id="57" w:name="_Toc247085692"/>
      <w:bookmarkStart w:id="58" w:name="_Toc152045532"/>
      <w:bookmarkStart w:id="59" w:name="_Toc152042308"/>
      <w:bookmarkStart w:id="60" w:name="_Toc179632549"/>
      <w:bookmarkStart w:id="61" w:name="_Toc246996178"/>
      <w:r>
        <w:rPr>
          <w:rFonts w:hint="eastAsia" w:ascii="宋体" w:hAnsi="宋体"/>
          <w:b/>
          <w:color w:val="auto"/>
          <w:highlight w:val="none"/>
        </w:rPr>
        <w:t>1.3 磋商范围、质量</w:t>
      </w:r>
      <w:bookmarkEnd w:id="55"/>
      <w:bookmarkEnd w:id="56"/>
      <w:bookmarkEnd w:id="57"/>
      <w:bookmarkEnd w:id="58"/>
      <w:bookmarkEnd w:id="59"/>
      <w:bookmarkEnd w:id="60"/>
      <w:bookmarkEnd w:id="61"/>
      <w:r>
        <w:rPr>
          <w:rFonts w:hint="eastAsia" w:ascii="宋体" w:hAnsi="宋体"/>
          <w:b/>
          <w:color w:val="auto"/>
          <w:highlight w:val="none"/>
        </w:rPr>
        <w:t>标准</w:t>
      </w:r>
    </w:p>
    <w:p w14:paraId="533A334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1.3.1 本次磋商范围：见响应人须知前附表。</w:t>
      </w:r>
    </w:p>
    <w:p w14:paraId="5C78197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1.3.2 本磋商项目的质量标准：见响应人须知前附表。</w:t>
      </w:r>
    </w:p>
    <w:p w14:paraId="1E5ACECF">
      <w:pPr>
        <w:spacing w:line="240" w:lineRule="auto"/>
        <w:rPr>
          <w:rFonts w:hint="eastAsia" w:ascii="宋体" w:hAnsi="宋体"/>
          <w:b/>
          <w:color w:val="auto"/>
          <w:highlight w:val="none"/>
        </w:rPr>
      </w:pPr>
      <w:bookmarkStart w:id="62" w:name="_Toc179632551"/>
      <w:bookmarkStart w:id="63" w:name="_Toc246996179"/>
      <w:bookmarkStart w:id="64" w:name="_Toc246996922"/>
      <w:bookmarkStart w:id="65" w:name="_Toc152042310"/>
      <w:bookmarkStart w:id="66" w:name="_Toc144974502"/>
      <w:bookmarkStart w:id="67" w:name="_Toc247085693"/>
      <w:bookmarkStart w:id="68" w:name="_Toc152045534"/>
      <w:r>
        <w:rPr>
          <w:rFonts w:hint="eastAsia" w:ascii="宋体" w:hAnsi="宋体"/>
          <w:b/>
          <w:color w:val="auto"/>
          <w:highlight w:val="none"/>
        </w:rPr>
        <w:t>1.4 响应人资格要求</w:t>
      </w:r>
      <w:bookmarkEnd w:id="62"/>
      <w:bookmarkEnd w:id="63"/>
      <w:bookmarkEnd w:id="64"/>
      <w:bookmarkEnd w:id="65"/>
      <w:bookmarkEnd w:id="66"/>
      <w:bookmarkEnd w:id="67"/>
      <w:bookmarkEnd w:id="68"/>
    </w:p>
    <w:p w14:paraId="3CD59CB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1.4.1 响应人应具备承担本项目的资质条件、能力。</w:t>
      </w:r>
    </w:p>
    <w:p w14:paraId="593772C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（1）资质条件：见响应人须知前附表；</w:t>
      </w:r>
    </w:p>
    <w:p w14:paraId="73FB7B8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（2）财务要求：见响应人须知前附表；</w:t>
      </w:r>
    </w:p>
    <w:p w14:paraId="081A6B4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1.4.2 响应人不得存在下列情形之一：</w:t>
      </w:r>
    </w:p>
    <w:p w14:paraId="75530DF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（1）为采购人不具有独立法人资格的附属机构（单位）；</w:t>
      </w:r>
    </w:p>
    <w:p w14:paraId="07E8A8B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（2）为本磋商项目前期准备提供设计或咨询服务的； </w:t>
      </w:r>
    </w:p>
    <w:p w14:paraId="4AF616A6">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（3）为本磋商项目提供磋商代理服务的； </w:t>
      </w:r>
    </w:p>
    <w:p w14:paraId="57F44E1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（4）与本磋商项目的采购代理机构同为一个法定代表人的；</w:t>
      </w:r>
    </w:p>
    <w:p w14:paraId="1F0DC9D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（5）与本磋商项目的采购代理机构相互控股或参股的；</w:t>
      </w:r>
    </w:p>
    <w:p w14:paraId="5FA26AE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（6）与本磋商项目的采购代理机构相互任职或工作的；</w:t>
      </w:r>
    </w:p>
    <w:p w14:paraId="65D1615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（7）被责令停业的； </w:t>
      </w:r>
    </w:p>
    <w:p w14:paraId="62A1D486">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（8）被暂停或取消磋商资格的； </w:t>
      </w:r>
    </w:p>
    <w:p w14:paraId="67DD33B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（9）财产被接管或冻结的；</w:t>
      </w:r>
    </w:p>
    <w:p w14:paraId="5AA9E89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（10）在最近三年内有骗取成交或严重违约的。</w:t>
      </w:r>
    </w:p>
    <w:p w14:paraId="355BB526">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（11）被政府列入取消磋商资格期限内的企业或个人参加磋商</w:t>
      </w:r>
    </w:p>
    <w:p w14:paraId="2E7CC468">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若存在以上情形之一，取消其成交资格。</w:t>
      </w:r>
    </w:p>
    <w:p w14:paraId="6143961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1.4.3 </w:t>
      </w:r>
      <w:r>
        <w:rPr>
          <w:rFonts w:hint="eastAsia" w:ascii="宋体" w:hAnsi="宋体" w:eastAsia="宋体" w:cs="Times New Roman"/>
          <w:bCs/>
          <w:snapToGrid w:val="0"/>
          <w:color w:val="auto"/>
          <w:szCs w:val="21"/>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E85ABB1">
      <w:pPr>
        <w:spacing w:line="240" w:lineRule="auto"/>
        <w:rPr>
          <w:rFonts w:hint="eastAsia" w:ascii="宋体" w:hAnsi="宋体"/>
          <w:b/>
          <w:color w:val="auto"/>
          <w:highlight w:val="none"/>
        </w:rPr>
      </w:pPr>
      <w:bookmarkStart w:id="69" w:name="_Toc152045535"/>
      <w:bookmarkStart w:id="70" w:name="_Toc246996923"/>
      <w:bookmarkStart w:id="71" w:name="_Toc246996180"/>
      <w:bookmarkStart w:id="72" w:name="_Toc179632552"/>
      <w:bookmarkStart w:id="73" w:name="_Toc247085694"/>
      <w:bookmarkStart w:id="74" w:name="_Toc144974503"/>
      <w:bookmarkStart w:id="75" w:name="_Toc152042311"/>
      <w:r>
        <w:rPr>
          <w:rFonts w:hint="eastAsia" w:ascii="宋体" w:hAnsi="宋体"/>
          <w:b/>
          <w:color w:val="auto"/>
          <w:highlight w:val="none"/>
        </w:rPr>
        <w:t>1.5 费用承担</w:t>
      </w:r>
      <w:bookmarkEnd w:id="69"/>
      <w:bookmarkEnd w:id="70"/>
      <w:bookmarkEnd w:id="71"/>
      <w:bookmarkEnd w:id="72"/>
      <w:bookmarkEnd w:id="73"/>
      <w:bookmarkEnd w:id="74"/>
      <w:bookmarkEnd w:id="75"/>
    </w:p>
    <w:p w14:paraId="6E981698">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响应人准备和参加磋商活动发生的费用自理。</w:t>
      </w:r>
    </w:p>
    <w:p w14:paraId="59D40689">
      <w:pPr>
        <w:spacing w:line="240" w:lineRule="auto"/>
        <w:rPr>
          <w:rFonts w:hint="eastAsia" w:ascii="宋体" w:hAnsi="宋体"/>
          <w:b/>
          <w:color w:val="auto"/>
          <w:highlight w:val="none"/>
        </w:rPr>
      </w:pPr>
      <w:bookmarkStart w:id="76" w:name="_Toc179632553"/>
      <w:bookmarkStart w:id="77" w:name="_Toc246996924"/>
      <w:bookmarkStart w:id="78" w:name="_Toc144974504"/>
      <w:bookmarkStart w:id="79" w:name="_Toc152042312"/>
      <w:bookmarkStart w:id="80" w:name="_Toc246996181"/>
      <w:bookmarkStart w:id="81" w:name="_Toc152045536"/>
      <w:bookmarkStart w:id="82" w:name="_Toc247085695"/>
      <w:r>
        <w:rPr>
          <w:rFonts w:hint="eastAsia" w:ascii="宋体" w:hAnsi="宋体"/>
          <w:b/>
          <w:color w:val="auto"/>
          <w:highlight w:val="none"/>
        </w:rPr>
        <w:t>1.6 保密</w:t>
      </w:r>
      <w:bookmarkEnd w:id="76"/>
      <w:bookmarkEnd w:id="77"/>
      <w:bookmarkEnd w:id="78"/>
      <w:bookmarkEnd w:id="79"/>
      <w:bookmarkEnd w:id="80"/>
      <w:bookmarkEnd w:id="81"/>
      <w:bookmarkEnd w:id="82"/>
    </w:p>
    <w:p w14:paraId="085CA3D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参与磋商活动的各方应对磋商文件和响应文件中的商业和技术等秘密保密，违者应对由此造成的后果承担法律责任。 </w:t>
      </w:r>
    </w:p>
    <w:p w14:paraId="766A3152">
      <w:pPr>
        <w:spacing w:line="240" w:lineRule="auto"/>
        <w:rPr>
          <w:rFonts w:hint="eastAsia" w:ascii="宋体" w:hAnsi="宋体"/>
          <w:b/>
          <w:color w:val="auto"/>
          <w:highlight w:val="none"/>
        </w:rPr>
      </w:pPr>
      <w:bookmarkStart w:id="83" w:name="_Toc144974505"/>
      <w:bookmarkStart w:id="84" w:name="_Toc247085696"/>
      <w:bookmarkStart w:id="85" w:name="_Toc246996182"/>
      <w:bookmarkStart w:id="86" w:name="_Toc152045537"/>
      <w:bookmarkStart w:id="87" w:name="_Toc152042313"/>
      <w:bookmarkStart w:id="88" w:name="_Toc246996925"/>
      <w:bookmarkStart w:id="89" w:name="_Toc179632554"/>
      <w:r>
        <w:rPr>
          <w:rFonts w:hint="eastAsia" w:ascii="宋体" w:hAnsi="宋体"/>
          <w:b/>
          <w:color w:val="auto"/>
          <w:highlight w:val="none"/>
        </w:rPr>
        <w:t>1.7 语言</w:t>
      </w:r>
      <w:bookmarkEnd w:id="83"/>
      <w:r>
        <w:rPr>
          <w:rFonts w:hint="eastAsia" w:ascii="宋体" w:hAnsi="宋体"/>
          <w:b/>
          <w:color w:val="auto"/>
          <w:highlight w:val="none"/>
        </w:rPr>
        <w:t>文字</w:t>
      </w:r>
      <w:bookmarkEnd w:id="84"/>
      <w:bookmarkEnd w:id="85"/>
      <w:bookmarkEnd w:id="86"/>
      <w:bookmarkEnd w:id="87"/>
      <w:bookmarkEnd w:id="88"/>
      <w:bookmarkEnd w:id="89"/>
    </w:p>
    <w:p w14:paraId="1C8F860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bookmarkStart w:id="90" w:name="_Toc246996183"/>
      <w:bookmarkStart w:id="91" w:name="_Toc246996926"/>
      <w:bookmarkStart w:id="92" w:name="_Toc247085697"/>
      <w:bookmarkStart w:id="93" w:name="_Toc179632555"/>
      <w:bookmarkStart w:id="94" w:name="_Toc152045538"/>
      <w:bookmarkStart w:id="95" w:name="_Toc152042314"/>
      <w:bookmarkStart w:id="96" w:name="_Toc144974506"/>
      <w:r>
        <w:rPr>
          <w:rFonts w:hint="eastAsia" w:ascii="宋体" w:hAnsi="宋体" w:eastAsia="宋体" w:cs="Times New Roman"/>
          <w:bCs/>
          <w:snapToGrid w:val="0"/>
          <w:color w:val="auto"/>
          <w:szCs w:val="21"/>
          <w:highlight w:val="none"/>
          <w:lang w:val="zh-CN" w:eastAsia="zh-CN"/>
        </w:rPr>
        <w:t>响应文件使用的语言文字为中文。专用术语使用外文的，应附有中文注释。</w:t>
      </w:r>
    </w:p>
    <w:p w14:paraId="3E45509E">
      <w:pPr>
        <w:spacing w:line="240" w:lineRule="auto"/>
        <w:rPr>
          <w:rFonts w:hint="eastAsia" w:ascii="宋体" w:hAnsi="宋体"/>
          <w:b/>
          <w:color w:val="auto"/>
          <w:highlight w:val="none"/>
        </w:rPr>
      </w:pPr>
      <w:r>
        <w:rPr>
          <w:rFonts w:hint="eastAsia" w:ascii="宋体" w:hAnsi="宋体"/>
          <w:b/>
          <w:color w:val="auto"/>
          <w:highlight w:val="none"/>
        </w:rPr>
        <w:t>1.8 计量单位</w:t>
      </w:r>
      <w:bookmarkEnd w:id="90"/>
      <w:bookmarkEnd w:id="91"/>
      <w:bookmarkEnd w:id="92"/>
      <w:bookmarkEnd w:id="93"/>
      <w:bookmarkEnd w:id="94"/>
      <w:bookmarkEnd w:id="95"/>
      <w:bookmarkEnd w:id="96"/>
    </w:p>
    <w:p w14:paraId="4D10786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所有计量均采用中华人民共和国法定计量单位。</w:t>
      </w:r>
    </w:p>
    <w:p w14:paraId="559FCACE">
      <w:pPr>
        <w:spacing w:line="240" w:lineRule="auto"/>
        <w:rPr>
          <w:rFonts w:hint="eastAsia" w:ascii="宋体" w:hAnsi="宋体"/>
          <w:b/>
          <w:color w:val="auto"/>
          <w:highlight w:val="none"/>
        </w:rPr>
      </w:pPr>
      <w:bookmarkStart w:id="97" w:name="_Toc247513963"/>
      <w:bookmarkStart w:id="98" w:name="_Toc247592877"/>
      <w:bookmarkStart w:id="99" w:name="_Toc144974508"/>
      <w:bookmarkStart w:id="100" w:name="_Toc152042316"/>
      <w:bookmarkStart w:id="101" w:name="_Toc247527564"/>
      <w:bookmarkStart w:id="102" w:name="_Toc152045540"/>
      <w:r>
        <w:rPr>
          <w:rFonts w:hint="eastAsia" w:ascii="宋体" w:hAnsi="宋体"/>
          <w:b/>
          <w:color w:val="auto"/>
          <w:highlight w:val="none"/>
        </w:rPr>
        <w:t>1.9 磋商预备会</w:t>
      </w:r>
      <w:bookmarkEnd w:id="97"/>
      <w:bookmarkEnd w:id="98"/>
      <w:bookmarkEnd w:id="99"/>
      <w:bookmarkEnd w:id="100"/>
      <w:bookmarkEnd w:id="101"/>
      <w:bookmarkEnd w:id="102"/>
    </w:p>
    <w:p w14:paraId="078AC6D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1.9.1 响应人须知前附表规定召开磋商预备会的，采购人按响应人须知前附表规定的时间和地点召开磋商预备会，澄清响应人提出的问题。</w:t>
      </w:r>
    </w:p>
    <w:p w14:paraId="4F38472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1.9.2 响应人应在响应人须知前附表规定的时间前，以书面形式将提出的问题送达采购人，以便采购人在会议期间澄清。</w:t>
      </w:r>
    </w:p>
    <w:p w14:paraId="2E18753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1.9.3 磋商预备会后，采购人在响应人须知前附表规定的时间内，将对响应人所提问题的澄清，以书面形式通知所有购买磋商文件的响应人。该澄清内容为磋商文件的组成部分。</w:t>
      </w:r>
    </w:p>
    <w:p w14:paraId="48FDABC2">
      <w:pPr>
        <w:spacing w:line="240" w:lineRule="auto"/>
        <w:rPr>
          <w:rFonts w:hint="eastAsia" w:ascii="宋体" w:hAnsi="宋体"/>
          <w:b/>
          <w:color w:val="auto"/>
          <w:highlight w:val="none"/>
        </w:rPr>
      </w:pPr>
      <w:r>
        <w:rPr>
          <w:rFonts w:hint="eastAsia" w:ascii="宋体" w:hAnsi="宋体"/>
          <w:b/>
          <w:color w:val="auto"/>
          <w:highlight w:val="none"/>
        </w:rPr>
        <w:t>1.10分包、转包</w:t>
      </w:r>
    </w:p>
    <w:p w14:paraId="756696D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不允许。</w:t>
      </w:r>
    </w:p>
    <w:p w14:paraId="4367A532">
      <w:pPr>
        <w:spacing w:line="240" w:lineRule="auto"/>
        <w:rPr>
          <w:rFonts w:hint="eastAsia" w:ascii="宋体" w:hAnsi="宋体" w:eastAsia="宋体" w:cs="Times New Roman"/>
          <w:b/>
          <w:color w:val="auto"/>
          <w:highlight w:val="none"/>
        </w:rPr>
      </w:pPr>
      <w:bookmarkStart w:id="103" w:name="_Toc179632560"/>
      <w:bookmarkStart w:id="104" w:name="_Toc246996930"/>
      <w:bookmarkStart w:id="105" w:name="_Toc409424375"/>
      <w:bookmarkStart w:id="106" w:name="_Toc450588608"/>
      <w:bookmarkStart w:id="107" w:name="_Toc247085701"/>
      <w:bookmarkStart w:id="108" w:name="_Toc144974510"/>
      <w:bookmarkStart w:id="109" w:name="_Toc246996187"/>
      <w:bookmarkStart w:id="110" w:name="_Toc152045542"/>
      <w:bookmarkStart w:id="111" w:name="_Toc409424314"/>
      <w:bookmarkStart w:id="112" w:name="_Toc152042318"/>
      <w:r>
        <w:rPr>
          <w:rFonts w:hint="eastAsia" w:ascii="宋体" w:hAnsi="宋体" w:eastAsia="宋体" w:cs="Times New Roman"/>
          <w:b/>
          <w:color w:val="auto"/>
          <w:highlight w:val="none"/>
        </w:rPr>
        <w:t>2. 磋商文件</w:t>
      </w:r>
      <w:bookmarkEnd w:id="103"/>
      <w:bookmarkEnd w:id="104"/>
      <w:bookmarkEnd w:id="105"/>
      <w:bookmarkEnd w:id="106"/>
      <w:bookmarkEnd w:id="107"/>
      <w:bookmarkEnd w:id="108"/>
      <w:bookmarkEnd w:id="109"/>
      <w:bookmarkEnd w:id="110"/>
      <w:bookmarkEnd w:id="111"/>
      <w:bookmarkEnd w:id="112"/>
    </w:p>
    <w:p w14:paraId="0B945190">
      <w:pPr>
        <w:spacing w:line="240" w:lineRule="auto"/>
        <w:rPr>
          <w:rFonts w:hint="eastAsia" w:ascii="宋体" w:hAnsi="宋体"/>
          <w:b/>
          <w:color w:val="auto"/>
          <w:highlight w:val="none"/>
        </w:rPr>
      </w:pPr>
      <w:bookmarkStart w:id="113" w:name="_Toc152045543"/>
      <w:bookmarkStart w:id="114" w:name="_Toc246996188"/>
      <w:bookmarkStart w:id="115" w:name="_Toc152042319"/>
      <w:bookmarkStart w:id="116" w:name="_Toc179632561"/>
      <w:bookmarkStart w:id="117" w:name="_Toc144974511"/>
      <w:bookmarkStart w:id="118" w:name="_Toc247085702"/>
      <w:bookmarkStart w:id="119" w:name="_Toc246996931"/>
      <w:r>
        <w:rPr>
          <w:rFonts w:hint="eastAsia" w:ascii="宋体" w:hAnsi="宋体"/>
          <w:b/>
          <w:color w:val="auto"/>
          <w:highlight w:val="none"/>
        </w:rPr>
        <w:t>2.1 磋商文件的组成</w:t>
      </w:r>
      <w:bookmarkEnd w:id="113"/>
      <w:bookmarkEnd w:id="114"/>
      <w:bookmarkEnd w:id="115"/>
      <w:bookmarkEnd w:id="116"/>
      <w:bookmarkEnd w:id="117"/>
      <w:bookmarkEnd w:id="118"/>
      <w:bookmarkEnd w:id="119"/>
    </w:p>
    <w:p w14:paraId="00332DE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2.1.1 本磋商文件包括：</w:t>
      </w:r>
    </w:p>
    <w:p w14:paraId="65615AD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（1）竞争性磋商公告；</w:t>
      </w:r>
    </w:p>
    <w:p w14:paraId="300E7B8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（2）响应人须知；</w:t>
      </w:r>
    </w:p>
    <w:p w14:paraId="38473E4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（3）合同条款；</w:t>
      </w:r>
    </w:p>
    <w:p w14:paraId="4D262BE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（4）项目要求和技术要求； </w:t>
      </w:r>
    </w:p>
    <w:p w14:paraId="5652473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（5）响应文件格式；</w:t>
      </w:r>
    </w:p>
    <w:p w14:paraId="1BA5393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（6）竞争性磋商办法。</w:t>
      </w:r>
    </w:p>
    <w:p w14:paraId="76AABB3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2.1.2 根据本章第1.10款、第2.2款和第2.3款对磋商文件所作的澄清、修改，构成磋商文件的组成部分。</w:t>
      </w:r>
    </w:p>
    <w:p w14:paraId="6C0D9183">
      <w:pPr>
        <w:spacing w:line="240" w:lineRule="auto"/>
        <w:rPr>
          <w:rFonts w:hint="eastAsia" w:ascii="宋体" w:hAnsi="宋体"/>
          <w:b/>
          <w:color w:val="auto"/>
          <w:highlight w:val="none"/>
        </w:rPr>
      </w:pPr>
      <w:bookmarkStart w:id="120" w:name="_Toc247085703"/>
      <w:bookmarkStart w:id="121" w:name="_Toc144974512"/>
      <w:bookmarkStart w:id="122" w:name="_Toc152042320"/>
      <w:bookmarkStart w:id="123" w:name="_Toc246996932"/>
      <w:bookmarkStart w:id="124" w:name="_Toc179632562"/>
      <w:bookmarkStart w:id="125" w:name="_Toc152045544"/>
      <w:bookmarkStart w:id="126" w:name="_Toc246996189"/>
      <w:r>
        <w:rPr>
          <w:rFonts w:hint="eastAsia" w:ascii="宋体" w:hAnsi="宋体"/>
          <w:b/>
          <w:color w:val="auto"/>
          <w:highlight w:val="none"/>
        </w:rPr>
        <w:t>2.2 磋商文件的澄清</w:t>
      </w:r>
      <w:bookmarkEnd w:id="120"/>
      <w:bookmarkEnd w:id="121"/>
      <w:bookmarkEnd w:id="122"/>
      <w:bookmarkEnd w:id="123"/>
      <w:bookmarkEnd w:id="124"/>
      <w:bookmarkEnd w:id="125"/>
      <w:bookmarkEnd w:id="126"/>
      <w:r>
        <w:rPr>
          <w:rFonts w:hint="eastAsia" w:ascii="宋体" w:hAnsi="宋体"/>
          <w:b/>
          <w:color w:val="auto"/>
          <w:highlight w:val="none"/>
        </w:rPr>
        <w:t xml:space="preserve"> </w:t>
      </w:r>
    </w:p>
    <w:p w14:paraId="6771E546">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2.2.1 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w:t>
      </w:r>
    </w:p>
    <w:p w14:paraId="4F72E41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2.2.2 磋商文件的澄清将以书面形式发给所有购买磋商文件的响应人，但不指明澄清问题的来源。如果澄清发出的时间距响应人须知前附表规定的磋商截止时间不足5天，并且澄清内容影响响应文件编制的，将相应延长磋商截止时间。 </w:t>
      </w:r>
    </w:p>
    <w:p w14:paraId="02A3313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2.2.3 响应人在收到澄清后，应在响应人须知前附表规定的时间内以书面形式通知采购人，确认已收到该澄清。</w:t>
      </w:r>
    </w:p>
    <w:p w14:paraId="2FA557E9">
      <w:pPr>
        <w:spacing w:line="240" w:lineRule="auto"/>
        <w:rPr>
          <w:rFonts w:hint="eastAsia" w:ascii="宋体" w:hAnsi="宋体"/>
          <w:b/>
          <w:color w:val="auto"/>
          <w:highlight w:val="none"/>
        </w:rPr>
      </w:pPr>
      <w:bookmarkStart w:id="127" w:name="_Toc144974513"/>
      <w:bookmarkStart w:id="128" w:name="_Toc246996190"/>
      <w:bookmarkStart w:id="129" w:name="_Toc152042321"/>
      <w:bookmarkStart w:id="130" w:name="_Toc152045545"/>
      <w:bookmarkStart w:id="131" w:name="_Toc179632563"/>
      <w:bookmarkStart w:id="132" w:name="_Toc246996933"/>
      <w:bookmarkStart w:id="133" w:name="_Toc247085704"/>
      <w:r>
        <w:rPr>
          <w:rFonts w:hint="eastAsia" w:ascii="宋体" w:hAnsi="宋体"/>
          <w:b/>
          <w:color w:val="auto"/>
          <w:highlight w:val="none"/>
        </w:rPr>
        <w:t>2.3 磋商文件的修改</w:t>
      </w:r>
      <w:bookmarkEnd w:id="127"/>
      <w:bookmarkEnd w:id="128"/>
      <w:bookmarkEnd w:id="129"/>
      <w:bookmarkEnd w:id="130"/>
      <w:bookmarkEnd w:id="131"/>
      <w:bookmarkEnd w:id="132"/>
      <w:bookmarkEnd w:id="133"/>
    </w:p>
    <w:p w14:paraId="4FC8B6A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2.3.1采购人可以书面形式修改磋商文件，并通知所有已购买磋商文件的响应人。但如果修改磋商文件的时间距磋商截止时间不足5天，并且修改内容影响响应文件编制的，将相应延长磋商截止时间。</w:t>
      </w:r>
    </w:p>
    <w:p w14:paraId="6E935FC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2.3.2 响应人收到修改内容后，应在响应人须知前附表规定的时间内以书面形式通知采购人，确认已收到该修改。</w:t>
      </w:r>
    </w:p>
    <w:p w14:paraId="149E3EA0">
      <w:pPr>
        <w:spacing w:line="240" w:lineRule="auto"/>
        <w:rPr>
          <w:rFonts w:hint="eastAsia" w:ascii="宋体" w:hAnsi="宋体" w:eastAsia="宋体" w:cs="Times New Roman"/>
          <w:b/>
          <w:color w:val="auto"/>
          <w:highlight w:val="none"/>
        </w:rPr>
      </w:pPr>
      <w:bookmarkStart w:id="134" w:name="_Toc247085705"/>
      <w:bookmarkStart w:id="135" w:name="_Toc450588609"/>
      <w:bookmarkStart w:id="136" w:name="_Toc179632564"/>
      <w:bookmarkStart w:id="137" w:name="_Toc152042322"/>
      <w:bookmarkStart w:id="138" w:name="_Toc409424315"/>
      <w:bookmarkStart w:id="139" w:name="_Toc246996934"/>
      <w:bookmarkStart w:id="140" w:name="_Toc152045546"/>
      <w:bookmarkStart w:id="141" w:name="_Toc246996191"/>
      <w:bookmarkStart w:id="142" w:name="_Toc144974514"/>
      <w:bookmarkStart w:id="143" w:name="_Toc409424376"/>
      <w:r>
        <w:rPr>
          <w:rFonts w:hint="eastAsia" w:ascii="宋体" w:hAnsi="宋体" w:eastAsia="宋体" w:cs="Times New Roman"/>
          <w:b/>
          <w:color w:val="auto"/>
          <w:highlight w:val="none"/>
        </w:rPr>
        <w:t>3. 响应文件</w:t>
      </w:r>
      <w:bookmarkEnd w:id="134"/>
      <w:bookmarkEnd w:id="135"/>
      <w:bookmarkEnd w:id="136"/>
      <w:bookmarkEnd w:id="137"/>
      <w:bookmarkEnd w:id="138"/>
      <w:bookmarkEnd w:id="139"/>
      <w:bookmarkEnd w:id="140"/>
      <w:bookmarkEnd w:id="141"/>
      <w:bookmarkEnd w:id="142"/>
      <w:bookmarkEnd w:id="143"/>
    </w:p>
    <w:p w14:paraId="0F9C9E66">
      <w:pPr>
        <w:spacing w:line="240" w:lineRule="auto"/>
        <w:rPr>
          <w:rFonts w:hint="eastAsia" w:ascii="宋体" w:hAnsi="宋体"/>
          <w:b/>
          <w:color w:val="auto"/>
          <w:highlight w:val="none"/>
        </w:rPr>
      </w:pPr>
      <w:bookmarkStart w:id="144" w:name="_Toc179632565"/>
      <w:bookmarkStart w:id="145" w:name="_Toc246996935"/>
      <w:bookmarkStart w:id="146" w:name="_Toc246996192"/>
      <w:bookmarkStart w:id="147" w:name="_Toc152042323"/>
      <w:bookmarkStart w:id="148" w:name="_Toc152045547"/>
      <w:bookmarkStart w:id="149" w:name="_Toc247085706"/>
      <w:bookmarkStart w:id="150" w:name="_Toc144974515"/>
      <w:r>
        <w:rPr>
          <w:rFonts w:hint="eastAsia" w:ascii="宋体" w:hAnsi="宋体"/>
          <w:b/>
          <w:color w:val="auto"/>
          <w:highlight w:val="none"/>
        </w:rPr>
        <w:t>3.1 响应文件的组成</w:t>
      </w:r>
      <w:bookmarkEnd w:id="144"/>
      <w:bookmarkEnd w:id="145"/>
      <w:bookmarkEnd w:id="146"/>
      <w:bookmarkEnd w:id="147"/>
      <w:bookmarkEnd w:id="148"/>
      <w:bookmarkEnd w:id="149"/>
      <w:bookmarkEnd w:id="150"/>
    </w:p>
    <w:p w14:paraId="7714AC1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响应文件应包括下列内容：</w:t>
      </w:r>
    </w:p>
    <w:p w14:paraId="08FD90A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w:t>
      </w:r>
      <w:r>
        <w:rPr>
          <w:rFonts w:hint="eastAsia" w:ascii="宋体" w:hAnsi="宋体" w:eastAsia="宋体" w:cs="Times New Roman"/>
          <w:bCs/>
          <w:snapToGrid w:val="0"/>
          <w:color w:val="auto"/>
          <w:szCs w:val="21"/>
          <w:highlight w:val="none"/>
          <w:lang w:val="en-US" w:eastAsia="zh-CN"/>
        </w:rPr>
        <w:t>报价函</w:t>
      </w:r>
      <w:r>
        <w:rPr>
          <w:rFonts w:hint="eastAsia" w:ascii="宋体" w:hAnsi="宋体" w:eastAsia="宋体" w:cs="Times New Roman"/>
          <w:bCs/>
          <w:snapToGrid w:val="0"/>
          <w:color w:val="auto"/>
          <w:szCs w:val="21"/>
          <w:highlight w:val="none"/>
          <w:lang w:val="zh-CN" w:eastAsia="zh-CN"/>
        </w:rPr>
        <w:t>；</w:t>
      </w:r>
    </w:p>
    <w:p w14:paraId="385ACCE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（2）法定代表人身份证明、法定代表人授权书；</w:t>
      </w:r>
    </w:p>
    <w:p w14:paraId="6A31376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（3）磋商保证金证明材料；</w:t>
      </w:r>
    </w:p>
    <w:p w14:paraId="7C81992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（4）报价一览表（第一次）；</w:t>
      </w:r>
    </w:p>
    <w:p w14:paraId="3FC1505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w:t>
      </w:r>
      <w:r>
        <w:rPr>
          <w:rFonts w:hint="eastAsia" w:ascii="宋体" w:hAnsi="宋体" w:eastAsia="宋体" w:cs="Times New Roman"/>
          <w:bCs/>
          <w:snapToGrid w:val="0"/>
          <w:color w:val="auto"/>
          <w:szCs w:val="21"/>
          <w:highlight w:val="none"/>
          <w:lang w:val="en-US" w:eastAsia="zh-CN"/>
        </w:rPr>
        <w:t>5</w:t>
      </w:r>
      <w:r>
        <w:rPr>
          <w:rFonts w:hint="eastAsia" w:ascii="宋体" w:hAnsi="宋体" w:eastAsia="宋体" w:cs="Times New Roman"/>
          <w:bCs/>
          <w:snapToGrid w:val="0"/>
          <w:color w:val="auto"/>
          <w:szCs w:val="21"/>
          <w:highlight w:val="none"/>
          <w:lang w:val="zh-CN" w:eastAsia="zh-CN"/>
        </w:rPr>
        <w:t>）已标价工程量清单；</w:t>
      </w:r>
    </w:p>
    <w:p w14:paraId="56A4079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w:t>
      </w:r>
      <w:r>
        <w:rPr>
          <w:rFonts w:hint="eastAsia" w:ascii="宋体" w:hAnsi="宋体" w:eastAsia="宋体" w:cs="Times New Roman"/>
          <w:bCs/>
          <w:snapToGrid w:val="0"/>
          <w:color w:val="auto"/>
          <w:szCs w:val="21"/>
          <w:highlight w:val="none"/>
          <w:lang w:val="en-US" w:eastAsia="zh-CN"/>
        </w:rPr>
        <w:t>6</w:t>
      </w:r>
      <w:r>
        <w:rPr>
          <w:rFonts w:hint="eastAsia" w:ascii="宋体" w:hAnsi="宋体" w:eastAsia="宋体" w:cs="Times New Roman"/>
          <w:bCs/>
          <w:snapToGrid w:val="0"/>
          <w:color w:val="auto"/>
          <w:szCs w:val="21"/>
          <w:highlight w:val="none"/>
          <w:lang w:val="zh-CN" w:eastAsia="zh-CN"/>
        </w:rPr>
        <w:t>）施工组织设计；</w:t>
      </w:r>
    </w:p>
    <w:p w14:paraId="0CCC60F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w:t>
      </w:r>
      <w:r>
        <w:rPr>
          <w:rFonts w:hint="eastAsia" w:ascii="宋体" w:hAnsi="宋体" w:eastAsia="宋体" w:cs="Times New Roman"/>
          <w:bCs/>
          <w:snapToGrid w:val="0"/>
          <w:color w:val="auto"/>
          <w:szCs w:val="21"/>
          <w:highlight w:val="none"/>
          <w:lang w:val="en-US" w:eastAsia="zh-CN"/>
        </w:rPr>
        <w:t>7</w:t>
      </w:r>
      <w:r>
        <w:rPr>
          <w:rFonts w:hint="eastAsia" w:ascii="宋体" w:hAnsi="宋体" w:eastAsia="宋体" w:cs="Times New Roman"/>
          <w:bCs/>
          <w:snapToGrid w:val="0"/>
          <w:color w:val="auto"/>
          <w:szCs w:val="21"/>
          <w:highlight w:val="none"/>
          <w:lang w:val="zh-CN" w:eastAsia="zh-CN"/>
        </w:rPr>
        <w:t>）项目管理机构；</w:t>
      </w:r>
    </w:p>
    <w:p w14:paraId="04C6FB4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w:t>
      </w:r>
      <w:r>
        <w:rPr>
          <w:rFonts w:hint="eastAsia" w:ascii="宋体" w:hAnsi="宋体" w:eastAsia="宋体" w:cs="Times New Roman"/>
          <w:bCs/>
          <w:snapToGrid w:val="0"/>
          <w:color w:val="auto"/>
          <w:szCs w:val="21"/>
          <w:highlight w:val="none"/>
          <w:lang w:val="en-US" w:eastAsia="zh-CN"/>
        </w:rPr>
        <w:t>8</w:t>
      </w:r>
      <w:r>
        <w:rPr>
          <w:rFonts w:hint="eastAsia" w:ascii="宋体" w:hAnsi="宋体" w:eastAsia="宋体" w:cs="Times New Roman"/>
          <w:bCs/>
          <w:snapToGrid w:val="0"/>
          <w:color w:val="auto"/>
          <w:szCs w:val="21"/>
          <w:highlight w:val="none"/>
          <w:lang w:val="zh-CN" w:eastAsia="zh-CN"/>
        </w:rPr>
        <w:t>）资格审查资料；</w:t>
      </w:r>
    </w:p>
    <w:p w14:paraId="106E2CB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w:t>
      </w:r>
      <w:r>
        <w:rPr>
          <w:rFonts w:hint="eastAsia" w:ascii="宋体" w:hAnsi="宋体" w:eastAsia="宋体" w:cs="Times New Roman"/>
          <w:bCs/>
          <w:snapToGrid w:val="0"/>
          <w:color w:val="auto"/>
          <w:szCs w:val="21"/>
          <w:highlight w:val="none"/>
          <w:lang w:val="en-US" w:eastAsia="zh-CN"/>
        </w:rPr>
        <w:t>9</w:t>
      </w:r>
      <w:r>
        <w:rPr>
          <w:rFonts w:hint="eastAsia" w:ascii="宋体" w:hAnsi="宋体" w:eastAsia="宋体" w:cs="Times New Roman"/>
          <w:bCs/>
          <w:snapToGrid w:val="0"/>
          <w:color w:val="auto"/>
          <w:szCs w:val="21"/>
          <w:highlight w:val="none"/>
          <w:lang w:val="zh-CN" w:eastAsia="zh-CN"/>
        </w:rPr>
        <w:t>）其他材料。</w:t>
      </w:r>
    </w:p>
    <w:p w14:paraId="52FAAC57">
      <w:pPr>
        <w:spacing w:line="240" w:lineRule="auto"/>
        <w:rPr>
          <w:rFonts w:hint="eastAsia" w:ascii="宋体" w:hAnsi="宋体"/>
          <w:b/>
          <w:color w:val="auto"/>
          <w:highlight w:val="none"/>
        </w:rPr>
      </w:pPr>
      <w:bookmarkStart w:id="151" w:name="_Toc144974516"/>
      <w:bookmarkStart w:id="152" w:name="_Toc152045548"/>
      <w:bookmarkStart w:id="153" w:name="_Toc247085707"/>
      <w:bookmarkStart w:id="154" w:name="_Toc246996936"/>
      <w:bookmarkStart w:id="155" w:name="_Toc179632566"/>
      <w:bookmarkStart w:id="156" w:name="_Toc246996193"/>
      <w:bookmarkStart w:id="157" w:name="_Toc152042324"/>
      <w:r>
        <w:rPr>
          <w:rFonts w:hint="eastAsia" w:ascii="宋体" w:hAnsi="宋体"/>
          <w:b/>
          <w:color w:val="auto"/>
          <w:highlight w:val="none"/>
        </w:rPr>
        <w:t>3.2 磋商报价</w:t>
      </w:r>
      <w:bookmarkEnd w:id="151"/>
      <w:bookmarkEnd w:id="152"/>
      <w:bookmarkEnd w:id="153"/>
      <w:bookmarkEnd w:id="154"/>
      <w:bookmarkEnd w:id="155"/>
      <w:bookmarkEnd w:id="156"/>
      <w:bookmarkEnd w:id="157"/>
    </w:p>
    <w:p w14:paraId="4BEDCAE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3.2.1 响应人应按第四章“项目要求和技术要求”及第五章“响应文件格式”的要求填写相应表格。</w:t>
      </w:r>
    </w:p>
    <w:p w14:paraId="2144B8A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3.2.2 响应人在磋商截止时间前修改报价函中的磋商报价总额，应同时修改“报价表”中的相应报价，磋商报价总额为各分项金额之和。此修改须符合本章第4.3款的有关要求。</w:t>
      </w:r>
      <w:bookmarkStart w:id="158" w:name="_Toc144974517"/>
      <w:bookmarkStart w:id="159" w:name="_Toc179632567"/>
      <w:bookmarkStart w:id="160" w:name="_Toc152045549"/>
      <w:bookmarkStart w:id="161" w:name="_Toc152042325"/>
    </w:p>
    <w:p w14:paraId="72ADBAA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3.2.3 采购人设有采购预算的，响应人的磋商报价不得超过采购预算，采购预算或其计算方法在响应人须知前附表中载明。</w:t>
      </w:r>
    </w:p>
    <w:p w14:paraId="73D32AE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3.2.4 磋商报价：</w:t>
      </w:r>
      <w:bookmarkStart w:id="162" w:name="_Toc246996937"/>
      <w:bookmarkStart w:id="163" w:name="_Toc247085708"/>
      <w:bookmarkStart w:id="164" w:name="_Toc246996194"/>
      <w:r>
        <w:rPr>
          <w:rFonts w:hint="eastAsia" w:ascii="宋体" w:hAnsi="宋体" w:eastAsia="宋体" w:cs="Times New Roman"/>
          <w:bCs/>
          <w:snapToGrid w:val="0"/>
          <w:color w:val="auto"/>
          <w:szCs w:val="21"/>
          <w:highlight w:val="none"/>
          <w:lang w:val="zh-CN" w:eastAsia="zh-CN"/>
        </w:rPr>
        <w:t>采用综合报价方式。</w:t>
      </w:r>
    </w:p>
    <w:p w14:paraId="353B968B">
      <w:pPr>
        <w:spacing w:line="240" w:lineRule="auto"/>
        <w:rPr>
          <w:rFonts w:hint="eastAsia" w:ascii="宋体" w:hAnsi="宋体" w:eastAsia="宋体" w:cs="Times New Roman"/>
          <w:b/>
          <w:color w:val="auto"/>
          <w:highlight w:val="none"/>
        </w:rPr>
      </w:pPr>
      <w:r>
        <w:rPr>
          <w:rFonts w:hint="eastAsia" w:ascii="宋体" w:hAnsi="宋体" w:eastAsia="宋体" w:cs="Times New Roman"/>
          <w:b/>
          <w:color w:val="auto"/>
          <w:highlight w:val="none"/>
        </w:rPr>
        <w:t>3.3 磋商有效期</w:t>
      </w:r>
      <w:bookmarkEnd w:id="158"/>
      <w:bookmarkEnd w:id="159"/>
      <w:bookmarkEnd w:id="160"/>
      <w:bookmarkEnd w:id="161"/>
      <w:bookmarkEnd w:id="162"/>
      <w:bookmarkEnd w:id="163"/>
      <w:bookmarkEnd w:id="164"/>
    </w:p>
    <w:p w14:paraId="424B820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3.3.1 除响应人须知前附表另有规定外，磋商有效期为90天。</w:t>
      </w:r>
    </w:p>
    <w:p w14:paraId="530A025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3.3.2在磋商有效期内，响应人撤销或修改其响应文件的，应承担磋商文件和法律规定的责任。</w:t>
      </w:r>
    </w:p>
    <w:p w14:paraId="1D137D0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3.3.3出现特殊情况需要延长磋商有效期的，采购人以书面形式通知所有响应人延长磋商有效期。响应人同意延长的，应相应延长其磋商保证金的有效期，但不得要求或被允许修改或撤销其响应文件；响应人拒绝延长的，其磋商失效，但响应人有权收回其磋商保证金。</w:t>
      </w:r>
    </w:p>
    <w:p w14:paraId="45E13A92">
      <w:pPr>
        <w:spacing w:line="240" w:lineRule="auto"/>
        <w:rPr>
          <w:rFonts w:hint="eastAsia" w:ascii="宋体" w:hAnsi="宋体" w:eastAsia="宋体"/>
          <w:b/>
          <w:color w:val="auto"/>
          <w:highlight w:val="none"/>
          <w:lang w:eastAsia="zh-CN"/>
        </w:rPr>
      </w:pPr>
      <w:bookmarkStart w:id="165" w:name="_Toc179632568"/>
      <w:bookmarkStart w:id="166" w:name="_Toc247085709"/>
      <w:bookmarkStart w:id="167" w:name="_Toc152045550"/>
      <w:bookmarkStart w:id="168" w:name="_Toc152042326"/>
      <w:bookmarkStart w:id="169" w:name="_Toc144974518"/>
      <w:bookmarkStart w:id="170" w:name="_Toc246996195"/>
      <w:bookmarkStart w:id="171" w:name="_Toc246996938"/>
      <w:r>
        <w:rPr>
          <w:rFonts w:hint="eastAsia" w:ascii="宋体" w:hAnsi="宋体"/>
          <w:b/>
          <w:color w:val="auto"/>
          <w:highlight w:val="none"/>
        </w:rPr>
        <w:t>3.4 磋商保证金</w:t>
      </w:r>
      <w:bookmarkEnd w:id="165"/>
      <w:bookmarkEnd w:id="166"/>
      <w:bookmarkEnd w:id="167"/>
      <w:bookmarkEnd w:id="168"/>
      <w:bookmarkEnd w:id="169"/>
      <w:bookmarkEnd w:id="170"/>
      <w:bookmarkEnd w:id="171"/>
      <w:r>
        <w:rPr>
          <w:rFonts w:hint="eastAsia" w:ascii="宋体" w:hAnsi="宋体"/>
          <w:b/>
          <w:color w:val="auto"/>
          <w:highlight w:val="none"/>
          <w:lang w:eastAsia="zh-CN"/>
        </w:rPr>
        <w:t>（不适用）</w:t>
      </w:r>
    </w:p>
    <w:p w14:paraId="290D646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3.4.1 响应人须知前附表规定递交磋商保证金的，响应人在递交响应文件的同时，应按响应人须知前附表规定的金额、担保形式和第五章“响应文件格式”规定的或者事先经过采购人认可的磋商保证金格式递交磋商保证金，并作为其响应文件的组成部分。</w:t>
      </w:r>
    </w:p>
    <w:p w14:paraId="79CBE56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3.4.2 响应人不按本章第3.4.1项要求提交磋商保证金的，磋商小组将作废标处理。</w:t>
      </w:r>
    </w:p>
    <w:p w14:paraId="59844F5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3.4.3 采购人向成交响应人发放成交通知书后五个工作日内，退还未成交响应人的磋商保证金，采购人与成交响应人签订合同后五个工作日内，退还成交响应人的磋商保证金。</w:t>
      </w:r>
    </w:p>
    <w:p w14:paraId="54D5D4A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3.4.4 有下列情形之一的，磋商保证金将不予退还： </w:t>
      </w:r>
    </w:p>
    <w:p w14:paraId="0ADC77C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（1）响应人在规定的磋商有效期内撤销或修改其响应文件；</w:t>
      </w:r>
    </w:p>
    <w:p w14:paraId="4DCDD3D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（2）成交响应人在收到成交通知书后，无正当理由拒签合同。</w:t>
      </w:r>
    </w:p>
    <w:p w14:paraId="3ED98B22">
      <w:pPr>
        <w:spacing w:line="240" w:lineRule="auto"/>
        <w:rPr>
          <w:rFonts w:hint="eastAsia" w:ascii="宋体" w:hAnsi="宋体"/>
          <w:b/>
          <w:color w:val="auto"/>
          <w:highlight w:val="none"/>
        </w:rPr>
      </w:pPr>
      <w:bookmarkStart w:id="172" w:name="_Toc152042328"/>
      <w:bookmarkStart w:id="173" w:name="_Toc144974520"/>
      <w:bookmarkStart w:id="174" w:name="_Toc152045552"/>
      <w:bookmarkStart w:id="175" w:name="_Toc179632570"/>
      <w:bookmarkStart w:id="176" w:name="_Toc246996196"/>
      <w:bookmarkStart w:id="177" w:name="_Toc246996939"/>
      <w:bookmarkStart w:id="178" w:name="_Toc247085710"/>
      <w:r>
        <w:rPr>
          <w:rFonts w:hint="eastAsia" w:ascii="宋体" w:hAnsi="宋体"/>
          <w:b/>
          <w:color w:val="auto"/>
          <w:highlight w:val="none"/>
        </w:rPr>
        <w:t>3.5 资格审查资料</w:t>
      </w:r>
      <w:bookmarkEnd w:id="172"/>
      <w:bookmarkEnd w:id="173"/>
      <w:bookmarkEnd w:id="174"/>
      <w:bookmarkEnd w:id="175"/>
      <w:bookmarkEnd w:id="176"/>
      <w:bookmarkEnd w:id="177"/>
      <w:bookmarkEnd w:id="178"/>
    </w:p>
    <w:p w14:paraId="4DCD760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3.5.1 “响应人基本情况表”应附响应人营业执照副本等材料的复印件。</w:t>
      </w:r>
    </w:p>
    <w:p w14:paraId="1DF3260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3.5.2 “近年财务状况”具体要求见响应人须知前附表。</w:t>
      </w:r>
    </w:p>
    <w:p w14:paraId="09CD9BD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3.5.3 “近年完成的类似项目情况表”应附成交通知书或合同协议书复印件，具体年份要求见响应人须知前附表。每张表格只填写一个项目，并标明序号。</w:t>
      </w:r>
    </w:p>
    <w:p w14:paraId="1D35760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3.5.4 “正在进行和新承接的项目情况表”应附成交通知书或合同协议书复印件。每张表格只填写一个项目，并标明序号。</w:t>
      </w:r>
    </w:p>
    <w:p w14:paraId="241748FD">
      <w:pPr>
        <w:spacing w:line="240" w:lineRule="auto"/>
        <w:rPr>
          <w:rFonts w:hint="eastAsia" w:ascii="宋体" w:hAnsi="宋体"/>
          <w:b/>
          <w:color w:val="auto"/>
          <w:highlight w:val="none"/>
        </w:rPr>
      </w:pPr>
      <w:bookmarkStart w:id="179" w:name="_Toc246996940"/>
      <w:bookmarkStart w:id="180" w:name="_Toc246996197"/>
      <w:bookmarkStart w:id="181" w:name="_Toc152045553"/>
      <w:bookmarkStart w:id="182" w:name="_Toc144974521"/>
      <w:bookmarkStart w:id="183" w:name="_Toc247085711"/>
      <w:bookmarkStart w:id="184" w:name="_Toc179632571"/>
      <w:bookmarkStart w:id="185" w:name="_Toc152042329"/>
      <w:r>
        <w:rPr>
          <w:rFonts w:hint="eastAsia" w:ascii="宋体" w:hAnsi="宋体"/>
          <w:b/>
          <w:color w:val="auto"/>
          <w:highlight w:val="none"/>
        </w:rPr>
        <w:t>3.6响应文件的编制</w:t>
      </w:r>
    </w:p>
    <w:p w14:paraId="526CF15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3.6.1响应文件应按第五章“响应文件格式”进行编写，如有必要，可以增加附页，作为响应文件的组成部分。其中，报价函附录在满足磋商文件实质性要求的基础上，可以提出比磋商文件要求更有利于采购人的承诺。</w:t>
      </w:r>
    </w:p>
    <w:p w14:paraId="6637561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3.6.2 响应文件应当对磋商文件有关服务期、磋商有效期、质量要求、技术标准和要求、磋商范围等实质性内容作出响应。</w:t>
      </w:r>
    </w:p>
    <w:p w14:paraId="77C86DB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3.6.3响应文件应用不褪色的材料书写或打印，并由响应人的法定代表人或其委托代理人签字或盖单位章。委托代理人签字的，响应文件应附法定代表人签署的授权委托书。响应文件应尽量避免涂改、行间插字或删除。如果出现上述情况，改动之处应加盖单位章或由响应人的法定代表人或其授权的代理人签字确认。签字或盖章的具体要求见响应人须知前附表。</w:t>
      </w:r>
    </w:p>
    <w:p w14:paraId="05EBF57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3.6.4 响应文件正本一份, 副本份数见响应人须知前附表。正本和副本的封面上应清楚地标记“正本”或“副本”的字样。当副本和正本不一致时，以正本为准。</w:t>
      </w:r>
    </w:p>
    <w:p w14:paraId="2313A05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3.6.5 响应文件的正本与副本应分别装订成册，具体装订要求见响应人须知前附表规定。</w:t>
      </w:r>
      <w:bookmarkEnd w:id="179"/>
      <w:bookmarkEnd w:id="180"/>
      <w:bookmarkEnd w:id="181"/>
      <w:bookmarkEnd w:id="182"/>
      <w:bookmarkEnd w:id="183"/>
      <w:bookmarkEnd w:id="184"/>
      <w:bookmarkEnd w:id="185"/>
      <w:bookmarkStart w:id="186" w:name="_Toc152042331"/>
      <w:bookmarkStart w:id="187" w:name="_Toc144974523"/>
      <w:bookmarkStart w:id="188" w:name="_Toc152045555"/>
      <w:bookmarkStart w:id="189" w:name="_Toc246996199"/>
      <w:bookmarkStart w:id="190" w:name="_Toc246996942"/>
      <w:bookmarkStart w:id="191" w:name="_Toc179632573"/>
      <w:bookmarkStart w:id="192" w:name="_Toc247085713"/>
    </w:p>
    <w:p w14:paraId="46AA4C9B">
      <w:pPr>
        <w:spacing w:line="240" w:lineRule="auto"/>
        <w:rPr>
          <w:rFonts w:hint="eastAsia" w:ascii="宋体" w:hAnsi="宋体" w:eastAsia="宋体" w:cs="Times New Roman"/>
          <w:b/>
          <w:color w:val="auto"/>
          <w:highlight w:val="none"/>
        </w:rPr>
      </w:pPr>
      <w:bookmarkStart w:id="193" w:name="_Toc409424377"/>
      <w:bookmarkStart w:id="194" w:name="_Toc450588610"/>
      <w:bookmarkStart w:id="195" w:name="_Toc409424316"/>
      <w:r>
        <w:rPr>
          <w:rFonts w:hint="eastAsia" w:ascii="宋体" w:hAnsi="宋体" w:eastAsia="宋体" w:cs="Times New Roman"/>
          <w:b/>
          <w:color w:val="auto"/>
          <w:highlight w:val="none"/>
        </w:rPr>
        <w:t>4. 磋商</w:t>
      </w:r>
      <w:bookmarkEnd w:id="186"/>
      <w:bookmarkEnd w:id="187"/>
      <w:bookmarkEnd w:id="188"/>
      <w:bookmarkEnd w:id="189"/>
      <w:bookmarkEnd w:id="190"/>
      <w:bookmarkEnd w:id="191"/>
      <w:bookmarkEnd w:id="192"/>
      <w:bookmarkEnd w:id="193"/>
      <w:bookmarkEnd w:id="194"/>
      <w:bookmarkEnd w:id="195"/>
    </w:p>
    <w:p w14:paraId="3A31D682">
      <w:pPr>
        <w:spacing w:line="240" w:lineRule="auto"/>
        <w:rPr>
          <w:rFonts w:hint="eastAsia" w:ascii="宋体" w:hAnsi="宋体"/>
          <w:b/>
          <w:color w:val="auto"/>
          <w:highlight w:val="none"/>
        </w:rPr>
      </w:pPr>
      <w:bookmarkStart w:id="196" w:name="_Toc246996943"/>
      <w:bookmarkStart w:id="197" w:name="_Toc179632574"/>
      <w:bookmarkStart w:id="198" w:name="_Toc152045556"/>
      <w:bookmarkStart w:id="199" w:name="_Toc144974524"/>
      <w:bookmarkStart w:id="200" w:name="_Toc152042332"/>
      <w:bookmarkStart w:id="201" w:name="_Toc246996200"/>
      <w:bookmarkStart w:id="202" w:name="_Toc247085714"/>
      <w:r>
        <w:rPr>
          <w:rFonts w:hint="eastAsia" w:ascii="宋体" w:hAnsi="宋体"/>
          <w:b/>
          <w:color w:val="auto"/>
          <w:highlight w:val="none"/>
        </w:rPr>
        <w:t>4.1 响应文件的密封和标记</w:t>
      </w:r>
      <w:bookmarkEnd w:id="196"/>
      <w:bookmarkEnd w:id="197"/>
      <w:bookmarkEnd w:id="198"/>
      <w:bookmarkEnd w:id="199"/>
      <w:bookmarkEnd w:id="200"/>
      <w:bookmarkEnd w:id="201"/>
      <w:bookmarkEnd w:id="202"/>
    </w:p>
    <w:p w14:paraId="6537A28A">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bookmarkStart w:id="203" w:name="_Toc152042333"/>
      <w:bookmarkStart w:id="204" w:name="_Toc247085715"/>
      <w:bookmarkStart w:id="205" w:name="_Toc246996944"/>
      <w:bookmarkStart w:id="206" w:name="_Toc246996201"/>
      <w:bookmarkStart w:id="207" w:name="_Toc152045557"/>
      <w:bookmarkStart w:id="208" w:name="_Toc179632575"/>
      <w:bookmarkStart w:id="209" w:name="_Toc144974525"/>
      <w:r>
        <w:rPr>
          <w:rFonts w:hint="eastAsia" w:ascii="宋体" w:hAnsi="宋体" w:eastAsia="宋体" w:cs="Times New Roman"/>
          <w:bCs/>
          <w:snapToGrid w:val="0"/>
          <w:color w:val="auto"/>
          <w:szCs w:val="21"/>
          <w:highlight w:val="none"/>
          <w:lang w:val="zh-CN" w:eastAsia="zh-CN"/>
        </w:rPr>
        <w:t>4.1.1 响应文件应进行包装、加贴封条，外封套须在封口处加盖响应人单位章。</w:t>
      </w:r>
    </w:p>
    <w:p w14:paraId="6D06F9C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4.1.2 响应文件封套上应写明的内容见响应人须知前附表。</w:t>
      </w:r>
    </w:p>
    <w:p w14:paraId="6F6FE88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4.1.3 未按本章第4.1.1项、第4.1.2项要求密封和加写标记的响应文件，采购人应予拒收。</w:t>
      </w:r>
    </w:p>
    <w:p w14:paraId="1824CF25">
      <w:pPr>
        <w:spacing w:line="240" w:lineRule="auto"/>
        <w:rPr>
          <w:rFonts w:hint="eastAsia" w:ascii="宋体" w:hAnsi="宋体"/>
          <w:b/>
          <w:color w:val="auto"/>
          <w:highlight w:val="none"/>
        </w:rPr>
      </w:pPr>
      <w:r>
        <w:rPr>
          <w:rFonts w:hint="eastAsia" w:ascii="宋体" w:hAnsi="宋体"/>
          <w:b/>
          <w:color w:val="auto"/>
          <w:highlight w:val="none"/>
        </w:rPr>
        <w:t>4.2 响应文件的递交</w:t>
      </w:r>
      <w:bookmarkEnd w:id="203"/>
      <w:bookmarkEnd w:id="204"/>
      <w:bookmarkEnd w:id="205"/>
      <w:bookmarkEnd w:id="206"/>
      <w:bookmarkEnd w:id="207"/>
      <w:bookmarkEnd w:id="208"/>
      <w:bookmarkEnd w:id="209"/>
    </w:p>
    <w:p w14:paraId="7B736178">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4.2.1 响应人应在本章第2.2.2项规定的磋商截止时间前递交响应文件。</w:t>
      </w:r>
    </w:p>
    <w:p w14:paraId="3A14829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4.2.2 响应人递交响应文件的地点：见响应人须知前附表。</w:t>
      </w:r>
    </w:p>
    <w:p w14:paraId="1A4DF42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4.2.3 除响应人须知前附表另有规定外，响应人所递交的响应文件不予退还。</w:t>
      </w:r>
    </w:p>
    <w:p w14:paraId="0AC00B3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4.2.4 采购人收到响应文件后，向响应人出具签收凭证。</w:t>
      </w:r>
    </w:p>
    <w:p w14:paraId="797B36D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4.2.5 逾期送达的或者未送达指定地点的响应文件，采购人不予受理。</w:t>
      </w:r>
    </w:p>
    <w:p w14:paraId="0665F72C">
      <w:pPr>
        <w:spacing w:line="240" w:lineRule="auto"/>
        <w:rPr>
          <w:rFonts w:hint="eastAsia" w:ascii="宋体" w:hAnsi="宋体"/>
          <w:b/>
          <w:color w:val="auto"/>
          <w:highlight w:val="none"/>
        </w:rPr>
      </w:pPr>
      <w:bookmarkStart w:id="210" w:name="_Toc179632576"/>
      <w:bookmarkStart w:id="211" w:name="_Toc152042334"/>
      <w:bookmarkStart w:id="212" w:name="_Toc246996945"/>
      <w:bookmarkStart w:id="213" w:name="_Toc246996202"/>
      <w:bookmarkStart w:id="214" w:name="_Toc152045558"/>
      <w:bookmarkStart w:id="215" w:name="_Toc144974526"/>
      <w:bookmarkStart w:id="216" w:name="_Toc247085716"/>
      <w:r>
        <w:rPr>
          <w:rFonts w:hint="eastAsia" w:ascii="宋体" w:hAnsi="宋体"/>
          <w:b/>
          <w:color w:val="auto"/>
          <w:highlight w:val="none"/>
        </w:rPr>
        <w:t>4.3 响应文件的修改与撤回</w:t>
      </w:r>
      <w:bookmarkEnd w:id="210"/>
      <w:bookmarkEnd w:id="211"/>
      <w:bookmarkEnd w:id="212"/>
      <w:bookmarkEnd w:id="213"/>
      <w:bookmarkEnd w:id="214"/>
      <w:bookmarkEnd w:id="215"/>
      <w:bookmarkEnd w:id="216"/>
    </w:p>
    <w:p w14:paraId="795CB028">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4.3.1 在本章第2.2.2项规定的磋商截止时间前，响应人可以修改或撤回已递交的响应文件，但应以书面形式通知采购人。</w:t>
      </w:r>
    </w:p>
    <w:p w14:paraId="22432066">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4.3.2 响应人修改或撤回已递交响应文件的书面通知应按照本章第3.6.3项的要求签字或盖章。采购人收到书面通知后，向响应人出具签收凭证。</w:t>
      </w:r>
    </w:p>
    <w:p w14:paraId="5FA4196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4.3.3 响应人撤回响应文件的，采购人自收到响应人书面撤回通知之日起5日内退还已收取的磋商保证金。</w:t>
      </w:r>
    </w:p>
    <w:p w14:paraId="52C1347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4.3.4 修改的内容为响应文件的组成部分。修改的响应文件应按照本章第3条、第4条规定进行编制、密封、标记和递交，并标明“修改”字样。</w:t>
      </w:r>
    </w:p>
    <w:p w14:paraId="1E2D16C2">
      <w:pPr>
        <w:spacing w:line="240" w:lineRule="auto"/>
        <w:rPr>
          <w:rFonts w:hint="eastAsia" w:ascii="宋体" w:hAnsi="宋体" w:eastAsia="宋体" w:cs="Times New Roman"/>
          <w:b/>
          <w:color w:val="auto"/>
          <w:highlight w:val="none"/>
        </w:rPr>
      </w:pPr>
      <w:bookmarkStart w:id="217" w:name="_Toc179632577"/>
      <w:bookmarkStart w:id="218" w:name="_Toc144974527"/>
      <w:bookmarkStart w:id="219" w:name="_Toc409424317"/>
      <w:bookmarkStart w:id="220" w:name="_Toc152045559"/>
      <w:bookmarkStart w:id="221" w:name="_Toc409424378"/>
      <w:bookmarkStart w:id="222" w:name="_Toc246996946"/>
      <w:bookmarkStart w:id="223" w:name="_Toc247085717"/>
      <w:bookmarkStart w:id="224" w:name="_Toc450588611"/>
      <w:bookmarkStart w:id="225" w:name="_Toc152042335"/>
      <w:bookmarkStart w:id="226" w:name="_Toc246996203"/>
      <w:r>
        <w:rPr>
          <w:rFonts w:hint="eastAsia" w:ascii="宋体" w:hAnsi="宋体" w:eastAsia="宋体" w:cs="Times New Roman"/>
          <w:b/>
          <w:color w:val="auto"/>
          <w:highlight w:val="none"/>
        </w:rPr>
        <w:t>5. 磋商</w:t>
      </w:r>
      <w:bookmarkEnd w:id="217"/>
      <w:bookmarkEnd w:id="218"/>
      <w:bookmarkEnd w:id="219"/>
      <w:bookmarkEnd w:id="220"/>
      <w:bookmarkEnd w:id="221"/>
      <w:bookmarkEnd w:id="222"/>
      <w:bookmarkEnd w:id="223"/>
      <w:bookmarkEnd w:id="224"/>
      <w:bookmarkEnd w:id="225"/>
      <w:bookmarkEnd w:id="226"/>
    </w:p>
    <w:p w14:paraId="6BC0A8F9">
      <w:pPr>
        <w:spacing w:line="240" w:lineRule="auto"/>
        <w:rPr>
          <w:rFonts w:hint="eastAsia" w:ascii="宋体" w:hAnsi="宋体"/>
          <w:b/>
          <w:color w:val="auto"/>
          <w:highlight w:val="none"/>
        </w:rPr>
      </w:pPr>
      <w:bookmarkStart w:id="227" w:name="_Toc246996947"/>
      <w:bookmarkStart w:id="228" w:name="_Toc246996204"/>
      <w:bookmarkStart w:id="229" w:name="_Toc152042336"/>
      <w:bookmarkStart w:id="230" w:name="_Toc144974528"/>
      <w:bookmarkStart w:id="231" w:name="_Toc152045560"/>
      <w:bookmarkStart w:id="232" w:name="_Toc179632578"/>
      <w:bookmarkStart w:id="233" w:name="_Toc247085718"/>
      <w:r>
        <w:rPr>
          <w:rFonts w:hint="eastAsia" w:ascii="宋体" w:hAnsi="宋体"/>
          <w:b/>
          <w:color w:val="auto"/>
          <w:highlight w:val="none"/>
        </w:rPr>
        <w:t>5.1 磋商时间和地点</w:t>
      </w:r>
      <w:bookmarkEnd w:id="227"/>
      <w:bookmarkEnd w:id="228"/>
      <w:bookmarkEnd w:id="229"/>
      <w:bookmarkEnd w:id="230"/>
      <w:bookmarkEnd w:id="231"/>
      <w:bookmarkEnd w:id="232"/>
      <w:bookmarkEnd w:id="233"/>
    </w:p>
    <w:p w14:paraId="5A37237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采购人在本章第2.2.2项规定的磋商截止时间（磋商时间）和响应人须知前附表规定的地点公开磋商，并邀请所有响应人的法定代表人或其委托代理人准时参加。</w:t>
      </w:r>
    </w:p>
    <w:p w14:paraId="53FCB9B0">
      <w:pPr>
        <w:spacing w:line="240" w:lineRule="auto"/>
        <w:rPr>
          <w:rFonts w:hint="eastAsia" w:ascii="宋体" w:hAnsi="宋体"/>
          <w:b/>
          <w:color w:val="auto"/>
          <w:highlight w:val="none"/>
        </w:rPr>
      </w:pPr>
      <w:bookmarkStart w:id="234" w:name="_Toc246996948"/>
      <w:bookmarkStart w:id="235" w:name="_Toc179632579"/>
      <w:bookmarkStart w:id="236" w:name="_Toc144974529"/>
      <w:bookmarkStart w:id="237" w:name="_Toc152042337"/>
      <w:bookmarkStart w:id="238" w:name="_Toc247085719"/>
      <w:bookmarkStart w:id="239" w:name="_Toc246996205"/>
      <w:bookmarkStart w:id="240" w:name="_Toc152045561"/>
      <w:r>
        <w:rPr>
          <w:rFonts w:hint="eastAsia" w:ascii="宋体" w:hAnsi="宋体"/>
          <w:b/>
          <w:color w:val="auto"/>
          <w:highlight w:val="none"/>
        </w:rPr>
        <w:t>5.2 磋商程序</w:t>
      </w:r>
      <w:bookmarkEnd w:id="234"/>
      <w:bookmarkEnd w:id="235"/>
      <w:bookmarkEnd w:id="236"/>
      <w:bookmarkEnd w:id="237"/>
      <w:bookmarkEnd w:id="238"/>
      <w:bookmarkEnd w:id="239"/>
      <w:bookmarkEnd w:id="240"/>
    </w:p>
    <w:p w14:paraId="3D83404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主持人按下列程序进行磋商：</w:t>
      </w:r>
    </w:p>
    <w:p w14:paraId="76F8EBF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（1）宣布磋商纪律；</w:t>
      </w:r>
    </w:p>
    <w:p w14:paraId="1AEE8C1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（2）公布在磋商截止时间前递交响应文件的响应人名称，并点名确认响应人是否派人到场；</w:t>
      </w:r>
    </w:p>
    <w:p w14:paraId="03792B7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（3）宣布采购人、唱价人、记录人、监督人等有关人员姓名；</w:t>
      </w:r>
    </w:p>
    <w:p w14:paraId="3430433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（4）按照响应人须知前附表规定检查响应文件的密封情况；</w:t>
      </w:r>
    </w:p>
    <w:p w14:paraId="5668A0F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（5）按照响应人须知前附表的规定确定并宣布响应文件磋商顺序；</w:t>
      </w:r>
    </w:p>
    <w:p w14:paraId="1632224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（6）按照宣布的磋商顺序当众磋商，公布响应人名称、磋商保证金的递交情况、磋商报价、质量标准、服务期及其他内容，并记录在案；</w:t>
      </w:r>
    </w:p>
    <w:p w14:paraId="23AE3B6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（7）规定采购预算的，公布采购预算；</w:t>
      </w:r>
    </w:p>
    <w:p w14:paraId="10FA956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（8）响应人代表、采购人代表、监督人、记录人等有关人员在磋商记录上签字确认；</w:t>
      </w:r>
    </w:p>
    <w:p w14:paraId="5030D16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（9）响应人若有异议应当当场提出；</w:t>
      </w:r>
    </w:p>
    <w:p w14:paraId="6CF8572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（10）磋商结束。</w:t>
      </w:r>
    </w:p>
    <w:p w14:paraId="702BD999">
      <w:pPr>
        <w:spacing w:line="240" w:lineRule="auto"/>
        <w:rPr>
          <w:rFonts w:hint="eastAsia" w:ascii="宋体" w:hAnsi="宋体" w:eastAsia="宋体" w:cs="Times New Roman"/>
          <w:b/>
          <w:color w:val="auto"/>
          <w:highlight w:val="none"/>
        </w:rPr>
      </w:pPr>
      <w:bookmarkStart w:id="241" w:name="_Toc179632580"/>
      <w:bookmarkStart w:id="242" w:name="_Toc246996206"/>
      <w:bookmarkStart w:id="243" w:name="_Toc246996949"/>
      <w:bookmarkStart w:id="244" w:name="_Toc144974530"/>
      <w:bookmarkStart w:id="245" w:name="_Toc152045562"/>
      <w:bookmarkStart w:id="246" w:name="_Toc247085720"/>
      <w:bookmarkStart w:id="247" w:name="_Toc409424379"/>
      <w:bookmarkStart w:id="248" w:name="_Toc409424318"/>
      <w:bookmarkStart w:id="249" w:name="_Toc450588612"/>
      <w:bookmarkStart w:id="250" w:name="_Toc152042338"/>
      <w:r>
        <w:rPr>
          <w:rFonts w:hint="eastAsia" w:ascii="宋体" w:hAnsi="宋体" w:eastAsia="宋体" w:cs="Times New Roman"/>
          <w:b/>
          <w:color w:val="auto"/>
          <w:highlight w:val="none"/>
        </w:rPr>
        <w:t>6. 磋商</w:t>
      </w:r>
      <w:bookmarkEnd w:id="241"/>
      <w:bookmarkEnd w:id="242"/>
      <w:bookmarkEnd w:id="243"/>
      <w:bookmarkEnd w:id="244"/>
      <w:bookmarkEnd w:id="245"/>
      <w:bookmarkEnd w:id="246"/>
      <w:bookmarkEnd w:id="247"/>
      <w:bookmarkEnd w:id="248"/>
      <w:bookmarkEnd w:id="249"/>
      <w:bookmarkEnd w:id="250"/>
    </w:p>
    <w:p w14:paraId="2BD29D59">
      <w:pPr>
        <w:spacing w:line="240" w:lineRule="auto"/>
        <w:rPr>
          <w:rFonts w:hint="eastAsia" w:ascii="宋体" w:hAnsi="宋体" w:eastAsia="宋体" w:cs="Times New Roman"/>
          <w:b/>
          <w:color w:val="auto"/>
          <w:highlight w:val="none"/>
          <w:lang w:val="zh-CN" w:eastAsia="zh-CN"/>
        </w:rPr>
      </w:pPr>
      <w:bookmarkStart w:id="251" w:name="_Toc246996950"/>
      <w:bookmarkStart w:id="252" w:name="_Toc247085721"/>
      <w:bookmarkStart w:id="253" w:name="_Toc152045563"/>
      <w:bookmarkStart w:id="254" w:name="_Toc152042339"/>
      <w:bookmarkStart w:id="255" w:name="_Toc144974531"/>
      <w:bookmarkStart w:id="256" w:name="_Toc179632581"/>
      <w:bookmarkStart w:id="257" w:name="_Toc246996207"/>
      <w:r>
        <w:rPr>
          <w:rFonts w:hint="eastAsia" w:ascii="宋体" w:hAnsi="宋体" w:eastAsia="宋体" w:cs="Times New Roman"/>
          <w:b/>
          <w:color w:val="auto"/>
          <w:highlight w:val="none"/>
        </w:rPr>
        <w:t>6.</w:t>
      </w:r>
      <w:r>
        <w:rPr>
          <w:rFonts w:hint="eastAsia" w:ascii="宋体" w:hAnsi="宋体" w:eastAsia="宋体" w:cs="Times New Roman"/>
          <w:b/>
          <w:color w:val="auto"/>
          <w:highlight w:val="none"/>
          <w:lang w:val="zh-CN" w:eastAsia="zh-CN"/>
        </w:rPr>
        <w:t xml:space="preserve">1 </w:t>
      </w:r>
      <w:bookmarkEnd w:id="251"/>
      <w:bookmarkEnd w:id="252"/>
      <w:bookmarkEnd w:id="253"/>
      <w:bookmarkEnd w:id="254"/>
      <w:bookmarkEnd w:id="255"/>
      <w:bookmarkEnd w:id="256"/>
      <w:bookmarkEnd w:id="257"/>
      <w:r>
        <w:rPr>
          <w:rFonts w:hint="eastAsia" w:ascii="宋体" w:hAnsi="宋体" w:eastAsia="宋体" w:cs="Times New Roman"/>
          <w:b/>
          <w:color w:val="auto"/>
          <w:highlight w:val="none"/>
          <w:lang w:val="zh-CN" w:eastAsia="zh-CN"/>
        </w:rPr>
        <w:t>磋商小组</w:t>
      </w:r>
    </w:p>
    <w:p w14:paraId="7222E97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6.1.1 磋商由采购人依法组建的磋商小组负责。磋商小组由采购人熟悉相关业务的代表，以及有关技术、经济等方面的专家组成。磋商小组成员人数以及技术、经济等方面专家的确定方式见响应人须知前附表。</w:t>
      </w:r>
    </w:p>
    <w:p w14:paraId="28FFACA6">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6.1.2 磋商小组成员有下列情形之一的，应当回避：</w:t>
      </w:r>
    </w:p>
    <w:p w14:paraId="3C1265F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（1）响应人或响应人主要负责人的近亲属；</w:t>
      </w:r>
    </w:p>
    <w:p w14:paraId="59E812A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（2）项目主管部门或者行政监督部门的人员；</w:t>
      </w:r>
    </w:p>
    <w:p w14:paraId="112E39B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（3）与响应人有经济利益关系；</w:t>
      </w:r>
    </w:p>
    <w:p w14:paraId="5043D75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（4）曾因在磋商以及其他与磋商有关活动中从事违法行为而受过行政处罚或刑事处罚的；</w:t>
      </w:r>
    </w:p>
    <w:p w14:paraId="7127579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（5）与响应人有其他利害关系。</w:t>
      </w:r>
    </w:p>
    <w:p w14:paraId="0E5ABB8B">
      <w:pPr>
        <w:spacing w:line="240" w:lineRule="auto"/>
        <w:rPr>
          <w:rFonts w:hint="eastAsia" w:ascii="宋体" w:hAnsi="宋体"/>
          <w:b/>
          <w:color w:val="auto"/>
          <w:highlight w:val="none"/>
        </w:rPr>
      </w:pPr>
      <w:bookmarkStart w:id="258" w:name="_Toc246996208"/>
      <w:bookmarkStart w:id="259" w:name="_Toc247085722"/>
      <w:bookmarkStart w:id="260" w:name="_Toc246996951"/>
      <w:bookmarkStart w:id="261" w:name="_Toc152045564"/>
      <w:bookmarkStart w:id="262" w:name="_Toc179632582"/>
      <w:bookmarkStart w:id="263" w:name="_Toc152042340"/>
      <w:bookmarkStart w:id="264" w:name="_Toc144974532"/>
      <w:r>
        <w:rPr>
          <w:rFonts w:hint="eastAsia" w:ascii="宋体" w:hAnsi="宋体"/>
          <w:b/>
          <w:color w:val="auto"/>
          <w:highlight w:val="none"/>
        </w:rPr>
        <w:t>6.2 磋商原则</w:t>
      </w:r>
      <w:bookmarkEnd w:id="258"/>
      <w:bookmarkEnd w:id="259"/>
      <w:bookmarkEnd w:id="260"/>
      <w:bookmarkEnd w:id="261"/>
      <w:bookmarkEnd w:id="262"/>
      <w:bookmarkEnd w:id="263"/>
      <w:bookmarkEnd w:id="264"/>
    </w:p>
    <w:p w14:paraId="1BD0FCBA">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磋商活动遵循公平、公正、科学和择优的原则。竞磋采用二次报价+综合评分法（附后）。专家组仅对确定为实质上响应竞磋要求的竞磋响应文件进行评价和比较。通过竞磋二次报价等进行综合打分，得分最高排名第一的推荐为中标人。综合得分相等时，以最终报价低的优先。对于明显低于市场的报价，应当要求该供应商作出书面说明并提供相应的证明材料。供应商不能合理说明或者不能提供相应证明材料的，竞磋小组专家应当认定该供应商以低于成本报价竞争，报价分得零分。</w:t>
      </w:r>
    </w:p>
    <w:p w14:paraId="6D2B836B">
      <w:pPr>
        <w:spacing w:line="240" w:lineRule="auto"/>
        <w:rPr>
          <w:rFonts w:hint="eastAsia" w:ascii="宋体" w:hAnsi="宋体"/>
          <w:b/>
          <w:color w:val="auto"/>
          <w:highlight w:val="none"/>
        </w:rPr>
      </w:pPr>
      <w:bookmarkStart w:id="265" w:name="_Toc144974533"/>
      <w:bookmarkStart w:id="266" w:name="_Toc152042341"/>
      <w:bookmarkStart w:id="267" w:name="_Toc179632583"/>
      <w:bookmarkStart w:id="268" w:name="_Toc152045565"/>
      <w:bookmarkStart w:id="269" w:name="_Toc246996952"/>
      <w:bookmarkStart w:id="270" w:name="_Toc246996209"/>
      <w:bookmarkStart w:id="271" w:name="_Toc247085723"/>
      <w:r>
        <w:rPr>
          <w:rFonts w:hint="eastAsia" w:ascii="宋体" w:hAnsi="宋体"/>
          <w:b/>
          <w:color w:val="auto"/>
          <w:highlight w:val="none"/>
        </w:rPr>
        <w:t>6.3 磋商</w:t>
      </w:r>
      <w:bookmarkEnd w:id="265"/>
      <w:bookmarkEnd w:id="266"/>
      <w:bookmarkEnd w:id="267"/>
      <w:bookmarkEnd w:id="268"/>
      <w:bookmarkEnd w:id="269"/>
      <w:bookmarkEnd w:id="270"/>
      <w:bookmarkEnd w:id="271"/>
    </w:p>
    <w:p w14:paraId="0866869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磋商小组按照第六章“磋商办法”规定的方法、评审因素、标准和程序对响应文件进行评审。</w:t>
      </w:r>
    </w:p>
    <w:p w14:paraId="1162A223">
      <w:pPr>
        <w:spacing w:line="240" w:lineRule="auto"/>
        <w:rPr>
          <w:rFonts w:hint="eastAsia" w:ascii="宋体" w:hAnsi="宋体" w:eastAsia="宋体" w:cs="Times New Roman"/>
          <w:b/>
          <w:color w:val="auto"/>
          <w:highlight w:val="none"/>
        </w:rPr>
      </w:pPr>
      <w:bookmarkStart w:id="272" w:name="_Toc409424319"/>
      <w:bookmarkStart w:id="273" w:name="_Toc409424380"/>
      <w:bookmarkStart w:id="274" w:name="_Toc152042342"/>
      <w:bookmarkStart w:id="275" w:name="_Toc246996210"/>
      <w:bookmarkStart w:id="276" w:name="_Toc179632584"/>
      <w:bookmarkStart w:id="277" w:name="_Toc247085724"/>
      <w:bookmarkStart w:id="278" w:name="_Toc152045566"/>
      <w:bookmarkStart w:id="279" w:name="_Toc450588613"/>
      <w:bookmarkStart w:id="280" w:name="_Toc246996953"/>
      <w:bookmarkStart w:id="281" w:name="_Toc144974534"/>
      <w:r>
        <w:rPr>
          <w:rFonts w:hint="eastAsia" w:ascii="宋体" w:hAnsi="宋体" w:eastAsia="宋体" w:cs="Times New Roman"/>
          <w:b/>
          <w:color w:val="auto"/>
          <w:highlight w:val="none"/>
        </w:rPr>
        <w:t>7. 合同授予</w:t>
      </w:r>
      <w:bookmarkEnd w:id="272"/>
      <w:bookmarkEnd w:id="273"/>
      <w:bookmarkEnd w:id="274"/>
      <w:bookmarkEnd w:id="275"/>
      <w:bookmarkEnd w:id="276"/>
      <w:bookmarkEnd w:id="277"/>
      <w:bookmarkEnd w:id="278"/>
      <w:bookmarkEnd w:id="279"/>
      <w:bookmarkEnd w:id="280"/>
      <w:bookmarkEnd w:id="281"/>
    </w:p>
    <w:p w14:paraId="3CDF074D">
      <w:pPr>
        <w:spacing w:line="240" w:lineRule="auto"/>
        <w:rPr>
          <w:rFonts w:hint="eastAsia" w:ascii="宋体" w:hAnsi="宋体"/>
          <w:b/>
          <w:color w:val="auto"/>
          <w:highlight w:val="none"/>
        </w:rPr>
      </w:pPr>
      <w:bookmarkStart w:id="282" w:name="_Toc247085725"/>
      <w:bookmarkStart w:id="283" w:name="_Toc246996211"/>
      <w:bookmarkStart w:id="284" w:name="_Toc179632585"/>
      <w:bookmarkStart w:id="285" w:name="_Toc152042343"/>
      <w:bookmarkStart w:id="286" w:name="_Toc246996954"/>
      <w:bookmarkStart w:id="287" w:name="_Toc144974535"/>
      <w:bookmarkStart w:id="288" w:name="_Toc152045567"/>
      <w:r>
        <w:rPr>
          <w:rFonts w:hint="eastAsia" w:ascii="宋体" w:hAnsi="宋体"/>
          <w:b/>
          <w:color w:val="auto"/>
          <w:highlight w:val="none"/>
        </w:rPr>
        <w:t>7.1 确定成交响应人方式</w:t>
      </w:r>
      <w:bookmarkEnd w:id="282"/>
      <w:bookmarkEnd w:id="283"/>
      <w:bookmarkEnd w:id="284"/>
      <w:bookmarkEnd w:id="285"/>
      <w:bookmarkEnd w:id="286"/>
      <w:bookmarkEnd w:id="287"/>
      <w:bookmarkEnd w:id="288"/>
    </w:p>
    <w:p w14:paraId="53C84EB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磋商小组直接确定成交响应人</w:t>
      </w:r>
    </w:p>
    <w:p w14:paraId="19D8C6A8">
      <w:pPr>
        <w:spacing w:line="240" w:lineRule="auto"/>
        <w:rPr>
          <w:rFonts w:hint="eastAsia" w:ascii="宋体" w:hAnsi="宋体"/>
          <w:b/>
          <w:color w:val="auto"/>
          <w:highlight w:val="none"/>
        </w:rPr>
      </w:pPr>
      <w:r>
        <w:rPr>
          <w:rFonts w:hint="eastAsia" w:ascii="宋体" w:hAnsi="宋体"/>
          <w:b/>
          <w:color w:val="auto"/>
          <w:highlight w:val="none"/>
        </w:rPr>
        <w:t>7.2 成交结果公告</w:t>
      </w:r>
    </w:p>
    <w:p w14:paraId="0824357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详见响应人须知前附表。</w:t>
      </w:r>
    </w:p>
    <w:p w14:paraId="2CB022E1">
      <w:pPr>
        <w:spacing w:line="240" w:lineRule="auto"/>
        <w:rPr>
          <w:rFonts w:hint="eastAsia" w:ascii="宋体" w:hAnsi="宋体"/>
          <w:b/>
          <w:color w:val="auto"/>
          <w:highlight w:val="none"/>
        </w:rPr>
      </w:pPr>
      <w:bookmarkStart w:id="289" w:name="_Toc247085726"/>
      <w:bookmarkStart w:id="290" w:name="_Toc179632586"/>
      <w:bookmarkStart w:id="291" w:name="_Toc144974536"/>
      <w:bookmarkStart w:id="292" w:name="_Toc152045568"/>
      <w:bookmarkStart w:id="293" w:name="_Toc152042344"/>
      <w:bookmarkStart w:id="294" w:name="_Toc246996955"/>
      <w:bookmarkStart w:id="295" w:name="_Toc246996212"/>
      <w:r>
        <w:rPr>
          <w:rFonts w:hint="eastAsia" w:ascii="宋体" w:hAnsi="宋体"/>
          <w:b/>
          <w:color w:val="auto"/>
          <w:highlight w:val="none"/>
        </w:rPr>
        <w:t>7.3 成交通知</w:t>
      </w:r>
      <w:bookmarkEnd w:id="289"/>
      <w:bookmarkEnd w:id="290"/>
      <w:bookmarkEnd w:id="291"/>
      <w:bookmarkEnd w:id="292"/>
      <w:bookmarkEnd w:id="293"/>
      <w:bookmarkEnd w:id="294"/>
      <w:bookmarkEnd w:id="295"/>
    </w:p>
    <w:p w14:paraId="32C53F4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在本章第3.3款规定的磋商有效期内，采购人以书面形式向成交响应人发出成交通知书，同时将成交结果通知未成交的响应人。</w:t>
      </w:r>
    </w:p>
    <w:p w14:paraId="6CEEEAE4">
      <w:pPr>
        <w:spacing w:line="240" w:lineRule="auto"/>
        <w:rPr>
          <w:rFonts w:hint="eastAsia" w:ascii="宋体" w:hAnsi="宋体"/>
          <w:b/>
          <w:color w:val="auto"/>
          <w:highlight w:val="none"/>
        </w:rPr>
      </w:pPr>
      <w:bookmarkStart w:id="296" w:name="_Toc246996957"/>
      <w:bookmarkStart w:id="297" w:name="_Toc246996214"/>
      <w:bookmarkStart w:id="298" w:name="_Toc247085728"/>
      <w:bookmarkStart w:id="299" w:name="_Toc152042346"/>
      <w:bookmarkStart w:id="300" w:name="_Toc144974538"/>
      <w:bookmarkStart w:id="301" w:name="_Toc179632588"/>
      <w:bookmarkStart w:id="302" w:name="_Toc152045570"/>
      <w:r>
        <w:rPr>
          <w:rFonts w:hint="eastAsia" w:ascii="宋体" w:hAnsi="宋体"/>
          <w:b/>
          <w:color w:val="auto"/>
          <w:highlight w:val="none"/>
        </w:rPr>
        <w:t>7.4 签订合同</w:t>
      </w:r>
      <w:bookmarkEnd w:id="296"/>
      <w:bookmarkEnd w:id="297"/>
      <w:bookmarkEnd w:id="298"/>
      <w:bookmarkEnd w:id="299"/>
      <w:bookmarkEnd w:id="300"/>
      <w:bookmarkEnd w:id="301"/>
      <w:bookmarkEnd w:id="302"/>
    </w:p>
    <w:p w14:paraId="15EA512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7.4.1采购人和成交响应人应当自成交通知书发出之日起30天内，根据磋商文件和成交响应人的响应文件订立书面合同。成交响应人无正当理由拒签合同的，采购人取消其成交资格，其磋商保证金不予退还；给采购人造成的损失超过磋商保证金数额的，成交响应人还应当对超过部分予以赔偿。</w:t>
      </w:r>
    </w:p>
    <w:p w14:paraId="1D02142A">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7.4.2 发出成交通知书后，采购人无正当理由拒签合同的，采购人向成交响应人退还磋商保证金；给成交响应人造成损失的，还应当赔偿损失。</w:t>
      </w:r>
    </w:p>
    <w:p w14:paraId="15A31272">
      <w:pPr>
        <w:spacing w:line="240" w:lineRule="auto"/>
        <w:rPr>
          <w:rFonts w:hint="eastAsia" w:ascii="宋体" w:hAnsi="宋体" w:eastAsia="宋体" w:cs="Times New Roman"/>
          <w:b/>
          <w:color w:val="auto"/>
          <w:highlight w:val="none"/>
        </w:rPr>
      </w:pPr>
      <w:bookmarkStart w:id="303" w:name="_Toc409424381"/>
      <w:bookmarkStart w:id="304" w:name="_Toc450588615"/>
      <w:bookmarkStart w:id="305" w:name="_Toc409424320"/>
      <w:r>
        <w:rPr>
          <w:rFonts w:hint="eastAsia" w:ascii="宋体" w:hAnsi="宋体" w:eastAsia="宋体" w:cs="Times New Roman"/>
          <w:b/>
          <w:color w:val="auto"/>
          <w:highlight w:val="none"/>
        </w:rPr>
        <w:t>8. 纪律和监督</w:t>
      </w:r>
      <w:bookmarkEnd w:id="303"/>
      <w:bookmarkEnd w:id="304"/>
      <w:bookmarkEnd w:id="305"/>
    </w:p>
    <w:p w14:paraId="50EAE281">
      <w:pPr>
        <w:spacing w:line="240" w:lineRule="auto"/>
        <w:rPr>
          <w:rFonts w:hint="eastAsia" w:ascii="宋体" w:hAnsi="宋体"/>
          <w:b/>
          <w:color w:val="auto"/>
          <w:highlight w:val="none"/>
        </w:rPr>
      </w:pPr>
      <w:bookmarkStart w:id="306" w:name="_Toc247085733"/>
      <w:bookmarkStart w:id="307" w:name="_Toc246996962"/>
      <w:bookmarkStart w:id="308" w:name="_Toc179632593"/>
      <w:bookmarkStart w:id="309" w:name="_Toc152045575"/>
      <w:bookmarkStart w:id="310" w:name="_Toc144974543"/>
      <w:bookmarkStart w:id="311" w:name="_Toc246996219"/>
      <w:bookmarkStart w:id="312" w:name="_Toc296590983"/>
      <w:bookmarkStart w:id="313" w:name="_Toc152042351"/>
      <w:r>
        <w:rPr>
          <w:rFonts w:hint="eastAsia" w:ascii="宋体" w:hAnsi="宋体"/>
          <w:b/>
          <w:color w:val="auto"/>
          <w:highlight w:val="none"/>
        </w:rPr>
        <w:t>8.1 对采购人的纪律要求</w:t>
      </w:r>
      <w:bookmarkEnd w:id="306"/>
      <w:bookmarkEnd w:id="307"/>
      <w:bookmarkEnd w:id="308"/>
      <w:bookmarkEnd w:id="309"/>
      <w:bookmarkEnd w:id="310"/>
      <w:bookmarkEnd w:id="311"/>
      <w:bookmarkEnd w:id="312"/>
      <w:bookmarkEnd w:id="313"/>
    </w:p>
    <w:p w14:paraId="5498F78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采购人不得泄漏磋商活动中应当保密的情况和资料，不得与响应人串通损害国家利益、社会公共利益或者他人合法权益。</w:t>
      </w:r>
    </w:p>
    <w:p w14:paraId="0AB2EDCE">
      <w:pPr>
        <w:spacing w:line="240" w:lineRule="auto"/>
        <w:rPr>
          <w:rFonts w:hint="eastAsia" w:ascii="宋体" w:hAnsi="宋体"/>
          <w:b/>
          <w:color w:val="auto"/>
          <w:highlight w:val="none"/>
        </w:rPr>
      </w:pPr>
      <w:bookmarkStart w:id="314" w:name="_Toc152045576"/>
      <w:bookmarkStart w:id="315" w:name="_Toc179632594"/>
      <w:bookmarkStart w:id="316" w:name="_Toc247085734"/>
      <w:bookmarkStart w:id="317" w:name="_Toc144974544"/>
      <w:bookmarkStart w:id="318" w:name="_Toc152042352"/>
      <w:bookmarkStart w:id="319" w:name="_Toc246996220"/>
      <w:bookmarkStart w:id="320" w:name="_Toc246996963"/>
      <w:r>
        <w:rPr>
          <w:rFonts w:hint="eastAsia" w:ascii="宋体" w:hAnsi="宋体"/>
          <w:b/>
          <w:color w:val="auto"/>
          <w:highlight w:val="none"/>
        </w:rPr>
        <w:t>8.2 对响应人的纪律要求</w:t>
      </w:r>
      <w:bookmarkEnd w:id="314"/>
      <w:bookmarkEnd w:id="315"/>
      <w:bookmarkEnd w:id="316"/>
      <w:bookmarkEnd w:id="317"/>
      <w:bookmarkEnd w:id="318"/>
      <w:bookmarkEnd w:id="319"/>
      <w:bookmarkEnd w:id="320"/>
    </w:p>
    <w:p w14:paraId="74706FD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响应人不得相互串通磋商或者与采购人串通磋商，不得向采购人或者磋商小组成员行贿谋取成交，不得以他人名义磋商或者以其他方式弄虚作假骗取成交；响应人不得以任何方式干扰、影响磋商工作。</w:t>
      </w:r>
    </w:p>
    <w:p w14:paraId="451E97F3">
      <w:pPr>
        <w:spacing w:line="240" w:lineRule="auto"/>
        <w:rPr>
          <w:rFonts w:hint="eastAsia" w:ascii="宋体" w:hAnsi="宋体"/>
          <w:b/>
          <w:color w:val="auto"/>
          <w:highlight w:val="none"/>
        </w:rPr>
      </w:pPr>
      <w:bookmarkStart w:id="321" w:name="_Toc246996964"/>
      <w:bookmarkStart w:id="322" w:name="_Toc144974545"/>
      <w:bookmarkStart w:id="323" w:name="_Toc246996221"/>
      <w:bookmarkStart w:id="324" w:name="_Toc179632595"/>
      <w:bookmarkStart w:id="325" w:name="_Toc152042353"/>
      <w:bookmarkStart w:id="326" w:name="_Toc247085735"/>
      <w:bookmarkStart w:id="327" w:name="_Toc152045577"/>
      <w:r>
        <w:rPr>
          <w:rFonts w:hint="eastAsia" w:ascii="宋体" w:hAnsi="宋体"/>
          <w:b/>
          <w:color w:val="auto"/>
          <w:highlight w:val="none"/>
        </w:rPr>
        <w:t>8.3 对磋商小组成员的纪律要求</w:t>
      </w:r>
      <w:bookmarkEnd w:id="321"/>
      <w:bookmarkEnd w:id="322"/>
      <w:bookmarkEnd w:id="323"/>
      <w:bookmarkEnd w:id="324"/>
      <w:bookmarkEnd w:id="325"/>
      <w:bookmarkEnd w:id="326"/>
      <w:bookmarkEnd w:id="327"/>
    </w:p>
    <w:p w14:paraId="30EAD41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磋商小组成员不得收受他人的财物或者其他好处，不得向他人透漏对响应文件的评审和比较、成交候选人的推荐情况以及磋商有关的其他情况。在磋商活动中，磋商小组成员应当客观、公正地履行职责，遵守职业道德，不得擅离职守，影响磋商程序正常进行，不得使用第六章“磋商办法”没有规定的评审因素和标准进行磋商。</w:t>
      </w:r>
    </w:p>
    <w:p w14:paraId="6965B2E7">
      <w:pPr>
        <w:spacing w:line="240" w:lineRule="auto"/>
        <w:rPr>
          <w:rFonts w:hint="eastAsia" w:ascii="宋体" w:hAnsi="宋体"/>
          <w:b/>
          <w:color w:val="auto"/>
          <w:highlight w:val="none"/>
        </w:rPr>
      </w:pPr>
      <w:bookmarkStart w:id="328" w:name="_Toc246996965"/>
      <w:bookmarkStart w:id="329" w:name="_Toc247085736"/>
      <w:bookmarkStart w:id="330" w:name="_Toc246996222"/>
      <w:bookmarkStart w:id="331" w:name="_Toc152045578"/>
      <w:bookmarkStart w:id="332" w:name="_Toc179632596"/>
      <w:bookmarkStart w:id="333" w:name="_Toc152042354"/>
      <w:bookmarkStart w:id="334" w:name="_Toc144974546"/>
      <w:r>
        <w:rPr>
          <w:rFonts w:hint="eastAsia" w:ascii="宋体" w:hAnsi="宋体"/>
          <w:b/>
          <w:color w:val="auto"/>
          <w:highlight w:val="none"/>
        </w:rPr>
        <w:t>8.4 对与磋商活动有关的工作人员的纪律要求</w:t>
      </w:r>
      <w:bookmarkEnd w:id="328"/>
      <w:bookmarkEnd w:id="329"/>
      <w:bookmarkEnd w:id="330"/>
      <w:bookmarkEnd w:id="331"/>
      <w:bookmarkEnd w:id="332"/>
      <w:bookmarkEnd w:id="333"/>
    </w:p>
    <w:p w14:paraId="4644D14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bookmarkStart w:id="335" w:name="_Toc152042355"/>
      <w:r>
        <w:rPr>
          <w:rFonts w:hint="eastAsia" w:ascii="宋体" w:hAnsi="宋体" w:eastAsia="宋体" w:cs="Times New Roman"/>
          <w:bCs/>
          <w:snapToGrid w:val="0"/>
          <w:color w:val="auto"/>
          <w:szCs w:val="21"/>
          <w:highlight w:val="none"/>
          <w:lang w:val="zh-CN" w:eastAsia="zh-CN"/>
        </w:rPr>
        <w:t>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35"/>
    </w:p>
    <w:bookmarkEnd w:id="334"/>
    <w:p w14:paraId="03664BCF">
      <w:pPr>
        <w:spacing w:line="240" w:lineRule="auto"/>
        <w:rPr>
          <w:rFonts w:hint="eastAsia" w:ascii="宋体" w:hAnsi="宋体" w:eastAsia="宋体" w:cs="Times New Roman"/>
          <w:b/>
          <w:color w:val="auto"/>
          <w:highlight w:val="none"/>
        </w:rPr>
      </w:pPr>
      <w:bookmarkStart w:id="336" w:name="_Toc152042357"/>
      <w:bookmarkStart w:id="337" w:name="_Toc246996224"/>
      <w:bookmarkStart w:id="338" w:name="_Toc409424321"/>
      <w:bookmarkStart w:id="339" w:name="_Toc152045580"/>
      <w:bookmarkStart w:id="340" w:name="_Toc179632598"/>
      <w:bookmarkStart w:id="341" w:name="_Toc450588616"/>
      <w:bookmarkStart w:id="342" w:name="_Toc247085738"/>
      <w:bookmarkStart w:id="343" w:name="_Toc144974547"/>
      <w:bookmarkStart w:id="344" w:name="_Toc246996967"/>
      <w:bookmarkStart w:id="345" w:name="_Toc409424382"/>
      <w:r>
        <w:rPr>
          <w:rFonts w:hint="eastAsia" w:ascii="宋体" w:hAnsi="宋体" w:eastAsia="宋体" w:cs="Times New Roman"/>
          <w:b/>
          <w:color w:val="auto"/>
          <w:highlight w:val="none"/>
        </w:rPr>
        <w:t>9. 需要补充的其他内容</w:t>
      </w:r>
      <w:bookmarkEnd w:id="336"/>
      <w:bookmarkEnd w:id="337"/>
      <w:bookmarkEnd w:id="338"/>
      <w:bookmarkEnd w:id="339"/>
      <w:bookmarkEnd w:id="340"/>
      <w:bookmarkEnd w:id="341"/>
      <w:bookmarkEnd w:id="342"/>
      <w:bookmarkEnd w:id="343"/>
      <w:bookmarkEnd w:id="344"/>
      <w:bookmarkEnd w:id="345"/>
    </w:p>
    <w:p w14:paraId="55334E5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9.1自购买磋商文件之日起，响应人应保证其提供的联系方式（电话、传真、电子邮件）一直有效，以保证往来函件（磋商文件的澄清、修改等）能及时通知响应人、并能及时反馈信息，否则采购人不承担由此引起的一切后果。</w:t>
      </w:r>
    </w:p>
    <w:p w14:paraId="52818F2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9.2响应人应仔细阅读和检查磋商文件的全部内容。如发现缺页或附件不全，应于磋商文件发出之日起2日内向采购人提出，以便补齐。</w:t>
      </w:r>
    </w:p>
    <w:p w14:paraId="0D687AB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9.3采购人不统一组织现场考察且不召开磋商前答疑会。响应人可自行现场考察,但考察过程中所发生的人员伤亡和财产损失及一切费用,由响应人自行承担。响应人根据现场考察作出的判断和决策，可以在磋商时自行考虑，但采购人不负任何责任。</w:t>
      </w:r>
    </w:p>
    <w:p w14:paraId="56259DB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9.4响应人认为本磋商文件含有标明特定的生产供应者、含有倾向性或排斥潜在响应人的条款而使自己的权益受到损害的，应当于知道或应当知道之日起7个工作日内，以书面形式向采购代理机构提出质疑。采购代理机构在收到响应人书面质疑后7个工作日内做出答复，并以书面形式通知质疑响应人和其他相关响应人。因处理响应人质疑需要延长磋商截止时间的，在响应人须知前附表所列网站上公告，并以书面形式通知所有获取磋商文件的响应人。</w:t>
      </w:r>
    </w:p>
    <w:p w14:paraId="69E3D17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9.5 本项目不允许分包或转包。</w:t>
      </w:r>
    </w:p>
    <w:p w14:paraId="313A7AD0">
      <w:pPr>
        <w:spacing w:line="240" w:lineRule="auto"/>
        <w:rPr>
          <w:rFonts w:hint="eastAsia" w:ascii="宋体" w:hAnsi="宋体" w:eastAsia="宋体" w:cs="Times New Roman"/>
          <w:b/>
          <w:color w:val="auto"/>
          <w:highlight w:val="none"/>
        </w:rPr>
      </w:pPr>
      <w:r>
        <w:rPr>
          <w:rFonts w:hint="eastAsia" w:ascii="宋体" w:hAnsi="宋体" w:eastAsia="宋体" w:cs="Times New Roman"/>
          <w:b/>
          <w:color w:val="auto"/>
          <w:highlight w:val="none"/>
        </w:rPr>
        <w:t>10. 需要补充的其他内容</w:t>
      </w:r>
    </w:p>
    <w:p w14:paraId="393BBC7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需要补充的其他内容：见供应商须知前附表。</w:t>
      </w:r>
    </w:p>
    <w:p w14:paraId="157C949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sectPr>
          <w:pgSz w:w="11906" w:h="16838"/>
          <w:pgMar w:top="1134" w:right="1570" w:bottom="850" w:left="1400" w:header="851" w:footer="992" w:gutter="0"/>
          <w:pgNumType w:fmt="decimal"/>
          <w:cols w:space="720" w:num="1"/>
          <w:docGrid w:linePitch="312" w:charSpace="0"/>
        </w:sectPr>
      </w:pPr>
    </w:p>
    <w:p w14:paraId="7DF7E607">
      <w:pPr>
        <w:pStyle w:val="4"/>
        <w:spacing w:line="240" w:lineRule="auto"/>
        <w:ind w:left="210" w:right="210"/>
        <w:rPr>
          <w:rFonts w:ascii="宋体" w:hAnsi="宋体"/>
          <w:color w:val="auto"/>
          <w:highlight w:val="none"/>
        </w:rPr>
      </w:pPr>
      <w:bookmarkStart w:id="346" w:name="_Toc247085740"/>
      <w:bookmarkStart w:id="347" w:name="_Toc246996968"/>
      <w:bookmarkStart w:id="348" w:name="_Toc409424324"/>
      <w:bookmarkStart w:id="349" w:name="_Toc409424385"/>
      <w:bookmarkStart w:id="350" w:name="_Toc152042359"/>
      <w:bookmarkStart w:id="351" w:name="_Toc246996225"/>
      <w:bookmarkStart w:id="352" w:name="_Toc4769"/>
      <w:bookmarkStart w:id="353" w:name="_Toc152045582"/>
      <w:bookmarkStart w:id="354" w:name="_Toc450588618"/>
      <w:bookmarkStart w:id="355" w:name="_Toc179632600"/>
      <w:bookmarkStart w:id="356" w:name="_Toc144974549"/>
      <w:r>
        <w:rPr>
          <w:rFonts w:ascii="宋体" w:hAnsi="宋体"/>
          <w:color w:val="auto"/>
          <w:highlight w:val="none"/>
        </w:rPr>
        <w:t>附</w:t>
      </w:r>
      <w:r>
        <w:rPr>
          <w:rFonts w:hint="eastAsia" w:ascii="宋体" w:hAnsi="宋体"/>
          <w:color w:val="auto"/>
          <w:highlight w:val="none"/>
        </w:rPr>
        <w:t>件一</w:t>
      </w:r>
      <w:r>
        <w:rPr>
          <w:rFonts w:ascii="宋体" w:hAnsi="宋体"/>
          <w:color w:val="auto"/>
          <w:highlight w:val="none"/>
        </w:rPr>
        <w:t>：问题澄清通知</w:t>
      </w:r>
      <w:bookmarkEnd w:id="346"/>
      <w:bookmarkEnd w:id="347"/>
      <w:bookmarkEnd w:id="348"/>
      <w:bookmarkEnd w:id="349"/>
      <w:bookmarkEnd w:id="350"/>
      <w:bookmarkEnd w:id="351"/>
      <w:bookmarkEnd w:id="352"/>
      <w:bookmarkEnd w:id="353"/>
      <w:bookmarkEnd w:id="354"/>
      <w:bookmarkEnd w:id="355"/>
      <w:bookmarkEnd w:id="356"/>
    </w:p>
    <w:p w14:paraId="1ED214CD">
      <w:pPr>
        <w:spacing w:line="240" w:lineRule="auto"/>
        <w:jc w:val="center"/>
        <w:rPr>
          <w:rFonts w:ascii="宋体" w:hAnsi="宋体"/>
          <w:color w:val="auto"/>
          <w:szCs w:val="21"/>
          <w:highlight w:val="none"/>
        </w:rPr>
      </w:pPr>
    </w:p>
    <w:p w14:paraId="43D6BA58">
      <w:pPr>
        <w:spacing w:line="240" w:lineRule="auto"/>
        <w:jc w:val="center"/>
        <w:rPr>
          <w:rFonts w:ascii="宋体" w:hAnsi="宋体"/>
          <w:color w:val="auto"/>
          <w:sz w:val="28"/>
          <w:szCs w:val="28"/>
          <w:highlight w:val="none"/>
        </w:rPr>
      </w:pPr>
      <w:r>
        <w:rPr>
          <w:rFonts w:ascii="宋体" w:hAnsi="宋体"/>
          <w:color w:val="auto"/>
          <w:sz w:val="28"/>
          <w:szCs w:val="28"/>
          <w:highlight w:val="none"/>
        </w:rPr>
        <w:t>问题澄清通知</w:t>
      </w:r>
    </w:p>
    <w:p w14:paraId="4920F9E9">
      <w:pPr>
        <w:spacing w:line="24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编号：</w:t>
      </w:r>
    </w:p>
    <w:p w14:paraId="6DCA8481">
      <w:pPr>
        <w:spacing w:line="240" w:lineRule="auto"/>
        <w:rPr>
          <w:rFonts w:ascii="宋体" w:hAnsi="宋体"/>
          <w:color w:val="auto"/>
          <w:szCs w:val="21"/>
          <w:highlight w:val="none"/>
        </w:rPr>
      </w:pPr>
    </w:p>
    <w:p w14:paraId="18B634D0">
      <w:pPr>
        <w:spacing w:line="240" w:lineRule="auto"/>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（响应人名称）：</w:t>
      </w:r>
    </w:p>
    <w:p w14:paraId="4805ED4A">
      <w:pPr>
        <w:spacing w:line="240" w:lineRule="auto"/>
        <w:rPr>
          <w:rFonts w:ascii="宋体" w:hAnsi="宋体"/>
          <w:color w:val="auto"/>
          <w:szCs w:val="21"/>
          <w:highlight w:val="none"/>
        </w:rPr>
      </w:pPr>
    </w:p>
    <w:p w14:paraId="326059A4">
      <w:pPr>
        <w:spacing w:line="240" w:lineRule="auto"/>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（项目名称）磋商的</w:t>
      </w:r>
      <w:r>
        <w:rPr>
          <w:rFonts w:hint="eastAsia" w:ascii="宋体" w:hAnsi="宋体"/>
          <w:color w:val="auto"/>
          <w:szCs w:val="21"/>
          <w:highlight w:val="none"/>
        </w:rPr>
        <w:t>磋商小组</w:t>
      </w:r>
      <w:r>
        <w:rPr>
          <w:rFonts w:ascii="宋体" w:hAnsi="宋体"/>
          <w:color w:val="auto"/>
          <w:szCs w:val="21"/>
          <w:highlight w:val="none"/>
        </w:rPr>
        <w:t>，对你方的响应文件进行了仔细的审查，现需你方对下列问题以书面形式予以澄清：</w:t>
      </w:r>
    </w:p>
    <w:p w14:paraId="14B2F655">
      <w:pPr>
        <w:spacing w:line="240" w:lineRule="auto"/>
        <w:rPr>
          <w:rFonts w:ascii="宋体" w:hAnsi="宋体"/>
          <w:color w:val="auto"/>
          <w:szCs w:val="21"/>
          <w:highlight w:val="none"/>
        </w:rPr>
      </w:pPr>
      <w:r>
        <w:rPr>
          <w:rFonts w:ascii="宋体" w:hAnsi="宋体"/>
          <w:color w:val="auto"/>
          <w:szCs w:val="21"/>
          <w:highlight w:val="none"/>
        </w:rPr>
        <w:t>　　</w:t>
      </w:r>
    </w:p>
    <w:p w14:paraId="01695B99">
      <w:pPr>
        <w:spacing w:line="240" w:lineRule="auto"/>
        <w:rPr>
          <w:rFonts w:ascii="宋体" w:hAnsi="宋体"/>
          <w:color w:val="auto"/>
          <w:szCs w:val="21"/>
          <w:highlight w:val="none"/>
        </w:rPr>
      </w:pPr>
      <w:r>
        <w:rPr>
          <w:rFonts w:ascii="宋体" w:hAnsi="宋体"/>
          <w:color w:val="auto"/>
          <w:szCs w:val="21"/>
          <w:highlight w:val="none"/>
        </w:rPr>
        <w:t xml:space="preserve">    1.</w:t>
      </w:r>
    </w:p>
    <w:p w14:paraId="4B31859A">
      <w:pPr>
        <w:spacing w:line="240" w:lineRule="auto"/>
        <w:rPr>
          <w:rFonts w:ascii="宋体" w:hAnsi="宋体"/>
          <w:color w:val="auto"/>
          <w:szCs w:val="21"/>
          <w:highlight w:val="none"/>
        </w:rPr>
      </w:pPr>
      <w:r>
        <w:rPr>
          <w:rFonts w:ascii="宋体" w:hAnsi="宋体"/>
          <w:color w:val="auto"/>
          <w:szCs w:val="21"/>
          <w:highlight w:val="none"/>
        </w:rPr>
        <w:t xml:space="preserve">    2.</w:t>
      </w:r>
    </w:p>
    <w:p w14:paraId="12BDAFC9">
      <w:pPr>
        <w:spacing w:line="240" w:lineRule="auto"/>
        <w:rPr>
          <w:rFonts w:ascii="宋体" w:hAnsi="宋体"/>
          <w:color w:val="auto"/>
          <w:szCs w:val="21"/>
          <w:highlight w:val="none"/>
        </w:rPr>
      </w:pPr>
      <w:r>
        <w:rPr>
          <w:rFonts w:ascii="宋体" w:hAnsi="宋体"/>
          <w:color w:val="auto"/>
          <w:szCs w:val="21"/>
          <w:highlight w:val="none"/>
        </w:rPr>
        <w:t xml:space="preserve">     ......   </w:t>
      </w:r>
    </w:p>
    <w:p w14:paraId="636A2800">
      <w:pPr>
        <w:spacing w:line="240" w:lineRule="auto"/>
        <w:rPr>
          <w:rFonts w:ascii="宋体" w:hAnsi="宋体"/>
          <w:color w:val="auto"/>
          <w:szCs w:val="21"/>
          <w:highlight w:val="none"/>
        </w:rPr>
      </w:pPr>
      <w:r>
        <w:rPr>
          <w:rFonts w:ascii="宋体" w:hAnsi="宋体"/>
          <w:color w:val="auto"/>
          <w:szCs w:val="21"/>
          <w:highlight w:val="none"/>
        </w:rPr>
        <w:t>　　　</w:t>
      </w:r>
    </w:p>
    <w:p w14:paraId="4EF0B338">
      <w:pPr>
        <w:spacing w:line="240" w:lineRule="auto"/>
        <w:rPr>
          <w:rFonts w:hint="eastAsia" w:ascii="宋体" w:hAnsi="宋体"/>
          <w:color w:val="auto"/>
          <w:szCs w:val="21"/>
          <w:highlight w:val="none"/>
        </w:rPr>
      </w:pPr>
      <w:r>
        <w:rPr>
          <w:rFonts w:ascii="宋体" w:hAnsi="宋体"/>
          <w:color w:val="auto"/>
          <w:szCs w:val="21"/>
          <w:highlight w:val="none"/>
        </w:rPr>
        <w:t>　　请将上述问题的澄清于</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ascii="宋体" w:hAnsi="宋体"/>
          <w:color w:val="auto"/>
          <w:szCs w:val="21"/>
          <w:highlight w:val="none"/>
          <w:u w:val="single"/>
        </w:rPr>
        <w:t xml:space="preserve">        </w:t>
      </w:r>
      <w:r>
        <w:rPr>
          <w:rFonts w:ascii="宋体" w:hAnsi="宋体"/>
          <w:color w:val="auto"/>
          <w:szCs w:val="21"/>
          <w:highlight w:val="none"/>
        </w:rPr>
        <w:t>时前递交至</w:t>
      </w:r>
    </w:p>
    <w:p w14:paraId="2D410582">
      <w:pPr>
        <w:spacing w:line="240" w:lineRule="auto"/>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（详细地址）</w:t>
      </w:r>
      <w:r>
        <w:rPr>
          <w:rFonts w:hint="eastAsia" w:ascii="宋体" w:hAnsi="宋体"/>
          <w:color w:val="auto"/>
          <w:szCs w:val="21"/>
          <w:highlight w:val="none"/>
        </w:rPr>
        <w:t>或传真至</w:t>
      </w:r>
      <w:r>
        <w:rPr>
          <w:rFonts w:hint="eastAsia" w:ascii="宋体" w:hAnsi="宋体"/>
          <w:color w:val="auto"/>
          <w:szCs w:val="21"/>
          <w:highlight w:val="none"/>
          <w:u w:val="single"/>
        </w:rPr>
        <w:t xml:space="preserve">         </w:t>
      </w:r>
      <w:r>
        <w:rPr>
          <w:rFonts w:hint="eastAsia" w:ascii="宋体" w:hAnsi="宋体"/>
          <w:color w:val="auto"/>
          <w:szCs w:val="21"/>
          <w:highlight w:val="none"/>
        </w:rPr>
        <w:t>（传真号码）。采用传真方式的，应在</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时前将原件递交至</w:t>
      </w:r>
    </w:p>
    <w:p w14:paraId="6337C965">
      <w:pPr>
        <w:spacing w:line="240" w:lineRule="auto"/>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（详细地址）。</w:t>
      </w:r>
    </w:p>
    <w:p w14:paraId="3926E1A7">
      <w:pPr>
        <w:spacing w:line="240" w:lineRule="auto"/>
        <w:rPr>
          <w:rFonts w:ascii="宋体" w:hAnsi="宋体"/>
          <w:color w:val="auto"/>
          <w:szCs w:val="21"/>
          <w:highlight w:val="none"/>
        </w:rPr>
      </w:pPr>
    </w:p>
    <w:p w14:paraId="77483E83">
      <w:pPr>
        <w:spacing w:line="240" w:lineRule="auto"/>
        <w:rPr>
          <w:rFonts w:ascii="宋体" w:hAnsi="宋体"/>
          <w:color w:val="auto"/>
          <w:szCs w:val="21"/>
          <w:highlight w:val="none"/>
        </w:rPr>
      </w:pPr>
    </w:p>
    <w:p w14:paraId="168B16FC">
      <w:pPr>
        <w:spacing w:line="240" w:lineRule="auto"/>
        <w:jc w:val="righ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采购人或采购代理机构</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或盖章</w:t>
      </w:r>
      <w:r>
        <w:rPr>
          <w:rFonts w:ascii="宋体" w:hAnsi="宋体"/>
          <w:color w:val="auto"/>
          <w:szCs w:val="21"/>
          <w:highlight w:val="none"/>
        </w:rPr>
        <w:t>）</w:t>
      </w:r>
    </w:p>
    <w:p w14:paraId="00753A7F">
      <w:pPr>
        <w:spacing w:line="240" w:lineRule="auto"/>
        <w:rPr>
          <w:rFonts w:ascii="宋体" w:hAnsi="宋体"/>
          <w:color w:val="auto"/>
          <w:szCs w:val="21"/>
          <w:highlight w:val="none"/>
        </w:rPr>
      </w:pPr>
      <w:r>
        <w:rPr>
          <w:rFonts w:hint="eastAsia" w:ascii="宋体" w:hAnsi="宋体"/>
          <w:color w:val="auto"/>
          <w:szCs w:val="21"/>
          <w:highlight w:val="none"/>
        </w:rPr>
        <w:t xml:space="preserve">                                          </w:t>
      </w:r>
    </w:p>
    <w:p w14:paraId="32BD649A">
      <w:pPr>
        <w:spacing w:line="240" w:lineRule="auto"/>
        <w:ind w:firstLine="3045" w:firstLineChars="145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年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月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0FFF3796">
      <w:pPr>
        <w:spacing w:line="240" w:lineRule="auto"/>
        <w:rPr>
          <w:rFonts w:hint="eastAsia" w:ascii="宋体" w:hAnsi="宋体"/>
          <w:color w:val="auto"/>
          <w:highlight w:val="none"/>
        </w:rPr>
      </w:pPr>
    </w:p>
    <w:p w14:paraId="062F6F35">
      <w:pPr>
        <w:spacing w:line="240" w:lineRule="auto"/>
        <w:rPr>
          <w:rFonts w:hint="eastAsia" w:ascii="宋体" w:hAnsi="宋体"/>
          <w:color w:val="auto"/>
          <w:highlight w:val="none"/>
        </w:rPr>
      </w:pPr>
    </w:p>
    <w:p w14:paraId="33E9006A">
      <w:pPr>
        <w:pStyle w:val="4"/>
        <w:spacing w:line="240" w:lineRule="auto"/>
        <w:ind w:left="210" w:right="210"/>
        <w:rPr>
          <w:rFonts w:hint="eastAsia" w:ascii="宋体" w:hAnsi="宋体"/>
          <w:color w:val="auto"/>
          <w:highlight w:val="none"/>
        </w:rPr>
      </w:pPr>
      <w:bookmarkStart w:id="357" w:name="_Toc152045583"/>
      <w:bookmarkStart w:id="358" w:name="_Toc450588619"/>
      <w:bookmarkStart w:id="359" w:name="_Toc246996969"/>
      <w:bookmarkStart w:id="360" w:name="_Toc409424325"/>
      <w:bookmarkStart w:id="361" w:name="_Toc144974550"/>
      <w:bookmarkStart w:id="362" w:name="_Toc247085741"/>
      <w:bookmarkStart w:id="363" w:name="_Toc152042360"/>
      <w:bookmarkStart w:id="364" w:name="_Toc179632601"/>
      <w:bookmarkStart w:id="365" w:name="_Toc409424386"/>
      <w:bookmarkStart w:id="366" w:name="_Toc246996226"/>
      <w:r>
        <w:rPr>
          <w:rFonts w:hint="eastAsia" w:ascii="宋体" w:hAnsi="宋体"/>
          <w:color w:val="auto"/>
          <w:highlight w:val="none"/>
        </w:rPr>
        <w:br w:type="page"/>
      </w:r>
      <w:bookmarkStart w:id="367" w:name="_Toc25274"/>
      <w:r>
        <w:rPr>
          <w:rFonts w:hint="eastAsia" w:ascii="宋体" w:hAnsi="宋体"/>
          <w:color w:val="auto"/>
          <w:highlight w:val="none"/>
        </w:rPr>
        <w:t>附件二：问题的澄清</w:t>
      </w:r>
      <w:bookmarkEnd w:id="357"/>
      <w:bookmarkEnd w:id="358"/>
      <w:bookmarkEnd w:id="359"/>
      <w:bookmarkEnd w:id="360"/>
      <w:bookmarkEnd w:id="361"/>
      <w:bookmarkEnd w:id="362"/>
      <w:bookmarkEnd w:id="363"/>
      <w:bookmarkEnd w:id="364"/>
      <w:bookmarkEnd w:id="365"/>
      <w:bookmarkEnd w:id="366"/>
      <w:bookmarkEnd w:id="367"/>
    </w:p>
    <w:p w14:paraId="19EB450F">
      <w:pPr>
        <w:spacing w:line="240" w:lineRule="auto"/>
        <w:jc w:val="center"/>
        <w:rPr>
          <w:rFonts w:hint="eastAsia" w:ascii="宋体" w:hAnsi="宋体"/>
          <w:color w:val="auto"/>
          <w:sz w:val="28"/>
          <w:szCs w:val="28"/>
          <w:highlight w:val="none"/>
        </w:rPr>
      </w:pPr>
    </w:p>
    <w:p w14:paraId="7FB5D35C">
      <w:pPr>
        <w:spacing w:line="240" w:lineRule="auto"/>
        <w:jc w:val="center"/>
        <w:rPr>
          <w:rFonts w:hint="eastAsia" w:ascii="宋体" w:hAnsi="宋体"/>
          <w:color w:val="auto"/>
          <w:sz w:val="28"/>
          <w:szCs w:val="28"/>
          <w:highlight w:val="none"/>
        </w:rPr>
      </w:pPr>
      <w:r>
        <w:rPr>
          <w:rFonts w:hint="eastAsia" w:ascii="宋体" w:hAnsi="宋体"/>
          <w:color w:val="auto"/>
          <w:sz w:val="28"/>
          <w:szCs w:val="28"/>
          <w:highlight w:val="none"/>
        </w:rPr>
        <w:t>问题的澄清</w:t>
      </w:r>
    </w:p>
    <w:p w14:paraId="65FE50F9">
      <w:pPr>
        <w:spacing w:line="240" w:lineRule="auto"/>
        <w:ind w:firstLine="3465" w:firstLineChars="1650"/>
        <w:rPr>
          <w:rFonts w:hint="eastAsia" w:ascii="宋体" w:hAnsi="宋体"/>
          <w:color w:val="auto"/>
          <w:highlight w:val="none"/>
        </w:rPr>
      </w:pPr>
      <w:r>
        <w:rPr>
          <w:rFonts w:hint="eastAsia" w:ascii="宋体" w:hAnsi="宋体"/>
          <w:color w:val="auto"/>
          <w:highlight w:val="none"/>
        </w:rPr>
        <w:t xml:space="preserve">编号： </w:t>
      </w:r>
    </w:p>
    <w:p w14:paraId="0CDBBE5E">
      <w:pPr>
        <w:spacing w:line="240" w:lineRule="auto"/>
        <w:rPr>
          <w:rFonts w:ascii="宋体" w:hAnsi="宋体"/>
          <w:color w:val="auto"/>
          <w:szCs w:val="21"/>
          <w:highlight w:val="none"/>
        </w:rPr>
      </w:pPr>
    </w:p>
    <w:p w14:paraId="0B124DD6">
      <w:pPr>
        <w:spacing w:line="240" w:lineRule="auto"/>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项目名称）磋商</w:t>
      </w:r>
      <w:r>
        <w:rPr>
          <w:rFonts w:hint="eastAsia" w:ascii="宋体" w:hAnsi="宋体"/>
          <w:color w:val="auto"/>
          <w:szCs w:val="21"/>
          <w:highlight w:val="none"/>
        </w:rPr>
        <w:t>小组</w:t>
      </w:r>
      <w:r>
        <w:rPr>
          <w:rFonts w:ascii="宋体" w:hAnsi="宋体"/>
          <w:color w:val="auto"/>
          <w:szCs w:val="21"/>
          <w:highlight w:val="none"/>
        </w:rPr>
        <w:t>：</w:t>
      </w:r>
    </w:p>
    <w:p w14:paraId="24C8118A">
      <w:pPr>
        <w:spacing w:line="240" w:lineRule="auto"/>
        <w:rPr>
          <w:rFonts w:ascii="宋体" w:hAnsi="宋体"/>
          <w:color w:val="auto"/>
          <w:szCs w:val="21"/>
          <w:highlight w:val="none"/>
        </w:rPr>
      </w:pPr>
    </w:p>
    <w:p w14:paraId="188BD07F">
      <w:pPr>
        <w:spacing w:line="240" w:lineRule="auto"/>
        <w:rPr>
          <w:rFonts w:ascii="宋体" w:hAnsi="宋体"/>
          <w:color w:val="auto"/>
          <w:szCs w:val="21"/>
          <w:highlight w:val="none"/>
        </w:rPr>
      </w:pPr>
      <w:r>
        <w:rPr>
          <w:rFonts w:ascii="宋体" w:hAnsi="宋体"/>
          <w:color w:val="auto"/>
          <w:szCs w:val="21"/>
          <w:highlight w:val="none"/>
        </w:rPr>
        <w:t>　　问题澄清通知（编号：</w:t>
      </w:r>
      <w:r>
        <w:rPr>
          <w:rFonts w:ascii="宋体" w:hAnsi="宋体"/>
          <w:color w:val="auto"/>
          <w:szCs w:val="21"/>
          <w:highlight w:val="none"/>
          <w:u w:val="single"/>
        </w:rPr>
        <w:t xml:space="preserve">        </w:t>
      </w:r>
      <w:r>
        <w:rPr>
          <w:rFonts w:ascii="宋体" w:hAnsi="宋体"/>
          <w:color w:val="auto"/>
          <w:szCs w:val="21"/>
          <w:highlight w:val="none"/>
        </w:rPr>
        <w:t>）已收悉，现澄清如下：</w:t>
      </w:r>
    </w:p>
    <w:p w14:paraId="3B489387">
      <w:pPr>
        <w:spacing w:line="240" w:lineRule="auto"/>
        <w:rPr>
          <w:rFonts w:ascii="宋体" w:hAnsi="宋体"/>
          <w:color w:val="auto"/>
          <w:szCs w:val="21"/>
          <w:highlight w:val="none"/>
        </w:rPr>
      </w:pPr>
      <w:r>
        <w:rPr>
          <w:rFonts w:ascii="宋体" w:hAnsi="宋体"/>
          <w:color w:val="auto"/>
          <w:szCs w:val="21"/>
          <w:highlight w:val="none"/>
        </w:rPr>
        <w:t>　     1.</w:t>
      </w:r>
    </w:p>
    <w:p w14:paraId="6C62EAFF">
      <w:pPr>
        <w:spacing w:line="240" w:lineRule="auto"/>
        <w:rPr>
          <w:rFonts w:ascii="宋体" w:hAnsi="宋体"/>
          <w:color w:val="auto"/>
          <w:szCs w:val="21"/>
          <w:highlight w:val="none"/>
        </w:rPr>
      </w:pPr>
      <w:r>
        <w:rPr>
          <w:rFonts w:ascii="宋体" w:hAnsi="宋体"/>
          <w:color w:val="auto"/>
          <w:szCs w:val="21"/>
          <w:highlight w:val="none"/>
        </w:rPr>
        <w:t>　     2.</w:t>
      </w:r>
    </w:p>
    <w:p w14:paraId="4CFB4177">
      <w:pPr>
        <w:spacing w:line="240" w:lineRule="auto"/>
        <w:rPr>
          <w:rFonts w:ascii="宋体" w:hAnsi="宋体"/>
          <w:color w:val="auto"/>
          <w:szCs w:val="21"/>
          <w:highlight w:val="none"/>
        </w:rPr>
      </w:pPr>
      <w:r>
        <w:rPr>
          <w:rFonts w:ascii="宋体" w:hAnsi="宋体"/>
          <w:color w:val="auto"/>
          <w:szCs w:val="21"/>
          <w:highlight w:val="none"/>
        </w:rPr>
        <w:t xml:space="preserve">　   </w:t>
      </w:r>
    </w:p>
    <w:p w14:paraId="33E29FBF">
      <w:pPr>
        <w:spacing w:line="240" w:lineRule="auto"/>
        <w:rPr>
          <w:rFonts w:ascii="宋体" w:hAnsi="宋体"/>
          <w:color w:val="auto"/>
          <w:szCs w:val="21"/>
          <w:highlight w:val="none"/>
        </w:rPr>
      </w:pPr>
      <w:r>
        <w:rPr>
          <w:rFonts w:ascii="宋体" w:hAnsi="宋体"/>
          <w:color w:val="auto"/>
          <w:szCs w:val="21"/>
          <w:highlight w:val="none"/>
        </w:rPr>
        <w:t>　    .....</w:t>
      </w:r>
    </w:p>
    <w:p w14:paraId="68E2DBEE">
      <w:pPr>
        <w:spacing w:line="240" w:lineRule="auto"/>
        <w:rPr>
          <w:rFonts w:ascii="宋体" w:hAnsi="宋体"/>
          <w:color w:val="auto"/>
          <w:szCs w:val="21"/>
          <w:highlight w:val="none"/>
        </w:rPr>
      </w:pPr>
      <w:r>
        <w:rPr>
          <w:rFonts w:ascii="宋体" w:hAnsi="宋体"/>
          <w:color w:val="auto"/>
          <w:szCs w:val="21"/>
          <w:highlight w:val="none"/>
        </w:rPr>
        <w:t xml:space="preserve">                       </w:t>
      </w:r>
    </w:p>
    <w:p w14:paraId="0C41F5E9">
      <w:pPr>
        <w:spacing w:line="240" w:lineRule="auto"/>
        <w:rPr>
          <w:rFonts w:ascii="宋体" w:hAnsi="宋体"/>
          <w:color w:val="auto"/>
          <w:szCs w:val="21"/>
          <w:highlight w:val="none"/>
        </w:rPr>
      </w:pPr>
      <w:r>
        <w:rPr>
          <w:rFonts w:ascii="宋体" w:hAnsi="宋体"/>
          <w:color w:val="auto"/>
          <w:szCs w:val="21"/>
          <w:highlight w:val="none"/>
        </w:rPr>
        <w:t xml:space="preserve">　 </w:t>
      </w:r>
    </w:p>
    <w:p w14:paraId="72CB9575">
      <w:pPr>
        <w:spacing w:line="240" w:lineRule="auto"/>
        <w:rPr>
          <w:rFonts w:ascii="宋体" w:hAnsi="宋体"/>
          <w:color w:val="auto"/>
          <w:szCs w:val="21"/>
          <w:highlight w:val="none"/>
        </w:rPr>
      </w:pPr>
    </w:p>
    <w:p w14:paraId="26412EC0">
      <w:pPr>
        <w:spacing w:line="240" w:lineRule="auto"/>
        <w:rPr>
          <w:rFonts w:ascii="宋体" w:hAnsi="宋体"/>
          <w:color w:val="auto"/>
          <w:szCs w:val="21"/>
          <w:highlight w:val="none"/>
        </w:rPr>
      </w:pPr>
    </w:p>
    <w:p w14:paraId="2EEC63A3">
      <w:pPr>
        <w:spacing w:line="240" w:lineRule="auto"/>
        <w:rPr>
          <w:rFonts w:ascii="宋体" w:hAnsi="宋体"/>
          <w:color w:val="auto"/>
          <w:szCs w:val="21"/>
          <w:highlight w:val="none"/>
        </w:rPr>
      </w:pPr>
    </w:p>
    <w:p w14:paraId="22B77BC7">
      <w:pPr>
        <w:spacing w:line="240" w:lineRule="auto"/>
        <w:rPr>
          <w:rFonts w:ascii="宋体" w:hAnsi="宋体"/>
          <w:color w:val="auto"/>
          <w:szCs w:val="21"/>
          <w:highlight w:val="none"/>
        </w:rPr>
      </w:pPr>
    </w:p>
    <w:p w14:paraId="1058579D">
      <w:pPr>
        <w:spacing w:line="240" w:lineRule="auto"/>
        <w:rPr>
          <w:rFonts w:ascii="宋体" w:hAnsi="宋体"/>
          <w:color w:val="auto"/>
          <w:szCs w:val="21"/>
          <w:highlight w:val="none"/>
        </w:rPr>
      </w:pPr>
      <w:r>
        <w:rPr>
          <w:rFonts w:ascii="宋体" w:hAnsi="宋体"/>
          <w:color w:val="auto"/>
          <w:szCs w:val="21"/>
          <w:highlight w:val="none"/>
        </w:rPr>
        <w:t>　　　　　　　　　　　　　　　响应人：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（盖单位章）</w:t>
      </w:r>
    </w:p>
    <w:p w14:paraId="53CB1B79">
      <w:pPr>
        <w:spacing w:line="240" w:lineRule="auto"/>
        <w:rPr>
          <w:rFonts w:ascii="宋体" w:hAnsi="宋体"/>
          <w:color w:val="auto"/>
          <w:szCs w:val="21"/>
          <w:highlight w:val="none"/>
        </w:rPr>
      </w:pPr>
      <w:r>
        <w:rPr>
          <w:rFonts w:ascii="宋体" w:hAnsi="宋体"/>
          <w:color w:val="auto"/>
          <w:szCs w:val="21"/>
          <w:highlight w:val="none"/>
        </w:rPr>
        <w:t>　　　　　　　　　　　　　　　</w:t>
      </w:r>
    </w:p>
    <w:p w14:paraId="1F35CD07">
      <w:pPr>
        <w:spacing w:line="240" w:lineRule="auto"/>
        <w:rPr>
          <w:rFonts w:ascii="宋体" w:hAnsi="宋体"/>
          <w:color w:val="auto"/>
          <w:szCs w:val="21"/>
          <w:highlight w:val="none"/>
        </w:rPr>
      </w:pPr>
      <w:r>
        <w:rPr>
          <w:rFonts w:ascii="宋体" w:hAnsi="宋体"/>
          <w:color w:val="auto"/>
          <w:szCs w:val="21"/>
          <w:highlight w:val="none"/>
        </w:rPr>
        <w:t>　　　　　　　　　　　　　　　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14:paraId="3675831E">
      <w:pPr>
        <w:spacing w:line="240" w:lineRule="auto"/>
        <w:rPr>
          <w:rFonts w:ascii="宋体" w:hAnsi="宋体"/>
          <w:color w:val="auto"/>
          <w:szCs w:val="21"/>
          <w:highlight w:val="none"/>
        </w:rPr>
      </w:pPr>
      <w:r>
        <w:rPr>
          <w:rFonts w:ascii="宋体" w:hAnsi="宋体"/>
          <w:color w:val="auto"/>
          <w:szCs w:val="21"/>
          <w:highlight w:val="none"/>
        </w:rPr>
        <w:t>　　　　　　　　　　　　　　　</w:t>
      </w:r>
    </w:p>
    <w:p w14:paraId="1DF2BD7D">
      <w:pPr>
        <w:spacing w:line="240" w:lineRule="auto"/>
        <w:rPr>
          <w:rFonts w:ascii="宋体" w:hAnsi="宋体"/>
          <w:color w:val="auto"/>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20AF8D66">
      <w:pPr>
        <w:pStyle w:val="4"/>
        <w:spacing w:line="240" w:lineRule="auto"/>
        <w:ind w:left="210" w:right="210"/>
        <w:rPr>
          <w:rFonts w:hint="eastAsia" w:ascii="宋体" w:hAnsi="宋体"/>
          <w:color w:val="auto"/>
          <w:highlight w:val="none"/>
        </w:rPr>
      </w:pPr>
      <w:bookmarkStart w:id="368" w:name="_Toc152045584"/>
      <w:bookmarkStart w:id="369" w:name="_Toc246996227"/>
      <w:bookmarkStart w:id="370" w:name="_Toc152042361"/>
      <w:bookmarkStart w:id="371" w:name="_Toc144974551"/>
      <w:bookmarkStart w:id="372" w:name="_Toc247085742"/>
      <w:bookmarkStart w:id="373" w:name="_Toc179632602"/>
      <w:bookmarkStart w:id="374" w:name="_Toc246996970"/>
      <w:r>
        <w:rPr>
          <w:color w:val="auto"/>
          <w:highlight w:val="none"/>
        </w:rPr>
        <w:br w:type="page"/>
      </w:r>
      <w:bookmarkEnd w:id="368"/>
      <w:bookmarkEnd w:id="369"/>
      <w:bookmarkEnd w:id="370"/>
      <w:bookmarkEnd w:id="371"/>
      <w:bookmarkEnd w:id="372"/>
      <w:bookmarkEnd w:id="373"/>
      <w:bookmarkEnd w:id="374"/>
      <w:bookmarkStart w:id="375" w:name="_Toc144974553"/>
      <w:bookmarkStart w:id="376" w:name="_Toc152045586"/>
      <w:bookmarkStart w:id="377" w:name="_Toc247085744"/>
      <w:bookmarkStart w:id="378" w:name="_Toc19186"/>
      <w:bookmarkStart w:id="379" w:name="_Toc246996972"/>
      <w:bookmarkStart w:id="380" w:name="_Toc179632604"/>
      <w:bookmarkStart w:id="381" w:name="_Toc409424389"/>
      <w:bookmarkStart w:id="382" w:name="_Toc152042363"/>
      <w:bookmarkStart w:id="383" w:name="_Toc246996229"/>
      <w:bookmarkStart w:id="384" w:name="_Toc409424328"/>
      <w:bookmarkStart w:id="385" w:name="_Toc450588622"/>
      <w:r>
        <w:rPr>
          <w:rFonts w:hint="eastAsia" w:ascii="宋体" w:hAnsi="宋体"/>
          <w:color w:val="auto"/>
          <w:highlight w:val="none"/>
        </w:rPr>
        <w:t>附件三：确认通知</w:t>
      </w:r>
      <w:bookmarkEnd w:id="375"/>
      <w:bookmarkEnd w:id="376"/>
      <w:bookmarkEnd w:id="377"/>
      <w:bookmarkEnd w:id="378"/>
      <w:bookmarkEnd w:id="379"/>
      <w:bookmarkEnd w:id="380"/>
      <w:bookmarkEnd w:id="381"/>
      <w:bookmarkEnd w:id="382"/>
      <w:bookmarkEnd w:id="383"/>
      <w:bookmarkEnd w:id="384"/>
      <w:bookmarkEnd w:id="385"/>
    </w:p>
    <w:p w14:paraId="7AE75837">
      <w:pPr>
        <w:spacing w:line="240" w:lineRule="auto"/>
        <w:rPr>
          <w:rFonts w:hint="eastAsia" w:ascii="宋体" w:hAnsi="宋体"/>
          <w:color w:val="auto"/>
          <w:highlight w:val="none"/>
        </w:rPr>
      </w:pPr>
    </w:p>
    <w:p w14:paraId="218FEC44">
      <w:pPr>
        <w:spacing w:line="240" w:lineRule="auto"/>
        <w:jc w:val="center"/>
        <w:rPr>
          <w:rFonts w:hint="eastAsia" w:ascii="宋体" w:hAnsi="宋体"/>
          <w:color w:val="auto"/>
          <w:sz w:val="28"/>
          <w:szCs w:val="28"/>
          <w:highlight w:val="none"/>
        </w:rPr>
      </w:pPr>
      <w:r>
        <w:rPr>
          <w:rFonts w:hint="eastAsia" w:ascii="宋体" w:hAnsi="宋体"/>
          <w:color w:val="auto"/>
          <w:sz w:val="28"/>
          <w:szCs w:val="28"/>
          <w:highlight w:val="none"/>
        </w:rPr>
        <w:t>确认通知</w:t>
      </w:r>
    </w:p>
    <w:p w14:paraId="26F69B96">
      <w:pPr>
        <w:spacing w:line="240" w:lineRule="auto"/>
        <w:rPr>
          <w:rFonts w:ascii="宋体" w:hAnsi="宋体"/>
          <w:color w:val="auto"/>
          <w:highlight w:val="none"/>
        </w:rPr>
      </w:pPr>
    </w:p>
    <w:p w14:paraId="6B00DCEE">
      <w:pPr>
        <w:spacing w:line="240" w:lineRule="auto"/>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（采购人名称）：</w:t>
      </w:r>
    </w:p>
    <w:p w14:paraId="534A7D14">
      <w:pPr>
        <w:spacing w:line="240" w:lineRule="auto"/>
        <w:rPr>
          <w:rFonts w:ascii="宋体" w:hAnsi="宋体"/>
          <w:color w:val="auto"/>
          <w:szCs w:val="21"/>
          <w:highlight w:val="none"/>
        </w:rPr>
      </w:pPr>
      <w:r>
        <w:rPr>
          <w:rFonts w:ascii="宋体" w:hAnsi="宋体"/>
          <w:color w:val="auto"/>
          <w:szCs w:val="21"/>
          <w:highlight w:val="none"/>
        </w:rPr>
        <w:t>　　</w:t>
      </w:r>
    </w:p>
    <w:p w14:paraId="39A9CB48">
      <w:pPr>
        <w:spacing w:line="240" w:lineRule="auto"/>
        <w:ind w:firstLine="420" w:firstLineChars="200"/>
        <w:rPr>
          <w:rFonts w:hint="eastAsia" w:ascii="宋体" w:hAnsi="宋体"/>
          <w:color w:val="auto"/>
          <w:szCs w:val="21"/>
          <w:highlight w:val="none"/>
          <w:u w:val="single"/>
        </w:rPr>
      </w:pPr>
      <w:r>
        <w:rPr>
          <w:rFonts w:ascii="宋体" w:hAnsi="宋体"/>
          <w:color w:val="auto"/>
          <w:szCs w:val="21"/>
          <w:highlight w:val="none"/>
        </w:rPr>
        <w:t>你方</w:t>
      </w:r>
      <w:r>
        <w:rPr>
          <w:rFonts w:hint="eastAsia" w:ascii="宋体" w:hAnsi="宋体"/>
          <w:color w:val="auto"/>
          <w:szCs w:val="21"/>
          <w:highlight w:val="none"/>
        </w:rPr>
        <w:t>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年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日发出的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（项目名称）关于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4C261890">
      <w:pPr>
        <w:spacing w:line="240" w:lineRule="auto"/>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的通知，我方已于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日收到。</w:t>
      </w:r>
    </w:p>
    <w:p w14:paraId="33F7DFC2">
      <w:pPr>
        <w:spacing w:line="240" w:lineRule="auto"/>
        <w:rPr>
          <w:rFonts w:ascii="宋体" w:hAnsi="宋体"/>
          <w:color w:val="auto"/>
          <w:szCs w:val="21"/>
          <w:highlight w:val="none"/>
        </w:rPr>
      </w:pPr>
    </w:p>
    <w:p w14:paraId="2AF6B43F">
      <w:pPr>
        <w:spacing w:line="240" w:lineRule="auto"/>
        <w:rPr>
          <w:rFonts w:ascii="宋体" w:hAnsi="宋体"/>
          <w:color w:val="auto"/>
          <w:szCs w:val="21"/>
          <w:highlight w:val="none"/>
        </w:rPr>
      </w:pPr>
      <w:r>
        <w:rPr>
          <w:rFonts w:ascii="宋体" w:hAnsi="宋体"/>
          <w:color w:val="auto"/>
          <w:szCs w:val="21"/>
          <w:highlight w:val="none"/>
        </w:rPr>
        <w:t>　　特此确认。</w:t>
      </w:r>
    </w:p>
    <w:p w14:paraId="2DBADF02">
      <w:pPr>
        <w:spacing w:line="240" w:lineRule="auto"/>
        <w:rPr>
          <w:rFonts w:ascii="宋体" w:hAnsi="宋体"/>
          <w:color w:val="auto"/>
          <w:szCs w:val="21"/>
          <w:highlight w:val="none"/>
        </w:rPr>
      </w:pPr>
    </w:p>
    <w:p w14:paraId="6F88C511">
      <w:pPr>
        <w:spacing w:line="240" w:lineRule="auto"/>
        <w:rPr>
          <w:rFonts w:ascii="宋体" w:hAnsi="宋体"/>
          <w:color w:val="auto"/>
          <w:szCs w:val="21"/>
          <w:highlight w:val="none"/>
        </w:rPr>
      </w:pPr>
    </w:p>
    <w:p w14:paraId="3810BDFD">
      <w:pPr>
        <w:spacing w:line="240" w:lineRule="auto"/>
        <w:rPr>
          <w:rFonts w:ascii="宋体" w:hAnsi="宋体"/>
          <w:color w:val="auto"/>
          <w:szCs w:val="21"/>
          <w:highlight w:val="none"/>
        </w:rPr>
      </w:pPr>
      <w:r>
        <w:rPr>
          <w:rFonts w:ascii="宋体" w:hAnsi="宋体"/>
          <w:color w:val="auto"/>
          <w:szCs w:val="21"/>
          <w:highlight w:val="none"/>
        </w:rPr>
        <w:t xml:space="preserve">                              响应人：</w:t>
      </w:r>
      <w:r>
        <w:rPr>
          <w:rFonts w:ascii="宋体" w:hAnsi="宋体"/>
          <w:color w:val="auto"/>
          <w:szCs w:val="21"/>
          <w:highlight w:val="none"/>
          <w:u w:val="single"/>
        </w:rPr>
        <w:t xml:space="preserve">             </w:t>
      </w:r>
      <w:r>
        <w:rPr>
          <w:rFonts w:ascii="宋体" w:hAnsi="宋体"/>
          <w:color w:val="auto"/>
          <w:szCs w:val="21"/>
          <w:highlight w:val="none"/>
        </w:rPr>
        <w:t xml:space="preserve"> （盖单位章）</w:t>
      </w:r>
    </w:p>
    <w:p w14:paraId="4B6CBFF9">
      <w:pPr>
        <w:spacing w:line="240" w:lineRule="auto"/>
        <w:rPr>
          <w:rFonts w:ascii="宋体" w:hAnsi="宋体"/>
          <w:color w:val="auto"/>
          <w:szCs w:val="21"/>
          <w:highlight w:val="none"/>
        </w:rPr>
      </w:pPr>
    </w:p>
    <w:p w14:paraId="6E126461">
      <w:pPr>
        <w:spacing w:before="118" w:line="222" w:lineRule="auto"/>
        <w:ind w:left="3064"/>
        <w:outlineLvl w:val="0"/>
        <w:rPr>
          <w:color w:val="auto"/>
          <w:highlight w:val="none"/>
          <w:u w:val="single"/>
        </w:rPr>
      </w:pPr>
      <w:r>
        <w:rPr>
          <w:color w:val="auto"/>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bookmarkStart w:id="386" w:name="_Toc9006"/>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bookmarkEnd w:id="386"/>
    </w:p>
    <w:p w14:paraId="6C84D333">
      <w:pPr>
        <w:jc w:val="center"/>
        <w:rPr>
          <w:rFonts w:hint="eastAsia" w:ascii="宋体" w:hAnsi="宋体" w:eastAsia="宋体" w:cs="宋体"/>
          <w:b/>
          <w:bCs/>
          <w:color w:val="auto"/>
          <w:spacing w:val="4"/>
          <w:sz w:val="43"/>
          <w:szCs w:val="43"/>
          <w:highlight w:val="none"/>
        </w:rPr>
      </w:pPr>
      <w:r>
        <w:rPr>
          <w:rFonts w:ascii="宋体" w:hAnsi="宋体" w:eastAsia="宋体" w:cs="宋体"/>
          <w:b/>
          <w:bCs/>
          <w:color w:val="auto"/>
          <w:spacing w:val="4"/>
          <w:sz w:val="43"/>
          <w:szCs w:val="43"/>
          <w:highlight w:val="none"/>
        </w:rPr>
        <w:br w:type="page"/>
      </w:r>
      <w:r>
        <w:rPr>
          <w:rFonts w:hint="eastAsia" w:asciiTheme="majorEastAsia" w:hAnsiTheme="majorEastAsia" w:eastAsiaTheme="majorEastAsia" w:cstheme="majorEastAsia"/>
          <w:b/>
          <w:bCs/>
          <w:color w:val="auto"/>
          <w:spacing w:val="6"/>
          <w:sz w:val="31"/>
          <w:szCs w:val="31"/>
          <w:highlight w:val="none"/>
        </w:rPr>
        <w:t>第三章 合同条款</w:t>
      </w:r>
    </w:p>
    <w:p w14:paraId="04B16E4A">
      <w:pPr>
        <w:spacing w:line="240" w:lineRule="auto"/>
        <w:ind w:firstLine="240" w:firstLineChars="100"/>
        <w:jc w:val="center"/>
        <w:rPr>
          <w:rFonts w:hint="eastAsia" w:ascii="仿宋_GB2312" w:hAnsi="宋体" w:eastAsia="仿宋_GB2312"/>
          <w:color w:val="auto"/>
          <w:sz w:val="24"/>
          <w:highlight w:val="none"/>
        </w:rPr>
      </w:pPr>
    </w:p>
    <w:p w14:paraId="782AA67D">
      <w:pPr>
        <w:spacing w:line="360" w:lineRule="auto"/>
        <w:ind w:firstLine="721"/>
        <w:jc w:val="center"/>
        <w:rPr>
          <w:b/>
          <w:sz w:val="52"/>
          <w:szCs w:val="52"/>
        </w:rPr>
      </w:pPr>
      <w:r>
        <w:rPr>
          <w:b/>
          <w:sz w:val="72"/>
          <w:szCs w:val="52"/>
        </w:rPr>
        <w:t>建设工程施工合同</w:t>
      </w:r>
      <w:r>
        <w:rPr>
          <w:b/>
          <w:sz w:val="52"/>
          <w:szCs w:val="52"/>
        </w:rPr>
        <w:br w:type="textWrapping"/>
      </w:r>
    </w:p>
    <w:p w14:paraId="732E4CBA">
      <w:pPr>
        <w:spacing w:line="360" w:lineRule="auto"/>
        <w:ind w:firstLine="723"/>
        <w:jc w:val="center"/>
        <w:rPr>
          <w:b/>
          <w:sz w:val="72"/>
          <w:szCs w:val="72"/>
        </w:rPr>
      </w:pPr>
    </w:p>
    <w:p w14:paraId="7EF0E443">
      <w:pPr>
        <w:spacing w:line="360" w:lineRule="auto"/>
        <w:ind w:firstLine="723"/>
        <w:jc w:val="center"/>
        <w:rPr>
          <w:b/>
          <w:sz w:val="72"/>
          <w:szCs w:val="72"/>
        </w:rPr>
      </w:pPr>
    </w:p>
    <w:p w14:paraId="49DA0EA3">
      <w:pPr>
        <w:spacing w:line="360" w:lineRule="auto"/>
        <w:ind w:firstLine="723"/>
        <w:jc w:val="center"/>
        <w:rPr>
          <w:b/>
          <w:sz w:val="72"/>
          <w:szCs w:val="72"/>
        </w:rPr>
      </w:pPr>
    </w:p>
    <w:p w14:paraId="5836C5D1">
      <w:pPr>
        <w:spacing w:line="360" w:lineRule="auto"/>
        <w:rPr>
          <w:b/>
          <w:sz w:val="72"/>
          <w:szCs w:val="72"/>
        </w:rPr>
      </w:pPr>
    </w:p>
    <w:p w14:paraId="16EC4BDA">
      <w:pPr>
        <w:spacing w:line="360" w:lineRule="auto"/>
        <w:ind w:firstLine="281"/>
        <w:rPr>
          <w:b/>
          <w:sz w:val="28"/>
          <w:szCs w:val="28"/>
        </w:rPr>
      </w:pPr>
    </w:p>
    <w:p w14:paraId="403221D6">
      <w:pPr>
        <w:spacing w:line="360" w:lineRule="auto"/>
        <w:ind w:right="2719" w:rightChars="1295" w:firstLine="1650" w:firstLineChars="750"/>
        <w:rPr>
          <w:b/>
          <w:sz w:val="32"/>
          <w:szCs w:val="28"/>
        </w:rPr>
      </w:pPr>
      <w:r>
        <w:rPr>
          <w:sz w:val="22"/>
          <w:szCs w:val="24"/>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44" name="文本框 4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D051F8D">
                            <w:pPr>
                              <w:pStyle w:val="26"/>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HNLXHYAAAACQEAAA8AAAAAAAAAAQAgAAAA&#10;IgAAAGRycy9kb3ducmV2LnhtbFBLAQIUABQAAAAIAIdO4kBdnhuICwIAABwEAAAOAAAAAAAAAAEA&#10;IAAAACcBAABkcnMvZTJvRG9jLnhtbFBLBQYAAAAABgAGAFkBAACkBQAAAAA=&#10;">
                <v:fill on="f" focussize="0,0"/>
                <v:stroke color="#FFFFFF" joinstyle="miter"/>
                <v:imagedata o:title=""/>
                <o:lock v:ext="edit" aspectratio="f"/>
                <v:textbox>
                  <w:txbxContent>
                    <w:p w14:paraId="6D051F8D">
                      <w:pPr>
                        <w:pStyle w:val="26"/>
                        <w:rPr>
                          <w:b/>
                          <w:bCs/>
                          <w:sz w:val="32"/>
                        </w:rPr>
                      </w:pPr>
                      <w:r>
                        <w:rPr>
                          <w:rFonts w:hint="eastAsia"/>
                          <w:b/>
                          <w:bCs/>
                          <w:sz w:val="32"/>
                        </w:rPr>
                        <w:t>制定</w:t>
                      </w:r>
                    </w:p>
                  </w:txbxContent>
                </v:textbox>
              </v:shape>
            </w:pict>
          </mc:Fallback>
        </mc:AlternateContent>
      </w:r>
      <w:r>
        <w:rPr>
          <w:b/>
          <w:sz w:val="32"/>
          <w:szCs w:val="28"/>
        </w:rPr>
        <w:t>住房和城乡建设部</w:t>
      </w:r>
    </w:p>
    <w:p w14:paraId="37B0575F">
      <w:pPr>
        <w:spacing w:line="360" w:lineRule="auto"/>
        <w:ind w:right="2719" w:rightChars="1295" w:firstLine="1601" w:firstLineChars="500"/>
        <w:rPr>
          <w:b/>
          <w:sz w:val="32"/>
          <w:szCs w:val="28"/>
        </w:rPr>
      </w:pPr>
      <w:r>
        <w:rPr>
          <w:b/>
          <w:sz w:val="32"/>
          <w:szCs w:val="28"/>
        </w:rPr>
        <w:t>国家工商行政管理总局</w:t>
      </w:r>
    </w:p>
    <w:p w14:paraId="7CE3D936">
      <w:pPr>
        <w:autoSpaceDE w:val="0"/>
        <w:autoSpaceDN w:val="0"/>
        <w:jc w:val="center"/>
        <w:rPr>
          <w:rFonts w:ascii="仿宋" w:hAnsi="仿宋" w:eastAsia="仿宋" w:cs="仿宋"/>
          <w:b/>
          <w:bCs/>
          <w:color w:val="0F243E"/>
          <w:sz w:val="32"/>
          <w:szCs w:val="32"/>
        </w:rPr>
      </w:pPr>
    </w:p>
    <w:p w14:paraId="6FBEB9D9">
      <w:pPr>
        <w:autoSpaceDE w:val="0"/>
        <w:autoSpaceDN w:val="0"/>
        <w:jc w:val="center"/>
        <w:rPr>
          <w:rFonts w:ascii="仿宋" w:hAnsi="仿宋" w:eastAsia="仿宋" w:cs="仿宋"/>
          <w:b/>
          <w:bCs/>
          <w:color w:val="0F243E"/>
          <w:sz w:val="32"/>
          <w:szCs w:val="32"/>
        </w:rPr>
      </w:pPr>
    </w:p>
    <w:p w14:paraId="78669706">
      <w:pPr>
        <w:autoSpaceDE w:val="0"/>
        <w:autoSpaceDN w:val="0"/>
        <w:jc w:val="center"/>
        <w:rPr>
          <w:rFonts w:ascii="仿宋" w:hAnsi="仿宋" w:eastAsia="仿宋" w:cs="仿宋"/>
          <w:b/>
          <w:bCs/>
          <w:color w:val="0F243E"/>
          <w:sz w:val="32"/>
          <w:szCs w:val="32"/>
        </w:rPr>
        <w:sectPr>
          <w:footerReference r:id="rId9" w:type="default"/>
          <w:footerReference r:id="rId10" w:type="even"/>
          <w:pgSz w:w="11906" w:h="16838"/>
          <w:pgMar w:top="1440" w:right="1800" w:bottom="1440" w:left="1380" w:header="851" w:footer="992" w:gutter="0"/>
          <w:cols w:space="720" w:num="1"/>
          <w:rtlGutter w:val="1"/>
          <w:docGrid w:type="lines" w:linePitch="312" w:charSpace="0"/>
        </w:sectPr>
      </w:pPr>
    </w:p>
    <w:p w14:paraId="6717B4AA">
      <w:pPr>
        <w:autoSpaceDE w:val="0"/>
        <w:autoSpaceDN w:val="0"/>
        <w:jc w:val="both"/>
        <w:rPr>
          <w:rFonts w:ascii="仿宋" w:hAnsi="仿宋" w:eastAsia="仿宋" w:cs="仿宋"/>
          <w:b/>
          <w:bCs/>
          <w:color w:val="0F243E"/>
          <w:sz w:val="32"/>
          <w:szCs w:val="32"/>
        </w:rPr>
      </w:pPr>
    </w:p>
    <w:p w14:paraId="2BD7E701">
      <w:pPr>
        <w:autoSpaceDE w:val="0"/>
        <w:autoSpaceDN w:val="0"/>
        <w:jc w:val="center"/>
        <w:rPr>
          <w:rFonts w:hint="eastAsia" w:ascii="宋体" w:hAnsi="宋体" w:eastAsia="宋体" w:cs="宋体"/>
          <w:b/>
          <w:bCs/>
          <w:color w:val="0F243E"/>
          <w:sz w:val="28"/>
          <w:szCs w:val="28"/>
        </w:rPr>
      </w:pPr>
      <w:r>
        <w:rPr>
          <w:rFonts w:hint="eastAsia" w:ascii="宋体" w:hAnsi="宋体" w:eastAsia="宋体" w:cs="宋体"/>
          <w:b/>
          <w:bCs/>
          <w:color w:val="0F243E"/>
          <w:sz w:val="28"/>
          <w:szCs w:val="28"/>
        </w:rPr>
        <w:t>第一部分</w:t>
      </w:r>
      <w:r>
        <w:rPr>
          <w:rFonts w:hint="eastAsia" w:ascii="宋体" w:hAnsi="宋体" w:cs="宋体"/>
          <w:b/>
          <w:bCs/>
          <w:color w:val="0F243E"/>
          <w:sz w:val="28"/>
          <w:szCs w:val="28"/>
          <w:lang w:val="en-US" w:eastAsia="zh-CN"/>
        </w:rPr>
        <w:t xml:space="preserve"> </w:t>
      </w:r>
      <w:r>
        <w:rPr>
          <w:rFonts w:hint="eastAsia" w:ascii="宋体" w:hAnsi="宋体" w:eastAsia="宋体" w:cs="宋体"/>
          <w:b/>
          <w:bCs/>
          <w:color w:val="0F243E"/>
          <w:sz w:val="28"/>
          <w:szCs w:val="28"/>
        </w:rPr>
        <w:t>合同协议书</w:t>
      </w:r>
    </w:p>
    <w:p w14:paraId="10B7AB3C">
      <w:pPr>
        <w:autoSpaceDE w:val="0"/>
        <w:autoSpaceDN w:val="0"/>
        <w:spacing w:line="360" w:lineRule="auto"/>
        <w:rPr>
          <w:rFonts w:hint="eastAsia" w:ascii="宋体" w:hAnsi="宋体" w:cs="仿宋"/>
          <w:sz w:val="24"/>
          <w:szCs w:val="24"/>
        </w:rPr>
      </w:pPr>
    </w:p>
    <w:p w14:paraId="71BA781E">
      <w:pPr>
        <w:autoSpaceDE w:val="0"/>
        <w:autoSpaceDN w:val="0"/>
        <w:spacing w:line="360" w:lineRule="auto"/>
        <w:rPr>
          <w:rFonts w:ascii="宋体" w:hAnsi="宋体" w:cs="仿宋"/>
          <w:color w:val="0000FF"/>
          <w:sz w:val="24"/>
          <w:szCs w:val="24"/>
        </w:rPr>
      </w:pPr>
      <w:r>
        <w:rPr>
          <w:rFonts w:hint="eastAsia" w:ascii="宋体" w:hAnsi="宋体" w:cs="仿宋"/>
          <w:sz w:val="24"/>
          <w:szCs w:val="24"/>
        </w:rPr>
        <w:t>发包人（全称）：</w:t>
      </w:r>
      <w:r>
        <w:rPr>
          <w:rFonts w:hint="eastAsia" w:ascii="宋体" w:hAnsi="宋体" w:cs="仿宋"/>
          <w:color w:val="0000FF"/>
          <w:sz w:val="24"/>
          <w:szCs w:val="24"/>
          <w:u w:val="single"/>
        </w:rPr>
        <w:t xml:space="preserve">              </w:t>
      </w:r>
    </w:p>
    <w:p w14:paraId="7BA4DB24">
      <w:pPr>
        <w:autoSpaceDE w:val="0"/>
        <w:autoSpaceDN w:val="0"/>
        <w:spacing w:line="360" w:lineRule="auto"/>
        <w:rPr>
          <w:rFonts w:ascii="宋体" w:hAnsi="宋体" w:cs="仿宋"/>
          <w:color w:val="0000FF"/>
          <w:sz w:val="24"/>
          <w:szCs w:val="24"/>
          <w:u w:val="single"/>
        </w:rPr>
      </w:pPr>
      <w:r>
        <w:rPr>
          <w:rFonts w:hint="eastAsia" w:ascii="宋体" w:hAnsi="宋体" w:cs="仿宋"/>
          <w:sz w:val="24"/>
          <w:szCs w:val="24"/>
        </w:rPr>
        <w:t>承包人（全称）：</w:t>
      </w:r>
      <w:r>
        <w:rPr>
          <w:rFonts w:hint="eastAsia" w:ascii="宋体" w:hAnsi="宋体" w:cs="仿宋"/>
          <w:sz w:val="24"/>
          <w:szCs w:val="24"/>
          <w:u w:val="single"/>
        </w:rPr>
        <w:t xml:space="preserve"> </w:t>
      </w:r>
      <w:r>
        <w:rPr>
          <w:rFonts w:hint="eastAsia" w:ascii="宋体" w:hAnsi="宋体" w:cs="仿宋"/>
          <w:color w:val="0000FF"/>
          <w:sz w:val="24"/>
          <w:szCs w:val="24"/>
          <w:u w:val="single"/>
        </w:rPr>
        <w:t xml:space="preserve">             </w:t>
      </w:r>
    </w:p>
    <w:p w14:paraId="0AC4B151">
      <w:pPr>
        <w:autoSpaceDE w:val="0"/>
        <w:autoSpaceDN w:val="0"/>
        <w:spacing w:line="460" w:lineRule="exact"/>
        <w:ind w:firstLine="480" w:firstLineChars="200"/>
        <w:rPr>
          <w:rFonts w:ascii="宋体" w:hAnsi="宋体" w:cs="仿宋"/>
          <w:sz w:val="24"/>
          <w:szCs w:val="24"/>
        </w:rPr>
      </w:pPr>
      <w:r>
        <w:rPr>
          <w:rFonts w:hint="eastAsia" w:ascii="宋体" w:hAnsi="宋体" w:cs="仿宋"/>
          <w:sz w:val="24"/>
          <w:szCs w:val="24"/>
        </w:rPr>
        <w:t>根据《中华人民共和国民法典》、《中华人民共和国建筑法》及有关法律规定，遵循平等、自愿、公平和诚实信用的原则，双方就</w:t>
      </w:r>
      <w:r>
        <w:rPr>
          <w:rFonts w:hint="eastAsia" w:ascii="宋体" w:hAnsi="宋体" w:cs="仿宋"/>
          <w:sz w:val="24"/>
          <w:szCs w:val="24"/>
          <w:u w:val="single"/>
        </w:rPr>
        <w:t xml:space="preserve"> </w:t>
      </w:r>
      <w:r>
        <w:rPr>
          <w:rFonts w:hint="eastAsia" w:ascii="宋体" w:hAnsi="宋体" w:cs="仿宋"/>
          <w:color w:val="0000FF"/>
          <w:sz w:val="24"/>
          <w:szCs w:val="24"/>
          <w:u w:val="single"/>
        </w:rPr>
        <w:t xml:space="preserve">             </w:t>
      </w:r>
      <w:r>
        <w:rPr>
          <w:rFonts w:hint="eastAsia" w:ascii="宋体" w:hAnsi="宋体" w:cs="仿宋"/>
          <w:b/>
          <w:color w:val="0000FF"/>
          <w:sz w:val="24"/>
          <w:szCs w:val="24"/>
          <w:u w:val="single"/>
        </w:rPr>
        <w:t xml:space="preserve">         </w:t>
      </w:r>
      <w:r>
        <w:rPr>
          <w:rFonts w:hint="eastAsia" w:ascii="宋体" w:hAnsi="宋体" w:cs="仿宋"/>
          <w:b/>
          <w:sz w:val="24"/>
          <w:szCs w:val="24"/>
          <w:u w:val="single"/>
        </w:rPr>
        <w:t>项目</w:t>
      </w:r>
      <w:r>
        <w:rPr>
          <w:rFonts w:hint="eastAsia" w:ascii="宋体" w:hAnsi="宋体" w:cs="仿宋"/>
          <w:sz w:val="24"/>
          <w:szCs w:val="24"/>
        </w:rPr>
        <w:t>及有关事项协商一致，共同达成如下协议：</w:t>
      </w:r>
    </w:p>
    <w:p w14:paraId="408AEA6B">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一、工程概况</w:t>
      </w:r>
    </w:p>
    <w:p w14:paraId="3535D4A2">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bCs/>
          <w:color w:val="0000FF"/>
          <w:sz w:val="24"/>
          <w:szCs w:val="24"/>
          <w:u w:val="single"/>
        </w:rPr>
      </w:pPr>
      <w:r>
        <w:rPr>
          <w:rFonts w:hint="eastAsia" w:ascii="宋体" w:hAnsi="宋体" w:cs="仿宋"/>
          <w:sz w:val="24"/>
          <w:szCs w:val="24"/>
        </w:rPr>
        <w:t>1.工程名称：</w:t>
      </w:r>
      <w:r>
        <w:rPr>
          <w:rFonts w:hint="eastAsia" w:ascii="宋体" w:hAnsi="宋体" w:cs="仿宋"/>
          <w:color w:val="0000FF"/>
          <w:sz w:val="24"/>
          <w:szCs w:val="24"/>
          <w:u w:val="single"/>
        </w:rPr>
        <w:t xml:space="preserve">              </w:t>
      </w:r>
    </w:p>
    <w:p w14:paraId="29CC764D">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FF"/>
          <w:sz w:val="24"/>
          <w:szCs w:val="24"/>
        </w:rPr>
      </w:pPr>
      <w:r>
        <w:rPr>
          <w:rFonts w:hint="eastAsia" w:ascii="宋体" w:hAnsi="宋体" w:cs="仿宋"/>
          <w:sz w:val="24"/>
          <w:szCs w:val="24"/>
        </w:rPr>
        <w:t>2.工程地点：</w:t>
      </w:r>
      <w:r>
        <w:rPr>
          <w:rFonts w:hint="eastAsia" w:ascii="宋体" w:hAnsi="宋体" w:cs="仿宋"/>
          <w:color w:val="0000FF"/>
          <w:sz w:val="24"/>
          <w:szCs w:val="24"/>
          <w:u w:val="single"/>
        </w:rPr>
        <w:t xml:space="preserve">              </w:t>
      </w:r>
    </w:p>
    <w:p w14:paraId="2E383390">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hint="default" w:ascii="宋体" w:hAnsi="宋体" w:eastAsia="宋体" w:cs="仿宋"/>
          <w:sz w:val="24"/>
          <w:szCs w:val="24"/>
          <w:lang w:val="en-US" w:eastAsia="zh-CN"/>
        </w:rPr>
      </w:pPr>
      <w:r>
        <w:rPr>
          <w:rFonts w:hint="eastAsia" w:ascii="宋体" w:hAnsi="宋体" w:cs="仿宋"/>
          <w:sz w:val="24"/>
          <w:szCs w:val="24"/>
        </w:rPr>
        <w:t>3.工程立项批准文号：</w:t>
      </w:r>
      <w:r>
        <w:rPr>
          <w:rFonts w:hint="eastAsia" w:ascii="宋体" w:hAnsi="宋体" w:cs="仿宋"/>
          <w:sz w:val="24"/>
          <w:szCs w:val="24"/>
          <w:lang w:val="en-US" w:eastAsia="zh-CN"/>
        </w:rPr>
        <w:t xml:space="preserve">  </w:t>
      </w:r>
    </w:p>
    <w:p w14:paraId="054F3C3D">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4.资金来源：</w:t>
      </w:r>
      <w:r>
        <w:rPr>
          <w:rFonts w:hint="eastAsia" w:ascii="宋体" w:hAnsi="宋体" w:cs="仿宋"/>
          <w:sz w:val="24"/>
          <w:szCs w:val="24"/>
          <w:u w:val="single" w:color="000000"/>
        </w:rPr>
        <w:t>财政资金。</w:t>
      </w:r>
    </w:p>
    <w:p w14:paraId="62D72538">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5.工程内容：</w:t>
      </w:r>
      <w:r>
        <w:rPr>
          <w:rFonts w:hint="eastAsia" w:ascii="宋体" w:hAnsi="宋体" w:cs="仿宋"/>
          <w:sz w:val="24"/>
          <w:szCs w:val="24"/>
          <w:u w:val="single" w:color="000000"/>
        </w:rPr>
        <w:t>本工程为</w:t>
      </w:r>
      <w:r>
        <w:rPr>
          <w:rFonts w:hint="eastAsia" w:ascii="宋体" w:hAnsi="宋体" w:cs="仿宋"/>
          <w:sz w:val="24"/>
          <w:szCs w:val="24"/>
          <w:u w:val="single"/>
        </w:rPr>
        <w:t xml:space="preserve">  </w:t>
      </w:r>
      <w:r>
        <w:rPr>
          <w:rFonts w:hint="eastAsia" w:ascii="宋体" w:hAnsi="宋体" w:cs="仿宋"/>
          <w:color w:val="0000FF"/>
          <w:sz w:val="24"/>
          <w:szCs w:val="24"/>
          <w:u w:val="single"/>
        </w:rPr>
        <w:t xml:space="preserve">            </w:t>
      </w:r>
      <w:r>
        <w:rPr>
          <w:rFonts w:hint="eastAsia" w:ascii="宋体" w:hAnsi="宋体" w:cs="仿宋"/>
          <w:sz w:val="24"/>
          <w:szCs w:val="24"/>
          <w:u w:val="single" w:color="000000"/>
        </w:rPr>
        <w:t>项目，项目范围包含</w:t>
      </w:r>
      <w:r>
        <w:rPr>
          <w:rFonts w:hint="eastAsia" w:ascii="宋体" w:hAnsi="宋体" w:cs="仿宋"/>
          <w:color w:val="0000FF"/>
          <w:sz w:val="24"/>
          <w:szCs w:val="24"/>
          <w:u w:val="single" w:color="000000"/>
        </w:rPr>
        <w:t>【      】</w:t>
      </w:r>
      <w:r>
        <w:rPr>
          <w:rFonts w:hint="eastAsia" w:ascii="宋体" w:hAnsi="宋体" w:cs="仿宋"/>
          <w:sz w:val="24"/>
          <w:szCs w:val="24"/>
          <w:u w:val="single" w:color="000000"/>
        </w:rPr>
        <w:t>等。</w:t>
      </w:r>
      <w:r>
        <w:rPr>
          <w:rFonts w:hint="eastAsia" w:ascii="宋体" w:hAnsi="宋体" w:cs="仿宋"/>
          <w:bCs/>
          <w:sz w:val="24"/>
          <w:szCs w:val="24"/>
          <w:u w:val="single"/>
        </w:rPr>
        <w:t>全部工程内容详见施工图纸、工程量清单、招标或竞争性磋商项目的招标或竞争性磋商文件、投标文件等所示的全部工程内容。</w:t>
      </w:r>
      <w:r>
        <w:rPr>
          <w:rFonts w:hint="eastAsia" w:ascii="宋体" w:hAnsi="宋体" w:cs="仿宋"/>
          <w:sz w:val="24"/>
          <w:szCs w:val="24"/>
          <w:u w:val="single" w:color="000000"/>
        </w:rPr>
        <w:t>请承包人自行了解本工程周边环境及交通情况。</w:t>
      </w:r>
    </w:p>
    <w:p w14:paraId="0F9D2D8C">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群体工程应附《承包人承揽工程项目一览表》。</w:t>
      </w:r>
    </w:p>
    <w:p w14:paraId="007425AB">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cs="仿宋"/>
          <w:sz w:val="24"/>
          <w:szCs w:val="24"/>
        </w:rPr>
      </w:pPr>
      <w:r>
        <w:rPr>
          <w:rFonts w:hint="eastAsia" w:ascii="宋体" w:hAnsi="宋体" w:cs="仿宋"/>
          <w:sz w:val="24"/>
          <w:szCs w:val="24"/>
        </w:rPr>
        <w:t>6.工程承包范围：工程量清单范围内，本工程为</w:t>
      </w:r>
      <w:r>
        <w:rPr>
          <w:rFonts w:hint="eastAsia" w:ascii="宋体" w:hAnsi="宋体" w:cs="仿宋"/>
          <w:color w:val="0000FF"/>
          <w:sz w:val="24"/>
          <w:szCs w:val="24"/>
          <w:u w:val="single"/>
        </w:rPr>
        <w:t xml:space="preserve">             </w:t>
      </w:r>
      <w:r>
        <w:rPr>
          <w:rFonts w:hint="eastAsia" w:ascii="宋体" w:hAnsi="宋体" w:cs="仿宋"/>
          <w:sz w:val="24"/>
          <w:szCs w:val="24"/>
          <w:u w:val="single"/>
        </w:rPr>
        <w:t xml:space="preserve"> </w:t>
      </w:r>
      <w:r>
        <w:rPr>
          <w:rFonts w:hint="eastAsia" w:ascii="宋体" w:hAnsi="宋体" w:cs="仿宋"/>
          <w:sz w:val="24"/>
          <w:szCs w:val="24"/>
        </w:rPr>
        <w:t>项目，项目范围包含</w:t>
      </w:r>
      <w:r>
        <w:rPr>
          <w:rFonts w:hint="eastAsia" w:ascii="宋体" w:hAnsi="宋体" w:cs="仿宋"/>
          <w:color w:val="0000FF"/>
          <w:sz w:val="24"/>
          <w:szCs w:val="24"/>
        </w:rPr>
        <w:t>【      】</w:t>
      </w:r>
      <w:r>
        <w:rPr>
          <w:rFonts w:hint="eastAsia" w:ascii="宋体" w:hAnsi="宋体" w:cs="仿宋"/>
          <w:sz w:val="24"/>
          <w:szCs w:val="24"/>
        </w:rPr>
        <w:t>等。全部工程内容详见施工图纸、工程量清单、招标项目的招投标文件等所示的全部工程内容。请承包人自行了解本工程周边环境及交通情况。</w:t>
      </w:r>
    </w:p>
    <w:p w14:paraId="57EADA2E">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二、合同工期</w:t>
      </w:r>
    </w:p>
    <w:p w14:paraId="129C326B">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计划开工日期：</w:t>
      </w:r>
      <w:r>
        <w:rPr>
          <w:rFonts w:hint="eastAsia" w:ascii="宋体" w:hAnsi="宋体" w:cs="仿宋"/>
          <w:color w:val="0000FF"/>
          <w:sz w:val="24"/>
          <w:szCs w:val="24"/>
          <w:u w:val="single"/>
        </w:rPr>
        <w:t xml:space="preserve">    年  月   日</w:t>
      </w:r>
      <w:r>
        <w:rPr>
          <w:rFonts w:hint="eastAsia" w:ascii="宋体" w:hAnsi="宋体" w:cs="仿宋"/>
          <w:sz w:val="24"/>
          <w:szCs w:val="24"/>
        </w:rPr>
        <w:t>（暂定</w:t>
      </w:r>
      <w:r>
        <w:rPr>
          <w:rFonts w:hint="eastAsia" w:ascii="宋体" w:hAnsi="宋体" w:cs="仿宋"/>
          <w:sz w:val="24"/>
          <w:szCs w:val="24"/>
          <w:lang w:eastAsia="zh-CN"/>
        </w:rPr>
        <w:t>，</w:t>
      </w:r>
      <w:r>
        <w:rPr>
          <w:rFonts w:hint="eastAsia" w:ascii="宋体" w:hAnsi="宋体" w:cs="仿宋"/>
          <w:sz w:val="24"/>
          <w:szCs w:val="24"/>
          <w:lang w:val="en-US" w:eastAsia="zh-CN"/>
        </w:rPr>
        <w:t>以发包人要求的实际开工日为准</w:t>
      </w:r>
      <w:r>
        <w:rPr>
          <w:rFonts w:hint="eastAsia" w:ascii="宋体" w:hAnsi="宋体" w:cs="仿宋"/>
          <w:sz w:val="24"/>
          <w:szCs w:val="24"/>
        </w:rPr>
        <w:t>）。</w:t>
      </w:r>
    </w:p>
    <w:p w14:paraId="3511FBF7">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计划竣工日期：</w:t>
      </w:r>
      <w:r>
        <w:rPr>
          <w:rFonts w:hint="eastAsia" w:ascii="宋体" w:hAnsi="宋体" w:cs="仿宋"/>
          <w:color w:val="0000FF"/>
          <w:sz w:val="24"/>
          <w:szCs w:val="24"/>
          <w:u w:val="single"/>
        </w:rPr>
        <w:t xml:space="preserve">     年 月   日</w:t>
      </w:r>
      <w:r>
        <w:rPr>
          <w:rFonts w:hint="eastAsia" w:ascii="宋体" w:hAnsi="宋体" w:cs="仿宋"/>
          <w:sz w:val="24"/>
          <w:szCs w:val="24"/>
        </w:rPr>
        <w:t>。</w:t>
      </w:r>
    </w:p>
    <w:p w14:paraId="6A712419">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工期总日历天数：</w:t>
      </w:r>
      <w:r>
        <w:rPr>
          <w:rFonts w:hint="eastAsia" w:ascii="宋体" w:hAnsi="宋体" w:cs="仿宋"/>
          <w:color w:val="0000FF"/>
          <w:sz w:val="24"/>
          <w:szCs w:val="24"/>
          <w:u w:val="single"/>
        </w:rPr>
        <w:t xml:space="preserve">    </w:t>
      </w:r>
      <w:r>
        <w:rPr>
          <w:rFonts w:hint="eastAsia" w:ascii="宋体" w:hAnsi="宋体" w:cs="仿宋"/>
          <w:color w:val="0000FF"/>
          <w:sz w:val="24"/>
          <w:szCs w:val="24"/>
          <w:u w:val="single"/>
          <w:lang w:val="en-US" w:eastAsia="zh-CN"/>
        </w:rPr>
        <w:t xml:space="preserve">  </w:t>
      </w:r>
      <w:r>
        <w:rPr>
          <w:rFonts w:hint="eastAsia" w:ascii="宋体" w:hAnsi="宋体" w:cs="仿宋"/>
          <w:sz w:val="24"/>
          <w:szCs w:val="24"/>
          <w:u w:val="single" w:color="000000"/>
        </w:rPr>
        <w:t>日历天</w:t>
      </w:r>
      <w:r>
        <w:rPr>
          <w:rFonts w:hint="eastAsia" w:ascii="宋体" w:hAnsi="宋体" w:cs="仿宋"/>
          <w:sz w:val="24"/>
          <w:szCs w:val="24"/>
        </w:rPr>
        <w:t>。工期总日历天数与根据前述计划开竣工日期计算的工期天数不一致的，以工期总日历天数为准。</w:t>
      </w:r>
    </w:p>
    <w:p w14:paraId="232C8E75">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三、质量标准</w:t>
      </w:r>
    </w:p>
    <w:p w14:paraId="0EA87729">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工程质量应符合</w:t>
      </w:r>
      <w:r>
        <w:rPr>
          <w:rFonts w:hint="eastAsia" w:ascii="宋体" w:hAnsi="宋体" w:cs="仿宋"/>
          <w:sz w:val="24"/>
          <w:szCs w:val="24"/>
          <w:u w:val="single"/>
        </w:rPr>
        <w:t>《建筑工程施工质量验收统一标准》等</w:t>
      </w:r>
      <w:r>
        <w:rPr>
          <w:rFonts w:hint="eastAsia" w:ascii="宋体" w:hAnsi="宋体" w:cs="仿宋"/>
          <w:sz w:val="24"/>
          <w:szCs w:val="24"/>
          <w:u w:val="single"/>
          <w:lang w:val="en-US" w:eastAsia="zh-CN"/>
        </w:rPr>
        <w:t>与本工程有关的</w:t>
      </w:r>
      <w:r>
        <w:rPr>
          <w:rFonts w:hint="eastAsia" w:ascii="宋体" w:hAnsi="宋体" w:cs="仿宋"/>
          <w:sz w:val="24"/>
          <w:szCs w:val="24"/>
          <w:u w:val="single"/>
        </w:rPr>
        <w:t>国家现行质量验收标准和本合同约定标准</w:t>
      </w:r>
      <w:r>
        <w:rPr>
          <w:rFonts w:hint="eastAsia" w:ascii="宋体" w:hAnsi="宋体" w:cs="仿宋"/>
          <w:sz w:val="24"/>
          <w:szCs w:val="24"/>
          <w:u w:val="single"/>
          <w:lang w:eastAsia="zh-CN"/>
        </w:rPr>
        <w:t>，</w:t>
      </w:r>
      <w:r>
        <w:rPr>
          <w:rFonts w:hint="eastAsia" w:ascii="宋体" w:hAnsi="宋体" w:cs="仿宋"/>
          <w:sz w:val="24"/>
          <w:szCs w:val="24"/>
          <w:u w:val="single"/>
          <w:lang w:val="en-US" w:eastAsia="zh-CN"/>
        </w:rPr>
        <w:t>如相关标准存在不一致的，按照有利于发包方的标准执行</w:t>
      </w:r>
      <w:r>
        <w:rPr>
          <w:rFonts w:hint="eastAsia" w:ascii="宋体" w:hAnsi="宋体" w:cs="仿宋"/>
          <w:sz w:val="24"/>
          <w:szCs w:val="24"/>
        </w:rPr>
        <w:t>。</w:t>
      </w:r>
    </w:p>
    <w:p w14:paraId="2A27E599">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四、签约合同价与合同价格形式</w:t>
      </w:r>
    </w:p>
    <w:p w14:paraId="06BBBF4A">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1.签约合同价为：</w:t>
      </w:r>
    </w:p>
    <w:p w14:paraId="6253693B">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人民币（大写）：</w:t>
      </w:r>
      <w:r>
        <w:rPr>
          <w:rFonts w:hint="eastAsia" w:ascii="宋体" w:hAnsi="宋体" w:cs="仿宋"/>
          <w:color w:val="0000FF"/>
          <w:sz w:val="24"/>
          <w:szCs w:val="24"/>
          <w:u w:val="single"/>
        </w:rPr>
        <w:t xml:space="preserve">        整(¥     ，</w:t>
      </w:r>
      <w:r>
        <w:rPr>
          <w:rFonts w:hint="eastAsia" w:ascii="宋体" w:hAnsi="宋体" w:cs="仿宋"/>
          <w:sz w:val="24"/>
          <w:szCs w:val="24"/>
          <w:u w:val="single"/>
        </w:rPr>
        <w:t>含税）</w:t>
      </w:r>
      <w:r>
        <w:rPr>
          <w:rFonts w:hint="eastAsia" w:ascii="宋体" w:hAnsi="宋体" w:cs="仿宋"/>
          <w:sz w:val="24"/>
          <w:szCs w:val="24"/>
        </w:rPr>
        <w:t>，双方确认本合同最终结算价以发包人单方审计的审定</w:t>
      </w:r>
      <w:r>
        <w:rPr>
          <w:rFonts w:hint="eastAsia" w:ascii="宋体" w:hAnsi="宋体" w:cs="仿宋"/>
          <w:sz w:val="24"/>
          <w:szCs w:val="24"/>
          <w:lang w:val="en-US" w:eastAsia="zh-CN"/>
        </w:rPr>
        <w:t>金额</w:t>
      </w:r>
      <w:r>
        <w:rPr>
          <w:rFonts w:hint="eastAsia" w:ascii="宋体" w:hAnsi="宋体" w:cs="仿宋"/>
          <w:sz w:val="24"/>
          <w:szCs w:val="24"/>
        </w:rPr>
        <w:t>为准</w:t>
      </w:r>
      <w:r>
        <w:rPr>
          <w:rFonts w:hint="eastAsia" w:ascii="宋体" w:hAnsi="宋体" w:cs="仿宋"/>
          <w:sz w:val="24"/>
          <w:szCs w:val="24"/>
          <w:lang w:eastAsia="zh-CN"/>
        </w:rPr>
        <w:t>，</w:t>
      </w:r>
      <w:r>
        <w:rPr>
          <w:rFonts w:hint="eastAsia" w:ascii="宋体" w:hAnsi="宋体" w:cs="仿宋"/>
          <w:sz w:val="24"/>
          <w:szCs w:val="24"/>
          <w:lang w:val="en-US" w:eastAsia="zh-CN"/>
        </w:rPr>
        <w:t>如需要财政审计的，以财审审定金额为准</w:t>
      </w:r>
      <w:r>
        <w:rPr>
          <w:rFonts w:hint="eastAsia" w:ascii="宋体" w:hAnsi="宋体" w:cs="仿宋"/>
          <w:sz w:val="24"/>
          <w:szCs w:val="24"/>
        </w:rPr>
        <w:t>；</w:t>
      </w:r>
    </w:p>
    <w:p w14:paraId="7A780BA7">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其中：</w:t>
      </w:r>
    </w:p>
    <w:p w14:paraId="5D2EE3AA">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rPr>
      </w:pPr>
      <w:r>
        <w:rPr>
          <w:rFonts w:hint="eastAsia" w:ascii="宋体" w:hAnsi="宋体" w:cs="仿宋"/>
          <w:color w:val="000000"/>
          <w:sz w:val="24"/>
          <w:szCs w:val="24"/>
        </w:rPr>
        <w:t>（1）安全文明施工费：</w:t>
      </w:r>
    </w:p>
    <w:p w14:paraId="224A7A02">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rPr>
      </w:pPr>
      <w:r>
        <w:rPr>
          <w:rFonts w:hint="eastAsia" w:ascii="宋体" w:hAnsi="宋体" w:cs="仿宋"/>
          <w:color w:val="000000"/>
          <w:sz w:val="24"/>
          <w:szCs w:val="24"/>
        </w:rPr>
        <w:t>人民币（大写：</w:t>
      </w:r>
      <w:r>
        <w:rPr>
          <w:rFonts w:hint="eastAsia" w:ascii="宋体" w:hAnsi="宋体" w:cs="仿宋"/>
          <w:sz w:val="24"/>
          <w:szCs w:val="24"/>
          <w:u w:val="single"/>
        </w:rPr>
        <w:t xml:space="preserve">        </w:t>
      </w:r>
      <w:r>
        <w:rPr>
          <w:rFonts w:hint="eastAsia" w:ascii="宋体" w:hAnsi="宋体" w:cs="仿宋"/>
          <w:color w:val="000000"/>
          <w:sz w:val="24"/>
          <w:szCs w:val="24"/>
        </w:rPr>
        <w:t>） (¥：</w:t>
      </w:r>
      <w:r>
        <w:rPr>
          <w:rFonts w:hint="eastAsia" w:ascii="宋体" w:hAnsi="宋体" w:cs="仿宋"/>
          <w:sz w:val="24"/>
          <w:szCs w:val="24"/>
          <w:u w:val="single"/>
        </w:rPr>
        <w:t xml:space="preserve">        </w:t>
      </w:r>
      <w:r>
        <w:rPr>
          <w:rFonts w:hint="eastAsia" w:ascii="宋体" w:hAnsi="宋体" w:cs="仿宋"/>
          <w:color w:val="000000"/>
          <w:sz w:val="24"/>
          <w:szCs w:val="24"/>
        </w:rPr>
        <w:t>)；</w:t>
      </w:r>
    </w:p>
    <w:p w14:paraId="2D64001D">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rPr>
      </w:pPr>
      <w:r>
        <w:rPr>
          <w:rFonts w:hint="eastAsia" w:ascii="宋体" w:hAnsi="宋体" w:cs="仿宋"/>
          <w:color w:val="000000"/>
          <w:sz w:val="24"/>
          <w:szCs w:val="24"/>
        </w:rPr>
        <w:t>（2）材料和工程设备暂估价金额：</w:t>
      </w:r>
    </w:p>
    <w:p w14:paraId="4F035659">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rPr>
      </w:pPr>
      <w:r>
        <w:rPr>
          <w:rFonts w:hint="eastAsia" w:ascii="宋体" w:hAnsi="宋体" w:cs="仿宋"/>
          <w:color w:val="000000"/>
          <w:sz w:val="24"/>
          <w:szCs w:val="24"/>
        </w:rPr>
        <w:t>人民币（大写）/ (¥元)；</w:t>
      </w:r>
    </w:p>
    <w:p w14:paraId="7AE035F7">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rPr>
      </w:pPr>
      <w:r>
        <w:rPr>
          <w:rFonts w:hint="eastAsia" w:ascii="宋体" w:hAnsi="宋体" w:cs="仿宋"/>
          <w:color w:val="000000"/>
          <w:sz w:val="24"/>
          <w:szCs w:val="24"/>
        </w:rPr>
        <w:t>（3）专业工程暂估价金额：</w:t>
      </w:r>
    </w:p>
    <w:p w14:paraId="2FCBBCB6">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rPr>
      </w:pPr>
      <w:r>
        <w:rPr>
          <w:rFonts w:hint="eastAsia" w:ascii="宋体" w:hAnsi="宋体" w:cs="仿宋"/>
          <w:color w:val="000000"/>
          <w:sz w:val="24"/>
          <w:szCs w:val="24"/>
        </w:rPr>
        <w:t>人民币（大写）/(¥/元)；</w:t>
      </w:r>
    </w:p>
    <w:p w14:paraId="5A8E404E">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rPr>
      </w:pPr>
      <w:r>
        <w:rPr>
          <w:rFonts w:hint="eastAsia" w:ascii="宋体" w:hAnsi="宋体" w:cs="仿宋"/>
          <w:color w:val="000000"/>
          <w:sz w:val="24"/>
          <w:szCs w:val="24"/>
        </w:rPr>
        <w:t>（4）暂列金额：</w:t>
      </w:r>
    </w:p>
    <w:p w14:paraId="22C939B9">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color w:val="000000"/>
          <w:sz w:val="24"/>
          <w:szCs w:val="24"/>
        </w:rPr>
      </w:pPr>
      <w:r>
        <w:rPr>
          <w:rFonts w:hint="eastAsia" w:ascii="宋体" w:hAnsi="宋体" w:cs="仿宋"/>
          <w:color w:val="000000"/>
          <w:sz w:val="24"/>
          <w:szCs w:val="24"/>
        </w:rPr>
        <w:t>人民币（大写）/(¥/元)。</w:t>
      </w:r>
    </w:p>
    <w:p w14:paraId="06DF5DCE">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2.合同价格形式：</w:t>
      </w:r>
      <w:r>
        <w:rPr>
          <w:rFonts w:hint="eastAsia" w:ascii="宋体" w:hAnsi="宋体" w:cs="仿宋"/>
          <w:sz w:val="24"/>
          <w:szCs w:val="24"/>
          <w:u w:val="single"/>
        </w:rPr>
        <w:t>固定</w:t>
      </w:r>
      <w:r>
        <w:rPr>
          <w:rFonts w:hint="eastAsia" w:ascii="宋体" w:hAnsi="宋体" w:cs="仿宋"/>
          <w:sz w:val="24"/>
          <w:szCs w:val="24"/>
          <w:u w:val="single"/>
          <w:lang w:val="en-US" w:eastAsia="zh-CN"/>
        </w:rPr>
        <w:t>单价</w:t>
      </w:r>
      <w:r>
        <w:rPr>
          <w:rFonts w:hint="eastAsia" w:ascii="宋体" w:hAnsi="宋体" w:cs="仿宋"/>
          <w:sz w:val="24"/>
          <w:szCs w:val="24"/>
          <w:u w:val="single"/>
        </w:rPr>
        <w:t>合同</w:t>
      </w:r>
      <w:r>
        <w:rPr>
          <w:rFonts w:hint="eastAsia" w:ascii="宋体" w:hAnsi="宋体" w:cs="仿宋"/>
          <w:sz w:val="24"/>
          <w:szCs w:val="24"/>
        </w:rPr>
        <w:t>。</w:t>
      </w:r>
    </w:p>
    <w:p w14:paraId="2BB1DD05">
      <w:pPr>
        <w:pStyle w:val="8"/>
        <w:tabs>
          <w:tab w:val="left" w:pos="0"/>
          <w:tab w:val="left" w:pos="993"/>
          <w:tab w:val="left" w:pos="1134"/>
        </w:tabs>
        <w:ind w:firstLine="440"/>
        <w:rPr>
          <w:rFonts w:hAnsi="宋体" w:cs="仿宋"/>
          <w:b/>
          <w:sz w:val="24"/>
          <w:szCs w:val="24"/>
        </w:rPr>
      </w:pPr>
      <w:r>
        <w:rPr>
          <w:rFonts w:hint="eastAsia" w:hAnsi="宋体" w:cs="仿宋"/>
          <w:b/>
          <w:sz w:val="24"/>
          <w:szCs w:val="24"/>
        </w:rPr>
        <w:t>非发包人需求且书面认可的变化导致的变更由承包人自行承担相关费用。</w:t>
      </w:r>
    </w:p>
    <w:p w14:paraId="0C89B046">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五、项目经理</w:t>
      </w:r>
    </w:p>
    <w:p w14:paraId="77525548">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承包人项目经理：</w:t>
      </w:r>
      <w:r>
        <w:rPr>
          <w:rFonts w:hint="eastAsia" w:ascii="宋体" w:hAnsi="宋体" w:cs="仿宋"/>
          <w:color w:val="0000FF"/>
          <w:sz w:val="24"/>
          <w:szCs w:val="24"/>
          <w:u w:val="single"/>
        </w:rPr>
        <w:t xml:space="preserve">          </w:t>
      </w:r>
      <w:r>
        <w:rPr>
          <w:rFonts w:hint="eastAsia" w:ascii="宋体" w:hAnsi="宋体" w:cs="仿宋"/>
          <w:sz w:val="24"/>
          <w:szCs w:val="24"/>
          <w:u w:val="single"/>
        </w:rPr>
        <w:t xml:space="preserve"> </w:t>
      </w:r>
      <w:r>
        <w:rPr>
          <w:rFonts w:hint="eastAsia" w:ascii="宋体" w:hAnsi="宋体" w:cs="仿宋"/>
          <w:sz w:val="24"/>
          <w:szCs w:val="24"/>
          <w:u w:val="none"/>
        </w:rPr>
        <w:t>，联系方式：</w:t>
      </w:r>
      <w:r>
        <w:rPr>
          <w:rFonts w:hint="eastAsia" w:ascii="宋体" w:hAnsi="宋体" w:cs="仿宋"/>
          <w:sz w:val="24"/>
          <w:szCs w:val="24"/>
          <w:u w:val="single"/>
        </w:rPr>
        <w:t xml:space="preserve"> </w:t>
      </w:r>
      <w:r>
        <w:rPr>
          <w:rFonts w:hint="eastAsia" w:ascii="宋体" w:hAnsi="宋体" w:cs="仿宋"/>
          <w:color w:val="0000FF"/>
          <w:sz w:val="24"/>
          <w:szCs w:val="24"/>
          <w:u w:val="single"/>
        </w:rPr>
        <w:t xml:space="preserve">  </w:t>
      </w:r>
      <w:r>
        <w:rPr>
          <w:rFonts w:hint="eastAsia" w:ascii="宋体" w:hAnsi="宋体" w:cs="仿宋"/>
          <w:color w:val="0000FF"/>
          <w:sz w:val="24"/>
          <w:szCs w:val="24"/>
          <w:u w:val="single"/>
          <w:lang w:val="en-US" w:eastAsia="zh-CN"/>
        </w:rPr>
        <w:t xml:space="preserve">     </w:t>
      </w:r>
      <w:r>
        <w:rPr>
          <w:rFonts w:hint="eastAsia" w:ascii="宋体" w:hAnsi="宋体" w:cs="仿宋"/>
          <w:color w:val="0000FF"/>
          <w:sz w:val="24"/>
          <w:szCs w:val="24"/>
          <w:u w:val="single"/>
        </w:rPr>
        <w:t xml:space="preserve">   </w:t>
      </w:r>
      <w:r>
        <w:rPr>
          <w:rFonts w:hint="eastAsia" w:ascii="宋体" w:hAnsi="宋体" w:cs="仿宋"/>
          <w:sz w:val="24"/>
          <w:szCs w:val="24"/>
        </w:rPr>
        <w:t>。</w:t>
      </w:r>
    </w:p>
    <w:p w14:paraId="140363FA">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六、合同文件构成</w:t>
      </w:r>
    </w:p>
    <w:p w14:paraId="3D61FDB3">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本协议书与下列文件一起构成合同文件：</w:t>
      </w:r>
    </w:p>
    <w:p w14:paraId="1D3948E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（1）中标通知书（如果有）；</w:t>
      </w:r>
    </w:p>
    <w:p w14:paraId="18DA5017">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（2）投标函及其附录（如果有）；</w:t>
      </w:r>
    </w:p>
    <w:p w14:paraId="3E5D8615">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（3）专用合同条款及其附件；</w:t>
      </w:r>
    </w:p>
    <w:p w14:paraId="4CF917F6">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（4）通用合同条款；</w:t>
      </w:r>
    </w:p>
    <w:p w14:paraId="54167D3A">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（5）技术标准和要求；</w:t>
      </w:r>
    </w:p>
    <w:p w14:paraId="33528A7C">
      <w:pPr>
        <w:pStyle w:val="8"/>
        <w:keepNext w:val="0"/>
        <w:keepLines w:val="0"/>
        <w:pageBreakBefore w:val="0"/>
        <w:widowControl/>
        <w:tabs>
          <w:tab w:val="left" w:pos="0"/>
          <w:tab w:val="left" w:pos="993"/>
          <w:tab w:val="left" w:pos="1134"/>
        </w:tabs>
        <w:kinsoku/>
        <w:wordWrap/>
        <w:overflowPunct/>
        <w:topLinePunct w:val="0"/>
        <w:bidi w:val="0"/>
        <w:adjustRightInd/>
        <w:snapToGrid/>
        <w:ind w:firstLine="480" w:firstLineChars="200"/>
        <w:textAlignment w:val="auto"/>
      </w:pPr>
      <w:r>
        <w:rPr>
          <w:rFonts w:hint="eastAsia" w:hAnsi="宋体" w:cs="仿宋"/>
          <w:sz w:val="24"/>
          <w:szCs w:val="24"/>
        </w:rPr>
        <w:t>（6）图纸；</w:t>
      </w:r>
    </w:p>
    <w:p w14:paraId="3B461087">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（7）已标价工程量清单或预算书；</w:t>
      </w:r>
    </w:p>
    <w:p w14:paraId="45B0C1E0">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（8）其他合同文件。</w:t>
      </w:r>
    </w:p>
    <w:p w14:paraId="4C1B299B">
      <w:pPr>
        <w:autoSpaceDE w:val="0"/>
        <w:autoSpaceDN w:val="0"/>
        <w:spacing w:line="460" w:lineRule="exact"/>
        <w:ind w:firstLine="480" w:firstLineChars="200"/>
        <w:rPr>
          <w:rFonts w:ascii="宋体" w:hAnsi="宋体" w:cs="仿宋"/>
          <w:sz w:val="24"/>
          <w:szCs w:val="24"/>
        </w:rPr>
      </w:pPr>
      <w:r>
        <w:rPr>
          <w:rFonts w:hint="eastAsia" w:ascii="宋体" w:hAnsi="宋体" w:cs="仿宋"/>
          <w:sz w:val="24"/>
          <w:szCs w:val="24"/>
        </w:rPr>
        <w:t>在合同订立及履行过程中形成的与合同有关的文件均构成合同文件组成部分。</w:t>
      </w:r>
    </w:p>
    <w:p w14:paraId="2A19977A">
      <w:pPr>
        <w:autoSpaceDE w:val="0"/>
        <w:autoSpaceDN w:val="0"/>
        <w:spacing w:line="460" w:lineRule="exact"/>
        <w:ind w:firstLine="480" w:firstLineChars="200"/>
        <w:rPr>
          <w:rFonts w:ascii="宋体" w:hAnsi="宋体" w:cs="仿宋"/>
          <w:sz w:val="24"/>
          <w:szCs w:val="24"/>
        </w:rPr>
      </w:pPr>
      <w:r>
        <w:rPr>
          <w:rFonts w:hint="eastAsia" w:ascii="宋体" w:hAnsi="宋体" w:cs="仿宋"/>
          <w:sz w:val="24"/>
          <w:szCs w:val="24"/>
        </w:rPr>
        <w:t>上述各项合同文件包括合同当事人就该项合同文件所作出的补充和修改，属于同一类内容的文件，应以最新签署的为准。专用合同条款及其附件须经合同当事人签字或盖章。</w:t>
      </w:r>
    </w:p>
    <w:p w14:paraId="77D20C22">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七、承诺</w:t>
      </w:r>
    </w:p>
    <w:p w14:paraId="1F4B87F7">
      <w:pPr>
        <w:autoSpaceDE w:val="0"/>
        <w:autoSpaceDN w:val="0"/>
        <w:spacing w:line="460" w:lineRule="exact"/>
        <w:ind w:firstLine="480" w:firstLineChars="200"/>
        <w:rPr>
          <w:rFonts w:ascii="宋体" w:hAnsi="宋体" w:cs="仿宋"/>
          <w:sz w:val="24"/>
          <w:szCs w:val="24"/>
        </w:rPr>
      </w:pPr>
      <w:r>
        <w:rPr>
          <w:rFonts w:hint="eastAsia" w:ascii="宋体" w:hAnsi="宋体" w:cs="仿宋"/>
          <w:sz w:val="24"/>
          <w:szCs w:val="24"/>
        </w:rPr>
        <w:t>1.发包人承诺按照法律规定履行项目审批手续、筹集工程建设资金并按照合同约定的期限和方式支付合同价款。</w:t>
      </w:r>
    </w:p>
    <w:p w14:paraId="1C458261">
      <w:pPr>
        <w:autoSpaceDE w:val="0"/>
        <w:autoSpaceDN w:val="0"/>
        <w:spacing w:line="460" w:lineRule="exact"/>
        <w:ind w:firstLine="480" w:firstLineChars="200"/>
        <w:rPr>
          <w:rFonts w:ascii="宋体" w:hAnsi="宋体" w:cs="仿宋"/>
          <w:sz w:val="24"/>
          <w:szCs w:val="24"/>
        </w:rPr>
      </w:pPr>
      <w:r>
        <w:rPr>
          <w:rFonts w:hint="eastAsia" w:ascii="宋体" w:hAnsi="宋体" w:cs="仿宋"/>
          <w:sz w:val="24"/>
          <w:szCs w:val="24"/>
        </w:rPr>
        <w:t>2.承包人承诺按照法律规定及合同约定组织完成工程施工，确保工程质量和安全，不进行转包及违法分包，并在缺陷责任期及保修期内承担相应的工程维修责任。</w:t>
      </w:r>
    </w:p>
    <w:p w14:paraId="78F6DA9D">
      <w:pPr>
        <w:autoSpaceDE w:val="0"/>
        <w:autoSpaceDN w:val="0"/>
        <w:spacing w:line="460" w:lineRule="exact"/>
        <w:ind w:firstLine="480" w:firstLineChars="200"/>
        <w:rPr>
          <w:rFonts w:ascii="宋体" w:hAnsi="宋体" w:cs="仿宋"/>
          <w:sz w:val="24"/>
          <w:szCs w:val="24"/>
        </w:rPr>
      </w:pPr>
      <w:r>
        <w:rPr>
          <w:rFonts w:hint="eastAsia" w:ascii="宋体" w:hAnsi="宋体" w:cs="仿宋"/>
          <w:sz w:val="24"/>
          <w:szCs w:val="24"/>
        </w:rPr>
        <w:t>3.发包人和承包人通过招投标形式签订合同的，双方理解并承诺不再就同一工程另行签订与合同实质性内容相背离的协议。</w:t>
      </w:r>
    </w:p>
    <w:p w14:paraId="4BF61A95">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八、词语含义</w:t>
      </w:r>
    </w:p>
    <w:p w14:paraId="564C595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本协议书中词语含义与第二部分通用合同条款中赋予的含义相同。</w:t>
      </w:r>
    </w:p>
    <w:p w14:paraId="7F8993F6">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九、签订时间</w:t>
      </w:r>
    </w:p>
    <w:p w14:paraId="19505345">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本合同于</w:t>
      </w:r>
      <w:r>
        <w:rPr>
          <w:rFonts w:hint="eastAsia" w:ascii="宋体" w:hAnsi="宋体" w:cs="仿宋"/>
          <w:sz w:val="24"/>
          <w:szCs w:val="24"/>
          <w:u w:val="single"/>
        </w:rPr>
        <w:t xml:space="preserve"> </w:t>
      </w:r>
      <w:r>
        <w:rPr>
          <w:rFonts w:hint="eastAsia" w:ascii="宋体" w:hAnsi="宋体" w:cs="仿宋"/>
          <w:color w:val="0000FF"/>
          <w:sz w:val="24"/>
          <w:szCs w:val="24"/>
          <w:u w:val="single"/>
        </w:rPr>
        <w:t xml:space="preserve">  </w:t>
      </w:r>
      <w:r>
        <w:rPr>
          <w:rFonts w:hint="eastAsia" w:ascii="宋体" w:hAnsi="宋体" w:cs="仿宋"/>
          <w:color w:val="0000FF"/>
          <w:sz w:val="24"/>
          <w:szCs w:val="24"/>
          <w:u w:val="single"/>
          <w:lang w:val="en-US" w:eastAsia="zh-CN"/>
        </w:rPr>
        <w:t xml:space="preserve"> </w:t>
      </w:r>
      <w:r>
        <w:rPr>
          <w:rFonts w:hint="eastAsia" w:ascii="宋体" w:hAnsi="宋体" w:cs="仿宋"/>
          <w:color w:val="0000FF"/>
          <w:sz w:val="24"/>
          <w:szCs w:val="24"/>
          <w:u w:val="single"/>
        </w:rPr>
        <w:t xml:space="preserve"> 年    月    日</w:t>
      </w:r>
      <w:r>
        <w:rPr>
          <w:rFonts w:hint="eastAsia" w:ascii="宋体" w:hAnsi="宋体" w:cs="仿宋"/>
          <w:sz w:val="24"/>
          <w:szCs w:val="24"/>
        </w:rPr>
        <w:t>签订。</w:t>
      </w:r>
    </w:p>
    <w:p w14:paraId="4DA31A8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十、签订地点</w:t>
      </w:r>
    </w:p>
    <w:p w14:paraId="1C91AA94">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本合同在</w:t>
      </w:r>
      <w:r>
        <w:rPr>
          <w:rFonts w:hint="eastAsia" w:ascii="宋体" w:hAnsi="宋体" w:cs="仿宋"/>
          <w:sz w:val="24"/>
          <w:szCs w:val="24"/>
          <w:u w:val="single"/>
          <w:lang w:val="en-US" w:eastAsia="zh-CN"/>
        </w:rPr>
        <w:t xml:space="preserve"> </w:t>
      </w:r>
      <w:r>
        <w:rPr>
          <w:rFonts w:hint="eastAsia" w:ascii="宋体" w:hAnsi="宋体" w:cs="仿宋"/>
          <w:color w:val="0000FF"/>
          <w:sz w:val="24"/>
          <w:szCs w:val="24"/>
          <w:u w:val="single"/>
          <w:lang w:val="en-US" w:eastAsia="zh-CN"/>
        </w:rPr>
        <w:t xml:space="preserve">                  </w:t>
      </w:r>
      <w:r>
        <w:rPr>
          <w:rFonts w:hint="eastAsia" w:ascii="宋体" w:hAnsi="宋体" w:cs="仿宋"/>
          <w:sz w:val="24"/>
          <w:szCs w:val="24"/>
          <w:u w:val="single"/>
          <w:lang w:val="en-US" w:eastAsia="zh-CN"/>
        </w:rPr>
        <w:t xml:space="preserve"> </w:t>
      </w:r>
      <w:r>
        <w:rPr>
          <w:rFonts w:hint="eastAsia" w:ascii="宋体" w:hAnsi="宋体" w:cs="仿宋"/>
          <w:sz w:val="24"/>
          <w:szCs w:val="24"/>
        </w:rPr>
        <w:t>签订。</w:t>
      </w:r>
    </w:p>
    <w:p w14:paraId="4741F3FE">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十一、补充协议</w:t>
      </w:r>
    </w:p>
    <w:p w14:paraId="76FFC265">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合同未尽事宜，合同当事人另行签订补充协议，补充协议是本合同的组成部分。发包人需要在本工程项下追加部分项目的，在不改变合同其他条款的前提下，可以与承包人协商签订书面补充合同，但所有补充合同的合同价不得超过本合同合同价的10%，且本合同价格和补充合同价格之和不得超过本项目采购预算。</w:t>
      </w:r>
    </w:p>
    <w:p w14:paraId="4CB12CB1">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十二、合同生效</w:t>
      </w:r>
    </w:p>
    <w:p w14:paraId="7F0D8C67">
      <w:pPr>
        <w:autoSpaceDE w:val="0"/>
        <w:autoSpaceDN w:val="0"/>
        <w:spacing w:line="460" w:lineRule="exact"/>
        <w:ind w:firstLine="480" w:firstLineChars="200"/>
        <w:rPr>
          <w:rFonts w:ascii="宋体" w:hAnsi="宋体" w:cs="仿宋"/>
          <w:sz w:val="24"/>
          <w:szCs w:val="24"/>
        </w:rPr>
      </w:pPr>
      <w:r>
        <w:rPr>
          <w:rFonts w:hint="eastAsia" w:ascii="宋体" w:hAnsi="宋体" w:cs="仿宋"/>
          <w:sz w:val="24"/>
          <w:szCs w:val="24"/>
        </w:rPr>
        <w:t>本合同自</w:t>
      </w:r>
      <w:r>
        <w:rPr>
          <w:rFonts w:hint="eastAsia" w:ascii="宋体" w:hAnsi="宋体" w:cs="仿宋"/>
          <w:bCs/>
          <w:sz w:val="24"/>
          <w:szCs w:val="24"/>
          <w:u w:val="single"/>
        </w:rPr>
        <w:t>发包人、承包人双方法定代表人或其委托代理人签名并加盖单位印章（注：发包人加盖单位印章为发包人单位经济合同专用章）且发包人收到承包人按本合同约定提交的履约保证金后</w:t>
      </w:r>
      <w:r>
        <w:rPr>
          <w:rFonts w:hint="eastAsia" w:ascii="宋体" w:hAnsi="宋体" w:cs="仿宋"/>
          <w:bCs/>
          <w:sz w:val="24"/>
          <w:szCs w:val="24"/>
        </w:rPr>
        <w:t>生效</w:t>
      </w:r>
      <w:r>
        <w:rPr>
          <w:rFonts w:hint="eastAsia" w:ascii="宋体" w:hAnsi="宋体" w:cs="仿宋"/>
          <w:sz w:val="24"/>
          <w:szCs w:val="24"/>
        </w:rPr>
        <w:t>。</w:t>
      </w:r>
    </w:p>
    <w:p w14:paraId="2BCEA04B">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十三、合同份数</w:t>
      </w:r>
    </w:p>
    <w:p w14:paraId="4365D88F">
      <w:pPr>
        <w:keepNext w:val="0"/>
        <w:keepLines w:val="0"/>
        <w:pageBreakBefore w:val="0"/>
        <w:widowControl/>
        <w:kinsoku/>
        <w:wordWrap/>
        <w:overflowPunct/>
        <w:topLinePunct w:val="0"/>
        <w:autoSpaceDE w:val="0"/>
        <w:autoSpaceDN w:val="0"/>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本合同一式</w:t>
      </w:r>
      <w:r>
        <w:rPr>
          <w:rFonts w:hint="eastAsia" w:ascii="宋体" w:hAnsi="宋体" w:cs="仿宋"/>
          <w:sz w:val="24"/>
          <w:szCs w:val="24"/>
          <w:u w:val="single"/>
        </w:rPr>
        <w:t>陆</w:t>
      </w:r>
      <w:r>
        <w:rPr>
          <w:rFonts w:hint="eastAsia" w:ascii="宋体" w:hAnsi="宋体" w:cs="仿宋"/>
          <w:sz w:val="24"/>
          <w:szCs w:val="24"/>
        </w:rPr>
        <w:t>份，均具有同等法律效力，发包人执</w:t>
      </w:r>
      <w:r>
        <w:rPr>
          <w:rFonts w:hint="eastAsia" w:ascii="宋体" w:hAnsi="宋体" w:cs="仿宋"/>
          <w:sz w:val="24"/>
          <w:szCs w:val="24"/>
          <w:u w:val="single"/>
        </w:rPr>
        <w:t>肆</w:t>
      </w:r>
      <w:r>
        <w:rPr>
          <w:rFonts w:hint="eastAsia" w:ascii="宋体" w:hAnsi="宋体" w:cs="仿宋"/>
          <w:sz w:val="24"/>
          <w:szCs w:val="24"/>
        </w:rPr>
        <w:t>份，承包人执</w:t>
      </w:r>
      <w:r>
        <w:rPr>
          <w:rFonts w:hint="eastAsia" w:ascii="宋体" w:hAnsi="宋体" w:cs="仿宋"/>
          <w:sz w:val="24"/>
          <w:szCs w:val="24"/>
          <w:u w:val="single"/>
        </w:rPr>
        <w:t>贰</w:t>
      </w:r>
      <w:r>
        <w:rPr>
          <w:rFonts w:hint="eastAsia" w:ascii="宋体" w:hAnsi="宋体" w:cs="仿宋"/>
          <w:sz w:val="24"/>
          <w:szCs w:val="24"/>
        </w:rPr>
        <w:t>份。</w:t>
      </w:r>
    </w:p>
    <w:p w14:paraId="65278D52">
      <w:pPr>
        <w:autoSpaceDE w:val="0"/>
        <w:autoSpaceDN w:val="0"/>
        <w:spacing w:line="460" w:lineRule="exact"/>
        <w:rPr>
          <w:rFonts w:ascii="宋体" w:hAnsi="宋体" w:cs="仿宋"/>
          <w:sz w:val="24"/>
          <w:szCs w:val="24"/>
        </w:rPr>
      </w:pPr>
    </w:p>
    <w:p w14:paraId="7F743D04">
      <w:pPr>
        <w:pStyle w:val="25"/>
      </w:pPr>
    </w:p>
    <w:p w14:paraId="1C38AEF2">
      <w:pPr>
        <w:autoSpaceDE w:val="0"/>
        <w:autoSpaceDN w:val="0"/>
        <w:spacing w:line="460" w:lineRule="exact"/>
        <w:rPr>
          <w:rFonts w:ascii="宋体" w:hAnsi="宋体" w:cs="仿宋"/>
          <w:b/>
          <w:bCs/>
          <w:sz w:val="24"/>
          <w:szCs w:val="24"/>
        </w:rPr>
      </w:pPr>
      <w:r>
        <w:rPr>
          <w:rFonts w:hint="eastAsia" w:ascii="宋体" w:hAnsi="宋体" w:cs="仿宋"/>
          <w:b/>
          <w:bCs/>
          <w:sz w:val="24"/>
          <w:szCs w:val="24"/>
        </w:rPr>
        <w:t>发包人： (盖章)                 承包人： (盖章)</w:t>
      </w:r>
    </w:p>
    <w:p w14:paraId="6709B936">
      <w:pPr>
        <w:autoSpaceDE w:val="0"/>
        <w:autoSpaceDN w:val="0"/>
        <w:spacing w:line="460" w:lineRule="exact"/>
        <w:rPr>
          <w:rFonts w:ascii="宋体" w:hAnsi="宋体" w:cs="仿宋"/>
          <w:b/>
          <w:bCs/>
          <w:sz w:val="24"/>
          <w:szCs w:val="24"/>
        </w:rPr>
      </w:pPr>
      <w:r>
        <w:rPr>
          <w:rFonts w:hint="eastAsia" w:ascii="宋体" w:hAnsi="宋体" w:cs="仿宋"/>
          <w:b/>
          <w:bCs/>
          <w:sz w:val="24"/>
          <w:szCs w:val="24"/>
        </w:rPr>
        <w:t>法定代表人或其委托代理人：      法定代表人或其委托代理人：</w:t>
      </w:r>
    </w:p>
    <w:p w14:paraId="080FFC45">
      <w:pPr>
        <w:autoSpaceDE w:val="0"/>
        <w:autoSpaceDN w:val="0"/>
        <w:spacing w:line="460" w:lineRule="exact"/>
        <w:rPr>
          <w:rFonts w:ascii="宋体" w:hAnsi="宋体" w:cs="仿宋"/>
          <w:b/>
          <w:bCs/>
          <w:sz w:val="24"/>
          <w:szCs w:val="24"/>
        </w:rPr>
      </w:pPr>
      <w:r>
        <w:rPr>
          <w:rFonts w:hint="eastAsia" w:ascii="宋体" w:hAnsi="宋体" w:cs="仿宋"/>
          <w:b/>
          <w:bCs/>
          <w:sz w:val="24"/>
          <w:szCs w:val="24"/>
        </w:rPr>
        <w:t>（签名）                       （签名）</w:t>
      </w:r>
    </w:p>
    <w:p w14:paraId="03E184B9">
      <w:pPr>
        <w:autoSpaceDE w:val="0"/>
        <w:autoSpaceDN w:val="0"/>
        <w:spacing w:line="460" w:lineRule="exact"/>
        <w:rPr>
          <w:rFonts w:ascii="宋体" w:hAnsi="宋体" w:cs="仿宋"/>
          <w:b/>
          <w:bCs/>
          <w:sz w:val="24"/>
          <w:szCs w:val="24"/>
        </w:rPr>
      </w:pPr>
      <w:r>
        <w:rPr>
          <w:rFonts w:hint="eastAsia" w:ascii="宋体" w:hAnsi="宋体" w:cs="仿宋"/>
          <w:b/>
          <w:bCs/>
          <w:sz w:val="24"/>
          <w:szCs w:val="24"/>
        </w:rPr>
        <w:t>统一社会信用代码:</w:t>
      </w:r>
      <w:r>
        <w:rPr>
          <w:b/>
          <w:bCs/>
        </w:rPr>
        <w:t xml:space="preserve"> </w:t>
      </w:r>
      <w:r>
        <w:rPr>
          <w:rFonts w:hint="eastAsia" w:ascii="宋体" w:hAnsi="宋体" w:cs="仿宋"/>
          <w:b/>
          <w:bCs/>
          <w:sz w:val="24"/>
          <w:szCs w:val="24"/>
          <w:lang w:val="en-US" w:eastAsia="zh-CN"/>
        </w:rPr>
        <w:t xml:space="preserve">              </w:t>
      </w:r>
      <w:r>
        <w:rPr>
          <w:rFonts w:hint="eastAsia" w:ascii="宋体" w:hAnsi="宋体" w:cs="仿宋"/>
          <w:b/>
          <w:bCs/>
          <w:sz w:val="24"/>
          <w:szCs w:val="24"/>
        </w:rPr>
        <w:t>统一社会信用代码：</w:t>
      </w:r>
    </w:p>
    <w:p w14:paraId="5CA852FE">
      <w:pPr>
        <w:autoSpaceDE w:val="0"/>
        <w:autoSpaceDN w:val="0"/>
        <w:spacing w:line="460" w:lineRule="exact"/>
        <w:ind w:left="4560" w:hanging="4562" w:hangingChars="1900"/>
        <w:rPr>
          <w:rFonts w:ascii="宋体" w:hAnsi="宋体" w:cs="仿宋"/>
          <w:b/>
          <w:bCs/>
          <w:sz w:val="24"/>
          <w:szCs w:val="24"/>
        </w:rPr>
      </w:pPr>
      <w:r>
        <w:rPr>
          <w:rFonts w:hint="eastAsia" w:ascii="宋体" w:hAnsi="宋体" w:cs="仿宋"/>
          <w:b/>
          <w:bCs/>
          <w:sz w:val="24"/>
          <w:szCs w:val="24"/>
        </w:rPr>
        <w:t>地址：</w:t>
      </w:r>
      <w:r>
        <w:rPr>
          <w:rFonts w:hint="eastAsia" w:ascii="宋体" w:hAnsi="宋体" w:cs="仿宋"/>
          <w:b/>
          <w:bCs/>
          <w:sz w:val="24"/>
          <w:szCs w:val="24"/>
          <w:lang w:val="en-US" w:eastAsia="zh-CN"/>
        </w:rPr>
        <w:t xml:space="preserve"> </w:t>
      </w:r>
      <w:r>
        <w:rPr>
          <w:rFonts w:hint="eastAsia" w:ascii="宋体" w:hAnsi="宋体" w:cs="仿宋"/>
          <w:b/>
          <w:bCs/>
          <w:color w:val="0070C0"/>
          <w:sz w:val="22"/>
          <w:szCs w:val="22"/>
        </w:rPr>
        <w:t xml:space="preserve">      </w:t>
      </w:r>
      <w:r>
        <w:rPr>
          <w:rFonts w:hint="eastAsia" w:ascii="宋体" w:hAnsi="宋体" w:cs="仿宋"/>
          <w:b/>
          <w:bCs/>
          <w:color w:val="0070C0"/>
          <w:sz w:val="22"/>
          <w:szCs w:val="22"/>
          <w:lang w:val="en-US" w:eastAsia="zh-CN"/>
        </w:rPr>
        <w:t xml:space="preserve">                     </w:t>
      </w:r>
      <w:r>
        <w:rPr>
          <w:rFonts w:hint="eastAsia" w:ascii="宋体" w:hAnsi="宋体" w:cs="仿宋"/>
          <w:b/>
          <w:bCs/>
          <w:sz w:val="24"/>
          <w:szCs w:val="24"/>
        </w:rPr>
        <w:t>地址：</w:t>
      </w:r>
    </w:p>
    <w:p w14:paraId="689711B5">
      <w:pPr>
        <w:autoSpaceDE w:val="0"/>
        <w:autoSpaceDN w:val="0"/>
        <w:spacing w:line="460" w:lineRule="exact"/>
        <w:rPr>
          <w:rFonts w:ascii="宋体" w:hAnsi="宋体" w:cs="仿宋"/>
          <w:b/>
          <w:bCs/>
          <w:sz w:val="24"/>
          <w:szCs w:val="24"/>
        </w:rPr>
      </w:pPr>
      <w:r>
        <w:rPr>
          <w:rFonts w:hint="eastAsia" w:ascii="宋体" w:hAnsi="宋体" w:cs="仿宋"/>
          <w:b/>
          <w:bCs/>
          <w:sz w:val="24"/>
          <w:szCs w:val="24"/>
        </w:rPr>
        <w:t>邮政编码：</w:t>
      </w:r>
      <w:r>
        <w:rPr>
          <w:rFonts w:hint="eastAsia" w:ascii="宋体" w:hAnsi="宋体" w:cs="仿宋"/>
          <w:b/>
          <w:bCs/>
          <w:sz w:val="24"/>
          <w:szCs w:val="24"/>
          <w:lang w:val="en-US" w:eastAsia="zh-CN"/>
        </w:rPr>
        <w:t xml:space="preserve">       </w:t>
      </w:r>
      <w:r>
        <w:rPr>
          <w:rFonts w:hint="eastAsia" w:ascii="宋体" w:hAnsi="宋体" w:cs="仿宋"/>
          <w:b/>
          <w:bCs/>
          <w:sz w:val="24"/>
          <w:szCs w:val="24"/>
        </w:rPr>
        <w:t xml:space="preserve">               邮政编码：</w:t>
      </w:r>
    </w:p>
    <w:p w14:paraId="532EB5C2">
      <w:pPr>
        <w:autoSpaceDE w:val="0"/>
        <w:autoSpaceDN w:val="0"/>
        <w:spacing w:line="460" w:lineRule="exact"/>
        <w:rPr>
          <w:rFonts w:ascii="宋体" w:hAnsi="宋体" w:cs="仿宋"/>
          <w:b/>
          <w:bCs/>
          <w:sz w:val="24"/>
          <w:szCs w:val="24"/>
        </w:rPr>
      </w:pPr>
      <w:r>
        <w:rPr>
          <w:rFonts w:hint="eastAsia" w:ascii="宋体" w:hAnsi="宋体" w:cs="仿宋"/>
          <w:b/>
          <w:bCs/>
          <w:sz w:val="24"/>
          <w:szCs w:val="24"/>
        </w:rPr>
        <w:t>电话：</w:t>
      </w:r>
      <w:r>
        <w:rPr>
          <w:rFonts w:hint="eastAsia" w:ascii="宋体" w:hAnsi="宋体" w:cs="仿宋"/>
          <w:b/>
          <w:bCs/>
          <w:sz w:val="24"/>
          <w:szCs w:val="24"/>
          <w:lang w:val="en-US" w:eastAsia="zh-CN"/>
        </w:rPr>
        <w:t xml:space="preserve">            </w:t>
      </w:r>
      <w:r>
        <w:rPr>
          <w:rFonts w:hint="eastAsia" w:ascii="宋体" w:hAnsi="宋体" w:cs="仿宋"/>
          <w:b/>
          <w:bCs/>
          <w:sz w:val="24"/>
          <w:szCs w:val="24"/>
        </w:rPr>
        <w:t xml:space="preserve">              电话：</w:t>
      </w:r>
    </w:p>
    <w:p w14:paraId="6E28652B">
      <w:pPr>
        <w:autoSpaceDE w:val="0"/>
        <w:autoSpaceDN w:val="0"/>
        <w:spacing w:line="460" w:lineRule="exact"/>
        <w:rPr>
          <w:rFonts w:ascii="宋体" w:hAnsi="宋体" w:cs="仿宋"/>
          <w:b/>
          <w:bCs/>
          <w:sz w:val="24"/>
          <w:szCs w:val="24"/>
        </w:rPr>
      </w:pPr>
      <w:r>
        <w:rPr>
          <w:rFonts w:hint="eastAsia" w:ascii="宋体" w:hAnsi="宋体" w:cs="仿宋"/>
          <w:b/>
          <w:bCs/>
          <w:sz w:val="24"/>
          <w:szCs w:val="24"/>
        </w:rPr>
        <w:t>传真：/                         传真：</w:t>
      </w:r>
    </w:p>
    <w:p w14:paraId="7A6C6E3A">
      <w:pPr>
        <w:autoSpaceDE w:val="0"/>
        <w:autoSpaceDN w:val="0"/>
        <w:spacing w:line="460" w:lineRule="exact"/>
        <w:rPr>
          <w:rFonts w:ascii="宋体" w:hAnsi="宋体" w:cs="仿宋"/>
          <w:b/>
          <w:bCs/>
          <w:sz w:val="24"/>
          <w:szCs w:val="24"/>
        </w:rPr>
      </w:pPr>
      <w:r>
        <w:rPr>
          <w:rFonts w:hint="eastAsia" w:ascii="宋体" w:hAnsi="宋体" w:cs="仿宋"/>
          <w:b/>
          <w:bCs/>
          <w:sz w:val="24"/>
          <w:szCs w:val="24"/>
        </w:rPr>
        <w:t>电子信箱：/                     电子信箱：</w:t>
      </w:r>
    </w:p>
    <w:p w14:paraId="6C8B4084">
      <w:pPr>
        <w:autoSpaceDE w:val="0"/>
        <w:autoSpaceDN w:val="0"/>
        <w:spacing w:line="460" w:lineRule="exact"/>
        <w:rPr>
          <w:rFonts w:ascii="宋体" w:hAnsi="宋体" w:cs="仿宋"/>
          <w:b/>
          <w:bCs/>
          <w:sz w:val="24"/>
          <w:szCs w:val="24"/>
        </w:rPr>
      </w:pPr>
      <w:r>
        <w:rPr>
          <w:rFonts w:hint="eastAsia" w:ascii="宋体" w:hAnsi="宋体" w:cs="仿宋"/>
          <w:b/>
          <w:bCs/>
          <w:sz w:val="24"/>
          <w:szCs w:val="24"/>
        </w:rPr>
        <w:t>开户银行：</w:t>
      </w:r>
      <w:r>
        <w:rPr>
          <w:rFonts w:hint="eastAsia" w:ascii="宋体" w:hAnsi="宋体" w:cs="仿宋"/>
          <w:b/>
          <w:bCs/>
          <w:sz w:val="24"/>
          <w:szCs w:val="24"/>
          <w:lang w:val="en-US" w:eastAsia="zh-CN"/>
        </w:rPr>
        <w:t xml:space="preserve">              </w:t>
      </w:r>
      <w:r>
        <w:rPr>
          <w:rFonts w:hint="eastAsia" w:ascii="宋体" w:hAnsi="宋体" w:cs="仿宋"/>
          <w:b/>
          <w:bCs/>
          <w:sz w:val="24"/>
          <w:szCs w:val="24"/>
        </w:rPr>
        <w:t xml:space="preserve">        开户银行：</w:t>
      </w:r>
    </w:p>
    <w:p w14:paraId="3B4B1E24">
      <w:pPr>
        <w:autoSpaceDE w:val="0"/>
        <w:autoSpaceDN w:val="0"/>
        <w:spacing w:line="460" w:lineRule="exact"/>
        <w:rPr>
          <w:rFonts w:ascii="宋体" w:hAnsi="宋体" w:cs="仿宋"/>
          <w:color w:val="0070C0"/>
          <w:sz w:val="24"/>
          <w:szCs w:val="24"/>
        </w:rPr>
      </w:pPr>
      <w:r>
        <w:rPr>
          <w:rFonts w:hint="eastAsia" w:ascii="宋体" w:hAnsi="宋体" w:cs="仿宋"/>
          <w:b/>
          <w:bCs/>
          <w:sz w:val="24"/>
          <w:szCs w:val="24"/>
        </w:rPr>
        <w:t>账号：</w:t>
      </w:r>
      <w:r>
        <w:rPr>
          <w:rFonts w:hint="eastAsia" w:ascii="宋体" w:hAnsi="宋体" w:cs="仿宋"/>
          <w:b/>
          <w:bCs/>
          <w:sz w:val="24"/>
          <w:szCs w:val="24"/>
          <w:lang w:val="en-US" w:eastAsia="zh-CN"/>
        </w:rPr>
        <w:t xml:space="preserve">                   </w:t>
      </w:r>
      <w:r>
        <w:rPr>
          <w:rFonts w:hint="eastAsia" w:ascii="宋体" w:hAnsi="宋体" w:cs="仿宋"/>
          <w:b/>
          <w:bCs/>
          <w:sz w:val="24"/>
          <w:szCs w:val="24"/>
        </w:rPr>
        <w:t xml:space="preserve">       账号：</w:t>
      </w:r>
    </w:p>
    <w:p w14:paraId="569CFD9F">
      <w:pPr>
        <w:autoSpaceDE w:val="0"/>
        <w:autoSpaceDN w:val="0"/>
        <w:jc w:val="center"/>
        <w:rPr>
          <w:rFonts w:ascii="宋体" w:hAnsi="宋体" w:cs="仿宋"/>
          <w:b/>
          <w:bCs/>
          <w:sz w:val="24"/>
          <w:szCs w:val="24"/>
        </w:rPr>
      </w:pPr>
    </w:p>
    <w:p w14:paraId="5DC6E75C">
      <w:pPr>
        <w:pStyle w:val="4"/>
        <w:rPr>
          <w:rFonts w:ascii="宋体" w:hAnsi="宋体" w:cs="仿宋"/>
          <w:b/>
          <w:bCs/>
          <w:sz w:val="24"/>
          <w:szCs w:val="24"/>
        </w:rPr>
      </w:pPr>
    </w:p>
    <w:p w14:paraId="30C0FE3D">
      <w:pPr>
        <w:sectPr>
          <w:footerReference r:id="rId11" w:type="default"/>
          <w:pgSz w:w="11906" w:h="16838"/>
          <w:pgMar w:top="1440" w:right="1800" w:bottom="1440" w:left="1380" w:header="851" w:footer="992" w:gutter="0"/>
          <w:pgNumType w:fmt="decimal" w:start="1"/>
          <w:cols w:space="720" w:num="1"/>
          <w:rtlGutter w:val="1"/>
          <w:docGrid w:type="lines" w:linePitch="312" w:charSpace="0"/>
        </w:sectPr>
      </w:pPr>
    </w:p>
    <w:p w14:paraId="03542D17">
      <w:pPr>
        <w:autoSpaceDE w:val="0"/>
        <w:autoSpaceDN w:val="0"/>
        <w:jc w:val="center"/>
        <w:rPr>
          <w:rFonts w:hint="eastAsia" w:ascii="宋体" w:hAnsi="宋体" w:cs="仿宋"/>
          <w:b/>
          <w:bCs/>
          <w:sz w:val="28"/>
          <w:szCs w:val="28"/>
        </w:rPr>
      </w:pPr>
    </w:p>
    <w:p w14:paraId="3556BDDA">
      <w:pPr>
        <w:autoSpaceDE w:val="0"/>
        <w:autoSpaceDN w:val="0"/>
        <w:jc w:val="center"/>
        <w:rPr>
          <w:rFonts w:ascii="宋体" w:hAnsi="宋体" w:cs="仿宋"/>
          <w:b/>
          <w:bCs/>
          <w:sz w:val="28"/>
          <w:szCs w:val="28"/>
        </w:rPr>
      </w:pPr>
      <w:r>
        <w:rPr>
          <w:rFonts w:hint="eastAsia" w:ascii="宋体" w:hAnsi="宋体" w:cs="仿宋"/>
          <w:b/>
          <w:bCs/>
          <w:sz w:val="28"/>
          <w:szCs w:val="28"/>
        </w:rPr>
        <w:t>第二部分通用合同条款</w:t>
      </w:r>
    </w:p>
    <w:p w14:paraId="17D2A01C">
      <w:pPr>
        <w:autoSpaceDE w:val="0"/>
        <w:autoSpaceDN w:val="0"/>
        <w:jc w:val="center"/>
        <w:rPr>
          <w:rFonts w:ascii="宋体" w:hAnsi="宋体" w:cs="仿宋"/>
          <w:b/>
          <w:bCs/>
          <w:sz w:val="24"/>
          <w:szCs w:val="24"/>
        </w:rPr>
      </w:pPr>
    </w:p>
    <w:p w14:paraId="4082177D">
      <w:pPr>
        <w:keepNext w:val="0"/>
        <w:keepLines w:val="0"/>
        <w:pageBreakBefore w:val="0"/>
        <w:widowControl/>
        <w:kinsoku/>
        <w:wordWrap/>
        <w:overflowPunct/>
        <w:topLinePunct w:val="0"/>
        <w:autoSpaceDE w:val="0"/>
        <w:autoSpaceDN w:val="0"/>
        <w:bidi w:val="0"/>
        <w:adjustRightInd/>
        <w:snapToGrid/>
        <w:ind w:firstLine="480" w:firstLineChars="200"/>
        <w:textAlignment w:val="auto"/>
        <w:rPr>
          <w:rFonts w:hint="eastAsia" w:ascii="宋体" w:hAnsi="宋体" w:cs="仿宋"/>
          <w:sz w:val="24"/>
          <w:szCs w:val="24"/>
        </w:rPr>
      </w:pPr>
      <w:r>
        <w:rPr>
          <w:rFonts w:hint="eastAsia" w:ascii="宋体" w:hAnsi="宋体" w:cs="仿宋"/>
          <w:sz w:val="24"/>
          <w:szCs w:val="24"/>
        </w:rPr>
        <w:t>此部分采用《建设工程施工合同》范本（GF—2017—0201）中《第二部分通用条款》。</w:t>
      </w:r>
    </w:p>
    <w:p w14:paraId="138820FA">
      <w:pPr>
        <w:autoSpaceDE w:val="0"/>
        <w:autoSpaceDN w:val="0"/>
        <w:jc w:val="center"/>
        <w:rPr>
          <w:rFonts w:hint="eastAsia" w:ascii="宋体" w:hAnsi="宋体" w:cs="仿宋"/>
          <w:b/>
          <w:bCs/>
          <w:sz w:val="28"/>
          <w:szCs w:val="28"/>
        </w:rPr>
      </w:pPr>
    </w:p>
    <w:p w14:paraId="60915FE8">
      <w:pPr>
        <w:autoSpaceDE w:val="0"/>
        <w:autoSpaceDN w:val="0"/>
        <w:jc w:val="center"/>
        <w:rPr>
          <w:rFonts w:hint="eastAsia" w:ascii="宋体" w:hAnsi="宋体" w:cs="仿宋"/>
          <w:b/>
          <w:bCs/>
          <w:sz w:val="28"/>
          <w:szCs w:val="28"/>
        </w:rPr>
      </w:pPr>
      <w:r>
        <w:rPr>
          <w:rFonts w:hint="eastAsia" w:ascii="宋体" w:hAnsi="宋体" w:cs="仿宋"/>
          <w:b/>
          <w:bCs/>
          <w:sz w:val="28"/>
          <w:szCs w:val="28"/>
        </w:rPr>
        <w:t>第三部分</w:t>
      </w:r>
      <w:r>
        <w:rPr>
          <w:rFonts w:hint="eastAsia" w:ascii="宋体" w:hAnsi="宋体" w:cs="仿宋"/>
          <w:b/>
          <w:bCs/>
          <w:sz w:val="28"/>
          <w:szCs w:val="28"/>
          <w:lang w:val="en-US" w:eastAsia="zh-CN"/>
        </w:rPr>
        <w:t xml:space="preserve"> </w:t>
      </w:r>
      <w:r>
        <w:rPr>
          <w:rFonts w:hint="eastAsia" w:ascii="宋体" w:hAnsi="宋体" w:cs="仿宋"/>
          <w:b/>
          <w:bCs/>
          <w:sz w:val="28"/>
          <w:szCs w:val="28"/>
        </w:rPr>
        <w:t>专用合同条款</w:t>
      </w:r>
    </w:p>
    <w:p w14:paraId="10837448">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 . 一般约定</w:t>
      </w:r>
    </w:p>
    <w:p w14:paraId="26039536">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1.1 词语定义</w:t>
      </w:r>
    </w:p>
    <w:p w14:paraId="147A69DE">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1.1.1合同</w:t>
      </w:r>
    </w:p>
    <w:p w14:paraId="6EB984D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合同文件包括：（1）施工合同协议书；（2）中标通知书；（3）招标或竞争性磋商文件、投标书及其附件；（4）专用条款；（5）通用条款；（6）标准、规范及有关技术资料；（7）工程量清单；（8）工程报价单或预算书等履行合同过程中双方书面确认的对合同内容有实质性影响的文件以及会议纪要、签证、设计变更等资料。</w:t>
      </w:r>
    </w:p>
    <w:p w14:paraId="70DF2EA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1.1.2 合同当事人及其他相关方</w:t>
      </w:r>
    </w:p>
    <w:p w14:paraId="7A4D808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1.1.2.1监理人：</w:t>
      </w:r>
    </w:p>
    <w:p w14:paraId="71A9D91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sz w:val="24"/>
          <w:szCs w:val="24"/>
        </w:rPr>
        <w:t>名称</w:t>
      </w:r>
      <w:r>
        <w:rPr>
          <w:rFonts w:hint="eastAsia" w:ascii="宋体" w:hAnsi="宋体" w:cs="仿宋"/>
          <w:color w:val="0000FF"/>
          <w:sz w:val="24"/>
          <w:szCs w:val="24"/>
        </w:rPr>
        <w:t>：</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7466222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资质类别和等级：</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252106C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联系电话：</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5E60619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电子信箱：</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6223B6F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通信地址：</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3E113CB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1.1.2.2设计人：</w:t>
      </w:r>
    </w:p>
    <w:p w14:paraId="70EF114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名称：</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177389F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资质类别和等级：</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1575BBE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联系电话：</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0A10E2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电子信箱：</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63C79CF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通信地址：</w:t>
      </w:r>
      <w:r>
        <w:rPr>
          <w:rFonts w:hint="eastAsia" w:ascii="宋体" w:hAnsi="宋体" w:cs="仿宋"/>
          <w:color w:val="0000FF"/>
          <w:sz w:val="24"/>
          <w:szCs w:val="24"/>
          <w:u w:val="single"/>
        </w:rPr>
        <w:t xml:space="preserve">              </w:t>
      </w:r>
      <w:r>
        <w:rPr>
          <w:rFonts w:hint="eastAsia" w:ascii="宋体" w:hAnsi="宋体" w:cs="仿宋"/>
          <w:color w:val="0000FF"/>
          <w:sz w:val="24"/>
          <w:szCs w:val="24"/>
        </w:rPr>
        <w:t>；</w:t>
      </w:r>
    </w:p>
    <w:p w14:paraId="328BB83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1.1.3 工程和设备</w:t>
      </w:r>
    </w:p>
    <w:p w14:paraId="6F122C0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1.1.3.1作为施工现场组成部分的其他场所包括：无。</w:t>
      </w:r>
    </w:p>
    <w:p w14:paraId="16FF7FD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1.1.3.2永久占地包括：无。</w:t>
      </w:r>
    </w:p>
    <w:p w14:paraId="46E5DF8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1.1.3.3临时占地包括：施工场地周围道路。</w:t>
      </w:r>
    </w:p>
    <w:p w14:paraId="1B3EA6D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1.2法律</w:t>
      </w:r>
    </w:p>
    <w:p w14:paraId="1AE4A2D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u w:val="none"/>
        </w:rPr>
      </w:pPr>
      <w:r>
        <w:rPr>
          <w:rFonts w:hint="eastAsia"/>
          <w:sz w:val="24"/>
        </w:rPr>
        <w:t>适用于合同的其他规范性文件：</w:t>
      </w:r>
      <w:r>
        <w:rPr>
          <w:rFonts w:hint="eastAsia"/>
          <w:sz w:val="24"/>
          <w:u w:val="none"/>
        </w:rPr>
        <w:t>《中华人民共和国民法典》、《中华人民共和国建筑法》、《中华人民共和国招标投标法》、《中华人民共和国招标投标法实施条例》、《建设工程质量管理条例》、七部委第</w:t>
      </w:r>
      <w:r>
        <w:rPr>
          <w:sz w:val="24"/>
          <w:u w:val="none"/>
        </w:rPr>
        <w:t>12</w:t>
      </w:r>
      <w:r>
        <w:rPr>
          <w:rFonts w:hint="eastAsia"/>
          <w:sz w:val="24"/>
          <w:u w:val="none"/>
        </w:rPr>
        <w:t>号令《评标委员会和评标方法暂行规定》、七部委第</w:t>
      </w:r>
      <w:r>
        <w:rPr>
          <w:sz w:val="24"/>
          <w:u w:val="none"/>
        </w:rPr>
        <w:t>30</w:t>
      </w:r>
      <w:r>
        <w:rPr>
          <w:rFonts w:hint="eastAsia"/>
          <w:sz w:val="24"/>
          <w:u w:val="none"/>
        </w:rPr>
        <w:t>号令《工程建设项目施工招标投标办法》、建设部第</w:t>
      </w:r>
      <w:r>
        <w:rPr>
          <w:rFonts w:hint="eastAsia"/>
          <w:sz w:val="24"/>
          <w:u w:val="none"/>
          <w:lang w:val="en-US" w:eastAsia="zh-CN"/>
        </w:rPr>
        <w:t>47</w:t>
      </w:r>
      <w:r>
        <w:rPr>
          <w:rFonts w:hint="eastAsia"/>
          <w:sz w:val="24"/>
          <w:u w:val="none"/>
        </w:rPr>
        <w:t>号令《房屋建筑和市政基础设施工程施工招标投标管理办法》等。</w:t>
      </w:r>
    </w:p>
    <w:p w14:paraId="3795694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1.3标准和规范</w:t>
      </w:r>
    </w:p>
    <w:p w14:paraId="1A31B33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1.3.1适用于工程的标准规范包括：本项目应按国家颁发的有关规范、标准及省、市有关规定设计及施工。除非合同中另有规定，施工所用的规范及标准须采用最新版本。如遇设计或施工规范和标准对同一问题的处理出现相互矛盾的情况时，承包人应及时通知监理工程师，并提出解决办法，征得发包人和监理工程师的同意后实施。</w:t>
      </w:r>
    </w:p>
    <w:p w14:paraId="69D2D51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1.3.2 发包人提供国外标准、规范的名称：无；</w:t>
      </w:r>
    </w:p>
    <w:p w14:paraId="6549B4C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发包人提供国外标准、规范的份数：无；</w:t>
      </w:r>
    </w:p>
    <w:p w14:paraId="0C11344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发包人提供国外标准、规范的名称：无。</w:t>
      </w:r>
    </w:p>
    <w:p w14:paraId="3D44F5B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1.3.3发包人对工程的技术标准和功能要求的特殊要求：无。</w:t>
      </w:r>
    </w:p>
    <w:p w14:paraId="4578153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1.4合同文件的优先顺序</w:t>
      </w:r>
    </w:p>
    <w:p w14:paraId="5C4509B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合同文件组成及优先顺序为：（1）本施工合同协议书；（2）中标通知书；（3）本合同专用条款；（4）标准、规范及有关技术资料；（5）工程量清单；（6）工程报价单或预算书；（7）招标或竞争性磋商文件、投标书及其附件（含：承包人投标过程所作承诺）；（8）本合同通用条款；（9）合同履行中，发包人承包人有关工程的洽商、变更等书面协议或文件视为本合同的组成。</w:t>
      </w:r>
    </w:p>
    <w:p w14:paraId="52BF7FB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上述各项合同文件包括合同当事人就该项合同文件所作出的补充和修改，属于同一类内容的文件，应以最新签署的为准。</w:t>
      </w:r>
    </w:p>
    <w:p w14:paraId="2728539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1.5图纸和承包人文件</w:t>
      </w:r>
    </w:p>
    <w:p w14:paraId="3A18CE5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1.5.1 图纸的提供</w:t>
      </w:r>
    </w:p>
    <w:p w14:paraId="3388E59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发包人向承包人提供图纸的期限：开工前</w:t>
      </w:r>
      <w:r>
        <w:rPr>
          <w:rFonts w:hint="eastAsia" w:ascii="宋体" w:hAnsi="宋体" w:cs="仿宋"/>
          <w:color w:val="0000FF"/>
          <w:sz w:val="24"/>
          <w:szCs w:val="24"/>
        </w:rPr>
        <w:t>【  】</w:t>
      </w:r>
      <w:r>
        <w:rPr>
          <w:rFonts w:hint="eastAsia" w:ascii="宋体" w:hAnsi="宋体" w:cs="仿宋"/>
          <w:sz w:val="24"/>
          <w:szCs w:val="24"/>
        </w:rPr>
        <w:t>日内提供施工图；</w:t>
      </w:r>
    </w:p>
    <w:p w14:paraId="0D8BACA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发包人向承包人提供图纸的数量：纸质版</w:t>
      </w:r>
      <w:r>
        <w:rPr>
          <w:rFonts w:hint="eastAsia" w:ascii="宋体" w:hAnsi="宋体" w:cs="仿宋"/>
          <w:color w:val="0000FF"/>
          <w:sz w:val="24"/>
          <w:szCs w:val="24"/>
        </w:rPr>
        <w:t>【  】</w:t>
      </w:r>
      <w:r>
        <w:rPr>
          <w:rFonts w:hint="eastAsia" w:ascii="宋体" w:hAnsi="宋体" w:cs="仿宋"/>
          <w:sz w:val="24"/>
          <w:szCs w:val="24"/>
        </w:rPr>
        <w:t>套，如需加晒图纸承包人自行承担所有费用；</w:t>
      </w:r>
    </w:p>
    <w:p w14:paraId="5BDD88F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发包人向承包人提供图纸的内容：  /</w:t>
      </w:r>
    </w:p>
    <w:p w14:paraId="31BBA4A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1.5.2承包人文件</w:t>
      </w:r>
    </w:p>
    <w:p w14:paraId="32F8427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需要由承包人提供的文件，包括：每七天分别向发包人及监理方提供详细的施工进度计划、已完工程量报表（含工程变更及签证算）、发包人供材料清单、承包人购材料清单、材料进场计划、劳动力及用款计划等资料。分项的施工组织设计在开工3日内向发包人提供。进场后一周内提供材料计划，每两周分别向发包人及监理方提供详细的施工进度计划、已完工程量报表（含工程变更及签证预算）、发包人供材料清单、承包人购材料清单、材料进场计划、劳动力及用款计划等资料。分项的施工组织设计在开工前1周内向发包人提供。需要由承包人提供的文件还包括：（1）设计变更、签证申请报告；（2）隐蔽工程和中间验收通知；（3）竣工验收申请报告；（4）竣工资料；（5）竣工结算申请单及结算资料；（6）最终结清申请单；其他应监理人或发包人要求提交的其他报告、报表。</w:t>
      </w:r>
    </w:p>
    <w:p w14:paraId="7E7AE0F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承包人提供的文件的期限为：除了上述第1.5.2条款规定的文件提交期限外，其他文件提交相关事件发生之日起3天内；</w:t>
      </w:r>
    </w:p>
    <w:p w14:paraId="1A87F0B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承包人提供的文件的数量为：一式贰 份，承包人留存一份 ；</w:t>
      </w:r>
    </w:p>
    <w:p w14:paraId="0A3E742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承包人提供的文件的形式为：书面形式；</w:t>
      </w:r>
    </w:p>
    <w:p w14:paraId="4172295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发包人审批承包人文件的期限：发包人收到文件后14天内。</w:t>
      </w:r>
    </w:p>
    <w:p w14:paraId="7DFCC0C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1.5.3现场图纸准备</w:t>
      </w:r>
    </w:p>
    <w:p w14:paraId="5537A69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关于现场图纸准备的约定：执行通用条款。</w:t>
      </w:r>
    </w:p>
    <w:p w14:paraId="3481B77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1.6联络</w:t>
      </w:r>
    </w:p>
    <w:p w14:paraId="4192BF6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1.6.1发包人和承包人应当在 3 天内将与合同有关的通知、批准、证明、证书、指示、指令、要求、请求、同意、意见、确定和决定等书面函件送达对方当事人（但发包人审批承包人文件的期限为：发包人收到文件后14天内）。</w:t>
      </w:r>
    </w:p>
    <w:p w14:paraId="6BE4894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sz w:val="24"/>
          <w:szCs w:val="24"/>
        </w:rPr>
        <w:t>1.6.2 发包人接收文件的地点</w:t>
      </w:r>
      <w:r>
        <w:rPr>
          <w:rFonts w:hint="eastAsia" w:ascii="宋体" w:hAnsi="宋体" w:cs="仿宋"/>
          <w:color w:val="0000FF"/>
          <w:sz w:val="24"/>
          <w:szCs w:val="24"/>
        </w:rPr>
        <w:t>：</w:t>
      </w:r>
      <w:r>
        <w:rPr>
          <w:rFonts w:hint="eastAsia" w:cs="MingLiU_HKSCS"/>
          <w:color w:val="0000FF"/>
          <w:sz w:val="24"/>
          <w:u w:val="single"/>
          <w:lang w:val="en-US" w:eastAsia="zh-CN"/>
        </w:rPr>
        <w:t xml:space="preserve">                               </w:t>
      </w:r>
      <w:r>
        <w:rPr>
          <w:rFonts w:hint="eastAsia"/>
          <w:color w:val="0000FF"/>
          <w:sz w:val="24"/>
        </w:rPr>
        <w:t>；</w:t>
      </w:r>
    </w:p>
    <w:p w14:paraId="369F58B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发包人指定的接收人为：______。</w:t>
      </w:r>
    </w:p>
    <w:p w14:paraId="2D2F37C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承包人接收文件的地点：______；</w:t>
      </w:r>
    </w:p>
    <w:p w14:paraId="0E25D17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承包人指定的接收人为：项目经理：     。</w:t>
      </w:r>
    </w:p>
    <w:p w14:paraId="20400C5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监理人接收文件的地点：______；</w:t>
      </w:r>
    </w:p>
    <w:p w14:paraId="6E2D258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监理人指定的接收人为：______。</w:t>
      </w:r>
    </w:p>
    <w:p w14:paraId="5CA08A2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1.7交通运输</w:t>
      </w:r>
    </w:p>
    <w:p w14:paraId="3D2198E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 .7.1 出入现场的权利</w:t>
      </w:r>
    </w:p>
    <w:p w14:paraId="6C2A1B4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关于出入现场的权利的约定：</w:t>
      </w:r>
      <w:r>
        <w:rPr>
          <w:rFonts w:hint="eastAsia" w:ascii="宋体" w:hAnsi="宋体" w:cs="仿宋"/>
          <w:sz w:val="24"/>
          <w:szCs w:val="24"/>
          <w:u w:val="single"/>
        </w:rPr>
        <w:t>发包人项目负责人及主管领导、承包人项目组成员有权出入现场，禁止外单位施工车辆、人员出入工地。</w:t>
      </w:r>
    </w:p>
    <w:p w14:paraId="0005301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 .7.2场内交通</w:t>
      </w:r>
    </w:p>
    <w:p w14:paraId="54664B5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关于场外交通和场内交通的边界的约定：视项目现场情况另行约定。</w:t>
      </w:r>
    </w:p>
    <w:p w14:paraId="1E1DF72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关于发包人向承包人免费提供满足工程施工需要的场内道路和交通设施的约定：/。</w:t>
      </w:r>
    </w:p>
    <w:p w14:paraId="4061BBD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1.7.3超大件和超重件的运输</w:t>
      </w:r>
    </w:p>
    <w:p w14:paraId="1DE028E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运输超大件或超重件所需的道路和桥梁临时加固改造费用和其他有关费用由承包人承担。</w:t>
      </w:r>
    </w:p>
    <w:p w14:paraId="2FAEBA8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1.8知识产权</w:t>
      </w:r>
    </w:p>
    <w:p w14:paraId="3744440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1.8.1关于发包人提供给承包人的图纸、发包人为实施工程自行编制或委托编制的技术规范以及反映发包人关于合同要求或其他类似性质的文件的著作权的归属：按照通用条款执行。</w:t>
      </w:r>
    </w:p>
    <w:p w14:paraId="01CCDE8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关于发包人提供的上述文件的使用限制的要求：仅限于此工程项目。</w:t>
      </w:r>
    </w:p>
    <w:p w14:paraId="05849B5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1.8.2 关于承包人为实施工程所编制文件的著作权的归属：按照通用条款执行。</w:t>
      </w:r>
    </w:p>
    <w:p w14:paraId="00E018B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关于承包人提供的上述文件的使用限制的要求：按照通用条款执行。</w:t>
      </w:r>
    </w:p>
    <w:p w14:paraId="74C2688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1.8.3承包人在施工过程中所采用的专利、专有技术、技术秘密的使用费的承担方式：由承包人承担。</w:t>
      </w:r>
    </w:p>
    <w:p w14:paraId="7C0A302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1.9工程量清单错误的修正</w:t>
      </w:r>
    </w:p>
    <w:p w14:paraId="2DD1FB5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当工程量清单存在缺项、漏项时，按下列规定调整合同价格。（1）已标价工程量清单有相同项目的，按照相同项目单价认定；（2）已标价工程量清单中无相同项目，但有类似项目的，参照类似项目的单价认定；（3）已标价工程量清单中没有适用也没有类似于变更工程项目的，由承包人根据变更工程资料（施工图变更文件和项目监理人批复的工程变更施工方案）、计量规则和计价办法、工程造价管理的信息价格（变更当月）和承包人报价浮动率提出变更工程项目的单价，报发包人及项目造价咨询人（跟踪审计单位）确认后调整乘以L为结算综合单价。承包人报价浮动率按下列公式计算：</w:t>
      </w:r>
    </w:p>
    <w:p w14:paraId="4F0DFE6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承包人报价浮动率 L=[1-（中标造价/采购控制价）]× 100%；</w:t>
      </w:r>
    </w:p>
    <w:p w14:paraId="3A41AA6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（4）已标价工程量清单中没有适用也没有类似于变更工程项目，且</w:t>
      </w:r>
      <w:r>
        <w:rPr>
          <w:rFonts w:hint="eastAsia" w:ascii="宋体" w:hAnsi="宋体" w:cs="仿宋"/>
          <w:sz w:val="24"/>
          <w:szCs w:val="24"/>
          <w:lang w:val="en-US" w:eastAsia="zh-CN"/>
        </w:rPr>
        <w:t>长春</w:t>
      </w:r>
      <w:r>
        <w:rPr>
          <w:rFonts w:hint="eastAsia" w:ascii="宋体" w:hAnsi="宋体" w:cs="仿宋"/>
          <w:sz w:val="24"/>
          <w:szCs w:val="24"/>
        </w:rPr>
        <w:t xml:space="preserve">工程造价管理机构发布的信息价格缺失的，材料价格由发包人、承包人、项目造价咨询人（跟踪审计单位）共同询价确认材料价后，按上条款办法确认单价。承包人不得以任何理由拒绝询价结果，否则认为承包人违约，发包人有权将涉及到此材料的分部分项工程量以不高于询价结果的材料价按本条目第（4）款组价后指定分包给有能力承担此项工程的其他承包人。 </w:t>
      </w:r>
    </w:p>
    <w:p w14:paraId="5E9F6DA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允许调整合同价格的工程量偏差范围：</w:t>
      </w:r>
      <w:r>
        <w:rPr>
          <w:rFonts w:hint="eastAsia" w:ascii="宋体" w:hAnsi="宋体" w:cs="仿宋"/>
          <w:sz w:val="24"/>
          <w:szCs w:val="24"/>
          <w:u w:val="single"/>
        </w:rPr>
        <w:t xml:space="preserve">/ </w:t>
      </w:r>
      <w:r>
        <w:rPr>
          <w:rFonts w:hint="eastAsia" w:ascii="宋体" w:hAnsi="宋体" w:cs="仿宋"/>
          <w:sz w:val="24"/>
          <w:szCs w:val="24"/>
        </w:rPr>
        <w:t>。</w:t>
      </w:r>
    </w:p>
    <w:p w14:paraId="41E725D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 . 发包人</w:t>
      </w:r>
    </w:p>
    <w:p w14:paraId="33B7E5E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2.1发包人代表</w:t>
      </w:r>
    </w:p>
    <w:p w14:paraId="3DF1F53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发包人代表：</w:t>
      </w:r>
    </w:p>
    <w:p w14:paraId="1E8D4F7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姓名：______；</w:t>
      </w:r>
    </w:p>
    <w:p w14:paraId="45C3198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身份证号：_____；</w:t>
      </w:r>
    </w:p>
    <w:p w14:paraId="5F36620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职务：______；</w:t>
      </w:r>
    </w:p>
    <w:p w14:paraId="1D74142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联系电话：_____；</w:t>
      </w:r>
    </w:p>
    <w:p w14:paraId="28CC99E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电子信箱：_____；</w:t>
      </w:r>
    </w:p>
    <w:p w14:paraId="0A182FF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通信地址：_____。</w:t>
      </w:r>
    </w:p>
    <w:p w14:paraId="0F5676D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发包人对发包人代表的授权范围如下：</w:t>
      </w:r>
    </w:p>
    <w:p w14:paraId="476823D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主持施工现场发包人的工作；对施工过程中的合同执行情况进行检查监督。但是凡工程施工过程中发生的影响工程决算费用的事项均须经发包人单位盖章方为有效，作为工程价款的结算依据，包括但不限于：涉及工程造价的签证；增加工程量或设计变更的联系单或签证；涉及开工令、停工令、复工令以及工程延期、索赔等手续（本条款为特别约定）。</w:t>
      </w:r>
    </w:p>
    <w:p w14:paraId="228A352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2.2施工现场、施工条件和基础资料的提供</w:t>
      </w:r>
    </w:p>
    <w:p w14:paraId="794F84E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2.2.1 提供施工现场</w:t>
      </w:r>
    </w:p>
    <w:p w14:paraId="3FB99AF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关于发包人移交施工现场的期限要求：签订本合同，签署开工令后3日内。</w:t>
      </w:r>
    </w:p>
    <w:p w14:paraId="1A37E6C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2.2.2 提供施工条件</w:t>
      </w:r>
    </w:p>
    <w:p w14:paraId="7852F75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eastAsia="宋体" w:cs="仿宋"/>
          <w:sz w:val="24"/>
          <w:szCs w:val="24"/>
          <w:lang w:eastAsia="zh-CN"/>
        </w:rPr>
      </w:pPr>
      <w:r>
        <w:rPr>
          <w:rFonts w:hint="eastAsia" w:ascii="宋体" w:hAnsi="宋体" w:cs="仿宋"/>
          <w:sz w:val="24"/>
          <w:szCs w:val="24"/>
          <w:lang w:val="en-US" w:eastAsia="zh-CN"/>
        </w:rPr>
        <w:t>发包人</w:t>
      </w:r>
      <w:r>
        <w:rPr>
          <w:rFonts w:hint="eastAsia" w:ascii="宋体" w:hAnsi="宋体" w:cs="仿宋"/>
          <w:sz w:val="24"/>
          <w:szCs w:val="24"/>
        </w:rPr>
        <w:t>将施工用水、电力、通讯线路等施工所必需的条件接至施工现场内</w:t>
      </w:r>
      <w:r>
        <w:rPr>
          <w:rFonts w:hint="eastAsia" w:ascii="宋体" w:hAnsi="宋体" w:cs="仿宋"/>
          <w:sz w:val="24"/>
          <w:szCs w:val="24"/>
          <w:lang w:eastAsia="zh-CN"/>
        </w:rPr>
        <w:t>，</w:t>
      </w:r>
      <w:r>
        <w:rPr>
          <w:rFonts w:hint="eastAsia" w:ascii="宋体" w:hAnsi="宋体" w:cs="仿宋"/>
          <w:sz w:val="24"/>
          <w:szCs w:val="24"/>
          <w:lang w:val="en-US" w:eastAsia="zh-CN"/>
        </w:rPr>
        <w:t>并</w:t>
      </w:r>
      <w:r>
        <w:rPr>
          <w:rFonts w:hint="eastAsia" w:ascii="宋体" w:hAnsi="宋体" w:cs="仿宋"/>
          <w:sz w:val="24"/>
          <w:szCs w:val="24"/>
          <w:lang w:eastAsia="zh-CN"/>
        </w:rPr>
        <w:t>向承包人提供正常施工所需要的进入施工现场的交通条件。</w:t>
      </w:r>
    </w:p>
    <w:p w14:paraId="5239C39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2.3资金来源证明及支付担保</w:t>
      </w:r>
    </w:p>
    <w:p w14:paraId="574F893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发包人提供资金来源证明的期限要求：无。</w:t>
      </w:r>
    </w:p>
    <w:p w14:paraId="63DA92E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发包人是否提供支付担保： 否。</w:t>
      </w:r>
    </w:p>
    <w:p w14:paraId="43F5F7B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 . 承包人</w:t>
      </w:r>
    </w:p>
    <w:p w14:paraId="0AD1CAA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3.1 承包人的一般义务</w:t>
      </w:r>
    </w:p>
    <w:p w14:paraId="66C6267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承包人提交的竣工资料的内容：提供工程竣工报告、施工技术管理资料、产品质量证明文件、施工质量试验资料、施工质量检测资料、施工记录、工程安全和功能检验资料核查及主要功能抽查记录等，同时还须符合工程所在地行政主管部门要求执行，提供符合城建档案馆及其他有关部门要求的竣工图纸和竣工资料。</w:t>
      </w:r>
    </w:p>
    <w:p w14:paraId="4FB369E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承包人需要提交的竣工资料套数：</w:t>
      </w:r>
      <w:r>
        <w:rPr>
          <w:rFonts w:hint="eastAsia" w:ascii="宋体" w:hAnsi="宋体" w:cs="仿宋"/>
          <w:color w:val="0000FF"/>
          <w:sz w:val="24"/>
          <w:szCs w:val="24"/>
        </w:rPr>
        <w:t>【叁】</w:t>
      </w:r>
      <w:r>
        <w:rPr>
          <w:rFonts w:hint="eastAsia" w:ascii="宋体" w:hAnsi="宋体" w:cs="仿宋"/>
          <w:sz w:val="24"/>
          <w:szCs w:val="24"/>
        </w:rPr>
        <w:t>套完整的竣工资料（另附竣工电子文件一套），其中包括竣工决算资料等。</w:t>
      </w:r>
    </w:p>
    <w:p w14:paraId="39FDBF1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承包人提交的竣工资料的费用承担：承包人自行承担。</w:t>
      </w:r>
    </w:p>
    <w:p w14:paraId="2992CF3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承包人提交的竣工资料移交时间：工程竣工验收合格后一周之内，承包人应向发包人递交竣工结算报告和完整的结算资料 。</w:t>
      </w:r>
    </w:p>
    <w:p w14:paraId="5F99033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承包人提交的竣工资料形式要求：</w:t>
      </w:r>
    </w:p>
    <w:p w14:paraId="38E0FC2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书面及电子文档，所有工程资料必须符合工程验收和档案管理要求，因承包人提供的资料不符合档案管理要求而重新制作整理所产生的费用由承包人自行承担；承包人逾期提交竣工资料的，每逾期一日，应向发包人承担违约金</w:t>
      </w:r>
      <w:r>
        <w:rPr>
          <w:rFonts w:hint="eastAsia" w:ascii="宋体" w:hAnsi="宋体" w:cs="仿宋"/>
          <w:color w:val="0000FF"/>
          <w:sz w:val="24"/>
          <w:szCs w:val="24"/>
        </w:rPr>
        <w:t>【500】</w:t>
      </w:r>
      <w:r>
        <w:rPr>
          <w:rFonts w:hint="eastAsia" w:ascii="宋体" w:hAnsi="宋体" w:cs="仿宋"/>
          <w:sz w:val="24"/>
          <w:szCs w:val="24"/>
        </w:rPr>
        <w:t>元。</w:t>
      </w:r>
    </w:p>
    <w:p w14:paraId="1BA0B67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（2）承包人应履行的其他义务：</w:t>
      </w:r>
    </w:p>
    <w:p w14:paraId="4538215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承包人除完成合同招标文件要求和合同约定的义务外，还须遵守发包人的监督管理。承包人应保证本工程施工过程不对工程所在楼内的正常教学、生活及办公功能和秩序，如需夜间施工，所涉及的所有费用由承包人自行承担。承包人在施工过程中，应根据发包人的要求和现场情况进行成品保护，所有设备设施及物品未经发包人现场负责人同意均不可移动，特别是通风管道、净化空调管道、计算机、服务器等设施。施工须做好防尘、防水防潮、防震动、防噪音措施；明火施工须远离危化品储存柜及气体钢瓶接触。如有损坏，则由承包人负责恢复原状，无法恢复原状的，则由承包人按原价赔偿，造成发包人或第三人损失的，承包人还应赔偿发包人或第三人的相应损失。确需移动贵重仪器才能施工的，承包人须联系或申请发包人联系仪器设备供应商派专业人员统一移机和复位，所产生的一切费用由承包人承担。</w:t>
      </w:r>
    </w:p>
    <w:p w14:paraId="19E64CD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2）应提供计划、报表的名称及完成时间：</w:t>
      </w:r>
    </w:p>
    <w:p w14:paraId="60BCC08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开工前根据发包人、监理要求提供合同内容工程建设项目总进度计划、材料设备总需求计划、材料设备供应计划表。承包人需在进场后一周内提供发包人供材料（如有）计划，每7天分别向发包人及监理方提供下周详细的施工进度计划、已完工程量报表（含工程变更及签证预算）、提供发包人供材用料计划（如有）、承包人购材料清单、材料进场计划、劳动力及用款计划等资料。分项的施工组织设计在开工前向发包人提供。</w:t>
      </w:r>
    </w:p>
    <w:p w14:paraId="46074A4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3）承担施工安全保卫工作及非夜间施工照明的责任和要求：</w:t>
      </w:r>
    </w:p>
    <w:p w14:paraId="3474599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（1）建立和执行防火管理制度。</w:t>
      </w:r>
    </w:p>
    <w:p w14:paraId="6006333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（2）施工现场临时用电费用由承包人承担。承包人认真做好施工现场的安全防护工作（包括照明、安全设施等），承包人对安全防护工作负全责（责任和费用均由承包人承担）。</w:t>
      </w:r>
    </w:p>
    <w:p w14:paraId="205C2EC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4）向发包人提供的办公和生活房屋及设施的要求：   /   。</w:t>
      </w:r>
    </w:p>
    <w:p w14:paraId="0F13BF7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5）需承包人办理的有关施工场地交通、环卫和施工噪音管理等手续：此项工作及费用由承包人负责，发包人不再补贴。</w:t>
      </w:r>
    </w:p>
    <w:p w14:paraId="6D98E49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6）已完工程成品保护的特殊要求及费用承担：工程全部成品、半成品在竣工验收交付前均由承包人负责管理和保护，费用含在总承包管理（配合）费中。</w:t>
      </w:r>
    </w:p>
    <w:p w14:paraId="6A152EC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7）施工场地周围地下管线和邻近建筑物、构筑物（含文物保护建筑）、古树名木的保护要求及费用承担：</w:t>
      </w:r>
    </w:p>
    <w:p w14:paraId="2D8CEF5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对该工程履行承包责任和义务，施工期间严格按照招标文件、投标文件及（经批准的）施工组织设计要求进行保护，所发生费用在投标报价中。如有保护不周而至地下管线和邻近建筑物、构筑物（含文物保护建筑）、古树名木毁坏或古树名木死亡者，承包人依法并按实际发生的全部相关损失进行补偿或赔偿。8）施工场清洁卫生的要求：施工场地在保证安全的前提下，按照标准化施工现场要求，保持场内、场外、交通进出口的安全和清洁卫生，所发生费用已包含在投标报价中。</w:t>
      </w:r>
    </w:p>
    <w:p w14:paraId="07C1F2C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9）双方约定承包人应做的其他工作： 1、施工期间保证场内相邻道路的畅通，安全防护减少噪音干扰和灰尘处理。2、施工现场所有外部协调工作由承包人负责解决。若因承包人不履行或未完全履行上述约定工作所产生工程质量问题、影响工程进度、造成有关部门找发包人处理等情形，发包人有权责令承包人停工和暂停支付工程款直到问题解决，并可先行处理理赔，费用从承包人工程款中扣除。上述情形下工期不予顺延，若导致工期延误，发包人另追究承包人违约责任。</w:t>
      </w:r>
    </w:p>
    <w:p w14:paraId="0F0D326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10）承包人应对建设工程施工过程中的环境安全负责，承包人员必须遵守《建设工程安全生产</w:t>
      </w:r>
      <w:r>
        <w:rPr>
          <w:rFonts w:hint="eastAsia" w:ascii="宋体" w:hAnsi="宋体" w:cs="仿宋"/>
          <w:sz w:val="24"/>
          <w:szCs w:val="24"/>
          <w:lang w:val="en-US" w:eastAsia="zh-CN"/>
        </w:rPr>
        <w:t>管理</w:t>
      </w:r>
      <w:r>
        <w:rPr>
          <w:rFonts w:hint="eastAsia" w:ascii="宋体" w:hAnsi="宋体" w:cs="仿宋"/>
          <w:sz w:val="24"/>
          <w:szCs w:val="24"/>
        </w:rPr>
        <w:t>条例》等安全生产法律、法规规定，严格执行投标文件中的安全管理、防护和技术措施，保证建设工程安全生产，依法承担建设工程安全生产责任。如因承包人违反有关安全操作规程、消防条例或安全管理、防护不到位，导致发生安全或火灾事故，承包人应承担全部责任，并赔偿由此给发包人和第三方造成的一切损失。</w:t>
      </w:r>
    </w:p>
    <w:p w14:paraId="0D4B34C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承包人应对建设工程施工过程中安全负责，承包人聘用人员在建设工程过程中发生的安全事故、意外伤亡事故或对第三方造成的一切损失由承包人负责并承担，发包人不承担任何连带责任和补充责任，亦不做任何赔偿和补偿。</w:t>
      </w:r>
    </w:p>
    <w:p w14:paraId="78E7FB6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12）承包人聘用的人员应遵守当地法律法规、及发包人的各项规章制度，服从发包人管理。因工程建设不到位或工作人员违章作业、违法犯纪行为造成发包人损失时，承包人应负相应赔偿责任。</w:t>
      </w:r>
    </w:p>
    <w:p w14:paraId="3063388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承包人对于改建、扩建工程不得破坏原有消防设施。如消防设施需要变动的，须按照《中华人民共和国消防法》和《建设工程消防设计审查验收管理暂行规定》等法律，严格执行建设工程消防审查验收和备案制度，因此产生费用的，由承包人承担。</w:t>
      </w:r>
    </w:p>
    <w:p w14:paraId="56D8A0E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3.2 项目经理</w:t>
      </w:r>
    </w:p>
    <w:p w14:paraId="6747606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3.2.1 项目经理：</w:t>
      </w:r>
    </w:p>
    <w:p w14:paraId="46F1BFC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姓名：______；</w:t>
      </w:r>
    </w:p>
    <w:p w14:paraId="1AE652E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身份证号：_____；</w:t>
      </w:r>
    </w:p>
    <w:p w14:paraId="1FD2FE9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建造师执业资格等级：_____；</w:t>
      </w:r>
    </w:p>
    <w:p w14:paraId="2A9C6D6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建造师注册证书号：______；</w:t>
      </w:r>
    </w:p>
    <w:p w14:paraId="0BBCC47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建造师执业印章号：______；</w:t>
      </w:r>
    </w:p>
    <w:p w14:paraId="313C128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安全生产考核合格证书号：_____；</w:t>
      </w:r>
    </w:p>
    <w:p w14:paraId="731F763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联系电话：_____；</w:t>
      </w:r>
    </w:p>
    <w:p w14:paraId="456348F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电子信箱：_____；</w:t>
      </w:r>
    </w:p>
    <w:p w14:paraId="117F33D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通信地址：_____；</w:t>
      </w:r>
    </w:p>
    <w:p w14:paraId="2CAB55E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承包人对项目经理的授权范围如下：代表承包人行使合同约定的承包人权利和义务，履行合同约定的承包人职责，代表承包人与发包人办理各类文件、材料签收手续。</w:t>
      </w:r>
    </w:p>
    <w:p w14:paraId="5CCDA71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项目经理每月在施工现场的时间要求：项目经理每周不少于6天、每天不少于八小时必须在本工程现场工作，且必须参加每周召开的例会，并接受发包人代表和监理总监的考勤和监督。如项目经理有特殊原因不能保证上述在岗时间的，需征得发包人书面同意后，授权项目副经理全权处理现场事务，且项目副经理须满足上述在岗时间。</w:t>
      </w:r>
    </w:p>
    <w:p w14:paraId="73063FF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项目经理未经批准，擅自离开施工现场的违约责任：发包人发现项目经理未经批准连续【</w:t>
      </w:r>
      <w:r>
        <w:rPr>
          <w:rFonts w:hint="eastAsia" w:ascii="宋体" w:hAnsi="宋体" w:cs="仿宋"/>
          <w:color w:val="0000FF"/>
          <w:sz w:val="24"/>
          <w:szCs w:val="24"/>
        </w:rPr>
        <w:t>24</w:t>
      </w:r>
      <w:r>
        <w:rPr>
          <w:rFonts w:hint="eastAsia" w:ascii="宋体" w:hAnsi="宋体" w:cs="仿宋"/>
          <w:sz w:val="24"/>
          <w:szCs w:val="24"/>
        </w:rPr>
        <w:t>】小时不在本工程现场工作，发包人有权按每天</w:t>
      </w:r>
      <w:r>
        <w:rPr>
          <w:rFonts w:hint="eastAsia" w:ascii="宋体" w:hAnsi="宋体" w:cs="仿宋"/>
          <w:color w:val="0000FF"/>
          <w:sz w:val="24"/>
          <w:szCs w:val="24"/>
        </w:rPr>
        <w:t>2000</w:t>
      </w:r>
      <w:r>
        <w:rPr>
          <w:rFonts w:hint="eastAsia" w:ascii="宋体" w:hAnsi="宋体" w:cs="仿宋"/>
          <w:sz w:val="24"/>
          <w:szCs w:val="24"/>
        </w:rPr>
        <w:t>元人民币的标准向承包人收取违约金（发包人可从工程款中扣抵）。项目经理无故不参加每周例会的发包人有权向承包人收取违约金</w:t>
      </w:r>
      <w:r>
        <w:rPr>
          <w:rFonts w:hint="eastAsia" w:ascii="宋体" w:hAnsi="宋体" w:cs="仿宋"/>
          <w:color w:val="0000FF"/>
          <w:sz w:val="24"/>
          <w:szCs w:val="24"/>
        </w:rPr>
        <w:t>500</w:t>
      </w:r>
      <w:r>
        <w:rPr>
          <w:rFonts w:hint="eastAsia" w:ascii="宋体" w:hAnsi="宋体" w:cs="仿宋"/>
          <w:sz w:val="24"/>
          <w:szCs w:val="24"/>
        </w:rPr>
        <w:t>元/次（发包人可从工程款中扣抵）。如项目经理连续两天或累计</w:t>
      </w:r>
      <w:r>
        <w:rPr>
          <w:rFonts w:hint="eastAsia" w:ascii="宋体" w:hAnsi="宋体" w:cs="仿宋"/>
          <w:color w:val="0000FF"/>
          <w:sz w:val="24"/>
          <w:szCs w:val="24"/>
        </w:rPr>
        <w:t>5</w:t>
      </w:r>
      <w:r>
        <w:rPr>
          <w:rFonts w:hint="eastAsia" w:ascii="宋体" w:hAnsi="宋体" w:cs="仿宋"/>
          <w:sz w:val="24"/>
          <w:szCs w:val="24"/>
        </w:rPr>
        <w:t>天不在现场，视为承包人严重违约，发包人除有权按前述约定追索承包人违约金之外，还有权要求承包人更换项目经理（更换的新项目经理资质条件须在原项目经理资质条件以上）或单方面解除合同、追究承包人违约责任。承包人不得擅自更换本合同确定的项目经理，如经发包人书面同意更换的，更换后项目经理资质条件不得低于原项目经理，且发包人仍有权收取承包人违约金</w:t>
      </w:r>
      <w:r>
        <w:rPr>
          <w:rFonts w:hint="eastAsia" w:ascii="宋体" w:hAnsi="宋体" w:cs="仿宋"/>
          <w:color w:val="0000FF"/>
          <w:sz w:val="24"/>
          <w:szCs w:val="24"/>
        </w:rPr>
        <w:t>【2】</w:t>
      </w:r>
      <w:r>
        <w:rPr>
          <w:rFonts w:hint="eastAsia" w:ascii="宋体" w:hAnsi="宋体" w:cs="仿宋"/>
          <w:sz w:val="24"/>
          <w:szCs w:val="24"/>
        </w:rPr>
        <w:t>万元。</w:t>
      </w:r>
    </w:p>
    <w:p w14:paraId="24FC1F4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承包人未提交劳动合同，以及没有为项目经理缴纳社会保险证明的违约责任：承包人须在签订本合同时向发包人提交项目经理的劳动合同及缴纳社会保险证明。如未履行，每延迟一天，承包人承担违约金【</w:t>
      </w:r>
      <w:r>
        <w:rPr>
          <w:rFonts w:hint="eastAsia" w:ascii="宋体" w:hAnsi="宋体" w:cs="仿宋"/>
          <w:color w:val="0000FF"/>
          <w:sz w:val="24"/>
          <w:szCs w:val="24"/>
        </w:rPr>
        <w:t>5000</w:t>
      </w:r>
      <w:r>
        <w:rPr>
          <w:rFonts w:hint="eastAsia" w:ascii="宋体" w:hAnsi="宋体" w:cs="仿宋"/>
          <w:sz w:val="24"/>
          <w:szCs w:val="24"/>
        </w:rPr>
        <w:t>】元/天，超过【</w:t>
      </w:r>
      <w:r>
        <w:rPr>
          <w:rFonts w:hint="eastAsia" w:ascii="宋体" w:hAnsi="宋体" w:cs="仿宋"/>
          <w:color w:val="0000FF"/>
          <w:sz w:val="24"/>
          <w:szCs w:val="24"/>
        </w:rPr>
        <w:t>7</w:t>
      </w:r>
      <w:r>
        <w:rPr>
          <w:rFonts w:hint="eastAsia" w:ascii="宋体" w:hAnsi="宋体" w:cs="仿宋"/>
          <w:sz w:val="24"/>
          <w:szCs w:val="24"/>
        </w:rPr>
        <w:t>】日不提供的，发包人有权单方解除本合同。</w:t>
      </w:r>
    </w:p>
    <w:p w14:paraId="699C880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3.2.2承包人擅自更换项目经理的违约责任：承包人擅自更换项目经理的将被视为承包人违约，承包人须按</w:t>
      </w:r>
      <w:r>
        <w:rPr>
          <w:rFonts w:hint="eastAsia" w:ascii="宋体" w:hAnsi="宋体" w:cs="仿宋"/>
          <w:color w:val="0000FF"/>
          <w:sz w:val="24"/>
          <w:szCs w:val="24"/>
        </w:rPr>
        <w:t>20000</w:t>
      </w:r>
      <w:r>
        <w:rPr>
          <w:rFonts w:hint="eastAsia" w:ascii="宋体" w:hAnsi="宋体" w:cs="仿宋"/>
          <w:sz w:val="24"/>
          <w:szCs w:val="24"/>
        </w:rPr>
        <w:t>元/人·次付向发包人支付违约金，在工程款中扣除，发包人还有权解除合同、追究承包人不能履约的违约责任，有权要求承包人赔偿发包人因此造成的一切损失，并报主管部门备案。</w:t>
      </w:r>
    </w:p>
    <w:p w14:paraId="0F70560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3.2.3承包人无正当理由拒绝更换项目经理的违约责任：</w:t>
      </w:r>
    </w:p>
    <w:p w14:paraId="2E7813E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有权要求承包人在一周内撤换调整不称职的项目负责人及项目主要管理人员或主要技术人员，新的项目负责人及主要人员的人选须经发包人审核同意。承包人无正当理由拒绝更换项目负责人的，每次支付违约金【</w:t>
      </w:r>
      <w:r>
        <w:rPr>
          <w:rFonts w:hint="eastAsia" w:ascii="宋体" w:hAnsi="宋体" w:cs="仿宋"/>
          <w:color w:val="0000FF"/>
          <w:sz w:val="24"/>
          <w:szCs w:val="24"/>
        </w:rPr>
        <w:t>20000</w:t>
      </w:r>
      <w:r>
        <w:rPr>
          <w:rFonts w:hint="eastAsia" w:ascii="宋体" w:hAnsi="宋体" w:cs="仿宋"/>
          <w:sz w:val="24"/>
          <w:szCs w:val="24"/>
        </w:rPr>
        <w:t>】元，由发包人从工程款中直接扣抵，且发包人有权解除合同，并追究承包人违约责任。</w:t>
      </w:r>
    </w:p>
    <w:p w14:paraId="4E0A6BD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3.3 承包人人员</w:t>
      </w:r>
    </w:p>
    <w:p w14:paraId="19FDFCD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3.3.1 承包人提交项目管理机构及施工现场管理人员安排报告的期限：开工前一周。</w:t>
      </w:r>
    </w:p>
    <w:p w14:paraId="383CD3E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3.3.2承包人无正当理由拒绝撤换主要施工管理人员的违约责任：发包人有权要求承包人撤换调整其认为不称职的项目经理及项目部成员，承包人拒绝撤换的，发包人除了有权参照上述3.2.3条款向承包人追索违约金，还有权解除合同、追究承包人违约责任。</w:t>
      </w:r>
    </w:p>
    <w:p w14:paraId="4F13CD2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3.3.3承包人主要施工管理人员离开施工现场的批准要求：提前一天向发包人书面申请，经发包人书面批准后方可离开。</w:t>
      </w:r>
    </w:p>
    <w:p w14:paraId="134FAD2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3.3.4承包人擅自更换主要施工管理人员的违约责任：投标文件中及合同中明确的项目经理和各专业人员不得擅自变更，开工时或施工过程中若有擅自变更，发包人有权解除合同，并追究承包人违约、赔偿责任。</w:t>
      </w:r>
    </w:p>
    <w:p w14:paraId="58E67F0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承包人主要施工管理人员擅自离开施工现场的违约责任：主要人员必须常驻现场，若出现未经发包人书面批准的主要人员擅自离开施工现场的情况，发包人将处罚承包人</w:t>
      </w:r>
      <w:r>
        <w:rPr>
          <w:rFonts w:hint="eastAsia" w:ascii="宋体" w:hAnsi="宋体" w:cs="仿宋"/>
          <w:color w:val="0000FF"/>
          <w:sz w:val="24"/>
          <w:szCs w:val="24"/>
        </w:rPr>
        <w:t>2000</w:t>
      </w:r>
      <w:r>
        <w:rPr>
          <w:rFonts w:hint="eastAsia" w:ascii="宋体" w:hAnsi="宋体" w:cs="仿宋"/>
          <w:sz w:val="24"/>
          <w:szCs w:val="24"/>
        </w:rPr>
        <w:t>元/次的违约金。连续2天或施工期内累计5天不在现场，发包人有权解除合同，并追究承包人违约责任。</w:t>
      </w:r>
    </w:p>
    <w:p w14:paraId="3CF38F2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应按规范施工并严格按照规范组织施工，在安全管理方面除正常进行安全学习、安全教育外，同时应高度重视工程施工时的安全工作，安全措施要落实到位，应急措施必须跟上，高空作业必须有安全防护措施等。对于不重视安全工作，措施不到位，发生安全事故的，承包人将承担全部责任，并承担所有赔偿费用。</w:t>
      </w:r>
    </w:p>
    <w:p w14:paraId="14F1D23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3.4分包</w:t>
      </w:r>
    </w:p>
    <w:p w14:paraId="66C6FF4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3.4.1 分包的一般约定</w:t>
      </w:r>
    </w:p>
    <w:p w14:paraId="4044FCB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禁止分包的工程包括：本工程禁止分包。</w:t>
      </w:r>
    </w:p>
    <w:p w14:paraId="7784B7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主体结构、关键性工作的范围：本协议约定的所有施工内容。</w:t>
      </w:r>
    </w:p>
    <w:p w14:paraId="1CF582D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3.4.2分包的确定</w:t>
      </w:r>
    </w:p>
    <w:p w14:paraId="19897CD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允许分包的专业工程包括：无。</w:t>
      </w:r>
    </w:p>
    <w:p w14:paraId="436E347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其他关于分包的约定：无。</w:t>
      </w:r>
    </w:p>
    <w:p w14:paraId="3A3A840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3.4.3分包合同价款</w:t>
      </w:r>
    </w:p>
    <w:p w14:paraId="4A81E84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关于分包合同价款支付的约定：无。</w:t>
      </w:r>
    </w:p>
    <w:p w14:paraId="73517F1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3.5工程照管与成品、半成品保护</w:t>
      </w:r>
    </w:p>
    <w:p w14:paraId="3766087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负责照管工程及工程相关的材料、工程设备的起始时间：自发包人向承包人移交施工现场之日起，承包人应负责照管工程及工程相关的材料、工程设备，直到颁发工程接收证书之日止，费用由承包人承担；在承包人负责照管期间，因承包人原因造成工程、材料、工程设备损坏的，由承包人负责修复或更换，并承担由此增加的费用和（或）延误的工期的违约责任。</w:t>
      </w:r>
    </w:p>
    <w:p w14:paraId="13BA78F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3.6履约担保</w:t>
      </w:r>
    </w:p>
    <w:p w14:paraId="64085D9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承包人是否提供履约担保：是。</w:t>
      </w:r>
    </w:p>
    <w:p w14:paraId="61F11D2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承包人提供履约担保的形式、金额及期限：</w:t>
      </w:r>
    </w:p>
    <w:p w14:paraId="4E36DAB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（1）本项目成交公示结束后【3】日内，承包人按照如下信息缴纳履约保证金，履约保证金金额为合同签约价的</w:t>
      </w:r>
      <w:r>
        <w:rPr>
          <w:rFonts w:hint="eastAsia" w:ascii="宋体" w:hAnsi="宋体" w:cs="仿宋"/>
          <w:color w:val="0000FF"/>
          <w:sz w:val="24"/>
          <w:szCs w:val="24"/>
          <w:highlight w:val="yellow"/>
        </w:rPr>
        <w:t>【</w:t>
      </w:r>
      <w:r>
        <w:rPr>
          <w:rFonts w:hint="eastAsia" w:ascii="宋体" w:hAnsi="宋体" w:cs="仿宋"/>
          <w:color w:val="0000FF"/>
          <w:sz w:val="24"/>
          <w:szCs w:val="24"/>
          <w:highlight w:val="yellow"/>
          <w:lang w:val="en-US" w:eastAsia="zh-CN"/>
        </w:rPr>
        <w:t>2</w:t>
      </w:r>
      <w:r>
        <w:rPr>
          <w:rFonts w:hint="eastAsia" w:ascii="宋体" w:hAnsi="宋体" w:cs="仿宋"/>
          <w:color w:val="0000FF"/>
          <w:sz w:val="24"/>
          <w:szCs w:val="24"/>
          <w:highlight w:val="yellow"/>
        </w:rPr>
        <w:t>%】</w:t>
      </w:r>
      <w:r>
        <w:rPr>
          <w:rFonts w:hint="eastAsia" w:ascii="宋体" w:hAnsi="宋体" w:cs="仿宋"/>
          <w:sz w:val="24"/>
          <w:szCs w:val="24"/>
        </w:rPr>
        <w:t>，工程竣工并经发包人组织的验收合格后，自发包人组织的竣工合格验收报告签署之日起，履约保证金自动转为质量保证金，本工程质保期满且经发包人确认工程无质量问题且无任何遗留问题后，一次性无息退还承包人质量保证金（扣除因质量问题引起的维修费用、违约赔偿金等）。</w:t>
      </w:r>
    </w:p>
    <w:p w14:paraId="36628A7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（2）履约保证金汇款银行、账号及户名：承包人必须在本项目成交公示结束后将履约保证金汇入发包人指定的账号，账号为</w:t>
      </w:r>
      <w:r>
        <w:rPr>
          <w:rFonts w:hint="eastAsia" w:ascii="宋体" w:hAnsi="宋体" w:cs="仿宋"/>
          <w:color w:val="0000FF"/>
          <w:sz w:val="24"/>
          <w:szCs w:val="24"/>
        </w:rPr>
        <w:t>：</w:t>
      </w:r>
      <w:r>
        <w:rPr>
          <w:rFonts w:hint="eastAsia"/>
          <w:color w:val="0000FF"/>
          <w:sz w:val="24"/>
          <w:u w:val="single"/>
          <w:lang w:val="en-US" w:eastAsia="zh-CN"/>
        </w:rPr>
        <w:t xml:space="preserve">             </w:t>
      </w:r>
      <w:r>
        <w:rPr>
          <w:rFonts w:hint="eastAsia" w:ascii="宋体" w:hAnsi="宋体" w:cs="仿宋"/>
          <w:color w:val="0000FF"/>
          <w:sz w:val="24"/>
          <w:szCs w:val="24"/>
        </w:rPr>
        <w:t>，</w:t>
      </w:r>
      <w:r>
        <w:rPr>
          <w:rFonts w:hint="eastAsia" w:ascii="宋体" w:hAnsi="宋体" w:cs="仿宋"/>
          <w:sz w:val="24"/>
          <w:szCs w:val="24"/>
        </w:rPr>
        <w:t>汇款必须从承包人基本账户转出，在备注、用途或附加说明中写明是本工程项目的履约保证金。承包人缴纳履约保证金后凭汇款凭证领取成交通知书。逾期不交者，将列入发包人不诚信单位记录名单，后期不得参与发包人任何采购活动。承包人未缴纳履约保证金的，本合同不生效。</w:t>
      </w:r>
    </w:p>
    <w:p w14:paraId="7C312CA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 . 监理人</w:t>
      </w:r>
    </w:p>
    <w:p w14:paraId="29E5220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4.1监理人的一般规定</w:t>
      </w:r>
    </w:p>
    <w:p w14:paraId="275C9A1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监理人的监理内容：即本工程施工阶段及保修阶段的全过程监理。监理人须依据国家监理规则相关内容和本合同约定，对交付发包人的全部施工内容实施监理，包括但不限于对工程质量、进度、造价、安全进行控制，信息管理、合同管理和现场的组织协调，以及负责将开工至竣工验收全套资料收集完备，配合发包人在工程实施过程中的各种工程变更、索赔、验收，以及竣工结算、决算审计等。</w:t>
      </w:r>
    </w:p>
    <w:p w14:paraId="4837956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监理人的监理权限：所有涉及工程造价的签证、设计变更、标准的确认、分包单位的确定、工期延期、开工令、停工令、复工令以及工程施工过程中将会导致造价变化的一切事宜，监理人需要取得发包人书面盖章确认，其相关行为方为有效。详见监理合同。</w:t>
      </w:r>
    </w:p>
    <w:p w14:paraId="3FE60D8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关于监理人在施工现场的办公场所、生活场所的提供和费用承担的约定：由承包人提供，费用已计入本合同价款中，或由承包人另行承担，发包人不再另行支付费用。</w:t>
      </w:r>
    </w:p>
    <w:p w14:paraId="52FFBA0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4.2 监理人员</w:t>
      </w:r>
    </w:p>
    <w:p w14:paraId="176C004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总监理工程师：</w:t>
      </w:r>
    </w:p>
    <w:p w14:paraId="78B2796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姓名：_____；</w:t>
      </w:r>
    </w:p>
    <w:p w14:paraId="3625AA0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职务：_____；</w:t>
      </w:r>
    </w:p>
    <w:p w14:paraId="6726937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监理工程师执业资格证书号：_____；</w:t>
      </w:r>
    </w:p>
    <w:p w14:paraId="4F70367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联系电话：_____；</w:t>
      </w:r>
    </w:p>
    <w:p w14:paraId="1D28CF8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电子信箱：_____；</w:t>
      </w:r>
    </w:p>
    <w:p w14:paraId="5972C13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color w:val="0000FF"/>
          <w:sz w:val="24"/>
          <w:szCs w:val="24"/>
        </w:rPr>
      </w:pPr>
      <w:r>
        <w:rPr>
          <w:rFonts w:hint="eastAsia" w:ascii="宋体" w:hAnsi="宋体" w:cs="仿宋"/>
          <w:color w:val="0000FF"/>
          <w:sz w:val="24"/>
          <w:szCs w:val="24"/>
        </w:rPr>
        <w:t>通信地址：_____；</w:t>
      </w:r>
    </w:p>
    <w:p w14:paraId="325CF74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关于监理人的其他约定：详见本工程监理合同。</w:t>
      </w:r>
    </w:p>
    <w:p w14:paraId="59AA5B3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4.3商定或确定</w:t>
      </w:r>
    </w:p>
    <w:p w14:paraId="0CB0F0B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在发包人和承包人不能通过协商达成一致意见时，发包人授权监理人对以下事项进行确定：</w:t>
      </w:r>
    </w:p>
    <w:p w14:paraId="30F3C6F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w:t>
      </w:r>
    </w:p>
    <w:p w14:paraId="7248FC7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w:t>
      </w:r>
    </w:p>
    <w:p w14:paraId="7278B74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w:t>
      </w:r>
    </w:p>
    <w:p w14:paraId="746E41B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5. 工程质量</w:t>
      </w:r>
    </w:p>
    <w:p w14:paraId="4F7F3FB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5.1 质量要求</w:t>
      </w:r>
    </w:p>
    <w:p w14:paraId="2FB7C94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特殊质量标准和要求：质量标准的评定以现行国家、地方政府以及行业的质量检验评定标准为依据，确保质量符合国家现行质量验收标准、《建筑工程施工质量验收统一标准》、本合同约定的</w:t>
      </w:r>
      <w:r>
        <w:rPr>
          <w:rFonts w:hint="eastAsia" w:ascii="宋体" w:hAnsi="宋体" w:cs="仿宋"/>
          <w:color w:val="0000FF"/>
          <w:sz w:val="24"/>
          <w:szCs w:val="24"/>
          <w:u w:val="single"/>
        </w:rPr>
        <w:t xml:space="preserve">          </w:t>
      </w:r>
      <w:r>
        <w:rPr>
          <w:rFonts w:hint="eastAsia" w:ascii="宋体" w:hAnsi="宋体" w:cs="仿宋"/>
          <w:sz w:val="24"/>
          <w:szCs w:val="24"/>
        </w:rPr>
        <w:t>特殊要求。</w:t>
      </w:r>
    </w:p>
    <w:p w14:paraId="1F7A11B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关于工程奖项的约定：/。</w:t>
      </w:r>
    </w:p>
    <w:p w14:paraId="1204071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5.2隐蔽工程检查</w:t>
      </w:r>
    </w:p>
    <w:p w14:paraId="75F9DA8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承包人提前通知监理人隐蔽工程检查的期限的约定：共同检查前48小时书面通知监理。所有隐蔽工程和中间验收均须经监理工程师和发包人验收确认后方可继续施工。</w:t>
      </w:r>
    </w:p>
    <w:p w14:paraId="0F300C0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监理人不能按时进行检查时，应提前 8 小时提交书面延期要求。</w:t>
      </w:r>
    </w:p>
    <w:p w14:paraId="2E94765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关于延期最长不得超过： 24 小时。</w:t>
      </w:r>
    </w:p>
    <w:p w14:paraId="53F6572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5.3重新检验</w:t>
      </w:r>
    </w:p>
    <w:p w14:paraId="45A3744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无论发包人、监理人员是否进行过验收，当其要求已经隐蔽的工程重新检验时，承包人应按要求进行剥离或开孔，并在检验后重新覆盖或修复。检验不合格时，承包人承担发生的全部费用，工期不顺延。</w:t>
      </w:r>
    </w:p>
    <w:p w14:paraId="610945B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5.3.1 工程质量</w:t>
      </w:r>
    </w:p>
    <w:p w14:paraId="52BB83A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按专用条款执行，如专用条款未约定则按通用条款执行。</w:t>
      </w:r>
    </w:p>
    <w:p w14:paraId="3CF70E0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5.3.2</w:t>
      </w:r>
      <w:r>
        <w:rPr>
          <w:rFonts w:hint="eastAsia" w:ascii="宋体" w:hAnsi="宋体" w:cs="仿宋"/>
          <w:sz w:val="24"/>
          <w:szCs w:val="24"/>
          <w:lang w:val="en-US" w:eastAsia="zh-CN"/>
        </w:rPr>
        <w:t xml:space="preserve"> </w:t>
      </w:r>
      <w:r>
        <w:rPr>
          <w:rFonts w:hint="eastAsia" w:ascii="宋体" w:hAnsi="宋体" w:cs="仿宋"/>
          <w:sz w:val="24"/>
          <w:szCs w:val="24"/>
        </w:rPr>
        <w:t>检查和返工</w:t>
      </w:r>
    </w:p>
    <w:p w14:paraId="532D2BF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承包人应严格按照施工规范、技术规程以及经监理工程师和发包人审核批复的实施性施工组织设计精心组织施工，确保工程进度及质量。在工序验收中，如检查发现质量不合格，承包人除必须返工至达标外，还应向发包人支付合同总价款</w:t>
      </w:r>
      <w:r>
        <w:rPr>
          <w:rFonts w:hint="eastAsia" w:ascii="宋体" w:hAnsi="宋体" w:cs="仿宋"/>
          <w:color w:val="0000FF"/>
          <w:sz w:val="24"/>
          <w:szCs w:val="24"/>
        </w:rPr>
        <w:t>2%</w:t>
      </w:r>
      <w:r>
        <w:rPr>
          <w:rFonts w:hint="eastAsia" w:ascii="宋体" w:hAnsi="宋体" w:cs="仿宋"/>
          <w:sz w:val="24"/>
          <w:szCs w:val="24"/>
        </w:rPr>
        <w:t>的违约金。在分项工程验收中，如在各类抽测、抽检、抽查中发现质量不合格，承包人除必须返工达标外，还应向发包人支付合同总价款2%的违约金，并承担全部检测费用。在分项验收中对达不到验收合格标准的，如监理工程师和发包人决定降格验收，承包人按该分项工程造价的5%（不足10000元的按10000元执行）向发包人支付违约金，并承担全部检测费用。</w:t>
      </w:r>
    </w:p>
    <w:p w14:paraId="703E457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（2）承包人在发生工程质量问题时隐瞒监理工程师及发包人，或有偷工减料行为、使用假冒伪劣产品行为，除及时进行整改外另需向发包人支付合同总价1%的质量违约金。</w:t>
      </w:r>
    </w:p>
    <w:p w14:paraId="3E0FE21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6. 安全文明施工与环境保护</w:t>
      </w:r>
    </w:p>
    <w:p w14:paraId="1A602B9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6.1</w:t>
      </w:r>
      <w:r>
        <w:rPr>
          <w:rFonts w:hint="eastAsia" w:ascii="宋体" w:hAnsi="宋体" w:cs="仿宋"/>
          <w:sz w:val="24"/>
          <w:szCs w:val="24"/>
          <w:lang w:val="en-US" w:eastAsia="zh-CN"/>
        </w:rPr>
        <w:t xml:space="preserve"> </w:t>
      </w:r>
      <w:r>
        <w:rPr>
          <w:rFonts w:hint="eastAsia" w:ascii="宋体" w:hAnsi="宋体" w:cs="仿宋"/>
          <w:sz w:val="24"/>
          <w:szCs w:val="24"/>
        </w:rPr>
        <w:t>安全文明施工</w:t>
      </w:r>
    </w:p>
    <w:p w14:paraId="32E3BC6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6.1.1 项目安全生产的达标目标及相应事项的约定：</w:t>
      </w:r>
    </w:p>
    <w:p w14:paraId="6F551BB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除执行通用条款的相关规定外，承包人应严格按照施工组织设计组织施工，采取有效防护措施，并在安全管理方面除正常进行安全学习、安全教育外，同时应高度重视全部施工期间的安全工作，安全措施要落实到位，应急措施要跟上，并配备专职安全人员，对于不重视安全工作，措施不到位，导致发生安全事故的，承包人将承担全部责任，并承担所有赔偿费用。若发生任何大小安全事故或伤亡事故均由承包人承担赔偿责任，发包人不承担任何责任，并根据事故大小对承包人收取每次1万元至5万元的违约金，在工程款中直接扣除。工程出现重大安全事故（死亡1人，受伤3人）时，发包人有权终止合同，由此造成的经济损失由承包人承担。</w:t>
      </w:r>
    </w:p>
    <w:p w14:paraId="7D4D6A6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（2）如由于承包人不安全施工或其他违规等原因，导致发包人受到区级及以上行政主管部门处罚的，发包人将对承包人进行处罚，每发生一次扣除工程总价款的1%作为违约金。</w:t>
      </w:r>
    </w:p>
    <w:p w14:paraId="484C6AA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6.1.2关于治安保卫的特别约定： / 。</w:t>
      </w:r>
    </w:p>
    <w:p w14:paraId="4F2065C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关于编制施工场地治安管理计划的约定：在开工前提交的施工组织设计中必须要有此部分内容。</w:t>
      </w:r>
    </w:p>
    <w:p w14:paraId="5542040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6.1.3文明施工</w:t>
      </w:r>
    </w:p>
    <w:p w14:paraId="231840F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合同当事人对文明施工的要求：达到《建筑施工安全检查标准》。</w:t>
      </w:r>
    </w:p>
    <w:p w14:paraId="3CA93BC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（1）承包人须定期上报现场一线操作工人名单、人数、籍贯等。如有人员调整，必须及时通知发包人；</w:t>
      </w:r>
    </w:p>
    <w:p w14:paraId="7223C8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（2）施工人员未经允许不得进入已经交付的工程区域；</w:t>
      </w:r>
    </w:p>
    <w:p w14:paraId="3AB3519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（3）承包人对施工范围内的安全防火承担责任；</w:t>
      </w:r>
    </w:p>
    <w:p w14:paraId="17154FE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承包人应遵守工程建设安全生产有关管理规定，严格按安全标准组织施工，并随时接受行业安全检查人员依法实施的监督检查，采取必要的安全防护措施，消除事故隐患。安全施工防护费用已含在合同价款内。由于承包人安全措施不力造成事故的责任和因此发生的费用，由承包人承担，造成安全事故带来不良影响的，发包人按照本合同6.1.1(1)追究承包人违约责任。承包人负责施工现场的安全及第三方人身安全；</w:t>
      </w:r>
    </w:p>
    <w:p w14:paraId="3BBEDE8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5）承包人应负责为其雇员安排食宿并提供各种必需的生活设施，并应采取合理的卫生防护措施和安全措施以保护其雇员的健康和安全。若因卫生、火灾等原因造成损失，由承包人承担全部责任。发包人有权根据现场损失情况要求承包人承担合同价不超过2%的违约金；</w:t>
      </w:r>
    </w:p>
    <w:p w14:paraId="26E0C45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（6）施工期间必须做好场地清洁卫生，设置冲洗平台，做到净车出场，避免在场外道路上“抛、洒、滴、漏”。由此产生的责任由施工单位承担；</w:t>
      </w:r>
    </w:p>
    <w:p w14:paraId="2427B5F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（7）承包人严禁污水乱排放，将生活垃圾集中外运，达到标化现场要求；</w:t>
      </w:r>
    </w:p>
    <w:p w14:paraId="0410F3A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（8）对施工场地内的已完工程、在建工程、管沟、管网等进行保护；</w:t>
      </w:r>
    </w:p>
    <w:p w14:paraId="3C0EF40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（9）施工期间必须挂牌上岗并统一着装；</w:t>
      </w:r>
    </w:p>
    <w:p w14:paraId="32C4263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（10）禁止乱堆乱放材料与机械设备；</w:t>
      </w:r>
    </w:p>
    <w:p w14:paraId="1482D93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（11）预制场、土场必须设置标语牌（包括安全、质量、环境、操作规程等）。</w:t>
      </w:r>
    </w:p>
    <w:p w14:paraId="5AE9AA9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6.1.4关于安全文明施工费支付比例和支付期限的约定：纳入合同价格执行。</w:t>
      </w:r>
    </w:p>
    <w:p w14:paraId="1D0EBFC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7.工期和进度</w:t>
      </w:r>
    </w:p>
    <w:p w14:paraId="2A93C7E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7.1施工组织设计</w:t>
      </w:r>
    </w:p>
    <w:p w14:paraId="7FDD470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7.1.1合同当事人约定的施工组织设计应包括的其他内容：按招标文件或竞争性磋商文件约定，招标文件或竞争性磋商文件无约定按通用条款或双方另行约定。</w:t>
      </w:r>
    </w:p>
    <w:p w14:paraId="29DCFD0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7.1.2施工组织设计的提交和修改</w:t>
      </w:r>
    </w:p>
    <w:p w14:paraId="57FEF7D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承包人提交详细施工组织设计的期限的约定：合同签订后7日内，向监理人提交详细的施工组织设计，并由监理人报送发包人。</w:t>
      </w:r>
    </w:p>
    <w:p w14:paraId="3C0A785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发包人和监理人在收到详细的施工组织设计后确认或提出修改意见的期限：发包人和监理人应在监理人收到施工组织设计后</w:t>
      </w:r>
      <w:r>
        <w:rPr>
          <w:rFonts w:hint="eastAsia" w:ascii="宋体" w:hAnsi="宋体" w:cs="仿宋"/>
          <w:color w:val="0000FF"/>
          <w:sz w:val="24"/>
          <w:szCs w:val="24"/>
        </w:rPr>
        <w:t>【    】</w:t>
      </w:r>
      <w:r>
        <w:rPr>
          <w:rFonts w:hint="eastAsia" w:ascii="宋体" w:hAnsi="宋体" w:cs="仿宋"/>
          <w:sz w:val="24"/>
          <w:szCs w:val="24"/>
        </w:rPr>
        <w:t>日内确认或提出修改意见。</w:t>
      </w:r>
    </w:p>
    <w:p w14:paraId="22481B2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7.2施工进度计划</w:t>
      </w:r>
    </w:p>
    <w:p w14:paraId="7B58228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施工进度计划的修订</w:t>
      </w:r>
    </w:p>
    <w:p w14:paraId="4CF006F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发包人和监理人在收到修订的施工进度计划后确认或提出修改意见的期限：发包人和监理人应在收到修订的施工进度计划后 7日内完成审核和批准或提出修改意见。</w:t>
      </w:r>
    </w:p>
    <w:p w14:paraId="089C05A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开工前七天承包人须向发包人、监理提出总进度计划。开工后承包人每周例会时须报周进度计划。承包人提供的施工组织设计必须是交发包人、监理方审核后的施工组织设计。</w:t>
      </w:r>
    </w:p>
    <w:p w14:paraId="50C65E0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7.3开工</w:t>
      </w:r>
    </w:p>
    <w:p w14:paraId="791A43B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7.3.1开工准备</w:t>
      </w:r>
    </w:p>
    <w:p w14:paraId="1D129FE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关于承包人提交工程开工报审表的期限：合同签订后3日。</w:t>
      </w:r>
    </w:p>
    <w:p w14:paraId="751B23E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关于发包人应完成的其他开工准备工作及期限：无。</w:t>
      </w:r>
    </w:p>
    <w:p w14:paraId="6A95906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关于承包人应完成的其他开工准备工作及期限：临时设施搭建、材料、设备、人员等须在合同签订后3日内完成。</w:t>
      </w:r>
    </w:p>
    <w:p w14:paraId="6F5B693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7.3.2开工通知</w:t>
      </w:r>
    </w:p>
    <w:p w14:paraId="41CE257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计划开工日期之日起 7 天内发出开工通知</w:t>
      </w:r>
    </w:p>
    <w:p w14:paraId="65DCF88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7.4测量放线</w:t>
      </w:r>
    </w:p>
    <w:p w14:paraId="589A391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发包人通过监理人向承包人提供测量基准点、基准线和水准点及其书面资料的期限：开工前。</w:t>
      </w:r>
    </w:p>
    <w:p w14:paraId="05B774B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7.5工期延误</w:t>
      </w:r>
    </w:p>
    <w:p w14:paraId="3EAD5F2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7.5.1 因发包人原因导致工期延误</w:t>
      </w:r>
    </w:p>
    <w:p w14:paraId="26FC515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因发包人原因导致工期延误的其他情形：由于发包人原因和国家行政相关要求的停工（非承包人的责任），须由承包人书面提出，并经监理和发包人同意并共同签证，工期方可顺延。对此，承包人同意在工期顺延的情况下不要求经济补偿或赔偿。</w:t>
      </w:r>
    </w:p>
    <w:p w14:paraId="36F9A6E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7.5.2因承包人原因导致工期延误</w:t>
      </w:r>
    </w:p>
    <w:p w14:paraId="621188D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因承包人原因造成工期延误，逾期竣工违约金的计算方法为：</w:t>
      </w:r>
    </w:p>
    <w:p w14:paraId="047B247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承包人不能按合同总工期竣工，每推迟一天，承包人向发包人支付合同价款</w:t>
      </w:r>
      <w:r>
        <w:rPr>
          <w:rFonts w:hint="eastAsia" w:ascii="宋体" w:hAnsi="宋体" w:cs="仿宋"/>
          <w:sz w:val="24"/>
          <w:szCs w:val="24"/>
          <w:lang w:val="en-US" w:eastAsia="zh-CN"/>
        </w:rPr>
        <w:t>0.1</w:t>
      </w:r>
      <w:r>
        <w:rPr>
          <w:rFonts w:hint="eastAsia" w:ascii="宋体" w:hAnsi="宋体" w:cs="仿宋"/>
          <w:sz w:val="24"/>
          <w:szCs w:val="24"/>
        </w:rPr>
        <w:t>%作为违约金。因承包人原因造成工期延误，逾期竣工违约金的上限：合同价款的</w:t>
      </w:r>
      <w:r>
        <w:rPr>
          <w:rFonts w:hint="eastAsia" w:ascii="宋体" w:hAnsi="宋体" w:cs="仿宋"/>
          <w:sz w:val="24"/>
          <w:szCs w:val="24"/>
          <w:lang w:val="en-US" w:eastAsia="zh-CN"/>
        </w:rPr>
        <w:t>5</w:t>
      </w:r>
      <w:r>
        <w:rPr>
          <w:rFonts w:hint="eastAsia" w:ascii="宋体" w:hAnsi="宋体" w:cs="仿宋"/>
          <w:sz w:val="24"/>
          <w:szCs w:val="24"/>
        </w:rPr>
        <w:t>%，如因承包人原因造成工期延误计算出的违约金超过上限（合同价款的</w:t>
      </w:r>
      <w:r>
        <w:rPr>
          <w:rFonts w:hint="eastAsia" w:ascii="宋体" w:hAnsi="宋体" w:cs="仿宋"/>
          <w:sz w:val="24"/>
          <w:szCs w:val="24"/>
          <w:lang w:val="en-US" w:eastAsia="zh-CN"/>
        </w:rPr>
        <w:t>5</w:t>
      </w:r>
      <w:r>
        <w:rPr>
          <w:rFonts w:hint="eastAsia" w:ascii="宋体" w:hAnsi="宋体" w:cs="仿宋"/>
          <w:sz w:val="24"/>
          <w:szCs w:val="24"/>
        </w:rPr>
        <w:t>%），则视为承包人构成严重违约，发包人有权单方解除合同，并要求承包人赔偿发包人损失。</w:t>
      </w:r>
    </w:p>
    <w:p w14:paraId="0A9BDA0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7.6不利物质条件</w:t>
      </w:r>
    </w:p>
    <w:p w14:paraId="1B3B7B9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不利物质条件的其他情形和有关约定：无。</w:t>
      </w:r>
    </w:p>
    <w:p w14:paraId="7A54DF3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7.7异常恶劣的气候条件</w:t>
      </w:r>
    </w:p>
    <w:p w14:paraId="70D849E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发包人和承包人同意以下情形视为异常恶劣的气候条件：</w:t>
      </w:r>
    </w:p>
    <w:p w14:paraId="418B754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w:t>
      </w:r>
    </w:p>
    <w:p w14:paraId="69595A7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 / ；</w:t>
      </w:r>
    </w:p>
    <w:p w14:paraId="1902001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 / 。</w:t>
      </w:r>
    </w:p>
    <w:p w14:paraId="30A630E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7.8提前竣工的奖励</w:t>
      </w:r>
    </w:p>
    <w:p w14:paraId="588457B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提前竣工的奖励：无。</w:t>
      </w:r>
    </w:p>
    <w:p w14:paraId="7AA7F37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8.材料与设备</w:t>
      </w:r>
    </w:p>
    <w:p w14:paraId="7F817F5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8.1材料与工程设备的保管与使用</w:t>
      </w:r>
    </w:p>
    <w:p w14:paraId="677F56B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8 .1.1发包人供应的材料设备的保管费用的承担：发包人供应的材料设备的保管费用含在投标报价中，发包人不另行支付，承包人承担所供应设备的保管费用。</w:t>
      </w:r>
    </w:p>
    <w:p w14:paraId="704329C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双方约定由承包人采购的材料必须符合有关规范规定的质量要求、环保要求以及验收要求，必须有详细的质保书及复试报告且经发包人和监理方事先书面认可。若不符要求，发包人可拒绝验收和使用，并按限定时间运出施工场地，重新采购，承包人承担由此发生的费用，由此延误的工期不予顺延。</w:t>
      </w:r>
    </w:p>
    <w:p w14:paraId="7736A9C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本项目材料在招标时或竞争性磋商文件中如有推荐品牌的按推荐品牌执行，如承包人选择推荐品牌外的产品，需经发包人书面盖章确认后方可使用，同时发包人有权要求更换为推荐品牌中任一品牌的同质产品，所报材料单价不调整。所有材料进场前必须取得发包人书面盖章确认的品牌、质量、款式和颜色后方可批量进场，否则一切后果由承包人自行承担。</w:t>
      </w:r>
    </w:p>
    <w:p w14:paraId="50220C6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8.2样品的报送与封存</w:t>
      </w:r>
    </w:p>
    <w:p w14:paraId="0BE1336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需要承包人报送样品的材料或工程设备，样品的种类、名称、规格、数量要求：工程使用的所有材料，承包人须向发包人提供样板并经发包人、设计师及现场监理单位确认，发包人确认符合工程要求并批准后方可使用。如发生所供材料等与封样不符，发包人有权拒用，损失由承包人承担。</w:t>
      </w:r>
    </w:p>
    <w:p w14:paraId="7835FED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8.3施工设备和临时设施</w:t>
      </w:r>
    </w:p>
    <w:p w14:paraId="4A854D2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承包人提供施工设备和临时设施</w:t>
      </w:r>
      <w:r>
        <w:rPr>
          <w:rFonts w:hint="eastAsia" w:ascii="宋体" w:hAnsi="宋体" w:cs="仿宋"/>
          <w:sz w:val="24"/>
          <w:szCs w:val="24"/>
          <w:lang w:eastAsia="zh-CN"/>
        </w:rPr>
        <w:t>。</w:t>
      </w:r>
      <w:r>
        <w:rPr>
          <w:rFonts w:hint="eastAsia" w:ascii="宋体" w:hAnsi="宋体" w:cs="仿宋"/>
          <w:sz w:val="24"/>
          <w:szCs w:val="24"/>
        </w:rPr>
        <w:t>关于修建临时设施费用承担的约定：承包人确认已经计入投标报价中。</w:t>
      </w:r>
    </w:p>
    <w:p w14:paraId="71A1671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9.试验与检验</w:t>
      </w:r>
    </w:p>
    <w:p w14:paraId="3AE3280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9.1试验设备与试验人员</w:t>
      </w:r>
    </w:p>
    <w:p w14:paraId="51A1A71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施工现场需要配置的试验场所：无。</w:t>
      </w:r>
    </w:p>
    <w:p w14:paraId="20B7D94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施工现场需要配备的试验设备：水准仪、测量仪等。</w:t>
      </w:r>
    </w:p>
    <w:p w14:paraId="742E757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施工现场需要具备的其他试验条件：/。</w:t>
      </w:r>
    </w:p>
    <w:p w14:paraId="6745D0F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9.2现场工艺试验</w:t>
      </w:r>
    </w:p>
    <w:p w14:paraId="5048D0C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现场工艺试验的有关约定：无。</w:t>
      </w:r>
    </w:p>
    <w:p w14:paraId="4CC222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10.变更</w:t>
      </w:r>
    </w:p>
    <w:p w14:paraId="37BF35B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10.1变更的范围</w:t>
      </w:r>
    </w:p>
    <w:p w14:paraId="470C115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关于变更的范围的约定：发包人认可经发包人审核、批准后的设计变更；发包人和监理方均认可经发包人和监理方审核、批准后的工程签证。</w:t>
      </w:r>
    </w:p>
    <w:p w14:paraId="7144BF4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10.2工程设计变更</w:t>
      </w:r>
    </w:p>
    <w:p w14:paraId="7CAC7C7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10.2.1发包人有可能根据工程需要修改施工图或发出指令增加或减少工程量，工程量不论增减多少，承包人均应无条件服从。承包人拒不接受和服从的，发包人有权单方解除合同、要求承包人无条件退场。施工中发包人需对原工程设计进行变更，应提前 7 天以书面形式向承包人发出变更通知。承包人按照监理工程师发出的变更通知及有关要求，进行下列需要的变更：</w:t>
      </w:r>
    </w:p>
    <w:p w14:paraId="765C6EE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（1）更改工程有关部分的标高、基线、位置和尺寸；</w:t>
      </w:r>
    </w:p>
    <w:p w14:paraId="67B19BC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（2）增减合同中约定的工程量；</w:t>
      </w:r>
    </w:p>
    <w:p w14:paraId="2AE7DFD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（3）改变有关工程的施工时间和顺序；</w:t>
      </w:r>
    </w:p>
    <w:p w14:paraId="0DA5720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（4）其他有关工程变更需要的附加工作。</w:t>
      </w:r>
    </w:p>
    <w:p w14:paraId="6FFB2FA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因变更导致延误的工期可相应顺延。</w:t>
      </w:r>
    </w:p>
    <w:p w14:paraId="6E46712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10.2.2 施工中承包人不得对原工程设计进行变更。因承包人擅自变更设计发生的费用和由此导致发包人的直接损失，由承包人承担，延误的工期不予顺延。</w:t>
      </w:r>
    </w:p>
    <w:p w14:paraId="2E1F228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10.2.3 承包人在施工中提出的合理化建议涉及到对设计图纸或施工组织设计的更改及对材料、设备的换用，须经发包人、工程监理、跟踪审计三方同意。未经同意擅自更改或换用时，承包人承担由此发生的费用，并赔偿发包人的有关损失，延误的工期不予顺延。</w:t>
      </w:r>
    </w:p>
    <w:p w14:paraId="1C34B16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10.3其他变更</w:t>
      </w:r>
    </w:p>
    <w:p w14:paraId="6CE131E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10.3.1发包人保留变更或调整工程量的</w:t>
      </w:r>
      <w:r>
        <w:rPr>
          <w:rFonts w:hint="eastAsia" w:ascii="宋体" w:hAnsi="宋体" w:cs="仿宋"/>
          <w:sz w:val="24"/>
          <w:szCs w:val="24"/>
          <w:lang w:val="en-US" w:eastAsia="zh-CN"/>
        </w:rPr>
        <w:t>权利</w:t>
      </w:r>
      <w:r>
        <w:rPr>
          <w:rFonts w:hint="eastAsia" w:ascii="宋体" w:hAnsi="宋体" w:cs="仿宋"/>
          <w:sz w:val="24"/>
          <w:szCs w:val="24"/>
        </w:rPr>
        <w:t>，承包人不得拒绝变更，更不得以变更为由提出不合理的要求；</w:t>
      </w:r>
    </w:p>
    <w:p w14:paraId="0C85948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10.3.2承包人必须按发包人要求完成变更工作，若承包人拒不执行，经发包人书面催告后在【5】日内仍不纠正其行为的，发包人有权单方通知其解除合同，将本合同工程交由第三方承包商继续完成。届时，承包人须立即退场，并配合发包人就承包人已完成的工程量进行审计，发包人按最终审计审定价的【50】%与承包人结付工程款。同时，承包人还须按本合同签约合同价的【10】%向发包人支付违约金。</w:t>
      </w:r>
    </w:p>
    <w:p w14:paraId="1AF3A38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10.3.3变更导致工期的顺延以监理工程师审核、发包人批准为准。</w:t>
      </w:r>
    </w:p>
    <w:p w14:paraId="5C18B3B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10.3.4承包人提出的工程变更申请必须严格按照发包人规定的工程变更管理流程执行，涉及主体结构的变更内容必须经设计单位确认。</w:t>
      </w:r>
    </w:p>
    <w:p w14:paraId="7473BCE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10.3.5设计单位出具的设计变更必须得到发包人的批准。承包人不得直接从设计单位取得设计变更，或者以贿赂等不正当手段影响本工程的设计师进行变更。否则，由此增加的工程费用由承包人承担，工期不予顺延。</w:t>
      </w:r>
    </w:p>
    <w:p w14:paraId="2D6DEC5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10.3.6针对工程量发生变化的隐蔽工程及发包人提出的对已完成的分项工程进行变更，承包人应在施工前将施工方案报发包人及监理工程师确认；对于有可能重复利用的材料设备，承包人应小心保护，属承包人拆除时未采取保护措施或拆除后保护不当的，由承包人负责赔偿损失。</w:t>
      </w:r>
    </w:p>
    <w:p w14:paraId="64B27A3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10.3.7办理签证时，变更、签证结算费用编制应按“一单一价”的原则，即每一份变更、签证附一份造价核定单。一份造价核定单上只能申报一项内容。签证原件1式4份，发包人二份、监理一份、承包人保留一份。</w:t>
      </w:r>
    </w:p>
    <w:p w14:paraId="708A1B3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10.3.8为避免签证出现混乱、重复结算，承包人在办理签证时必须明确每份签证的具体原因、施工部位、施工时间、签证的编号等，否则，该签证为无效签证。</w:t>
      </w:r>
    </w:p>
    <w:p w14:paraId="2DA9EFA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10.4确定变更价款</w:t>
      </w:r>
    </w:p>
    <w:p w14:paraId="713B022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10.4.1承包人在工程变更、现场签证确定后14天内，完成变更申报及签证手续，提出变更工程价款的报告，经须经发包人、工程监理、跟踪审计三方确认后调整合同价款。变更合同价款按下列方法进行：</w:t>
      </w:r>
    </w:p>
    <w:p w14:paraId="41D85BC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（1）合同中已有适用于变更工程的价格，按合同已有的价格变更合同价款；</w:t>
      </w:r>
    </w:p>
    <w:p w14:paraId="2A19989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（2）合同中只有类似于变更工程的价格，可以参照类似价格变更合同价款；</w:t>
      </w:r>
    </w:p>
    <w:p w14:paraId="2AF2389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合同中没有适用或类似于变更工程的价格，按《建设工程工程量清单计价规范》（GB50500-2013）计算，按照承包人投标报价的取费和同等优惠率下浮；与投标报价时相同的材料单价按投标报价执行，没有的材料单价执行与</w:t>
      </w:r>
      <w:r>
        <w:rPr>
          <w:rFonts w:hint="eastAsia" w:ascii="宋体" w:hAnsi="宋体" w:cs="仿宋"/>
          <w:sz w:val="24"/>
          <w:szCs w:val="24"/>
          <w:lang w:val="en-US" w:eastAsia="zh-CN"/>
        </w:rPr>
        <w:t>长春</w:t>
      </w:r>
      <w:r>
        <w:rPr>
          <w:rFonts w:hint="eastAsia" w:ascii="宋体" w:hAnsi="宋体" w:cs="仿宋"/>
          <w:sz w:val="24"/>
          <w:szCs w:val="24"/>
        </w:rPr>
        <w:t>工程造价管理同期的工程材料市场指导价格，指导价格中没有的，参照市场价（发包人承包人双方协商确定）；经监理、跟踪审计及发包人确认后执行。</w:t>
      </w:r>
    </w:p>
    <w:p w14:paraId="73D7C97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10.4.2承包人在双方确定变更、现场签证后14天内不向发包人提出变更程价款报告时，视为该项变更、签证不涉及合同价款的变更。</w:t>
      </w:r>
    </w:p>
    <w:p w14:paraId="29B4068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10.4.3因承包人自身原因导致的工程变更，承包人无权要求追加合同价款。</w:t>
      </w:r>
    </w:p>
    <w:p w14:paraId="6074F1A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10.4.4不同金额的变更签证由发包人实行分级授权制度：</w:t>
      </w:r>
    </w:p>
    <w:p w14:paraId="4D21E6A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（1）对于变更、签证计价及结算的约定：</w:t>
      </w:r>
    </w:p>
    <w:p w14:paraId="559CE8D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1）工程变更签证的审批程序：</w:t>
      </w:r>
    </w:p>
    <w:p w14:paraId="08A01DF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a、工程变更签证的情形发生后，承包人将工程变更签证报监理组初审，监理工程师在签证单上签署审核意见（如需现场计量，监理单位应提前24小时通知项目代表、跟踪审计咨询人员到场）；</w:t>
      </w:r>
    </w:p>
    <w:p w14:paraId="63E5B75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b、监理组初审批准后报发包人代表，由发包人代表将监理工程师初审批准的相关资料送跟踪审计咨询人员，跟踪审计咨询人员审核后在签证单上签署审核意见；</w:t>
      </w:r>
    </w:p>
    <w:p w14:paraId="6D0FA8F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c、项目代表根据监理工程师和跟踪审计咨询人员的审核意见，对所报资料进行审核，并按审批权限报相关领导批准后在签证单上签署审核意见。</w:t>
      </w:r>
    </w:p>
    <w:p w14:paraId="6CD3F38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有效工程签证的认定原则：签证单上必须有发包人代表、跟踪审计咨询人员、监理工程师、承包人项目经理及项目部（项目经理签字、项目部盖章）四方的签字和盖章，方可作为竣工结算的依据；签证单上必须明确签证的原因、位置、尺寸、数量、材料、人工、机械台班、价格等和签证时间。</w:t>
      </w:r>
    </w:p>
    <w:p w14:paraId="4D6711B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3）关于临时用工的签证事项，双方应在签证通知单上协商确定以下问题：工作内容及工作量、工作时间、工作人数、取定的人工单价（是综合单价，已含管理费和利润）。</w:t>
      </w:r>
    </w:p>
    <w:p w14:paraId="47A3F5E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当变更的工作内容完成之后，承包人要及时督促监理人员和发包人项目代表签字确认，对于隐蔽工程的签证，必须在覆盖前完成验收手续、工程量的确认和费用数额的报送手续，否则发包人可以不予支付相关款项。</w:t>
      </w:r>
    </w:p>
    <w:p w14:paraId="1D13940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10.5变更估价</w:t>
      </w:r>
    </w:p>
    <w:p w14:paraId="6050C05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变更估价原则</w:t>
      </w:r>
    </w:p>
    <w:p w14:paraId="596CF7F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关于变更估价的约定: 因经发包人同意的设计变更，由承包人将工程量变更设计价款报送监理方和发包人（包括发包人委托的跟踪审计单位）审核，获得发包人书面盖章同意后，在工程结算审计时予以调整价款；由承包人提出的变更，承包人应编制变更依据，变更的工程量，变更的价款报设计方、监理方、发包人（包括发包人委托的跟踪审计单位）审核，获得发包人书面盖章同意后，变更价款按照14.竣工结算的约定在工程结算审计时予以调整。</w:t>
      </w:r>
    </w:p>
    <w:p w14:paraId="2074020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10.6承包人的合理化建议</w:t>
      </w:r>
    </w:p>
    <w:p w14:paraId="275755E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监理人审查承包人合理化建议的期限：收到建议之日起3日。</w:t>
      </w:r>
    </w:p>
    <w:p w14:paraId="09DFCA2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发包人审批承包人合理化建议的期限：收到建议之日起3日。</w:t>
      </w:r>
    </w:p>
    <w:p w14:paraId="72F4E08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承包人提出的合理化建议降低了合同价格或者提高了工程经济效益的奖励的方法和金额为：无。</w:t>
      </w:r>
    </w:p>
    <w:p w14:paraId="049DE0C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10.7暂估价</w:t>
      </w:r>
    </w:p>
    <w:p w14:paraId="59B9492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本项目无暂估价</w:t>
      </w:r>
    </w:p>
    <w:p w14:paraId="6A8B587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10.7.1依法必须招标的暂估价项目</w:t>
      </w:r>
    </w:p>
    <w:p w14:paraId="013748A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对于依法必须招标的暂估价项目的确认和批准采取第/种方式确定。</w:t>
      </w:r>
    </w:p>
    <w:p w14:paraId="76B2C4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10.7.2不属于依法必须招标的暂估价项目</w:t>
      </w:r>
    </w:p>
    <w:p w14:paraId="3A44D89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对于不属于依法必须招标的暂估价项目的确认和批准采取第 / 种方式确定。</w:t>
      </w:r>
    </w:p>
    <w:p w14:paraId="418748A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第3种方式：承包人直接实施的暂估价项目</w:t>
      </w:r>
    </w:p>
    <w:p w14:paraId="7319E16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承包人直接实施的暂估价项目的约定：无。</w:t>
      </w:r>
    </w:p>
    <w:p w14:paraId="3BE9C78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10.8 暂列金额</w:t>
      </w:r>
    </w:p>
    <w:p w14:paraId="4FD719F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合同当事人关于暂列金额使用的约定：暂列金额应按照发包人的要求使用。</w:t>
      </w:r>
    </w:p>
    <w:p w14:paraId="0C9B239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11.价格调整</w:t>
      </w:r>
    </w:p>
    <w:p w14:paraId="5B3C6BB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11.1市场价格波动引起的调整</w:t>
      </w:r>
    </w:p>
    <w:p w14:paraId="2001918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市场价格波动是否调整合同价格的约定：不调整。</w:t>
      </w:r>
    </w:p>
    <w:p w14:paraId="56A06A2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因市场价格波动调整合同价格，采用以下第/种方式对合同价格进行调整：</w:t>
      </w:r>
    </w:p>
    <w:p w14:paraId="36C0342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第1种方式：采用价格指数进行价格调整。</w:t>
      </w:r>
    </w:p>
    <w:p w14:paraId="08AD87A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关于各可调因子、定值和变值权重，以及基本价格指数及其来源的约定： / ；</w:t>
      </w:r>
    </w:p>
    <w:p w14:paraId="39A2BFC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第2种方式：采用造价信息进行价格调整。</w:t>
      </w:r>
    </w:p>
    <w:p w14:paraId="75EA615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12.合同价格、计量与支付</w:t>
      </w:r>
    </w:p>
    <w:p w14:paraId="321A8AA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12.1合同价格形式</w:t>
      </w:r>
    </w:p>
    <w:p w14:paraId="397AA40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1、单价合同：</w:t>
      </w:r>
    </w:p>
    <w:p w14:paraId="2E01A8E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综合单价包含的风险范围：已包含所有风险。</w:t>
      </w:r>
    </w:p>
    <w:p w14:paraId="0EA4D8D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风险费用的计算方法：风险费用已包含在报价中，不予调整。</w:t>
      </w:r>
    </w:p>
    <w:p w14:paraId="3280951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风险范围以外合同价格的调整方法： ①工程设计变更及签证以及发包人另行委托施工的追加的工程，结算时必须提供经发包人、监理等有关各方共同签字盖章的确认单，按照承包人的投标报价和取费标准，在工程竣工后进行结算。具体对设计变更、签证部分的结算方法双方约定如下:①合同中已有的适用于变更工程的价格，按合同已有价格结算，变更合同价款；②合同中有类似于变更工程价格的，可参照此价格确定变更合同价款；③合同中没有适用或类似于变更工程价格，具体计算方法依据</w:t>
      </w:r>
      <w:r>
        <w:rPr>
          <w:rFonts w:hint="eastAsia" w:ascii="宋体" w:hAnsi="宋体" w:cs="仿宋"/>
          <w:sz w:val="24"/>
          <w:szCs w:val="24"/>
          <w:lang w:val="en-US" w:eastAsia="zh-CN"/>
        </w:rPr>
        <w:t>吉林</w:t>
      </w:r>
      <w:r>
        <w:rPr>
          <w:rFonts w:hint="eastAsia" w:ascii="宋体" w:hAnsi="宋体" w:cs="仿宋"/>
          <w:sz w:val="24"/>
          <w:szCs w:val="24"/>
        </w:rPr>
        <w:t>省计价表内人工、机械、材料的消耗量，人工、机械单价依据承包人投标书相应单价，材料单价按同期市场价格定价；管理费、利润按承包人投标书相应分部工程的相应比例，在工程竣工后进行结算。</w:t>
      </w:r>
      <w:r>
        <w:rPr>
          <w:rFonts w:hint="eastAsia" w:ascii="宋体" w:hAnsi="宋体" w:cs="仿宋"/>
          <w:sz w:val="24"/>
          <w:szCs w:val="24"/>
        </w:rPr>
        <w:fldChar w:fldCharType="begin"/>
      </w:r>
      <w:r>
        <w:rPr>
          <w:rFonts w:hint="eastAsia" w:ascii="宋体" w:hAnsi="宋体" w:cs="仿宋"/>
          <w:sz w:val="24"/>
          <w:szCs w:val="24"/>
        </w:rPr>
        <w:instrText xml:space="preserve">eq \o\ac(○,4)</w:instrText>
      </w:r>
      <w:r>
        <w:rPr>
          <w:rFonts w:hint="eastAsia" w:ascii="宋体" w:hAnsi="宋体" w:cs="仿宋"/>
          <w:sz w:val="24"/>
          <w:szCs w:val="24"/>
        </w:rPr>
        <w:fldChar w:fldCharType="end"/>
      </w:r>
      <w:r>
        <w:rPr>
          <w:rFonts w:hint="eastAsia" w:ascii="宋体" w:hAnsi="宋体" w:cs="仿宋"/>
          <w:sz w:val="24"/>
          <w:szCs w:val="24"/>
        </w:rPr>
        <w:t>采用竞争性磋商采购方式中标的工程，若其原磋商报价与中标价存在差额的，承包人须根据差额同比例下调，下调后的综合单价报发包人审核。</w:t>
      </w:r>
    </w:p>
    <w:p w14:paraId="76EFEE2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2、总价合同。</w:t>
      </w:r>
    </w:p>
    <w:p w14:paraId="473A142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总价包含的风险范围：</w:t>
      </w:r>
      <w:r>
        <w:rPr>
          <w:rFonts w:hint="eastAsia" w:ascii="宋体" w:hAnsi="宋体" w:cs="仿宋"/>
          <w:sz w:val="24"/>
          <w:szCs w:val="24"/>
          <w:lang w:val="en-US" w:eastAsia="zh-CN"/>
        </w:rPr>
        <w:t>合同已经对总价约定的，风险费用已包含在报价中，不予调整。</w:t>
      </w:r>
      <w:r>
        <w:rPr>
          <w:rFonts w:hint="eastAsia" w:ascii="宋体" w:hAnsi="宋体" w:cs="仿宋"/>
          <w:sz w:val="24"/>
          <w:szCs w:val="24"/>
        </w:rPr>
        <w:t>/。</w:t>
      </w:r>
    </w:p>
    <w:p w14:paraId="44EF0C4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风险费用的计算方法：/。</w:t>
      </w:r>
    </w:p>
    <w:p w14:paraId="76E19B8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风险范围以外合同价格的调整方法：/。</w:t>
      </w:r>
    </w:p>
    <w:p w14:paraId="438CC23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3、其他价格方式：/。</w:t>
      </w:r>
    </w:p>
    <w:p w14:paraId="6D550A1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b/>
          <w:bCs/>
          <w:sz w:val="24"/>
          <w:szCs w:val="24"/>
          <w:lang w:val="en-US" w:eastAsia="zh-CN"/>
        </w:rPr>
      </w:pPr>
      <w:r>
        <w:rPr>
          <w:rFonts w:hint="eastAsia" w:ascii="宋体" w:hAnsi="宋体" w:cs="仿宋"/>
          <w:b/>
          <w:bCs/>
          <w:sz w:val="24"/>
          <w:szCs w:val="24"/>
          <w:lang w:val="en-US" w:eastAsia="zh-CN"/>
        </w:rPr>
        <w:t>本项目采用第  种计价方式。</w:t>
      </w:r>
    </w:p>
    <w:p w14:paraId="1230DB7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12.2 预付款</w:t>
      </w:r>
    </w:p>
    <w:p w14:paraId="27A2026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12.2.1 预付款的支付</w:t>
      </w:r>
    </w:p>
    <w:p w14:paraId="108DB3F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发包方应在合同签订后【</w:t>
      </w:r>
      <w:r>
        <w:rPr>
          <w:rFonts w:hint="eastAsia" w:ascii="宋体" w:hAnsi="宋体" w:cs="仿宋"/>
          <w:sz w:val="24"/>
          <w:szCs w:val="24"/>
          <w:lang w:val="en-US" w:eastAsia="zh-CN"/>
        </w:rPr>
        <w:t xml:space="preserve">  </w:t>
      </w:r>
      <w:r>
        <w:rPr>
          <w:rFonts w:hint="eastAsia" w:ascii="宋体" w:hAnsi="宋体" w:cs="仿宋"/>
          <w:sz w:val="24"/>
          <w:szCs w:val="24"/>
        </w:rPr>
        <w:t>】日内，向承包方支付合同总价【</w:t>
      </w:r>
      <w:r>
        <w:rPr>
          <w:rFonts w:hint="eastAsia" w:ascii="宋体" w:hAnsi="宋体" w:cs="仿宋"/>
          <w:sz w:val="24"/>
          <w:szCs w:val="24"/>
          <w:lang w:val="en-US" w:eastAsia="zh-CN"/>
        </w:rPr>
        <w:t>30</w:t>
      </w:r>
      <w:r>
        <w:rPr>
          <w:rFonts w:hint="eastAsia" w:ascii="宋体" w:hAnsi="宋体" w:cs="仿宋"/>
          <w:sz w:val="24"/>
          <w:szCs w:val="24"/>
        </w:rPr>
        <w:t>】%的预付款，金额为人民币【</w:t>
      </w:r>
      <w:r>
        <w:rPr>
          <w:rFonts w:hint="eastAsia" w:ascii="宋体" w:hAnsi="宋体" w:cs="仿宋"/>
          <w:sz w:val="24"/>
          <w:szCs w:val="24"/>
          <w:lang w:val="en-US" w:eastAsia="zh-CN"/>
        </w:rPr>
        <w:t xml:space="preserve">   </w:t>
      </w:r>
      <w:r>
        <w:rPr>
          <w:rFonts w:hint="eastAsia" w:ascii="宋体" w:hAnsi="宋体" w:cs="仿宋"/>
          <w:sz w:val="24"/>
          <w:szCs w:val="24"/>
        </w:rPr>
        <w:t>】元（大写：【</w:t>
      </w:r>
      <w:r>
        <w:rPr>
          <w:rFonts w:hint="eastAsia" w:ascii="宋体" w:hAnsi="宋体" w:cs="仿宋"/>
          <w:sz w:val="24"/>
          <w:szCs w:val="24"/>
          <w:lang w:val="en-US" w:eastAsia="zh-CN"/>
        </w:rPr>
        <w:t xml:space="preserve">  </w:t>
      </w:r>
      <w:r>
        <w:rPr>
          <w:rFonts w:hint="eastAsia" w:ascii="宋体" w:hAnsi="宋体" w:cs="仿宋"/>
          <w:sz w:val="24"/>
          <w:szCs w:val="24"/>
        </w:rPr>
        <w:t>】元整）。承包方需提供等额的</w:t>
      </w:r>
      <w:r>
        <w:rPr>
          <w:rFonts w:hint="eastAsia" w:ascii="宋体" w:hAnsi="宋体" w:cs="仿宋"/>
          <w:sz w:val="24"/>
          <w:szCs w:val="24"/>
          <w:lang w:val="en-US" w:eastAsia="zh-CN"/>
        </w:rPr>
        <w:t>见索即付</w:t>
      </w:r>
      <w:r>
        <w:rPr>
          <w:rFonts w:hint="eastAsia" w:ascii="宋体" w:hAnsi="宋体" w:cs="仿宋"/>
          <w:sz w:val="24"/>
          <w:szCs w:val="24"/>
        </w:rPr>
        <w:t>预付款保函后，发包方予以支付。</w:t>
      </w:r>
    </w:p>
    <w:p w14:paraId="199B157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lang w:val="en-US" w:eastAsia="zh-CN"/>
        </w:rPr>
        <w:t>12.2.2</w:t>
      </w:r>
      <w:r>
        <w:rPr>
          <w:rFonts w:hint="eastAsia" w:ascii="宋体" w:hAnsi="宋体" w:cs="仿宋"/>
          <w:sz w:val="24"/>
          <w:szCs w:val="24"/>
        </w:rPr>
        <w:t>预付款扣回条件</w:t>
      </w:r>
    </w:p>
    <w:p w14:paraId="003478E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预付款的扣回应满足以下条件：</w:t>
      </w:r>
    </w:p>
    <w:p w14:paraId="3A795B4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自工程开工后第【</w:t>
      </w:r>
      <w:r>
        <w:rPr>
          <w:rFonts w:hint="eastAsia" w:ascii="宋体" w:hAnsi="宋体" w:cs="仿宋"/>
          <w:sz w:val="24"/>
          <w:szCs w:val="24"/>
          <w:lang w:val="en-US" w:eastAsia="zh-CN"/>
        </w:rPr>
        <w:t>1</w:t>
      </w:r>
      <w:r>
        <w:rPr>
          <w:rFonts w:hint="eastAsia" w:ascii="宋体" w:hAnsi="宋体" w:cs="仿宋"/>
          <w:sz w:val="24"/>
          <w:szCs w:val="24"/>
        </w:rPr>
        <w:t>】个月起，按月平均扣回。</w:t>
      </w:r>
    </w:p>
    <w:p w14:paraId="6E756AF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lang w:val="en-US" w:eastAsia="zh-CN"/>
        </w:rPr>
        <w:t>12.2.3</w:t>
      </w:r>
      <w:r>
        <w:rPr>
          <w:rFonts w:hint="eastAsia" w:ascii="宋体" w:hAnsi="宋体" w:cs="仿宋"/>
          <w:sz w:val="24"/>
          <w:szCs w:val="24"/>
        </w:rPr>
        <w:t>扣回方式</w:t>
      </w:r>
    </w:p>
    <w:p w14:paraId="18C8626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预付款按以下</w:t>
      </w:r>
      <w:r>
        <w:rPr>
          <w:rFonts w:hint="eastAsia" w:ascii="宋体" w:hAnsi="宋体" w:cs="仿宋"/>
          <w:sz w:val="24"/>
          <w:szCs w:val="24"/>
          <w:lang w:val="en-US" w:eastAsia="zh-CN"/>
        </w:rPr>
        <w:t xml:space="preserve">第    </w:t>
      </w:r>
      <w:r>
        <w:rPr>
          <w:rFonts w:hint="eastAsia" w:ascii="宋体" w:hAnsi="宋体" w:cs="仿宋"/>
          <w:sz w:val="24"/>
          <w:szCs w:val="24"/>
        </w:rPr>
        <w:t>方式扣回（根据项目需求选择或调整）：</w:t>
      </w:r>
    </w:p>
    <w:p w14:paraId="5B66956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方式一（按进度比例扣回）：</w:t>
      </w:r>
    </w:p>
    <w:p w14:paraId="6BE9130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在每次支付工程进度款时，按当期进度款的【</w:t>
      </w:r>
      <w:r>
        <w:rPr>
          <w:rFonts w:hint="eastAsia" w:ascii="宋体" w:hAnsi="宋体" w:cs="仿宋"/>
          <w:sz w:val="24"/>
          <w:szCs w:val="24"/>
          <w:lang w:val="en-US" w:eastAsia="zh-CN"/>
        </w:rPr>
        <w:t>80</w:t>
      </w:r>
      <w:r>
        <w:rPr>
          <w:rFonts w:hint="eastAsia" w:ascii="宋体" w:hAnsi="宋体" w:cs="仿宋"/>
          <w:sz w:val="24"/>
          <w:szCs w:val="24"/>
        </w:rPr>
        <w:t>】%比例扣回，直至预付款全部扣清。</w:t>
      </w:r>
    </w:p>
    <w:p w14:paraId="75D19C5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方式二（按月均摊扣回）：</w:t>
      </w:r>
    </w:p>
    <w:p w14:paraId="718F5DD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自开始扣回之日起，分【</w:t>
      </w:r>
      <w:r>
        <w:rPr>
          <w:rFonts w:hint="eastAsia" w:ascii="宋体" w:hAnsi="宋体" w:cs="仿宋"/>
          <w:sz w:val="24"/>
          <w:szCs w:val="24"/>
          <w:lang w:val="en-US" w:eastAsia="zh-CN"/>
        </w:rPr>
        <w:t xml:space="preserve">   </w:t>
      </w:r>
      <w:r>
        <w:rPr>
          <w:rFonts w:hint="eastAsia" w:ascii="宋体" w:hAnsi="宋体" w:cs="仿宋"/>
          <w:sz w:val="24"/>
          <w:szCs w:val="24"/>
        </w:rPr>
        <w:t>】个月等额扣回，每月扣回金额为人民币【</w:t>
      </w:r>
      <w:r>
        <w:rPr>
          <w:rFonts w:hint="eastAsia" w:ascii="宋体" w:hAnsi="宋体" w:cs="仿宋"/>
          <w:sz w:val="24"/>
          <w:szCs w:val="24"/>
          <w:lang w:val="en-US" w:eastAsia="zh-CN"/>
        </w:rPr>
        <w:t xml:space="preserve">  </w:t>
      </w:r>
      <w:r>
        <w:rPr>
          <w:rFonts w:hint="eastAsia" w:ascii="宋体" w:hAnsi="宋体" w:cs="仿宋"/>
          <w:sz w:val="24"/>
          <w:szCs w:val="24"/>
        </w:rPr>
        <w:t>】元。</w:t>
      </w:r>
    </w:p>
    <w:p w14:paraId="3A91E8A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lang w:val="en-US" w:eastAsia="zh-CN"/>
        </w:rPr>
        <w:t>12.2.4</w:t>
      </w:r>
      <w:r>
        <w:rPr>
          <w:rFonts w:hint="eastAsia" w:ascii="宋体" w:hAnsi="宋体" w:cs="仿宋"/>
          <w:sz w:val="24"/>
          <w:szCs w:val="24"/>
        </w:rPr>
        <w:t>扣回完成</w:t>
      </w:r>
    </w:p>
    <w:p w14:paraId="09D667F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预付款应在工程竣工结算前全部扣回。若工程进度款支付至合同总价的【</w:t>
      </w:r>
      <w:r>
        <w:rPr>
          <w:rFonts w:hint="eastAsia" w:ascii="宋体" w:hAnsi="宋体" w:cs="仿宋"/>
          <w:sz w:val="24"/>
          <w:szCs w:val="24"/>
          <w:lang w:val="en-US" w:eastAsia="zh-CN"/>
        </w:rPr>
        <w:t>30</w:t>
      </w:r>
      <w:r>
        <w:rPr>
          <w:rFonts w:hint="eastAsia" w:ascii="宋体" w:hAnsi="宋体" w:cs="仿宋"/>
          <w:sz w:val="24"/>
          <w:szCs w:val="24"/>
        </w:rPr>
        <w:t>】%时仍未扣清，发包方有权从后续款项或履约保函中一次性扣除剩余金额。</w:t>
      </w:r>
    </w:p>
    <w:p w14:paraId="363BEA4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特殊情况处理</w:t>
      </w:r>
    </w:p>
    <w:p w14:paraId="288F2CF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若合同提前终止或承包方违约，发包方有权立即扣回全部未扣预付款；</w:t>
      </w:r>
    </w:p>
    <w:p w14:paraId="2F6AF45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扣回金额不足时，承包方应在【</w:t>
      </w:r>
      <w:r>
        <w:rPr>
          <w:rFonts w:hint="eastAsia" w:ascii="宋体" w:hAnsi="宋体" w:cs="仿宋"/>
          <w:sz w:val="24"/>
          <w:szCs w:val="24"/>
          <w:lang w:val="en-US" w:eastAsia="zh-CN"/>
        </w:rPr>
        <w:t>10</w:t>
      </w:r>
      <w:r>
        <w:rPr>
          <w:rFonts w:hint="eastAsia" w:ascii="宋体" w:hAnsi="宋体" w:cs="仿宋"/>
          <w:sz w:val="24"/>
          <w:szCs w:val="24"/>
        </w:rPr>
        <w:t>】</w:t>
      </w:r>
      <w:r>
        <w:rPr>
          <w:rFonts w:hint="eastAsia" w:ascii="宋体" w:hAnsi="宋体" w:cs="仿宋"/>
          <w:sz w:val="24"/>
          <w:szCs w:val="24"/>
          <w:lang w:val="en-US" w:eastAsia="zh-CN"/>
        </w:rPr>
        <w:t>个工作日</w:t>
      </w:r>
      <w:r>
        <w:rPr>
          <w:rFonts w:hint="eastAsia" w:ascii="宋体" w:hAnsi="宋体" w:cs="仿宋"/>
          <w:sz w:val="24"/>
          <w:szCs w:val="24"/>
        </w:rPr>
        <w:t>内补足差额。</w:t>
      </w:r>
    </w:p>
    <w:p w14:paraId="12FD6AF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12.3 计量</w:t>
      </w:r>
    </w:p>
    <w:p w14:paraId="01461AC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12.3.1 计量原则</w:t>
      </w:r>
    </w:p>
    <w:p w14:paraId="665B480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工程量计算规则：</w:t>
      </w:r>
    </w:p>
    <w:p w14:paraId="22CDC65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工程量计量按照合同约定的工程量计算规则、图纸及变更指示等进行计量。工程量计算规则应以相关的国家标准、行业标准等为依据，由合同当事人在专用合同条款中约定。</w:t>
      </w:r>
    </w:p>
    <w:p w14:paraId="7F98F84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12.3.2计量周期</w:t>
      </w:r>
    </w:p>
    <w:p w14:paraId="6D208F3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关于计量周期的约定：/</w:t>
      </w:r>
    </w:p>
    <w:p w14:paraId="1ED05A9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12.3.3单价合同的计量</w:t>
      </w:r>
    </w:p>
    <w:p w14:paraId="5A1C390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关于单价合同计量的约定：</w:t>
      </w:r>
    </w:p>
    <w:p w14:paraId="22DD045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除专用合同条款另有约定外，单价合同的计量按照本项约定执行：</w:t>
      </w:r>
    </w:p>
    <w:p w14:paraId="46A0700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（1）承包人应于每月25日向监理人报送上月20日至当月19日已完成的工程量报告，并附具进度付款申请单、已完成工程量报表和有关资料。</w:t>
      </w:r>
    </w:p>
    <w:p w14:paraId="45E8DD2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38D080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（3）监理人和发包人未在收到承包人提交的工程量报表后的14天内完成审核的，承包人报送的工程量报告中的工程量视为承包人实际完成的工程量，据此计算工程价款。</w:t>
      </w:r>
    </w:p>
    <w:p w14:paraId="3216A1C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12.3.4总价合同的计量</w:t>
      </w:r>
    </w:p>
    <w:p w14:paraId="6DD30A9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关于总价合同计量的约定：如因发包人原因出现工程增量或减少，相关工程量及由财政审计按照规定进行相应的变更。。</w:t>
      </w:r>
    </w:p>
    <w:p w14:paraId="10C336D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 xml:space="preserve">12.3.5总价合同采用支付分解表计量支付的，是否适用第12.3.4 项〔总价合同的计量〕约定进行计量： </w:t>
      </w:r>
      <w:r>
        <w:rPr>
          <w:rFonts w:hint="eastAsia" w:ascii="宋体" w:hAnsi="宋体" w:cs="仿宋"/>
          <w:sz w:val="24"/>
          <w:szCs w:val="24"/>
          <w:lang w:val="en-US" w:eastAsia="zh-CN"/>
        </w:rPr>
        <w:t>是</w:t>
      </w:r>
      <w:r>
        <w:rPr>
          <w:rFonts w:hint="eastAsia" w:ascii="宋体" w:hAnsi="宋体" w:cs="仿宋"/>
          <w:sz w:val="24"/>
          <w:szCs w:val="24"/>
        </w:rPr>
        <w:t xml:space="preserve"> 。</w:t>
      </w:r>
    </w:p>
    <w:p w14:paraId="76826E9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12.3.6其他价格形式合同的计量</w:t>
      </w:r>
    </w:p>
    <w:p w14:paraId="77D7729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其他价格形式的计量方式和程序： / 。</w:t>
      </w:r>
    </w:p>
    <w:p w14:paraId="69C4C39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12.4工程进度款支付</w:t>
      </w:r>
    </w:p>
    <w:p w14:paraId="0549BE5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lang w:val="en-US" w:eastAsia="zh-CN"/>
        </w:rPr>
      </w:pPr>
      <w:r>
        <w:rPr>
          <w:rFonts w:hint="eastAsia" w:ascii="宋体" w:hAnsi="宋体" w:cs="仿宋"/>
          <w:sz w:val="24"/>
          <w:szCs w:val="24"/>
          <w:highlight w:val="none"/>
          <w:lang w:val="en-US" w:eastAsia="zh-CN"/>
        </w:rPr>
        <w:t>12.4工程进度款支付</w:t>
      </w:r>
    </w:p>
    <w:p w14:paraId="261F2B7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highlight w:val="none"/>
          <w:lang w:val="en-US" w:eastAsia="zh-CN"/>
        </w:rPr>
      </w:pPr>
      <w:r>
        <w:rPr>
          <w:rFonts w:hint="eastAsia" w:ascii="宋体" w:hAnsi="宋体" w:cs="仿宋"/>
          <w:sz w:val="24"/>
          <w:szCs w:val="24"/>
          <w:highlight w:val="none"/>
          <w:lang w:val="en-US" w:eastAsia="zh-CN"/>
        </w:rPr>
        <w:t xml:space="preserve">发包方应在合同签订后【  】日内，向承包方支付合同总价【30】%的预付款，金额为人民币【   】元（大写：【  】元整）。承包方需提供等额的见索即付预付款保函后，发包方予以支付。工程竣工经发包人及监理验收合格并提交财政或发包人委托的第三方审计确定工程价款后，发包人一般情况下应在45个工作日内向承包人一次性支付欠付的余款。考虑发包人作为全额拨款事业单位及高校财务管理的特殊性，如该项目为跨年度工程、财政资金尚未足额到账或遇付款时间为学校财务封账期、寒暑假等特殊情况导致发包人暂时无法支付工程款时，付款时间由发包人、承包人双方另行商定，但如财政专项资金到账或其他付款障碍问题消失后10个工作日内，发包人应立即启动付款程序。发包人支付款项前，承包人应向发包人开具符合发包人要求的发票，否则，发包人有权拒绝支付相应的工程款。质保期满后，如无质量问题，发包人一次性支付给承包人所有的质保金（含履约保证金转化为质保金部分）。 </w:t>
      </w:r>
    </w:p>
    <w:p w14:paraId="5129F13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13.验收和工程试车</w:t>
      </w:r>
    </w:p>
    <w:p w14:paraId="310F26C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13.1分部分项工程验收</w:t>
      </w:r>
    </w:p>
    <w:p w14:paraId="064A240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监理人不能按时进行验收时，应提前 24小时提交书面延期要求。</w:t>
      </w:r>
    </w:p>
    <w:p w14:paraId="1445AB3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关于延期最长不得超过： 48 小时。</w:t>
      </w:r>
    </w:p>
    <w:p w14:paraId="2ADD097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13.2竣工验收</w:t>
      </w:r>
    </w:p>
    <w:p w14:paraId="04420C2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13.2.1竣工验收程序</w:t>
      </w:r>
    </w:p>
    <w:p w14:paraId="5128F00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关于竣工验收程序的约定：</w:t>
      </w:r>
    </w:p>
    <w:p w14:paraId="32777A1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（1）承包人向监理报送竣工验收申请报告，监理应在收到竣工验收申请报告后</w:t>
      </w:r>
      <w:r>
        <w:rPr>
          <w:rFonts w:hint="eastAsia" w:ascii="宋体" w:hAnsi="宋体" w:cs="仿宋"/>
          <w:color w:val="0000FF"/>
          <w:sz w:val="24"/>
          <w:szCs w:val="24"/>
        </w:rPr>
        <w:t>【</w:t>
      </w:r>
      <w:r>
        <w:rPr>
          <w:rFonts w:hint="eastAsia" w:ascii="宋体" w:hAnsi="宋体" w:cs="仿宋"/>
          <w:color w:val="0000FF"/>
          <w:sz w:val="24"/>
          <w:szCs w:val="24"/>
          <w:lang w:val="en-US" w:eastAsia="zh-CN"/>
        </w:rPr>
        <w:t>14</w:t>
      </w:r>
      <w:r>
        <w:rPr>
          <w:rFonts w:hint="eastAsia" w:ascii="宋体" w:hAnsi="宋体" w:cs="仿宋"/>
          <w:color w:val="0000FF"/>
          <w:sz w:val="24"/>
          <w:szCs w:val="24"/>
        </w:rPr>
        <w:t xml:space="preserve">】 </w:t>
      </w:r>
      <w:r>
        <w:rPr>
          <w:rFonts w:hint="eastAsia" w:ascii="宋体" w:hAnsi="宋体" w:cs="仿宋"/>
          <w:sz w:val="24"/>
          <w:szCs w:val="24"/>
        </w:rPr>
        <w:t>天内完成审查并报送发包人。监理审查后认为尚不具备验收条件的，应通知承包人在竣工验收前承包人还需完成的工作内容，承包人应在完成监理通知的全部工作内容后，再次提交竣工验收申请报告。</w:t>
      </w:r>
    </w:p>
    <w:p w14:paraId="60AA8F9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（2）监理审查后认为已具备竣工验收条件的，应将竣工验收申请报告提交发包人，发包人应在收到经监理审核的竣工验收申请报告后</w:t>
      </w:r>
      <w:r>
        <w:rPr>
          <w:rFonts w:hint="eastAsia" w:ascii="宋体" w:hAnsi="宋体" w:cs="仿宋"/>
          <w:color w:val="0000FF"/>
          <w:sz w:val="24"/>
          <w:szCs w:val="24"/>
        </w:rPr>
        <w:t>【</w:t>
      </w:r>
      <w:r>
        <w:rPr>
          <w:rFonts w:hint="eastAsia" w:ascii="宋体" w:hAnsi="宋体" w:cs="仿宋"/>
          <w:color w:val="0000FF"/>
          <w:sz w:val="24"/>
          <w:szCs w:val="24"/>
          <w:lang w:val="en-US" w:eastAsia="zh-CN"/>
        </w:rPr>
        <w:t>30</w:t>
      </w:r>
      <w:r>
        <w:rPr>
          <w:rFonts w:hint="eastAsia" w:ascii="宋体" w:hAnsi="宋体" w:cs="仿宋"/>
          <w:color w:val="0000FF"/>
          <w:sz w:val="24"/>
          <w:szCs w:val="24"/>
        </w:rPr>
        <w:t>】</w:t>
      </w:r>
      <w:r>
        <w:rPr>
          <w:rFonts w:hint="eastAsia" w:ascii="宋体" w:hAnsi="宋体" w:cs="仿宋"/>
          <w:sz w:val="24"/>
          <w:szCs w:val="24"/>
        </w:rPr>
        <w:t>天内审批完毕并组织监理、承包人、设计单位等相关单位完成竣工验收。</w:t>
      </w:r>
    </w:p>
    <w:p w14:paraId="1A1B32BF">
      <w:pPr>
        <w:keepNext w:val="0"/>
        <w:keepLines w:val="0"/>
        <w:pageBreakBefore w:val="0"/>
        <w:kinsoku/>
        <w:wordWrap/>
        <w:overflowPunct/>
        <w:topLinePunct w:val="0"/>
        <w:autoSpaceDE w:val="0"/>
        <w:autoSpaceDN w:val="0"/>
        <w:bidi w:val="0"/>
        <w:spacing w:line="240" w:lineRule="auto"/>
        <w:ind w:firstLine="480" w:firstLineChars="200"/>
        <w:rPr>
          <w:rFonts w:hint="eastAsia" w:eastAsia="宋体"/>
          <w:lang w:val="en-US" w:eastAsia="zh-CN"/>
        </w:rPr>
      </w:pPr>
      <w:r>
        <w:rPr>
          <w:rFonts w:hint="eastAsia" w:ascii="宋体" w:hAnsi="宋体" w:cs="仿宋"/>
          <w:sz w:val="24"/>
          <w:szCs w:val="24"/>
        </w:rPr>
        <w:t>（3）竣工验收合格的，发包人应在验收合格后14天内向承包人签发工程接收证书。发包人无正当理由逾期不颁发工程接收证书的，自验收合格后第15天起视为已颁发工程接收证书。项目竣工验收合格后，承包人需安排人员看管，直至将项目整体移交给项目发包人为止。在项目未移交前的现场看管费，成品保护费均由承包人承担。遇特殊情况，承发包人双方另行协商</w:t>
      </w:r>
      <w:r>
        <w:rPr>
          <w:rFonts w:hint="eastAsia" w:ascii="宋体" w:hAnsi="宋体" w:cs="仿宋"/>
          <w:sz w:val="24"/>
          <w:szCs w:val="24"/>
          <w:lang w:eastAsia="zh-CN"/>
        </w:rPr>
        <w:t>。</w:t>
      </w:r>
    </w:p>
    <w:p w14:paraId="4F17FF8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竣工验收不合格的，承包人应按照发包人和监理人的验收意见和指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FE3D80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工程竣工前需进行环保检测：工程竣工前需由发包人随机抽取</w:t>
      </w:r>
      <w:r>
        <w:rPr>
          <w:rFonts w:hint="eastAsia" w:ascii="宋体" w:hAnsi="宋体" w:cs="仿宋"/>
          <w:color w:val="0000FF"/>
          <w:sz w:val="24"/>
          <w:szCs w:val="24"/>
        </w:rPr>
        <w:t>【   】</w:t>
      </w:r>
      <w:r>
        <w:rPr>
          <w:rFonts w:hint="eastAsia" w:ascii="宋体" w:hAnsi="宋体" w:cs="仿宋"/>
          <w:sz w:val="24"/>
          <w:szCs w:val="24"/>
        </w:rPr>
        <w:t>做室内环保检测，具体房间号由发包人指定，检测单位由发包人指定，承包人需无条件配合。检测单位必须出具有符合国家规范及法律效力的检测报告，并挂网公示。检测费用由承包人支付。合格率需达到100%后方可履行验收手续。</w:t>
      </w:r>
    </w:p>
    <w:p w14:paraId="313AAC7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有权在工程竣工前和工程竣工后的质保期内对本工程所涉及的工程内容进行环保检测或质量检测，具体检测内容和检测单位由发包人指定，承包人须无条件配合，检测单位必须出具有符合国家规范及法律效力的检测报告。检测报告结果为合格的，则检测费用由发包人承担；检测结果为不合格的，则检测费用由承包人承担。检测报告结果为不合格的，承包人须及时进行返工、修复或采取其他补救措施，由此增加的费用和工期延误的责任以及对发包人、发包人师生及其他方造成的人身伤害或损失赔偿责任均由承包人承担。在质保期内发生的检测不合格问题，质保期须相应顺延。</w:t>
      </w:r>
    </w:p>
    <w:p w14:paraId="30FF4D4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工程质量不符合设计要求或质量不能达到合同约定标准的，发包人有权要求承包人返工或有权单方解除合同，承包人须无条件接受；返工的费用由承包人承担，工期不予顺延。</w:t>
      </w:r>
    </w:p>
    <w:p w14:paraId="33DEAC9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发包人不按照本项约定组织竣工验收、颁发工程接收证书的违约金的计算方法：无。</w:t>
      </w:r>
    </w:p>
    <w:p w14:paraId="1DD66B9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13.2.2移交、接收全部与部分工程</w:t>
      </w:r>
    </w:p>
    <w:p w14:paraId="6C56B2F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承包人向发包人移交工程的期限：竣工验收合格后，自验收合格之日起10天内承包人将工程移交给发包人。</w:t>
      </w:r>
    </w:p>
    <w:p w14:paraId="795E407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发包人未按本合同约定接收全部或部分工程的，违约金的计算方法为：无。</w:t>
      </w:r>
    </w:p>
    <w:p w14:paraId="63513D1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未按时移交工程的，违约金的计算方法为：经发包人组织验收合格的工程，则自验收合格之日起10天内承包人将工程移交给发包人，撤出全部临建、施工人员、施工机械和剩余材料，并将承包范围内的所有工程清理干净，如承包人不能及时拆除或清理，对于占用的范围发包人将收取100元/平方•天的占用费租金，发包人还有权派人强行拆除并清理，造成的费用和损失由承包人承担。</w:t>
      </w:r>
    </w:p>
    <w:p w14:paraId="201E496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13.3工程试车</w:t>
      </w:r>
    </w:p>
    <w:p w14:paraId="70E4EC3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13.3.1试车程序</w:t>
      </w:r>
    </w:p>
    <w:p w14:paraId="6990664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工程试车内容： / 。</w:t>
      </w:r>
    </w:p>
    <w:p w14:paraId="25DA841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（1）单机无负荷试车费用由 / 承担；</w:t>
      </w:r>
    </w:p>
    <w:p w14:paraId="42B80DB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（2）无负荷联动试车费用由 / 承担。</w:t>
      </w:r>
    </w:p>
    <w:p w14:paraId="144774D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13.3.2投料试车</w:t>
      </w:r>
    </w:p>
    <w:p w14:paraId="0E5E8C9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关于投料试车相关事项的约定： / 。</w:t>
      </w:r>
    </w:p>
    <w:p w14:paraId="03D4FCC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13.6 竣工退场</w:t>
      </w:r>
    </w:p>
    <w:p w14:paraId="4666D39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承包人完成竣工退场的期限：竣工验收合格后10日内。</w:t>
      </w:r>
    </w:p>
    <w:p w14:paraId="34C3C70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14.竣工结算</w:t>
      </w:r>
    </w:p>
    <w:p w14:paraId="4540D70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14.1竣工结算申请</w:t>
      </w:r>
    </w:p>
    <w:p w14:paraId="1A6825D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承包人提交竣工付款申请单的期限：竣工验收合格后28天内。</w:t>
      </w:r>
    </w:p>
    <w:p w14:paraId="463200E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竣工付款申请单应包括的内容：</w:t>
      </w:r>
    </w:p>
    <w:p w14:paraId="551890B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承包人应向发包人提交承包人盖章、结算编制人员盖章的竣工结算报告及完整、有效的结算资料，工程结算资料包括送审资料清单、结算汇总表、各项结算调整的依据、内容及费用、已经发包人工程人员确认的竣工图、变更联系单（原件，包括图纸会审纪要、过程中的洽商等）、隐蔽工程记录、工程结算书、招投标相关资料一式三份。发包人工程师对结算资料进行审核，符合要求的在竣工结算资料回执上签字方可视为发包人收到竣工结算资料；由发包人送审计部门开展竣工结算审计。</w:t>
      </w:r>
    </w:p>
    <w:p w14:paraId="553BF83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（2）若审计部门在结算审核中发现结算资料无效或不完整的，审计延误的责任由承包人承担。</w:t>
      </w:r>
    </w:p>
    <w:p w14:paraId="28DEC8F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（3）承包人未按本条款约定的时间和要求向发包人提交竣工结算报告和资料的， 发包人将不能保证按专用条款规定的时间内提出审核意见，并且发包人有权根据已有资料进行审核，责任由承包人自行承担。</w:t>
      </w:r>
    </w:p>
    <w:p w14:paraId="66E38A2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14.2 竣工结算审核</w:t>
      </w:r>
    </w:p>
    <w:p w14:paraId="57BE393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发包人审批竣工付款申请单的期限：</w:t>
      </w:r>
    </w:p>
    <w:p w14:paraId="68CC180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229D22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完成竣工付款的期限：发包人审计部门审计并出具最终审计报告后按约定付款。但是，考虑发包人高校财务管理的特殊性，如该项目为跨年度工程或遇付款时间为学校财务封帐期及寒暑假等特殊情况，暂时无法支付工程款时，付款时间由发包人、承包人双方另行商定。对此承包人表示，遇此情况下发包人可以推迟付款且不构成违约。</w:t>
      </w:r>
    </w:p>
    <w:p w14:paraId="124EC0B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竣工付款证书异议部分复核的方式和程序：承包人对发包人签认的竣工付款证书有异议的，对于有异议部分应在收到发包人签认的竣工付款证书后7天内提出异议，并由合同当事人按照专用合同条款约定的方式和程序进行复核。承包人逾期未提出异议的，视为认可发包人的审批结果。</w:t>
      </w:r>
    </w:p>
    <w:p w14:paraId="44E191C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承包人双方一致同意：发包人可以以发包人的名义单方委托有相应资质的第三方审计机构（工程造价咨询单位）对本工程做跟踪审计（初审），也可以以发包人名义单方委托有相应资质的第三方审计机构（工程造价咨询单位）对本工程做结算审计（复审），承包人承诺对相关的跟踪审计和结算审计的结果给予认可。承包人确认同意审计结果的，则发包人审定的价款为双方竣工结算价款的最终依据；如承包人不同意的，双方针对争议部分进行核对和协商；经核对、协商不能解决的争议部分，双方可共同申请当地工程造价管理部门进行解释和协调解决；经以上协商、协调仍不能解决的，则可以就争议部分提交诉讼解决。</w:t>
      </w:r>
    </w:p>
    <w:p w14:paraId="6A5DF50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sz w:val="24"/>
        </w:rPr>
        <w:t>承包人同意按照</w:t>
      </w:r>
      <w:r>
        <w:rPr>
          <w:rFonts w:hint="eastAsia"/>
          <w:sz w:val="24"/>
          <w:lang w:val="en-US" w:eastAsia="zh-CN"/>
        </w:rPr>
        <w:t>发包人</w:t>
      </w:r>
      <w:r>
        <w:rPr>
          <w:rFonts w:hint="eastAsia"/>
          <w:sz w:val="24"/>
        </w:rPr>
        <w:t>规定承担和支付相应的工程审计费用。</w:t>
      </w:r>
      <w:r>
        <w:rPr>
          <w:rFonts w:hint="eastAsia" w:ascii="宋体" w:hAnsi="宋体" w:cs="仿宋"/>
          <w:sz w:val="24"/>
          <w:szCs w:val="24"/>
        </w:rPr>
        <w:t>属于承包人承担的审计费部分，发包人有权在应付工程款中予以扣减。若甲方审计规定发生调整修订，则按照甲方调整修订后的新审计规定执行。乙方同意：若甲方审计规定发生调整修订，则按照甲方调整修订后的新审计规定执行。</w:t>
      </w:r>
    </w:p>
    <w:p w14:paraId="38943BE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若本合同项下的工程在发包人、承包人双方完成结算审计之后，发包人上级主管单位又在该审计结论的基础上进行再次审计的，承包人承诺认可该最终审计结果。</w:t>
      </w:r>
    </w:p>
    <w:p w14:paraId="7199FED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（本条款为特别约定）</w:t>
      </w:r>
    </w:p>
    <w:p w14:paraId="580AE89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14.3最终结清</w:t>
      </w:r>
    </w:p>
    <w:p w14:paraId="72FA7EE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14.3.1 最终结清申请单</w:t>
      </w:r>
    </w:p>
    <w:p w14:paraId="02037A3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承包人提交最终结清申请单的份数：叁份。</w:t>
      </w:r>
    </w:p>
    <w:p w14:paraId="7F065B5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承包人提交最终结算申请单的期限：缺陷责任期终止证书颁发后7天内。</w:t>
      </w:r>
    </w:p>
    <w:p w14:paraId="1E6D75B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14.3.2 最终结清证书和支付</w:t>
      </w:r>
    </w:p>
    <w:p w14:paraId="7CB0010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（1）发包人完成最终结清申请单的审批并颁发最终结清证书的期限：执行通用条款。</w:t>
      </w:r>
    </w:p>
    <w:p w14:paraId="3FFE9A9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（2）发包人完成支付的期限：按进度款支付约定。</w:t>
      </w:r>
    </w:p>
    <w:p w14:paraId="363D3F0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 缺陷责任期与保修</w:t>
      </w:r>
    </w:p>
    <w:p w14:paraId="2C560CC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15.1缺陷责任期</w:t>
      </w:r>
    </w:p>
    <w:p w14:paraId="5652E6F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缺陷责任期的具体期限：自工程竣工验收合格之日起</w:t>
      </w:r>
      <w:r>
        <w:rPr>
          <w:rFonts w:hint="eastAsia" w:ascii="宋体" w:hAnsi="宋体" w:cs="仿宋"/>
          <w:color w:val="0000FF"/>
          <w:sz w:val="24"/>
          <w:szCs w:val="24"/>
        </w:rPr>
        <w:t xml:space="preserve">【 </w:t>
      </w:r>
      <w:r>
        <w:rPr>
          <w:rFonts w:hint="eastAsia" w:ascii="宋体" w:hAnsi="宋体" w:cs="仿宋"/>
          <w:color w:val="0000FF"/>
          <w:sz w:val="24"/>
          <w:szCs w:val="24"/>
          <w:lang w:val="en-US" w:eastAsia="zh-CN"/>
        </w:rPr>
        <w:t xml:space="preserve"> </w:t>
      </w:r>
      <w:r>
        <w:rPr>
          <w:rFonts w:hint="eastAsia" w:ascii="宋体" w:hAnsi="宋体" w:cs="仿宋"/>
          <w:color w:val="0000FF"/>
          <w:sz w:val="24"/>
          <w:szCs w:val="24"/>
        </w:rPr>
        <w:t xml:space="preserve"> 】</w:t>
      </w:r>
      <w:r>
        <w:rPr>
          <w:rFonts w:hint="eastAsia" w:ascii="宋体" w:hAnsi="宋体" w:cs="仿宋"/>
          <w:sz w:val="24"/>
          <w:szCs w:val="24"/>
        </w:rPr>
        <w:t>个月。</w:t>
      </w:r>
    </w:p>
    <w:p w14:paraId="20F15FF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15.2质量保证金</w:t>
      </w:r>
    </w:p>
    <w:p w14:paraId="33FA7CC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关于是否扣留质量保证金的约定：合同签约价的</w:t>
      </w:r>
      <w:r>
        <w:rPr>
          <w:rFonts w:hint="eastAsia" w:ascii="宋体" w:hAnsi="宋体" w:cs="仿宋"/>
          <w:color w:val="0000FF"/>
          <w:sz w:val="24"/>
          <w:szCs w:val="24"/>
        </w:rPr>
        <w:t xml:space="preserve">【 </w:t>
      </w:r>
      <w:r>
        <w:rPr>
          <w:rFonts w:hint="eastAsia" w:ascii="宋体" w:hAnsi="宋体" w:cs="仿宋"/>
          <w:color w:val="0000FF"/>
          <w:sz w:val="24"/>
          <w:szCs w:val="24"/>
          <w:lang w:val="en-US" w:eastAsia="zh-CN"/>
        </w:rPr>
        <w:t>2</w:t>
      </w:r>
      <w:r>
        <w:rPr>
          <w:rFonts w:hint="eastAsia" w:ascii="宋体" w:hAnsi="宋体" w:cs="仿宋"/>
          <w:color w:val="0000FF"/>
          <w:sz w:val="24"/>
          <w:szCs w:val="24"/>
        </w:rPr>
        <w:t xml:space="preserve"> %】</w:t>
      </w:r>
      <w:r>
        <w:rPr>
          <w:rFonts w:hint="eastAsia" w:ascii="宋体" w:hAnsi="宋体" w:cs="仿宋"/>
          <w:sz w:val="24"/>
          <w:szCs w:val="24"/>
        </w:rPr>
        <w:t>的履约保证金在本工程竣工验收合格后转作质量保证金，自发包人组织的竣工验收合格报告签署之日起算的质保期</w:t>
      </w:r>
      <w:r>
        <w:rPr>
          <w:rFonts w:hint="eastAsia" w:ascii="宋体" w:hAnsi="宋体" w:cs="仿宋"/>
          <w:color w:val="0000FF"/>
          <w:sz w:val="24"/>
          <w:szCs w:val="24"/>
        </w:rPr>
        <w:t>（   个月）</w:t>
      </w:r>
      <w:r>
        <w:rPr>
          <w:rFonts w:hint="eastAsia" w:ascii="宋体" w:hAnsi="宋体" w:cs="仿宋"/>
          <w:sz w:val="24"/>
          <w:szCs w:val="24"/>
        </w:rPr>
        <w:t>满后，且发包人确认工程无质量且无任何遗留问题后【14】日内，发包人一次性无息返还承包人质量保证金（扣除因质量问题引起的维修费用、违约赔偿金等）。质量保证金支付程序：在缺陷责任期内，由发包人通知承包人进行该工程的维修事项，若承包人尽心尽责的服务，发包人满意，则质保期</w:t>
      </w:r>
      <w:r>
        <w:rPr>
          <w:rFonts w:hint="eastAsia" w:ascii="宋体" w:hAnsi="宋体" w:cs="仿宋"/>
          <w:color w:val="0000FF"/>
          <w:sz w:val="24"/>
          <w:szCs w:val="24"/>
        </w:rPr>
        <w:t>（    个月）</w:t>
      </w:r>
      <w:r>
        <w:rPr>
          <w:rFonts w:hint="eastAsia" w:ascii="宋体" w:hAnsi="宋体" w:cs="仿宋"/>
          <w:sz w:val="24"/>
          <w:szCs w:val="24"/>
        </w:rPr>
        <w:t>满后，经发包人单位盖章，无息返还承包人质量保证金。若承包人不能及时响应或保质处理维修事项，发包人有权另找工程队维修，所发生的费用从质量保证金中支付。</w:t>
      </w:r>
    </w:p>
    <w:p w14:paraId="156B72B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在工程项目竣工前，承包人按专用合同条款第3.6条提供履约担保的，发包人不得同时预留工程质量保证金。</w:t>
      </w:r>
    </w:p>
    <w:p w14:paraId="054F47C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15.2.1 承包人提供质量保证金的方式</w:t>
      </w:r>
    </w:p>
    <w:p w14:paraId="6A25BBD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质量保证金采用以下第3种方式：</w:t>
      </w:r>
    </w:p>
    <w:p w14:paraId="39B0F30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（1）质量保证金保函，保证金额为：/；</w:t>
      </w:r>
    </w:p>
    <w:p w14:paraId="443B165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（2）合同价款/的工程款；</w:t>
      </w:r>
    </w:p>
    <w:p w14:paraId="54EB732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（3）其他方式: 合同签约价的</w:t>
      </w:r>
      <w:r>
        <w:rPr>
          <w:rFonts w:hint="eastAsia" w:ascii="宋体" w:hAnsi="宋体" w:cs="仿宋"/>
          <w:color w:val="0000FF"/>
          <w:sz w:val="24"/>
          <w:szCs w:val="24"/>
          <w:highlight w:val="yellow"/>
        </w:rPr>
        <w:t xml:space="preserve">【 </w:t>
      </w:r>
      <w:r>
        <w:rPr>
          <w:rFonts w:hint="eastAsia" w:ascii="宋体" w:hAnsi="宋体" w:cs="仿宋"/>
          <w:color w:val="0000FF"/>
          <w:sz w:val="24"/>
          <w:szCs w:val="24"/>
          <w:highlight w:val="yellow"/>
          <w:lang w:val="en-US" w:eastAsia="zh-CN"/>
        </w:rPr>
        <w:t>2</w:t>
      </w:r>
      <w:r>
        <w:rPr>
          <w:rFonts w:hint="eastAsia" w:ascii="宋体" w:hAnsi="宋体" w:cs="仿宋"/>
          <w:color w:val="0000FF"/>
          <w:sz w:val="24"/>
          <w:szCs w:val="24"/>
          <w:highlight w:val="yellow"/>
        </w:rPr>
        <w:t xml:space="preserve"> %】</w:t>
      </w:r>
      <w:r>
        <w:rPr>
          <w:rFonts w:hint="eastAsia" w:ascii="宋体" w:hAnsi="宋体" w:cs="仿宋"/>
          <w:sz w:val="24"/>
          <w:szCs w:val="24"/>
        </w:rPr>
        <w:t>的履约保证金转作质量保证金。</w:t>
      </w:r>
    </w:p>
    <w:p w14:paraId="30DA299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 xml:space="preserve">15.2.2 质量保证金的扣留 </w:t>
      </w:r>
    </w:p>
    <w:p w14:paraId="1A000F1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质量保证金的扣留采取以下第 3 种方式：</w:t>
      </w:r>
    </w:p>
    <w:p w14:paraId="775D893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（1）在支付工程进度款时逐次扣留，在此情形</w:t>
      </w:r>
      <w:r>
        <w:rPr>
          <w:rFonts w:hint="eastAsia" w:ascii="宋体" w:hAnsi="宋体" w:cs="仿宋"/>
          <w:sz w:val="24"/>
          <w:szCs w:val="24"/>
          <w:lang w:val="en-US" w:eastAsia="zh-CN"/>
        </w:rPr>
        <w:t xml:space="preserve"> </w:t>
      </w:r>
      <w:r>
        <w:rPr>
          <w:rFonts w:hint="eastAsia" w:ascii="宋体" w:hAnsi="宋体" w:cs="仿宋"/>
          <w:sz w:val="24"/>
          <w:szCs w:val="24"/>
        </w:rPr>
        <w:t>下，质量保证金的计算基数不包括预付款的支付、扣回以及价格调整的金额；</w:t>
      </w:r>
    </w:p>
    <w:p w14:paraId="20F2BB3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（2）工程竣工结算时一次性扣留质量保证金；</w:t>
      </w:r>
    </w:p>
    <w:p w14:paraId="0E26894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（3）其他扣留方式:签订合同时缴纳合同签约价的</w:t>
      </w:r>
      <w:r>
        <w:rPr>
          <w:rFonts w:hint="eastAsia" w:ascii="宋体" w:hAnsi="宋体" w:cs="仿宋"/>
          <w:color w:val="0000FF"/>
          <w:sz w:val="24"/>
          <w:szCs w:val="24"/>
        </w:rPr>
        <w:t xml:space="preserve">【 </w:t>
      </w:r>
      <w:r>
        <w:rPr>
          <w:rFonts w:hint="eastAsia" w:ascii="宋体" w:hAnsi="宋体" w:cs="仿宋"/>
          <w:color w:val="0000FF"/>
          <w:sz w:val="24"/>
          <w:szCs w:val="24"/>
          <w:lang w:val="en-US" w:eastAsia="zh-CN"/>
        </w:rPr>
        <w:t>2</w:t>
      </w:r>
      <w:r>
        <w:rPr>
          <w:rFonts w:hint="eastAsia" w:ascii="宋体" w:hAnsi="宋体" w:cs="仿宋"/>
          <w:color w:val="0000FF"/>
          <w:sz w:val="24"/>
          <w:szCs w:val="24"/>
        </w:rPr>
        <w:t>%】</w:t>
      </w:r>
      <w:r>
        <w:rPr>
          <w:rFonts w:hint="eastAsia" w:ascii="宋体" w:hAnsi="宋体" w:cs="仿宋"/>
          <w:sz w:val="24"/>
          <w:szCs w:val="24"/>
        </w:rPr>
        <w:t>的履约保证金转化为质量保证金。</w:t>
      </w:r>
    </w:p>
    <w:p w14:paraId="6ADCF1F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关于质量保证金的补充约定：工程质量保修金在自发包人组织的竣工验收合格报告签署之日起算的质保期</w:t>
      </w:r>
      <w:r>
        <w:rPr>
          <w:rFonts w:hint="eastAsia" w:ascii="宋体" w:hAnsi="宋体" w:cs="仿宋"/>
          <w:color w:val="0000FF"/>
          <w:sz w:val="24"/>
          <w:szCs w:val="24"/>
        </w:rPr>
        <w:t>（   个月）</w:t>
      </w:r>
      <w:r>
        <w:rPr>
          <w:rFonts w:hint="eastAsia" w:ascii="宋体" w:hAnsi="宋体" w:cs="仿宋"/>
          <w:sz w:val="24"/>
          <w:szCs w:val="24"/>
        </w:rPr>
        <w:t>满后，且发包人确认工程无质问题量且无任何遗留问题后【14】日内一次性退还承包人（不计息，扣除因质量问题引起的维修费用、违约赔偿金等）。</w:t>
      </w:r>
    </w:p>
    <w:p w14:paraId="32FB9B7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15.3保修</w:t>
      </w:r>
    </w:p>
    <w:p w14:paraId="2CD764B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15.3.1 保修责任</w:t>
      </w:r>
    </w:p>
    <w:p w14:paraId="508ED255">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工程保修期为：自发包人组织的竣工验收合格报告签署之日起</w:t>
      </w:r>
      <w:r>
        <w:rPr>
          <w:rFonts w:hint="eastAsia" w:ascii="宋体" w:hAnsi="宋体" w:cs="仿宋"/>
          <w:color w:val="0000FF"/>
          <w:sz w:val="24"/>
          <w:szCs w:val="24"/>
        </w:rPr>
        <w:t xml:space="preserve">    个</w:t>
      </w:r>
      <w:r>
        <w:rPr>
          <w:rFonts w:hint="eastAsia" w:ascii="宋体" w:hAnsi="宋体" w:cs="仿宋"/>
          <w:sz w:val="24"/>
          <w:szCs w:val="24"/>
        </w:rPr>
        <w:t>月。</w:t>
      </w:r>
    </w:p>
    <w:p w14:paraId="2A03020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15.3.2修复通知</w:t>
      </w:r>
    </w:p>
    <w:p w14:paraId="2CB2F68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承包人收到保修通知并到达工程现场的合理时间：自收到保修通知24小时内。</w:t>
      </w:r>
    </w:p>
    <w:p w14:paraId="281C044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 违约</w:t>
      </w:r>
    </w:p>
    <w:p w14:paraId="568B9C5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16.1 发包人违约</w:t>
      </w:r>
    </w:p>
    <w:p w14:paraId="1A90FC7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16.1.1发包人的违约情形</w:t>
      </w:r>
    </w:p>
    <w:p w14:paraId="62334F1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发包人提供施工现场或条件延误，设计图纸问题，资料漏错，监理和发包人代表的指令错误等。</w:t>
      </w:r>
    </w:p>
    <w:p w14:paraId="34622C13">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16.1.2 发包人的违约责任</w:t>
      </w:r>
    </w:p>
    <w:p w14:paraId="4B3078D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发包人违约责任的承担方式和计算方法：</w:t>
      </w:r>
    </w:p>
    <w:p w14:paraId="1F935E3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（1）因发包人原因未能在计划开工日期前7天内下达开工通知的违约责任：相应工期顺延，承包人不主张违约金或补偿金。</w:t>
      </w:r>
    </w:p>
    <w:p w14:paraId="5CAA6E84">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（2）因发包人原因未能按合同约定支付合同价款的违约责任：按同期全国银行间同业拆借中心公布的贷款市场报价利率计算利息。</w:t>
      </w:r>
    </w:p>
    <w:p w14:paraId="2C1E7040">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16.1.3 因发包人违约解除合同</w:t>
      </w:r>
    </w:p>
    <w:p w14:paraId="0CA0481D">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承包人按16.1.1项〔发包人违约的情形〕约定暂停施工满 / 天后发包人仍不纠正其违约行为并致使合同目的不能实现的，承包人有权解除合同。</w:t>
      </w:r>
    </w:p>
    <w:p w14:paraId="25E9AFE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16.2 承包人违约</w:t>
      </w:r>
    </w:p>
    <w:p w14:paraId="0AA2064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16.2.1 承包人的违约情形</w:t>
      </w:r>
    </w:p>
    <w:p w14:paraId="3BA6998C">
      <w:pPr>
        <w:keepNext w:val="0"/>
        <w:keepLines w:val="0"/>
        <w:pageBreakBefore w:val="0"/>
        <w:kinsoku/>
        <w:wordWrap/>
        <w:overflowPunct/>
        <w:topLinePunct w:val="0"/>
        <w:autoSpaceDE w:val="0"/>
        <w:autoSpaceDN w:val="0"/>
        <w:bidi w:val="0"/>
        <w:spacing w:line="240" w:lineRule="auto"/>
        <w:ind w:firstLine="480" w:firstLineChars="200"/>
        <w:rPr>
          <w:rFonts w:hint="eastAsia"/>
        </w:rPr>
      </w:pPr>
      <w:r>
        <w:rPr>
          <w:rFonts w:hint="eastAsia" w:ascii="宋体" w:hAnsi="宋体" w:cs="仿宋"/>
          <w:sz w:val="24"/>
          <w:szCs w:val="24"/>
        </w:rPr>
        <w:t>工期延误、质量问题、技术文件未按约定时间提交、承包人擅自停工或单方面终止合同等。</w:t>
      </w:r>
    </w:p>
    <w:p w14:paraId="0930F41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16.2.2承包人的违约责任</w:t>
      </w:r>
    </w:p>
    <w:p w14:paraId="02AE375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承包人违约责任的承担方式和计算方法：</w:t>
      </w:r>
    </w:p>
    <w:p w14:paraId="53D58CDE">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（1）承包人不能按合同总工期竣工，每推迟一天，承包人向发包人支付合同价款</w:t>
      </w:r>
      <w:r>
        <w:rPr>
          <w:rFonts w:hint="eastAsia" w:ascii="宋体" w:hAnsi="宋体" w:cs="仿宋"/>
          <w:sz w:val="24"/>
          <w:szCs w:val="24"/>
          <w:lang w:val="en-US" w:eastAsia="zh-CN"/>
        </w:rPr>
        <w:t>0.1</w:t>
      </w:r>
      <w:r>
        <w:rPr>
          <w:rFonts w:hint="eastAsia" w:ascii="宋体" w:hAnsi="宋体" w:cs="仿宋"/>
          <w:sz w:val="24"/>
          <w:szCs w:val="24"/>
        </w:rPr>
        <w:t>%的违约金；违约金总额累计不超过合同价款的</w:t>
      </w:r>
      <w:r>
        <w:rPr>
          <w:rFonts w:hint="eastAsia" w:ascii="宋体" w:hAnsi="宋体" w:cs="仿宋"/>
          <w:sz w:val="24"/>
          <w:szCs w:val="24"/>
          <w:lang w:val="en-US" w:eastAsia="zh-CN"/>
        </w:rPr>
        <w:t>5</w:t>
      </w:r>
      <w:r>
        <w:rPr>
          <w:rFonts w:hint="eastAsia" w:ascii="宋体" w:hAnsi="宋体" w:cs="仿宋"/>
          <w:sz w:val="24"/>
          <w:szCs w:val="24"/>
        </w:rPr>
        <w:t>%。但是，若该违约金不足以弥补发包人损失的，承包人还须继续承担赔偿责任；</w:t>
      </w:r>
    </w:p>
    <w:p w14:paraId="5ABAC92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2）本工程具体分项工程完成时间应服从发包人的总体要求，如因承包人原因导致实际进度与发包人要求的进度计划不符，承包人无法按工期完工或质量无法达到合同要求的，发包人有权对部分分项工程指定第三方施工，承包人必须无条件服从和配合；此分项工程费用由发包人按实际发生费用从承包人的工程款中扣除，同时，承包人还须按本合同签约合同价的10%向发包人支付违约金；合同约定的工期届满时，当承包人累计完成工程量不足计划进度的70%时，可认为承包人无能力按期履行合同并构成严重违约，发包人有权单方解除合同、承包人须按签约合同价的</w:t>
      </w:r>
      <w:r>
        <w:rPr>
          <w:rFonts w:hint="eastAsia" w:ascii="宋体" w:hAnsi="宋体" w:cs="仿宋"/>
          <w:sz w:val="24"/>
          <w:szCs w:val="24"/>
          <w:lang w:val="en-US" w:eastAsia="zh-CN"/>
        </w:rPr>
        <w:t>2</w:t>
      </w:r>
      <w:r>
        <w:rPr>
          <w:rFonts w:hint="eastAsia" w:ascii="宋体" w:hAnsi="宋体" w:cs="仿宋"/>
          <w:sz w:val="24"/>
          <w:szCs w:val="24"/>
        </w:rPr>
        <w:t>0%向发包人支付违约金，若该违约金不足以弥补发包人损失的，追究承包人的违约责任，并由承包人承担由此给发包人造成的一切损失；</w:t>
      </w:r>
    </w:p>
    <w:p w14:paraId="1A31018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（3）承包人未按程序报验的，每次向发包人支付2000元违约赔偿金；工序验收不合格的，须按要求返工，并每次向发包人支付2000元/次违约赔偿金；</w:t>
      </w:r>
    </w:p>
    <w:p w14:paraId="3F8366B7">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（4）承包人必须服从发包人发布的各项符合现行法律、法规的管理规定，如承包人不服从发包人及监理的管理，每次向发包人支付10000元违约赔偿金，且发包人有权解除合同，并要求承包人赔偿损失；</w:t>
      </w:r>
    </w:p>
    <w:p w14:paraId="3209CDA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（5）投标文件中明确的项目经理和主要管理人员不得擅自变更，开工时或施工过程中若有承包人擅自变更，发包人有权依据本合同追究承包人的违约责任，直至解除合同，并追究损失赔偿责任。</w:t>
      </w:r>
    </w:p>
    <w:p w14:paraId="1B96B60F">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（6）在施工过程中，发包人将对承包人的安全文明情况进行考评，只有考评合格，结算时方可计取现场安全文明措施费现场考评费和奖励费，否则结算时不得计取该项费用；</w:t>
      </w:r>
    </w:p>
    <w:p w14:paraId="30AAD5B6">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（7）工程竣工验收合格后28天内，承包人必须将符合发包人要求的竣工结算书及相关资料上报给发包人，否则每延迟一天须向发包人支付5000元作为违约赔偿金；</w:t>
      </w:r>
    </w:p>
    <w:p w14:paraId="01E1A0E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（8）经查实如承包人有出借资质或挂靠施工现象发生，视承包人违约，承包人除须立即进行纠正外，发包人有权没收履约保证金，发包人还有权选择解除合同并要求承包人按签约合同价的</w:t>
      </w:r>
      <w:r>
        <w:rPr>
          <w:rFonts w:hint="eastAsia" w:ascii="宋体" w:hAnsi="宋体" w:cs="仿宋"/>
          <w:sz w:val="24"/>
          <w:szCs w:val="24"/>
          <w:lang w:val="en-US" w:eastAsia="zh-CN"/>
        </w:rPr>
        <w:t>2</w:t>
      </w:r>
      <w:r>
        <w:rPr>
          <w:rFonts w:hint="eastAsia" w:ascii="宋体" w:hAnsi="宋体" w:cs="仿宋"/>
          <w:sz w:val="24"/>
          <w:szCs w:val="24"/>
        </w:rPr>
        <w:t>0%向发包人支付违约金；</w:t>
      </w:r>
    </w:p>
    <w:p w14:paraId="1CC519FC">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9）工程质量应符合国家验收规范和本合同约定要求，并一次性验收合格，若质量未达到要求，承包人按合同签约总价的2%向发包人支付违约金，同时承包人应进行整改，并须承担使工程达到约定质量标准所发生的所有费用。返工合格后，发包人有权在承包人工程结算款中扣除承包人工期延误违约金以及由此而给发包人造成的经济损失。如工程出现两次质量问题，发包人有权解除合同。</w:t>
      </w:r>
    </w:p>
    <w:p w14:paraId="5A672A2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10）若承包人擅自停工、单方面终止合同、工期严重延误或存在其他严重违约行为，导致发包人不得不单方解除合同的，在发包人通知解除本合同的情况下，承包人必须在5天内无条件退场。发包人将在承包人完成退场的情况下按承包人已完成工程量的50%给予结算，承包人还须按合同价款【10】%标准向发包人支付违约金。若违约金不足以弥补发包人损失的，承包人还应承担由此而给发包人造成的一切损失。</w:t>
      </w:r>
    </w:p>
    <w:p w14:paraId="087EE0BB">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（11）因承包人原因导致技术文件（包括竣工图纸、签证等）未能按约定时间提交，每迟一天，发包人在支付给承包人的工程款内扣除1000元的违约金。同时并不解除承包人继续交付上述技术文件的义务。</w:t>
      </w:r>
    </w:p>
    <w:p w14:paraId="3DE1BA1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12）若因承包人施工质量问题或所使用产品、材料、设备的质量问题引起的安全责任（包括造成发包人师生或其他方人身伤害或财产损失等情形）由承包人负责，承包人应承担全部损失赔偿责任和相关法律责任。</w:t>
      </w:r>
    </w:p>
    <w:p w14:paraId="07D0414A">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17.不可抗力</w:t>
      </w:r>
    </w:p>
    <w:p w14:paraId="4B8D8CC2">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17.1不可抗力的确认</w:t>
      </w:r>
    </w:p>
    <w:p w14:paraId="476B6388">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除通用合同条款约定的不可抗力事件之外，视为不可抗力的其他情形：因国家和政府举办大型活动限制施工、因维护学生稳定而不能正常施工。</w:t>
      </w:r>
    </w:p>
    <w:p w14:paraId="2F7040A9">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17.2因不可抗力解除合同</w:t>
      </w:r>
    </w:p>
    <w:p w14:paraId="3D90ADE1">
      <w:pPr>
        <w:keepNext w:val="0"/>
        <w:keepLines w:val="0"/>
        <w:pageBreakBefore w:val="0"/>
        <w:kinsoku/>
        <w:wordWrap/>
        <w:overflowPunct/>
        <w:topLinePunct w:val="0"/>
        <w:autoSpaceDE w:val="0"/>
        <w:autoSpaceDN w:val="0"/>
        <w:bidi w:val="0"/>
        <w:spacing w:line="240" w:lineRule="auto"/>
        <w:ind w:firstLine="480" w:firstLineChars="200"/>
        <w:rPr>
          <w:rFonts w:hint="eastAsia" w:ascii="宋体" w:hAnsi="宋体" w:cs="仿宋"/>
          <w:sz w:val="24"/>
          <w:szCs w:val="24"/>
        </w:rPr>
      </w:pPr>
      <w:r>
        <w:rPr>
          <w:rFonts w:hint="eastAsia" w:ascii="宋体" w:hAnsi="宋体" w:cs="仿宋"/>
          <w:sz w:val="24"/>
          <w:szCs w:val="24"/>
        </w:rPr>
        <w:t>合同解除后，发包人应在商定或确定发包人应支付款项后/天内完成款项的支付。</w:t>
      </w:r>
    </w:p>
    <w:p w14:paraId="6832FB2B">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18. 保险</w:t>
      </w:r>
    </w:p>
    <w:p w14:paraId="4661459D">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18.1 工程保险</w:t>
      </w:r>
    </w:p>
    <w:p w14:paraId="4E9918C6">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关于工程保险的特别约定：</w:t>
      </w:r>
      <w:r>
        <w:rPr>
          <w:rFonts w:hint="eastAsia" w:ascii="宋体" w:hAnsi="宋体" w:cs="仿宋"/>
          <w:sz w:val="24"/>
          <w:szCs w:val="24"/>
          <w:u w:val="single"/>
        </w:rPr>
        <w:t>/</w:t>
      </w:r>
      <w:r>
        <w:rPr>
          <w:rFonts w:hint="eastAsia" w:ascii="宋体" w:hAnsi="宋体" w:cs="仿宋"/>
          <w:sz w:val="24"/>
          <w:szCs w:val="24"/>
        </w:rPr>
        <w:t>。</w:t>
      </w:r>
    </w:p>
    <w:p w14:paraId="6440F0F7">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18.2其他保险</w:t>
      </w:r>
    </w:p>
    <w:p w14:paraId="7E43E4DB">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关于其他保险的约定：</w:t>
      </w:r>
      <w:r>
        <w:rPr>
          <w:rFonts w:hint="eastAsia" w:ascii="宋体" w:hAnsi="宋体" w:cs="仿宋"/>
          <w:sz w:val="24"/>
          <w:szCs w:val="24"/>
          <w:u w:val="single"/>
        </w:rPr>
        <w:t xml:space="preserve"> / </w:t>
      </w:r>
      <w:r>
        <w:rPr>
          <w:rFonts w:hint="eastAsia" w:ascii="宋体" w:hAnsi="宋体" w:cs="仿宋"/>
          <w:sz w:val="24"/>
          <w:szCs w:val="24"/>
        </w:rPr>
        <w:t>。</w:t>
      </w:r>
    </w:p>
    <w:p w14:paraId="6757DED7">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承包人是否应为其施工设备等办理财产保险：</w:t>
      </w:r>
      <w:r>
        <w:rPr>
          <w:rFonts w:hint="eastAsia" w:ascii="宋体" w:hAnsi="宋体" w:cs="仿宋"/>
          <w:sz w:val="24"/>
          <w:szCs w:val="24"/>
          <w:u w:val="single"/>
        </w:rPr>
        <w:t>/</w:t>
      </w:r>
      <w:r>
        <w:rPr>
          <w:rFonts w:hint="eastAsia" w:ascii="宋体" w:hAnsi="宋体" w:cs="仿宋"/>
          <w:sz w:val="24"/>
          <w:szCs w:val="24"/>
        </w:rPr>
        <w:t>。</w:t>
      </w:r>
    </w:p>
    <w:p w14:paraId="7B743A5F">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18.3通知义务</w:t>
      </w:r>
    </w:p>
    <w:p w14:paraId="7F5E0776">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关于变更保险合同时的通知义务的约定：</w:t>
      </w:r>
      <w:r>
        <w:rPr>
          <w:rFonts w:hint="eastAsia" w:ascii="宋体" w:hAnsi="宋体" w:cs="仿宋"/>
          <w:sz w:val="24"/>
          <w:szCs w:val="24"/>
          <w:u w:val="single"/>
        </w:rPr>
        <w:t>/</w:t>
      </w:r>
      <w:r>
        <w:rPr>
          <w:rFonts w:hint="eastAsia" w:ascii="宋体" w:hAnsi="宋体" w:cs="仿宋"/>
          <w:sz w:val="24"/>
          <w:szCs w:val="24"/>
        </w:rPr>
        <w:t>。</w:t>
      </w:r>
    </w:p>
    <w:p w14:paraId="667E7D19">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19.争议解决</w:t>
      </w:r>
    </w:p>
    <w:p w14:paraId="188F7DFB">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19.1争议评审</w:t>
      </w:r>
    </w:p>
    <w:p w14:paraId="3365D793">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合同当事人是否同意将工程争议提交争议评审小组决定：</w:t>
      </w:r>
      <w:r>
        <w:rPr>
          <w:rFonts w:hint="eastAsia" w:ascii="宋体" w:hAnsi="宋体" w:cs="仿宋"/>
          <w:sz w:val="24"/>
          <w:szCs w:val="24"/>
          <w:u w:val="single"/>
        </w:rPr>
        <w:t>不同意</w:t>
      </w:r>
      <w:r>
        <w:rPr>
          <w:rFonts w:hint="eastAsia" w:ascii="宋体" w:hAnsi="宋体" w:cs="仿宋"/>
          <w:sz w:val="24"/>
          <w:szCs w:val="24"/>
        </w:rPr>
        <w:t>。</w:t>
      </w:r>
    </w:p>
    <w:p w14:paraId="036DC4D6">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19.1.1争议评审小组的确定</w:t>
      </w:r>
    </w:p>
    <w:p w14:paraId="390F95C3">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争议评审小组成员的确定：</w:t>
      </w:r>
      <w:r>
        <w:rPr>
          <w:rFonts w:hint="eastAsia" w:ascii="宋体" w:hAnsi="宋体" w:cs="仿宋"/>
          <w:sz w:val="24"/>
          <w:szCs w:val="24"/>
          <w:u w:val="single"/>
        </w:rPr>
        <w:t xml:space="preserve"> / </w:t>
      </w:r>
      <w:r>
        <w:rPr>
          <w:rFonts w:hint="eastAsia" w:ascii="宋体" w:hAnsi="宋体" w:cs="仿宋"/>
          <w:sz w:val="24"/>
          <w:szCs w:val="24"/>
        </w:rPr>
        <w:t>。</w:t>
      </w:r>
    </w:p>
    <w:p w14:paraId="74856A67">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选定争议评审员的期限：</w:t>
      </w:r>
      <w:r>
        <w:rPr>
          <w:rFonts w:hint="eastAsia" w:ascii="宋体" w:hAnsi="宋体" w:cs="仿宋"/>
          <w:sz w:val="24"/>
          <w:szCs w:val="24"/>
          <w:u w:val="single"/>
        </w:rPr>
        <w:t xml:space="preserve"> / </w:t>
      </w:r>
      <w:r>
        <w:rPr>
          <w:rFonts w:hint="eastAsia" w:ascii="宋体" w:hAnsi="宋体" w:cs="仿宋"/>
          <w:sz w:val="24"/>
          <w:szCs w:val="24"/>
        </w:rPr>
        <w:t>。</w:t>
      </w:r>
    </w:p>
    <w:p w14:paraId="12C08B1B">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争议评审小组成员的报酬承担方式：</w:t>
      </w:r>
      <w:r>
        <w:rPr>
          <w:rFonts w:hint="eastAsia" w:ascii="宋体" w:hAnsi="宋体" w:cs="仿宋"/>
          <w:sz w:val="24"/>
          <w:szCs w:val="24"/>
          <w:u w:val="single"/>
        </w:rPr>
        <w:t xml:space="preserve"> / </w:t>
      </w:r>
      <w:r>
        <w:rPr>
          <w:rFonts w:hint="eastAsia" w:ascii="宋体" w:hAnsi="宋体" w:cs="仿宋"/>
          <w:sz w:val="24"/>
          <w:szCs w:val="24"/>
        </w:rPr>
        <w:t>。</w:t>
      </w:r>
    </w:p>
    <w:p w14:paraId="1BFF5DA9">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其他事项的约定：</w:t>
      </w:r>
      <w:r>
        <w:rPr>
          <w:rFonts w:hint="eastAsia" w:ascii="宋体" w:hAnsi="宋体" w:cs="仿宋"/>
          <w:sz w:val="24"/>
          <w:szCs w:val="24"/>
          <w:u w:val="single"/>
        </w:rPr>
        <w:t xml:space="preserve"> / </w:t>
      </w:r>
      <w:r>
        <w:rPr>
          <w:rFonts w:hint="eastAsia" w:ascii="宋体" w:hAnsi="宋体" w:cs="仿宋"/>
          <w:sz w:val="24"/>
          <w:szCs w:val="24"/>
        </w:rPr>
        <w:t>。</w:t>
      </w:r>
    </w:p>
    <w:p w14:paraId="5D691127">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19.1.2争议评审小组的决定</w:t>
      </w:r>
    </w:p>
    <w:p w14:paraId="586D096D">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合同当事人关于本项的约定：</w:t>
      </w:r>
      <w:r>
        <w:rPr>
          <w:rFonts w:hint="eastAsia" w:ascii="宋体" w:hAnsi="宋体" w:cs="仿宋"/>
          <w:sz w:val="24"/>
          <w:szCs w:val="24"/>
          <w:u w:val="single"/>
        </w:rPr>
        <w:t xml:space="preserve"> / </w:t>
      </w:r>
      <w:r>
        <w:rPr>
          <w:rFonts w:hint="eastAsia" w:ascii="宋体" w:hAnsi="宋体" w:cs="仿宋"/>
          <w:sz w:val="24"/>
          <w:szCs w:val="24"/>
        </w:rPr>
        <w:t>。</w:t>
      </w:r>
    </w:p>
    <w:p w14:paraId="29E1BB5F">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19.2仲裁或诉讼</w:t>
      </w:r>
    </w:p>
    <w:p w14:paraId="4907284F">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因合同及合同有关事项发生的争议，按下列第</w:t>
      </w:r>
      <w:r>
        <w:rPr>
          <w:rFonts w:hint="eastAsia" w:ascii="宋体" w:hAnsi="宋体" w:cs="仿宋"/>
          <w:sz w:val="24"/>
          <w:szCs w:val="24"/>
          <w:u w:val="single"/>
        </w:rPr>
        <w:t>（2）</w:t>
      </w:r>
      <w:r>
        <w:rPr>
          <w:rFonts w:hint="eastAsia" w:ascii="宋体" w:hAnsi="宋体" w:cs="仿宋"/>
          <w:sz w:val="24"/>
          <w:szCs w:val="24"/>
        </w:rPr>
        <w:t>种方式解决：</w:t>
      </w:r>
    </w:p>
    <w:p w14:paraId="77224964">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（1）向</w:t>
      </w:r>
      <w:r>
        <w:rPr>
          <w:rFonts w:hint="eastAsia" w:ascii="宋体" w:hAnsi="宋体" w:cs="仿宋"/>
          <w:sz w:val="24"/>
          <w:szCs w:val="24"/>
          <w:u w:val="single"/>
        </w:rPr>
        <w:t xml:space="preserve"> / </w:t>
      </w:r>
      <w:r>
        <w:rPr>
          <w:rFonts w:hint="eastAsia" w:ascii="宋体" w:hAnsi="宋体" w:cs="仿宋"/>
          <w:sz w:val="24"/>
          <w:szCs w:val="24"/>
        </w:rPr>
        <w:t>仲裁委员会申请仲裁；</w:t>
      </w:r>
    </w:p>
    <w:p w14:paraId="787E9D60">
      <w:pPr>
        <w:keepNext w:val="0"/>
        <w:keepLines w:val="0"/>
        <w:pageBreakBefore w:val="0"/>
        <w:kinsoku/>
        <w:wordWrap/>
        <w:overflowPunct/>
        <w:topLinePunct w:val="0"/>
        <w:autoSpaceDE w:val="0"/>
        <w:autoSpaceDN w:val="0"/>
        <w:bidi w:val="0"/>
        <w:spacing w:line="240" w:lineRule="auto"/>
        <w:ind w:firstLine="480" w:firstLineChars="200"/>
        <w:rPr>
          <w:rFonts w:ascii="宋体" w:hAnsi="宋体" w:cs="仿宋"/>
          <w:sz w:val="24"/>
          <w:szCs w:val="24"/>
        </w:rPr>
      </w:pPr>
      <w:r>
        <w:rPr>
          <w:rFonts w:hint="eastAsia" w:ascii="宋体" w:hAnsi="宋体" w:cs="仿宋"/>
          <w:sz w:val="24"/>
          <w:szCs w:val="24"/>
        </w:rPr>
        <w:t>（2）向</w:t>
      </w:r>
      <w:r>
        <w:rPr>
          <w:rFonts w:hint="eastAsia" w:ascii="宋体" w:hAnsi="宋体" w:cs="仿宋"/>
          <w:sz w:val="24"/>
          <w:szCs w:val="24"/>
          <w:u w:val="single"/>
          <w:lang w:val="en-US" w:eastAsia="zh-CN"/>
        </w:rPr>
        <w:t>工程</w:t>
      </w:r>
      <w:r>
        <w:rPr>
          <w:rFonts w:hint="eastAsia" w:ascii="宋体" w:hAnsi="宋体" w:cs="仿宋"/>
          <w:sz w:val="24"/>
          <w:szCs w:val="24"/>
          <w:u w:val="single"/>
        </w:rPr>
        <w:t>所在地</w:t>
      </w:r>
      <w:r>
        <w:rPr>
          <w:rFonts w:hint="eastAsia" w:ascii="宋体" w:hAnsi="宋体" w:cs="仿宋"/>
          <w:sz w:val="24"/>
          <w:szCs w:val="24"/>
        </w:rPr>
        <w:t>人民法院起诉。</w:t>
      </w:r>
    </w:p>
    <w:p w14:paraId="4FEE0181">
      <w:pPr>
        <w:keepNext w:val="0"/>
        <w:keepLines w:val="0"/>
        <w:pageBreakBefore w:val="0"/>
        <w:kinsoku/>
        <w:wordWrap/>
        <w:overflowPunct/>
        <w:topLinePunct w:val="0"/>
        <w:bidi w:val="0"/>
        <w:snapToGrid w:val="0"/>
        <w:spacing w:before="19" w:line="240" w:lineRule="auto"/>
        <w:ind w:firstLine="480" w:firstLineChars="200"/>
        <w:rPr>
          <w:rFonts w:ascii="宋体" w:hAnsi="宋体" w:cs="仿宋"/>
          <w:sz w:val="24"/>
          <w:szCs w:val="24"/>
        </w:rPr>
      </w:pPr>
      <w:r>
        <w:rPr>
          <w:rFonts w:hint="eastAsia" w:ascii="宋体" w:hAnsi="宋体" w:cs="仿宋"/>
          <w:sz w:val="24"/>
          <w:szCs w:val="24"/>
        </w:rPr>
        <w:t>20.补充条款（特别约定）</w:t>
      </w:r>
    </w:p>
    <w:p w14:paraId="627903F9">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rPr>
      </w:pPr>
      <w:r>
        <w:rPr>
          <w:rFonts w:hint="eastAsia" w:ascii="宋体" w:hAnsi="宋体" w:cs="仿宋"/>
          <w:sz w:val="24"/>
          <w:szCs w:val="24"/>
        </w:rPr>
        <w:t>20.2审计费用的取费标准及分摊原则：</w:t>
      </w:r>
    </w:p>
    <w:p w14:paraId="1F353553">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rPr>
      </w:pPr>
      <w:r>
        <w:rPr>
          <w:rFonts w:hint="eastAsia" w:ascii="宋体" w:hAnsi="宋体" w:cs="仿宋"/>
          <w:sz w:val="24"/>
          <w:szCs w:val="24"/>
        </w:rPr>
        <w:t>承包人同意发包人以自己的名义单方委托有相应资质的审计机构（工程造价咨询单位）对本工程作决算审计（包括初审和复审），初审和复审的审计费，均由发包人和承包人双方按规定分担。审计费用的承担方式为：</w:t>
      </w:r>
    </w:p>
    <w:p w14:paraId="234DD553">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rPr>
      </w:pPr>
      <w:r>
        <w:rPr>
          <w:rFonts w:hint="eastAsia" w:ascii="宋体" w:hAnsi="宋体" w:cs="仿宋"/>
          <w:sz w:val="24"/>
          <w:szCs w:val="24"/>
        </w:rPr>
        <w:t>（一）核减率（含复审）达5%（含5%）以上的，全部审计费用由承包人承担，并由发包人从承包人的工程款中扣除。</w:t>
      </w:r>
    </w:p>
    <w:p w14:paraId="6B3A56F7">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rPr>
      </w:pPr>
      <w:r>
        <w:rPr>
          <w:rFonts w:hint="eastAsia" w:ascii="宋体" w:hAnsi="宋体" w:cs="仿宋"/>
          <w:sz w:val="24"/>
          <w:szCs w:val="24"/>
        </w:rPr>
        <w:t>（二）核减率（含复审）为5%以下的审计费用，由发包人承担。</w:t>
      </w:r>
    </w:p>
    <w:p w14:paraId="224B2BAD">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rPr>
      </w:pPr>
      <w:r>
        <w:rPr>
          <w:rFonts w:hint="eastAsia" w:ascii="宋体" w:hAnsi="宋体" w:cs="仿宋"/>
          <w:sz w:val="24"/>
          <w:szCs w:val="24"/>
        </w:rPr>
        <w:t>若甲方审计规定发生调整修订，则按照甲方调整修订后的新审计规定执行。</w:t>
      </w:r>
    </w:p>
    <w:p w14:paraId="59C32592">
      <w:pPr>
        <w:keepNext w:val="0"/>
        <w:keepLines w:val="0"/>
        <w:pageBreakBefore w:val="0"/>
        <w:kinsoku/>
        <w:wordWrap/>
        <w:overflowPunct/>
        <w:topLinePunct w:val="0"/>
        <w:bidi w:val="0"/>
        <w:snapToGrid w:val="0"/>
        <w:spacing w:before="19" w:line="240" w:lineRule="auto"/>
        <w:ind w:firstLine="480" w:firstLineChars="200"/>
        <w:rPr>
          <w:rFonts w:hint="eastAsia" w:ascii="宋体" w:hAnsi="宋体" w:cs="仿宋"/>
          <w:sz w:val="24"/>
          <w:szCs w:val="24"/>
        </w:rPr>
      </w:pPr>
      <w:r>
        <w:rPr>
          <w:rFonts w:hint="eastAsia" w:ascii="宋体" w:hAnsi="宋体" w:cs="仿宋"/>
          <w:sz w:val="24"/>
          <w:szCs w:val="24"/>
        </w:rPr>
        <w:t>乙方同意：若甲方审计规定发生调整修订，则按照甲方调整修订后的新审计规定执行。</w:t>
      </w:r>
    </w:p>
    <w:p w14:paraId="1F68F625">
      <w:pPr>
        <w:rPr>
          <w:sz w:val="24"/>
          <w:szCs w:val="24"/>
        </w:rPr>
      </w:pPr>
      <w:r>
        <w:rPr>
          <w:sz w:val="24"/>
          <w:szCs w:val="24"/>
        </w:rPr>
        <w:br w:type="page"/>
      </w:r>
    </w:p>
    <w:p w14:paraId="67A59DC9">
      <w:pPr>
        <w:spacing w:beforeLines="0" w:afterLines="0" w:line="500" w:lineRule="exact"/>
        <w:rPr>
          <w:rFonts w:hint="default" w:ascii="Times New Roman" w:hAnsi="Times New Roman" w:cs="宋体"/>
          <w:sz w:val="24"/>
          <w:szCs w:val="24"/>
        </w:rPr>
      </w:pPr>
      <w:r>
        <w:rPr>
          <w:rFonts w:hint="eastAsia" w:ascii="Times New Roman" w:hAnsi="Times New Roman" w:cs="宋体"/>
          <w:b/>
          <w:sz w:val="24"/>
          <w:szCs w:val="24"/>
        </w:rPr>
        <w:t>附件1：</w:t>
      </w:r>
    </w:p>
    <w:p w14:paraId="260BAA4F">
      <w:pPr>
        <w:adjustRightInd w:val="0"/>
        <w:snapToGrid w:val="0"/>
        <w:spacing w:beforeLines="0" w:after="312" w:afterLines="100" w:line="500" w:lineRule="exact"/>
        <w:jc w:val="center"/>
        <w:outlineLvl w:val="1"/>
        <w:rPr>
          <w:rFonts w:hint="default" w:ascii="Times New Roman" w:hAnsi="Times New Roman" w:cs="宋体"/>
          <w:b/>
          <w:sz w:val="24"/>
          <w:szCs w:val="24"/>
        </w:rPr>
      </w:pPr>
      <w:r>
        <w:rPr>
          <w:rFonts w:hint="eastAsia" w:ascii="Times New Roman" w:hAnsi="Times New Roman" w:cs="宋体"/>
          <w:b/>
          <w:sz w:val="24"/>
          <w:szCs w:val="24"/>
        </w:rPr>
        <w:t>工程质量保修书</w:t>
      </w:r>
    </w:p>
    <w:p w14:paraId="149073F3">
      <w:pPr>
        <w:adjustRightInd w:val="0"/>
        <w:snapToGrid w:val="0"/>
        <w:spacing w:beforeLines="0" w:afterLines="0" w:line="500" w:lineRule="exact"/>
        <w:rPr>
          <w:rFonts w:hint="default" w:ascii="Times New Roman" w:hAnsi="Times New Roman" w:cs="宋体"/>
          <w:sz w:val="24"/>
          <w:szCs w:val="24"/>
          <w:u w:val="single"/>
        </w:rPr>
      </w:pPr>
      <w:r>
        <w:rPr>
          <w:rFonts w:hint="eastAsia" w:ascii="Times New Roman" w:hAnsi="Times New Roman" w:cs="宋体"/>
          <w:sz w:val="24"/>
          <w:szCs w:val="24"/>
        </w:rPr>
        <w:t>承包人：（全称）</w:t>
      </w:r>
      <w:r>
        <w:rPr>
          <w:rFonts w:hint="eastAsia" w:ascii="Times New Roman" w:hAnsi="Times New Roman" w:cs="宋体"/>
          <w:sz w:val="24"/>
          <w:szCs w:val="24"/>
          <w:u w:val="single"/>
        </w:rPr>
        <w:t xml:space="preserve">                 </w:t>
      </w:r>
    </w:p>
    <w:p w14:paraId="10513FDE">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为保证</w:t>
      </w:r>
      <w:r>
        <w:rPr>
          <w:rFonts w:hint="eastAsia" w:ascii="Times New Roman" w:hAnsi="Times New Roman" w:cs="宋体"/>
          <w:sz w:val="24"/>
          <w:szCs w:val="24"/>
          <w:u w:val="single"/>
        </w:rPr>
        <w:t xml:space="preserve">                     </w:t>
      </w:r>
      <w:r>
        <w:rPr>
          <w:rFonts w:hint="eastAsia" w:ascii="Times New Roman" w:hAnsi="Times New Roman" w:cs="宋体"/>
          <w:sz w:val="24"/>
          <w:szCs w:val="24"/>
        </w:rPr>
        <w:t>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14:paraId="532DE8FB">
      <w:pPr>
        <w:adjustRightInd w:val="0"/>
        <w:snapToGrid w:val="0"/>
        <w:spacing w:beforeLines="0" w:afterLines="0" w:line="500" w:lineRule="exact"/>
        <w:rPr>
          <w:rFonts w:hint="default" w:ascii="Times New Roman" w:hAnsi="Times New Roman" w:cs="宋体"/>
          <w:b/>
          <w:sz w:val="24"/>
          <w:szCs w:val="24"/>
        </w:rPr>
      </w:pPr>
      <w:r>
        <w:rPr>
          <w:rFonts w:hint="eastAsia" w:ascii="Times New Roman" w:hAnsi="Times New Roman" w:cs="宋体"/>
          <w:b/>
          <w:sz w:val="24"/>
          <w:szCs w:val="24"/>
        </w:rPr>
        <w:t>1 质量保修范围</w:t>
      </w:r>
    </w:p>
    <w:p w14:paraId="5C030F9D">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质量保修范围包括承包人承包的所有工程以及双方约定其他项目。具体质量保修范围，双方约定如下：</w:t>
      </w:r>
    </w:p>
    <w:p w14:paraId="174E7EBA">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凡属于承包人原因造成的各部位的质量问题或其他缺陷，及由于承包人维修造成第三方的相关损失，均属于承包人保修责任范围；不属于承包人责任，但是经由双方协商由承包人配合施工的，承包人应配合维修，费用由责任方承担。</w:t>
      </w:r>
    </w:p>
    <w:p w14:paraId="5CC40539">
      <w:pPr>
        <w:adjustRightInd w:val="0"/>
        <w:snapToGrid w:val="0"/>
        <w:spacing w:beforeLines="0" w:afterLines="0" w:line="500" w:lineRule="exact"/>
        <w:rPr>
          <w:rFonts w:hint="default" w:ascii="Times New Roman" w:hAnsi="Times New Roman" w:cs="宋体"/>
          <w:b/>
          <w:sz w:val="24"/>
          <w:szCs w:val="24"/>
        </w:rPr>
      </w:pPr>
      <w:r>
        <w:rPr>
          <w:rFonts w:hint="eastAsia" w:ascii="Times New Roman" w:hAnsi="Times New Roman" w:cs="宋体"/>
          <w:b/>
          <w:sz w:val="24"/>
          <w:szCs w:val="24"/>
        </w:rPr>
        <w:t>2 质量保修期</w:t>
      </w:r>
    </w:p>
    <w:p w14:paraId="68873560">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2.1 质量保修期从工程实际竣工验收合格之日起计算。单项竣工验收的工程，按单项工程分别计算质量保修期。</w:t>
      </w:r>
    </w:p>
    <w:p w14:paraId="2A354198">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2.2 双方根据《建设工程质量管理条例》及有关规定，约定本工程质量保修期如下：</w:t>
      </w:r>
    </w:p>
    <w:p w14:paraId="6D330470">
      <w:pPr>
        <w:adjustRightInd w:val="0"/>
        <w:snapToGrid w:val="0"/>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（1）地基基础工程、主体结构工程为设计文件规定的合理使用年限；</w:t>
      </w:r>
    </w:p>
    <w:p w14:paraId="0C43E455">
      <w:pPr>
        <w:adjustRightInd w:val="0"/>
        <w:snapToGrid w:val="0"/>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（2）屋面防水工程、有防水要求的卫生间、房间和外墙面的防渗漏工程为：</w:t>
      </w:r>
      <w:r>
        <w:rPr>
          <w:rFonts w:hint="eastAsia" w:ascii="Times New Roman" w:hAnsi="Times New Roman" w:cs="宋体"/>
          <w:color w:val="0000FF"/>
          <w:sz w:val="24"/>
          <w:szCs w:val="24"/>
          <w:u w:val="single"/>
        </w:rPr>
        <w:t xml:space="preserve"> 5  </w:t>
      </w:r>
      <w:r>
        <w:rPr>
          <w:rFonts w:hint="eastAsia" w:ascii="Times New Roman" w:hAnsi="Times New Roman" w:cs="宋体"/>
          <w:color w:val="0000FF"/>
          <w:sz w:val="24"/>
          <w:szCs w:val="24"/>
        </w:rPr>
        <w:t>年；</w:t>
      </w:r>
    </w:p>
    <w:p w14:paraId="6A52E79A">
      <w:pPr>
        <w:adjustRightInd w:val="0"/>
        <w:snapToGrid w:val="0"/>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（3）电气管线工程、给排水管道、设备安装工程为：</w:t>
      </w:r>
      <w:r>
        <w:rPr>
          <w:rFonts w:hint="eastAsia" w:ascii="Times New Roman" w:hAnsi="Times New Roman" w:cs="宋体"/>
          <w:color w:val="0000FF"/>
          <w:sz w:val="24"/>
          <w:szCs w:val="24"/>
          <w:u w:val="single"/>
        </w:rPr>
        <w:t xml:space="preserve">  2  </w:t>
      </w:r>
      <w:r>
        <w:rPr>
          <w:rFonts w:hint="eastAsia" w:ascii="Times New Roman" w:hAnsi="Times New Roman" w:cs="宋体"/>
          <w:sz w:val="24"/>
          <w:szCs w:val="24"/>
        </w:rPr>
        <w:t>年；</w:t>
      </w:r>
    </w:p>
    <w:p w14:paraId="609F04A6">
      <w:pPr>
        <w:adjustRightInd w:val="0"/>
        <w:snapToGrid w:val="0"/>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（4）装饰装修工程为</w:t>
      </w:r>
      <w:r>
        <w:rPr>
          <w:rFonts w:hint="eastAsia" w:ascii="Times New Roman" w:hAnsi="Times New Roman" w:cs="宋体"/>
          <w:color w:val="0000FF"/>
          <w:sz w:val="24"/>
          <w:szCs w:val="24"/>
          <w:u w:val="single"/>
        </w:rPr>
        <w:t xml:space="preserve">  2  </w:t>
      </w:r>
      <w:r>
        <w:rPr>
          <w:rFonts w:hint="eastAsia" w:ascii="Times New Roman" w:hAnsi="Times New Roman" w:cs="宋体"/>
          <w:sz w:val="24"/>
          <w:szCs w:val="24"/>
        </w:rPr>
        <w:t>年；</w:t>
      </w:r>
    </w:p>
    <w:p w14:paraId="203121DB">
      <w:pPr>
        <w:adjustRightInd w:val="0"/>
        <w:snapToGrid w:val="0"/>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（5）城市道路工程为</w:t>
      </w:r>
      <w:r>
        <w:rPr>
          <w:rFonts w:hint="eastAsia" w:ascii="Times New Roman" w:hAnsi="Times New Roman" w:cs="宋体"/>
          <w:sz w:val="24"/>
          <w:szCs w:val="24"/>
          <w:u w:val="single"/>
        </w:rPr>
        <w:t xml:space="preserve"> </w:t>
      </w:r>
      <w:r>
        <w:rPr>
          <w:rFonts w:hint="eastAsia" w:ascii="Times New Roman" w:hAnsi="Times New Roman" w:cs="宋体"/>
          <w:color w:val="0000FF"/>
          <w:sz w:val="24"/>
          <w:szCs w:val="24"/>
          <w:u w:val="single"/>
        </w:rPr>
        <w:t xml:space="preserve"> 3 </w:t>
      </w:r>
      <w:r>
        <w:rPr>
          <w:rFonts w:hint="eastAsia" w:ascii="Times New Roman" w:hAnsi="Times New Roman" w:cs="宋体"/>
          <w:sz w:val="24"/>
          <w:szCs w:val="24"/>
          <w:u w:val="single"/>
        </w:rPr>
        <w:t xml:space="preserve"> </w:t>
      </w:r>
      <w:r>
        <w:rPr>
          <w:rFonts w:hint="eastAsia" w:ascii="Times New Roman" w:hAnsi="Times New Roman" w:cs="宋体"/>
          <w:sz w:val="24"/>
          <w:szCs w:val="24"/>
        </w:rPr>
        <w:t>年；</w:t>
      </w:r>
    </w:p>
    <w:p w14:paraId="11F413D5">
      <w:pPr>
        <w:adjustRightInd w:val="0"/>
        <w:snapToGrid w:val="0"/>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（6）其他项目</w:t>
      </w:r>
      <w:r>
        <w:rPr>
          <w:rFonts w:hint="eastAsia" w:ascii="Times New Roman" w:hAnsi="Times New Roman" w:cs="宋体"/>
          <w:color w:val="0000FF"/>
          <w:sz w:val="24"/>
          <w:szCs w:val="24"/>
          <w:u w:val="single"/>
        </w:rPr>
        <w:t xml:space="preserve">  2 </w:t>
      </w:r>
      <w:r>
        <w:rPr>
          <w:rFonts w:hint="eastAsia" w:ascii="Times New Roman" w:hAnsi="Times New Roman" w:cs="宋体"/>
          <w:sz w:val="24"/>
          <w:szCs w:val="24"/>
          <w:u w:val="single"/>
        </w:rPr>
        <w:t xml:space="preserve"> </w:t>
      </w:r>
      <w:r>
        <w:rPr>
          <w:rFonts w:hint="eastAsia" w:ascii="Times New Roman" w:hAnsi="Times New Roman" w:cs="宋体"/>
          <w:sz w:val="24"/>
          <w:szCs w:val="24"/>
        </w:rPr>
        <w:t>年；</w:t>
      </w:r>
    </w:p>
    <w:p w14:paraId="081D1436">
      <w:pPr>
        <w:adjustRightInd w:val="0"/>
        <w:snapToGrid w:val="0"/>
        <w:spacing w:beforeLines="0" w:afterLines="0" w:line="500" w:lineRule="exact"/>
        <w:rPr>
          <w:rFonts w:hint="default" w:ascii="Times New Roman" w:hAnsi="Times New Roman" w:cs="宋体"/>
          <w:b/>
          <w:sz w:val="24"/>
          <w:szCs w:val="24"/>
        </w:rPr>
      </w:pPr>
      <w:r>
        <w:rPr>
          <w:rFonts w:hint="eastAsia" w:ascii="Times New Roman" w:hAnsi="Times New Roman" w:cs="宋体"/>
          <w:b/>
          <w:sz w:val="24"/>
          <w:szCs w:val="24"/>
        </w:rPr>
        <w:t>3 质量保修责任</w:t>
      </w:r>
    </w:p>
    <w:p w14:paraId="2B1F58A8">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3.1 属于保修范围的项目，承包人应在接到通知后的48小时内派人保修，承包人不在约定期限内派人保修，发包人可自行或指派第三方保修。</w:t>
      </w:r>
    </w:p>
    <w:p w14:paraId="05E5B850">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3.2 发生紧急抢修事故的，承包人在接到通知后，应立即到达事故现场抢修。</w:t>
      </w:r>
    </w:p>
    <w:p w14:paraId="6A84D65A">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3.3 在国家规定的工程合理使用期限内，承包人应确保地基基础工程和主体结构的安全和质量。凡出现其质量问题，应立即报告当地建设行政主管部门，由设计单位提出保修方案，承包人应立即实施保修。</w:t>
      </w:r>
    </w:p>
    <w:p w14:paraId="5F629DBD">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3.4 质量保修完成后，由发包人组织验收。</w:t>
      </w:r>
    </w:p>
    <w:p w14:paraId="44AB9369">
      <w:pPr>
        <w:adjustRightInd w:val="0"/>
        <w:snapToGrid w:val="0"/>
        <w:spacing w:beforeLines="0" w:afterLines="0" w:line="500" w:lineRule="exact"/>
        <w:rPr>
          <w:rFonts w:hint="default" w:ascii="Times New Roman" w:hAnsi="Times New Roman" w:cs="宋体"/>
          <w:b/>
          <w:sz w:val="24"/>
          <w:szCs w:val="24"/>
        </w:rPr>
      </w:pPr>
      <w:r>
        <w:rPr>
          <w:rFonts w:hint="eastAsia" w:ascii="Times New Roman" w:hAnsi="Times New Roman" w:cs="宋体"/>
          <w:b/>
          <w:sz w:val="24"/>
          <w:szCs w:val="24"/>
        </w:rPr>
        <w:t>4 质量保修费用</w:t>
      </w:r>
    </w:p>
    <w:p w14:paraId="20C62379">
      <w:pPr>
        <w:adjustRightInd w:val="0"/>
        <w:snapToGrid w:val="0"/>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质量保修费用及相关的损害赔偿费，由造成质量缺陷的责任方承担。</w:t>
      </w:r>
    </w:p>
    <w:p w14:paraId="109B988E">
      <w:pPr>
        <w:adjustRightInd w:val="0"/>
        <w:snapToGrid w:val="0"/>
        <w:spacing w:beforeLines="0" w:afterLines="0" w:line="500" w:lineRule="exact"/>
        <w:rPr>
          <w:rFonts w:hint="default" w:ascii="Times New Roman" w:hAnsi="Times New Roman" w:cs="宋体"/>
          <w:b/>
          <w:sz w:val="24"/>
          <w:szCs w:val="24"/>
        </w:rPr>
      </w:pPr>
      <w:r>
        <w:rPr>
          <w:rFonts w:hint="eastAsia" w:ascii="Times New Roman" w:hAnsi="Times New Roman" w:cs="宋体"/>
          <w:b/>
          <w:sz w:val="24"/>
          <w:szCs w:val="24"/>
        </w:rPr>
        <w:t>5 质量保证金</w:t>
      </w:r>
    </w:p>
    <w:p w14:paraId="7A181D85">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本工程双方约定，承包人向发包人支付的工程质量保修金按</w:t>
      </w:r>
      <w:r>
        <w:rPr>
          <w:rFonts w:hint="eastAsia" w:cs="宋体"/>
          <w:sz w:val="24"/>
        </w:rPr>
        <w:t>本合同价款的</w:t>
      </w:r>
      <w:r>
        <w:rPr>
          <w:rFonts w:hint="eastAsia" w:cs="宋体"/>
          <w:color w:val="0000FF"/>
          <w:sz w:val="24"/>
          <w:u w:val="single"/>
        </w:rPr>
        <w:t>_</w:t>
      </w:r>
      <w:r>
        <w:rPr>
          <w:rFonts w:hint="eastAsia" w:cs="宋体"/>
          <w:color w:val="0000FF"/>
          <w:sz w:val="24"/>
          <w:u w:val="single"/>
          <w:lang w:val="en-US" w:eastAsia="zh-CN"/>
        </w:rPr>
        <w:t>2</w:t>
      </w:r>
      <w:r>
        <w:rPr>
          <w:rFonts w:hint="eastAsia" w:cs="宋体"/>
          <w:color w:val="0000FF"/>
          <w:sz w:val="24"/>
          <w:u w:val="single"/>
        </w:rPr>
        <w:t>_</w:t>
      </w:r>
      <w:r>
        <w:rPr>
          <w:rFonts w:hint="eastAsia" w:cs="宋体"/>
          <w:color w:val="0000FF"/>
          <w:sz w:val="24"/>
        </w:rPr>
        <w:t>%</w:t>
      </w:r>
      <w:r>
        <w:rPr>
          <w:rFonts w:hint="eastAsia" w:cs="宋体"/>
          <w:sz w:val="24"/>
        </w:rPr>
        <w:t>计算</w:t>
      </w:r>
      <w:r>
        <w:rPr>
          <w:rFonts w:hint="eastAsia" w:ascii="Times New Roman" w:hAnsi="Times New Roman" w:cs="宋体"/>
          <w:sz w:val="24"/>
          <w:szCs w:val="24"/>
        </w:rPr>
        <w:t>。质量保修金银行利息为 零 。</w:t>
      </w:r>
    </w:p>
    <w:p w14:paraId="23779001">
      <w:pPr>
        <w:adjustRightInd w:val="0"/>
        <w:snapToGrid w:val="0"/>
        <w:spacing w:beforeLines="0" w:afterLines="0" w:line="500" w:lineRule="exact"/>
        <w:ind w:firstLine="480" w:firstLineChars="200"/>
        <w:rPr>
          <w:rFonts w:hint="default" w:ascii="Times New Roman" w:hAnsi="Times New Roman" w:cs="宋体"/>
          <w:sz w:val="24"/>
          <w:szCs w:val="24"/>
        </w:rPr>
      </w:pPr>
      <w:r>
        <w:rPr>
          <w:rFonts w:hint="eastAsia" w:ascii="Times New Roman" w:hAnsi="Times New Roman" w:cs="宋体"/>
          <w:sz w:val="24"/>
          <w:szCs w:val="24"/>
        </w:rPr>
        <w:t>质保金的退还，按本合同专用条款执行。</w:t>
      </w:r>
    </w:p>
    <w:p w14:paraId="14812EB5">
      <w:pPr>
        <w:adjustRightInd w:val="0"/>
        <w:snapToGrid w:val="0"/>
        <w:spacing w:beforeLines="0" w:afterLines="0" w:line="500" w:lineRule="exact"/>
        <w:rPr>
          <w:rFonts w:hint="default" w:ascii="Times New Roman" w:hAnsi="Times New Roman" w:cs="宋体"/>
          <w:b/>
          <w:sz w:val="24"/>
          <w:szCs w:val="24"/>
        </w:rPr>
      </w:pPr>
      <w:r>
        <w:rPr>
          <w:rFonts w:hint="eastAsia" w:ascii="Times New Roman" w:hAnsi="Times New Roman" w:cs="宋体"/>
          <w:b/>
          <w:sz w:val="24"/>
          <w:szCs w:val="24"/>
        </w:rPr>
        <w:t>6 其他</w:t>
      </w:r>
    </w:p>
    <w:p w14:paraId="49AECDF6">
      <w:pPr>
        <w:adjustRightInd w:val="0"/>
        <w:snapToGrid w:val="0"/>
        <w:spacing w:beforeLines="0" w:afterLines="0" w:line="500" w:lineRule="exact"/>
        <w:rPr>
          <w:rFonts w:hint="default" w:ascii="Times New Roman" w:hAnsi="Times New Roman" w:cs="宋体"/>
          <w:sz w:val="24"/>
          <w:szCs w:val="24"/>
          <w:u w:val="single"/>
        </w:rPr>
      </w:pPr>
      <w:r>
        <w:rPr>
          <w:rFonts w:hint="eastAsia" w:ascii="Times New Roman" w:hAnsi="Times New Roman" w:cs="宋体"/>
          <w:b/>
          <w:sz w:val="24"/>
          <w:szCs w:val="24"/>
        </w:rPr>
        <w:t>6.1 双方约定的其它工程质量保修事项：</w:t>
      </w:r>
      <w:r>
        <w:rPr>
          <w:rFonts w:hint="eastAsia" w:ascii="Times New Roman" w:hAnsi="Times New Roman" w:cs="宋体"/>
          <w:color w:val="0000FF"/>
          <w:sz w:val="24"/>
          <w:szCs w:val="24"/>
          <w:u w:val="single"/>
        </w:rPr>
        <w:t>按国务院《建设工程质量管理条例》的规定执行</w:t>
      </w:r>
      <w:r>
        <w:rPr>
          <w:rFonts w:hint="eastAsia" w:ascii="Times New Roman" w:hAnsi="Times New Roman" w:cs="宋体"/>
          <w:sz w:val="24"/>
          <w:szCs w:val="24"/>
          <w:u w:val="single"/>
        </w:rPr>
        <w:t>。</w:t>
      </w:r>
    </w:p>
    <w:p w14:paraId="734CD049">
      <w:pPr>
        <w:adjustRightInd w:val="0"/>
        <w:snapToGrid w:val="0"/>
        <w:spacing w:beforeLines="0" w:afterLines="0" w:line="500" w:lineRule="exact"/>
        <w:rPr>
          <w:rFonts w:hint="default" w:ascii="Times New Roman" w:hAnsi="Times New Roman" w:cs="宋体"/>
          <w:sz w:val="24"/>
          <w:szCs w:val="24"/>
        </w:rPr>
      </w:pPr>
      <w:r>
        <w:rPr>
          <w:rFonts w:hint="eastAsia" w:ascii="Times New Roman" w:hAnsi="Times New Roman" w:cs="宋体"/>
          <w:b/>
          <w:sz w:val="24"/>
          <w:szCs w:val="24"/>
        </w:rPr>
        <w:t>6.2</w:t>
      </w:r>
      <w:r>
        <w:rPr>
          <w:rFonts w:hint="eastAsia" w:ascii="Times New Roman" w:hAnsi="Times New Roman" w:cs="宋体"/>
          <w:sz w:val="24"/>
          <w:szCs w:val="24"/>
        </w:rPr>
        <w:t xml:space="preserve"> 本工程质量保修书，由发包人承包人在工程竣工验收前签署，作为合同附件，其有效期限至保修期满。                                                             </w:t>
      </w:r>
    </w:p>
    <w:p w14:paraId="58850EAE">
      <w:pPr>
        <w:adjustRightInd w:val="0"/>
        <w:snapToGrid w:val="0"/>
        <w:spacing w:beforeLines="0" w:afterLines="0" w:line="500" w:lineRule="exact"/>
        <w:rPr>
          <w:rFonts w:hint="default" w:ascii="Times New Roman" w:hAnsi="Times New Roman" w:cs="宋体"/>
          <w:sz w:val="24"/>
          <w:szCs w:val="24"/>
        </w:rPr>
      </w:pPr>
    </w:p>
    <w:p w14:paraId="112AE158">
      <w:pPr>
        <w:adjustRightInd w:val="0"/>
        <w:snapToGrid w:val="0"/>
        <w:spacing w:beforeLines="0" w:afterLines="0" w:line="500" w:lineRule="exact"/>
        <w:rPr>
          <w:rFonts w:hint="default" w:ascii="Times New Roman" w:hAnsi="Times New Roman" w:cs="宋体"/>
          <w:sz w:val="24"/>
          <w:szCs w:val="24"/>
        </w:rPr>
      </w:pPr>
    </w:p>
    <w:p w14:paraId="5B958CCA">
      <w:pPr>
        <w:adjustRightInd w:val="0"/>
        <w:snapToGrid w:val="0"/>
        <w:spacing w:beforeLines="0" w:afterLines="0" w:line="500" w:lineRule="exact"/>
        <w:rPr>
          <w:rFonts w:hint="default" w:ascii="Times New Roman" w:hAnsi="Times New Roman" w:cs="宋体"/>
          <w:sz w:val="24"/>
          <w:szCs w:val="24"/>
        </w:rPr>
      </w:pPr>
    </w:p>
    <w:p w14:paraId="6001707E">
      <w:pPr>
        <w:adjustRightInd w:val="0"/>
        <w:snapToGrid w:val="0"/>
        <w:spacing w:beforeLines="0" w:afterLines="0" w:line="500" w:lineRule="exact"/>
        <w:rPr>
          <w:rFonts w:hint="default" w:ascii="Times New Roman" w:hAnsi="Times New Roman" w:cs="宋体"/>
          <w:sz w:val="24"/>
          <w:szCs w:val="24"/>
        </w:rPr>
      </w:pPr>
    </w:p>
    <w:p w14:paraId="0A83AE60">
      <w:pPr>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 xml:space="preserve">承包人： </w:t>
      </w:r>
    </w:p>
    <w:p w14:paraId="6F451A35">
      <w:pPr>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 xml:space="preserve">  （盖章）</w:t>
      </w:r>
    </w:p>
    <w:p w14:paraId="210B9D07">
      <w:pPr>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 xml:space="preserve">法定代表人：（签字）        </w:t>
      </w:r>
    </w:p>
    <w:p w14:paraId="6BB19337">
      <w:pPr>
        <w:spacing w:beforeLines="0" w:afterLines="0" w:line="500" w:lineRule="exact"/>
        <w:rPr>
          <w:rFonts w:hint="default" w:ascii="Times New Roman" w:hAnsi="Times New Roman" w:cs="宋体"/>
          <w:sz w:val="24"/>
          <w:szCs w:val="24"/>
        </w:rPr>
      </w:pPr>
      <w:r>
        <w:rPr>
          <w:rFonts w:hint="eastAsia" w:ascii="Times New Roman" w:hAnsi="Times New Roman" w:cs="宋体"/>
          <w:sz w:val="24"/>
          <w:szCs w:val="24"/>
        </w:rPr>
        <w:t xml:space="preserve">委托代理人：（签字）            </w:t>
      </w:r>
    </w:p>
    <w:p w14:paraId="5EFE26B1">
      <w:pPr>
        <w:spacing w:beforeLines="0" w:afterLines="0" w:line="500" w:lineRule="exact"/>
        <w:rPr>
          <w:rFonts w:hint="eastAsia" w:ascii="Times New Roman" w:hAnsi="Times New Roman" w:cs="宋体"/>
          <w:sz w:val="24"/>
          <w:szCs w:val="24"/>
        </w:rPr>
      </w:pPr>
      <w:r>
        <w:rPr>
          <w:rFonts w:hint="eastAsia" w:ascii="Times New Roman" w:hAnsi="Times New Roman" w:cs="宋体"/>
          <w:sz w:val="24"/>
          <w:szCs w:val="24"/>
        </w:rPr>
        <w:t xml:space="preserve">通讯地址：     </w:t>
      </w:r>
    </w:p>
    <w:p w14:paraId="41BE4E08">
      <w:r>
        <w:rPr>
          <w:rFonts w:hint="eastAsia" w:ascii="Times New Roman" w:hAnsi="Times New Roman" w:cs="宋体"/>
          <w:sz w:val="24"/>
          <w:szCs w:val="24"/>
          <w:lang w:val="en-US" w:eastAsia="zh-CN"/>
        </w:rPr>
        <w:t>年  月  日</w:t>
      </w:r>
      <w:r>
        <w:rPr>
          <w:rFonts w:hint="eastAsia" w:ascii="Times New Roman" w:hAnsi="Times New Roman" w:cs="宋体"/>
          <w:sz w:val="24"/>
          <w:szCs w:val="24"/>
        </w:rPr>
        <w:t xml:space="preserve">                </w:t>
      </w:r>
    </w:p>
    <w:p w14:paraId="62ACE997">
      <w:pPr>
        <w:rPr>
          <w:rFonts w:ascii="宋体" w:hAnsi="宋体" w:eastAsia="宋体" w:cs="宋体"/>
          <w:b/>
          <w:bCs/>
          <w:color w:val="auto"/>
          <w:spacing w:val="4"/>
          <w:sz w:val="43"/>
          <w:szCs w:val="43"/>
          <w:highlight w:val="none"/>
        </w:rPr>
      </w:pPr>
      <w:r>
        <w:rPr>
          <w:rFonts w:ascii="宋体" w:hAnsi="宋体" w:eastAsia="宋体" w:cs="宋体"/>
          <w:b/>
          <w:bCs/>
          <w:color w:val="auto"/>
          <w:spacing w:val="4"/>
          <w:sz w:val="43"/>
          <w:szCs w:val="43"/>
          <w:highlight w:val="none"/>
        </w:rPr>
        <w:br w:type="page"/>
      </w:r>
    </w:p>
    <w:p w14:paraId="536C2F86">
      <w:pPr>
        <w:jc w:val="center"/>
        <w:rPr>
          <w:rFonts w:hint="eastAsia" w:asciiTheme="majorEastAsia" w:hAnsiTheme="majorEastAsia" w:eastAsiaTheme="majorEastAsia" w:cstheme="majorEastAsia"/>
          <w:b/>
          <w:bCs/>
          <w:color w:val="auto"/>
          <w:spacing w:val="6"/>
          <w:sz w:val="31"/>
          <w:szCs w:val="31"/>
          <w:highlight w:val="none"/>
        </w:rPr>
      </w:pPr>
      <w:r>
        <w:rPr>
          <w:rFonts w:hint="eastAsia" w:asciiTheme="majorEastAsia" w:hAnsiTheme="majorEastAsia" w:eastAsiaTheme="majorEastAsia" w:cstheme="majorEastAsia"/>
          <w:b/>
          <w:bCs/>
          <w:color w:val="auto"/>
          <w:spacing w:val="6"/>
          <w:sz w:val="31"/>
          <w:szCs w:val="31"/>
          <w:highlight w:val="none"/>
        </w:rPr>
        <w:t>第</w:t>
      </w:r>
      <w:r>
        <w:rPr>
          <w:rFonts w:hint="eastAsia" w:asciiTheme="majorEastAsia" w:hAnsiTheme="majorEastAsia" w:eastAsiaTheme="majorEastAsia" w:cstheme="majorEastAsia"/>
          <w:b/>
          <w:bCs/>
          <w:color w:val="auto"/>
          <w:spacing w:val="6"/>
          <w:sz w:val="31"/>
          <w:szCs w:val="31"/>
          <w:highlight w:val="none"/>
          <w:lang w:eastAsia="zh-CN"/>
        </w:rPr>
        <w:t>四</w:t>
      </w:r>
      <w:r>
        <w:rPr>
          <w:rFonts w:hint="eastAsia" w:asciiTheme="majorEastAsia" w:hAnsiTheme="majorEastAsia" w:eastAsiaTheme="majorEastAsia" w:cstheme="majorEastAsia"/>
          <w:b/>
          <w:bCs/>
          <w:color w:val="auto"/>
          <w:spacing w:val="6"/>
          <w:sz w:val="31"/>
          <w:szCs w:val="31"/>
          <w:highlight w:val="none"/>
        </w:rPr>
        <w:t>章</w:t>
      </w:r>
      <w:r>
        <w:rPr>
          <w:rFonts w:hint="eastAsia" w:asciiTheme="majorEastAsia" w:hAnsiTheme="majorEastAsia" w:eastAsiaTheme="majorEastAsia" w:cstheme="majorEastAsia"/>
          <w:b/>
          <w:bCs/>
          <w:color w:val="auto"/>
          <w:spacing w:val="6"/>
          <w:sz w:val="31"/>
          <w:szCs w:val="31"/>
          <w:highlight w:val="none"/>
          <w:lang w:val="en-US" w:eastAsia="zh-CN"/>
        </w:rPr>
        <w:t xml:space="preserve"> </w:t>
      </w:r>
      <w:r>
        <w:rPr>
          <w:rFonts w:hint="eastAsia" w:asciiTheme="majorEastAsia" w:hAnsiTheme="majorEastAsia" w:eastAsiaTheme="majorEastAsia" w:cstheme="majorEastAsia"/>
          <w:b/>
          <w:bCs/>
          <w:color w:val="auto"/>
          <w:spacing w:val="6"/>
          <w:sz w:val="31"/>
          <w:szCs w:val="31"/>
          <w:highlight w:val="none"/>
        </w:rPr>
        <w:t>技术标准和要求</w:t>
      </w:r>
    </w:p>
    <w:p w14:paraId="347611C4">
      <w:pPr>
        <w:numPr>
          <w:ilvl w:val="0"/>
          <w:numId w:val="0"/>
        </w:numPr>
        <w:jc w:val="both"/>
        <w:rPr>
          <w:rFonts w:hint="eastAsia" w:ascii="宋体" w:hAnsi="宋体" w:eastAsia="宋体" w:cs="宋体"/>
          <w:b/>
          <w:bCs/>
          <w:color w:val="auto"/>
          <w:spacing w:val="4"/>
          <w:sz w:val="43"/>
          <w:szCs w:val="43"/>
          <w:highlight w:val="none"/>
        </w:rPr>
      </w:pPr>
    </w:p>
    <w:p w14:paraId="7B52B235">
      <w:pPr>
        <w:ind w:firstLine="456" w:firstLineChars="200"/>
        <w:jc w:val="left"/>
        <w:rPr>
          <w:rFonts w:hint="eastAsia" w:ascii="宋体" w:hAnsi="宋体" w:eastAsia="宋体" w:cs="宋体"/>
          <w:b w:val="0"/>
          <w:bCs w:val="0"/>
          <w:color w:val="auto"/>
          <w:spacing w:val="4"/>
          <w:sz w:val="22"/>
          <w:szCs w:val="22"/>
          <w:highlight w:val="none"/>
        </w:rPr>
      </w:pPr>
      <w:r>
        <w:rPr>
          <w:rFonts w:ascii="宋体" w:hAnsi="宋体" w:eastAsia="宋体" w:cs="宋体"/>
          <w:b w:val="0"/>
          <w:bCs w:val="0"/>
          <w:color w:val="auto"/>
          <w:spacing w:val="4"/>
          <w:sz w:val="22"/>
          <w:szCs w:val="22"/>
          <w:highlight w:val="none"/>
        </w:rPr>
        <w:t>依据磋商文件的要求，本项目的材料、设备、施工须达到下列现行中华人民共和国以及省、自治 区、直辖市或行业建设标准、规范的要求，并按设计图纸文件执行。</w:t>
      </w:r>
    </w:p>
    <w:p w14:paraId="27D0EA1D">
      <w:pPr>
        <w:jc w:val="both"/>
        <w:rPr>
          <w:color w:val="auto"/>
        </w:rPr>
      </w:pPr>
      <w:bookmarkStart w:id="405" w:name="_GoBack"/>
      <w:bookmarkEnd w:id="405"/>
      <w:r>
        <w:rPr>
          <w:color w:val="auto"/>
        </w:rPr>
        <w:br w:type="page"/>
      </w:r>
    </w:p>
    <w:p w14:paraId="2A6D412F">
      <w:pPr>
        <w:jc w:val="center"/>
        <w:rPr>
          <w:rFonts w:hint="eastAsia" w:ascii="宋体" w:hAnsi="宋体" w:eastAsia="宋体" w:cs="宋体"/>
          <w:b/>
          <w:bCs/>
          <w:color w:val="auto"/>
          <w:spacing w:val="4"/>
          <w:sz w:val="32"/>
          <w:szCs w:val="32"/>
          <w:highlight w:val="none"/>
          <w:lang w:eastAsia="zh-CN"/>
        </w:rPr>
      </w:pPr>
      <w:r>
        <w:rPr>
          <w:rFonts w:hint="eastAsia" w:ascii="宋体" w:hAnsi="宋体" w:eastAsia="宋体" w:cs="宋体"/>
          <w:b/>
          <w:bCs/>
          <w:color w:val="auto"/>
          <w:spacing w:val="4"/>
          <w:sz w:val="32"/>
          <w:szCs w:val="32"/>
          <w:highlight w:val="none"/>
          <w:lang w:eastAsia="zh-CN"/>
        </w:rPr>
        <w:t>工程量清单</w:t>
      </w:r>
    </w:p>
    <w:p w14:paraId="423F6C57">
      <w:pPr>
        <w:jc w:val="center"/>
        <w:rPr>
          <w:rFonts w:hint="eastAsia" w:ascii="宋体" w:hAnsi="宋体" w:eastAsia="宋体" w:cs="宋体"/>
          <w:b/>
          <w:bCs/>
          <w:color w:val="auto"/>
          <w:spacing w:val="4"/>
          <w:sz w:val="43"/>
          <w:szCs w:val="43"/>
          <w:highlight w:val="none"/>
          <w:lang w:eastAsia="zh-CN"/>
        </w:rPr>
      </w:pPr>
      <w:r>
        <w:rPr>
          <w:rFonts w:hint="eastAsia" w:asciiTheme="majorEastAsia" w:hAnsiTheme="majorEastAsia" w:eastAsiaTheme="majorEastAsia" w:cstheme="majorEastAsia"/>
          <w:b/>
          <w:bCs/>
          <w:color w:val="auto"/>
          <w:spacing w:val="6"/>
          <w:sz w:val="31"/>
          <w:szCs w:val="31"/>
          <w:highlight w:val="none"/>
          <w:lang w:eastAsia="zh-CN"/>
        </w:rPr>
        <w:t>（另册）</w:t>
      </w:r>
    </w:p>
    <w:p w14:paraId="640600D6">
      <w:pPr>
        <w:rPr>
          <w:rFonts w:hint="eastAsia" w:ascii="宋体" w:hAnsi="宋体" w:eastAsia="宋体" w:cs="宋体"/>
          <w:b/>
          <w:bCs/>
          <w:color w:val="auto"/>
          <w:spacing w:val="4"/>
          <w:sz w:val="32"/>
          <w:szCs w:val="32"/>
          <w:highlight w:val="none"/>
          <w:lang w:eastAsia="zh-CN"/>
        </w:rPr>
      </w:pPr>
      <w:r>
        <w:rPr>
          <w:rFonts w:hint="eastAsia" w:ascii="宋体" w:hAnsi="宋体" w:eastAsia="宋体" w:cs="宋体"/>
          <w:b/>
          <w:bCs/>
          <w:color w:val="auto"/>
          <w:spacing w:val="4"/>
          <w:sz w:val="32"/>
          <w:szCs w:val="32"/>
          <w:highlight w:val="none"/>
          <w:lang w:eastAsia="zh-CN"/>
        </w:rPr>
        <w:br w:type="page"/>
      </w:r>
    </w:p>
    <w:p w14:paraId="7E9263C9">
      <w:pPr>
        <w:jc w:val="center"/>
        <w:rPr>
          <w:rFonts w:hint="eastAsia" w:ascii="宋体" w:hAnsi="宋体" w:eastAsia="宋体" w:cs="宋体"/>
          <w:b/>
          <w:bCs/>
          <w:color w:val="auto"/>
          <w:spacing w:val="4"/>
          <w:sz w:val="32"/>
          <w:szCs w:val="32"/>
          <w:highlight w:val="none"/>
          <w:lang w:eastAsia="zh-CN"/>
        </w:rPr>
      </w:pPr>
      <w:r>
        <w:rPr>
          <w:rFonts w:hint="eastAsia" w:ascii="宋体" w:hAnsi="宋体" w:eastAsia="宋体" w:cs="宋体"/>
          <w:b/>
          <w:bCs/>
          <w:color w:val="auto"/>
          <w:spacing w:val="4"/>
          <w:sz w:val="32"/>
          <w:szCs w:val="32"/>
          <w:highlight w:val="none"/>
          <w:lang w:eastAsia="zh-CN"/>
        </w:rPr>
        <w:t>图纸</w:t>
      </w:r>
    </w:p>
    <w:p w14:paraId="231F3B0D">
      <w:pPr>
        <w:jc w:val="center"/>
        <w:rPr>
          <w:rFonts w:hint="eastAsia" w:asciiTheme="majorEastAsia" w:hAnsiTheme="majorEastAsia" w:eastAsiaTheme="majorEastAsia" w:cstheme="majorEastAsia"/>
          <w:b/>
          <w:bCs/>
          <w:color w:val="auto"/>
          <w:spacing w:val="6"/>
          <w:sz w:val="31"/>
          <w:szCs w:val="31"/>
          <w:highlight w:val="none"/>
        </w:rPr>
      </w:pPr>
      <w:r>
        <w:rPr>
          <w:rFonts w:hint="eastAsia" w:asciiTheme="majorEastAsia" w:hAnsiTheme="majorEastAsia" w:eastAsiaTheme="majorEastAsia" w:cstheme="majorEastAsia"/>
          <w:b/>
          <w:bCs/>
          <w:color w:val="auto"/>
          <w:spacing w:val="6"/>
          <w:sz w:val="31"/>
          <w:szCs w:val="31"/>
          <w:highlight w:val="none"/>
          <w:lang w:eastAsia="zh-CN"/>
        </w:rPr>
        <w:t>（另册）</w:t>
      </w:r>
      <w:r>
        <w:rPr>
          <w:rFonts w:hint="eastAsia" w:asciiTheme="majorEastAsia" w:hAnsiTheme="majorEastAsia" w:eastAsiaTheme="majorEastAsia" w:cstheme="majorEastAsia"/>
          <w:b/>
          <w:bCs/>
          <w:color w:val="auto"/>
          <w:spacing w:val="6"/>
          <w:sz w:val="31"/>
          <w:szCs w:val="31"/>
          <w:highlight w:val="none"/>
        </w:rPr>
        <w:br w:type="page"/>
      </w:r>
    </w:p>
    <w:p w14:paraId="696122C8">
      <w:pPr>
        <w:jc w:val="center"/>
        <w:rPr>
          <w:rFonts w:hint="eastAsia" w:asciiTheme="majorEastAsia" w:hAnsiTheme="majorEastAsia" w:eastAsiaTheme="majorEastAsia" w:cstheme="majorEastAsia"/>
          <w:b/>
          <w:bCs/>
          <w:color w:val="auto"/>
          <w:spacing w:val="6"/>
          <w:sz w:val="31"/>
          <w:szCs w:val="31"/>
          <w:highlight w:val="none"/>
        </w:rPr>
      </w:pPr>
      <w:r>
        <w:rPr>
          <w:rFonts w:hint="eastAsia" w:asciiTheme="majorEastAsia" w:hAnsiTheme="majorEastAsia" w:eastAsiaTheme="majorEastAsia" w:cstheme="majorEastAsia"/>
          <w:b/>
          <w:bCs/>
          <w:color w:val="auto"/>
          <w:spacing w:val="6"/>
          <w:sz w:val="31"/>
          <w:szCs w:val="31"/>
          <w:highlight w:val="none"/>
        </w:rPr>
        <w:t>第五章 响应文件格式</w:t>
      </w:r>
    </w:p>
    <w:p w14:paraId="07784FDA">
      <w:pPr>
        <w:spacing w:before="107" w:line="536" w:lineRule="exact"/>
        <w:jc w:val="right"/>
        <w:rPr>
          <w:rFonts w:ascii="宋体" w:hAnsi="宋体" w:eastAsia="宋体" w:cs="宋体"/>
          <w:color w:val="auto"/>
          <w:sz w:val="40"/>
          <w:szCs w:val="40"/>
          <w:highlight w:val="none"/>
        </w:rPr>
      </w:pPr>
      <w:r>
        <w:rPr>
          <w:rFonts w:ascii="宋体" w:hAnsi="宋体" w:eastAsia="宋体" w:cs="宋体"/>
          <w:b/>
          <w:bCs/>
          <w:color w:val="auto"/>
          <w:spacing w:val="4"/>
          <w:sz w:val="43"/>
          <w:szCs w:val="43"/>
          <w:highlight w:val="none"/>
        </w:rPr>
        <w:br w:type="page"/>
      </w:r>
      <w:r>
        <w:rPr>
          <w:rFonts w:ascii="宋体" w:hAnsi="宋体" w:eastAsia="宋体" w:cs="宋体"/>
          <w:color w:val="auto"/>
          <w:spacing w:val="-5"/>
          <w:position w:val="2"/>
          <w:sz w:val="40"/>
          <w:szCs w:val="40"/>
          <w:highlight w:val="none"/>
        </w:rPr>
        <w:t>正本</w:t>
      </w:r>
      <w:r>
        <w:rPr>
          <w:rFonts w:ascii="Calibri" w:hAnsi="Calibri" w:eastAsia="Calibri" w:cs="Calibri"/>
          <w:color w:val="auto"/>
          <w:spacing w:val="-5"/>
          <w:position w:val="2"/>
          <w:sz w:val="40"/>
          <w:szCs w:val="40"/>
          <w:highlight w:val="none"/>
        </w:rPr>
        <w:t>/</w:t>
      </w:r>
      <w:r>
        <w:rPr>
          <w:rFonts w:ascii="宋体" w:hAnsi="宋体" w:eastAsia="宋体" w:cs="宋体"/>
          <w:color w:val="auto"/>
          <w:spacing w:val="-5"/>
          <w:position w:val="2"/>
          <w:sz w:val="40"/>
          <w:szCs w:val="40"/>
          <w:highlight w:val="none"/>
        </w:rPr>
        <w:t>副本</w:t>
      </w:r>
    </w:p>
    <w:p w14:paraId="66E34089">
      <w:pPr>
        <w:pStyle w:val="8"/>
        <w:spacing w:line="247" w:lineRule="auto"/>
        <w:rPr>
          <w:color w:val="auto"/>
          <w:highlight w:val="none"/>
        </w:rPr>
      </w:pPr>
    </w:p>
    <w:p w14:paraId="7CA93D2A">
      <w:pPr>
        <w:pStyle w:val="8"/>
        <w:spacing w:line="247" w:lineRule="auto"/>
        <w:rPr>
          <w:color w:val="auto"/>
          <w:highlight w:val="none"/>
        </w:rPr>
      </w:pPr>
    </w:p>
    <w:p w14:paraId="7A5332EA">
      <w:pPr>
        <w:pStyle w:val="8"/>
        <w:spacing w:line="247" w:lineRule="auto"/>
        <w:rPr>
          <w:color w:val="auto"/>
          <w:highlight w:val="none"/>
        </w:rPr>
      </w:pPr>
    </w:p>
    <w:p w14:paraId="3470EA8E">
      <w:pPr>
        <w:pStyle w:val="8"/>
        <w:spacing w:line="247" w:lineRule="auto"/>
        <w:rPr>
          <w:color w:val="auto"/>
          <w:highlight w:val="none"/>
        </w:rPr>
      </w:pPr>
    </w:p>
    <w:p w14:paraId="30F2E4CD">
      <w:pPr>
        <w:pStyle w:val="8"/>
        <w:spacing w:line="248" w:lineRule="auto"/>
        <w:rPr>
          <w:color w:val="auto"/>
          <w:highlight w:val="none"/>
        </w:rPr>
      </w:pPr>
    </w:p>
    <w:p w14:paraId="4A783189">
      <w:pPr>
        <w:pStyle w:val="8"/>
        <w:spacing w:line="248" w:lineRule="auto"/>
        <w:rPr>
          <w:color w:val="auto"/>
          <w:highlight w:val="none"/>
        </w:rPr>
      </w:pPr>
    </w:p>
    <w:p w14:paraId="076B7597">
      <w:pPr>
        <w:pStyle w:val="8"/>
        <w:spacing w:line="248" w:lineRule="auto"/>
        <w:rPr>
          <w:color w:val="auto"/>
          <w:highlight w:val="none"/>
        </w:rPr>
      </w:pPr>
    </w:p>
    <w:p w14:paraId="4753964A">
      <w:pPr>
        <w:tabs>
          <w:tab w:val="left" w:pos="6155"/>
        </w:tabs>
        <w:spacing w:before="91" w:line="221" w:lineRule="auto"/>
        <w:ind w:left="974"/>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（项目名称）</w:t>
      </w:r>
    </w:p>
    <w:p w14:paraId="19674DEF">
      <w:pPr>
        <w:pStyle w:val="8"/>
        <w:spacing w:line="266" w:lineRule="auto"/>
        <w:rPr>
          <w:color w:val="auto"/>
          <w:highlight w:val="none"/>
        </w:rPr>
      </w:pPr>
    </w:p>
    <w:p w14:paraId="51239663">
      <w:pPr>
        <w:pStyle w:val="8"/>
        <w:spacing w:line="266" w:lineRule="auto"/>
        <w:rPr>
          <w:color w:val="auto"/>
          <w:highlight w:val="none"/>
        </w:rPr>
      </w:pPr>
    </w:p>
    <w:p w14:paraId="6CF37A55">
      <w:pPr>
        <w:pStyle w:val="8"/>
        <w:spacing w:line="266" w:lineRule="auto"/>
        <w:rPr>
          <w:color w:val="auto"/>
          <w:highlight w:val="none"/>
        </w:rPr>
      </w:pPr>
    </w:p>
    <w:p w14:paraId="5DC3898F">
      <w:pPr>
        <w:pStyle w:val="8"/>
        <w:spacing w:line="266" w:lineRule="auto"/>
        <w:rPr>
          <w:color w:val="auto"/>
          <w:highlight w:val="none"/>
        </w:rPr>
      </w:pPr>
    </w:p>
    <w:p w14:paraId="124F0809">
      <w:pPr>
        <w:pStyle w:val="8"/>
        <w:spacing w:line="267" w:lineRule="auto"/>
        <w:rPr>
          <w:color w:val="auto"/>
          <w:highlight w:val="none"/>
        </w:rPr>
      </w:pPr>
    </w:p>
    <w:p w14:paraId="0CA89437">
      <w:pPr>
        <w:pStyle w:val="8"/>
        <w:spacing w:line="267" w:lineRule="auto"/>
        <w:rPr>
          <w:color w:val="auto"/>
          <w:highlight w:val="none"/>
        </w:rPr>
      </w:pPr>
    </w:p>
    <w:p w14:paraId="72E6F2F6">
      <w:pPr>
        <w:pStyle w:val="8"/>
        <w:spacing w:line="267" w:lineRule="auto"/>
        <w:rPr>
          <w:color w:val="auto"/>
          <w:highlight w:val="none"/>
        </w:rPr>
      </w:pPr>
    </w:p>
    <w:p w14:paraId="7F590356">
      <w:pPr>
        <w:spacing w:before="231" w:line="222" w:lineRule="auto"/>
        <w:ind w:left="2790"/>
        <w:rPr>
          <w:rFonts w:ascii="宋体" w:hAnsi="宋体" w:eastAsia="宋体" w:cs="宋体"/>
          <w:color w:val="auto"/>
          <w:sz w:val="71"/>
          <w:szCs w:val="71"/>
          <w:highlight w:val="none"/>
        </w:rPr>
      </w:pPr>
      <w:r>
        <w:rPr>
          <w:rFonts w:ascii="宋体" w:hAnsi="宋体" w:eastAsia="宋体" w:cs="宋体"/>
          <w:color w:val="auto"/>
          <w:spacing w:val="-7"/>
          <w:sz w:val="71"/>
          <w:szCs w:val="71"/>
          <w:highlight w:val="none"/>
        </w:rPr>
        <w:t>响应文件</w:t>
      </w:r>
    </w:p>
    <w:p w14:paraId="5A981F3E">
      <w:pPr>
        <w:pStyle w:val="8"/>
        <w:spacing w:line="388" w:lineRule="auto"/>
        <w:rPr>
          <w:color w:val="auto"/>
          <w:highlight w:val="none"/>
        </w:rPr>
      </w:pPr>
    </w:p>
    <w:p w14:paraId="794FB0B4">
      <w:pPr>
        <w:spacing w:before="91" w:line="219" w:lineRule="auto"/>
        <w:ind w:left="319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采购项目编号：</w:t>
      </w:r>
    </w:p>
    <w:p w14:paraId="3AA0A342">
      <w:pPr>
        <w:pStyle w:val="8"/>
        <w:spacing w:line="246" w:lineRule="auto"/>
        <w:rPr>
          <w:color w:val="auto"/>
          <w:highlight w:val="none"/>
        </w:rPr>
      </w:pPr>
    </w:p>
    <w:p w14:paraId="61781034">
      <w:pPr>
        <w:pStyle w:val="8"/>
        <w:spacing w:line="246" w:lineRule="auto"/>
        <w:rPr>
          <w:color w:val="auto"/>
          <w:highlight w:val="none"/>
        </w:rPr>
      </w:pPr>
    </w:p>
    <w:p w14:paraId="259C8693">
      <w:pPr>
        <w:pStyle w:val="8"/>
        <w:spacing w:line="247" w:lineRule="auto"/>
        <w:rPr>
          <w:color w:val="auto"/>
          <w:highlight w:val="none"/>
        </w:rPr>
      </w:pPr>
    </w:p>
    <w:p w14:paraId="53FDE4A9">
      <w:pPr>
        <w:pStyle w:val="8"/>
        <w:spacing w:line="247" w:lineRule="auto"/>
        <w:rPr>
          <w:color w:val="auto"/>
          <w:highlight w:val="none"/>
        </w:rPr>
      </w:pPr>
    </w:p>
    <w:p w14:paraId="1D28E6FE">
      <w:pPr>
        <w:pStyle w:val="8"/>
        <w:spacing w:line="247" w:lineRule="auto"/>
        <w:rPr>
          <w:color w:val="auto"/>
          <w:highlight w:val="none"/>
        </w:rPr>
      </w:pPr>
    </w:p>
    <w:p w14:paraId="187F864E">
      <w:pPr>
        <w:pStyle w:val="8"/>
        <w:spacing w:line="247" w:lineRule="auto"/>
        <w:rPr>
          <w:color w:val="auto"/>
          <w:highlight w:val="none"/>
        </w:rPr>
      </w:pPr>
    </w:p>
    <w:p w14:paraId="69057719">
      <w:pPr>
        <w:pStyle w:val="8"/>
        <w:spacing w:line="247" w:lineRule="auto"/>
        <w:rPr>
          <w:color w:val="auto"/>
          <w:highlight w:val="none"/>
        </w:rPr>
      </w:pPr>
    </w:p>
    <w:p w14:paraId="624026AD">
      <w:pPr>
        <w:pStyle w:val="8"/>
        <w:spacing w:line="247" w:lineRule="auto"/>
        <w:rPr>
          <w:color w:val="auto"/>
          <w:highlight w:val="none"/>
        </w:rPr>
      </w:pPr>
    </w:p>
    <w:p w14:paraId="3CC42F6A">
      <w:pPr>
        <w:pStyle w:val="8"/>
        <w:spacing w:line="247" w:lineRule="auto"/>
        <w:rPr>
          <w:color w:val="auto"/>
          <w:highlight w:val="none"/>
        </w:rPr>
      </w:pPr>
    </w:p>
    <w:p w14:paraId="57165065">
      <w:pPr>
        <w:pStyle w:val="8"/>
        <w:spacing w:line="247" w:lineRule="auto"/>
        <w:rPr>
          <w:color w:val="auto"/>
          <w:highlight w:val="none"/>
        </w:rPr>
      </w:pPr>
    </w:p>
    <w:p w14:paraId="5DE2DBD8">
      <w:pPr>
        <w:pStyle w:val="8"/>
        <w:spacing w:line="247" w:lineRule="auto"/>
        <w:rPr>
          <w:color w:val="auto"/>
          <w:highlight w:val="none"/>
        </w:rPr>
      </w:pPr>
    </w:p>
    <w:p w14:paraId="4EE797E7">
      <w:pPr>
        <w:pStyle w:val="8"/>
        <w:spacing w:line="247" w:lineRule="auto"/>
        <w:rPr>
          <w:color w:val="auto"/>
          <w:highlight w:val="none"/>
        </w:rPr>
      </w:pPr>
    </w:p>
    <w:p w14:paraId="7280880B">
      <w:pPr>
        <w:pStyle w:val="8"/>
        <w:spacing w:line="247" w:lineRule="auto"/>
        <w:rPr>
          <w:color w:val="auto"/>
          <w:highlight w:val="none"/>
        </w:rPr>
      </w:pPr>
    </w:p>
    <w:p w14:paraId="27BC5573">
      <w:pPr>
        <w:pStyle w:val="8"/>
        <w:spacing w:line="247" w:lineRule="auto"/>
        <w:rPr>
          <w:color w:val="auto"/>
          <w:highlight w:val="none"/>
        </w:rPr>
      </w:pPr>
    </w:p>
    <w:p w14:paraId="36833EA6">
      <w:pPr>
        <w:pStyle w:val="8"/>
        <w:spacing w:line="247" w:lineRule="auto"/>
        <w:rPr>
          <w:color w:val="auto"/>
          <w:highlight w:val="none"/>
        </w:rPr>
      </w:pPr>
    </w:p>
    <w:p w14:paraId="60DA0B9E">
      <w:pPr>
        <w:pStyle w:val="8"/>
        <w:spacing w:line="247" w:lineRule="auto"/>
        <w:rPr>
          <w:color w:val="auto"/>
          <w:highlight w:val="none"/>
        </w:rPr>
      </w:pPr>
    </w:p>
    <w:p w14:paraId="1EC57153">
      <w:pPr>
        <w:pStyle w:val="8"/>
        <w:spacing w:line="247" w:lineRule="auto"/>
        <w:rPr>
          <w:color w:val="auto"/>
          <w:highlight w:val="none"/>
        </w:rPr>
      </w:pPr>
    </w:p>
    <w:p w14:paraId="5BB01B1F">
      <w:pPr>
        <w:spacing w:before="91" w:line="219" w:lineRule="auto"/>
        <w:ind w:left="469"/>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供应商</w:t>
      </w:r>
      <w:r>
        <w:rPr>
          <w:rFonts w:ascii="宋体" w:hAnsi="宋体" w:eastAsia="宋体" w:cs="宋体"/>
          <w:color w:val="auto"/>
          <w:spacing w:val="-19"/>
          <w:sz w:val="28"/>
          <w:szCs w:val="28"/>
          <w:highlight w:val="none"/>
        </w:rPr>
        <w:t>：</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9"/>
          <w:sz w:val="28"/>
          <w:szCs w:val="28"/>
          <w:highlight w:val="none"/>
        </w:rPr>
        <w:t>（</w:t>
      </w:r>
      <w:r>
        <w:rPr>
          <w:rFonts w:ascii="宋体" w:hAnsi="宋体" w:eastAsia="宋体" w:cs="宋体"/>
          <w:color w:val="auto"/>
          <w:spacing w:val="3"/>
          <w:sz w:val="28"/>
          <w:szCs w:val="28"/>
          <w:highlight w:val="none"/>
        </w:rPr>
        <w:t>盖单位章）</w:t>
      </w:r>
    </w:p>
    <w:p w14:paraId="67E8AD96">
      <w:pPr>
        <w:spacing w:before="212" w:line="220" w:lineRule="auto"/>
        <w:ind w:left="42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4"/>
          <w:sz w:val="28"/>
          <w:szCs w:val="28"/>
          <w:highlight w:val="none"/>
        </w:rPr>
        <w:t>：</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4"/>
          <w:sz w:val="28"/>
          <w:szCs w:val="28"/>
          <w:highlight w:val="none"/>
        </w:rPr>
        <w:t>（</w:t>
      </w:r>
      <w:r>
        <w:rPr>
          <w:rFonts w:ascii="宋体" w:hAnsi="宋体" w:eastAsia="宋体" w:cs="宋体"/>
          <w:color w:val="auto"/>
          <w:spacing w:val="1"/>
          <w:sz w:val="28"/>
          <w:szCs w:val="28"/>
          <w:highlight w:val="none"/>
        </w:rPr>
        <w:t>签字）</w:t>
      </w:r>
    </w:p>
    <w:p w14:paraId="1BD9D157">
      <w:pPr>
        <w:tabs>
          <w:tab w:val="left" w:pos="3186"/>
        </w:tabs>
        <w:spacing w:before="211" w:line="220" w:lineRule="auto"/>
        <w:ind w:left="2066"/>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26"/>
          <w:sz w:val="28"/>
          <w:szCs w:val="28"/>
          <w:highlight w:val="none"/>
        </w:rPr>
        <w:t xml:space="preserve"> </w:t>
      </w:r>
      <w:r>
        <w:rPr>
          <w:rFonts w:ascii="宋体" w:hAnsi="宋体" w:eastAsia="宋体" w:cs="宋体"/>
          <w:color w:val="auto"/>
          <w:spacing w:val="-10"/>
          <w:sz w:val="28"/>
          <w:szCs w:val="28"/>
          <w:highlight w:val="none"/>
        </w:rPr>
        <w:t>年</w:t>
      </w:r>
      <w:r>
        <w:rPr>
          <w:rFonts w:ascii="宋体" w:hAnsi="宋体" w:eastAsia="宋体" w:cs="宋体"/>
          <w:color w:val="auto"/>
          <w:spacing w:val="19"/>
          <w:sz w:val="28"/>
          <w:szCs w:val="28"/>
          <w:highlight w:val="none"/>
          <w:u w:val="single" w:color="auto"/>
        </w:rPr>
        <w:t xml:space="preserve">       </w:t>
      </w:r>
      <w:r>
        <w:rPr>
          <w:rFonts w:ascii="宋体" w:hAnsi="宋体" w:eastAsia="宋体" w:cs="宋体"/>
          <w:color w:val="auto"/>
          <w:spacing w:val="-117"/>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81"/>
          <w:sz w:val="28"/>
          <w:szCs w:val="28"/>
          <w:highlight w:val="none"/>
        </w:rPr>
        <w:t xml:space="preserve"> </w:t>
      </w:r>
      <w:r>
        <w:rPr>
          <w:rFonts w:ascii="宋体" w:hAnsi="宋体" w:eastAsia="宋体" w:cs="宋体"/>
          <w:color w:val="auto"/>
          <w:spacing w:val="-10"/>
          <w:sz w:val="28"/>
          <w:szCs w:val="28"/>
          <w:highlight w:val="none"/>
        </w:rPr>
        <w:t>日</w:t>
      </w:r>
    </w:p>
    <w:p w14:paraId="4BDCB982">
      <w:pPr>
        <w:spacing w:line="220" w:lineRule="auto"/>
        <w:rPr>
          <w:rFonts w:ascii="宋体" w:hAnsi="宋体" w:eastAsia="宋体" w:cs="宋体"/>
          <w:color w:val="auto"/>
          <w:sz w:val="28"/>
          <w:szCs w:val="28"/>
          <w:highlight w:val="none"/>
        </w:rPr>
        <w:sectPr>
          <w:footerReference r:id="rId12" w:type="default"/>
          <w:pgSz w:w="11906" w:h="16839"/>
          <w:pgMar w:top="1426" w:right="1360" w:bottom="1156" w:left="1785" w:header="0" w:footer="994" w:gutter="0"/>
          <w:pgNumType w:fmt="decimal"/>
          <w:cols w:space="720" w:num="1"/>
        </w:sectPr>
      </w:pPr>
    </w:p>
    <w:p w14:paraId="2C5BF9D2">
      <w:pPr>
        <w:spacing w:before="88" w:line="225" w:lineRule="auto"/>
        <w:ind w:left="3607"/>
        <w:rPr>
          <w:rFonts w:ascii="宋体" w:hAnsi="宋体" w:eastAsia="宋体" w:cs="宋体"/>
          <w:color w:val="auto"/>
          <w:sz w:val="43"/>
          <w:szCs w:val="43"/>
          <w:highlight w:val="none"/>
        </w:rPr>
      </w:pPr>
      <w:r>
        <w:rPr>
          <w:rFonts w:ascii="宋体" w:hAnsi="宋体" w:eastAsia="宋体" w:cs="宋体"/>
          <w:color w:val="auto"/>
          <w:spacing w:val="-46"/>
          <w:sz w:val="43"/>
          <w:szCs w:val="43"/>
          <w:highlight w:val="none"/>
        </w:rPr>
        <w:t>目</w:t>
      </w:r>
      <w:r>
        <w:rPr>
          <w:rFonts w:ascii="宋体" w:hAnsi="宋体" w:eastAsia="宋体" w:cs="宋体"/>
          <w:color w:val="auto"/>
          <w:spacing w:val="15"/>
          <w:sz w:val="43"/>
          <w:szCs w:val="43"/>
          <w:highlight w:val="none"/>
        </w:rPr>
        <w:t xml:space="preserve">  </w:t>
      </w:r>
      <w:r>
        <w:rPr>
          <w:rFonts w:ascii="宋体" w:hAnsi="宋体" w:eastAsia="宋体" w:cs="宋体"/>
          <w:color w:val="auto"/>
          <w:spacing w:val="-46"/>
          <w:sz w:val="43"/>
          <w:szCs w:val="43"/>
          <w:highlight w:val="none"/>
        </w:rPr>
        <w:t>录</w:t>
      </w:r>
    </w:p>
    <w:p w14:paraId="1F68AD05">
      <w:pPr>
        <w:pStyle w:val="8"/>
        <w:spacing w:line="277" w:lineRule="auto"/>
        <w:rPr>
          <w:color w:val="auto"/>
          <w:highlight w:val="none"/>
        </w:rPr>
      </w:pPr>
    </w:p>
    <w:p w14:paraId="4515E60C">
      <w:pPr>
        <w:pStyle w:val="8"/>
        <w:spacing w:line="277" w:lineRule="auto"/>
        <w:rPr>
          <w:color w:val="auto"/>
          <w:highlight w:val="none"/>
        </w:rPr>
      </w:pPr>
    </w:p>
    <w:p w14:paraId="0A70B376">
      <w:pPr>
        <w:pStyle w:val="8"/>
        <w:spacing w:line="277" w:lineRule="auto"/>
        <w:rPr>
          <w:color w:val="auto"/>
          <w:highlight w:val="none"/>
        </w:rPr>
      </w:pPr>
    </w:p>
    <w:p w14:paraId="18B8D593">
      <w:pPr>
        <w:pStyle w:val="8"/>
        <w:spacing w:line="277" w:lineRule="auto"/>
        <w:rPr>
          <w:color w:val="auto"/>
          <w:highlight w:val="none"/>
        </w:rPr>
      </w:pPr>
    </w:p>
    <w:p w14:paraId="35C193DA">
      <w:pPr>
        <w:pStyle w:val="8"/>
        <w:spacing w:line="278" w:lineRule="auto"/>
        <w:rPr>
          <w:color w:val="auto"/>
          <w:highlight w:val="none"/>
        </w:rPr>
      </w:pPr>
    </w:p>
    <w:p w14:paraId="75D684A4">
      <w:pPr>
        <w:spacing w:before="78" w:line="219" w:lineRule="auto"/>
        <w:ind w:left="33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要求自行编制目录，编制对应页码，并且目录页</w:t>
      </w:r>
      <w:r>
        <w:rPr>
          <w:rFonts w:ascii="宋体" w:hAnsi="宋体" w:eastAsia="宋体" w:cs="宋体"/>
          <w:color w:val="auto"/>
          <w:sz w:val="24"/>
          <w:szCs w:val="24"/>
          <w:highlight w:val="none"/>
          <w:u w:val="single" w:color="auto"/>
        </w:rPr>
        <w:t>码与文件中页码相对应。</w:t>
      </w:r>
    </w:p>
    <w:p w14:paraId="77F70870">
      <w:pPr>
        <w:spacing w:line="219" w:lineRule="auto"/>
        <w:rPr>
          <w:rFonts w:ascii="宋体" w:hAnsi="宋体" w:eastAsia="宋体" w:cs="宋体"/>
          <w:color w:val="auto"/>
          <w:sz w:val="24"/>
          <w:szCs w:val="24"/>
          <w:highlight w:val="none"/>
        </w:rPr>
        <w:sectPr>
          <w:footerReference r:id="rId13" w:type="default"/>
          <w:pgSz w:w="11906" w:h="16839"/>
          <w:pgMar w:top="1338" w:right="1785" w:bottom="1156" w:left="1785" w:header="0" w:footer="994" w:gutter="0"/>
          <w:pgNumType w:fmt="decimal"/>
          <w:cols w:space="720" w:num="1"/>
        </w:sectPr>
      </w:pPr>
    </w:p>
    <w:p w14:paraId="299C12E8">
      <w:pPr>
        <w:spacing w:before="47" w:line="218" w:lineRule="auto"/>
        <w:ind w:left="408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报价函</w:t>
      </w:r>
    </w:p>
    <w:p w14:paraId="2829642D">
      <w:pPr>
        <w:pStyle w:val="8"/>
        <w:spacing w:line="388" w:lineRule="auto"/>
        <w:rPr>
          <w:color w:val="auto"/>
          <w:highlight w:val="none"/>
        </w:rPr>
      </w:pPr>
    </w:p>
    <w:p w14:paraId="5020E81F">
      <w:pPr>
        <w:spacing w:before="65" w:line="227" w:lineRule="auto"/>
        <w:ind w:left="421"/>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致</w:t>
      </w:r>
      <w:r>
        <w:rPr>
          <w:rFonts w:ascii="宋体" w:hAnsi="宋体" w:eastAsia="宋体" w:cs="宋体"/>
          <w:color w:val="auto"/>
          <w:spacing w:val="-22"/>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22"/>
          <w:sz w:val="20"/>
          <w:szCs w:val="20"/>
          <w:highlight w:val="none"/>
          <w:u w:val="single" w:color="auto"/>
        </w:rPr>
        <w:t>（</w:t>
      </w:r>
      <w:r>
        <w:rPr>
          <w:rFonts w:ascii="宋体" w:hAnsi="宋体" w:eastAsia="宋体" w:cs="宋体"/>
          <w:color w:val="auto"/>
          <w:spacing w:val="15"/>
          <w:sz w:val="20"/>
          <w:szCs w:val="20"/>
          <w:highlight w:val="none"/>
          <w:u w:val="single" w:color="auto"/>
        </w:rPr>
        <w:t>采购人全称）</w:t>
      </w:r>
      <w:r>
        <w:rPr>
          <w:rFonts w:ascii="宋体" w:hAnsi="宋体" w:eastAsia="宋体" w:cs="宋体"/>
          <w:color w:val="auto"/>
          <w:sz w:val="20"/>
          <w:szCs w:val="20"/>
          <w:highlight w:val="none"/>
          <w:u w:val="single" w:color="auto"/>
        </w:rPr>
        <w:t xml:space="preserve">                       </w:t>
      </w:r>
    </w:p>
    <w:p w14:paraId="2830267A">
      <w:pPr>
        <w:spacing w:before="110" w:line="319" w:lineRule="auto"/>
        <w:ind w:left="3" w:firstLine="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xml:space="preserve">我单位收到贵公司  </w:t>
      </w:r>
      <w:r>
        <w:rPr>
          <w:rFonts w:ascii="宋体" w:hAnsi="宋体" w:eastAsia="宋体" w:cs="宋体"/>
          <w:color w:val="auto"/>
          <w:spacing w:val="4"/>
          <w:sz w:val="20"/>
          <w:szCs w:val="20"/>
          <w:highlight w:val="none"/>
          <w:u w:val="single" w:color="auto"/>
        </w:rPr>
        <w:t xml:space="preserve">（项目名称、采购项目编号）              </w:t>
      </w:r>
      <w:r>
        <w:rPr>
          <w:rFonts w:ascii="宋体" w:hAnsi="宋体" w:eastAsia="宋体" w:cs="宋体"/>
          <w:color w:val="auto"/>
          <w:spacing w:val="-89"/>
          <w:sz w:val="20"/>
          <w:szCs w:val="20"/>
          <w:highlight w:val="none"/>
        </w:rPr>
        <w:t xml:space="preserve"> </w:t>
      </w:r>
      <w:r>
        <w:rPr>
          <w:rFonts w:ascii="宋体" w:hAnsi="宋体" w:eastAsia="宋体" w:cs="宋体"/>
          <w:color w:val="auto"/>
          <w:spacing w:val="4"/>
          <w:sz w:val="20"/>
          <w:szCs w:val="20"/>
          <w:highlight w:val="none"/>
        </w:rPr>
        <w:t>竞争性磋商</w:t>
      </w:r>
      <w:r>
        <w:rPr>
          <w:rFonts w:ascii="宋体" w:hAnsi="宋体" w:eastAsia="宋体" w:cs="宋体"/>
          <w:color w:val="auto"/>
          <w:spacing w:val="3"/>
          <w:sz w:val="20"/>
          <w:szCs w:val="20"/>
          <w:highlight w:val="none"/>
        </w:rPr>
        <w:t>文件，经详细研究，</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我们决定参加组织</w:t>
      </w:r>
      <w:r>
        <w:rPr>
          <w:rFonts w:ascii="宋体" w:hAnsi="宋体" w:eastAsia="宋体" w:cs="宋体"/>
          <w:color w:val="auto"/>
          <w:spacing w:val="-91"/>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7"/>
          <w:sz w:val="20"/>
          <w:szCs w:val="20"/>
          <w:highlight w:val="none"/>
        </w:rPr>
        <w:t xml:space="preserve"> </w:t>
      </w:r>
      <w:r>
        <w:rPr>
          <w:rFonts w:ascii="宋体" w:hAnsi="宋体" w:eastAsia="宋体" w:cs="宋体"/>
          <w:color w:val="auto"/>
          <w:spacing w:val="5"/>
          <w:sz w:val="20"/>
          <w:szCs w:val="20"/>
          <w:highlight w:val="none"/>
        </w:rPr>
        <w:t>项目（采购项目编号为</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0"/>
          <w:sz w:val="20"/>
          <w:szCs w:val="20"/>
          <w:highlight w:val="none"/>
        </w:rPr>
        <w:t xml:space="preserve"> </w:t>
      </w:r>
      <w:r>
        <w:rPr>
          <w:rFonts w:ascii="宋体" w:hAnsi="宋体" w:eastAsia="宋体" w:cs="宋体"/>
          <w:color w:val="auto"/>
          <w:spacing w:val="5"/>
          <w:sz w:val="20"/>
          <w:szCs w:val="20"/>
          <w:highlight w:val="none"/>
        </w:rPr>
        <w:t>）的竞争性磋</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商活动，为此，我方着重声明如下：</w:t>
      </w:r>
    </w:p>
    <w:p w14:paraId="6AA2E221">
      <w:pPr>
        <w:spacing w:before="29" w:line="318" w:lineRule="auto"/>
        <w:ind w:left="18" w:right="53" w:firstLine="464"/>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 、我方愿意按照竞争性响应文件中的一切要求，按合同约定实施和完成承</w:t>
      </w:r>
      <w:r>
        <w:rPr>
          <w:rFonts w:ascii="宋体" w:hAnsi="宋体" w:eastAsia="宋体" w:cs="宋体"/>
          <w:color w:val="auto"/>
          <w:spacing w:val="6"/>
          <w:sz w:val="20"/>
          <w:szCs w:val="20"/>
          <w:highlight w:val="none"/>
        </w:rPr>
        <w:t>包工程，修补工程中</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的任何缺陷，工程质量达到</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。磋商报价为：</w:t>
      </w:r>
      <w:r>
        <w:rPr>
          <w:rFonts w:ascii="宋体" w:hAnsi="宋体" w:eastAsia="宋体" w:cs="宋体"/>
          <w:color w:val="auto"/>
          <w:spacing w:val="3"/>
          <w:sz w:val="20"/>
          <w:szCs w:val="20"/>
          <w:highlight w:val="none"/>
        </w:rPr>
        <w:t>人民币</w:t>
      </w:r>
      <w:r>
        <w:rPr>
          <w:rFonts w:hint="eastAsia" w:ascii="宋体" w:hAnsi="宋体" w:eastAsia="宋体" w:cs="宋体"/>
          <w:color w:val="auto"/>
          <w:spacing w:val="3"/>
          <w:sz w:val="20"/>
          <w:szCs w:val="20"/>
          <w:highlight w:val="none"/>
          <w:lang w:eastAsia="zh-CN"/>
        </w:rPr>
        <w:t>（</w:t>
      </w:r>
      <w:r>
        <w:rPr>
          <w:rFonts w:ascii="宋体" w:hAnsi="宋体" w:eastAsia="宋体" w:cs="宋体"/>
          <w:color w:val="auto"/>
          <w:spacing w:val="3"/>
          <w:sz w:val="20"/>
          <w:szCs w:val="20"/>
          <w:highlight w:val="none"/>
        </w:rPr>
        <w:t>大写</w:t>
      </w:r>
      <w:r>
        <w:rPr>
          <w:rFonts w:hint="eastAsia" w:ascii="宋体" w:hAnsi="宋体" w:eastAsia="宋体" w:cs="宋体"/>
          <w:color w:val="auto"/>
          <w:spacing w:val="3"/>
          <w:sz w:val="20"/>
          <w:szCs w:val="20"/>
          <w:highlight w:val="none"/>
          <w:lang w:eastAsia="zh-CN"/>
        </w:rPr>
        <w:t>）</w:t>
      </w:r>
      <w:r>
        <w:rPr>
          <w:rFonts w:ascii="Calibri" w:hAnsi="Calibri" w:eastAsia="Calibri" w:cs="Calibri"/>
          <w:color w:val="auto"/>
          <w:spacing w:val="-45"/>
          <w:sz w:val="20"/>
          <w:szCs w:val="20"/>
          <w:highlight w:val="none"/>
        </w:rPr>
        <w:t xml:space="preserve"> </w:t>
      </w:r>
      <w:r>
        <w:rPr>
          <w:rFonts w:ascii="Calibri" w:hAnsi="Calibri" w:eastAsia="Calibri" w:cs="Calibri"/>
          <w:color w:val="auto"/>
          <w:spacing w:val="1"/>
          <w:sz w:val="20"/>
          <w:szCs w:val="20"/>
          <w:highlight w:val="none"/>
          <w:u w:val="single" w:color="auto"/>
        </w:rPr>
        <w:t xml:space="preserve">                         </w:t>
      </w:r>
      <w:r>
        <w:rPr>
          <w:rFonts w:ascii="Calibri" w:hAnsi="Calibri" w:eastAsia="Calibri" w:cs="Calibri"/>
          <w:color w:val="auto"/>
          <w:spacing w:val="-35"/>
          <w:sz w:val="20"/>
          <w:szCs w:val="20"/>
          <w:highlight w:val="none"/>
        </w:rPr>
        <w:t xml:space="preserve"> </w:t>
      </w:r>
      <w:r>
        <w:rPr>
          <w:rFonts w:ascii="宋体" w:hAnsi="宋体" w:eastAsia="宋体" w:cs="宋体"/>
          <w:color w:val="auto"/>
          <w:spacing w:val="3"/>
          <w:sz w:val="20"/>
          <w:szCs w:val="20"/>
          <w:highlight w:val="none"/>
        </w:rPr>
        <w:t>元</w:t>
      </w:r>
      <w:r>
        <w:rPr>
          <w:rFonts w:hint="eastAsia" w:ascii="宋体" w:hAnsi="宋体" w:eastAsia="宋体" w:cs="宋体"/>
          <w:color w:val="auto"/>
          <w:spacing w:val="3"/>
          <w:sz w:val="20"/>
          <w:szCs w:val="20"/>
          <w:highlight w:val="none"/>
          <w:lang w:eastAsia="zh-CN"/>
        </w:rPr>
        <w:t>（</w:t>
      </w:r>
      <w:r>
        <w:rPr>
          <w:rFonts w:ascii="宋体" w:hAnsi="宋体" w:eastAsia="宋体" w:cs="宋体"/>
          <w:color w:val="auto"/>
          <w:spacing w:val="3"/>
          <w:sz w:val="20"/>
          <w:szCs w:val="20"/>
          <w:highlight w:val="none"/>
        </w:rPr>
        <w:t>￥</w:t>
      </w:r>
      <w:r>
        <w:rPr>
          <w:rFonts w:ascii="宋体" w:hAnsi="宋体" w:eastAsia="宋体" w:cs="宋体"/>
          <w:color w:val="auto"/>
          <w:spacing w:val="-80"/>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Calibri" w:hAnsi="Calibri" w:eastAsia="Calibri" w:cs="Calibri"/>
          <w:color w:val="auto"/>
          <w:spacing w:val="3"/>
          <w:sz w:val="20"/>
          <w:szCs w:val="20"/>
          <w:highlight w:val="none"/>
        </w:rPr>
        <w:t>)</w:t>
      </w:r>
      <w:r>
        <w:rPr>
          <w:rFonts w:ascii="Calibri" w:hAnsi="Calibri" w:eastAsia="Calibri" w:cs="Calibri"/>
          <w:color w:val="auto"/>
          <w:sz w:val="20"/>
          <w:szCs w:val="20"/>
          <w:highlight w:val="none"/>
        </w:rPr>
        <w:t xml:space="preserve"> </w:t>
      </w:r>
      <w:r>
        <w:rPr>
          <w:rFonts w:ascii="宋体" w:hAnsi="宋体" w:eastAsia="宋体" w:cs="宋体"/>
          <w:color w:val="auto"/>
          <w:spacing w:val="6"/>
          <w:sz w:val="20"/>
          <w:szCs w:val="20"/>
          <w:highlight w:val="none"/>
        </w:rPr>
        <w:t>的报价，合同履行期限：</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08315C9D">
      <w:pPr>
        <w:spacing w:before="38" w:line="315" w:lineRule="auto"/>
        <w:ind w:left="5" w:right="54" w:firstLine="47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 、我方承诺已经具备《中华人民共和国政府采购法》中规定的参加政府采购活动的供应</w:t>
      </w:r>
      <w:r>
        <w:rPr>
          <w:rFonts w:ascii="宋体" w:hAnsi="宋体" w:eastAsia="宋体" w:cs="宋体"/>
          <w:color w:val="auto"/>
          <w:spacing w:val="6"/>
          <w:sz w:val="20"/>
          <w:szCs w:val="20"/>
          <w:highlight w:val="none"/>
        </w:rPr>
        <w:t>商应当</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具备的条件：</w:t>
      </w:r>
    </w:p>
    <w:p w14:paraId="483A8254">
      <w:pPr>
        <w:spacing w:before="29" w:line="228" w:lineRule="auto"/>
        <w:ind w:left="531"/>
        <w:rPr>
          <w:rFonts w:ascii="宋体" w:hAnsi="宋体" w:eastAsia="宋体" w:cs="宋体"/>
          <w:color w:val="auto"/>
          <w:sz w:val="20"/>
          <w:szCs w:val="20"/>
          <w:highlight w:val="none"/>
        </w:rPr>
      </w:pPr>
      <w:r>
        <w:rPr>
          <w:rFonts w:ascii="宋体" w:hAnsi="宋体" w:eastAsia="宋体" w:cs="宋体"/>
          <w:color w:val="auto"/>
          <w:sz w:val="20"/>
          <w:szCs w:val="20"/>
          <w:highlight w:val="none"/>
        </w:rPr>
        <w:t>( 1 )</w:t>
      </w:r>
      <w:r>
        <w:rPr>
          <w:rFonts w:ascii="宋体" w:hAnsi="宋体" w:eastAsia="宋体" w:cs="宋体"/>
          <w:color w:val="auto"/>
          <w:spacing w:val="40"/>
          <w:sz w:val="20"/>
          <w:szCs w:val="20"/>
          <w:highlight w:val="none"/>
        </w:rPr>
        <w:t xml:space="preserve"> </w:t>
      </w:r>
      <w:r>
        <w:rPr>
          <w:rFonts w:ascii="宋体" w:hAnsi="宋体" w:eastAsia="宋体" w:cs="宋体"/>
          <w:color w:val="auto"/>
          <w:sz w:val="20"/>
          <w:szCs w:val="20"/>
          <w:highlight w:val="none"/>
        </w:rPr>
        <w:t>具有独立承担民事责任的能力；</w:t>
      </w:r>
    </w:p>
    <w:p w14:paraId="41A84DAB">
      <w:pPr>
        <w:spacing w:before="109" w:line="227" w:lineRule="auto"/>
        <w:ind w:left="53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( 2 )</w:t>
      </w:r>
      <w:r>
        <w:rPr>
          <w:rFonts w:ascii="宋体" w:hAnsi="宋体" w:eastAsia="宋体" w:cs="宋体"/>
          <w:color w:val="auto"/>
          <w:spacing w:val="50"/>
          <w:sz w:val="20"/>
          <w:szCs w:val="20"/>
          <w:highlight w:val="none"/>
        </w:rPr>
        <w:t xml:space="preserve"> </w:t>
      </w:r>
      <w:r>
        <w:rPr>
          <w:rFonts w:ascii="宋体" w:hAnsi="宋体" w:eastAsia="宋体" w:cs="宋体"/>
          <w:color w:val="auto"/>
          <w:spacing w:val="2"/>
          <w:sz w:val="20"/>
          <w:szCs w:val="20"/>
          <w:highlight w:val="none"/>
        </w:rPr>
        <w:t>具有良好的商业信誉和健全的财务会计制度；</w:t>
      </w:r>
    </w:p>
    <w:p w14:paraId="1040C5CD">
      <w:pPr>
        <w:spacing w:before="111" w:line="228" w:lineRule="auto"/>
        <w:ind w:left="53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( 3 )</w:t>
      </w:r>
      <w:r>
        <w:rPr>
          <w:rFonts w:ascii="宋体" w:hAnsi="宋体" w:eastAsia="宋体" w:cs="宋体"/>
          <w:color w:val="auto"/>
          <w:spacing w:val="50"/>
          <w:sz w:val="20"/>
          <w:szCs w:val="20"/>
          <w:highlight w:val="none"/>
        </w:rPr>
        <w:t xml:space="preserve"> </w:t>
      </w:r>
      <w:r>
        <w:rPr>
          <w:rFonts w:ascii="宋体" w:hAnsi="宋体" w:eastAsia="宋体" w:cs="宋体"/>
          <w:color w:val="auto"/>
          <w:spacing w:val="2"/>
          <w:sz w:val="20"/>
          <w:szCs w:val="20"/>
          <w:highlight w:val="none"/>
        </w:rPr>
        <w:t>具有履行合同所必需的设备和专业技术能力；</w:t>
      </w:r>
    </w:p>
    <w:p w14:paraId="4CA3186F">
      <w:pPr>
        <w:spacing w:before="109" w:line="227" w:lineRule="auto"/>
        <w:ind w:left="53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3"/>
          <w:sz w:val="20"/>
          <w:szCs w:val="20"/>
          <w:highlight w:val="none"/>
        </w:rPr>
        <w:t>4 )</w:t>
      </w:r>
      <w:r>
        <w:rPr>
          <w:rFonts w:ascii="宋体" w:hAnsi="宋体" w:eastAsia="宋体" w:cs="宋体"/>
          <w:color w:val="auto"/>
          <w:spacing w:val="29"/>
          <w:sz w:val="20"/>
          <w:szCs w:val="20"/>
          <w:highlight w:val="none"/>
        </w:rPr>
        <w:t xml:space="preserve"> </w:t>
      </w:r>
      <w:r>
        <w:rPr>
          <w:rFonts w:ascii="宋体" w:hAnsi="宋体" w:eastAsia="宋体" w:cs="宋体"/>
          <w:color w:val="auto"/>
          <w:spacing w:val="3"/>
          <w:sz w:val="20"/>
          <w:szCs w:val="20"/>
          <w:highlight w:val="none"/>
        </w:rPr>
        <w:t>有依法缴纳税收和社保保障资金的良好记录；</w:t>
      </w:r>
    </w:p>
    <w:p w14:paraId="1E140D96">
      <w:pPr>
        <w:spacing w:before="111" w:line="227" w:lineRule="auto"/>
        <w:ind w:left="53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( 5 )</w:t>
      </w:r>
      <w:r>
        <w:rPr>
          <w:rFonts w:ascii="宋体" w:hAnsi="宋体" w:eastAsia="宋体" w:cs="宋体"/>
          <w:color w:val="auto"/>
          <w:spacing w:val="48"/>
          <w:sz w:val="20"/>
          <w:szCs w:val="20"/>
          <w:highlight w:val="none"/>
        </w:rPr>
        <w:t xml:space="preserve"> </w:t>
      </w:r>
      <w:r>
        <w:rPr>
          <w:rFonts w:ascii="宋体" w:hAnsi="宋体" w:eastAsia="宋体" w:cs="宋体"/>
          <w:color w:val="auto"/>
          <w:spacing w:val="4"/>
          <w:sz w:val="20"/>
          <w:szCs w:val="20"/>
          <w:highlight w:val="none"/>
        </w:rPr>
        <w:t>参加此项采购活动前三年内，在经营活动中没有重大违法记录。</w:t>
      </w:r>
    </w:p>
    <w:p w14:paraId="6F883B03">
      <w:pPr>
        <w:spacing w:before="110" w:line="278" w:lineRule="auto"/>
        <w:ind w:left="466" w:right="1503" w:firstLine="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、提供磋商须知规定的全部响应文件，包括响应文</w:t>
      </w:r>
      <w:r>
        <w:rPr>
          <w:rFonts w:ascii="宋体" w:hAnsi="宋体" w:eastAsia="宋体" w:cs="宋体"/>
          <w:color w:val="auto"/>
          <w:spacing w:val="7"/>
          <w:sz w:val="20"/>
          <w:szCs w:val="20"/>
          <w:highlight w:val="none"/>
        </w:rPr>
        <w:t>件正本、副本和电子文档。</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4</w:t>
      </w:r>
      <w:r>
        <w:rPr>
          <w:rFonts w:ascii="宋体" w:hAnsi="宋体" w:eastAsia="宋体" w:cs="宋体"/>
          <w:color w:val="auto"/>
          <w:spacing w:val="-6"/>
          <w:sz w:val="20"/>
          <w:szCs w:val="20"/>
          <w:highlight w:val="none"/>
        </w:rPr>
        <w:t xml:space="preserve"> </w:t>
      </w:r>
      <w:r>
        <w:rPr>
          <w:rFonts w:ascii="宋体" w:hAnsi="宋体" w:eastAsia="宋体" w:cs="宋体"/>
          <w:color w:val="auto"/>
          <w:spacing w:val="8"/>
          <w:sz w:val="20"/>
          <w:szCs w:val="20"/>
          <w:highlight w:val="none"/>
        </w:rPr>
        <w:t>、按磋商文件要求提供和交付的工程的磋商报价详见报价一览表。</w:t>
      </w:r>
    </w:p>
    <w:p w14:paraId="26DCBF9A">
      <w:pPr>
        <w:spacing w:before="111" w:line="226" w:lineRule="auto"/>
        <w:ind w:left="47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w:t>
      </w:r>
      <w:r>
        <w:rPr>
          <w:rFonts w:ascii="宋体" w:hAnsi="宋体" w:eastAsia="宋体" w:cs="宋体"/>
          <w:color w:val="auto"/>
          <w:spacing w:val="-4"/>
          <w:sz w:val="20"/>
          <w:szCs w:val="20"/>
          <w:highlight w:val="none"/>
        </w:rPr>
        <w:t xml:space="preserve"> </w:t>
      </w:r>
      <w:r>
        <w:rPr>
          <w:rFonts w:ascii="宋体" w:hAnsi="宋体" w:eastAsia="宋体" w:cs="宋体"/>
          <w:color w:val="auto"/>
          <w:spacing w:val="8"/>
          <w:sz w:val="20"/>
          <w:szCs w:val="20"/>
          <w:highlight w:val="none"/>
        </w:rPr>
        <w:t>、我方承诺：完全理解磋商报价超过磋商时公布的预算金额时，投标将被拒绝。</w:t>
      </w:r>
    </w:p>
    <w:p w14:paraId="3DEB26D4">
      <w:pPr>
        <w:spacing w:before="111" w:line="315" w:lineRule="auto"/>
        <w:ind w:left="2" w:right="54" w:firstLine="47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 、响应文件自向你方递交之日起</w:t>
      </w:r>
      <w:r>
        <w:rPr>
          <w:rFonts w:ascii="宋体" w:hAnsi="宋体" w:eastAsia="宋体" w:cs="宋体"/>
          <w:color w:val="auto"/>
          <w:spacing w:val="-83"/>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6"/>
          <w:sz w:val="20"/>
          <w:szCs w:val="20"/>
          <w:highlight w:val="none"/>
        </w:rPr>
        <w:t>天内有效，在此有效期内，全部条款内容对我方具有约</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束力，如成交将成为合同文件组成部分。</w:t>
      </w:r>
    </w:p>
    <w:p w14:paraId="7917826A">
      <w:pPr>
        <w:spacing w:before="31" w:line="228" w:lineRule="auto"/>
        <w:ind w:left="47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w:t>
      </w:r>
      <w:r>
        <w:rPr>
          <w:rFonts w:ascii="宋体" w:hAnsi="宋体" w:eastAsia="宋体" w:cs="宋体"/>
          <w:color w:val="auto"/>
          <w:spacing w:val="-7"/>
          <w:sz w:val="20"/>
          <w:szCs w:val="20"/>
          <w:highlight w:val="none"/>
        </w:rPr>
        <w:t xml:space="preserve"> </w:t>
      </w:r>
      <w:r>
        <w:rPr>
          <w:rFonts w:ascii="宋体" w:hAnsi="宋体" w:eastAsia="宋体" w:cs="宋体"/>
          <w:color w:val="auto"/>
          <w:spacing w:val="8"/>
          <w:sz w:val="20"/>
          <w:szCs w:val="20"/>
          <w:highlight w:val="none"/>
        </w:rPr>
        <w:t>、保证忠实地执行双方所签订的合同，并承担合同规定的责任和义务。</w:t>
      </w:r>
    </w:p>
    <w:p w14:paraId="6DC32821">
      <w:pPr>
        <w:spacing w:before="110" w:line="315" w:lineRule="auto"/>
        <w:ind w:left="1" w:right="54" w:firstLine="47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、承诺完全满足和响应磋商文件中的各项商</w:t>
      </w:r>
      <w:r>
        <w:rPr>
          <w:rFonts w:ascii="宋体" w:hAnsi="宋体" w:eastAsia="宋体" w:cs="宋体"/>
          <w:color w:val="auto"/>
          <w:spacing w:val="7"/>
          <w:sz w:val="20"/>
          <w:szCs w:val="20"/>
          <w:highlight w:val="none"/>
        </w:rPr>
        <w:t>务和技术要求，若有偏差，已在响应文件商务条款</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偏离表中予以明确特别说明。</w:t>
      </w:r>
    </w:p>
    <w:p w14:paraId="69BF9E85">
      <w:pPr>
        <w:spacing w:before="29" w:line="228" w:lineRule="auto"/>
        <w:ind w:left="47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9 、保证遵守磋商文件的规定。</w:t>
      </w:r>
    </w:p>
    <w:p w14:paraId="22834631">
      <w:pPr>
        <w:spacing w:before="108" w:line="226" w:lineRule="auto"/>
        <w:ind w:left="48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0 、我方完全理解贵方不一定接受最低价的磋商或收到的任何投</w:t>
      </w:r>
      <w:r>
        <w:rPr>
          <w:rFonts w:ascii="宋体" w:hAnsi="宋体" w:eastAsia="宋体" w:cs="宋体"/>
          <w:color w:val="auto"/>
          <w:spacing w:val="5"/>
          <w:sz w:val="20"/>
          <w:szCs w:val="20"/>
          <w:highlight w:val="none"/>
        </w:rPr>
        <w:t>标。</w:t>
      </w:r>
    </w:p>
    <w:p w14:paraId="2DB8BE9D">
      <w:pPr>
        <w:spacing w:before="113" w:line="313" w:lineRule="auto"/>
        <w:ind w:left="7" w:right="54" w:firstLine="47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43"/>
          <w:sz w:val="20"/>
          <w:szCs w:val="20"/>
          <w:highlight w:val="none"/>
        </w:rPr>
        <w:t xml:space="preserve"> </w:t>
      </w:r>
      <w:r>
        <w:rPr>
          <w:rFonts w:ascii="宋体" w:hAnsi="宋体" w:eastAsia="宋体" w:cs="宋体"/>
          <w:color w:val="auto"/>
          <w:spacing w:val="6"/>
          <w:sz w:val="20"/>
          <w:szCs w:val="20"/>
          <w:highlight w:val="none"/>
        </w:rPr>
        <w:t>1 、我方愿意向贵方提供任何与本项磋商有关的数据、情况和技术资料。</w:t>
      </w:r>
      <w:r>
        <w:rPr>
          <w:rFonts w:ascii="宋体" w:hAnsi="宋体" w:eastAsia="宋体" w:cs="宋体"/>
          <w:color w:val="auto"/>
          <w:spacing w:val="5"/>
          <w:sz w:val="20"/>
          <w:szCs w:val="20"/>
          <w:highlight w:val="none"/>
        </w:rPr>
        <w:t>若贵方需要，我方愿</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意提供我方作出的一切承诺的证明材料。</w:t>
      </w:r>
    </w:p>
    <w:p w14:paraId="6146366A">
      <w:pPr>
        <w:spacing w:before="34" w:line="314" w:lineRule="auto"/>
        <w:ind w:left="1" w:firstLine="48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w:t>
      </w:r>
      <w:r>
        <w:rPr>
          <w:rFonts w:ascii="宋体" w:hAnsi="宋体" w:eastAsia="宋体" w:cs="宋体"/>
          <w:color w:val="auto"/>
          <w:spacing w:val="36"/>
          <w:sz w:val="20"/>
          <w:szCs w:val="20"/>
          <w:highlight w:val="none"/>
        </w:rPr>
        <w:t xml:space="preserve"> </w:t>
      </w:r>
      <w:r>
        <w:rPr>
          <w:rFonts w:ascii="宋体" w:hAnsi="宋体" w:eastAsia="宋体" w:cs="宋体"/>
          <w:color w:val="auto"/>
          <w:spacing w:val="3"/>
          <w:sz w:val="20"/>
          <w:szCs w:val="20"/>
          <w:highlight w:val="none"/>
        </w:rPr>
        <w:t>2 、我方已详细审核全部响应文件，包括响应</w:t>
      </w:r>
      <w:r>
        <w:rPr>
          <w:rFonts w:ascii="宋体" w:hAnsi="宋体" w:eastAsia="宋体" w:cs="宋体"/>
          <w:color w:val="auto"/>
          <w:spacing w:val="2"/>
          <w:sz w:val="20"/>
          <w:szCs w:val="20"/>
          <w:highlight w:val="none"/>
        </w:rPr>
        <w:t>文件修改书（如有的话）、参考资料及有关附件，</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确认无误。</w:t>
      </w:r>
    </w:p>
    <w:p w14:paraId="40DC2DA5">
      <w:pPr>
        <w:spacing w:before="33" w:line="313" w:lineRule="auto"/>
        <w:ind w:left="4" w:right="54" w:firstLine="47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34"/>
          <w:sz w:val="20"/>
          <w:szCs w:val="20"/>
          <w:highlight w:val="none"/>
        </w:rPr>
        <w:t xml:space="preserve"> </w:t>
      </w:r>
      <w:r>
        <w:rPr>
          <w:rFonts w:ascii="宋体" w:hAnsi="宋体" w:eastAsia="宋体" w:cs="宋体"/>
          <w:color w:val="auto"/>
          <w:spacing w:val="6"/>
          <w:sz w:val="20"/>
          <w:szCs w:val="20"/>
          <w:highlight w:val="none"/>
        </w:rPr>
        <w:t>3 、我方承诺：采购人若需追回采购本项目磋商文件所列相关服务的，在不改变合同其他实质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性条款的前提下，按相同或更优惠的折扣率保证供货。</w:t>
      </w:r>
    </w:p>
    <w:p w14:paraId="0F4C2F90">
      <w:pPr>
        <w:spacing w:before="34" w:line="228" w:lineRule="auto"/>
        <w:ind w:left="48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1 4</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、我方承诺接受磋商文件中《商务主要条款》的全部条</w:t>
      </w:r>
      <w:r>
        <w:rPr>
          <w:rFonts w:ascii="宋体" w:hAnsi="宋体" w:eastAsia="宋体" w:cs="宋体"/>
          <w:color w:val="auto"/>
          <w:spacing w:val="7"/>
          <w:sz w:val="20"/>
          <w:szCs w:val="20"/>
          <w:highlight w:val="none"/>
        </w:rPr>
        <w:t>款且无任何异议。</w:t>
      </w:r>
    </w:p>
    <w:p w14:paraId="013FAFF2">
      <w:pPr>
        <w:spacing w:before="108" w:line="322" w:lineRule="auto"/>
        <w:ind w:right="54" w:firstLine="48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37"/>
          <w:sz w:val="20"/>
          <w:szCs w:val="20"/>
          <w:highlight w:val="none"/>
        </w:rPr>
        <w:t xml:space="preserve"> </w:t>
      </w:r>
      <w:r>
        <w:rPr>
          <w:rFonts w:ascii="宋体" w:hAnsi="宋体" w:eastAsia="宋体" w:cs="宋体"/>
          <w:color w:val="auto"/>
          <w:spacing w:val="6"/>
          <w:sz w:val="20"/>
          <w:szCs w:val="20"/>
          <w:highlight w:val="none"/>
        </w:rPr>
        <w:t>5 、我方将严格遵守《中华人民共和国政府采购法》的有关规定，若有下列情形之一的</w:t>
      </w:r>
      <w:r>
        <w:rPr>
          <w:rFonts w:ascii="宋体" w:hAnsi="宋体" w:eastAsia="宋体" w:cs="宋体"/>
          <w:color w:val="auto"/>
          <w:spacing w:val="5"/>
          <w:sz w:val="20"/>
          <w:szCs w:val="20"/>
          <w:highlight w:val="none"/>
        </w:rPr>
        <w:t>，将被</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处理以采购金额</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5%</w:t>
      </w:r>
      <w:r>
        <w:rPr>
          <w:rFonts w:hint="eastAsia" w:ascii="宋体" w:hAnsi="宋体" w:eastAsia="宋体" w:cs="宋体"/>
          <w:color w:val="auto"/>
          <w:spacing w:val="9"/>
          <w:sz w:val="20"/>
          <w:szCs w:val="20"/>
          <w:highlight w:val="none"/>
          <w:lang w:eastAsia="zh-CN"/>
        </w:rPr>
        <w:t>以上</w:t>
      </w:r>
      <w:r>
        <w:rPr>
          <w:rFonts w:ascii="宋体" w:hAnsi="宋体" w:eastAsia="宋体" w:cs="宋体"/>
          <w:color w:val="auto"/>
          <w:spacing w:val="9"/>
          <w:sz w:val="20"/>
          <w:szCs w:val="20"/>
          <w:highlight w:val="none"/>
        </w:rPr>
        <w:t>10%以下的罚款，列入不良行为记录名单，</w:t>
      </w:r>
      <w:r>
        <w:rPr>
          <w:rFonts w:ascii="宋体" w:hAnsi="宋体" w:eastAsia="宋体" w:cs="宋体"/>
          <w:color w:val="auto"/>
          <w:spacing w:val="8"/>
          <w:sz w:val="20"/>
          <w:szCs w:val="20"/>
          <w:highlight w:val="none"/>
        </w:rPr>
        <w:t>在一至三年内禁止参加政府采</w:t>
      </w:r>
      <w:r>
        <w:rPr>
          <w:rFonts w:ascii="宋体" w:hAnsi="宋体" w:eastAsia="宋体" w:cs="宋体"/>
          <w:color w:val="auto"/>
          <w:spacing w:val="9"/>
          <w:sz w:val="20"/>
          <w:szCs w:val="20"/>
          <w:highlight w:val="none"/>
        </w:rPr>
        <w:t>购活动；有违法所得的，并处没收违法所得；</w:t>
      </w:r>
      <w:r>
        <w:rPr>
          <w:rFonts w:ascii="宋体" w:hAnsi="宋体" w:eastAsia="宋体" w:cs="宋体"/>
          <w:color w:val="auto"/>
          <w:spacing w:val="8"/>
          <w:sz w:val="20"/>
          <w:szCs w:val="20"/>
          <w:highlight w:val="none"/>
        </w:rPr>
        <w:t>情节严重的，由工商行政管理机关吊销营业执照；构成</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犯罪的，依法追究刑事责任；</w:t>
      </w:r>
    </w:p>
    <w:p w14:paraId="136D6326">
      <w:pPr>
        <w:spacing w:before="31" w:line="227" w:lineRule="auto"/>
        <w:ind w:left="53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( 1 )</w:t>
      </w:r>
      <w:r>
        <w:rPr>
          <w:rFonts w:ascii="宋体" w:hAnsi="宋体" w:eastAsia="宋体" w:cs="宋体"/>
          <w:color w:val="auto"/>
          <w:spacing w:val="29"/>
          <w:sz w:val="20"/>
          <w:szCs w:val="20"/>
          <w:highlight w:val="none"/>
        </w:rPr>
        <w:t xml:space="preserve"> </w:t>
      </w:r>
      <w:r>
        <w:rPr>
          <w:rFonts w:ascii="宋体" w:hAnsi="宋体" w:eastAsia="宋体" w:cs="宋体"/>
          <w:color w:val="auto"/>
          <w:spacing w:val="1"/>
          <w:sz w:val="20"/>
          <w:szCs w:val="20"/>
          <w:highlight w:val="none"/>
        </w:rPr>
        <w:t>提供虚假材料谋取成交、成交的；</w:t>
      </w:r>
    </w:p>
    <w:p w14:paraId="63EC7EB3">
      <w:pPr>
        <w:spacing w:before="109" w:line="227" w:lineRule="auto"/>
        <w:ind w:left="53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( 2 )</w:t>
      </w:r>
      <w:r>
        <w:rPr>
          <w:rFonts w:ascii="宋体" w:hAnsi="宋体" w:eastAsia="宋体" w:cs="宋体"/>
          <w:color w:val="auto"/>
          <w:spacing w:val="41"/>
          <w:sz w:val="20"/>
          <w:szCs w:val="20"/>
          <w:highlight w:val="none"/>
        </w:rPr>
        <w:t xml:space="preserve"> </w:t>
      </w:r>
      <w:r>
        <w:rPr>
          <w:rFonts w:ascii="宋体" w:hAnsi="宋体" w:eastAsia="宋体" w:cs="宋体"/>
          <w:color w:val="auto"/>
          <w:spacing w:val="2"/>
          <w:sz w:val="20"/>
          <w:szCs w:val="20"/>
          <w:highlight w:val="none"/>
        </w:rPr>
        <w:t>采取不正当手段诋毁、排挤其他供应商的；</w:t>
      </w:r>
    </w:p>
    <w:p w14:paraId="0325FBFB">
      <w:pPr>
        <w:spacing w:line="227" w:lineRule="auto"/>
        <w:rPr>
          <w:rFonts w:ascii="宋体" w:hAnsi="宋体" w:eastAsia="宋体" w:cs="宋体"/>
          <w:color w:val="auto"/>
          <w:sz w:val="20"/>
          <w:szCs w:val="20"/>
          <w:highlight w:val="none"/>
        </w:rPr>
        <w:sectPr>
          <w:footerReference r:id="rId14" w:type="default"/>
          <w:pgSz w:w="11906" w:h="16839"/>
          <w:pgMar w:top="1347" w:right="1308" w:bottom="1156" w:left="1367" w:header="0" w:footer="994" w:gutter="0"/>
          <w:pgNumType w:fmt="decimal"/>
          <w:cols w:space="720" w:num="1"/>
        </w:sectPr>
      </w:pPr>
    </w:p>
    <w:p w14:paraId="496EF79E">
      <w:pPr>
        <w:spacing w:before="41" w:line="227" w:lineRule="auto"/>
        <w:ind w:left="1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( 3 )</w:t>
      </w:r>
      <w:r>
        <w:rPr>
          <w:rFonts w:ascii="宋体" w:hAnsi="宋体" w:eastAsia="宋体" w:cs="宋体"/>
          <w:color w:val="auto"/>
          <w:spacing w:val="36"/>
          <w:sz w:val="20"/>
          <w:szCs w:val="20"/>
          <w:highlight w:val="none"/>
        </w:rPr>
        <w:t xml:space="preserve"> </w:t>
      </w:r>
      <w:r>
        <w:rPr>
          <w:rFonts w:ascii="宋体" w:hAnsi="宋体" w:eastAsia="宋体" w:cs="宋体"/>
          <w:color w:val="auto"/>
          <w:spacing w:val="4"/>
          <w:sz w:val="20"/>
          <w:szCs w:val="20"/>
          <w:highlight w:val="none"/>
        </w:rPr>
        <w:t>与采购人、其它供应商或者代理机构工作人员恶意串通的；</w:t>
      </w:r>
    </w:p>
    <w:p w14:paraId="1852A1DD">
      <w:pPr>
        <w:spacing w:before="109" w:line="227" w:lineRule="auto"/>
        <w:ind w:left="1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w:t>
      </w:r>
      <w:r>
        <w:rPr>
          <w:rFonts w:ascii="宋体" w:hAnsi="宋体" w:eastAsia="宋体" w:cs="宋体"/>
          <w:color w:val="auto"/>
          <w:spacing w:val="-5"/>
          <w:sz w:val="20"/>
          <w:szCs w:val="20"/>
          <w:highlight w:val="none"/>
        </w:rPr>
        <w:t xml:space="preserve"> </w:t>
      </w:r>
      <w:r>
        <w:rPr>
          <w:rFonts w:ascii="宋体" w:hAnsi="宋体" w:eastAsia="宋体" w:cs="宋体"/>
          <w:color w:val="auto"/>
          <w:spacing w:val="4"/>
          <w:sz w:val="20"/>
          <w:szCs w:val="20"/>
          <w:highlight w:val="none"/>
        </w:rPr>
        <w:t>4 )</w:t>
      </w:r>
      <w:r>
        <w:rPr>
          <w:rFonts w:ascii="宋体" w:hAnsi="宋体" w:eastAsia="宋体" w:cs="宋体"/>
          <w:color w:val="auto"/>
          <w:spacing w:val="50"/>
          <w:sz w:val="20"/>
          <w:szCs w:val="20"/>
          <w:highlight w:val="none"/>
        </w:rPr>
        <w:t xml:space="preserve"> </w:t>
      </w:r>
      <w:r>
        <w:rPr>
          <w:rFonts w:ascii="宋体" w:hAnsi="宋体" w:eastAsia="宋体" w:cs="宋体"/>
          <w:color w:val="auto"/>
          <w:spacing w:val="4"/>
          <w:sz w:val="20"/>
          <w:szCs w:val="20"/>
          <w:highlight w:val="none"/>
        </w:rPr>
        <w:t>向采购人、代理机构工作人员行贿或提供其他不正当利益的；</w:t>
      </w:r>
    </w:p>
    <w:p w14:paraId="4D3862C5">
      <w:pPr>
        <w:spacing w:before="109" w:line="227" w:lineRule="auto"/>
        <w:ind w:left="1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( 5 )</w:t>
      </w:r>
      <w:r>
        <w:rPr>
          <w:rFonts w:ascii="宋体" w:hAnsi="宋体" w:eastAsia="宋体" w:cs="宋体"/>
          <w:color w:val="auto"/>
          <w:spacing w:val="41"/>
          <w:sz w:val="20"/>
          <w:szCs w:val="20"/>
          <w:highlight w:val="none"/>
        </w:rPr>
        <w:t xml:space="preserve"> </w:t>
      </w:r>
      <w:r>
        <w:rPr>
          <w:rFonts w:ascii="宋体" w:hAnsi="宋体" w:eastAsia="宋体" w:cs="宋体"/>
          <w:color w:val="auto"/>
          <w:spacing w:val="4"/>
          <w:sz w:val="20"/>
          <w:szCs w:val="20"/>
          <w:highlight w:val="none"/>
        </w:rPr>
        <w:t>未经代理机构同意，在采购过程中与采购人进行协商谈判的；</w:t>
      </w:r>
    </w:p>
    <w:p w14:paraId="1809408B">
      <w:pPr>
        <w:spacing w:before="111" w:line="227" w:lineRule="auto"/>
        <w:ind w:left="11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( 6 )</w:t>
      </w:r>
      <w:r>
        <w:rPr>
          <w:rFonts w:ascii="宋体" w:hAnsi="宋体" w:eastAsia="宋体" w:cs="宋体"/>
          <w:color w:val="auto"/>
          <w:spacing w:val="39"/>
          <w:sz w:val="20"/>
          <w:szCs w:val="20"/>
          <w:highlight w:val="none"/>
        </w:rPr>
        <w:t xml:space="preserve"> </w:t>
      </w:r>
      <w:r>
        <w:rPr>
          <w:rFonts w:ascii="宋体" w:hAnsi="宋体" w:eastAsia="宋体" w:cs="宋体"/>
          <w:color w:val="auto"/>
          <w:spacing w:val="1"/>
          <w:sz w:val="20"/>
          <w:szCs w:val="20"/>
          <w:highlight w:val="none"/>
        </w:rPr>
        <w:t>拒绝有关部门监督检查虚假情况的。</w:t>
      </w:r>
    </w:p>
    <w:p w14:paraId="1DC1125F">
      <w:pPr>
        <w:spacing w:before="109" w:line="227" w:lineRule="auto"/>
        <w:ind w:left="6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5 、所有关于本次磋商的函电，请按下列地址</w:t>
      </w:r>
      <w:r>
        <w:rPr>
          <w:rFonts w:ascii="宋体" w:hAnsi="宋体" w:eastAsia="宋体" w:cs="宋体"/>
          <w:color w:val="auto"/>
          <w:spacing w:val="4"/>
          <w:sz w:val="20"/>
          <w:szCs w:val="20"/>
          <w:highlight w:val="none"/>
        </w:rPr>
        <w:t>联系。</w:t>
      </w:r>
    </w:p>
    <w:p w14:paraId="27E9E059">
      <w:pPr>
        <w:pStyle w:val="8"/>
        <w:spacing w:line="269" w:lineRule="auto"/>
        <w:rPr>
          <w:color w:val="auto"/>
          <w:highlight w:val="none"/>
        </w:rPr>
      </w:pPr>
    </w:p>
    <w:p w14:paraId="275C6850">
      <w:pPr>
        <w:pStyle w:val="8"/>
        <w:spacing w:line="270" w:lineRule="auto"/>
        <w:rPr>
          <w:color w:val="auto"/>
          <w:highlight w:val="none"/>
        </w:rPr>
      </w:pPr>
    </w:p>
    <w:p w14:paraId="7D916467">
      <w:pPr>
        <w:pStyle w:val="8"/>
        <w:spacing w:line="270" w:lineRule="auto"/>
        <w:rPr>
          <w:color w:val="auto"/>
          <w:highlight w:val="none"/>
        </w:rPr>
      </w:pPr>
    </w:p>
    <w:p w14:paraId="5FBBDC23">
      <w:pPr>
        <w:spacing w:line="240" w:lineRule="auto"/>
        <w:rPr>
          <w:rFonts w:hint="eastAsia" w:ascii="宋体" w:hAnsi="宋体"/>
          <w:color w:val="auto"/>
          <w:sz w:val="21"/>
          <w:szCs w:val="21"/>
          <w:highlight w:val="none"/>
        </w:rPr>
      </w:pPr>
      <w:r>
        <w:rPr>
          <w:rFonts w:hint="eastAsia" w:ascii="宋体" w:hAnsi="宋体" w:eastAsia="宋体" w:cs="Times New Roman"/>
          <w:bCs/>
          <w:snapToGrid w:val="0"/>
          <w:color w:val="auto"/>
          <w:szCs w:val="21"/>
          <w:highlight w:val="none"/>
          <w:lang w:val="en-US" w:eastAsia="zh-CN"/>
        </w:rPr>
        <w:t>供应商名称</w:t>
      </w:r>
      <w:r>
        <w:rPr>
          <w:rFonts w:hint="eastAsia" w:ascii="宋体" w:hAnsi="宋体"/>
          <w:color w:val="auto"/>
          <w:sz w:val="21"/>
          <w:szCs w:val="21"/>
          <w:highlight w:val="none"/>
        </w:rPr>
        <w:t>（加盖公章）：</w:t>
      </w:r>
    </w:p>
    <w:p w14:paraId="2538D301">
      <w:pPr>
        <w:spacing w:line="240" w:lineRule="auto"/>
        <w:rPr>
          <w:rFonts w:hint="eastAsia" w:ascii="宋体" w:hAnsi="宋体"/>
          <w:color w:val="auto"/>
          <w:sz w:val="21"/>
          <w:szCs w:val="21"/>
          <w:highlight w:val="none"/>
        </w:rPr>
      </w:pPr>
      <w:r>
        <w:rPr>
          <w:rFonts w:hint="eastAsia" w:ascii="宋体" w:hAnsi="宋体" w:eastAsia="宋体" w:cs="Times New Roman"/>
          <w:bCs/>
          <w:snapToGrid w:val="0"/>
          <w:color w:val="auto"/>
          <w:szCs w:val="21"/>
          <w:highlight w:val="none"/>
          <w:lang w:val="en-US" w:eastAsia="zh-CN"/>
        </w:rPr>
        <w:t>法定代表人或其授权委托人（签字或盖章）：</w:t>
      </w:r>
    </w:p>
    <w:p w14:paraId="639BD530">
      <w:pPr>
        <w:spacing w:line="240" w:lineRule="auto"/>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地    址：</w:t>
      </w:r>
    </w:p>
    <w:p w14:paraId="33EC91D4">
      <w:pPr>
        <w:spacing w:line="240" w:lineRule="auto"/>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 xml:space="preserve">开户银行： </w:t>
      </w:r>
    </w:p>
    <w:p w14:paraId="7B17BE02">
      <w:pPr>
        <w:spacing w:line="240" w:lineRule="auto"/>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 xml:space="preserve">帐   号 ： </w:t>
      </w:r>
    </w:p>
    <w:p w14:paraId="53FB4DFD">
      <w:pPr>
        <w:spacing w:line="240" w:lineRule="auto"/>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 xml:space="preserve">电   话 ： </w:t>
      </w:r>
    </w:p>
    <w:p w14:paraId="68C9E694">
      <w:pPr>
        <w:spacing w:line="240" w:lineRule="auto"/>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 xml:space="preserve">传   真 ： </w:t>
      </w:r>
    </w:p>
    <w:p w14:paraId="24BA003B">
      <w:pPr>
        <w:spacing w:line="240" w:lineRule="auto"/>
        <w:rPr>
          <w:color w:val="auto"/>
          <w:highlight w:val="none"/>
        </w:rPr>
      </w:pPr>
      <w:r>
        <w:rPr>
          <w:rFonts w:hint="eastAsia" w:ascii="宋体" w:hAnsi="宋体" w:eastAsia="宋体" w:cs="Times New Roman"/>
          <w:bCs/>
          <w:snapToGrid w:val="0"/>
          <w:color w:val="auto"/>
          <w:szCs w:val="21"/>
          <w:highlight w:val="none"/>
          <w:lang w:val="en-US" w:eastAsia="zh-CN"/>
        </w:rPr>
        <w:t>邮    编：</w:t>
      </w:r>
    </w:p>
    <w:p w14:paraId="06DCBE47">
      <w:pPr>
        <w:spacing w:line="240" w:lineRule="auto"/>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日    期：年     月     日</w:t>
      </w:r>
    </w:p>
    <w:p w14:paraId="15650CC8">
      <w:pPr>
        <w:spacing w:line="240" w:lineRule="auto"/>
        <w:rPr>
          <w:rFonts w:hint="eastAsia" w:ascii="宋体" w:hAnsi="宋体" w:eastAsia="宋体" w:cs="Times New Roman"/>
          <w:bCs/>
          <w:snapToGrid w:val="0"/>
          <w:color w:val="auto"/>
          <w:szCs w:val="21"/>
          <w:highlight w:val="none"/>
          <w:lang w:val="en-US" w:eastAsia="zh-CN"/>
        </w:rPr>
        <w:sectPr>
          <w:footerReference r:id="rId15" w:type="default"/>
          <w:pgSz w:w="11906" w:h="16839"/>
          <w:pgMar w:top="1351" w:right="1785" w:bottom="1156" w:left="1785" w:header="0" w:footer="994" w:gutter="0"/>
          <w:pgNumType w:fmt="decimal"/>
          <w:cols w:space="720" w:num="1"/>
        </w:sectPr>
      </w:pPr>
    </w:p>
    <w:p w14:paraId="494BFD5C">
      <w:pPr>
        <w:spacing w:before="48" w:line="219" w:lineRule="auto"/>
        <w:ind w:left="321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法定代表人身份证明</w:t>
      </w:r>
    </w:p>
    <w:p w14:paraId="5A9713DB">
      <w:pPr>
        <w:pStyle w:val="8"/>
        <w:spacing w:line="309" w:lineRule="auto"/>
        <w:rPr>
          <w:color w:val="auto"/>
          <w:highlight w:val="none"/>
        </w:rPr>
      </w:pPr>
    </w:p>
    <w:p w14:paraId="6B6B4E75">
      <w:pPr>
        <w:pStyle w:val="8"/>
        <w:spacing w:line="310" w:lineRule="auto"/>
        <w:rPr>
          <w:color w:val="auto"/>
          <w:highlight w:val="none"/>
        </w:rPr>
      </w:pPr>
    </w:p>
    <w:p w14:paraId="408FF334">
      <w:pPr>
        <w:spacing w:line="240" w:lineRule="auto"/>
        <w:ind w:firstLine="420" w:firstLineChars="200"/>
        <w:jc w:val="left"/>
        <w:rPr>
          <w:rFonts w:hint="eastAsia" w:ascii="宋体" w:hAnsi="宋体" w:eastAsia="宋体" w:cs="Times New Roman"/>
          <w:bCs/>
          <w:snapToGrid w:val="0"/>
          <w:color w:val="auto"/>
          <w:szCs w:val="21"/>
          <w:highlight w:val="none"/>
          <w:u w:val="single"/>
          <w:lang w:val="en-US" w:eastAsia="zh-CN"/>
        </w:rPr>
      </w:pPr>
      <w:r>
        <w:rPr>
          <w:rFonts w:hint="eastAsia" w:ascii="宋体" w:hAnsi="宋体" w:eastAsia="宋体" w:cs="Times New Roman"/>
          <w:bCs/>
          <w:snapToGrid w:val="0"/>
          <w:color w:val="auto"/>
          <w:szCs w:val="21"/>
          <w:highlight w:val="none"/>
          <w:lang w:val="en-US" w:eastAsia="zh-CN"/>
        </w:rPr>
        <w:t>供应商名称：</w:t>
      </w:r>
      <w:r>
        <w:rPr>
          <w:rFonts w:hint="eastAsia" w:ascii="宋体" w:hAnsi="宋体" w:eastAsia="宋体" w:cs="Times New Roman"/>
          <w:bCs/>
          <w:snapToGrid w:val="0"/>
          <w:color w:val="auto"/>
          <w:szCs w:val="21"/>
          <w:highlight w:val="none"/>
          <w:u w:val="single"/>
          <w:lang w:val="en-US" w:eastAsia="zh-CN"/>
        </w:rPr>
        <w:t xml:space="preserve">                             </w:t>
      </w:r>
    </w:p>
    <w:p w14:paraId="052DAA49">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单位性质：</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 xml:space="preserve"> </w:t>
      </w:r>
    </w:p>
    <w:p w14:paraId="2F4D439A">
      <w:pPr>
        <w:spacing w:line="240" w:lineRule="auto"/>
        <w:ind w:firstLine="420" w:firstLineChars="200"/>
        <w:jc w:val="left"/>
        <w:rPr>
          <w:rFonts w:hint="eastAsia" w:ascii="宋体" w:hAnsi="宋体" w:eastAsia="宋体" w:cs="Times New Roman"/>
          <w:bCs/>
          <w:snapToGrid w:val="0"/>
          <w:color w:val="auto"/>
          <w:szCs w:val="21"/>
          <w:highlight w:val="none"/>
          <w:u w:val="single"/>
          <w:lang w:val="en-US" w:eastAsia="zh-CN"/>
        </w:rPr>
      </w:pPr>
      <w:r>
        <w:rPr>
          <w:rFonts w:hint="eastAsia" w:ascii="宋体" w:hAnsi="宋体" w:eastAsia="宋体" w:cs="Times New Roman"/>
          <w:bCs/>
          <w:snapToGrid w:val="0"/>
          <w:color w:val="auto"/>
          <w:szCs w:val="21"/>
          <w:highlight w:val="none"/>
          <w:lang w:val="en-US" w:eastAsia="zh-CN"/>
        </w:rPr>
        <w:t>地址：</w:t>
      </w:r>
      <w:r>
        <w:rPr>
          <w:rFonts w:hint="eastAsia" w:ascii="宋体" w:hAnsi="宋体" w:eastAsia="宋体" w:cs="Times New Roman"/>
          <w:bCs/>
          <w:snapToGrid w:val="0"/>
          <w:color w:val="auto"/>
          <w:szCs w:val="21"/>
          <w:highlight w:val="none"/>
          <w:u w:val="single"/>
          <w:lang w:val="en-US" w:eastAsia="zh-CN"/>
        </w:rPr>
        <w:t xml:space="preserve">                                   </w:t>
      </w:r>
    </w:p>
    <w:p w14:paraId="09DF1638">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成立时间：</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年</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月</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日</w:t>
      </w:r>
    </w:p>
    <w:p w14:paraId="76D10F7D">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经营期限：</w:t>
      </w:r>
      <w:r>
        <w:rPr>
          <w:rFonts w:hint="eastAsia" w:ascii="宋体" w:hAnsi="宋体" w:eastAsia="宋体" w:cs="Times New Roman"/>
          <w:bCs/>
          <w:snapToGrid w:val="0"/>
          <w:color w:val="auto"/>
          <w:szCs w:val="21"/>
          <w:highlight w:val="none"/>
          <w:u w:val="single"/>
          <w:lang w:val="en-US" w:eastAsia="zh-CN"/>
        </w:rPr>
        <w:t xml:space="preserve">                               </w:t>
      </w:r>
    </w:p>
    <w:p w14:paraId="3835CEBE">
      <w:pPr>
        <w:spacing w:line="240" w:lineRule="auto"/>
        <w:ind w:firstLine="420" w:firstLineChars="200"/>
        <w:jc w:val="left"/>
        <w:rPr>
          <w:rFonts w:hint="eastAsia" w:ascii="宋体" w:hAnsi="宋体" w:eastAsia="宋体" w:cs="Times New Roman"/>
          <w:bCs/>
          <w:snapToGrid w:val="0"/>
          <w:color w:val="auto"/>
          <w:szCs w:val="21"/>
          <w:highlight w:val="none"/>
          <w:u w:val="single"/>
          <w:lang w:val="en-US" w:eastAsia="zh-CN"/>
        </w:rPr>
      </w:pPr>
      <w:r>
        <w:rPr>
          <w:rFonts w:hint="eastAsia" w:ascii="宋体" w:hAnsi="宋体" w:eastAsia="宋体" w:cs="Times New Roman"/>
          <w:bCs/>
          <w:snapToGrid w:val="0"/>
          <w:color w:val="auto"/>
          <w:szCs w:val="21"/>
          <w:highlight w:val="none"/>
          <w:lang w:val="en-US" w:eastAsia="zh-CN"/>
        </w:rPr>
        <w:t>姓名：</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性别：</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年龄：</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职务：</w:t>
      </w:r>
      <w:r>
        <w:rPr>
          <w:rFonts w:hint="eastAsia" w:ascii="宋体" w:hAnsi="宋体" w:eastAsia="宋体" w:cs="Times New Roman"/>
          <w:bCs/>
          <w:snapToGrid w:val="0"/>
          <w:color w:val="auto"/>
          <w:szCs w:val="21"/>
          <w:highlight w:val="none"/>
          <w:u w:val="single"/>
          <w:lang w:val="en-US" w:eastAsia="zh-CN"/>
        </w:rPr>
        <w:t xml:space="preserve">        </w:t>
      </w:r>
    </w:p>
    <w:p w14:paraId="7053D606">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系</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（响应人名称）的法定代表人。</w:t>
      </w:r>
    </w:p>
    <w:p w14:paraId="60AD2048">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特此证明。</w:t>
      </w:r>
    </w:p>
    <w:p w14:paraId="772C793B">
      <w:pPr>
        <w:spacing w:line="240" w:lineRule="auto"/>
        <w:rPr>
          <w:rFonts w:ascii="宋体" w:hAnsi="宋体"/>
          <w:color w:val="auto"/>
          <w:szCs w:val="21"/>
          <w:highlight w:val="none"/>
        </w:rPr>
      </w:pPr>
    </w:p>
    <w:p w14:paraId="467E25E9">
      <w:pPr>
        <w:spacing w:line="240" w:lineRule="auto"/>
        <w:rPr>
          <w:rFonts w:ascii="宋体" w:hAnsi="宋体"/>
          <w:color w:val="auto"/>
          <w:szCs w:val="21"/>
          <w:highlight w:val="none"/>
        </w:rPr>
      </w:pPr>
    </w:p>
    <w:p w14:paraId="74314B18">
      <w:pPr>
        <w:spacing w:line="24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eastAsia="宋体" w:cs="Times New Roman"/>
          <w:bCs/>
          <w:snapToGrid w:val="0"/>
          <w:color w:val="auto"/>
          <w:szCs w:val="21"/>
          <w:highlight w:val="none"/>
          <w:lang w:val="en-US" w:eastAsia="zh-CN"/>
        </w:rPr>
        <w:t>供应商名称</w:t>
      </w:r>
      <w:r>
        <w:rPr>
          <w:rFonts w:hint="eastAsia" w:ascii="宋体" w:hAnsi="宋体"/>
          <w:color w:val="auto"/>
          <w:sz w:val="21"/>
          <w:szCs w:val="21"/>
          <w:highlight w:val="none"/>
        </w:rPr>
        <w:t>（加盖公章）：</w:t>
      </w:r>
    </w:p>
    <w:p w14:paraId="40DF7834">
      <w:pPr>
        <w:tabs>
          <w:tab w:val="left" w:pos="4866"/>
        </w:tabs>
        <w:spacing w:before="65" w:line="228" w:lineRule="auto"/>
        <w:ind w:left="4235"/>
        <w:rPr>
          <w:rFonts w:ascii="宋体" w:hAnsi="宋体" w:eastAsia="宋体" w:cs="宋体"/>
          <w:color w:val="auto"/>
          <w:sz w:val="20"/>
          <w:szCs w:val="20"/>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6701B4F8">
      <w:pPr>
        <w:spacing w:line="228" w:lineRule="auto"/>
        <w:rPr>
          <w:rFonts w:ascii="宋体" w:hAnsi="宋体" w:eastAsia="宋体" w:cs="宋体"/>
          <w:color w:val="auto"/>
          <w:sz w:val="20"/>
          <w:szCs w:val="20"/>
          <w:highlight w:val="none"/>
        </w:rPr>
        <w:sectPr>
          <w:footerReference r:id="rId16" w:type="default"/>
          <w:pgSz w:w="11906" w:h="16839"/>
          <w:pgMar w:top="1347" w:right="1785" w:bottom="1156" w:left="1368" w:header="0" w:footer="994" w:gutter="0"/>
          <w:pgNumType w:fmt="decimal"/>
          <w:cols w:space="720" w:num="1"/>
        </w:sectPr>
      </w:pPr>
    </w:p>
    <w:p w14:paraId="0B03071B">
      <w:pPr>
        <w:numPr>
          <w:ilvl w:val="0"/>
          <w:numId w:val="0"/>
        </w:numPr>
        <w:spacing w:before="47" w:line="219" w:lineRule="auto"/>
        <w:jc w:val="center"/>
        <w:rPr>
          <w:rFonts w:ascii="宋体" w:hAnsi="宋体" w:eastAsia="宋体" w:cs="宋体"/>
          <w:b/>
          <w:bCs/>
          <w:color w:val="auto"/>
          <w:spacing w:val="-3"/>
          <w:sz w:val="24"/>
          <w:szCs w:val="24"/>
          <w:highlight w:val="none"/>
        </w:rPr>
      </w:pPr>
      <w:r>
        <w:rPr>
          <w:rFonts w:hint="eastAsia" w:ascii="宋体" w:hAnsi="宋体" w:eastAsia="宋体" w:cs="宋体"/>
          <w:color w:val="auto"/>
          <w:spacing w:val="-3"/>
          <w:sz w:val="24"/>
          <w:szCs w:val="24"/>
          <w:highlight w:val="none"/>
          <w:lang w:eastAsia="zh-CN"/>
        </w:rPr>
        <w:t>二、</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法定代表人授权书</w:t>
      </w:r>
    </w:p>
    <w:p w14:paraId="011381F6">
      <w:pPr>
        <w:numPr>
          <w:ilvl w:val="0"/>
          <w:numId w:val="0"/>
        </w:numPr>
        <w:spacing w:before="47" w:line="219" w:lineRule="auto"/>
        <w:rPr>
          <w:rFonts w:ascii="宋体" w:hAnsi="宋体" w:eastAsia="宋体" w:cs="宋体"/>
          <w:b/>
          <w:bCs/>
          <w:color w:val="auto"/>
          <w:spacing w:val="-3"/>
          <w:sz w:val="24"/>
          <w:szCs w:val="24"/>
          <w:highlight w:val="none"/>
        </w:rPr>
      </w:pPr>
    </w:p>
    <w:p w14:paraId="6B411134">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本人</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（姓名）系</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（响应人名称）的法定代表人，现委托</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（姓名）为我方代理人。代理人根据授权，以我方名义签署、澄清、说明、补正、递交、撤回、修改</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（项目名称）响应文件、签订合同和处理有关事宜，其法律后果由我方承担。</w:t>
      </w:r>
    </w:p>
    <w:p w14:paraId="77F9DBC8">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委托期限：</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w:t>
      </w:r>
    </w:p>
    <w:p w14:paraId="09616225">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代理人无转委托权。</w:t>
      </w:r>
    </w:p>
    <w:p w14:paraId="2FEDB813">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附：法定代表人身份证明（身份证正反面复印件）和被授权人身份证（身份证正反面复印件）</w:t>
      </w:r>
    </w:p>
    <w:p w14:paraId="192D4216">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p>
    <w:p w14:paraId="2DD18E49">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供应商名称：</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（盖单位章）</w:t>
      </w:r>
    </w:p>
    <w:p w14:paraId="2AC45B78">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法定代表人：</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（签名或盖章）</w:t>
      </w:r>
    </w:p>
    <w:p w14:paraId="5F33E257">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身份证号码：</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 xml:space="preserve">      </w:t>
      </w:r>
    </w:p>
    <w:p w14:paraId="3D80000F">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委托代理人：</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 xml:space="preserve">（签名或盖章） </w:t>
      </w:r>
    </w:p>
    <w:p w14:paraId="0E7A0EFC">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r>
        <w:rPr>
          <w:rFonts w:hint="eastAsia" w:ascii="宋体" w:hAnsi="宋体" w:eastAsia="宋体" w:cs="Times New Roman"/>
          <w:bCs/>
          <w:snapToGrid w:val="0"/>
          <w:color w:val="auto"/>
          <w:szCs w:val="21"/>
          <w:highlight w:val="none"/>
          <w:lang w:val="en-US" w:eastAsia="zh-CN"/>
        </w:rPr>
        <w:t>身份证号码：</w:t>
      </w:r>
      <w:r>
        <w:rPr>
          <w:rFonts w:hint="eastAsia" w:ascii="宋体" w:hAnsi="宋体" w:eastAsia="宋体" w:cs="Times New Roman"/>
          <w:bCs/>
          <w:snapToGrid w:val="0"/>
          <w:color w:val="auto"/>
          <w:szCs w:val="21"/>
          <w:highlight w:val="none"/>
          <w:u w:val="single"/>
          <w:lang w:val="en-US" w:eastAsia="zh-CN"/>
        </w:rPr>
        <w:t xml:space="preserve">                               </w:t>
      </w:r>
      <w:r>
        <w:rPr>
          <w:rFonts w:hint="eastAsia" w:ascii="宋体" w:hAnsi="宋体" w:eastAsia="宋体" w:cs="Times New Roman"/>
          <w:bCs/>
          <w:snapToGrid w:val="0"/>
          <w:color w:val="auto"/>
          <w:szCs w:val="21"/>
          <w:highlight w:val="none"/>
          <w:lang w:val="en-US" w:eastAsia="zh-CN"/>
        </w:rPr>
        <w:t xml:space="preserve">       </w:t>
      </w:r>
    </w:p>
    <w:p w14:paraId="5C88901D">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p>
    <w:p w14:paraId="24339D3B">
      <w:pPr>
        <w:spacing w:line="240" w:lineRule="auto"/>
        <w:ind w:firstLine="420" w:firstLineChars="200"/>
        <w:jc w:val="left"/>
        <w:rPr>
          <w:rFonts w:hint="eastAsia" w:ascii="宋体" w:hAnsi="宋体" w:eastAsia="宋体" w:cs="Times New Roman"/>
          <w:bCs/>
          <w:snapToGrid w:val="0"/>
          <w:color w:val="auto"/>
          <w:szCs w:val="21"/>
          <w:highlight w:val="none"/>
          <w:lang w:val="en-US" w:eastAsia="zh-CN"/>
        </w:rPr>
      </w:pPr>
    </w:p>
    <w:p w14:paraId="069EF8A8">
      <w:pPr>
        <w:pStyle w:val="8"/>
        <w:rPr>
          <w:color w:val="auto"/>
          <w:highlight w:val="none"/>
        </w:rPr>
      </w:pPr>
      <w:r>
        <w:rPr>
          <w:rFonts w:hint="eastAsia" w:ascii="宋体" w:hAnsi="宋体" w:eastAsia="宋体" w:cs="Times New Roman"/>
          <w:bCs/>
          <w:snapToGrid w:val="0"/>
          <w:color w:val="auto"/>
          <w:szCs w:val="21"/>
          <w:highlight w:val="none"/>
          <w:lang w:val="en-US" w:eastAsia="zh-CN"/>
        </w:rPr>
        <w:t xml:space="preserve">       年       月       日</w:t>
      </w:r>
    </w:p>
    <w:p w14:paraId="3FDAE4C0">
      <w:pPr>
        <w:rPr>
          <w:color w:val="auto"/>
          <w:highlight w:val="none"/>
        </w:rPr>
        <w:sectPr>
          <w:footerReference r:id="rId17" w:type="default"/>
          <w:pgSz w:w="11906" w:h="16839"/>
          <w:pgMar w:top="1347" w:right="1248" w:bottom="1156" w:left="1248" w:header="0" w:footer="994" w:gutter="0"/>
          <w:pgNumType w:fmt="decimal"/>
          <w:cols w:space="720" w:num="1"/>
        </w:sectPr>
      </w:pPr>
    </w:p>
    <w:p w14:paraId="3F61A6F2">
      <w:pPr>
        <w:spacing w:before="47" w:line="219" w:lineRule="auto"/>
        <w:ind w:left="3266"/>
        <w:outlineLvl w:val="1"/>
        <w:rPr>
          <w:rFonts w:ascii="宋体" w:hAnsi="宋体" w:eastAsia="宋体" w:cs="宋体"/>
          <w:color w:val="auto"/>
          <w:sz w:val="24"/>
          <w:szCs w:val="24"/>
          <w:highlight w:val="none"/>
        </w:rPr>
      </w:pPr>
      <w:bookmarkStart w:id="387" w:name="_Toc22653"/>
      <w:r>
        <w:rPr>
          <w:rFonts w:ascii="宋体" w:hAnsi="宋体" w:eastAsia="宋体" w:cs="宋体"/>
          <w:b/>
          <w:bCs/>
          <w:color w:val="auto"/>
          <w:spacing w:val="-3"/>
          <w:sz w:val="24"/>
          <w:szCs w:val="24"/>
          <w:highlight w:val="none"/>
        </w:rPr>
        <w:t>三、磋商保证金证明材料</w:t>
      </w:r>
      <w:bookmarkEnd w:id="387"/>
    </w:p>
    <w:p w14:paraId="2FDB9C52">
      <w:pPr>
        <w:spacing w:before="82" w:line="368" w:lineRule="auto"/>
        <w:ind w:firstLine="420"/>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依据长春市财政局相关文件，本项目对于诚信良好的供应商可免收磋商保证金；但对于满足《中</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rPr>
        <w:t>华人民共和国政府采购法》第二十二条有关规定，经“信用中国</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”网站查询存</w:t>
      </w:r>
      <w:r>
        <w:rPr>
          <w:rFonts w:ascii="宋体" w:hAnsi="宋体" w:eastAsia="宋体" w:cs="宋体"/>
          <w:color w:val="auto"/>
          <w:spacing w:val="7"/>
          <w:sz w:val="20"/>
          <w:szCs w:val="20"/>
          <w:highlight w:val="none"/>
        </w:rPr>
        <w:t>在行政处罚信息的供应</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商，须按规定提交磋商保证金，并在此附递交</w:t>
      </w:r>
      <w:r>
        <w:rPr>
          <w:rFonts w:ascii="宋体" w:hAnsi="宋体" w:eastAsia="宋体" w:cs="宋体"/>
          <w:color w:val="auto"/>
          <w:spacing w:val="9"/>
          <w:sz w:val="20"/>
          <w:szCs w:val="20"/>
          <w:highlight w:val="none"/>
        </w:rPr>
        <w:t>磋商保证金凭证及开户许可信息复印件加盖公章。</w:t>
      </w:r>
    </w:p>
    <w:p w14:paraId="539CF2A3">
      <w:pPr>
        <w:pStyle w:val="8"/>
        <w:spacing w:line="325" w:lineRule="auto"/>
        <w:rPr>
          <w:color w:val="auto"/>
          <w:highlight w:val="none"/>
        </w:rPr>
      </w:pPr>
    </w:p>
    <w:p w14:paraId="0007BA4C">
      <w:pPr>
        <w:spacing w:before="65" w:line="362" w:lineRule="auto"/>
        <w:ind w:left="8" w:firstLine="4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免收保证金的供应商应在此提供诚信良好承诺书（格式</w:t>
      </w:r>
      <w:r>
        <w:rPr>
          <w:rFonts w:ascii="宋体" w:hAnsi="宋体" w:eastAsia="宋体" w:cs="宋体"/>
          <w:color w:val="auto"/>
          <w:spacing w:val="7"/>
          <w:sz w:val="20"/>
          <w:szCs w:val="20"/>
          <w:highlight w:val="none"/>
        </w:rPr>
        <w:t>自拟）及“信用中国</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”网站无行政处罚信</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息查询截图复印件加盖公章。</w:t>
      </w:r>
    </w:p>
    <w:p w14:paraId="6FB2328C">
      <w:pPr>
        <w:spacing w:line="240" w:lineRule="auto"/>
        <w:rPr>
          <w:rFonts w:hint="eastAsia" w:ascii="宋体" w:hAnsi="宋体" w:eastAsia="宋体" w:cs="宋体"/>
          <w:color w:val="auto"/>
          <w:sz w:val="21"/>
          <w:szCs w:val="21"/>
          <w:highlight w:val="none"/>
        </w:rPr>
      </w:pPr>
    </w:p>
    <w:p w14:paraId="6CBC4271">
      <w:pPr>
        <w:spacing w:line="362" w:lineRule="auto"/>
        <w:rPr>
          <w:rFonts w:ascii="宋体" w:hAnsi="宋体" w:eastAsia="宋体" w:cs="宋体"/>
          <w:color w:val="auto"/>
          <w:sz w:val="20"/>
          <w:szCs w:val="20"/>
          <w:highlight w:val="none"/>
        </w:rPr>
        <w:sectPr>
          <w:footerReference r:id="rId18" w:type="default"/>
          <w:pgSz w:w="11906" w:h="16839"/>
          <w:pgMar w:top="1407" w:right="1362" w:bottom="1156" w:left="1369" w:header="0" w:footer="994" w:gutter="0"/>
          <w:pgNumType w:fmt="decimal"/>
          <w:cols w:space="720" w:num="1"/>
        </w:sectPr>
      </w:pPr>
    </w:p>
    <w:p w14:paraId="52A085F8">
      <w:pPr>
        <w:spacing w:before="47" w:line="218" w:lineRule="auto"/>
        <w:jc w:val="center"/>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5"/>
          <w:sz w:val="24"/>
          <w:szCs w:val="24"/>
          <w:highlight w:val="none"/>
          <w:lang w:eastAsia="zh-CN"/>
        </w:rPr>
        <w:t>四、</w:t>
      </w:r>
      <w:r>
        <w:rPr>
          <w:rFonts w:ascii="宋体" w:hAnsi="宋体" w:eastAsia="宋体" w:cs="宋体"/>
          <w:b/>
          <w:bCs/>
          <w:color w:val="auto"/>
          <w:spacing w:val="-5"/>
          <w:sz w:val="24"/>
          <w:szCs w:val="24"/>
          <w:highlight w:val="none"/>
        </w:rPr>
        <w:t xml:space="preserve"> </w:t>
      </w:r>
      <w:r>
        <w:rPr>
          <w:rFonts w:hint="eastAsia" w:ascii="宋体" w:hAnsi="宋体" w:eastAsia="宋体" w:cs="宋体"/>
          <w:b/>
          <w:bCs/>
          <w:color w:val="auto"/>
          <w:spacing w:val="-7"/>
          <w:sz w:val="24"/>
          <w:szCs w:val="24"/>
          <w:highlight w:val="none"/>
        </w:rPr>
        <w:t>首次报价一览表(以</w:t>
      </w:r>
      <w:r>
        <w:rPr>
          <w:rFonts w:hint="eastAsia" w:ascii="宋体" w:hAnsi="宋体" w:eastAsia="宋体" w:cs="宋体"/>
          <w:b/>
          <w:bCs/>
          <w:color w:val="auto"/>
          <w:spacing w:val="-7"/>
          <w:sz w:val="24"/>
          <w:szCs w:val="24"/>
          <w:highlight w:val="none"/>
          <w:lang w:val="en-US" w:eastAsia="zh-CN"/>
        </w:rPr>
        <w:t>政采云</w:t>
      </w:r>
      <w:r>
        <w:rPr>
          <w:rFonts w:hint="eastAsia" w:ascii="宋体" w:hAnsi="宋体" w:eastAsia="宋体" w:cs="宋体"/>
          <w:b/>
          <w:bCs/>
          <w:color w:val="auto"/>
          <w:spacing w:val="-7"/>
          <w:sz w:val="24"/>
          <w:szCs w:val="24"/>
          <w:highlight w:val="none"/>
        </w:rPr>
        <w:t>系统</w:t>
      </w:r>
      <w:r>
        <w:rPr>
          <w:rFonts w:hint="eastAsia" w:ascii="宋体" w:hAnsi="宋体" w:eastAsia="宋体" w:cs="宋体"/>
          <w:b/>
          <w:bCs/>
          <w:color w:val="auto"/>
          <w:spacing w:val="-7"/>
          <w:sz w:val="24"/>
          <w:szCs w:val="24"/>
          <w:highlight w:val="none"/>
          <w:lang w:val="en-US" w:eastAsia="zh-CN"/>
        </w:rPr>
        <w:t>显示</w:t>
      </w:r>
      <w:r>
        <w:rPr>
          <w:rFonts w:hint="eastAsia" w:ascii="宋体" w:hAnsi="宋体" w:eastAsia="宋体" w:cs="宋体"/>
          <w:b/>
          <w:bCs/>
          <w:color w:val="auto"/>
          <w:spacing w:val="-7"/>
          <w:sz w:val="24"/>
          <w:szCs w:val="24"/>
          <w:highlight w:val="none"/>
        </w:rPr>
        <w:t>为准)</w:t>
      </w:r>
    </w:p>
    <w:p w14:paraId="43B060B3">
      <w:pPr>
        <w:spacing w:before="47" w:line="218" w:lineRule="auto"/>
        <w:ind w:left="3271"/>
        <w:rPr>
          <w:rFonts w:hint="eastAsia" w:ascii="宋体" w:hAnsi="宋体" w:eastAsia="宋体" w:cs="宋体"/>
          <w:b/>
          <w:bCs/>
          <w:color w:val="auto"/>
          <w:spacing w:val="-7"/>
          <w:sz w:val="24"/>
          <w:szCs w:val="24"/>
          <w:highlight w:val="none"/>
        </w:rPr>
      </w:pPr>
    </w:p>
    <w:p w14:paraId="47B31959">
      <w:pPr>
        <w:spacing w:before="47" w:line="218" w:lineRule="auto"/>
        <w:ind w:left="3271"/>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7"/>
          <w:sz w:val="24"/>
          <w:szCs w:val="24"/>
          <w:highlight w:val="none"/>
        </w:rPr>
        <w:t>首次报价一览表</w:t>
      </w:r>
    </w:p>
    <w:p w14:paraId="3B540B97">
      <w:pPr>
        <w:spacing w:before="139" w:line="228" w:lineRule="auto"/>
        <w:rPr>
          <w:rFonts w:hint="eastAsia" w:ascii="宋体" w:hAnsi="宋体" w:eastAsia="宋体" w:cs="宋体"/>
          <w:spacing w:val="0"/>
          <w:w w:val="100"/>
          <w:position w:val="0"/>
          <w:sz w:val="24"/>
          <w:szCs w:val="24"/>
        </w:rPr>
      </w:pPr>
    </w:p>
    <w:p w14:paraId="7A7D85C1">
      <w:pPr>
        <w:spacing w:before="139" w:line="228" w:lineRule="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项目名称：</w:t>
      </w:r>
    </w:p>
    <w:p w14:paraId="35908B3B">
      <w:pPr>
        <w:spacing w:before="258" w:line="228" w:lineRule="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项目</w:t>
      </w:r>
      <w:r>
        <w:rPr>
          <w:rFonts w:hint="eastAsia" w:ascii="宋体" w:hAnsi="宋体" w:eastAsia="宋体" w:cs="宋体"/>
          <w:spacing w:val="0"/>
          <w:w w:val="100"/>
          <w:position w:val="0"/>
          <w:sz w:val="24"/>
          <w:szCs w:val="24"/>
        </w:rPr>
        <w:t>编号：                                磋商时间：   年  月  日</w:t>
      </w:r>
    </w:p>
    <w:p w14:paraId="4C945D1C">
      <w:pPr>
        <w:spacing w:line="92" w:lineRule="exact"/>
        <w:rPr>
          <w:rFonts w:hint="eastAsia" w:ascii="宋体" w:hAnsi="宋体" w:eastAsia="宋体" w:cs="宋体"/>
          <w:spacing w:val="0"/>
          <w:w w:val="100"/>
          <w:position w:val="0"/>
          <w:sz w:val="24"/>
          <w:szCs w:val="24"/>
        </w:rPr>
      </w:pPr>
    </w:p>
    <w:tbl>
      <w:tblPr>
        <w:tblStyle w:val="20"/>
        <w:tblW w:w="8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6"/>
        <w:gridCol w:w="1343"/>
        <w:gridCol w:w="1793"/>
        <w:gridCol w:w="1344"/>
        <w:gridCol w:w="1343"/>
        <w:gridCol w:w="747"/>
      </w:tblGrid>
      <w:tr w14:paraId="15DDB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jc w:val="center"/>
        </w:trPr>
        <w:tc>
          <w:tcPr>
            <w:tcW w:w="1906" w:type="dxa"/>
            <w:vAlign w:val="center"/>
          </w:tcPr>
          <w:p w14:paraId="26D4D4B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lang w:val="en-US" w:eastAsia="zh-CN"/>
              </w:rPr>
              <w:t>单位名称</w:t>
            </w:r>
          </w:p>
        </w:tc>
        <w:tc>
          <w:tcPr>
            <w:tcW w:w="1343" w:type="dxa"/>
            <w:vAlign w:val="center"/>
          </w:tcPr>
          <w:p w14:paraId="48D8D585">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报价</w:t>
            </w:r>
          </w:p>
        </w:tc>
        <w:tc>
          <w:tcPr>
            <w:tcW w:w="1793" w:type="dxa"/>
            <w:vAlign w:val="center"/>
          </w:tcPr>
          <w:p w14:paraId="4EE88088">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合同履行期限</w:t>
            </w:r>
          </w:p>
          <w:p w14:paraId="6A8B163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(计划工期)</w:t>
            </w:r>
          </w:p>
        </w:tc>
        <w:tc>
          <w:tcPr>
            <w:tcW w:w="1344" w:type="dxa"/>
            <w:vAlign w:val="center"/>
          </w:tcPr>
          <w:p w14:paraId="0E9E9B6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质量</w:t>
            </w:r>
          </w:p>
          <w:p w14:paraId="165D29EB">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标准</w:t>
            </w:r>
          </w:p>
        </w:tc>
        <w:tc>
          <w:tcPr>
            <w:tcW w:w="1343" w:type="dxa"/>
            <w:vAlign w:val="center"/>
          </w:tcPr>
          <w:p w14:paraId="63A880B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项目经理及其执业证书信息</w:t>
            </w:r>
          </w:p>
        </w:tc>
        <w:tc>
          <w:tcPr>
            <w:tcW w:w="747" w:type="dxa"/>
            <w:vAlign w:val="center"/>
          </w:tcPr>
          <w:p w14:paraId="63C1809C">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备注</w:t>
            </w:r>
          </w:p>
        </w:tc>
      </w:tr>
      <w:tr w14:paraId="7D772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jc w:val="center"/>
        </w:trPr>
        <w:tc>
          <w:tcPr>
            <w:tcW w:w="1906" w:type="dxa"/>
            <w:vAlign w:val="center"/>
          </w:tcPr>
          <w:p w14:paraId="0C92D1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p>
        </w:tc>
        <w:tc>
          <w:tcPr>
            <w:tcW w:w="1343" w:type="dxa"/>
            <w:vAlign w:val="center"/>
          </w:tcPr>
          <w:p w14:paraId="147816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p>
        </w:tc>
        <w:tc>
          <w:tcPr>
            <w:tcW w:w="1793" w:type="dxa"/>
            <w:vAlign w:val="center"/>
          </w:tcPr>
          <w:p w14:paraId="68B084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p>
        </w:tc>
        <w:tc>
          <w:tcPr>
            <w:tcW w:w="1344" w:type="dxa"/>
            <w:vAlign w:val="center"/>
          </w:tcPr>
          <w:p w14:paraId="6CE377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p>
        </w:tc>
        <w:tc>
          <w:tcPr>
            <w:tcW w:w="1343" w:type="dxa"/>
            <w:vAlign w:val="center"/>
          </w:tcPr>
          <w:p w14:paraId="0A0CBA7E">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w:t>
            </w:r>
            <w:r>
              <w:rPr>
                <w:rFonts w:hint="eastAsia" w:ascii="宋体" w:hAnsi="宋体" w:eastAsia="宋体" w:cs="宋体"/>
                <w:spacing w:val="0"/>
                <w:w w:val="100"/>
                <w:position w:val="0"/>
                <w:sz w:val="24"/>
                <w:szCs w:val="24"/>
              </w:rPr>
              <w:t>有/无</w:t>
            </w:r>
            <w:r>
              <w:rPr>
                <w:rFonts w:hint="eastAsia" w:ascii="宋体" w:hAnsi="宋体" w:eastAsia="宋体" w:cs="宋体"/>
                <w:spacing w:val="0"/>
                <w:w w:val="100"/>
                <w:position w:val="0"/>
                <w:sz w:val="24"/>
                <w:szCs w:val="24"/>
                <w:lang w:val="en-US" w:eastAsia="zh-CN"/>
              </w:rPr>
              <w:t>)</w:t>
            </w:r>
          </w:p>
        </w:tc>
        <w:tc>
          <w:tcPr>
            <w:tcW w:w="747" w:type="dxa"/>
            <w:vAlign w:val="center"/>
          </w:tcPr>
          <w:p w14:paraId="1DE0ED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0"/>
                <w:w w:val="100"/>
                <w:position w:val="0"/>
                <w:sz w:val="24"/>
                <w:szCs w:val="24"/>
              </w:rPr>
            </w:pPr>
          </w:p>
        </w:tc>
      </w:tr>
    </w:tbl>
    <w:p w14:paraId="145C4F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注：</w:t>
      </w:r>
    </w:p>
    <w:p w14:paraId="742F71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1、此表可以自行调整表格宽度。</w:t>
      </w:r>
    </w:p>
    <w:p w14:paraId="1E8C2E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2、响应报价以万元为单位。</w:t>
      </w:r>
    </w:p>
    <w:p w14:paraId="47C30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、优惠条件及服务承诺如有，应在响应文件中详细列明，本表中只填写“有/无 ”。</w:t>
      </w:r>
    </w:p>
    <w:p w14:paraId="53572B33">
      <w:pPr>
        <w:pStyle w:val="8"/>
        <w:spacing w:line="307" w:lineRule="auto"/>
        <w:rPr>
          <w:rFonts w:hint="eastAsia" w:ascii="宋体" w:hAnsi="宋体" w:eastAsia="宋体" w:cs="宋体"/>
          <w:spacing w:val="0"/>
          <w:w w:val="100"/>
          <w:position w:val="0"/>
          <w:sz w:val="24"/>
          <w:szCs w:val="24"/>
        </w:rPr>
      </w:pPr>
    </w:p>
    <w:p w14:paraId="340CE871">
      <w:pPr>
        <w:pStyle w:val="8"/>
        <w:spacing w:line="308" w:lineRule="auto"/>
        <w:rPr>
          <w:rFonts w:hint="eastAsia" w:ascii="宋体" w:hAnsi="宋体" w:eastAsia="宋体" w:cs="宋体"/>
          <w:spacing w:val="0"/>
          <w:w w:val="100"/>
          <w:position w:val="0"/>
          <w:sz w:val="24"/>
          <w:szCs w:val="24"/>
        </w:rPr>
      </w:pPr>
    </w:p>
    <w:p w14:paraId="0EC9C0A1">
      <w:pPr>
        <w:spacing w:before="79" w:line="219" w:lineRule="auto"/>
        <w:ind w:left="3106"/>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法定代表人或被授权人签字：</w:t>
      </w:r>
      <w:r>
        <w:rPr>
          <w:rFonts w:hint="eastAsia" w:ascii="宋体" w:hAnsi="宋体" w:eastAsia="宋体" w:cs="宋体"/>
          <w:spacing w:val="0"/>
          <w:w w:val="100"/>
          <w:position w:val="0"/>
          <w:sz w:val="24"/>
          <w:szCs w:val="24"/>
          <w:u w:val="single" w:color="auto"/>
        </w:rPr>
        <w:t xml:space="preserve">                        </w:t>
      </w:r>
    </w:p>
    <w:p w14:paraId="7F927F1D">
      <w:pPr>
        <w:pStyle w:val="8"/>
        <w:spacing w:line="258" w:lineRule="auto"/>
        <w:rPr>
          <w:rFonts w:hint="eastAsia" w:ascii="宋体" w:hAnsi="宋体" w:eastAsia="宋体" w:cs="宋体"/>
          <w:spacing w:val="0"/>
          <w:w w:val="100"/>
          <w:position w:val="0"/>
          <w:sz w:val="24"/>
          <w:szCs w:val="24"/>
        </w:rPr>
      </w:pPr>
    </w:p>
    <w:p w14:paraId="67F658FB">
      <w:pPr>
        <w:spacing w:before="78" w:line="219" w:lineRule="auto"/>
        <w:ind w:left="3105"/>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rPr>
        <w:t>盖章</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p>
    <w:p w14:paraId="48ED7691">
      <w:pPr>
        <w:pStyle w:val="8"/>
        <w:spacing w:line="260" w:lineRule="auto"/>
        <w:rPr>
          <w:rFonts w:hint="eastAsia" w:ascii="宋体" w:hAnsi="宋体" w:eastAsia="宋体" w:cs="宋体"/>
          <w:spacing w:val="0"/>
          <w:w w:val="100"/>
          <w:position w:val="0"/>
          <w:sz w:val="24"/>
          <w:szCs w:val="24"/>
        </w:rPr>
      </w:pPr>
    </w:p>
    <w:p w14:paraId="6D816CC8">
      <w:pPr>
        <w:spacing w:before="33" w:line="228" w:lineRule="auto"/>
        <w:ind w:left="576" w:firstLine="2640" w:firstLineChars="1100"/>
        <w:rPr>
          <w:rFonts w:hint="default" w:eastAsia="宋体"/>
          <w:color w:val="auto"/>
          <w:szCs w:val="21"/>
          <w:highlight w:val="none"/>
          <w:lang w:val="en-US" w:eastAsia="zh-CN"/>
        </w:rPr>
      </w:pPr>
      <w:r>
        <w:rPr>
          <w:rFonts w:hint="eastAsia" w:ascii="宋体" w:hAnsi="宋体" w:eastAsia="宋体" w:cs="宋体"/>
          <w:spacing w:val="0"/>
          <w:w w:val="100"/>
          <w:position w:val="0"/>
          <w:sz w:val="24"/>
          <w:szCs w:val="24"/>
        </w:rPr>
        <w:t>日       期 ：</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single" w:color="auto"/>
          <w:lang w:val="en-US" w:eastAsia="zh-CN"/>
        </w:rPr>
        <w:t xml:space="preserve">              </w:t>
      </w:r>
      <w:r>
        <w:rPr>
          <w:rFonts w:hint="eastAsia" w:ascii="宋体" w:hAnsi="宋体" w:eastAsia="宋体" w:cs="宋体"/>
          <w:spacing w:val="0"/>
          <w:w w:val="100"/>
          <w:position w:val="0"/>
          <w:sz w:val="24"/>
          <w:szCs w:val="24"/>
          <w:u w:val="single" w:color="auto"/>
        </w:rPr>
        <w:t xml:space="preserve">   </w:t>
      </w:r>
    </w:p>
    <w:p w14:paraId="04AE95A6">
      <w:pPr>
        <w:spacing w:before="33" w:line="228" w:lineRule="auto"/>
        <w:ind w:left="576"/>
        <w:rPr>
          <w:color w:val="auto"/>
          <w:szCs w:val="21"/>
          <w:highlight w:val="none"/>
        </w:rPr>
      </w:pPr>
    </w:p>
    <w:p w14:paraId="4EA993EB">
      <w:pPr>
        <w:spacing w:before="33" w:line="228" w:lineRule="auto"/>
        <w:ind w:left="576"/>
        <w:rPr>
          <w:rFonts w:hint="eastAsia" w:ascii="宋体" w:hAnsi="宋体" w:eastAsia="宋体" w:cs="宋体"/>
          <w:color w:val="auto"/>
          <w:sz w:val="20"/>
          <w:szCs w:val="20"/>
          <w:highlight w:val="none"/>
          <w:lang w:val="en-US" w:eastAsia="zh-CN"/>
        </w:rPr>
      </w:pPr>
    </w:p>
    <w:p w14:paraId="42445C0B">
      <w:pPr>
        <w:spacing w:line="228" w:lineRule="auto"/>
        <w:rPr>
          <w:rFonts w:ascii="宋体" w:hAnsi="宋体" w:eastAsia="宋体" w:cs="宋体"/>
          <w:color w:val="auto"/>
          <w:sz w:val="20"/>
          <w:szCs w:val="20"/>
          <w:highlight w:val="none"/>
        </w:rPr>
        <w:sectPr>
          <w:footerReference r:id="rId19" w:type="default"/>
          <w:pgSz w:w="11906" w:h="16839"/>
          <w:pgMar w:top="1407" w:right="1248" w:bottom="1156" w:left="1248" w:header="0" w:footer="994" w:gutter="0"/>
          <w:pgNumType w:fmt="decimal"/>
          <w:cols w:space="720" w:num="1"/>
        </w:sectPr>
      </w:pPr>
    </w:p>
    <w:p w14:paraId="6F88BB41">
      <w:pPr>
        <w:spacing w:before="47" w:line="218" w:lineRule="auto"/>
        <w:ind w:left="3271"/>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五、</w:t>
      </w:r>
      <w:r>
        <w:rPr>
          <w:rFonts w:ascii="宋体" w:hAnsi="宋体" w:eastAsia="宋体" w:cs="宋体"/>
          <w:color w:val="auto"/>
          <w:spacing w:val="20"/>
          <w:sz w:val="24"/>
          <w:szCs w:val="24"/>
          <w:highlight w:val="none"/>
        </w:rPr>
        <w:t xml:space="preserve">  </w:t>
      </w:r>
      <w:r>
        <w:rPr>
          <w:rFonts w:ascii="宋体" w:hAnsi="宋体" w:eastAsia="宋体" w:cs="宋体"/>
          <w:b/>
          <w:bCs/>
          <w:color w:val="auto"/>
          <w:spacing w:val="-7"/>
          <w:sz w:val="24"/>
          <w:szCs w:val="24"/>
          <w:highlight w:val="none"/>
        </w:rPr>
        <w:t>已标价工程量清单</w:t>
      </w:r>
    </w:p>
    <w:p w14:paraId="10405B17">
      <w:pPr>
        <w:pStyle w:val="8"/>
        <w:spacing w:line="292" w:lineRule="auto"/>
        <w:rPr>
          <w:color w:val="auto"/>
          <w:highlight w:val="none"/>
        </w:rPr>
      </w:pPr>
    </w:p>
    <w:p w14:paraId="2BEEF871">
      <w:pPr>
        <w:pStyle w:val="8"/>
        <w:spacing w:line="292" w:lineRule="auto"/>
        <w:rPr>
          <w:color w:val="auto"/>
          <w:highlight w:val="none"/>
        </w:rPr>
      </w:pPr>
    </w:p>
    <w:p w14:paraId="4F40EC19">
      <w:pPr>
        <w:pStyle w:val="8"/>
        <w:spacing w:line="293" w:lineRule="auto"/>
        <w:rPr>
          <w:color w:val="auto"/>
          <w:highlight w:val="none"/>
        </w:rPr>
      </w:pPr>
    </w:p>
    <w:p w14:paraId="6392C573">
      <w:pPr>
        <w:spacing w:before="65" w:line="226"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供应商应按照《建设工程工程量清单计价规范》提供的工程量清单计价格式编制。已标价工程</w:t>
      </w:r>
    </w:p>
    <w:p w14:paraId="699C16E6">
      <w:pPr>
        <w:spacing w:before="165" w:line="209"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量清单封皮有注册造价师签字并盖专用章（首次及最后</w:t>
      </w:r>
      <w:r>
        <w:rPr>
          <w:rFonts w:ascii="宋体" w:hAnsi="宋体" w:eastAsia="宋体" w:cs="宋体"/>
          <w:color w:val="auto"/>
          <w:spacing w:val="8"/>
          <w:sz w:val="20"/>
          <w:szCs w:val="20"/>
          <w:highlight w:val="none"/>
        </w:rPr>
        <w:t>报价）。</w:t>
      </w:r>
    </w:p>
    <w:p w14:paraId="177C8E27">
      <w:pPr>
        <w:spacing w:line="86" w:lineRule="exact"/>
        <w:ind w:left="1342"/>
        <w:rPr>
          <w:rFonts w:ascii="宋体" w:hAnsi="宋体" w:eastAsia="宋体" w:cs="宋体"/>
          <w:color w:val="auto"/>
          <w:sz w:val="20"/>
          <w:szCs w:val="20"/>
          <w:highlight w:val="none"/>
        </w:rPr>
      </w:pPr>
      <w:r>
        <w:rPr>
          <w:rFonts w:ascii="宋体" w:hAnsi="宋体" w:eastAsia="宋体" w:cs="宋体"/>
          <w:color w:val="auto"/>
          <w:spacing w:val="-15"/>
          <w:w w:val="57"/>
          <w:position w:val="1"/>
          <w:sz w:val="20"/>
          <w:szCs w:val="20"/>
          <w:highlight w:val="none"/>
        </w:rPr>
        <w:t>.</w:t>
      </w:r>
      <w:r>
        <w:rPr>
          <w:rFonts w:ascii="宋体" w:hAnsi="宋体" w:eastAsia="宋体" w:cs="宋体"/>
          <w:color w:val="auto"/>
          <w:spacing w:val="84"/>
          <w:position w:val="1"/>
          <w:sz w:val="20"/>
          <w:szCs w:val="20"/>
          <w:highlight w:val="none"/>
        </w:rPr>
        <w:t xml:space="preserve"> </w:t>
      </w:r>
      <w:r>
        <w:rPr>
          <w:rFonts w:ascii="宋体" w:hAnsi="宋体" w:eastAsia="宋体" w:cs="宋体"/>
          <w:color w:val="auto"/>
          <w:spacing w:val="-15"/>
          <w:w w:val="57"/>
          <w:position w:val="1"/>
          <w:sz w:val="20"/>
          <w:szCs w:val="20"/>
          <w:highlight w:val="none"/>
        </w:rPr>
        <w:t>.</w:t>
      </w:r>
      <w:r>
        <w:rPr>
          <w:rFonts w:ascii="宋体" w:hAnsi="宋体" w:eastAsia="宋体" w:cs="宋体"/>
          <w:color w:val="auto"/>
          <w:spacing w:val="82"/>
          <w:position w:val="1"/>
          <w:sz w:val="20"/>
          <w:szCs w:val="20"/>
          <w:highlight w:val="none"/>
        </w:rPr>
        <w:t xml:space="preserve"> </w:t>
      </w:r>
      <w:r>
        <w:rPr>
          <w:rFonts w:ascii="宋体" w:hAnsi="宋体" w:eastAsia="宋体" w:cs="宋体"/>
          <w:color w:val="auto"/>
          <w:spacing w:val="-15"/>
          <w:w w:val="57"/>
          <w:position w:val="1"/>
          <w:sz w:val="20"/>
          <w:szCs w:val="20"/>
          <w:highlight w:val="none"/>
        </w:rPr>
        <w:t>.</w:t>
      </w:r>
      <w:r>
        <w:rPr>
          <w:rFonts w:ascii="宋体" w:hAnsi="宋体" w:eastAsia="宋体" w:cs="宋体"/>
          <w:color w:val="auto"/>
          <w:spacing w:val="81"/>
          <w:position w:val="1"/>
          <w:sz w:val="20"/>
          <w:szCs w:val="20"/>
          <w:highlight w:val="none"/>
        </w:rPr>
        <w:t xml:space="preserve"> </w:t>
      </w:r>
      <w:r>
        <w:rPr>
          <w:rFonts w:ascii="宋体" w:hAnsi="宋体" w:eastAsia="宋体" w:cs="宋体"/>
          <w:color w:val="auto"/>
          <w:spacing w:val="-15"/>
          <w:w w:val="57"/>
          <w:position w:val="1"/>
          <w:sz w:val="20"/>
          <w:szCs w:val="20"/>
          <w:highlight w:val="none"/>
        </w:rPr>
        <w:t>.</w:t>
      </w:r>
      <w:r>
        <w:rPr>
          <w:rFonts w:ascii="宋体" w:hAnsi="宋体" w:eastAsia="宋体" w:cs="宋体"/>
          <w:color w:val="auto"/>
          <w:spacing w:val="81"/>
          <w:position w:val="1"/>
          <w:sz w:val="20"/>
          <w:szCs w:val="20"/>
          <w:highlight w:val="none"/>
        </w:rPr>
        <w:t xml:space="preserve"> </w:t>
      </w:r>
      <w:r>
        <w:rPr>
          <w:rFonts w:ascii="宋体" w:hAnsi="宋体" w:eastAsia="宋体" w:cs="宋体"/>
          <w:color w:val="auto"/>
          <w:spacing w:val="-15"/>
          <w:w w:val="57"/>
          <w:position w:val="1"/>
          <w:sz w:val="20"/>
          <w:szCs w:val="20"/>
          <w:highlight w:val="none"/>
        </w:rPr>
        <w:t>.</w:t>
      </w:r>
    </w:p>
    <w:p w14:paraId="0479DDEB">
      <w:pPr>
        <w:spacing w:line="86" w:lineRule="exact"/>
        <w:rPr>
          <w:rFonts w:ascii="宋体" w:hAnsi="宋体" w:eastAsia="宋体" w:cs="宋体"/>
          <w:color w:val="auto"/>
          <w:sz w:val="20"/>
          <w:szCs w:val="20"/>
          <w:highlight w:val="none"/>
        </w:rPr>
        <w:sectPr>
          <w:footerReference r:id="rId20" w:type="default"/>
          <w:pgSz w:w="11906" w:h="16839"/>
          <w:pgMar w:top="1347" w:right="1362" w:bottom="1156" w:left="1368" w:header="0" w:footer="994" w:gutter="0"/>
          <w:pgNumType w:fmt="decimal"/>
          <w:cols w:space="720" w:num="1"/>
        </w:sectPr>
      </w:pPr>
    </w:p>
    <w:p w14:paraId="07C2AF85">
      <w:pPr>
        <w:spacing w:before="47" w:line="221" w:lineRule="auto"/>
        <w:ind w:left="351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六、</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施工组织设计</w:t>
      </w:r>
    </w:p>
    <w:p w14:paraId="7D957C94">
      <w:pPr>
        <w:pStyle w:val="8"/>
        <w:spacing w:line="246" w:lineRule="auto"/>
        <w:rPr>
          <w:color w:val="auto"/>
          <w:highlight w:val="none"/>
        </w:rPr>
      </w:pPr>
    </w:p>
    <w:p w14:paraId="5269F242">
      <w:pPr>
        <w:pStyle w:val="8"/>
        <w:spacing w:line="247" w:lineRule="auto"/>
        <w:rPr>
          <w:color w:val="auto"/>
          <w:highlight w:val="none"/>
        </w:rPr>
      </w:pPr>
    </w:p>
    <w:p w14:paraId="42775949">
      <w:pPr>
        <w:spacing w:before="65" w:line="302" w:lineRule="auto"/>
        <w:ind w:firstLine="324"/>
        <w:rPr>
          <w:rFonts w:ascii="宋体" w:hAnsi="宋体" w:eastAsia="宋体" w:cs="宋体"/>
          <w:color w:val="auto"/>
          <w:sz w:val="20"/>
          <w:szCs w:val="20"/>
          <w:highlight w:val="none"/>
        </w:rPr>
      </w:pPr>
      <w:r>
        <w:rPr>
          <w:rFonts w:ascii="Calibri" w:hAnsi="Calibri" w:eastAsia="Calibri" w:cs="Calibri"/>
          <w:color w:val="auto"/>
          <w:spacing w:val="8"/>
          <w:sz w:val="20"/>
          <w:szCs w:val="20"/>
          <w:highlight w:val="none"/>
        </w:rPr>
        <w:t>1</w:t>
      </w:r>
      <w:r>
        <w:rPr>
          <w:rFonts w:ascii="Calibri" w:hAnsi="Calibri" w:eastAsia="Calibri" w:cs="Calibri"/>
          <w:color w:val="auto"/>
          <w:spacing w:val="-18"/>
          <w:sz w:val="20"/>
          <w:szCs w:val="20"/>
          <w:highlight w:val="none"/>
        </w:rPr>
        <w:t xml:space="preserve"> </w:t>
      </w:r>
      <w:r>
        <w:rPr>
          <w:rFonts w:ascii="宋体" w:hAnsi="宋体" w:eastAsia="宋体" w:cs="宋体"/>
          <w:color w:val="auto"/>
          <w:spacing w:val="8"/>
          <w:sz w:val="20"/>
          <w:szCs w:val="20"/>
          <w:highlight w:val="none"/>
        </w:rPr>
        <w:t>．投标供应商应根据磋商文件及工程量清</w:t>
      </w:r>
      <w:r>
        <w:rPr>
          <w:rFonts w:ascii="宋体" w:hAnsi="宋体" w:eastAsia="宋体" w:cs="宋体"/>
          <w:color w:val="auto"/>
          <w:spacing w:val="7"/>
          <w:sz w:val="20"/>
          <w:szCs w:val="20"/>
          <w:highlight w:val="none"/>
        </w:rPr>
        <w:t>单，采用文字并结合图表形式，参考以下要点编制本工</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程的施工组织设计：</w:t>
      </w:r>
    </w:p>
    <w:p w14:paraId="42D21B67">
      <w:pPr>
        <w:spacing w:before="162" w:line="228" w:lineRule="auto"/>
        <w:ind w:left="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Calibri" w:hAnsi="Calibri" w:eastAsia="Calibri" w:cs="Calibri"/>
          <w:color w:val="auto"/>
          <w:spacing w:val="7"/>
          <w:sz w:val="20"/>
          <w:szCs w:val="20"/>
          <w:highlight w:val="none"/>
        </w:rPr>
        <w:t>1</w:t>
      </w:r>
      <w:r>
        <w:rPr>
          <w:rFonts w:ascii="宋体" w:hAnsi="宋体" w:eastAsia="宋体" w:cs="宋体"/>
          <w:color w:val="auto"/>
          <w:spacing w:val="7"/>
          <w:sz w:val="20"/>
          <w:szCs w:val="20"/>
          <w:highlight w:val="none"/>
        </w:rPr>
        <w:t>）施工方案与技术措施</w:t>
      </w:r>
    </w:p>
    <w:p w14:paraId="394F92BC">
      <w:pPr>
        <w:spacing w:before="161" w:line="228" w:lineRule="auto"/>
        <w:ind w:left="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Calibri" w:hAnsi="Calibri" w:eastAsia="Calibri" w:cs="Calibri"/>
          <w:color w:val="auto"/>
          <w:spacing w:val="7"/>
          <w:sz w:val="20"/>
          <w:szCs w:val="20"/>
          <w:highlight w:val="none"/>
        </w:rPr>
        <w:t>2</w:t>
      </w:r>
      <w:r>
        <w:rPr>
          <w:rFonts w:ascii="宋体" w:hAnsi="宋体" w:eastAsia="宋体" w:cs="宋体"/>
          <w:color w:val="auto"/>
          <w:spacing w:val="7"/>
          <w:sz w:val="20"/>
          <w:szCs w:val="20"/>
          <w:highlight w:val="none"/>
        </w:rPr>
        <w:t>）质量管理体系与措施</w:t>
      </w:r>
    </w:p>
    <w:p w14:paraId="53E97BAF">
      <w:pPr>
        <w:spacing w:before="160" w:line="228" w:lineRule="auto"/>
        <w:ind w:left="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Calibri" w:hAnsi="Calibri" w:eastAsia="Calibri" w:cs="Calibri"/>
          <w:color w:val="auto"/>
          <w:spacing w:val="7"/>
          <w:sz w:val="20"/>
          <w:szCs w:val="20"/>
          <w:highlight w:val="none"/>
        </w:rPr>
        <w:t>3</w:t>
      </w:r>
      <w:r>
        <w:rPr>
          <w:rFonts w:ascii="宋体" w:hAnsi="宋体" w:eastAsia="宋体" w:cs="宋体"/>
          <w:color w:val="auto"/>
          <w:spacing w:val="7"/>
          <w:sz w:val="20"/>
          <w:szCs w:val="20"/>
          <w:highlight w:val="none"/>
        </w:rPr>
        <w:t>）安全管理体系与措施</w:t>
      </w:r>
    </w:p>
    <w:p w14:paraId="3A701B0B">
      <w:pPr>
        <w:spacing w:before="161" w:line="228" w:lineRule="auto"/>
        <w:ind w:left="1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w:t>
      </w:r>
      <w:r>
        <w:rPr>
          <w:rFonts w:ascii="Calibri" w:hAnsi="Calibri" w:eastAsia="Calibri" w:cs="Calibri"/>
          <w:color w:val="auto"/>
          <w:spacing w:val="8"/>
          <w:sz w:val="20"/>
          <w:szCs w:val="20"/>
          <w:highlight w:val="none"/>
        </w:rPr>
        <w:t>4</w:t>
      </w:r>
      <w:r>
        <w:rPr>
          <w:rFonts w:ascii="宋体" w:hAnsi="宋体" w:eastAsia="宋体" w:cs="宋体"/>
          <w:color w:val="auto"/>
          <w:spacing w:val="8"/>
          <w:sz w:val="20"/>
          <w:szCs w:val="20"/>
          <w:highlight w:val="none"/>
        </w:rPr>
        <w:t>）环境保护管理体系与措施</w:t>
      </w:r>
    </w:p>
    <w:p w14:paraId="56B98F38">
      <w:pPr>
        <w:spacing w:before="162" w:line="228" w:lineRule="auto"/>
        <w:ind w:left="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Calibri" w:hAnsi="Calibri" w:eastAsia="Calibri" w:cs="Calibri"/>
          <w:color w:val="auto"/>
          <w:spacing w:val="7"/>
          <w:sz w:val="20"/>
          <w:szCs w:val="20"/>
          <w:highlight w:val="none"/>
        </w:rPr>
        <w:t>5</w:t>
      </w:r>
      <w:r>
        <w:rPr>
          <w:rFonts w:ascii="宋体" w:hAnsi="宋体" w:eastAsia="宋体" w:cs="宋体"/>
          <w:color w:val="auto"/>
          <w:spacing w:val="7"/>
          <w:sz w:val="20"/>
          <w:szCs w:val="20"/>
          <w:highlight w:val="none"/>
        </w:rPr>
        <w:t>）工程进度计划与措施</w:t>
      </w:r>
    </w:p>
    <w:p w14:paraId="698ABA76">
      <w:pPr>
        <w:spacing w:before="163" w:line="227" w:lineRule="auto"/>
        <w:ind w:left="1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w:t>
      </w:r>
      <w:r>
        <w:rPr>
          <w:rFonts w:ascii="Calibri" w:hAnsi="Calibri" w:eastAsia="Calibri" w:cs="Calibri"/>
          <w:color w:val="auto"/>
          <w:spacing w:val="8"/>
          <w:sz w:val="20"/>
          <w:szCs w:val="20"/>
          <w:highlight w:val="none"/>
        </w:rPr>
        <w:t>6</w:t>
      </w:r>
      <w:r>
        <w:rPr>
          <w:rFonts w:ascii="宋体" w:hAnsi="宋体" w:eastAsia="宋体" w:cs="宋体"/>
          <w:color w:val="auto"/>
          <w:spacing w:val="8"/>
          <w:sz w:val="20"/>
          <w:szCs w:val="20"/>
          <w:highlight w:val="none"/>
        </w:rPr>
        <w:t>）主要施工机械设备情况</w:t>
      </w:r>
    </w:p>
    <w:p w14:paraId="6A19D24E">
      <w:pPr>
        <w:spacing w:before="162" w:line="228" w:lineRule="auto"/>
        <w:ind w:left="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Calibri" w:hAnsi="Calibri" w:eastAsia="Calibri" w:cs="Calibri"/>
          <w:color w:val="auto"/>
          <w:spacing w:val="7"/>
          <w:sz w:val="20"/>
          <w:szCs w:val="20"/>
          <w:highlight w:val="none"/>
        </w:rPr>
        <w:t>7</w:t>
      </w:r>
      <w:r>
        <w:rPr>
          <w:rFonts w:ascii="宋体" w:hAnsi="宋体" w:eastAsia="宋体" w:cs="宋体"/>
          <w:color w:val="auto"/>
          <w:spacing w:val="7"/>
          <w:sz w:val="20"/>
          <w:szCs w:val="20"/>
          <w:highlight w:val="none"/>
        </w:rPr>
        <w:t>）劳动力安排计划</w:t>
      </w:r>
    </w:p>
    <w:p w14:paraId="4E0AD1D2">
      <w:pPr>
        <w:spacing w:before="161" w:line="227" w:lineRule="auto"/>
        <w:ind w:left="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Calibri" w:hAnsi="Calibri" w:eastAsia="Calibri" w:cs="Calibri"/>
          <w:color w:val="auto"/>
          <w:spacing w:val="7"/>
          <w:sz w:val="20"/>
          <w:szCs w:val="20"/>
          <w:highlight w:val="none"/>
        </w:rPr>
        <w:t>8</w:t>
      </w:r>
      <w:r>
        <w:rPr>
          <w:rFonts w:ascii="宋体" w:hAnsi="宋体" w:eastAsia="宋体" w:cs="宋体"/>
          <w:color w:val="auto"/>
          <w:spacing w:val="7"/>
          <w:sz w:val="20"/>
          <w:szCs w:val="20"/>
          <w:highlight w:val="none"/>
        </w:rPr>
        <w:t>）原材料进场所计划</w:t>
      </w:r>
    </w:p>
    <w:p w14:paraId="4FB5A95A">
      <w:pPr>
        <w:spacing w:before="162" w:line="228" w:lineRule="auto"/>
        <w:ind w:left="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Calibri" w:hAnsi="Calibri" w:eastAsia="Calibri" w:cs="Calibri"/>
          <w:color w:val="auto"/>
          <w:spacing w:val="7"/>
          <w:sz w:val="20"/>
          <w:szCs w:val="20"/>
          <w:highlight w:val="none"/>
        </w:rPr>
        <w:t>9</w:t>
      </w:r>
      <w:r>
        <w:rPr>
          <w:rFonts w:ascii="宋体" w:hAnsi="宋体" w:eastAsia="宋体" w:cs="宋体"/>
          <w:color w:val="auto"/>
          <w:spacing w:val="7"/>
          <w:sz w:val="20"/>
          <w:szCs w:val="20"/>
          <w:highlight w:val="none"/>
        </w:rPr>
        <w:t>）雨季施工方案</w:t>
      </w:r>
    </w:p>
    <w:p w14:paraId="14E46F14">
      <w:pPr>
        <w:spacing w:before="163" w:line="228" w:lineRule="auto"/>
        <w:ind w:left="1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Calibri" w:hAnsi="Calibri" w:eastAsia="Calibri" w:cs="Calibri"/>
          <w:color w:val="auto"/>
          <w:spacing w:val="7"/>
          <w:sz w:val="20"/>
          <w:szCs w:val="20"/>
          <w:highlight w:val="none"/>
        </w:rPr>
        <w:t>10</w:t>
      </w:r>
      <w:r>
        <w:rPr>
          <w:rFonts w:ascii="宋体" w:hAnsi="宋体" w:eastAsia="宋体" w:cs="宋体"/>
          <w:color w:val="auto"/>
          <w:spacing w:val="7"/>
          <w:sz w:val="20"/>
          <w:szCs w:val="20"/>
          <w:highlight w:val="none"/>
        </w:rPr>
        <w:t>）磋商文件规定的其他内容</w:t>
      </w:r>
    </w:p>
    <w:p w14:paraId="7AC02653">
      <w:pPr>
        <w:pStyle w:val="8"/>
        <w:spacing w:line="476" w:lineRule="auto"/>
        <w:rPr>
          <w:color w:val="auto"/>
          <w:highlight w:val="none"/>
        </w:rPr>
      </w:pPr>
    </w:p>
    <w:p w14:paraId="7F4E4D93">
      <w:pPr>
        <w:spacing w:before="66" w:line="362" w:lineRule="auto"/>
        <w:ind w:left="647" w:right="2233" w:hanging="329"/>
        <w:rPr>
          <w:rFonts w:ascii="宋体" w:hAnsi="宋体" w:eastAsia="宋体" w:cs="宋体"/>
          <w:color w:val="auto"/>
          <w:sz w:val="20"/>
          <w:szCs w:val="20"/>
          <w:highlight w:val="none"/>
        </w:rPr>
      </w:pPr>
      <w:r>
        <w:rPr>
          <w:rFonts w:ascii="Calibri" w:hAnsi="Calibri" w:eastAsia="Calibri" w:cs="Calibri"/>
          <w:color w:val="auto"/>
          <w:spacing w:val="8"/>
          <w:sz w:val="20"/>
          <w:szCs w:val="20"/>
          <w:highlight w:val="none"/>
        </w:rPr>
        <w:t>2.</w:t>
      </w:r>
      <w:r>
        <w:rPr>
          <w:rFonts w:ascii="宋体" w:hAnsi="宋体" w:eastAsia="宋体" w:cs="宋体"/>
          <w:color w:val="auto"/>
          <w:spacing w:val="8"/>
          <w:sz w:val="20"/>
          <w:szCs w:val="20"/>
          <w:highlight w:val="none"/>
        </w:rPr>
        <w:t>施工组织设计除采用文字表述外可附下列图表，图表及格式要求附后。</w:t>
      </w:r>
      <w:r>
        <w:rPr>
          <w:rFonts w:ascii="宋体" w:hAnsi="宋体" w:eastAsia="宋体" w:cs="宋体"/>
          <w:color w:val="auto"/>
          <w:spacing w:val="6"/>
          <w:sz w:val="20"/>
          <w:szCs w:val="20"/>
          <w:highlight w:val="none"/>
        </w:rPr>
        <w:t xml:space="preserve"> </w:t>
      </w:r>
      <w:r>
        <w:rPr>
          <w:rFonts w:ascii="宋体" w:hAnsi="宋体" w:eastAsia="宋体" w:cs="宋体"/>
          <w:color w:val="auto"/>
          <w:spacing w:val="8"/>
          <w:sz w:val="20"/>
          <w:szCs w:val="20"/>
          <w:highlight w:val="none"/>
        </w:rPr>
        <w:t>附表一  拟投入本招标项目的主要施工设备表</w:t>
      </w:r>
    </w:p>
    <w:p w14:paraId="36A36B25">
      <w:pPr>
        <w:spacing w:before="32" w:line="227" w:lineRule="auto"/>
        <w:ind w:left="64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附表二  拟配备本招标项目的试验和检测仪器设备表</w:t>
      </w:r>
    </w:p>
    <w:p w14:paraId="6DE51BA7">
      <w:pPr>
        <w:spacing w:before="162" w:line="227" w:lineRule="auto"/>
        <w:ind w:left="64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附表三</w:t>
      </w:r>
      <w:r>
        <w:rPr>
          <w:rFonts w:ascii="宋体" w:hAnsi="宋体" w:eastAsia="宋体" w:cs="宋体"/>
          <w:color w:val="auto"/>
          <w:spacing w:val="13"/>
          <w:sz w:val="20"/>
          <w:szCs w:val="20"/>
          <w:highlight w:val="none"/>
        </w:rPr>
        <w:t xml:space="preserve">  </w:t>
      </w:r>
      <w:r>
        <w:rPr>
          <w:rFonts w:ascii="宋体" w:hAnsi="宋体" w:eastAsia="宋体" w:cs="宋体"/>
          <w:color w:val="auto"/>
          <w:spacing w:val="5"/>
          <w:sz w:val="20"/>
          <w:szCs w:val="20"/>
          <w:highlight w:val="none"/>
        </w:rPr>
        <w:t>劳动力计划表</w:t>
      </w:r>
    </w:p>
    <w:p w14:paraId="5F5213EB">
      <w:pPr>
        <w:spacing w:before="165" w:line="227" w:lineRule="auto"/>
        <w:ind w:left="64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附表四  计划开、竣工日期和施工进度网络图</w:t>
      </w:r>
    </w:p>
    <w:p w14:paraId="76E01B3E">
      <w:pPr>
        <w:spacing w:before="162" w:line="227" w:lineRule="auto"/>
        <w:ind w:left="64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附表五  施工总平面图</w:t>
      </w:r>
    </w:p>
    <w:p w14:paraId="60F1A736">
      <w:pPr>
        <w:spacing w:before="162" w:line="227" w:lineRule="auto"/>
        <w:ind w:left="64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附表六</w:t>
      </w:r>
      <w:r>
        <w:rPr>
          <w:rFonts w:ascii="宋体" w:hAnsi="宋体" w:eastAsia="宋体" w:cs="宋体"/>
          <w:color w:val="auto"/>
          <w:spacing w:val="15"/>
          <w:sz w:val="20"/>
          <w:szCs w:val="20"/>
          <w:highlight w:val="none"/>
        </w:rPr>
        <w:t xml:space="preserve">  </w:t>
      </w:r>
      <w:r>
        <w:rPr>
          <w:rFonts w:ascii="宋体" w:hAnsi="宋体" w:eastAsia="宋体" w:cs="宋体"/>
          <w:color w:val="auto"/>
          <w:spacing w:val="4"/>
          <w:sz w:val="20"/>
          <w:szCs w:val="20"/>
          <w:highlight w:val="none"/>
        </w:rPr>
        <w:t>临时用地表</w:t>
      </w:r>
    </w:p>
    <w:p w14:paraId="4F1E1DFB">
      <w:pPr>
        <w:spacing w:line="227" w:lineRule="auto"/>
        <w:rPr>
          <w:rFonts w:ascii="宋体" w:hAnsi="宋体" w:eastAsia="宋体" w:cs="宋体"/>
          <w:color w:val="auto"/>
          <w:sz w:val="20"/>
          <w:szCs w:val="20"/>
          <w:highlight w:val="none"/>
        </w:rPr>
        <w:sectPr>
          <w:footerReference r:id="rId21" w:type="default"/>
          <w:pgSz w:w="11906" w:h="16839"/>
          <w:pgMar w:top="1347" w:right="1362" w:bottom="1156" w:left="1368" w:header="0" w:footer="994" w:gutter="0"/>
          <w:pgNumType w:fmt="decimal"/>
          <w:cols w:space="720" w:num="1"/>
        </w:sectPr>
      </w:pPr>
    </w:p>
    <w:p w14:paraId="0BA33B58">
      <w:pPr>
        <w:spacing w:before="47" w:line="219" w:lineRule="auto"/>
        <w:ind w:left="14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附表一：拟投入本招标项目的主要施工设备表</w:t>
      </w:r>
    </w:p>
    <w:p w14:paraId="04FBF939">
      <w:pPr>
        <w:spacing w:line="148" w:lineRule="exact"/>
        <w:rPr>
          <w:color w:val="auto"/>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940"/>
        <w:gridCol w:w="939"/>
        <w:gridCol w:w="940"/>
        <w:gridCol w:w="939"/>
        <w:gridCol w:w="940"/>
        <w:gridCol w:w="1163"/>
        <w:gridCol w:w="718"/>
        <w:gridCol w:w="1193"/>
        <w:gridCol w:w="688"/>
      </w:tblGrid>
      <w:tr w14:paraId="0B0A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44" w:type="dxa"/>
            <w:vAlign w:val="top"/>
          </w:tcPr>
          <w:p w14:paraId="6E8DA32C">
            <w:pPr>
              <w:pStyle w:val="21"/>
              <w:spacing w:before="239" w:line="229" w:lineRule="auto"/>
              <w:ind w:left="266"/>
              <w:rPr>
                <w:color w:val="auto"/>
                <w:highlight w:val="none"/>
              </w:rPr>
            </w:pPr>
            <w:r>
              <w:rPr>
                <w:color w:val="auto"/>
                <w:spacing w:val="5"/>
                <w:highlight w:val="none"/>
              </w:rPr>
              <w:t>序号</w:t>
            </w:r>
          </w:p>
        </w:tc>
        <w:tc>
          <w:tcPr>
            <w:tcW w:w="940" w:type="dxa"/>
            <w:vAlign w:val="top"/>
          </w:tcPr>
          <w:p w14:paraId="3DA9A9BF">
            <w:pPr>
              <w:pStyle w:val="21"/>
              <w:spacing w:before="35" w:line="360" w:lineRule="auto"/>
              <w:ind w:left="266" w:right="261"/>
              <w:rPr>
                <w:color w:val="auto"/>
                <w:highlight w:val="none"/>
              </w:rPr>
            </w:pPr>
            <w:r>
              <w:rPr>
                <w:color w:val="auto"/>
                <w:spacing w:val="3"/>
                <w:highlight w:val="none"/>
              </w:rPr>
              <w:t>设备</w:t>
            </w:r>
            <w:r>
              <w:rPr>
                <w:color w:val="auto"/>
                <w:highlight w:val="none"/>
              </w:rPr>
              <w:t xml:space="preserve"> </w:t>
            </w:r>
            <w:r>
              <w:rPr>
                <w:color w:val="auto"/>
                <w:spacing w:val="3"/>
                <w:highlight w:val="none"/>
              </w:rPr>
              <w:t>名称</w:t>
            </w:r>
          </w:p>
        </w:tc>
        <w:tc>
          <w:tcPr>
            <w:tcW w:w="939" w:type="dxa"/>
            <w:vAlign w:val="top"/>
          </w:tcPr>
          <w:p w14:paraId="7914C452">
            <w:pPr>
              <w:pStyle w:val="21"/>
              <w:spacing w:before="35" w:line="360" w:lineRule="auto"/>
              <w:ind w:left="265" w:right="259" w:firstLine="5"/>
              <w:rPr>
                <w:color w:val="auto"/>
                <w:highlight w:val="none"/>
              </w:rPr>
            </w:pPr>
            <w:r>
              <w:rPr>
                <w:color w:val="auto"/>
                <w:spacing w:val="1"/>
                <w:highlight w:val="none"/>
              </w:rPr>
              <w:t>型号</w:t>
            </w:r>
            <w:r>
              <w:rPr>
                <w:color w:val="auto"/>
                <w:highlight w:val="none"/>
              </w:rPr>
              <w:t xml:space="preserve"> </w:t>
            </w:r>
            <w:r>
              <w:rPr>
                <w:color w:val="auto"/>
                <w:spacing w:val="4"/>
                <w:highlight w:val="none"/>
              </w:rPr>
              <w:t>规格</w:t>
            </w:r>
          </w:p>
        </w:tc>
        <w:tc>
          <w:tcPr>
            <w:tcW w:w="940" w:type="dxa"/>
            <w:vAlign w:val="top"/>
          </w:tcPr>
          <w:p w14:paraId="493D3122">
            <w:pPr>
              <w:pStyle w:val="21"/>
              <w:spacing w:before="239" w:line="228" w:lineRule="auto"/>
              <w:ind w:left="265"/>
              <w:rPr>
                <w:color w:val="auto"/>
                <w:highlight w:val="none"/>
              </w:rPr>
            </w:pPr>
            <w:r>
              <w:rPr>
                <w:color w:val="auto"/>
                <w:spacing w:val="3"/>
                <w:highlight w:val="none"/>
              </w:rPr>
              <w:t>数量</w:t>
            </w:r>
          </w:p>
        </w:tc>
        <w:tc>
          <w:tcPr>
            <w:tcW w:w="939" w:type="dxa"/>
            <w:vAlign w:val="top"/>
          </w:tcPr>
          <w:p w14:paraId="3DC9430C">
            <w:pPr>
              <w:pStyle w:val="21"/>
              <w:spacing w:before="35" w:line="360" w:lineRule="auto"/>
              <w:ind w:left="264" w:right="259" w:firstLine="20"/>
              <w:rPr>
                <w:color w:val="auto"/>
                <w:highlight w:val="none"/>
              </w:rPr>
            </w:pPr>
            <w:r>
              <w:rPr>
                <w:color w:val="auto"/>
                <w:spacing w:val="-6"/>
                <w:highlight w:val="none"/>
              </w:rPr>
              <w:t>国别</w:t>
            </w:r>
            <w:r>
              <w:rPr>
                <w:color w:val="auto"/>
                <w:highlight w:val="none"/>
              </w:rPr>
              <w:t xml:space="preserve"> </w:t>
            </w:r>
            <w:r>
              <w:rPr>
                <w:color w:val="auto"/>
                <w:spacing w:val="4"/>
                <w:highlight w:val="none"/>
              </w:rPr>
              <w:t>产地</w:t>
            </w:r>
          </w:p>
        </w:tc>
        <w:tc>
          <w:tcPr>
            <w:tcW w:w="940" w:type="dxa"/>
            <w:vAlign w:val="top"/>
          </w:tcPr>
          <w:p w14:paraId="7C2E70B6">
            <w:pPr>
              <w:pStyle w:val="21"/>
              <w:spacing w:before="35" w:line="360" w:lineRule="auto"/>
              <w:ind w:left="267" w:right="258"/>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163" w:type="dxa"/>
            <w:vAlign w:val="top"/>
          </w:tcPr>
          <w:p w14:paraId="5B371095">
            <w:pPr>
              <w:pStyle w:val="21"/>
              <w:spacing w:before="46" w:line="366" w:lineRule="auto"/>
              <w:ind w:left="382" w:right="159" w:hanging="214"/>
              <w:rPr>
                <w:rFonts w:ascii="Calibri" w:hAnsi="Calibri" w:eastAsia="Calibri" w:cs="Calibri"/>
                <w:color w:val="auto"/>
                <w:highlight w:val="none"/>
              </w:rPr>
            </w:pPr>
            <w:r>
              <w:rPr>
                <w:color w:val="auto"/>
                <w:spacing w:val="7"/>
                <w:highlight w:val="none"/>
              </w:rPr>
              <w:t>额定功率</w:t>
            </w:r>
            <w:r>
              <w:rPr>
                <w:color w:val="auto"/>
                <w:highlight w:val="none"/>
              </w:rPr>
              <w:t xml:space="preserve"> </w:t>
            </w:r>
            <w:r>
              <w:rPr>
                <w:rFonts w:ascii="Calibri" w:hAnsi="Calibri" w:eastAsia="Calibri" w:cs="Calibri"/>
                <w:color w:val="auto"/>
                <w:highlight w:val="none"/>
              </w:rPr>
              <w:t>(KW)</w:t>
            </w:r>
          </w:p>
        </w:tc>
        <w:tc>
          <w:tcPr>
            <w:tcW w:w="718" w:type="dxa"/>
            <w:vAlign w:val="top"/>
          </w:tcPr>
          <w:p w14:paraId="3B06279E">
            <w:pPr>
              <w:pStyle w:val="21"/>
              <w:spacing w:before="35" w:line="360" w:lineRule="auto"/>
              <w:ind w:left="163" w:right="147" w:hanging="6"/>
              <w:rPr>
                <w:color w:val="auto"/>
                <w:highlight w:val="none"/>
              </w:rPr>
            </w:pPr>
            <w:r>
              <w:rPr>
                <w:color w:val="auto"/>
                <w:spacing w:val="3"/>
                <w:highlight w:val="none"/>
              </w:rPr>
              <w:t>生产</w:t>
            </w:r>
            <w:r>
              <w:rPr>
                <w:color w:val="auto"/>
                <w:highlight w:val="none"/>
              </w:rPr>
              <w:t xml:space="preserve"> 能力</w:t>
            </w:r>
          </w:p>
        </w:tc>
        <w:tc>
          <w:tcPr>
            <w:tcW w:w="1193" w:type="dxa"/>
            <w:vAlign w:val="top"/>
          </w:tcPr>
          <w:p w14:paraId="5EF694A3">
            <w:pPr>
              <w:pStyle w:val="21"/>
              <w:spacing w:before="35" w:line="360" w:lineRule="auto"/>
              <w:ind w:left="394" w:right="174" w:hanging="209"/>
              <w:rPr>
                <w:color w:val="auto"/>
                <w:highlight w:val="none"/>
              </w:rPr>
            </w:pPr>
            <w:r>
              <w:rPr>
                <w:color w:val="auto"/>
                <w:spacing w:val="6"/>
                <w:highlight w:val="none"/>
              </w:rPr>
              <w:t>用于施工</w:t>
            </w:r>
            <w:r>
              <w:rPr>
                <w:color w:val="auto"/>
                <w:spacing w:val="2"/>
                <w:highlight w:val="none"/>
              </w:rPr>
              <w:t xml:space="preserve"> </w:t>
            </w:r>
            <w:r>
              <w:rPr>
                <w:color w:val="auto"/>
                <w:spacing w:val="3"/>
                <w:highlight w:val="none"/>
              </w:rPr>
              <w:t>部位</w:t>
            </w:r>
          </w:p>
        </w:tc>
        <w:tc>
          <w:tcPr>
            <w:tcW w:w="688" w:type="dxa"/>
            <w:vAlign w:val="top"/>
          </w:tcPr>
          <w:p w14:paraId="4145BDC7">
            <w:pPr>
              <w:pStyle w:val="21"/>
              <w:spacing w:before="239" w:line="229" w:lineRule="auto"/>
              <w:ind w:left="143"/>
              <w:rPr>
                <w:color w:val="auto"/>
                <w:highlight w:val="none"/>
              </w:rPr>
            </w:pPr>
            <w:r>
              <w:rPr>
                <w:color w:val="auto"/>
                <w:spacing w:val="3"/>
                <w:highlight w:val="none"/>
              </w:rPr>
              <w:t>备注</w:t>
            </w:r>
          </w:p>
        </w:tc>
      </w:tr>
      <w:tr w14:paraId="37875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1560EBEF">
            <w:pPr>
              <w:rPr>
                <w:rFonts w:ascii="Arial"/>
                <w:color w:val="auto"/>
                <w:sz w:val="21"/>
                <w:highlight w:val="none"/>
              </w:rPr>
            </w:pPr>
          </w:p>
        </w:tc>
        <w:tc>
          <w:tcPr>
            <w:tcW w:w="940" w:type="dxa"/>
            <w:vAlign w:val="top"/>
          </w:tcPr>
          <w:p w14:paraId="0ED4EE0C">
            <w:pPr>
              <w:rPr>
                <w:rFonts w:ascii="Arial"/>
                <w:color w:val="auto"/>
                <w:sz w:val="21"/>
                <w:highlight w:val="none"/>
              </w:rPr>
            </w:pPr>
          </w:p>
        </w:tc>
        <w:tc>
          <w:tcPr>
            <w:tcW w:w="939" w:type="dxa"/>
            <w:vAlign w:val="top"/>
          </w:tcPr>
          <w:p w14:paraId="76B7D4C3">
            <w:pPr>
              <w:rPr>
                <w:rFonts w:ascii="Arial"/>
                <w:color w:val="auto"/>
                <w:sz w:val="21"/>
                <w:highlight w:val="none"/>
              </w:rPr>
            </w:pPr>
          </w:p>
        </w:tc>
        <w:tc>
          <w:tcPr>
            <w:tcW w:w="940" w:type="dxa"/>
            <w:vAlign w:val="top"/>
          </w:tcPr>
          <w:p w14:paraId="413E2081">
            <w:pPr>
              <w:rPr>
                <w:rFonts w:ascii="Arial"/>
                <w:color w:val="auto"/>
                <w:sz w:val="21"/>
                <w:highlight w:val="none"/>
              </w:rPr>
            </w:pPr>
          </w:p>
        </w:tc>
        <w:tc>
          <w:tcPr>
            <w:tcW w:w="939" w:type="dxa"/>
            <w:vAlign w:val="top"/>
          </w:tcPr>
          <w:p w14:paraId="387EC2AA">
            <w:pPr>
              <w:rPr>
                <w:rFonts w:ascii="Arial"/>
                <w:color w:val="auto"/>
                <w:sz w:val="21"/>
                <w:highlight w:val="none"/>
              </w:rPr>
            </w:pPr>
          </w:p>
        </w:tc>
        <w:tc>
          <w:tcPr>
            <w:tcW w:w="940" w:type="dxa"/>
            <w:vAlign w:val="top"/>
          </w:tcPr>
          <w:p w14:paraId="16E0C9E7">
            <w:pPr>
              <w:rPr>
                <w:rFonts w:ascii="Arial"/>
                <w:color w:val="auto"/>
                <w:sz w:val="21"/>
                <w:highlight w:val="none"/>
              </w:rPr>
            </w:pPr>
          </w:p>
        </w:tc>
        <w:tc>
          <w:tcPr>
            <w:tcW w:w="1163" w:type="dxa"/>
            <w:vAlign w:val="top"/>
          </w:tcPr>
          <w:p w14:paraId="2F565C59">
            <w:pPr>
              <w:rPr>
                <w:rFonts w:ascii="Arial"/>
                <w:color w:val="auto"/>
                <w:sz w:val="21"/>
                <w:highlight w:val="none"/>
              </w:rPr>
            </w:pPr>
          </w:p>
        </w:tc>
        <w:tc>
          <w:tcPr>
            <w:tcW w:w="718" w:type="dxa"/>
            <w:vAlign w:val="top"/>
          </w:tcPr>
          <w:p w14:paraId="58FAEDA1">
            <w:pPr>
              <w:rPr>
                <w:rFonts w:ascii="Arial"/>
                <w:color w:val="auto"/>
                <w:sz w:val="21"/>
                <w:highlight w:val="none"/>
              </w:rPr>
            </w:pPr>
          </w:p>
        </w:tc>
        <w:tc>
          <w:tcPr>
            <w:tcW w:w="1193" w:type="dxa"/>
            <w:vAlign w:val="top"/>
          </w:tcPr>
          <w:p w14:paraId="1EA0AE6D">
            <w:pPr>
              <w:rPr>
                <w:rFonts w:ascii="Arial"/>
                <w:color w:val="auto"/>
                <w:sz w:val="21"/>
                <w:highlight w:val="none"/>
              </w:rPr>
            </w:pPr>
          </w:p>
        </w:tc>
        <w:tc>
          <w:tcPr>
            <w:tcW w:w="688" w:type="dxa"/>
            <w:vAlign w:val="top"/>
          </w:tcPr>
          <w:p w14:paraId="213E8BB9">
            <w:pPr>
              <w:rPr>
                <w:rFonts w:ascii="Arial"/>
                <w:color w:val="auto"/>
                <w:sz w:val="21"/>
                <w:highlight w:val="none"/>
              </w:rPr>
            </w:pPr>
          </w:p>
        </w:tc>
      </w:tr>
      <w:tr w14:paraId="44F0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3584586D">
            <w:pPr>
              <w:rPr>
                <w:rFonts w:ascii="Arial"/>
                <w:color w:val="auto"/>
                <w:sz w:val="21"/>
                <w:highlight w:val="none"/>
              </w:rPr>
            </w:pPr>
          </w:p>
        </w:tc>
        <w:tc>
          <w:tcPr>
            <w:tcW w:w="940" w:type="dxa"/>
            <w:vAlign w:val="top"/>
          </w:tcPr>
          <w:p w14:paraId="440B2204">
            <w:pPr>
              <w:rPr>
                <w:rFonts w:ascii="Arial"/>
                <w:color w:val="auto"/>
                <w:sz w:val="21"/>
                <w:highlight w:val="none"/>
              </w:rPr>
            </w:pPr>
          </w:p>
        </w:tc>
        <w:tc>
          <w:tcPr>
            <w:tcW w:w="939" w:type="dxa"/>
            <w:vAlign w:val="top"/>
          </w:tcPr>
          <w:p w14:paraId="2722913C">
            <w:pPr>
              <w:rPr>
                <w:rFonts w:ascii="Arial"/>
                <w:color w:val="auto"/>
                <w:sz w:val="21"/>
                <w:highlight w:val="none"/>
              </w:rPr>
            </w:pPr>
          </w:p>
        </w:tc>
        <w:tc>
          <w:tcPr>
            <w:tcW w:w="940" w:type="dxa"/>
            <w:vAlign w:val="top"/>
          </w:tcPr>
          <w:p w14:paraId="614A683B">
            <w:pPr>
              <w:rPr>
                <w:rFonts w:ascii="Arial"/>
                <w:color w:val="auto"/>
                <w:sz w:val="21"/>
                <w:highlight w:val="none"/>
              </w:rPr>
            </w:pPr>
          </w:p>
        </w:tc>
        <w:tc>
          <w:tcPr>
            <w:tcW w:w="939" w:type="dxa"/>
            <w:vAlign w:val="top"/>
          </w:tcPr>
          <w:p w14:paraId="775E3C6F">
            <w:pPr>
              <w:rPr>
                <w:rFonts w:ascii="Arial"/>
                <w:color w:val="auto"/>
                <w:sz w:val="21"/>
                <w:highlight w:val="none"/>
              </w:rPr>
            </w:pPr>
          </w:p>
        </w:tc>
        <w:tc>
          <w:tcPr>
            <w:tcW w:w="940" w:type="dxa"/>
            <w:vAlign w:val="top"/>
          </w:tcPr>
          <w:p w14:paraId="042574D9">
            <w:pPr>
              <w:rPr>
                <w:rFonts w:ascii="Arial"/>
                <w:color w:val="auto"/>
                <w:sz w:val="21"/>
                <w:highlight w:val="none"/>
              </w:rPr>
            </w:pPr>
          </w:p>
        </w:tc>
        <w:tc>
          <w:tcPr>
            <w:tcW w:w="1163" w:type="dxa"/>
            <w:vAlign w:val="top"/>
          </w:tcPr>
          <w:p w14:paraId="7B7F0669">
            <w:pPr>
              <w:rPr>
                <w:rFonts w:ascii="Arial"/>
                <w:color w:val="auto"/>
                <w:sz w:val="21"/>
                <w:highlight w:val="none"/>
              </w:rPr>
            </w:pPr>
          </w:p>
        </w:tc>
        <w:tc>
          <w:tcPr>
            <w:tcW w:w="718" w:type="dxa"/>
            <w:vAlign w:val="top"/>
          </w:tcPr>
          <w:p w14:paraId="4EA475CC">
            <w:pPr>
              <w:rPr>
                <w:rFonts w:ascii="Arial"/>
                <w:color w:val="auto"/>
                <w:sz w:val="21"/>
                <w:highlight w:val="none"/>
              </w:rPr>
            </w:pPr>
          </w:p>
        </w:tc>
        <w:tc>
          <w:tcPr>
            <w:tcW w:w="1193" w:type="dxa"/>
            <w:vAlign w:val="top"/>
          </w:tcPr>
          <w:p w14:paraId="087C1F14">
            <w:pPr>
              <w:rPr>
                <w:rFonts w:ascii="Arial"/>
                <w:color w:val="auto"/>
                <w:sz w:val="21"/>
                <w:highlight w:val="none"/>
              </w:rPr>
            </w:pPr>
          </w:p>
        </w:tc>
        <w:tc>
          <w:tcPr>
            <w:tcW w:w="688" w:type="dxa"/>
            <w:vAlign w:val="top"/>
          </w:tcPr>
          <w:p w14:paraId="3C8E5B36">
            <w:pPr>
              <w:rPr>
                <w:rFonts w:ascii="Arial"/>
                <w:color w:val="auto"/>
                <w:sz w:val="21"/>
                <w:highlight w:val="none"/>
              </w:rPr>
            </w:pPr>
          </w:p>
        </w:tc>
      </w:tr>
      <w:tr w14:paraId="46C40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3B20D9B6">
            <w:pPr>
              <w:rPr>
                <w:rFonts w:ascii="Arial"/>
                <w:color w:val="auto"/>
                <w:sz w:val="21"/>
                <w:highlight w:val="none"/>
              </w:rPr>
            </w:pPr>
          </w:p>
        </w:tc>
        <w:tc>
          <w:tcPr>
            <w:tcW w:w="940" w:type="dxa"/>
            <w:vAlign w:val="top"/>
          </w:tcPr>
          <w:p w14:paraId="7B65139F">
            <w:pPr>
              <w:rPr>
                <w:rFonts w:ascii="Arial"/>
                <w:color w:val="auto"/>
                <w:sz w:val="21"/>
                <w:highlight w:val="none"/>
              </w:rPr>
            </w:pPr>
          </w:p>
        </w:tc>
        <w:tc>
          <w:tcPr>
            <w:tcW w:w="939" w:type="dxa"/>
            <w:vAlign w:val="top"/>
          </w:tcPr>
          <w:p w14:paraId="46DBA1C7">
            <w:pPr>
              <w:rPr>
                <w:rFonts w:ascii="Arial"/>
                <w:color w:val="auto"/>
                <w:sz w:val="21"/>
                <w:highlight w:val="none"/>
              </w:rPr>
            </w:pPr>
          </w:p>
        </w:tc>
        <w:tc>
          <w:tcPr>
            <w:tcW w:w="940" w:type="dxa"/>
            <w:vAlign w:val="top"/>
          </w:tcPr>
          <w:p w14:paraId="4C7C2BB7">
            <w:pPr>
              <w:rPr>
                <w:rFonts w:ascii="Arial"/>
                <w:color w:val="auto"/>
                <w:sz w:val="21"/>
                <w:highlight w:val="none"/>
              </w:rPr>
            </w:pPr>
          </w:p>
        </w:tc>
        <w:tc>
          <w:tcPr>
            <w:tcW w:w="939" w:type="dxa"/>
            <w:vAlign w:val="top"/>
          </w:tcPr>
          <w:p w14:paraId="5DC0BE46">
            <w:pPr>
              <w:rPr>
                <w:rFonts w:ascii="Arial"/>
                <w:color w:val="auto"/>
                <w:sz w:val="21"/>
                <w:highlight w:val="none"/>
              </w:rPr>
            </w:pPr>
          </w:p>
        </w:tc>
        <w:tc>
          <w:tcPr>
            <w:tcW w:w="940" w:type="dxa"/>
            <w:vAlign w:val="top"/>
          </w:tcPr>
          <w:p w14:paraId="3BDB9B0E">
            <w:pPr>
              <w:rPr>
                <w:rFonts w:ascii="Arial"/>
                <w:color w:val="auto"/>
                <w:sz w:val="21"/>
                <w:highlight w:val="none"/>
              </w:rPr>
            </w:pPr>
          </w:p>
        </w:tc>
        <w:tc>
          <w:tcPr>
            <w:tcW w:w="1163" w:type="dxa"/>
            <w:vAlign w:val="top"/>
          </w:tcPr>
          <w:p w14:paraId="24D8CA73">
            <w:pPr>
              <w:rPr>
                <w:rFonts w:ascii="Arial"/>
                <w:color w:val="auto"/>
                <w:sz w:val="21"/>
                <w:highlight w:val="none"/>
              </w:rPr>
            </w:pPr>
          </w:p>
        </w:tc>
        <w:tc>
          <w:tcPr>
            <w:tcW w:w="718" w:type="dxa"/>
            <w:vAlign w:val="top"/>
          </w:tcPr>
          <w:p w14:paraId="4A357530">
            <w:pPr>
              <w:rPr>
                <w:rFonts w:ascii="Arial"/>
                <w:color w:val="auto"/>
                <w:sz w:val="21"/>
                <w:highlight w:val="none"/>
              </w:rPr>
            </w:pPr>
          </w:p>
        </w:tc>
        <w:tc>
          <w:tcPr>
            <w:tcW w:w="1193" w:type="dxa"/>
            <w:vAlign w:val="top"/>
          </w:tcPr>
          <w:p w14:paraId="634617F8">
            <w:pPr>
              <w:rPr>
                <w:rFonts w:ascii="Arial"/>
                <w:color w:val="auto"/>
                <w:sz w:val="21"/>
                <w:highlight w:val="none"/>
              </w:rPr>
            </w:pPr>
          </w:p>
        </w:tc>
        <w:tc>
          <w:tcPr>
            <w:tcW w:w="688" w:type="dxa"/>
            <w:vAlign w:val="top"/>
          </w:tcPr>
          <w:p w14:paraId="61A118AF">
            <w:pPr>
              <w:rPr>
                <w:rFonts w:ascii="Arial"/>
                <w:color w:val="auto"/>
                <w:sz w:val="21"/>
                <w:highlight w:val="none"/>
              </w:rPr>
            </w:pPr>
          </w:p>
        </w:tc>
      </w:tr>
      <w:tr w14:paraId="2913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44" w:type="dxa"/>
            <w:vAlign w:val="top"/>
          </w:tcPr>
          <w:p w14:paraId="683B00E2">
            <w:pPr>
              <w:rPr>
                <w:rFonts w:ascii="Arial"/>
                <w:color w:val="auto"/>
                <w:sz w:val="21"/>
                <w:highlight w:val="none"/>
              </w:rPr>
            </w:pPr>
          </w:p>
        </w:tc>
        <w:tc>
          <w:tcPr>
            <w:tcW w:w="940" w:type="dxa"/>
            <w:vAlign w:val="top"/>
          </w:tcPr>
          <w:p w14:paraId="632A5534">
            <w:pPr>
              <w:rPr>
                <w:rFonts w:ascii="Arial"/>
                <w:color w:val="auto"/>
                <w:sz w:val="21"/>
                <w:highlight w:val="none"/>
              </w:rPr>
            </w:pPr>
          </w:p>
        </w:tc>
        <w:tc>
          <w:tcPr>
            <w:tcW w:w="939" w:type="dxa"/>
            <w:vAlign w:val="top"/>
          </w:tcPr>
          <w:p w14:paraId="28D5BF7D">
            <w:pPr>
              <w:rPr>
                <w:rFonts w:ascii="Arial"/>
                <w:color w:val="auto"/>
                <w:sz w:val="21"/>
                <w:highlight w:val="none"/>
              </w:rPr>
            </w:pPr>
          </w:p>
        </w:tc>
        <w:tc>
          <w:tcPr>
            <w:tcW w:w="940" w:type="dxa"/>
            <w:vAlign w:val="top"/>
          </w:tcPr>
          <w:p w14:paraId="1600632D">
            <w:pPr>
              <w:rPr>
                <w:rFonts w:ascii="Arial"/>
                <w:color w:val="auto"/>
                <w:sz w:val="21"/>
                <w:highlight w:val="none"/>
              </w:rPr>
            </w:pPr>
          </w:p>
        </w:tc>
        <w:tc>
          <w:tcPr>
            <w:tcW w:w="939" w:type="dxa"/>
            <w:vAlign w:val="top"/>
          </w:tcPr>
          <w:p w14:paraId="5BB9E405">
            <w:pPr>
              <w:rPr>
                <w:rFonts w:ascii="Arial"/>
                <w:color w:val="auto"/>
                <w:sz w:val="21"/>
                <w:highlight w:val="none"/>
              </w:rPr>
            </w:pPr>
          </w:p>
        </w:tc>
        <w:tc>
          <w:tcPr>
            <w:tcW w:w="940" w:type="dxa"/>
            <w:vAlign w:val="top"/>
          </w:tcPr>
          <w:p w14:paraId="7C222927">
            <w:pPr>
              <w:rPr>
                <w:rFonts w:ascii="Arial"/>
                <w:color w:val="auto"/>
                <w:sz w:val="21"/>
                <w:highlight w:val="none"/>
              </w:rPr>
            </w:pPr>
          </w:p>
        </w:tc>
        <w:tc>
          <w:tcPr>
            <w:tcW w:w="1163" w:type="dxa"/>
            <w:vAlign w:val="top"/>
          </w:tcPr>
          <w:p w14:paraId="0969E8F9">
            <w:pPr>
              <w:rPr>
                <w:rFonts w:ascii="Arial"/>
                <w:color w:val="auto"/>
                <w:sz w:val="21"/>
                <w:highlight w:val="none"/>
              </w:rPr>
            </w:pPr>
          </w:p>
        </w:tc>
        <w:tc>
          <w:tcPr>
            <w:tcW w:w="718" w:type="dxa"/>
            <w:vAlign w:val="top"/>
          </w:tcPr>
          <w:p w14:paraId="32D1ED0E">
            <w:pPr>
              <w:rPr>
                <w:rFonts w:ascii="Arial"/>
                <w:color w:val="auto"/>
                <w:sz w:val="21"/>
                <w:highlight w:val="none"/>
              </w:rPr>
            </w:pPr>
          </w:p>
        </w:tc>
        <w:tc>
          <w:tcPr>
            <w:tcW w:w="1193" w:type="dxa"/>
            <w:vAlign w:val="top"/>
          </w:tcPr>
          <w:p w14:paraId="76A90F5A">
            <w:pPr>
              <w:rPr>
                <w:rFonts w:ascii="Arial"/>
                <w:color w:val="auto"/>
                <w:sz w:val="21"/>
                <w:highlight w:val="none"/>
              </w:rPr>
            </w:pPr>
          </w:p>
        </w:tc>
        <w:tc>
          <w:tcPr>
            <w:tcW w:w="688" w:type="dxa"/>
            <w:vAlign w:val="top"/>
          </w:tcPr>
          <w:p w14:paraId="0ADE2757">
            <w:pPr>
              <w:rPr>
                <w:rFonts w:ascii="Arial"/>
                <w:color w:val="auto"/>
                <w:sz w:val="21"/>
                <w:highlight w:val="none"/>
              </w:rPr>
            </w:pPr>
          </w:p>
        </w:tc>
      </w:tr>
      <w:tr w14:paraId="26CA9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44" w:type="dxa"/>
            <w:vAlign w:val="top"/>
          </w:tcPr>
          <w:p w14:paraId="569AC19B">
            <w:pPr>
              <w:rPr>
                <w:rFonts w:ascii="Arial"/>
                <w:color w:val="auto"/>
                <w:sz w:val="21"/>
                <w:highlight w:val="none"/>
              </w:rPr>
            </w:pPr>
          </w:p>
        </w:tc>
        <w:tc>
          <w:tcPr>
            <w:tcW w:w="940" w:type="dxa"/>
            <w:vAlign w:val="top"/>
          </w:tcPr>
          <w:p w14:paraId="42C950C9">
            <w:pPr>
              <w:rPr>
                <w:rFonts w:ascii="Arial"/>
                <w:color w:val="auto"/>
                <w:sz w:val="21"/>
                <w:highlight w:val="none"/>
              </w:rPr>
            </w:pPr>
          </w:p>
        </w:tc>
        <w:tc>
          <w:tcPr>
            <w:tcW w:w="939" w:type="dxa"/>
            <w:vAlign w:val="top"/>
          </w:tcPr>
          <w:p w14:paraId="040E6DB5">
            <w:pPr>
              <w:rPr>
                <w:rFonts w:ascii="Arial"/>
                <w:color w:val="auto"/>
                <w:sz w:val="21"/>
                <w:highlight w:val="none"/>
              </w:rPr>
            </w:pPr>
          </w:p>
        </w:tc>
        <w:tc>
          <w:tcPr>
            <w:tcW w:w="940" w:type="dxa"/>
            <w:vAlign w:val="top"/>
          </w:tcPr>
          <w:p w14:paraId="58007470">
            <w:pPr>
              <w:rPr>
                <w:rFonts w:ascii="Arial"/>
                <w:color w:val="auto"/>
                <w:sz w:val="21"/>
                <w:highlight w:val="none"/>
              </w:rPr>
            </w:pPr>
          </w:p>
        </w:tc>
        <w:tc>
          <w:tcPr>
            <w:tcW w:w="939" w:type="dxa"/>
            <w:vAlign w:val="top"/>
          </w:tcPr>
          <w:p w14:paraId="58A5ACD2">
            <w:pPr>
              <w:rPr>
                <w:rFonts w:ascii="Arial"/>
                <w:color w:val="auto"/>
                <w:sz w:val="21"/>
                <w:highlight w:val="none"/>
              </w:rPr>
            </w:pPr>
          </w:p>
        </w:tc>
        <w:tc>
          <w:tcPr>
            <w:tcW w:w="940" w:type="dxa"/>
            <w:vAlign w:val="top"/>
          </w:tcPr>
          <w:p w14:paraId="1377CE33">
            <w:pPr>
              <w:rPr>
                <w:rFonts w:ascii="Arial"/>
                <w:color w:val="auto"/>
                <w:sz w:val="21"/>
                <w:highlight w:val="none"/>
              </w:rPr>
            </w:pPr>
          </w:p>
        </w:tc>
        <w:tc>
          <w:tcPr>
            <w:tcW w:w="1163" w:type="dxa"/>
            <w:vAlign w:val="top"/>
          </w:tcPr>
          <w:p w14:paraId="27940D85">
            <w:pPr>
              <w:rPr>
                <w:rFonts w:ascii="Arial"/>
                <w:color w:val="auto"/>
                <w:sz w:val="21"/>
                <w:highlight w:val="none"/>
              </w:rPr>
            </w:pPr>
          </w:p>
        </w:tc>
        <w:tc>
          <w:tcPr>
            <w:tcW w:w="718" w:type="dxa"/>
            <w:vAlign w:val="top"/>
          </w:tcPr>
          <w:p w14:paraId="5350B670">
            <w:pPr>
              <w:rPr>
                <w:rFonts w:ascii="Arial"/>
                <w:color w:val="auto"/>
                <w:sz w:val="21"/>
                <w:highlight w:val="none"/>
              </w:rPr>
            </w:pPr>
          </w:p>
        </w:tc>
        <w:tc>
          <w:tcPr>
            <w:tcW w:w="1193" w:type="dxa"/>
            <w:vAlign w:val="top"/>
          </w:tcPr>
          <w:p w14:paraId="402EC1AD">
            <w:pPr>
              <w:rPr>
                <w:rFonts w:ascii="Arial"/>
                <w:color w:val="auto"/>
                <w:sz w:val="21"/>
                <w:highlight w:val="none"/>
              </w:rPr>
            </w:pPr>
          </w:p>
        </w:tc>
        <w:tc>
          <w:tcPr>
            <w:tcW w:w="688" w:type="dxa"/>
            <w:vAlign w:val="top"/>
          </w:tcPr>
          <w:p w14:paraId="2E957A6D">
            <w:pPr>
              <w:rPr>
                <w:rFonts w:ascii="Arial"/>
                <w:color w:val="auto"/>
                <w:sz w:val="21"/>
                <w:highlight w:val="none"/>
              </w:rPr>
            </w:pPr>
          </w:p>
        </w:tc>
      </w:tr>
      <w:tr w14:paraId="4A95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2277A969">
            <w:pPr>
              <w:rPr>
                <w:rFonts w:ascii="Arial"/>
                <w:color w:val="auto"/>
                <w:sz w:val="21"/>
                <w:highlight w:val="none"/>
              </w:rPr>
            </w:pPr>
          </w:p>
        </w:tc>
        <w:tc>
          <w:tcPr>
            <w:tcW w:w="940" w:type="dxa"/>
            <w:vAlign w:val="top"/>
          </w:tcPr>
          <w:p w14:paraId="1ED2FE86">
            <w:pPr>
              <w:rPr>
                <w:rFonts w:ascii="Arial"/>
                <w:color w:val="auto"/>
                <w:sz w:val="21"/>
                <w:highlight w:val="none"/>
              </w:rPr>
            </w:pPr>
          </w:p>
        </w:tc>
        <w:tc>
          <w:tcPr>
            <w:tcW w:w="939" w:type="dxa"/>
            <w:vAlign w:val="top"/>
          </w:tcPr>
          <w:p w14:paraId="0820D5ED">
            <w:pPr>
              <w:rPr>
                <w:rFonts w:ascii="Arial"/>
                <w:color w:val="auto"/>
                <w:sz w:val="21"/>
                <w:highlight w:val="none"/>
              </w:rPr>
            </w:pPr>
          </w:p>
        </w:tc>
        <w:tc>
          <w:tcPr>
            <w:tcW w:w="940" w:type="dxa"/>
            <w:vAlign w:val="top"/>
          </w:tcPr>
          <w:p w14:paraId="5A5FCFB2">
            <w:pPr>
              <w:rPr>
                <w:rFonts w:ascii="Arial"/>
                <w:color w:val="auto"/>
                <w:sz w:val="21"/>
                <w:highlight w:val="none"/>
              </w:rPr>
            </w:pPr>
          </w:p>
        </w:tc>
        <w:tc>
          <w:tcPr>
            <w:tcW w:w="939" w:type="dxa"/>
            <w:vAlign w:val="top"/>
          </w:tcPr>
          <w:p w14:paraId="0343B9A3">
            <w:pPr>
              <w:rPr>
                <w:rFonts w:ascii="Arial"/>
                <w:color w:val="auto"/>
                <w:sz w:val="21"/>
                <w:highlight w:val="none"/>
              </w:rPr>
            </w:pPr>
          </w:p>
        </w:tc>
        <w:tc>
          <w:tcPr>
            <w:tcW w:w="940" w:type="dxa"/>
            <w:vAlign w:val="top"/>
          </w:tcPr>
          <w:p w14:paraId="518F9C59">
            <w:pPr>
              <w:rPr>
                <w:rFonts w:ascii="Arial"/>
                <w:color w:val="auto"/>
                <w:sz w:val="21"/>
                <w:highlight w:val="none"/>
              </w:rPr>
            </w:pPr>
          </w:p>
        </w:tc>
        <w:tc>
          <w:tcPr>
            <w:tcW w:w="1163" w:type="dxa"/>
            <w:vAlign w:val="top"/>
          </w:tcPr>
          <w:p w14:paraId="181A057A">
            <w:pPr>
              <w:rPr>
                <w:rFonts w:ascii="Arial"/>
                <w:color w:val="auto"/>
                <w:sz w:val="21"/>
                <w:highlight w:val="none"/>
              </w:rPr>
            </w:pPr>
          </w:p>
        </w:tc>
        <w:tc>
          <w:tcPr>
            <w:tcW w:w="718" w:type="dxa"/>
            <w:vAlign w:val="top"/>
          </w:tcPr>
          <w:p w14:paraId="4143A68C">
            <w:pPr>
              <w:rPr>
                <w:rFonts w:ascii="Arial"/>
                <w:color w:val="auto"/>
                <w:sz w:val="21"/>
                <w:highlight w:val="none"/>
              </w:rPr>
            </w:pPr>
          </w:p>
        </w:tc>
        <w:tc>
          <w:tcPr>
            <w:tcW w:w="1193" w:type="dxa"/>
            <w:vAlign w:val="top"/>
          </w:tcPr>
          <w:p w14:paraId="2EECEAD9">
            <w:pPr>
              <w:rPr>
                <w:rFonts w:ascii="Arial"/>
                <w:color w:val="auto"/>
                <w:sz w:val="21"/>
                <w:highlight w:val="none"/>
              </w:rPr>
            </w:pPr>
          </w:p>
        </w:tc>
        <w:tc>
          <w:tcPr>
            <w:tcW w:w="688" w:type="dxa"/>
            <w:vAlign w:val="top"/>
          </w:tcPr>
          <w:p w14:paraId="0A876EEC">
            <w:pPr>
              <w:rPr>
                <w:rFonts w:ascii="Arial"/>
                <w:color w:val="auto"/>
                <w:sz w:val="21"/>
                <w:highlight w:val="none"/>
              </w:rPr>
            </w:pPr>
          </w:p>
        </w:tc>
      </w:tr>
      <w:tr w14:paraId="48BD0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44" w:type="dxa"/>
            <w:vAlign w:val="top"/>
          </w:tcPr>
          <w:p w14:paraId="71215662">
            <w:pPr>
              <w:rPr>
                <w:rFonts w:ascii="Arial"/>
                <w:color w:val="auto"/>
                <w:sz w:val="21"/>
                <w:highlight w:val="none"/>
              </w:rPr>
            </w:pPr>
          </w:p>
        </w:tc>
        <w:tc>
          <w:tcPr>
            <w:tcW w:w="940" w:type="dxa"/>
            <w:vAlign w:val="top"/>
          </w:tcPr>
          <w:p w14:paraId="737D5CBC">
            <w:pPr>
              <w:rPr>
                <w:rFonts w:ascii="Arial"/>
                <w:color w:val="auto"/>
                <w:sz w:val="21"/>
                <w:highlight w:val="none"/>
              </w:rPr>
            </w:pPr>
          </w:p>
        </w:tc>
        <w:tc>
          <w:tcPr>
            <w:tcW w:w="939" w:type="dxa"/>
            <w:vAlign w:val="top"/>
          </w:tcPr>
          <w:p w14:paraId="5E52908F">
            <w:pPr>
              <w:rPr>
                <w:rFonts w:ascii="Arial"/>
                <w:color w:val="auto"/>
                <w:sz w:val="21"/>
                <w:highlight w:val="none"/>
              </w:rPr>
            </w:pPr>
          </w:p>
        </w:tc>
        <w:tc>
          <w:tcPr>
            <w:tcW w:w="940" w:type="dxa"/>
            <w:vAlign w:val="top"/>
          </w:tcPr>
          <w:p w14:paraId="567B2BBC">
            <w:pPr>
              <w:rPr>
                <w:rFonts w:ascii="Arial"/>
                <w:color w:val="auto"/>
                <w:sz w:val="21"/>
                <w:highlight w:val="none"/>
              </w:rPr>
            </w:pPr>
          </w:p>
        </w:tc>
        <w:tc>
          <w:tcPr>
            <w:tcW w:w="939" w:type="dxa"/>
            <w:vAlign w:val="top"/>
          </w:tcPr>
          <w:p w14:paraId="495B1326">
            <w:pPr>
              <w:rPr>
                <w:rFonts w:ascii="Arial"/>
                <w:color w:val="auto"/>
                <w:sz w:val="21"/>
                <w:highlight w:val="none"/>
              </w:rPr>
            </w:pPr>
          </w:p>
        </w:tc>
        <w:tc>
          <w:tcPr>
            <w:tcW w:w="940" w:type="dxa"/>
            <w:vAlign w:val="top"/>
          </w:tcPr>
          <w:p w14:paraId="3B9ED956">
            <w:pPr>
              <w:rPr>
                <w:rFonts w:ascii="Arial"/>
                <w:color w:val="auto"/>
                <w:sz w:val="21"/>
                <w:highlight w:val="none"/>
              </w:rPr>
            </w:pPr>
          </w:p>
        </w:tc>
        <w:tc>
          <w:tcPr>
            <w:tcW w:w="1163" w:type="dxa"/>
            <w:vAlign w:val="top"/>
          </w:tcPr>
          <w:p w14:paraId="52662171">
            <w:pPr>
              <w:rPr>
                <w:rFonts w:ascii="Arial"/>
                <w:color w:val="auto"/>
                <w:sz w:val="21"/>
                <w:highlight w:val="none"/>
              </w:rPr>
            </w:pPr>
          </w:p>
        </w:tc>
        <w:tc>
          <w:tcPr>
            <w:tcW w:w="718" w:type="dxa"/>
            <w:vAlign w:val="top"/>
          </w:tcPr>
          <w:p w14:paraId="469D4BD8">
            <w:pPr>
              <w:rPr>
                <w:rFonts w:ascii="Arial"/>
                <w:color w:val="auto"/>
                <w:sz w:val="21"/>
                <w:highlight w:val="none"/>
              </w:rPr>
            </w:pPr>
          </w:p>
        </w:tc>
        <w:tc>
          <w:tcPr>
            <w:tcW w:w="1193" w:type="dxa"/>
            <w:vAlign w:val="top"/>
          </w:tcPr>
          <w:p w14:paraId="2F90A8D9">
            <w:pPr>
              <w:rPr>
                <w:rFonts w:ascii="Arial"/>
                <w:color w:val="auto"/>
                <w:sz w:val="21"/>
                <w:highlight w:val="none"/>
              </w:rPr>
            </w:pPr>
          </w:p>
        </w:tc>
        <w:tc>
          <w:tcPr>
            <w:tcW w:w="688" w:type="dxa"/>
            <w:vAlign w:val="top"/>
          </w:tcPr>
          <w:p w14:paraId="2652B2A4">
            <w:pPr>
              <w:rPr>
                <w:rFonts w:ascii="Arial"/>
                <w:color w:val="auto"/>
                <w:sz w:val="21"/>
                <w:highlight w:val="none"/>
              </w:rPr>
            </w:pPr>
          </w:p>
        </w:tc>
      </w:tr>
      <w:tr w14:paraId="2590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7B08E79C">
            <w:pPr>
              <w:rPr>
                <w:rFonts w:ascii="Arial"/>
                <w:color w:val="auto"/>
                <w:sz w:val="21"/>
                <w:highlight w:val="none"/>
              </w:rPr>
            </w:pPr>
          </w:p>
        </w:tc>
        <w:tc>
          <w:tcPr>
            <w:tcW w:w="940" w:type="dxa"/>
            <w:vAlign w:val="top"/>
          </w:tcPr>
          <w:p w14:paraId="304B09C6">
            <w:pPr>
              <w:rPr>
                <w:rFonts w:ascii="Arial"/>
                <w:color w:val="auto"/>
                <w:sz w:val="21"/>
                <w:highlight w:val="none"/>
              </w:rPr>
            </w:pPr>
          </w:p>
        </w:tc>
        <w:tc>
          <w:tcPr>
            <w:tcW w:w="939" w:type="dxa"/>
            <w:vAlign w:val="top"/>
          </w:tcPr>
          <w:p w14:paraId="6853AC0D">
            <w:pPr>
              <w:rPr>
                <w:rFonts w:ascii="Arial"/>
                <w:color w:val="auto"/>
                <w:sz w:val="21"/>
                <w:highlight w:val="none"/>
              </w:rPr>
            </w:pPr>
          </w:p>
        </w:tc>
        <w:tc>
          <w:tcPr>
            <w:tcW w:w="940" w:type="dxa"/>
            <w:vAlign w:val="top"/>
          </w:tcPr>
          <w:p w14:paraId="08ACE8FD">
            <w:pPr>
              <w:rPr>
                <w:rFonts w:ascii="Arial"/>
                <w:color w:val="auto"/>
                <w:sz w:val="21"/>
                <w:highlight w:val="none"/>
              </w:rPr>
            </w:pPr>
          </w:p>
        </w:tc>
        <w:tc>
          <w:tcPr>
            <w:tcW w:w="939" w:type="dxa"/>
            <w:vAlign w:val="top"/>
          </w:tcPr>
          <w:p w14:paraId="4230A4CE">
            <w:pPr>
              <w:rPr>
                <w:rFonts w:ascii="Arial"/>
                <w:color w:val="auto"/>
                <w:sz w:val="21"/>
                <w:highlight w:val="none"/>
              </w:rPr>
            </w:pPr>
          </w:p>
        </w:tc>
        <w:tc>
          <w:tcPr>
            <w:tcW w:w="940" w:type="dxa"/>
            <w:vAlign w:val="top"/>
          </w:tcPr>
          <w:p w14:paraId="4D459F58">
            <w:pPr>
              <w:rPr>
                <w:rFonts w:ascii="Arial"/>
                <w:color w:val="auto"/>
                <w:sz w:val="21"/>
                <w:highlight w:val="none"/>
              </w:rPr>
            </w:pPr>
          </w:p>
        </w:tc>
        <w:tc>
          <w:tcPr>
            <w:tcW w:w="1163" w:type="dxa"/>
            <w:vAlign w:val="top"/>
          </w:tcPr>
          <w:p w14:paraId="19B72DD8">
            <w:pPr>
              <w:rPr>
                <w:rFonts w:ascii="Arial"/>
                <w:color w:val="auto"/>
                <w:sz w:val="21"/>
                <w:highlight w:val="none"/>
              </w:rPr>
            </w:pPr>
          </w:p>
        </w:tc>
        <w:tc>
          <w:tcPr>
            <w:tcW w:w="718" w:type="dxa"/>
            <w:vAlign w:val="top"/>
          </w:tcPr>
          <w:p w14:paraId="06F29EEE">
            <w:pPr>
              <w:rPr>
                <w:rFonts w:ascii="Arial"/>
                <w:color w:val="auto"/>
                <w:sz w:val="21"/>
                <w:highlight w:val="none"/>
              </w:rPr>
            </w:pPr>
          </w:p>
        </w:tc>
        <w:tc>
          <w:tcPr>
            <w:tcW w:w="1193" w:type="dxa"/>
            <w:vAlign w:val="top"/>
          </w:tcPr>
          <w:p w14:paraId="08B2BED6">
            <w:pPr>
              <w:rPr>
                <w:rFonts w:ascii="Arial"/>
                <w:color w:val="auto"/>
                <w:sz w:val="21"/>
                <w:highlight w:val="none"/>
              </w:rPr>
            </w:pPr>
          </w:p>
        </w:tc>
        <w:tc>
          <w:tcPr>
            <w:tcW w:w="688" w:type="dxa"/>
            <w:vAlign w:val="top"/>
          </w:tcPr>
          <w:p w14:paraId="5D41DBAE">
            <w:pPr>
              <w:rPr>
                <w:rFonts w:ascii="Arial"/>
                <w:color w:val="auto"/>
                <w:sz w:val="21"/>
                <w:highlight w:val="none"/>
              </w:rPr>
            </w:pPr>
          </w:p>
        </w:tc>
      </w:tr>
      <w:tr w14:paraId="71AF3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44" w:type="dxa"/>
            <w:vAlign w:val="top"/>
          </w:tcPr>
          <w:p w14:paraId="4B1EE293">
            <w:pPr>
              <w:rPr>
                <w:rFonts w:ascii="Arial"/>
                <w:color w:val="auto"/>
                <w:sz w:val="21"/>
                <w:highlight w:val="none"/>
              </w:rPr>
            </w:pPr>
          </w:p>
        </w:tc>
        <w:tc>
          <w:tcPr>
            <w:tcW w:w="940" w:type="dxa"/>
            <w:vAlign w:val="top"/>
          </w:tcPr>
          <w:p w14:paraId="2691D7E6">
            <w:pPr>
              <w:rPr>
                <w:rFonts w:ascii="Arial"/>
                <w:color w:val="auto"/>
                <w:sz w:val="21"/>
                <w:highlight w:val="none"/>
              </w:rPr>
            </w:pPr>
          </w:p>
        </w:tc>
        <w:tc>
          <w:tcPr>
            <w:tcW w:w="939" w:type="dxa"/>
            <w:vAlign w:val="top"/>
          </w:tcPr>
          <w:p w14:paraId="05A9D29C">
            <w:pPr>
              <w:rPr>
                <w:rFonts w:ascii="Arial"/>
                <w:color w:val="auto"/>
                <w:sz w:val="21"/>
                <w:highlight w:val="none"/>
              </w:rPr>
            </w:pPr>
          </w:p>
        </w:tc>
        <w:tc>
          <w:tcPr>
            <w:tcW w:w="940" w:type="dxa"/>
            <w:vAlign w:val="top"/>
          </w:tcPr>
          <w:p w14:paraId="39A79288">
            <w:pPr>
              <w:rPr>
                <w:rFonts w:ascii="Arial"/>
                <w:color w:val="auto"/>
                <w:sz w:val="21"/>
                <w:highlight w:val="none"/>
              </w:rPr>
            </w:pPr>
          </w:p>
        </w:tc>
        <w:tc>
          <w:tcPr>
            <w:tcW w:w="939" w:type="dxa"/>
            <w:vAlign w:val="top"/>
          </w:tcPr>
          <w:p w14:paraId="147CFFB6">
            <w:pPr>
              <w:rPr>
                <w:rFonts w:ascii="Arial"/>
                <w:color w:val="auto"/>
                <w:sz w:val="21"/>
                <w:highlight w:val="none"/>
              </w:rPr>
            </w:pPr>
          </w:p>
        </w:tc>
        <w:tc>
          <w:tcPr>
            <w:tcW w:w="940" w:type="dxa"/>
            <w:vAlign w:val="top"/>
          </w:tcPr>
          <w:p w14:paraId="2921FE97">
            <w:pPr>
              <w:rPr>
                <w:rFonts w:ascii="Arial"/>
                <w:color w:val="auto"/>
                <w:sz w:val="21"/>
                <w:highlight w:val="none"/>
              </w:rPr>
            </w:pPr>
          </w:p>
        </w:tc>
        <w:tc>
          <w:tcPr>
            <w:tcW w:w="1163" w:type="dxa"/>
            <w:vAlign w:val="top"/>
          </w:tcPr>
          <w:p w14:paraId="0C44144D">
            <w:pPr>
              <w:rPr>
                <w:rFonts w:ascii="Arial"/>
                <w:color w:val="auto"/>
                <w:sz w:val="21"/>
                <w:highlight w:val="none"/>
              </w:rPr>
            </w:pPr>
          </w:p>
        </w:tc>
        <w:tc>
          <w:tcPr>
            <w:tcW w:w="718" w:type="dxa"/>
            <w:vAlign w:val="top"/>
          </w:tcPr>
          <w:p w14:paraId="30B4579B">
            <w:pPr>
              <w:rPr>
                <w:rFonts w:ascii="Arial"/>
                <w:color w:val="auto"/>
                <w:sz w:val="21"/>
                <w:highlight w:val="none"/>
              </w:rPr>
            </w:pPr>
          </w:p>
        </w:tc>
        <w:tc>
          <w:tcPr>
            <w:tcW w:w="1193" w:type="dxa"/>
            <w:vAlign w:val="top"/>
          </w:tcPr>
          <w:p w14:paraId="4A736A50">
            <w:pPr>
              <w:rPr>
                <w:rFonts w:ascii="Arial"/>
                <w:color w:val="auto"/>
                <w:sz w:val="21"/>
                <w:highlight w:val="none"/>
              </w:rPr>
            </w:pPr>
          </w:p>
        </w:tc>
        <w:tc>
          <w:tcPr>
            <w:tcW w:w="688" w:type="dxa"/>
            <w:vAlign w:val="top"/>
          </w:tcPr>
          <w:p w14:paraId="3D6C4B57">
            <w:pPr>
              <w:rPr>
                <w:rFonts w:ascii="Arial"/>
                <w:color w:val="auto"/>
                <w:sz w:val="21"/>
                <w:highlight w:val="none"/>
              </w:rPr>
            </w:pPr>
          </w:p>
        </w:tc>
      </w:tr>
      <w:tr w14:paraId="074D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781A911A">
            <w:pPr>
              <w:rPr>
                <w:rFonts w:ascii="Arial"/>
                <w:color w:val="auto"/>
                <w:sz w:val="21"/>
                <w:highlight w:val="none"/>
              </w:rPr>
            </w:pPr>
          </w:p>
        </w:tc>
        <w:tc>
          <w:tcPr>
            <w:tcW w:w="940" w:type="dxa"/>
            <w:vAlign w:val="top"/>
          </w:tcPr>
          <w:p w14:paraId="649272D4">
            <w:pPr>
              <w:rPr>
                <w:rFonts w:ascii="Arial"/>
                <w:color w:val="auto"/>
                <w:sz w:val="21"/>
                <w:highlight w:val="none"/>
              </w:rPr>
            </w:pPr>
          </w:p>
        </w:tc>
        <w:tc>
          <w:tcPr>
            <w:tcW w:w="939" w:type="dxa"/>
            <w:vAlign w:val="top"/>
          </w:tcPr>
          <w:p w14:paraId="483FF01D">
            <w:pPr>
              <w:rPr>
                <w:rFonts w:ascii="Arial"/>
                <w:color w:val="auto"/>
                <w:sz w:val="21"/>
                <w:highlight w:val="none"/>
              </w:rPr>
            </w:pPr>
          </w:p>
        </w:tc>
        <w:tc>
          <w:tcPr>
            <w:tcW w:w="940" w:type="dxa"/>
            <w:vAlign w:val="top"/>
          </w:tcPr>
          <w:p w14:paraId="2A86E9B0">
            <w:pPr>
              <w:rPr>
                <w:rFonts w:ascii="Arial"/>
                <w:color w:val="auto"/>
                <w:sz w:val="21"/>
                <w:highlight w:val="none"/>
              </w:rPr>
            </w:pPr>
          </w:p>
        </w:tc>
        <w:tc>
          <w:tcPr>
            <w:tcW w:w="939" w:type="dxa"/>
            <w:vAlign w:val="top"/>
          </w:tcPr>
          <w:p w14:paraId="19559594">
            <w:pPr>
              <w:rPr>
                <w:rFonts w:ascii="Arial"/>
                <w:color w:val="auto"/>
                <w:sz w:val="21"/>
                <w:highlight w:val="none"/>
              </w:rPr>
            </w:pPr>
          </w:p>
        </w:tc>
        <w:tc>
          <w:tcPr>
            <w:tcW w:w="940" w:type="dxa"/>
            <w:vAlign w:val="top"/>
          </w:tcPr>
          <w:p w14:paraId="20169945">
            <w:pPr>
              <w:rPr>
                <w:rFonts w:ascii="Arial"/>
                <w:color w:val="auto"/>
                <w:sz w:val="21"/>
                <w:highlight w:val="none"/>
              </w:rPr>
            </w:pPr>
          </w:p>
        </w:tc>
        <w:tc>
          <w:tcPr>
            <w:tcW w:w="1163" w:type="dxa"/>
            <w:vAlign w:val="top"/>
          </w:tcPr>
          <w:p w14:paraId="300128F1">
            <w:pPr>
              <w:rPr>
                <w:rFonts w:ascii="Arial"/>
                <w:color w:val="auto"/>
                <w:sz w:val="21"/>
                <w:highlight w:val="none"/>
              </w:rPr>
            </w:pPr>
          </w:p>
        </w:tc>
        <w:tc>
          <w:tcPr>
            <w:tcW w:w="718" w:type="dxa"/>
            <w:vAlign w:val="top"/>
          </w:tcPr>
          <w:p w14:paraId="7EB33E46">
            <w:pPr>
              <w:rPr>
                <w:rFonts w:ascii="Arial"/>
                <w:color w:val="auto"/>
                <w:sz w:val="21"/>
                <w:highlight w:val="none"/>
              </w:rPr>
            </w:pPr>
          </w:p>
        </w:tc>
        <w:tc>
          <w:tcPr>
            <w:tcW w:w="1193" w:type="dxa"/>
            <w:vAlign w:val="top"/>
          </w:tcPr>
          <w:p w14:paraId="55C30B48">
            <w:pPr>
              <w:rPr>
                <w:rFonts w:ascii="Arial"/>
                <w:color w:val="auto"/>
                <w:sz w:val="21"/>
                <w:highlight w:val="none"/>
              </w:rPr>
            </w:pPr>
          </w:p>
        </w:tc>
        <w:tc>
          <w:tcPr>
            <w:tcW w:w="688" w:type="dxa"/>
            <w:vAlign w:val="top"/>
          </w:tcPr>
          <w:p w14:paraId="78FF95C5">
            <w:pPr>
              <w:rPr>
                <w:rFonts w:ascii="Arial"/>
                <w:color w:val="auto"/>
                <w:sz w:val="21"/>
                <w:highlight w:val="none"/>
              </w:rPr>
            </w:pPr>
          </w:p>
        </w:tc>
      </w:tr>
      <w:tr w14:paraId="2A96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3E020D95">
            <w:pPr>
              <w:rPr>
                <w:rFonts w:ascii="Arial"/>
                <w:color w:val="auto"/>
                <w:sz w:val="21"/>
                <w:highlight w:val="none"/>
              </w:rPr>
            </w:pPr>
          </w:p>
        </w:tc>
        <w:tc>
          <w:tcPr>
            <w:tcW w:w="940" w:type="dxa"/>
            <w:vAlign w:val="top"/>
          </w:tcPr>
          <w:p w14:paraId="094C2572">
            <w:pPr>
              <w:rPr>
                <w:rFonts w:ascii="Arial"/>
                <w:color w:val="auto"/>
                <w:sz w:val="21"/>
                <w:highlight w:val="none"/>
              </w:rPr>
            </w:pPr>
          </w:p>
        </w:tc>
        <w:tc>
          <w:tcPr>
            <w:tcW w:w="939" w:type="dxa"/>
            <w:vAlign w:val="top"/>
          </w:tcPr>
          <w:p w14:paraId="2A71337B">
            <w:pPr>
              <w:rPr>
                <w:rFonts w:ascii="Arial"/>
                <w:color w:val="auto"/>
                <w:sz w:val="21"/>
                <w:highlight w:val="none"/>
              </w:rPr>
            </w:pPr>
          </w:p>
        </w:tc>
        <w:tc>
          <w:tcPr>
            <w:tcW w:w="940" w:type="dxa"/>
            <w:vAlign w:val="top"/>
          </w:tcPr>
          <w:p w14:paraId="51254D30">
            <w:pPr>
              <w:rPr>
                <w:rFonts w:ascii="Arial"/>
                <w:color w:val="auto"/>
                <w:sz w:val="21"/>
                <w:highlight w:val="none"/>
              </w:rPr>
            </w:pPr>
          </w:p>
        </w:tc>
        <w:tc>
          <w:tcPr>
            <w:tcW w:w="939" w:type="dxa"/>
            <w:vAlign w:val="top"/>
          </w:tcPr>
          <w:p w14:paraId="7FC0D610">
            <w:pPr>
              <w:rPr>
                <w:rFonts w:ascii="Arial"/>
                <w:color w:val="auto"/>
                <w:sz w:val="21"/>
                <w:highlight w:val="none"/>
              </w:rPr>
            </w:pPr>
          </w:p>
        </w:tc>
        <w:tc>
          <w:tcPr>
            <w:tcW w:w="940" w:type="dxa"/>
            <w:vAlign w:val="top"/>
          </w:tcPr>
          <w:p w14:paraId="4347397D">
            <w:pPr>
              <w:rPr>
                <w:rFonts w:ascii="Arial"/>
                <w:color w:val="auto"/>
                <w:sz w:val="21"/>
                <w:highlight w:val="none"/>
              </w:rPr>
            </w:pPr>
          </w:p>
        </w:tc>
        <w:tc>
          <w:tcPr>
            <w:tcW w:w="1163" w:type="dxa"/>
            <w:vAlign w:val="top"/>
          </w:tcPr>
          <w:p w14:paraId="18D592C7">
            <w:pPr>
              <w:rPr>
                <w:rFonts w:ascii="Arial"/>
                <w:color w:val="auto"/>
                <w:sz w:val="21"/>
                <w:highlight w:val="none"/>
              </w:rPr>
            </w:pPr>
          </w:p>
        </w:tc>
        <w:tc>
          <w:tcPr>
            <w:tcW w:w="718" w:type="dxa"/>
            <w:vAlign w:val="top"/>
          </w:tcPr>
          <w:p w14:paraId="3E2204EB">
            <w:pPr>
              <w:rPr>
                <w:rFonts w:ascii="Arial"/>
                <w:color w:val="auto"/>
                <w:sz w:val="21"/>
                <w:highlight w:val="none"/>
              </w:rPr>
            </w:pPr>
          </w:p>
        </w:tc>
        <w:tc>
          <w:tcPr>
            <w:tcW w:w="1193" w:type="dxa"/>
            <w:vAlign w:val="top"/>
          </w:tcPr>
          <w:p w14:paraId="6A23837D">
            <w:pPr>
              <w:rPr>
                <w:rFonts w:ascii="Arial"/>
                <w:color w:val="auto"/>
                <w:sz w:val="21"/>
                <w:highlight w:val="none"/>
              </w:rPr>
            </w:pPr>
          </w:p>
        </w:tc>
        <w:tc>
          <w:tcPr>
            <w:tcW w:w="688" w:type="dxa"/>
            <w:vAlign w:val="top"/>
          </w:tcPr>
          <w:p w14:paraId="1D03B45C">
            <w:pPr>
              <w:rPr>
                <w:rFonts w:ascii="Arial"/>
                <w:color w:val="auto"/>
                <w:sz w:val="21"/>
                <w:highlight w:val="none"/>
              </w:rPr>
            </w:pPr>
          </w:p>
        </w:tc>
      </w:tr>
      <w:tr w14:paraId="2AB3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174575A0">
            <w:pPr>
              <w:rPr>
                <w:rFonts w:ascii="Arial"/>
                <w:color w:val="auto"/>
                <w:sz w:val="21"/>
                <w:highlight w:val="none"/>
              </w:rPr>
            </w:pPr>
          </w:p>
        </w:tc>
        <w:tc>
          <w:tcPr>
            <w:tcW w:w="940" w:type="dxa"/>
            <w:vAlign w:val="top"/>
          </w:tcPr>
          <w:p w14:paraId="075D12B4">
            <w:pPr>
              <w:rPr>
                <w:rFonts w:ascii="Arial"/>
                <w:color w:val="auto"/>
                <w:sz w:val="21"/>
                <w:highlight w:val="none"/>
              </w:rPr>
            </w:pPr>
          </w:p>
        </w:tc>
        <w:tc>
          <w:tcPr>
            <w:tcW w:w="939" w:type="dxa"/>
            <w:vAlign w:val="top"/>
          </w:tcPr>
          <w:p w14:paraId="25DD15B8">
            <w:pPr>
              <w:rPr>
                <w:rFonts w:ascii="Arial"/>
                <w:color w:val="auto"/>
                <w:sz w:val="21"/>
                <w:highlight w:val="none"/>
              </w:rPr>
            </w:pPr>
          </w:p>
        </w:tc>
        <w:tc>
          <w:tcPr>
            <w:tcW w:w="940" w:type="dxa"/>
            <w:vAlign w:val="top"/>
          </w:tcPr>
          <w:p w14:paraId="00808938">
            <w:pPr>
              <w:rPr>
                <w:rFonts w:ascii="Arial"/>
                <w:color w:val="auto"/>
                <w:sz w:val="21"/>
                <w:highlight w:val="none"/>
              </w:rPr>
            </w:pPr>
          </w:p>
        </w:tc>
        <w:tc>
          <w:tcPr>
            <w:tcW w:w="939" w:type="dxa"/>
            <w:vAlign w:val="top"/>
          </w:tcPr>
          <w:p w14:paraId="2F5E9B4D">
            <w:pPr>
              <w:rPr>
                <w:rFonts w:ascii="Arial"/>
                <w:color w:val="auto"/>
                <w:sz w:val="21"/>
                <w:highlight w:val="none"/>
              </w:rPr>
            </w:pPr>
          </w:p>
        </w:tc>
        <w:tc>
          <w:tcPr>
            <w:tcW w:w="940" w:type="dxa"/>
            <w:vAlign w:val="top"/>
          </w:tcPr>
          <w:p w14:paraId="5A3BE334">
            <w:pPr>
              <w:rPr>
                <w:rFonts w:ascii="Arial"/>
                <w:color w:val="auto"/>
                <w:sz w:val="21"/>
                <w:highlight w:val="none"/>
              </w:rPr>
            </w:pPr>
          </w:p>
        </w:tc>
        <w:tc>
          <w:tcPr>
            <w:tcW w:w="1163" w:type="dxa"/>
            <w:vAlign w:val="top"/>
          </w:tcPr>
          <w:p w14:paraId="0D7DF980">
            <w:pPr>
              <w:rPr>
                <w:rFonts w:ascii="Arial"/>
                <w:color w:val="auto"/>
                <w:sz w:val="21"/>
                <w:highlight w:val="none"/>
              </w:rPr>
            </w:pPr>
          </w:p>
        </w:tc>
        <w:tc>
          <w:tcPr>
            <w:tcW w:w="718" w:type="dxa"/>
            <w:vAlign w:val="top"/>
          </w:tcPr>
          <w:p w14:paraId="0661CB85">
            <w:pPr>
              <w:rPr>
                <w:rFonts w:ascii="Arial"/>
                <w:color w:val="auto"/>
                <w:sz w:val="21"/>
                <w:highlight w:val="none"/>
              </w:rPr>
            </w:pPr>
          </w:p>
        </w:tc>
        <w:tc>
          <w:tcPr>
            <w:tcW w:w="1193" w:type="dxa"/>
            <w:vAlign w:val="top"/>
          </w:tcPr>
          <w:p w14:paraId="60C0AA30">
            <w:pPr>
              <w:rPr>
                <w:rFonts w:ascii="Arial"/>
                <w:color w:val="auto"/>
                <w:sz w:val="21"/>
                <w:highlight w:val="none"/>
              </w:rPr>
            </w:pPr>
          </w:p>
        </w:tc>
        <w:tc>
          <w:tcPr>
            <w:tcW w:w="688" w:type="dxa"/>
            <w:vAlign w:val="top"/>
          </w:tcPr>
          <w:p w14:paraId="48A27757">
            <w:pPr>
              <w:rPr>
                <w:rFonts w:ascii="Arial"/>
                <w:color w:val="auto"/>
                <w:sz w:val="21"/>
                <w:highlight w:val="none"/>
              </w:rPr>
            </w:pPr>
          </w:p>
        </w:tc>
      </w:tr>
      <w:tr w14:paraId="5076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44" w:type="dxa"/>
            <w:vAlign w:val="top"/>
          </w:tcPr>
          <w:p w14:paraId="7E37CAC7">
            <w:pPr>
              <w:rPr>
                <w:rFonts w:ascii="Arial"/>
                <w:color w:val="auto"/>
                <w:sz w:val="21"/>
                <w:highlight w:val="none"/>
              </w:rPr>
            </w:pPr>
          </w:p>
        </w:tc>
        <w:tc>
          <w:tcPr>
            <w:tcW w:w="940" w:type="dxa"/>
            <w:vAlign w:val="top"/>
          </w:tcPr>
          <w:p w14:paraId="76C06054">
            <w:pPr>
              <w:rPr>
                <w:rFonts w:ascii="Arial"/>
                <w:color w:val="auto"/>
                <w:sz w:val="21"/>
                <w:highlight w:val="none"/>
              </w:rPr>
            </w:pPr>
          </w:p>
        </w:tc>
        <w:tc>
          <w:tcPr>
            <w:tcW w:w="939" w:type="dxa"/>
            <w:vAlign w:val="top"/>
          </w:tcPr>
          <w:p w14:paraId="0E5381BC">
            <w:pPr>
              <w:rPr>
                <w:rFonts w:ascii="Arial"/>
                <w:color w:val="auto"/>
                <w:sz w:val="21"/>
                <w:highlight w:val="none"/>
              </w:rPr>
            </w:pPr>
          </w:p>
        </w:tc>
        <w:tc>
          <w:tcPr>
            <w:tcW w:w="940" w:type="dxa"/>
            <w:vAlign w:val="top"/>
          </w:tcPr>
          <w:p w14:paraId="085F2920">
            <w:pPr>
              <w:rPr>
                <w:rFonts w:ascii="Arial"/>
                <w:color w:val="auto"/>
                <w:sz w:val="21"/>
                <w:highlight w:val="none"/>
              </w:rPr>
            </w:pPr>
          </w:p>
        </w:tc>
        <w:tc>
          <w:tcPr>
            <w:tcW w:w="939" w:type="dxa"/>
            <w:vAlign w:val="top"/>
          </w:tcPr>
          <w:p w14:paraId="1A184B14">
            <w:pPr>
              <w:rPr>
                <w:rFonts w:ascii="Arial"/>
                <w:color w:val="auto"/>
                <w:sz w:val="21"/>
                <w:highlight w:val="none"/>
              </w:rPr>
            </w:pPr>
          </w:p>
        </w:tc>
        <w:tc>
          <w:tcPr>
            <w:tcW w:w="940" w:type="dxa"/>
            <w:vAlign w:val="top"/>
          </w:tcPr>
          <w:p w14:paraId="2E5F9A8C">
            <w:pPr>
              <w:rPr>
                <w:rFonts w:ascii="Arial"/>
                <w:color w:val="auto"/>
                <w:sz w:val="21"/>
                <w:highlight w:val="none"/>
              </w:rPr>
            </w:pPr>
          </w:p>
        </w:tc>
        <w:tc>
          <w:tcPr>
            <w:tcW w:w="1163" w:type="dxa"/>
            <w:vAlign w:val="top"/>
          </w:tcPr>
          <w:p w14:paraId="0A63350E">
            <w:pPr>
              <w:rPr>
                <w:rFonts w:ascii="Arial"/>
                <w:color w:val="auto"/>
                <w:sz w:val="21"/>
                <w:highlight w:val="none"/>
              </w:rPr>
            </w:pPr>
          </w:p>
        </w:tc>
        <w:tc>
          <w:tcPr>
            <w:tcW w:w="718" w:type="dxa"/>
            <w:vAlign w:val="top"/>
          </w:tcPr>
          <w:p w14:paraId="7F6A3B90">
            <w:pPr>
              <w:rPr>
                <w:rFonts w:ascii="Arial"/>
                <w:color w:val="auto"/>
                <w:sz w:val="21"/>
                <w:highlight w:val="none"/>
              </w:rPr>
            </w:pPr>
          </w:p>
        </w:tc>
        <w:tc>
          <w:tcPr>
            <w:tcW w:w="1193" w:type="dxa"/>
            <w:vAlign w:val="top"/>
          </w:tcPr>
          <w:p w14:paraId="13142BD4">
            <w:pPr>
              <w:rPr>
                <w:rFonts w:ascii="Arial"/>
                <w:color w:val="auto"/>
                <w:sz w:val="21"/>
                <w:highlight w:val="none"/>
              </w:rPr>
            </w:pPr>
          </w:p>
        </w:tc>
        <w:tc>
          <w:tcPr>
            <w:tcW w:w="688" w:type="dxa"/>
            <w:vAlign w:val="top"/>
          </w:tcPr>
          <w:p w14:paraId="0A53FD47">
            <w:pPr>
              <w:rPr>
                <w:rFonts w:ascii="Arial"/>
                <w:color w:val="auto"/>
                <w:sz w:val="21"/>
                <w:highlight w:val="none"/>
              </w:rPr>
            </w:pPr>
          </w:p>
        </w:tc>
      </w:tr>
      <w:tr w14:paraId="0454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22B4AF37">
            <w:pPr>
              <w:rPr>
                <w:rFonts w:ascii="Arial"/>
                <w:color w:val="auto"/>
                <w:sz w:val="21"/>
                <w:highlight w:val="none"/>
              </w:rPr>
            </w:pPr>
          </w:p>
        </w:tc>
        <w:tc>
          <w:tcPr>
            <w:tcW w:w="940" w:type="dxa"/>
            <w:vAlign w:val="top"/>
          </w:tcPr>
          <w:p w14:paraId="255AFFD3">
            <w:pPr>
              <w:rPr>
                <w:rFonts w:ascii="Arial"/>
                <w:color w:val="auto"/>
                <w:sz w:val="21"/>
                <w:highlight w:val="none"/>
              </w:rPr>
            </w:pPr>
          </w:p>
        </w:tc>
        <w:tc>
          <w:tcPr>
            <w:tcW w:w="939" w:type="dxa"/>
            <w:vAlign w:val="top"/>
          </w:tcPr>
          <w:p w14:paraId="2F66CCED">
            <w:pPr>
              <w:rPr>
                <w:rFonts w:ascii="Arial"/>
                <w:color w:val="auto"/>
                <w:sz w:val="21"/>
                <w:highlight w:val="none"/>
              </w:rPr>
            </w:pPr>
          </w:p>
        </w:tc>
        <w:tc>
          <w:tcPr>
            <w:tcW w:w="940" w:type="dxa"/>
            <w:vAlign w:val="top"/>
          </w:tcPr>
          <w:p w14:paraId="5E82481D">
            <w:pPr>
              <w:rPr>
                <w:rFonts w:ascii="Arial"/>
                <w:color w:val="auto"/>
                <w:sz w:val="21"/>
                <w:highlight w:val="none"/>
              </w:rPr>
            </w:pPr>
          </w:p>
        </w:tc>
        <w:tc>
          <w:tcPr>
            <w:tcW w:w="939" w:type="dxa"/>
            <w:vAlign w:val="top"/>
          </w:tcPr>
          <w:p w14:paraId="220240C9">
            <w:pPr>
              <w:rPr>
                <w:rFonts w:ascii="Arial"/>
                <w:color w:val="auto"/>
                <w:sz w:val="21"/>
                <w:highlight w:val="none"/>
              </w:rPr>
            </w:pPr>
          </w:p>
        </w:tc>
        <w:tc>
          <w:tcPr>
            <w:tcW w:w="940" w:type="dxa"/>
            <w:vAlign w:val="top"/>
          </w:tcPr>
          <w:p w14:paraId="38060C1E">
            <w:pPr>
              <w:rPr>
                <w:rFonts w:ascii="Arial"/>
                <w:color w:val="auto"/>
                <w:sz w:val="21"/>
                <w:highlight w:val="none"/>
              </w:rPr>
            </w:pPr>
          </w:p>
        </w:tc>
        <w:tc>
          <w:tcPr>
            <w:tcW w:w="1163" w:type="dxa"/>
            <w:vAlign w:val="top"/>
          </w:tcPr>
          <w:p w14:paraId="20B5EC86">
            <w:pPr>
              <w:rPr>
                <w:rFonts w:ascii="Arial"/>
                <w:color w:val="auto"/>
                <w:sz w:val="21"/>
                <w:highlight w:val="none"/>
              </w:rPr>
            </w:pPr>
          </w:p>
        </w:tc>
        <w:tc>
          <w:tcPr>
            <w:tcW w:w="718" w:type="dxa"/>
            <w:vAlign w:val="top"/>
          </w:tcPr>
          <w:p w14:paraId="77470DCD">
            <w:pPr>
              <w:rPr>
                <w:rFonts w:ascii="Arial"/>
                <w:color w:val="auto"/>
                <w:sz w:val="21"/>
                <w:highlight w:val="none"/>
              </w:rPr>
            </w:pPr>
          </w:p>
        </w:tc>
        <w:tc>
          <w:tcPr>
            <w:tcW w:w="1193" w:type="dxa"/>
            <w:vAlign w:val="top"/>
          </w:tcPr>
          <w:p w14:paraId="5E2DFE4C">
            <w:pPr>
              <w:rPr>
                <w:rFonts w:ascii="Arial"/>
                <w:color w:val="auto"/>
                <w:sz w:val="21"/>
                <w:highlight w:val="none"/>
              </w:rPr>
            </w:pPr>
          </w:p>
        </w:tc>
        <w:tc>
          <w:tcPr>
            <w:tcW w:w="688" w:type="dxa"/>
            <w:vAlign w:val="top"/>
          </w:tcPr>
          <w:p w14:paraId="52D870E4">
            <w:pPr>
              <w:rPr>
                <w:rFonts w:ascii="Arial"/>
                <w:color w:val="auto"/>
                <w:sz w:val="21"/>
                <w:highlight w:val="none"/>
              </w:rPr>
            </w:pPr>
          </w:p>
        </w:tc>
      </w:tr>
      <w:tr w14:paraId="0DCF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09B2BE8F">
            <w:pPr>
              <w:rPr>
                <w:rFonts w:ascii="Arial"/>
                <w:color w:val="auto"/>
                <w:sz w:val="21"/>
                <w:highlight w:val="none"/>
              </w:rPr>
            </w:pPr>
          </w:p>
        </w:tc>
        <w:tc>
          <w:tcPr>
            <w:tcW w:w="940" w:type="dxa"/>
            <w:vAlign w:val="top"/>
          </w:tcPr>
          <w:p w14:paraId="5289638E">
            <w:pPr>
              <w:rPr>
                <w:rFonts w:ascii="Arial"/>
                <w:color w:val="auto"/>
                <w:sz w:val="21"/>
                <w:highlight w:val="none"/>
              </w:rPr>
            </w:pPr>
          </w:p>
        </w:tc>
        <w:tc>
          <w:tcPr>
            <w:tcW w:w="939" w:type="dxa"/>
            <w:vAlign w:val="top"/>
          </w:tcPr>
          <w:p w14:paraId="6ED8066A">
            <w:pPr>
              <w:rPr>
                <w:rFonts w:ascii="Arial"/>
                <w:color w:val="auto"/>
                <w:sz w:val="21"/>
                <w:highlight w:val="none"/>
              </w:rPr>
            </w:pPr>
          </w:p>
        </w:tc>
        <w:tc>
          <w:tcPr>
            <w:tcW w:w="940" w:type="dxa"/>
            <w:vAlign w:val="top"/>
          </w:tcPr>
          <w:p w14:paraId="1DBCE515">
            <w:pPr>
              <w:rPr>
                <w:rFonts w:ascii="Arial"/>
                <w:color w:val="auto"/>
                <w:sz w:val="21"/>
                <w:highlight w:val="none"/>
              </w:rPr>
            </w:pPr>
          </w:p>
        </w:tc>
        <w:tc>
          <w:tcPr>
            <w:tcW w:w="939" w:type="dxa"/>
            <w:vAlign w:val="top"/>
          </w:tcPr>
          <w:p w14:paraId="3C0A5348">
            <w:pPr>
              <w:rPr>
                <w:rFonts w:ascii="Arial"/>
                <w:color w:val="auto"/>
                <w:sz w:val="21"/>
                <w:highlight w:val="none"/>
              </w:rPr>
            </w:pPr>
          </w:p>
        </w:tc>
        <w:tc>
          <w:tcPr>
            <w:tcW w:w="940" w:type="dxa"/>
            <w:vAlign w:val="top"/>
          </w:tcPr>
          <w:p w14:paraId="04A82FBC">
            <w:pPr>
              <w:rPr>
                <w:rFonts w:ascii="Arial"/>
                <w:color w:val="auto"/>
                <w:sz w:val="21"/>
                <w:highlight w:val="none"/>
              </w:rPr>
            </w:pPr>
          </w:p>
        </w:tc>
        <w:tc>
          <w:tcPr>
            <w:tcW w:w="1163" w:type="dxa"/>
            <w:vAlign w:val="top"/>
          </w:tcPr>
          <w:p w14:paraId="68802B19">
            <w:pPr>
              <w:rPr>
                <w:rFonts w:ascii="Arial"/>
                <w:color w:val="auto"/>
                <w:sz w:val="21"/>
                <w:highlight w:val="none"/>
              </w:rPr>
            </w:pPr>
          </w:p>
        </w:tc>
        <w:tc>
          <w:tcPr>
            <w:tcW w:w="718" w:type="dxa"/>
            <w:vAlign w:val="top"/>
          </w:tcPr>
          <w:p w14:paraId="0613BF13">
            <w:pPr>
              <w:rPr>
                <w:rFonts w:ascii="Arial"/>
                <w:color w:val="auto"/>
                <w:sz w:val="21"/>
                <w:highlight w:val="none"/>
              </w:rPr>
            </w:pPr>
          </w:p>
        </w:tc>
        <w:tc>
          <w:tcPr>
            <w:tcW w:w="1193" w:type="dxa"/>
            <w:vAlign w:val="top"/>
          </w:tcPr>
          <w:p w14:paraId="794D70D5">
            <w:pPr>
              <w:rPr>
                <w:rFonts w:ascii="Arial"/>
                <w:color w:val="auto"/>
                <w:sz w:val="21"/>
                <w:highlight w:val="none"/>
              </w:rPr>
            </w:pPr>
          </w:p>
        </w:tc>
        <w:tc>
          <w:tcPr>
            <w:tcW w:w="688" w:type="dxa"/>
            <w:vAlign w:val="top"/>
          </w:tcPr>
          <w:p w14:paraId="7AAFDDAC">
            <w:pPr>
              <w:rPr>
                <w:rFonts w:ascii="Arial"/>
                <w:color w:val="auto"/>
                <w:sz w:val="21"/>
                <w:highlight w:val="none"/>
              </w:rPr>
            </w:pPr>
          </w:p>
        </w:tc>
      </w:tr>
      <w:tr w14:paraId="3D9B9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5CCAE71D">
            <w:pPr>
              <w:rPr>
                <w:rFonts w:ascii="Arial"/>
                <w:color w:val="auto"/>
                <w:sz w:val="21"/>
                <w:highlight w:val="none"/>
              </w:rPr>
            </w:pPr>
          </w:p>
        </w:tc>
        <w:tc>
          <w:tcPr>
            <w:tcW w:w="940" w:type="dxa"/>
            <w:vAlign w:val="top"/>
          </w:tcPr>
          <w:p w14:paraId="3E7BA54A">
            <w:pPr>
              <w:rPr>
                <w:rFonts w:ascii="Arial"/>
                <w:color w:val="auto"/>
                <w:sz w:val="21"/>
                <w:highlight w:val="none"/>
              </w:rPr>
            </w:pPr>
          </w:p>
        </w:tc>
        <w:tc>
          <w:tcPr>
            <w:tcW w:w="939" w:type="dxa"/>
            <w:vAlign w:val="top"/>
          </w:tcPr>
          <w:p w14:paraId="1B086F57">
            <w:pPr>
              <w:rPr>
                <w:rFonts w:ascii="Arial"/>
                <w:color w:val="auto"/>
                <w:sz w:val="21"/>
                <w:highlight w:val="none"/>
              </w:rPr>
            </w:pPr>
          </w:p>
        </w:tc>
        <w:tc>
          <w:tcPr>
            <w:tcW w:w="940" w:type="dxa"/>
            <w:vAlign w:val="top"/>
          </w:tcPr>
          <w:p w14:paraId="1C598C3E">
            <w:pPr>
              <w:rPr>
                <w:rFonts w:ascii="Arial"/>
                <w:color w:val="auto"/>
                <w:sz w:val="21"/>
                <w:highlight w:val="none"/>
              </w:rPr>
            </w:pPr>
          </w:p>
        </w:tc>
        <w:tc>
          <w:tcPr>
            <w:tcW w:w="939" w:type="dxa"/>
            <w:vAlign w:val="top"/>
          </w:tcPr>
          <w:p w14:paraId="4543D815">
            <w:pPr>
              <w:rPr>
                <w:rFonts w:ascii="Arial"/>
                <w:color w:val="auto"/>
                <w:sz w:val="21"/>
                <w:highlight w:val="none"/>
              </w:rPr>
            </w:pPr>
          </w:p>
        </w:tc>
        <w:tc>
          <w:tcPr>
            <w:tcW w:w="940" w:type="dxa"/>
            <w:vAlign w:val="top"/>
          </w:tcPr>
          <w:p w14:paraId="6779F994">
            <w:pPr>
              <w:rPr>
                <w:rFonts w:ascii="Arial"/>
                <w:color w:val="auto"/>
                <w:sz w:val="21"/>
                <w:highlight w:val="none"/>
              </w:rPr>
            </w:pPr>
          </w:p>
        </w:tc>
        <w:tc>
          <w:tcPr>
            <w:tcW w:w="1163" w:type="dxa"/>
            <w:vAlign w:val="top"/>
          </w:tcPr>
          <w:p w14:paraId="649F1AB2">
            <w:pPr>
              <w:rPr>
                <w:rFonts w:ascii="Arial"/>
                <w:color w:val="auto"/>
                <w:sz w:val="21"/>
                <w:highlight w:val="none"/>
              </w:rPr>
            </w:pPr>
          </w:p>
        </w:tc>
        <w:tc>
          <w:tcPr>
            <w:tcW w:w="718" w:type="dxa"/>
            <w:vAlign w:val="top"/>
          </w:tcPr>
          <w:p w14:paraId="711C7409">
            <w:pPr>
              <w:rPr>
                <w:rFonts w:ascii="Arial"/>
                <w:color w:val="auto"/>
                <w:sz w:val="21"/>
                <w:highlight w:val="none"/>
              </w:rPr>
            </w:pPr>
          </w:p>
        </w:tc>
        <w:tc>
          <w:tcPr>
            <w:tcW w:w="1193" w:type="dxa"/>
            <w:vAlign w:val="top"/>
          </w:tcPr>
          <w:p w14:paraId="3A2E83DF">
            <w:pPr>
              <w:rPr>
                <w:rFonts w:ascii="Arial"/>
                <w:color w:val="auto"/>
                <w:sz w:val="21"/>
                <w:highlight w:val="none"/>
              </w:rPr>
            </w:pPr>
          </w:p>
        </w:tc>
        <w:tc>
          <w:tcPr>
            <w:tcW w:w="688" w:type="dxa"/>
            <w:vAlign w:val="top"/>
          </w:tcPr>
          <w:p w14:paraId="29566807">
            <w:pPr>
              <w:rPr>
                <w:rFonts w:ascii="Arial"/>
                <w:color w:val="auto"/>
                <w:sz w:val="21"/>
                <w:highlight w:val="none"/>
              </w:rPr>
            </w:pPr>
          </w:p>
        </w:tc>
      </w:tr>
      <w:tr w14:paraId="75B2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44" w:type="dxa"/>
            <w:vAlign w:val="top"/>
          </w:tcPr>
          <w:p w14:paraId="7677A83A">
            <w:pPr>
              <w:rPr>
                <w:rFonts w:ascii="Arial"/>
                <w:color w:val="auto"/>
                <w:sz w:val="21"/>
                <w:highlight w:val="none"/>
              </w:rPr>
            </w:pPr>
          </w:p>
        </w:tc>
        <w:tc>
          <w:tcPr>
            <w:tcW w:w="940" w:type="dxa"/>
            <w:vAlign w:val="top"/>
          </w:tcPr>
          <w:p w14:paraId="0141C126">
            <w:pPr>
              <w:rPr>
                <w:rFonts w:ascii="Arial"/>
                <w:color w:val="auto"/>
                <w:sz w:val="21"/>
                <w:highlight w:val="none"/>
              </w:rPr>
            </w:pPr>
          </w:p>
        </w:tc>
        <w:tc>
          <w:tcPr>
            <w:tcW w:w="939" w:type="dxa"/>
            <w:vAlign w:val="top"/>
          </w:tcPr>
          <w:p w14:paraId="2343E57A">
            <w:pPr>
              <w:rPr>
                <w:rFonts w:ascii="Arial"/>
                <w:color w:val="auto"/>
                <w:sz w:val="21"/>
                <w:highlight w:val="none"/>
              </w:rPr>
            </w:pPr>
          </w:p>
        </w:tc>
        <w:tc>
          <w:tcPr>
            <w:tcW w:w="940" w:type="dxa"/>
            <w:vAlign w:val="top"/>
          </w:tcPr>
          <w:p w14:paraId="4397D97B">
            <w:pPr>
              <w:rPr>
                <w:rFonts w:ascii="Arial"/>
                <w:color w:val="auto"/>
                <w:sz w:val="21"/>
                <w:highlight w:val="none"/>
              </w:rPr>
            </w:pPr>
          </w:p>
        </w:tc>
        <w:tc>
          <w:tcPr>
            <w:tcW w:w="939" w:type="dxa"/>
            <w:vAlign w:val="top"/>
          </w:tcPr>
          <w:p w14:paraId="683E4B7D">
            <w:pPr>
              <w:rPr>
                <w:rFonts w:ascii="Arial"/>
                <w:color w:val="auto"/>
                <w:sz w:val="21"/>
                <w:highlight w:val="none"/>
              </w:rPr>
            </w:pPr>
          </w:p>
        </w:tc>
        <w:tc>
          <w:tcPr>
            <w:tcW w:w="940" w:type="dxa"/>
            <w:vAlign w:val="top"/>
          </w:tcPr>
          <w:p w14:paraId="59CF0D77">
            <w:pPr>
              <w:rPr>
                <w:rFonts w:ascii="Arial"/>
                <w:color w:val="auto"/>
                <w:sz w:val="21"/>
                <w:highlight w:val="none"/>
              </w:rPr>
            </w:pPr>
          </w:p>
        </w:tc>
        <w:tc>
          <w:tcPr>
            <w:tcW w:w="1163" w:type="dxa"/>
            <w:vAlign w:val="top"/>
          </w:tcPr>
          <w:p w14:paraId="170EFAB9">
            <w:pPr>
              <w:rPr>
                <w:rFonts w:ascii="Arial"/>
                <w:color w:val="auto"/>
                <w:sz w:val="21"/>
                <w:highlight w:val="none"/>
              </w:rPr>
            </w:pPr>
          </w:p>
        </w:tc>
        <w:tc>
          <w:tcPr>
            <w:tcW w:w="718" w:type="dxa"/>
            <w:vAlign w:val="top"/>
          </w:tcPr>
          <w:p w14:paraId="4FA71969">
            <w:pPr>
              <w:rPr>
                <w:rFonts w:ascii="Arial"/>
                <w:color w:val="auto"/>
                <w:sz w:val="21"/>
                <w:highlight w:val="none"/>
              </w:rPr>
            </w:pPr>
          </w:p>
        </w:tc>
        <w:tc>
          <w:tcPr>
            <w:tcW w:w="1193" w:type="dxa"/>
            <w:vAlign w:val="top"/>
          </w:tcPr>
          <w:p w14:paraId="45742912">
            <w:pPr>
              <w:rPr>
                <w:rFonts w:ascii="Arial"/>
                <w:color w:val="auto"/>
                <w:sz w:val="21"/>
                <w:highlight w:val="none"/>
              </w:rPr>
            </w:pPr>
          </w:p>
        </w:tc>
        <w:tc>
          <w:tcPr>
            <w:tcW w:w="688" w:type="dxa"/>
            <w:vAlign w:val="top"/>
          </w:tcPr>
          <w:p w14:paraId="54A299BC">
            <w:pPr>
              <w:rPr>
                <w:rFonts w:ascii="Arial"/>
                <w:color w:val="auto"/>
                <w:sz w:val="21"/>
                <w:highlight w:val="none"/>
              </w:rPr>
            </w:pPr>
          </w:p>
        </w:tc>
      </w:tr>
      <w:tr w14:paraId="3D8AA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59BCFD7B">
            <w:pPr>
              <w:rPr>
                <w:rFonts w:ascii="Arial"/>
                <w:color w:val="auto"/>
                <w:sz w:val="21"/>
                <w:highlight w:val="none"/>
              </w:rPr>
            </w:pPr>
          </w:p>
        </w:tc>
        <w:tc>
          <w:tcPr>
            <w:tcW w:w="940" w:type="dxa"/>
            <w:vAlign w:val="top"/>
          </w:tcPr>
          <w:p w14:paraId="5E6EF898">
            <w:pPr>
              <w:rPr>
                <w:rFonts w:ascii="Arial"/>
                <w:color w:val="auto"/>
                <w:sz w:val="21"/>
                <w:highlight w:val="none"/>
              </w:rPr>
            </w:pPr>
          </w:p>
        </w:tc>
        <w:tc>
          <w:tcPr>
            <w:tcW w:w="939" w:type="dxa"/>
            <w:vAlign w:val="top"/>
          </w:tcPr>
          <w:p w14:paraId="708AF1CA">
            <w:pPr>
              <w:rPr>
                <w:rFonts w:ascii="Arial"/>
                <w:color w:val="auto"/>
                <w:sz w:val="21"/>
                <w:highlight w:val="none"/>
              </w:rPr>
            </w:pPr>
          </w:p>
        </w:tc>
        <w:tc>
          <w:tcPr>
            <w:tcW w:w="940" w:type="dxa"/>
            <w:vAlign w:val="top"/>
          </w:tcPr>
          <w:p w14:paraId="132D9EBD">
            <w:pPr>
              <w:rPr>
                <w:rFonts w:ascii="Arial"/>
                <w:color w:val="auto"/>
                <w:sz w:val="21"/>
                <w:highlight w:val="none"/>
              </w:rPr>
            </w:pPr>
          </w:p>
        </w:tc>
        <w:tc>
          <w:tcPr>
            <w:tcW w:w="939" w:type="dxa"/>
            <w:vAlign w:val="top"/>
          </w:tcPr>
          <w:p w14:paraId="62A4D02C">
            <w:pPr>
              <w:rPr>
                <w:rFonts w:ascii="Arial"/>
                <w:color w:val="auto"/>
                <w:sz w:val="21"/>
                <w:highlight w:val="none"/>
              </w:rPr>
            </w:pPr>
          </w:p>
        </w:tc>
        <w:tc>
          <w:tcPr>
            <w:tcW w:w="940" w:type="dxa"/>
            <w:vAlign w:val="top"/>
          </w:tcPr>
          <w:p w14:paraId="239AB45F">
            <w:pPr>
              <w:rPr>
                <w:rFonts w:ascii="Arial"/>
                <w:color w:val="auto"/>
                <w:sz w:val="21"/>
                <w:highlight w:val="none"/>
              </w:rPr>
            </w:pPr>
          </w:p>
        </w:tc>
        <w:tc>
          <w:tcPr>
            <w:tcW w:w="1163" w:type="dxa"/>
            <w:vAlign w:val="top"/>
          </w:tcPr>
          <w:p w14:paraId="56EB226E">
            <w:pPr>
              <w:rPr>
                <w:rFonts w:ascii="Arial"/>
                <w:color w:val="auto"/>
                <w:sz w:val="21"/>
                <w:highlight w:val="none"/>
              </w:rPr>
            </w:pPr>
          </w:p>
        </w:tc>
        <w:tc>
          <w:tcPr>
            <w:tcW w:w="718" w:type="dxa"/>
            <w:vAlign w:val="top"/>
          </w:tcPr>
          <w:p w14:paraId="6FADD15E">
            <w:pPr>
              <w:rPr>
                <w:rFonts w:ascii="Arial"/>
                <w:color w:val="auto"/>
                <w:sz w:val="21"/>
                <w:highlight w:val="none"/>
              </w:rPr>
            </w:pPr>
          </w:p>
        </w:tc>
        <w:tc>
          <w:tcPr>
            <w:tcW w:w="1193" w:type="dxa"/>
            <w:vAlign w:val="top"/>
          </w:tcPr>
          <w:p w14:paraId="76A72249">
            <w:pPr>
              <w:rPr>
                <w:rFonts w:ascii="Arial"/>
                <w:color w:val="auto"/>
                <w:sz w:val="21"/>
                <w:highlight w:val="none"/>
              </w:rPr>
            </w:pPr>
          </w:p>
        </w:tc>
        <w:tc>
          <w:tcPr>
            <w:tcW w:w="688" w:type="dxa"/>
            <w:vAlign w:val="top"/>
          </w:tcPr>
          <w:p w14:paraId="5BC701BB">
            <w:pPr>
              <w:rPr>
                <w:rFonts w:ascii="Arial"/>
                <w:color w:val="auto"/>
                <w:sz w:val="21"/>
                <w:highlight w:val="none"/>
              </w:rPr>
            </w:pPr>
          </w:p>
        </w:tc>
      </w:tr>
      <w:tr w14:paraId="22C88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44" w:type="dxa"/>
            <w:vAlign w:val="top"/>
          </w:tcPr>
          <w:p w14:paraId="3078CD68">
            <w:pPr>
              <w:rPr>
                <w:rFonts w:ascii="Arial"/>
                <w:color w:val="auto"/>
                <w:sz w:val="21"/>
                <w:highlight w:val="none"/>
              </w:rPr>
            </w:pPr>
          </w:p>
        </w:tc>
        <w:tc>
          <w:tcPr>
            <w:tcW w:w="940" w:type="dxa"/>
            <w:vAlign w:val="top"/>
          </w:tcPr>
          <w:p w14:paraId="0C590FFD">
            <w:pPr>
              <w:rPr>
                <w:rFonts w:ascii="Arial"/>
                <w:color w:val="auto"/>
                <w:sz w:val="21"/>
                <w:highlight w:val="none"/>
              </w:rPr>
            </w:pPr>
          </w:p>
        </w:tc>
        <w:tc>
          <w:tcPr>
            <w:tcW w:w="939" w:type="dxa"/>
            <w:vAlign w:val="top"/>
          </w:tcPr>
          <w:p w14:paraId="5318EFBB">
            <w:pPr>
              <w:rPr>
                <w:rFonts w:ascii="Arial"/>
                <w:color w:val="auto"/>
                <w:sz w:val="21"/>
                <w:highlight w:val="none"/>
              </w:rPr>
            </w:pPr>
          </w:p>
        </w:tc>
        <w:tc>
          <w:tcPr>
            <w:tcW w:w="940" w:type="dxa"/>
            <w:vAlign w:val="top"/>
          </w:tcPr>
          <w:p w14:paraId="44942439">
            <w:pPr>
              <w:rPr>
                <w:rFonts w:ascii="Arial"/>
                <w:color w:val="auto"/>
                <w:sz w:val="21"/>
                <w:highlight w:val="none"/>
              </w:rPr>
            </w:pPr>
          </w:p>
        </w:tc>
        <w:tc>
          <w:tcPr>
            <w:tcW w:w="939" w:type="dxa"/>
            <w:vAlign w:val="top"/>
          </w:tcPr>
          <w:p w14:paraId="2512ED76">
            <w:pPr>
              <w:rPr>
                <w:rFonts w:ascii="Arial"/>
                <w:color w:val="auto"/>
                <w:sz w:val="21"/>
                <w:highlight w:val="none"/>
              </w:rPr>
            </w:pPr>
          </w:p>
        </w:tc>
        <w:tc>
          <w:tcPr>
            <w:tcW w:w="940" w:type="dxa"/>
            <w:vAlign w:val="top"/>
          </w:tcPr>
          <w:p w14:paraId="1EE10A11">
            <w:pPr>
              <w:rPr>
                <w:rFonts w:ascii="Arial"/>
                <w:color w:val="auto"/>
                <w:sz w:val="21"/>
                <w:highlight w:val="none"/>
              </w:rPr>
            </w:pPr>
          </w:p>
        </w:tc>
        <w:tc>
          <w:tcPr>
            <w:tcW w:w="1163" w:type="dxa"/>
            <w:vAlign w:val="top"/>
          </w:tcPr>
          <w:p w14:paraId="0DF7B589">
            <w:pPr>
              <w:rPr>
                <w:rFonts w:ascii="Arial"/>
                <w:color w:val="auto"/>
                <w:sz w:val="21"/>
                <w:highlight w:val="none"/>
              </w:rPr>
            </w:pPr>
          </w:p>
        </w:tc>
        <w:tc>
          <w:tcPr>
            <w:tcW w:w="718" w:type="dxa"/>
            <w:vAlign w:val="top"/>
          </w:tcPr>
          <w:p w14:paraId="1B56D890">
            <w:pPr>
              <w:rPr>
                <w:rFonts w:ascii="Arial"/>
                <w:color w:val="auto"/>
                <w:sz w:val="21"/>
                <w:highlight w:val="none"/>
              </w:rPr>
            </w:pPr>
          </w:p>
        </w:tc>
        <w:tc>
          <w:tcPr>
            <w:tcW w:w="1193" w:type="dxa"/>
            <w:vAlign w:val="top"/>
          </w:tcPr>
          <w:p w14:paraId="72FC0695">
            <w:pPr>
              <w:rPr>
                <w:rFonts w:ascii="Arial"/>
                <w:color w:val="auto"/>
                <w:sz w:val="21"/>
                <w:highlight w:val="none"/>
              </w:rPr>
            </w:pPr>
          </w:p>
        </w:tc>
        <w:tc>
          <w:tcPr>
            <w:tcW w:w="688" w:type="dxa"/>
            <w:vAlign w:val="top"/>
          </w:tcPr>
          <w:p w14:paraId="2D67DA46">
            <w:pPr>
              <w:rPr>
                <w:rFonts w:ascii="Arial"/>
                <w:color w:val="auto"/>
                <w:sz w:val="21"/>
                <w:highlight w:val="none"/>
              </w:rPr>
            </w:pPr>
          </w:p>
        </w:tc>
      </w:tr>
      <w:tr w14:paraId="1434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39978E36">
            <w:pPr>
              <w:rPr>
                <w:rFonts w:ascii="Arial"/>
                <w:color w:val="auto"/>
                <w:sz w:val="21"/>
                <w:highlight w:val="none"/>
              </w:rPr>
            </w:pPr>
          </w:p>
        </w:tc>
        <w:tc>
          <w:tcPr>
            <w:tcW w:w="940" w:type="dxa"/>
            <w:vAlign w:val="top"/>
          </w:tcPr>
          <w:p w14:paraId="6DD5DB04">
            <w:pPr>
              <w:rPr>
                <w:rFonts w:ascii="Arial"/>
                <w:color w:val="auto"/>
                <w:sz w:val="21"/>
                <w:highlight w:val="none"/>
              </w:rPr>
            </w:pPr>
          </w:p>
        </w:tc>
        <w:tc>
          <w:tcPr>
            <w:tcW w:w="939" w:type="dxa"/>
            <w:vAlign w:val="top"/>
          </w:tcPr>
          <w:p w14:paraId="6B5F7271">
            <w:pPr>
              <w:rPr>
                <w:rFonts w:ascii="Arial"/>
                <w:color w:val="auto"/>
                <w:sz w:val="21"/>
                <w:highlight w:val="none"/>
              </w:rPr>
            </w:pPr>
          </w:p>
        </w:tc>
        <w:tc>
          <w:tcPr>
            <w:tcW w:w="940" w:type="dxa"/>
            <w:vAlign w:val="top"/>
          </w:tcPr>
          <w:p w14:paraId="0AB18C88">
            <w:pPr>
              <w:rPr>
                <w:rFonts w:ascii="Arial"/>
                <w:color w:val="auto"/>
                <w:sz w:val="21"/>
                <w:highlight w:val="none"/>
              </w:rPr>
            </w:pPr>
          </w:p>
        </w:tc>
        <w:tc>
          <w:tcPr>
            <w:tcW w:w="939" w:type="dxa"/>
            <w:vAlign w:val="top"/>
          </w:tcPr>
          <w:p w14:paraId="2D64E692">
            <w:pPr>
              <w:rPr>
                <w:rFonts w:ascii="Arial"/>
                <w:color w:val="auto"/>
                <w:sz w:val="21"/>
                <w:highlight w:val="none"/>
              </w:rPr>
            </w:pPr>
          </w:p>
        </w:tc>
        <w:tc>
          <w:tcPr>
            <w:tcW w:w="940" w:type="dxa"/>
            <w:vAlign w:val="top"/>
          </w:tcPr>
          <w:p w14:paraId="574783D2">
            <w:pPr>
              <w:rPr>
                <w:rFonts w:ascii="Arial"/>
                <w:color w:val="auto"/>
                <w:sz w:val="21"/>
                <w:highlight w:val="none"/>
              </w:rPr>
            </w:pPr>
          </w:p>
        </w:tc>
        <w:tc>
          <w:tcPr>
            <w:tcW w:w="1163" w:type="dxa"/>
            <w:vAlign w:val="top"/>
          </w:tcPr>
          <w:p w14:paraId="5675B384">
            <w:pPr>
              <w:rPr>
                <w:rFonts w:ascii="Arial"/>
                <w:color w:val="auto"/>
                <w:sz w:val="21"/>
                <w:highlight w:val="none"/>
              </w:rPr>
            </w:pPr>
          </w:p>
        </w:tc>
        <w:tc>
          <w:tcPr>
            <w:tcW w:w="718" w:type="dxa"/>
            <w:vAlign w:val="top"/>
          </w:tcPr>
          <w:p w14:paraId="356C4572">
            <w:pPr>
              <w:rPr>
                <w:rFonts w:ascii="Arial"/>
                <w:color w:val="auto"/>
                <w:sz w:val="21"/>
                <w:highlight w:val="none"/>
              </w:rPr>
            </w:pPr>
          </w:p>
        </w:tc>
        <w:tc>
          <w:tcPr>
            <w:tcW w:w="1193" w:type="dxa"/>
            <w:vAlign w:val="top"/>
          </w:tcPr>
          <w:p w14:paraId="585FC94E">
            <w:pPr>
              <w:rPr>
                <w:rFonts w:ascii="Arial"/>
                <w:color w:val="auto"/>
                <w:sz w:val="21"/>
                <w:highlight w:val="none"/>
              </w:rPr>
            </w:pPr>
          </w:p>
        </w:tc>
        <w:tc>
          <w:tcPr>
            <w:tcW w:w="688" w:type="dxa"/>
            <w:vAlign w:val="top"/>
          </w:tcPr>
          <w:p w14:paraId="3F5170D2">
            <w:pPr>
              <w:rPr>
                <w:rFonts w:ascii="Arial"/>
                <w:color w:val="auto"/>
                <w:sz w:val="21"/>
                <w:highlight w:val="none"/>
              </w:rPr>
            </w:pPr>
          </w:p>
        </w:tc>
      </w:tr>
      <w:tr w14:paraId="05A7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32285117">
            <w:pPr>
              <w:rPr>
                <w:rFonts w:ascii="Arial"/>
                <w:color w:val="auto"/>
                <w:sz w:val="21"/>
                <w:highlight w:val="none"/>
              </w:rPr>
            </w:pPr>
          </w:p>
        </w:tc>
        <w:tc>
          <w:tcPr>
            <w:tcW w:w="940" w:type="dxa"/>
            <w:vAlign w:val="top"/>
          </w:tcPr>
          <w:p w14:paraId="24A74EC4">
            <w:pPr>
              <w:rPr>
                <w:rFonts w:ascii="Arial"/>
                <w:color w:val="auto"/>
                <w:sz w:val="21"/>
                <w:highlight w:val="none"/>
              </w:rPr>
            </w:pPr>
          </w:p>
        </w:tc>
        <w:tc>
          <w:tcPr>
            <w:tcW w:w="939" w:type="dxa"/>
            <w:vAlign w:val="top"/>
          </w:tcPr>
          <w:p w14:paraId="07BAACC1">
            <w:pPr>
              <w:rPr>
                <w:rFonts w:ascii="Arial"/>
                <w:color w:val="auto"/>
                <w:sz w:val="21"/>
                <w:highlight w:val="none"/>
              </w:rPr>
            </w:pPr>
          </w:p>
        </w:tc>
        <w:tc>
          <w:tcPr>
            <w:tcW w:w="940" w:type="dxa"/>
            <w:vAlign w:val="top"/>
          </w:tcPr>
          <w:p w14:paraId="2122DAFB">
            <w:pPr>
              <w:rPr>
                <w:rFonts w:ascii="Arial"/>
                <w:color w:val="auto"/>
                <w:sz w:val="21"/>
                <w:highlight w:val="none"/>
              </w:rPr>
            </w:pPr>
          </w:p>
        </w:tc>
        <w:tc>
          <w:tcPr>
            <w:tcW w:w="939" w:type="dxa"/>
            <w:vAlign w:val="top"/>
          </w:tcPr>
          <w:p w14:paraId="58C147B5">
            <w:pPr>
              <w:rPr>
                <w:rFonts w:ascii="Arial"/>
                <w:color w:val="auto"/>
                <w:sz w:val="21"/>
                <w:highlight w:val="none"/>
              </w:rPr>
            </w:pPr>
          </w:p>
        </w:tc>
        <w:tc>
          <w:tcPr>
            <w:tcW w:w="940" w:type="dxa"/>
            <w:vAlign w:val="top"/>
          </w:tcPr>
          <w:p w14:paraId="58625D8B">
            <w:pPr>
              <w:rPr>
                <w:rFonts w:ascii="Arial"/>
                <w:color w:val="auto"/>
                <w:sz w:val="21"/>
                <w:highlight w:val="none"/>
              </w:rPr>
            </w:pPr>
          </w:p>
        </w:tc>
        <w:tc>
          <w:tcPr>
            <w:tcW w:w="1163" w:type="dxa"/>
            <w:vAlign w:val="top"/>
          </w:tcPr>
          <w:p w14:paraId="4299C577">
            <w:pPr>
              <w:rPr>
                <w:rFonts w:ascii="Arial"/>
                <w:color w:val="auto"/>
                <w:sz w:val="21"/>
                <w:highlight w:val="none"/>
              </w:rPr>
            </w:pPr>
          </w:p>
        </w:tc>
        <w:tc>
          <w:tcPr>
            <w:tcW w:w="718" w:type="dxa"/>
            <w:vAlign w:val="top"/>
          </w:tcPr>
          <w:p w14:paraId="41B34190">
            <w:pPr>
              <w:rPr>
                <w:rFonts w:ascii="Arial"/>
                <w:color w:val="auto"/>
                <w:sz w:val="21"/>
                <w:highlight w:val="none"/>
              </w:rPr>
            </w:pPr>
          </w:p>
        </w:tc>
        <w:tc>
          <w:tcPr>
            <w:tcW w:w="1193" w:type="dxa"/>
            <w:vAlign w:val="top"/>
          </w:tcPr>
          <w:p w14:paraId="4F3216FA">
            <w:pPr>
              <w:rPr>
                <w:rFonts w:ascii="Arial"/>
                <w:color w:val="auto"/>
                <w:sz w:val="21"/>
                <w:highlight w:val="none"/>
              </w:rPr>
            </w:pPr>
          </w:p>
        </w:tc>
        <w:tc>
          <w:tcPr>
            <w:tcW w:w="688" w:type="dxa"/>
            <w:vAlign w:val="top"/>
          </w:tcPr>
          <w:p w14:paraId="35E23676">
            <w:pPr>
              <w:rPr>
                <w:rFonts w:ascii="Arial"/>
                <w:color w:val="auto"/>
                <w:sz w:val="21"/>
                <w:highlight w:val="none"/>
              </w:rPr>
            </w:pPr>
          </w:p>
        </w:tc>
      </w:tr>
      <w:tr w14:paraId="3CE18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44" w:type="dxa"/>
            <w:vAlign w:val="top"/>
          </w:tcPr>
          <w:p w14:paraId="43DFD708">
            <w:pPr>
              <w:rPr>
                <w:rFonts w:ascii="Arial"/>
                <w:color w:val="auto"/>
                <w:sz w:val="21"/>
                <w:highlight w:val="none"/>
              </w:rPr>
            </w:pPr>
          </w:p>
        </w:tc>
        <w:tc>
          <w:tcPr>
            <w:tcW w:w="940" w:type="dxa"/>
            <w:vAlign w:val="top"/>
          </w:tcPr>
          <w:p w14:paraId="780B4437">
            <w:pPr>
              <w:rPr>
                <w:rFonts w:ascii="Arial"/>
                <w:color w:val="auto"/>
                <w:sz w:val="21"/>
                <w:highlight w:val="none"/>
              </w:rPr>
            </w:pPr>
          </w:p>
        </w:tc>
        <w:tc>
          <w:tcPr>
            <w:tcW w:w="939" w:type="dxa"/>
            <w:vAlign w:val="top"/>
          </w:tcPr>
          <w:p w14:paraId="17F39C38">
            <w:pPr>
              <w:rPr>
                <w:rFonts w:ascii="Arial"/>
                <w:color w:val="auto"/>
                <w:sz w:val="21"/>
                <w:highlight w:val="none"/>
              </w:rPr>
            </w:pPr>
          </w:p>
        </w:tc>
        <w:tc>
          <w:tcPr>
            <w:tcW w:w="940" w:type="dxa"/>
            <w:vAlign w:val="top"/>
          </w:tcPr>
          <w:p w14:paraId="4B1F4605">
            <w:pPr>
              <w:rPr>
                <w:rFonts w:ascii="Arial"/>
                <w:color w:val="auto"/>
                <w:sz w:val="21"/>
                <w:highlight w:val="none"/>
              </w:rPr>
            </w:pPr>
          </w:p>
        </w:tc>
        <w:tc>
          <w:tcPr>
            <w:tcW w:w="939" w:type="dxa"/>
            <w:vAlign w:val="top"/>
          </w:tcPr>
          <w:p w14:paraId="3E725FB5">
            <w:pPr>
              <w:rPr>
                <w:rFonts w:ascii="Arial"/>
                <w:color w:val="auto"/>
                <w:sz w:val="21"/>
                <w:highlight w:val="none"/>
              </w:rPr>
            </w:pPr>
          </w:p>
        </w:tc>
        <w:tc>
          <w:tcPr>
            <w:tcW w:w="940" w:type="dxa"/>
            <w:vAlign w:val="top"/>
          </w:tcPr>
          <w:p w14:paraId="1AFC6DED">
            <w:pPr>
              <w:rPr>
                <w:rFonts w:ascii="Arial"/>
                <w:color w:val="auto"/>
                <w:sz w:val="21"/>
                <w:highlight w:val="none"/>
              </w:rPr>
            </w:pPr>
          </w:p>
        </w:tc>
        <w:tc>
          <w:tcPr>
            <w:tcW w:w="1163" w:type="dxa"/>
            <w:vAlign w:val="top"/>
          </w:tcPr>
          <w:p w14:paraId="4772C0EB">
            <w:pPr>
              <w:rPr>
                <w:rFonts w:ascii="Arial"/>
                <w:color w:val="auto"/>
                <w:sz w:val="21"/>
                <w:highlight w:val="none"/>
              </w:rPr>
            </w:pPr>
          </w:p>
        </w:tc>
        <w:tc>
          <w:tcPr>
            <w:tcW w:w="718" w:type="dxa"/>
            <w:vAlign w:val="top"/>
          </w:tcPr>
          <w:p w14:paraId="433D80DA">
            <w:pPr>
              <w:rPr>
                <w:rFonts w:ascii="Arial"/>
                <w:color w:val="auto"/>
                <w:sz w:val="21"/>
                <w:highlight w:val="none"/>
              </w:rPr>
            </w:pPr>
          </w:p>
        </w:tc>
        <w:tc>
          <w:tcPr>
            <w:tcW w:w="1193" w:type="dxa"/>
            <w:vAlign w:val="top"/>
          </w:tcPr>
          <w:p w14:paraId="7B2DE22A">
            <w:pPr>
              <w:rPr>
                <w:rFonts w:ascii="Arial"/>
                <w:color w:val="auto"/>
                <w:sz w:val="21"/>
                <w:highlight w:val="none"/>
              </w:rPr>
            </w:pPr>
          </w:p>
        </w:tc>
        <w:tc>
          <w:tcPr>
            <w:tcW w:w="688" w:type="dxa"/>
            <w:vAlign w:val="top"/>
          </w:tcPr>
          <w:p w14:paraId="1A76B758">
            <w:pPr>
              <w:rPr>
                <w:rFonts w:ascii="Arial"/>
                <w:color w:val="auto"/>
                <w:sz w:val="21"/>
                <w:highlight w:val="none"/>
              </w:rPr>
            </w:pPr>
          </w:p>
        </w:tc>
      </w:tr>
      <w:tr w14:paraId="2913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4" w:type="dxa"/>
            <w:vAlign w:val="top"/>
          </w:tcPr>
          <w:p w14:paraId="351642BB">
            <w:pPr>
              <w:rPr>
                <w:rFonts w:ascii="Arial"/>
                <w:color w:val="auto"/>
                <w:sz w:val="21"/>
                <w:highlight w:val="none"/>
              </w:rPr>
            </w:pPr>
          </w:p>
        </w:tc>
        <w:tc>
          <w:tcPr>
            <w:tcW w:w="940" w:type="dxa"/>
            <w:vAlign w:val="top"/>
          </w:tcPr>
          <w:p w14:paraId="0DCBA307">
            <w:pPr>
              <w:rPr>
                <w:rFonts w:ascii="Arial"/>
                <w:color w:val="auto"/>
                <w:sz w:val="21"/>
                <w:highlight w:val="none"/>
              </w:rPr>
            </w:pPr>
          </w:p>
        </w:tc>
        <w:tc>
          <w:tcPr>
            <w:tcW w:w="939" w:type="dxa"/>
            <w:vAlign w:val="top"/>
          </w:tcPr>
          <w:p w14:paraId="4D5F1AC8">
            <w:pPr>
              <w:rPr>
                <w:rFonts w:ascii="Arial"/>
                <w:color w:val="auto"/>
                <w:sz w:val="21"/>
                <w:highlight w:val="none"/>
              </w:rPr>
            </w:pPr>
          </w:p>
        </w:tc>
        <w:tc>
          <w:tcPr>
            <w:tcW w:w="940" w:type="dxa"/>
            <w:vAlign w:val="top"/>
          </w:tcPr>
          <w:p w14:paraId="4DDD6B6A">
            <w:pPr>
              <w:rPr>
                <w:rFonts w:ascii="Arial"/>
                <w:color w:val="auto"/>
                <w:sz w:val="21"/>
                <w:highlight w:val="none"/>
              </w:rPr>
            </w:pPr>
          </w:p>
        </w:tc>
        <w:tc>
          <w:tcPr>
            <w:tcW w:w="939" w:type="dxa"/>
            <w:vAlign w:val="top"/>
          </w:tcPr>
          <w:p w14:paraId="0C0A7A64">
            <w:pPr>
              <w:rPr>
                <w:rFonts w:ascii="Arial"/>
                <w:color w:val="auto"/>
                <w:sz w:val="21"/>
                <w:highlight w:val="none"/>
              </w:rPr>
            </w:pPr>
          </w:p>
        </w:tc>
        <w:tc>
          <w:tcPr>
            <w:tcW w:w="940" w:type="dxa"/>
            <w:vAlign w:val="top"/>
          </w:tcPr>
          <w:p w14:paraId="53A3D2F9">
            <w:pPr>
              <w:rPr>
                <w:rFonts w:ascii="Arial"/>
                <w:color w:val="auto"/>
                <w:sz w:val="21"/>
                <w:highlight w:val="none"/>
              </w:rPr>
            </w:pPr>
          </w:p>
        </w:tc>
        <w:tc>
          <w:tcPr>
            <w:tcW w:w="1163" w:type="dxa"/>
            <w:vAlign w:val="top"/>
          </w:tcPr>
          <w:p w14:paraId="76F44B78">
            <w:pPr>
              <w:rPr>
                <w:rFonts w:ascii="Arial"/>
                <w:color w:val="auto"/>
                <w:sz w:val="21"/>
                <w:highlight w:val="none"/>
              </w:rPr>
            </w:pPr>
          </w:p>
        </w:tc>
        <w:tc>
          <w:tcPr>
            <w:tcW w:w="718" w:type="dxa"/>
            <w:vAlign w:val="top"/>
          </w:tcPr>
          <w:p w14:paraId="36BCE09D">
            <w:pPr>
              <w:rPr>
                <w:rFonts w:ascii="Arial"/>
                <w:color w:val="auto"/>
                <w:sz w:val="21"/>
                <w:highlight w:val="none"/>
              </w:rPr>
            </w:pPr>
          </w:p>
        </w:tc>
        <w:tc>
          <w:tcPr>
            <w:tcW w:w="1193" w:type="dxa"/>
            <w:vAlign w:val="top"/>
          </w:tcPr>
          <w:p w14:paraId="02C62F97">
            <w:pPr>
              <w:rPr>
                <w:rFonts w:ascii="Arial"/>
                <w:color w:val="auto"/>
                <w:sz w:val="21"/>
                <w:highlight w:val="none"/>
              </w:rPr>
            </w:pPr>
          </w:p>
        </w:tc>
        <w:tc>
          <w:tcPr>
            <w:tcW w:w="688" w:type="dxa"/>
            <w:vAlign w:val="top"/>
          </w:tcPr>
          <w:p w14:paraId="0E194E8D">
            <w:pPr>
              <w:rPr>
                <w:rFonts w:ascii="Arial"/>
                <w:color w:val="auto"/>
                <w:sz w:val="21"/>
                <w:highlight w:val="none"/>
              </w:rPr>
            </w:pPr>
          </w:p>
        </w:tc>
      </w:tr>
    </w:tbl>
    <w:p w14:paraId="21671019">
      <w:pPr>
        <w:pStyle w:val="8"/>
        <w:rPr>
          <w:color w:val="auto"/>
          <w:highlight w:val="none"/>
        </w:rPr>
      </w:pPr>
    </w:p>
    <w:p w14:paraId="28F40CB7">
      <w:pPr>
        <w:rPr>
          <w:color w:val="auto"/>
          <w:highlight w:val="none"/>
        </w:rPr>
        <w:sectPr>
          <w:footerReference r:id="rId22" w:type="default"/>
          <w:pgSz w:w="11906" w:h="16839"/>
          <w:pgMar w:top="1347" w:right="1248" w:bottom="1156" w:left="1248" w:header="0" w:footer="994" w:gutter="0"/>
          <w:pgNumType w:fmt="decimal"/>
          <w:cols w:space="720" w:num="1"/>
        </w:sectPr>
      </w:pPr>
    </w:p>
    <w:p w14:paraId="24E4132A">
      <w:pPr>
        <w:spacing w:before="47" w:line="219" w:lineRule="auto"/>
        <w:ind w:left="14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附表二：拟配备本招标项目的试验和检测仪器设备表</w:t>
      </w:r>
    </w:p>
    <w:p w14:paraId="27A833CD">
      <w:pPr>
        <w:spacing w:before="3"/>
        <w:rPr>
          <w:color w:val="auto"/>
          <w:highlight w:val="none"/>
        </w:rPr>
      </w:pPr>
    </w:p>
    <w:p w14:paraId="64DDEB50">
      <w:pPr>
        <w:spacing w:before="3"/>
        <w:rPr>
          <w:color w:val="auto"/>
          <w:highlight w:val="none"/>
        </w:rPr>
      </w:pPr>
    </w:p>
    <w:p w14:paraId="52BE2DCB">
      <w:pPr>
        <w:spacing w:before="3"/>
        <w:rPr>
          <w:color w:val="auto"/>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204"/>
        <w:gridCol w:w="951"/>
        <w:gridCol w:w="952"/>
        <w:gridCol w:w="951"/>
        <w:gridCol w:w="952"/>
        <w:gridCol w:w="1177"/>
        <w:gridCol w:w="1547"/>
        <w:gridCol w:w="971"/>
      </w:tblGrid>
      <w:tr w14:paraId="58B3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99" w:type="dxa"/>
            <w:vAlign w:val="top"/>
          </w:tcPr>
          <w:p w14:paraId="5719B6FA">
            <w:pPr>
              <w:pStyle w:val="21"/>
              <w:spacing w:before="239" w:line="229" w:lineRule="auto"/>
              <w:ind w:left="143"/>
              <w:rPr>
                <w:color w:val="auto"/>
                <w:highlight w:val="none"/>
              </w:rPr>
            </w:pPr>
            <w:r>
              <w:rPr>
                <w:color w:val="auto"/>
                <w:spacing w:val="5"/>
                <w:highlight w:val="none"/>
              </w:rPr>
              <w:t>序号</w:t>
            </w:r>
          </w:p>
        </w:tc>
        <w:tc>
          <w:tcPr>
            <w:tcW w:w="1204" w:type="dxa"/>
            <w:vAlign w:val="top"/>
          </w:tcPr>
          <w:p w14:paraId="4F14C1D5">
            <w:pPr>
              <w:pStyle w:val="21"/>
              <w:spacing w:before="35" w:line="360" w:lineRule="auto"/>
              <w:ind w:left="397" w:right="184" w:hanging="212"/>
              <w:rPr>
                <w:color w:val="auto"/>
                <w:highlight w:val="none"/>
              </w:rPr>
            </w:pPr>
            <w:r>
              <w:rPr>
                <w:color w:val="auto"/>
                <w:spacing w:val="7"/>
                <w:highlight w:val="none"/>
              </w:rPr>
              <w:t>仪器设备</w:t>
            </w:r>
            <w:r>
              <w:rPr>
                <w:color w:val="auto"/>
                <w:highlight w:val="none"/>
              </w:rPr>
              <w:t xml:space="preserve"> </w:t>
            </w:r>
            <w:r>
              <w:rPr>
                <w:color w:val="auto"/>
                <w:spacing w:val="3"/>
                <w:highlight w:val="none"/>
              </w:rPr>
              <w:t>名称</w:t>
            </w:r>
          </w:p>
        </w:tc>
        <w:tc>
          <w:tcPr>
            <w:tcW w:w="951" w:type="dxa"/>
            <w:vAlign w:val="top"/>
          </w:tcPr>
          <w:p w14:paraId="23DC48BA">
            <w:pPr>
              <w:pStyle w:val="21"/>
              <w:spacing w:before="35" w:line="360" w:lineRule="auto"/>
              <w:ind w:left="270" w:right="266" w:firstLine="5"/>
              <w:rPr>
                <w:color w:val="auto"/>
                <w:highlight w:val="none"/>
              </w:rPr>
            </w:pPr>
            <w:r>
              <w:rPr>
                <w:color w:val="auto"/>
                <w:spacing w:val="1"/>
                <w:highlight w:val="none"/>
              </w:rPr>
              <w:t>型号</w:t>
            </w:r>
            <w:r>
              <w:rPr>
                <w:color w:val="auto"/>
                <w:highlight w:val="none"/>
              </w:rPr>
              <w:t xml:space="preserve"> </w:t>
            </w:r>
            <w:r>
              <w:rPr>
                <w:color w:val="auto"/>
                <w:spacing w:val="4"/>
                <w:highlight w:val="none"/>
              </w:rPr>
              <w:t>规格</w:t>
            </w:r>
          </w:p>
        </w:tc>
        <w:tc>
          <w:tcPr>
            <w:tcW w:w="952" w:type="dxa"/>
            <w:vAlign w:val="top"/>
          </w:tcPr>
          <w:p w14:paraId="62318CD0">
            <w:pPr>
              <w:pStyle w:val="21"/>
              <w:spacing w:before="238" w:line="228" w:lineRule="auto"/>
              <w:ind w:left="273"/>
              <w:rPr>
                <w:color w:val="auto"/>
                <w:highlight w:val="none"/>
              </w:rPr>
            </w:pPr>
            <w:r>
              <w:rPr>
                <w:color w:val="auto"/>
                <w:spacing w:val="3"/>
                <w:highlight w:val="none"/>
              </w:rPr>
              <w:t>数量</w:t>
            </w:r>
          </w:p>
        </w:tc>
        <w:tc>
          <w:tcPr>
            <w:tcW w:w="951" w:type="dxa"/>
            <w:vAlign w:val="top"/>
          </w:tcPr>
          <w:p w14:paraId="5C1B85EB">
            <w:pPr>
              <w:pStyle w:val="21"/>
              <w:spacing w:before="35" w:line="360" w:lineRule="auto"/>
              <w:ind w:left="269" w:right="266" w:firstLine="20"/>
              <w:rPr>
                <w:color w:val="auto"/>
                <w:highlight w:val="none"/>
              </w:rPr>
            </w:pPr>
            <w:r>
              <w:rPr>
                <w:color w:val="auto"/>
                <w:spacing w:val="-6"/>
                <w:highlight w:val="none"/>
              </w:rPr>
              <w:t>国别</w:t>
            </w:r>
            <w:r>
              <w:rPr>
                <w:color w:val="auto"/>
                <w:highlight w:val="none"/>
              </w:rPr>
              <w:t xml:space="preserve"> </w:t>
            </w:r>
            <w:r>
              <w:rPr>
                <w:color w:val="auto"/>
                <w:spacing w:val="4"/>
                <w:highlight w:val="none"/>
              </w:rPr>
              <w:t>产地</w:t>
            </w:r>
          </w:p>
        </w:tc>
        <w:tc>
          <w:tcPr>
            <w:tcW w:w="952" w:type="dxa"/>
            <w:vAlign w:val="top"/>
          </w:tcPr>
          <w:p w14:paraId="1688BF9D">
            <w:pPr>
              <w:pStyle w:val="21"/>
              <w:spacing w:before="35" w:line="360" w:lineRule="auto"/>
              <w:ind w:left="272" w:right="265"/>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177" w:type="dxa"/>
            <w:vAlign w:val="top"/>
          </w:tcPr>
          <w:p w14:paraId="7E40B270">
            <w:pPr>
              <w:pStyle w:val="21"/>
              <w:spacing w:before="35" w:line="360" w:lineRule="auto"/>
              <w:ind w:left="295" w:right="271" w:firstLine="6"/>
              <w:rPr>
                <w:color w:val="auto"/>
                <w:highlight w:val="none"/>
              </w:rPr>
            </w:pPr>
            <w:r>
              <w:rPr>
                <w:color w:val="auto"/>
                <w:spacing w:val="-1"/>
                <w:highlight w:val="none"/>
              </w:rPr>
              <w:t>已使用</w:t>
            </w:r>
            <w:r>
              <w:rPr>
                <w:color w:val="auto"/>
                <w:highlight w:val="none"/>
              </w:rPr>
              <w:t xml:space="preserve"> </w:t>
            </w:r>
            <w:r>
              <w:rPr>
                <w:color w:val="auto"/>
                <w:spacing w:val="1"/>
                <w:highlight w:val="none"/>
              </w:rPr>
              <w:t>台时数</w:t>
            </w:r>
          </w:p>
        </w:tc>
        <w:tc>
          <w:tcPr>
            <w:tcW w:w="1547" w:type="dxa"/>
            <w:vAlign w:val="top"/>
          </w:tcPr>
          <w:p w14:paraId="6C3FED37">
            <w:pPr>
              <w:pStyle w:val="21"/>
              <w:spacing w:before="239" w:line="229" w:lineRule="auto"/>
              <w:ind w:left="573"/>
              <w:rPr>
                <w:color w:val="auto"/>
                <w:highlight w:val="none"/>
              </w:rPr>
            </w:pPr>
            <w:r>
              <w:rPr>
                <w:color w:val="auto"/>
                <w:spacing w:val="3"/>
                <w:highlight w:val="none"/>
              </w:rPr>
              <w:t>用途</w:t>
            </w:r>
          </w:p>
        </w:tc>
        <w:tc>
          <w:tcPr>
            <w:tcW w:w="971" w:type="dxa"/>
            <w:vAlign w:val="top"/>
          </w:tcPr>
          <w:p w14:paraId="3939B03A">
            <w:pPr>
              <w:pStyle w:val="21"/>
              <w:spacing w:before="239" w:line="229" w:lineRule="auto"/>
              <w:ind w:left="284"/>
              <w:rPr>
                <w:color w:val="auto"/>
                <w:highlight w:val="none"/>
              </w:rPr>
            </w:pPr>
            <w:r>
              <w:rPr>
                <w:color w:val="auto"/>
                <w:spacing w:val="3"/>
                <w:highlight w:val="none"/>
              </w:rPr>
              <w:t>备注</w:t>
            </w:r>
          </w:p>
        </w:tc>
      </w:tr>
      <w:tr w14:paraId="5D2C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99" w:type="dxa"/>
            <w:vAlign w:val="top"/>
          </w:tcPr>
          <w:p w14:paraId="1438509F">
            <w:pPr>
              <w:rPr>
                <w:rFonts w:ascii="Arial"/>
                <w:color w:val="auto"/>
                <w:sz w:val="21"/>
                <w:highlight w:val="none"/>
              </w:rPr>
            </w:pPr>
          </w:p>
        </w:tc>
        <w:tc>
          <w:tcPr>
            <w:tcW w:w="1204" w:type="dxa"/>
            <w:vAlign w:val="top"/>
          </w:tcPr>
          <w:p w14:paraId="6DEB5F3C">
            <w:pPr>
              <w:rPr>
                <w:rFonts w:ascii="Arial"/>
                <w:color w:val="auto"/>
                <w:sz w:val="21"/>
                <w:highlight w:val="none"/>
              </w:rPr>
            </w:pPr>
          </w:p>
        </w:tc>
        <w:tc>
          <w:tcPr>
            <w:tcW w:w="951" w:type="dxa"/>
            <w:vAlign w:val="top"/>
          </w:tcPr>
          <w:p w14:paraId="693DBB29">
            <w:pPr>
              <w:rPr>
                <w:rFonts w:ascii="Arial"/>
                <w:color w:val="auto"/>
                <w:sz w:val="21"/>
                <w:highlight w:val="none"/>
              </w:rPr>
            </w:pPr>
          </w:p>
        </w:tc>
        <w:tc>
          <w:tcPr>
            <w:tcW w:w="952" w:type="dxa"/>
            <w:vAlign w:val="top"/>
          </w:tcPr>
          <w:p w14:paraId="74DD0A51">
            <w:pPr>
              <w:rPr>
                <w:rFonts w:ascii="Arial"/>
                <w:color w:val="auto"/>
                <w:sz w:val="21"/>
                <w:highlight w:val="none"/>
              </w:rPr>
            </w:pPr>
          </w:p>
        </w:tc>
        <w:tc>
          <w:tcPr>
            <w:tcW w:w="951" w:type="dxa"/>
            <w:vAlign w:val="top"/>
          </w:tcPr>
          <w:p w14:paraId="44DDD948">
            <w:pPr>
              <w:rPr>
                <w:rFonts w:ascii="Arial"/>
                <w:color w:val="auto"/>
                <w:sz w:val="21"/>
                <w:highlight w:val="none"/>
              </w:rPr>
            </w:pPr>
          </w:p>
        </w:tc>
        <w:tc>
          <w:tcPr>
            <w:tcW w:w="952" w:type="dxa"/>
            <w:vAlign w:val="top"/>
          </w:tcPr>
          <w:p w14:paraId="244EECF8">
            <w:pPr>
              <w:rPr>
                <w:rFonts w:ascii="Arial"/>
                <w:color w:val="auto"/>
                <w:sz w:val="21"/>
                <w:highlight w:val="none"/>
              </w:rPr>
            </w:pPr>
          </w:p>
        </w:tc>
        <w:tc>
          <w:tcPr>
            <w:tcW w:w="1177" w:type="dxa"/>
            <w:vAlign w:val="top"/>
          </w:tcPr>
          <w:p w14:paraId="3794099F">
            <w:pPr>
              <w:rPr>
                <w:rFonts w:ascii="Arial"/>
                <w:color w:val="auto"/>
                <w:sz w:val="21"/>
                <w:highlight w:val="none"/>
              </w:rPr>
            </w:pPr>
          </w:p>
        </w:tc>
        <w:tc>
          <w:tcPr>
            <w:tcW w:w="1547" w:type="dxa"/>
            <w:vAlign w:val="top"/>
          </w:tcPr>
          <w:p w14:paraId="39DA5862">
            <w:pPr>
              <w:rPr>
                <w:rFonts w:ascii="Arial"/>
                <w:color w:val="auto"/>
                <w:sz w:val="21"/>
                <w:highlight w:val="none"/>
              </w:rPr>
            </w:pPr>
          </w:p>
        </w:tc>
        <w:tc>
          <w:tcPr>
            <w:tcW w:w="971" w:type="dxa"/>
            <w:vAlign w:val="top"/>
          </w:tcPr>
          <w:p w14:paraId="6B5B953D">
            <w:pPr>
              <w:rPr>
                <w:rFonts w:ascii="Arial"/>
                <w:color w:val="auto"/>
                <w:sz w:val="21"/>
                <w:highlight w:val="none"/>
              </w:rPr>
            </w:pPr>
          </w:p>
        </w:tc>
      </w:tr>
      <w:tr w14:paraId="4BDC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59F7B17D">
            <w:pPr>
              <w:rPr>
                <w:rFonts w:ascii="Arial"/>
                <w:color w:val="auto"/>
                <w:sz w:val="21"/>
                <w:highlight w:val="none"/>
              </w:rPr>
            </w:pPr>
          </w:p>
        </w:tc>
        <w:tc>
          <w:tcPr>
            <w:tcW w:w="1204" w:type="dxa"/>
            <w:vAlign w:val="top"/>
          </w:tcPr>
          <w:p w14:paraId="27FCBFCF">
            <w:pPr>
              <w:rPr>
                <w:rFonts w:ascii="Arial"/>
                <w:color w:val="auto"/>
                <w:sz w:val="21"/>
                <w:highlight w:val="none"/>
              </w:rPr>
            </w:pPr>
          </w:p>
        </w:tc>
        <w:tc>
          <w:tcPr>
            <w:tcW w:w="951" w:type="dxa"/>
            <w:vAlign w:val="top"/>
          </w:tcPr>
          <w:p w14:paraId="37881E81">
            <w:pPr>
              <w:rPr>
                <w:rFonts w:ascii="Arial"/>
                <w:color w:val="auto"/>
                <w:sz w:val="21"/>
                <w:highlight w:val="none"/>
              </w:rPr>
            </w:pPr>
          </w:p>
        </w:tc>
        <w:tc>
          <w:tcPr>
            <w:tcW w:w="952" w:type="dxa"/>
            <w:vAlign w:val="top"/>
          </w:tcPr>
          <w:p w14:paraId="1F93A5A4">
            <w:pPr>
              <w:rPr>
                <w:rFonts w:ascii="Arial"/>
                <w:color w:val="auto"/>
                <w:sz w:val="21"/>
                <w:highlight w:val="none"/>
              </w:rPr>
            </w:pPr>
          </w:p>
        </w:tc>
        <w:tc>
          <w:tcPr>
            <w:tcW w:w="951" w:type="dxa"/>
            <w:vAlign w:val="top"/>
          </w:tcPr>
          <w:p w14:paraId="4907EC20">
            <w:pPr>
              <w:rPr>
                <w:rFonts w:ascii="Arial"/>
                <w:color w:val="auto"/>
                <w:sz w:val="21"/>
                <w:highlight w:val="none"/>
              </w:rPr>
            </w:pPr>
          </w:p>
        </w:tc>
        <w:tc>
          <w:tcPr>
            <w:tcW w:w="952" w:type="dxa"/>
            <w:vAlign w:val="top"/>
          </w:tcPr>
          <w:p w14:paraId="16F78BAA">
            <w:pPr>
              <w:rPr>
                <w:rFonts w:ascii="Arial"/>
                <w:color w:val="auto"/>
                <w:sz w:val="21"/>
                <w:highlight w:val="none"/>
              </w:rPr>
            </w:pPr>
          </w:p>
        </w:tc>
        <w:tc>
          <w:tcPr>
            <w:tcW w:w="1177" w:type="dxa"/>
            <w:vAlign w:val="top"/>
          </w:tcPr>
          <w:p w14:paraId="543B1984">
            <w:pPr>
              <w:rPr>
                <w:rFonts w:ascii="Arial"/>
                <w:color w:val="auto"/>
                <w:sz w:val="21"/>
                <w:highlight w:val="none"/>
              </w:rPr>
            </w:pPr>
          </w:p>
        </w:tc>
        <w:tc>
          <w:tcPr>
            <w:tcW w:w="1547" w:type="dxa"/>
            <w:vAlign w:val="top"/>
          </w:tcPr>
          <w:p w14:paraId="1E77F7D6">
            <w:pPr>
              <w:rPr>
                <w:rFonts w:ascii="Arial"/>
                <w:color w:val="auto"/>
                <w:sz w:val="21"/>
                <w:highlight w:val="none"/>
              </w:rPr>
            </w:pPr>
          </w:p>
        </w:tc>
        <w:tc>
          <w:tcPr>
            <w:tcW w:w="971" w:type="dxa"/>
            <w:vAlign w:val="top"/>
          </w:tcPr>
          <w:p w14:paraId="05B24CF4">
            <w:pPr>
              <w:rPr>
                <w:rFonts w:ascii="Arial"/>
                <w:color w:val="auto"/>
                <w:sz w:val="21"/>
                <w:highlight w:val="none"/>
              </w:rPr>
            </w:pPr>
          </w:p>
        </w:tc>
      </w:tr>
      <w:tr w14:paraId="46CCA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99" w:type="dxa"/>
            <w:vAlign w:val="top"/>
          </w:tcPr>
          <w:p w14:paraId="00CC4F86">
            <w:pPr>
              <w:rPr>
                <w:rFonts w:ascii="Arial"/>
                <w:color w:val="auto"/>
                <w:sz w:val="21"/>
                <w:highlight w:val="none"/>
              </w:rPr>
            </w:pPr>
          </w:p>
        </w:tc>
        <w:tc>
          <w:tcPr>
            <w:tcW w:w="1204" w:type="dxa"/>
            <w:vAlign w:val="top"/>
          </w:tcPr>
          <w:p w14:paraId="69EBE5A0">
            <w:pPr>
              <w:rPr>
                <w:rFonts w:ascii="Arial"/>
                <w:color w:val="auto"/>
                <w:sz w:val="21"/>
                <w:highlight w:val="none"/>
              </w:rPr>
            </w:pPr>
          </w:p>
        </w:tc>
        <w:tc>
          <w:tcPr>
            <w:tcW w:w="951" w:type="dxa"/>
            <w:vAlign w:val="top"/>
          </w:tcPr>
          <w:p w14:paraId="76983731">
            <w:pPr>
              <w:rPr>
                <w:rFonts w:ascii="Arial"/>
                <w:color w:val="auto"/>
                <w:sz w:val="21"/>
                <w:highlight w:val="none"/>
              </w:rPr>
            </w:pPr>
          </w:p>
        </w:tc>
        <w:tc>
          <w:tcPr>
            <w:tcW w:w="952" w:type="dxa"/>
            <w:vAlign w:val="top"/>
          </w:tcPr>
          <w:p w14:paraId="1892D65B">
            <w:pPr>
              <w:rPr>
                <w:rFonts w:ascii="Arial"/>
                <w:color w:val="auto"/>
                <w:sz w:val="21"/>
                <w:highlight w:val="none"/>
              </w:rPr>
            </w:pPr>
          </w:p>
        </w:tc>
        <w:tc>
          <w:tcPr>
            <w:tcW w:w="951" w:type="dxa"/>
            <w:vAlign w:val="top"/>
          </w:tcPr>
          <w:p w14:paraId="4633416C">
            <w:pPr>
              <w:rPr>
                <w:rFonts w:ascii="Arial"/>
                <w:color w:val="auto"/>
                <w:sz w:val="21"/>
                <w:highlight w:val="none"/>
              </w:rPr>
            </w:pPr>
          </w:p>
        </w:tc>
        <w:tc>
          <w:tcPr>
            <w:tcW w:w="952" w:type="dxa"/>
            <w:vAlign w:val="top"/>
          </w:tcPr>
          <w:p w14:paraId="05FE01E2">
            <w:pPr>
              <w:rPr>
                <w:rFonts w:ascii="Arial"/>
                <w:color w:val="auto"/>
                <w:sz w:val="21"/>
                <w:highlight w:val="none"/>
              </w:rPr>
            </w:pPr>
          </w:p>
        </w:tc>
        <w:tc>
          <w:tcPr>
            <w:tcW w:w="1177" w:type="dxa"/>
            <w:vAlign w:val="top"/>
          </w:tcPr>
          <w:p w14:paraId="450396B6">
            <w:pPr>
              <w:rPr>
                <w:rFonts w:ascii="Arial"/>
                <w:color w:val="auto"/>
                <w:sz w:val="21"/>
                <w:highlight w:val="none"/>
              </w:rPr>
            </w:pPr>
          </w:p>
        </w:tc>
        <w:tc>
          <w:tcPr>
            <w:tcW w:w="1547" w:type="dxa"/>
            <w:vAlign w:val="top"/>
          </w:tcPr>
          <w:p w14:paraId="7B875A52">
            <w:pPr>
              <w:rPr>
                <w:rFonts w:ascii="Arial"/>
                <w:color w:val="auto"/>
                <w:sz w:val="21"/>
                <w:highlight w:val="none"/>
              </w:rPr>
            </w:pPr>
          </w:p>
        </w:tc>
        <w:tc>
          <w:tcPr>
            <w:tcW w:w="971" w:type="dxa"/>
            <w:vAlign w:val="top"/>
          </w:tcPr>
          <w:p w14:paraId="54E47BEB">
            <w:pPr>
              <w:rPr>
                <w:rFonts w:ascii="Arial"/>
                <w:color w:val="auto"/>
                <w:sz w:val="21"/>
                <w:highlight w:val="none"/>
              </w:rPr>
            </w:pPr>
          </w:p>
        </w:tc>
      </w:tr>
      <w:tr w14:paraId="1C3C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4DAA71B1">
            <w:pPr>
              <w:rPr>
                <w:rFonts w:ascii="Arial"/>
                <w:color w:val="auto"/>
                <w:sz w:val="21"/>
                <w:highlight w:val="none"/>
              </w:rPr>
            </w:pPr>
          </w:p>
        </w:tc>
        <w:tc>
          <w:tcPr>
            <w:tcW w:w="1204" w:type="dxa"/>
            <w:vAlign w:val="top"/>
          </w:tcPr>
          <w:p w14:paraId="4D5C3039">
            <w:pPr>
              <w:rPr>
                <w:rFonts w:ascii="Arial"/>
                <w:color w:val="auto"/>
                <w:sz w:val="21"/>
                <w:highlight w:val="none"/>
              </w:rPr>
            </w:pPr>
          </w:p>
        </w:tc>
        <w:tc>
          <w:tcPr>
            <w:tcW w:w="951" w:type="dxa"/>
            <w:vAlign w:val="top"/>
          </w:tcPr>
          <w:p w14:paraId="0E4D5721">
            <w:pPr>
              <w:rPr>
                <w:rFonts w:ascii="Arial"/>
                <w:color w:val="auto"/>
                <w:sz w:val="21"/>
                <w:highlight w:val="none"/>
              </w:rPr>
            </w:pPr>
          </w:p>
        </w:tc>
        <w:tc>
          <w:tcPr>
            <w:tcW w:w="952" w:type="dxa"/>
            <w:vAlign w:val="top"/>
          </w:tcPr>
          <w:p w14:paraId="08204F54">
            <w:pPr>
              <w:rPr>
                <w:rFonts w:ascii="Arial"/>
                <w:color w:val="auto"/>
                <w:sz w:val="21"/>
                <w:highlight w:val="none"/>
              </w:rPr>
            </w:pPr>
          </w:p>
        </w:tc>
        <w:tc>
          <w:tcPr>
            <w:tcW w:w="951" w:type="dxa"/>
            <w:vAlign w:val="top"/>
          </w:tcPr>
          <w:p w14:paraId="01B965FC">
            <w:pPr>
              <w:rPr>
                <w:rFonts w:ascii="Arial"/>
                <w:color w:val="auto"/>
                <w:sz w:val="21"/>
                <w:highlight w:val="none"/>
              </w:rPr>
            </w:pPr>
          </w:p>
        </w:tc>
        <w:tc>
          <w:tcPr>
            <w:tcW w:w="952" w:type="dxa"/>
            <w:vAlign w:val="top"/>
          </w:tcPr>
          <w:p w14:paraId="14BE1E1C">
            <w:pPr>
              <w:rPr>
                <w:rFonts w:ascii="Arial"/>
                <w:color w:val="auto"/>
                <w:sz w:val="21"/>
                <w:highlight w:val="none"/>
              </w:rPr>
            </w:pPr>
          </w:p>
        </w:tc>
        <w:tc>
          <w:tcPr>
            <w:tcW w:w="1177" w:type="dxa"/>
            <w:vAlign w:val="top"/>
          </w:tcPr>
          <w:p w14:paraId="2B456DC4">
            <w:pPr>
              <w:rPr>
                <w:rFonts w:ascii="Arial"/>
                <w:color w:val="auto"/>
                <w:sz w:val="21"/>
                <w:highlight w:val="none"/>
              </w:rPr>
            </w:pPr>
          </w:p>
        </w:tc>
        <w:tc>
          <w:tcPr>
            <w:tcW w:w="1547" w:type="dxa"/>
            <w:vAlign w:val="top"/>
          </w:tcPr>
          <w:p w14:paraId="1BD00C2E">
            <w:pPr>
              <w:rPr>
                <w:rFonts w:ascii="Arial"/>
                <w:color w:val="auto"/>
                <w:sz w:val="21"/>
                <w:highlight w:val="none"/>
              </w:rPr>
            </w:pPr>
          </w:p>
        </w:tc>
        <w:tc>
          <w:tcPr>
            <w:tcW w:w="971" w:type="dxa"/>
            <w:vAlign w:val="top"/>
          </w:tcPr>
          <w:p w14:paraId="23A8EEE4">
            <w:pPr>
              <w:rPr>
                <w:rFonts w:ascii="Arial"/>
                <w:color w:val="auto"/>
                <w:sz w:val="21"/>
                <w:highlight w:val="none"/>
              </w:rPr>
            </w:pPr>
          </w:p>
        </w:tc>
      </w:tr>
      <w:tr w14:paraId="5B9B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99" w:type="dxa"/>
            <w:vAlign w:val="top"/>
          </w:tcPr>
          <w:p w14:paraId="7A2097C7">
            <w:pPr>
              <w:rPr>
                <w:rFonts w:ascii="Arial"/>
                <w:color w:val="auto"/>
                <w:sz w:val="21"/>
                <w:highlight w:val="none"/>
              </w:rPr>
            </w:pPr>
          </w:p>
        </w:tc>
        <w:tc>
          <w:tcPr>
            <w:tcW w:w="1204" w:type="dxa"/>
            <w:vAlign w:val="top"/>
          </w:tcPr>
          <w:p w14:paraId="718106EB">
            <w:pPr>
              <w:rPr>
                <w:rFonts w:ascii="Arial"/>
                <w:color w:val="auto"/>
                <w:sz w:val="21"/>
                <w:highlight w:val="none"/>
              </w:rPr>
            </w:pPr>
          </w:p>
        </w:tc>
        <w:tc>
          <w:tcPr>
            <w:tcW w:w="951" w:type="dxa"/>
            <w:vAlign w:val="top"/>
          </w:tcPr>
          <w:p w14:paraId="62952396">
            <w:pPr>
              <w:rPr>
                <w:rFonts w:ascii="Arial"/>
                <w:color w:val="auto"/>
                <w:sz w:val="21"/>
                <w:highlight w:val="none"/>
              </w:rPr>
            </w:pPr>
          </w:p>
        </w:tc>
        <w:tc>
          <w:tcPr>
            <w:tcW w:w="952" w:type="dxa"/>
            <w:vAlign w:val="top"/>
          </w:tcPr>
          <w:p w14:paraId="63ABDD94">
            <w:pPr>
              <w:rPr>
                <w:rFonts w:ascii="Arial"/>
                <w:color w:val="auto"/>
                <w:sz w:val="21"/>
                <w:highlight w:val="none"/>
              </w:rPr>
            </w:pPr>
          </w:p>
        </w:tc>
        <w:tc>
          <w:tcPr>
            <w:tcW w:w="951" w:type="dxa"/>
            <w:vAlign w:val="top"/>
          </w:tcPr>
          <w:p w14:paraId="075E361B">
            <w:pPr>
              <w:rPr>
                <w:rFonts w:ascii="Arial"/>
                <w:color w:val="auto"/>
                <w:sz w:val="21"/>
                <w:highlight w:val="none"/>
              </w:rPr>
            </w:pPr>
          </w:p>
        </w:tc>
        <w:tc>
          <w:tcPr>
            <w:tcW w:w="952" w:type="dxa"/>
            <w:vAlign w:val="top"/>
          </w:tcPr>
          <w:p w14:paraId="538E8C36">
            <w:pPr>
              <w:rPr>
                <w:rFonts w:ascii="Arial"/>
                <w:color w:val="auto"/>
                <w:sz w:val="21"/>
                <w:highlight w:val="none"/>
              </w:rPr>
            </w:pPr>
          </w:p>
        </w:tc>
        <w:tc>
          <w:tcPr>
            <w:tcW w:w="1177" w:type="dxa"/>
            <w:vAlign w:val="top"/>
          </w:tcPr>
          <w:p w14:paraId="5AE19241">
            <w:pPr>
              <w:rPr>
                <w:rFonts w:ascii="Arial"/>
                <w:color w:val="auto"/>
                <w:sz w:val="21"/>
                <w:highlight w:val="none"/>
              </w:rPr>
            </w:pPr>
          </w:p>
        </w:tc>
        <w:tc>
          <w:tcPr>
            <w:tcW w:w="1547" w:type="dxa"/>
            <w:vAlign w:val="top"/>
          </w:tcPr>
          <w:p w14:paraId="0A7AC490">
            <w:pPr>
              <w:rPr>
                <w:rFonts w:ascii="Arial"/>
                <w:color w:val="auto"/>
                <w:sz w:val="21"/>
                <w:highlight w:val="none"/>
              </w:rPr>
            </w:pPr>
          </w:p>
        </w:tc>
        <w:tc>
          <w:tcPr>
            <w:tcW w:w="971" w:type="dxa"/>
            <w:vAlign w:val="top"/>
          </w:tcPr>
          <w:p w14:paraId="317B86BE">
            <w:pPr>
              <w:rPr>
                <w:rFonts w:ascii="Arial"/>
                <w:color w:val="auto"/>
                <w:sz w:val="21"/>
                <w:highlight w:val="none"/>
              </w:rPr>
            </w:pPr>
          </w:p>
        </w:tc>
      </w:tr>
      <w:tr w14:paraId="69E8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0E665132">
            <w:pPr>
              <w:rPr>
                <w:rFonts w:ascii="Arial"/>
                <w:color w:val="auto"/>
                <w:sz w:val="21"/>
                <w:highlight w:val="none"/>
              </w:rPr>
            </w:pPr>
          </w:p>
        </w:tc>
        <w:tc>
          <w:tcPr>
            <w:tcW w:w="1204" w:type="dxa"/>
            <w:vAlign w:val="top"/>
          </w:tcPr>
          <w:p w14:paraId="1491A7BF">
            <w:pPr>
              <w:rPr>
                <w:rFonts w:ascii="Arial"/>
                <w:color w:val="auto"/>
                <w:sz w:val="21"/>
                <w:highlight w:val="none"/>
              </w:rPr>
            </w:pPr>
          </w:p>
        </w:tc>
        <w:tc>
          <w:tcPr>
            <w:tcW w:w="951" w:type="dxa"/>
            <w:vAlign w:val="top"/>
          </w:tcPr>
          <w:p w14:paraId="547D178A">
            <w:pPr>
              <w:rPr>
                <w:rFonts w:ascii="Arial"/>
                <w:color w:val="auto"/>
                <w:sz w:val="21"/>
                <w:highlight w:val="none"/>
              </w:rPr>
            </w:pPr>
          </w:p>
        </w:tc>
        <w:tc>
          <w:tcPr>
            <w:tcW w:w="952" w:type="dxa"/>
            <w:vAlign w:val="top"/>
          </w:tcPr>
          <w:p w14:paraId="6B2A1C6B">
            <w:pPr>
              <w:rPr>
                <w:rFonts w:ascii="Arial"/>
                <w:color w:val="auto"/>
                <w:sz w:val="21"/>
                <w:highlight w:val="none"/>
              </w:rPr>
            </w:pPr>
          </w:p>
        </w:tc>
        <w:tc>
          <w:tcPr>
            <w:tcW w:w="951" w:type="dxa"/>
            <w:vAlign w:val="top"/>
          </w:tcPr>
          <w:p w14:paraId="74313AA3">
            <w:pPr>
              <w:rPr>
                <w:rFonts w:ascii="Arial"/>
                <w:color w:val="auto"/>
                <w:sz w:val="21"/>
                <w:highlight w:val="none"/>
              </w:rPr>
            </w:pPr>
          </w:p>
        </w:tc>
        <w:tc>
          <w:tcPr>
            <w:tcW w:w="952" w:type="dxa"/>
            <w:vAlign w:val="top"/>
          </w:tcPr>
          <w:p w14:paraId="06FE2A23">
            <w:pPr>
              <w:rPr>
                <w:rFonts w:ascii="Arial"/>
                <w:color w:val="auto"/>
                <w:sz w:val="21"/>
                <w:highlight w:val="none"/>
              </w:rPr>
            </w:pPr>
          </w:p>
        </w:tc>
        <w:tc>
          <w:tcPr>
            <w:tcW w:w="1177" w:type="dxa"/>
            <w:vAlign w:val="top"/>
          </w:tcPr>
          <w:p w14:paraId="46A705F4">
            <w:pPr>
              <w:rPr>
                <w:rFonts w:ascii="Arial"/>
                <w:color w:val="auto"/>
                <w:sz w:val="21"/>
                <w:highlight w:val="none"/>
              </w:rPr>
            </w:pPr>
          </w:p>
        </w:tc>
        <w:tc>
          <w:tcPr>
            <w:tcW w:w="1547" w:type="dxa"/>
            <w:vAlign w:val="top"/>
          </w:tcPr>
          <w:p w14:paraId="4641341C">
            <w:pPr>
              <w:rPr>
                <w:rFonts w:ascii="Arial"/>
                <w:color w:val="auto"/>
                <w:sz w:val="21"/>
                <w:highlight w:val="none"/>
              </w:rPr>
            </w:pPr>
          </w:p>
        </w:tc>
        <w:tc>
          <w:tcPr>
            <w:tcW w:w="971" w:type="dxa"/>
            <w:vAlign w:val="top"/>
          </w:tcPr>
          <w:p w14:paraId="5826F735">
            <w:pPr>
              <w:rPr>
                <w:rFonts w:ascii="Arial"/>
                <w:color w:val="auto"/>
                <w:sz w:val="21"/>
                <w:highlight w:val="none"/>
              </w:rPr>
            </w:pPr>
          </w:p>
        </w:tc>
      </w:tr>
      <w:tr w14:paraId="176A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99" w:type="dxa"/>
            <w:vAlign w:val="top"/>
          </w:tcPr>
          <w:p w14:paraId="58E907B9">
            <w:pPr>
              <w:rPr>
                <w:rFonts w:ascii="Arial"/>
                <w:color w:val="auto"/>
                <w:sz w:val="21"/>
                <w:highlight w:val="none"/>
              </w:rPr>
            </w:pPr>
          </w:p>
        </w:tc>
        <w:tc>
          <w:tcPr>
            <w:tcW w:w="1204" w:type="dxa"/>
            <w:vAlign w:val="top"/>
          </w:tcPr>
          <w:p w14:paraId="5A8F32FE">
            <w:pPr>
              <w:rPr>
                <w:rFonts w:ascii="Arial"/>
                <w:color w:val="auto"/>
                <w:sz w:val="21"/>
                <w:highlight w:val="none"/>
              </w:rPr>
            </w:pPr>
          </w:p>
        </w:tc>
        <w:tc>
          <w:tcPr>
            <w:tcW w:w="951" w:type="dxa"/>
            <w:vAlign w:val="top"/>
          </w:tcPr>
          <w:p w14:paraId="390A4115">
            <w:pPr>
              <w:rPr>
                <w:rFonts w:ascii="Arial"/>
                <w:color w:val="auto"/>
                <w:sz w:val="21"/>
                <w:highlight w:val="none"/>
              </w:rPr>
            </w:pPr>
          </w:p>
        </w:tc>
        <w:tc>
          <w:tcPr>
            <w:tcW w:w="952" w:type="dxa"/>
            <w:vAlign w:val="top"/>
          </w:tcPr>
          <w:p w14:paraId="171CA0D5">
            <w:pPr>
              <w:rPr>
                <w:rFonts w:ascii="Arial"/>
                <w:color w:val="auto"/>
                <w:sz w:val="21"/>
                <w:highlight w:val="none"/>
              </w:rPr>
            </w:pPr>
          </w:p>
        </w:tc>
        <w:tc>
          <w:tcPr>
            <w:tcW w:w="951" w:type="dxa"/>
            <w:vAlign w:val="top"/>
          </w:tcPr>
          <w:p w14:paraId="301A261B">
            <w:pPr>
              <w:rPr>
                <w:rFonts w:ascii="Arial"/>
                <w:color w:val="auto"/>
                <w:sz w:val="21"/>
                <w:highlight w:val="none"/>
              </w:rPr>
            </w:pPr>
          </w:p>
        </w:tc>
        <w:tc>
          <w:tcPr>
            <w:tcW w:w="952" w:type="dxa"/>
            <w:vAlign w:val="top"/>
          </w:tcPr>
          <w:p w14:paraId="7E7E6F65">
            <w:pPr>
              <w:rPr>
                <w:rFonts w:ascii="Arial"/>
                <w:color w:val="auto"/>
                <w:sz w:val="21"/>
                <w:highlight w:val="none"/>
              </w:rPr>
            </w:pPr>
          </w:p>
        </w:tc>
        <w:tc>
          <w:tcPr>
            <w:tcW w:w="1177" w:type="dxa"/>
            <w:vAlign w:val="top"/>
          </w:tcPr>
          <w:p w14:paraId="002E7844">
            <w:pPr>
              <w:rPr>
                <w:rFonts w:ascii="Arial"/>
                <w:color w:val="auto"/>
                <w:sz w:val="21"/>
                <w:highlight w:val="none"/>
              </w:rPr>
            </w:pPr>
          </w:p>
        </w:tc>
        <w:tc>
          <w:tcPr>
            <w:tcW w:w="1547" w:type="dxa"/>
            <w:vAlign w:val="top"/>
          </w:tcPr>
          <w:p w14:paraId="60FE0E74">
            <w:pPr>
              <w:rPr>
                <w:rFonts w:ascii="Arial"/>
                <w:color w:val="auto"/>
                <w:sz w:val="21"/>
                <w:highlight w:val="none"/>
              </w:rPr>
            </w:pPr>
          </w:p>
        </w:tc>
        <w:tc>
          <w:tcPr>
            <w:tcW w:w="971" w:type="dxa"/>
            <w:vAlign w:val="top"/>
          </w:tcPr>
          <w:p w14:paraId="2208F313">
            <w:pPr>
              <w:rPr>
                <w:rFonts w:ascii="Arial"/>
                <w:color w:val="auto"/>
                <w:sz w:val="21"/>
                <w:highlight w:val="none"/>
              </w:rPr>
            </w:pPr>
          </w:p>
        </w:tc>
      </w:tr>
      <w:tr w14:paraId="545FA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6BADDF1D">
            <w:pPr>
              <w:rPr>
                <w:rFonts w:ascii="Arial"/>
                <w:color w:val="auto"/>
                <w:sz w:val="21"/>
                <w:highlight w:val="none"/>
              </w:rPr>
            </w:pPr>
          </w:p>
        </w:tc>
        <w:tc>
          <w:tcPr>
            <w:tcW w:w="1204" w:type="dxa"/>
            <w:vAlign w:val="top"/>
          </w:tcPr>
          <w:p w14:paraId="2B461AC5">
            <w:pPr>
              <w:rPr>
                <w:rFonts w:ascii="Arial"/>
                <w:color w:val="auto"/>
                <w:sz w:val="21"/>
                <w:highlight w:val="none"/>
              </w:rPr>
            </w:pPr>
          </w:p>
        </w:tc>
        <w:tc>
          <w:tcPr>
            <w:tcW w:w="951" w:type="dxa"/>
            <w:vAlign w:val="top"/>
          </w:tcPr>
          <w:p w14:paraId="5954D3FF">
            <w:pPr>
              <w:rPr>
                <w:rFonts w:ascii="Arial"/>
                <w:color w:val="auto"/>
                <w:sz w:val="21"/>
                <w:highlight w:val="none"/>
              </w:rPr>
            </w:pPr>
          </w:p>
        </w:tc>
        <w:tc>
          <w:tcPr>
            <w:tcW w:w="952" w:type="dxa"/>
            <w:vAlign w:val="top"/>
          </w:tcPr>
          <w:p w14:paraId="08BF79F8">
            <w:pPr>
              <w:rPr>
                <w:rFonts w:ascii="Arial"/>
                <w:color w:val="auto"/>
                <w:sz w:val="21"/>
                <w:highlight w:val="none"/>
              </w:rPr>
            </w:pPr>
          </w:p>
        </w:tc>
        <w:tc>
          <w:tcPr>
            <w:tcW w:w="951" w:type="dxa"/>
            <w:vAlign w:val="top"/>
          </w:tcPr>
          <w:p w14:paraId="05B9C940">
            <w:pPr>
              <w:rPr>
                <w:rFonts w:ascii="Arial"/>
                <w:color w:val="auto"/>
                <w:sz w:val="21"/>
                <w:highlight w:val="none"/>
              </w:rPr>
            </w:pPr>
          </w:p>
        </w:tc>
        <w:tc>
          <w:tcPr>
            <w:tcW w:w="952" w:type="dxa"/>
            <w:vAlign w:val="top"/>
          </w:tcPr>
          <w:p w14:paraId="0374056C">
            <w:pPr>
              <w:rPr>
                <w:rFonts w:ascii="Arial"/>
                <w:color w:val="auto"/>
                <w:sz w:val="21"/>
                <w:highlight w:val="none"/>
              </w:rPr>
            </w:pPr>
          </w:p>
        </w:tc>
        <w:tc>
          <w:tcPr>
            <w:tcW w:w="1177" w:type="dxa"/>
            <w:vAlign w:val="top"/>
          </w:tcPr>
          <w:p w14:paraId="2C76FB98">
            <w:pPr>
              <w:rPr>
                <w:rFonts w:ascii="Arial"/>
                <w:color w:val="auto"/>
                <w:sz w:val="21"/>
                <w:highlight w:val="none"/>
              </w:rPr>
            </w:pPr>
          </w:p>
        </w:tc>
        <w:tc>
          <w:tcPr>
            <w:tcW w:w="1547" w:type="dxa"/>
            <w:vAlign w:val="top"/>
          </w:tcPr>
          <w:p w14:paraId="2C480118">
            <w:pPr>
              <w:rPr>
                <w:rFonts w:ascii="Arial"/>
                <w:color w:val="auto"/>
                <w:sz w:val="21"/>
                <w:highlight w:val="none"/>
              </w:rPr>
            </w:pPr>
          </w:p>
        </w:tc>
        <w:tc>
          <w:tcPr>
            <w:tcW w:w="971" w:type="dxa"/>
            <w:vAlign w:val="top"/>
          </w:tcPr>
          <w:p w14:paraId="42518D3D">
            <w:pPr>
              <w:rPr>
                <w:rFonts w:ascii="Arial"/>
                <w:color w:val="auto"/>
                <w:sz w:val="21"/>
                <w:highlight w:val="none"/>
              </w:rPr>
            </w:pPr>
          </w:p>
        </w:tc>
      </w:tr>
      <w:tr w14:paraId="77927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656D9D62">
            <w:pPr>
              <w:rPr>
                <w:rFonts w:ascii="Arial"/>
                <w:color w:val="auto"/>
                <w:sz w:val="21"/>
                <w:highlight w:val="none"/>
              </w:rPr>
            </w:pPr>
          </w:p>
        </w:tc>
        <w:tc>
          <w:tcPr>
            <w:tcW w:w="1204" w:type="dxa"/>
            <w:vAlign w:val="top"/>
          </w:tcPr>
          <w:p w14:paraId="5282C271">
            <w:pPr>
              <w:rPr>
                <w:rFonts w:ascii="Arial"/>
                <w:color w:val="auto"/>
                <w:sz w:val="21"/>
                <w:highlight w:val="none"/>
              </w:rPr>
            </w:pPr>
          </w:p>
        </w:tc>
        <w:tc>
          <w:tcPr>
            <w:tcW w:w="951" w:type="dxa"/>
            <w:vAlign w:val="top"/>
          </w:tcPr>
          <w:p w14:paraId="6B7E9A31">
            <w:pPr>
              <w:rPr>
                <w:rFonts w:ascii="Arial"/>
                <w:color w:val="auto"/>
                <w:sz w:val="21"/>
                <w:highlight w:val="none"/>
              </w:rPr>
            </w:pPr>
          </w:p>
        </w:tc>
        <w:tc>
          <w:tcPr>
            <w:tcW w:w="952" w:type="dxa"/>
            <w:vAlign w:val="top"/>
          </w:tcPr>
          <w:p w14:paraId="1B02354F">
            <w:pPr>
              <w:rPr>
                <w:rFonts w:ascii="Arial"/>
                <w:color w:val="auto"/>
                <w:sz w:val="21"/>
                <w:highlight w:val="none"/>
              </w:rPr>
            </w:pPr>
          </w:p>
        </w:tc>
        <w:tc>
          <w:tcPr>
            <w:tcW w:w="951" w:type="dxa"/>
            <w:vAlign w:val="top"/>
          </w:tcPr>
          <w:p w14:paraId="3BA2301A">
            <w:pPr>
              <w:rPr>
                <w:rFonts w:ascii="Arial"/>
                <w:color w:val="auto"/>
                <w:sz w:val="21"/>
                <w:highlight w:val="none"/>
              </w:rPr>
            </w:pPr>
          </w:p>
        </w:tc>
        <w:tc>
          <w:tcPr>
            <w:tcW w:w="952" w:type="dxa"/>
            <w:vAlign w:val="top"/>
          </w:tcPr>
          <w:p w14:paraId="23D319A3">
            <w:pPr>
              <w:rPr>
                <w:rFonts w:ascii="Arial"/>
                <w:color w:val="auto"/>
                <w:sz w:val="21"/>
                <w:highlight w:val="none"/>
              </w:rPr>
            </w:pPr>
          </w:p>
        </w:tc>
        <w:tc>
          <w:tcPr>
            <w:tcW w:w="1177" w:type="dxa"/>
            <w:vAlign w:val="top"/>
          </w:tcPr>
          <w:p w14:paraId="5ADC6FA8">
            <w:pPr>
              <w:rPr>
                <w:rFonts w:ascii="Arial"/>
                <w:color w:val="auto"/>
                <w:sz w:val="21"/>
                <w:highlight w:val="none"/>
              </w:rPr>
            </w:pPr>
          </w:p>
        </w:tc>
        <w:tc>
          <w:tcPr>
            <w:tcW w:w="1547" w:type="dxa"/>
            <w:vAlign w:val="top"/>
          </w:tcPr>
          <w:p w14:paraId="19014FB5">
            <w:pPr>
              <w:rPr>
                <w:rFonts w:ascii="Arial"/>
                <w:color w:val="auto"/>
                <w:sz w:val="21"/>
                <w:highlight w:val="none"/>
              </w:rPr>
            </w:pPr>
          </w:p>
        </w:tc>
        <w:tc>
          <w:tcPr>
            <w:tcW w:w="971" w:type="dxa"/>
            <w:vAlign w:val="top"/>
          </w:tcPr>
          <w:p w14:paraId="53A5F132">
            <w:pPr>
              <w:rPr>
                <w:rFonts w:ascii="Arial"/>
                <w:color w:val="auto"/>
                <w:sz w:val="21"/>
                <w:highlight w:val="none"/>
              </w:rPr>
            </w:pPr>
          </w:p>
        </w:tc>
      </w:tr>
      <w:tr w14:paraId="4DC3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99" w:type="dxa"/>
            <w:vAlign w:val="top"/>
          </w:tcPr>
          <w:p w14:paraId="0893273B">
            <w:pPr>
              <w:rPr>
                <w:rFonts w:ascii="Arial"/>
                <w:color w:val="auto"/>
                <w:sz w:val="21"/>
                <w:highlight w:val="none"/>
              </w:rPr>
            </w:pPr>
          </w:p>
        </w:tc>
        <w:tc>
          <w:tcPr>
            <w:tcW w:w="1204" w:type="dxa"/>
            <w:vAlign w:val="top"/>
          </w:tcPr>
          <w:p w14:paraId="3A7E00C4">
            <w:pPr>
              <w:rPr>
                <w:rFonts w:ascii="Arial"/>
                <w:color w:val="auto"/>
                <w:sz w:val="21"/>
                <w:highlight w:val="none"/>
              </w:rPr>
            </w:pPr>
          </w:p>
        </w:tc>
        <w:tc>
          <w:tcPr>
            <w:tcW w:w="951" w:type="dxa"/>
            <w:vAlign w:val="top"/>
          </w:tcPr>
          <w:p w14:paraId="5F424918">
            <w:pPr>
              <w:rPr>
                <w:rFonts w:ascii="Arial"/>
                <w:color w:val="auto"/>
                <w:sz w:val="21"/>
                <w:highlight w:val="none"/>
              </w:rPr>
            </w:pPr>
          </w:p>
        </w:tc>
        <w:tc>
          <w:tcPr>
            <w:tcW w:w="952" w:type="dxa"/>
            <w:vAlign w:val="top"/>
          </w:tcPr>
          <w:p w14:paraId="393CE4CC">
            <w:pPr>
              <w:rPr>
                <w:rFonts w:ascii="Arial"/>
                <w:color w:val="auto"/>
                <w:sz w:val="21"/>
                <w:highlight w:val="none"/>
              </w:rPr>
            </w:pPr>
          </w:p>
        </w:tc>
        <w:tc>
          <w:tcPr>
            <w:tcW w:w="951" w:type="dxa"/>
            <w:vAlign w:val="top"/>
          </w:tcPr>
          <w:p w14:paraId="0A2E2DD4">
            <w:pPr>
              <w:rPr>
                <w:rFonts w:ascii="Arial"/>
                <w:color w:val="auto"/>
                <w:sz w:val="21"/>
                <w:highlight w:val="none"/>
              </w:rPr>
            </w:pPr>
          </w:p>
        </w:tc>
        <w:tc>
          <w:tcPr>
            <w:tcW w:w="952" w:type="dxa"/>
            <w:vAlign w:val="top"/>
          </w:tcPr>
          <w:p w14:paraId="744FB46A">
            <w:pPr>
              <w:rPr>
                <w:rFonts w:ascii="Arial"/>
                <w:color w:val="auto"/>
                <w:sz w:val="21"/>
                <w:highlight w:val="none"/>
              </w:rPr>
            </w:pPr>
          </w:p>
        </w:tc>
        <w:tc>
          <w:tcPr>
            <w:tcW w:w="1177" w:type="dxa"/>
            <w:vAlign w:val="top"/>
          </w:tcPr>
          <w:p w14:paraId="09751BA0">
            <w:pPr>
              <w:rPr>
                <w:rFonts w:ascii="Arial"/>
                <w:color w:val="auto"/>
                <w:sz w:val="21"/>
                <w:highlight w:val="none"/>
              </w:rPr>
            </w:pPr>
          </w:p>
        </w:tc>
        <w:tc>
          <w:tcPr>
            <w:tcW w:w="1547" w:type="dxa"/>
            <w:vAlign w:val="top"/>
          </w:tcPr>
          <w:p w14:paraId="660E4952">
            <w:pPr>
              <w:rPr>
                <w:rFonts w:ascii="Arial"/>
                <w:color w:val="auto"/>
                <w:sz w:val="21"/>
                <w:highlight w:val="none"/>
              </w:rPr>
            </w:pPr>
          </w:p>
        </w:tc>
        <w:tc>
          <w:tcPr>
            <w:tcW w:w="971" w:type="dxa"/>
            <w:vAlign w:val="top"/>
          </w:tcPr>
          <w:p w14:paraId="0619F029">
            <w:pPr>
              <w:rPr>
                <w:rFonts w:ascii="Arial"/>
                <w:color w:val="auto"/>
                <w:sz w:val="21"/>
                <w:highlight w:val="none"/>
              </w:rPr>
            </w:pPr>
          </w:p>
        </w:tc>
      </w:tr>
      <w:tr w14:paraId="5E53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2E7A5250">
            <w:pPr>
              <w:rPr>
                <w:rFonts w:ascii="Arial"/>
                <w:color w:val="auto"/>
                <w:sz w:val="21"/>
                <w:highlight w:val="none"/>
              </w:rPr>
            </w:pPr>
          </w:p>
        </w:tc>
        <w:tc>
          <w:tcPr>
            <w:tcW w:w="1204" w:type="dxa"/>
            <w:vAlign w:val="top"/>
          </w:tcPr>
          <w:p w14:paraId="05CC89CD">
            <w:pPr>
              <w:rPr>
                <w:rFonts w:ascii="Arial"/>
                <w:color w:val="auto"/>
                <w:sz w:val="21"/>
                <w:highlight w:val="none"/>
              </w:rPr>
            </w:pPr>
          </w:p>
        </w:tc>
        <w:tc>
          <w:tcPr>
            <w:tcW w:w="951" w:type="dxa"/>
            <w:vAlign w:val="top"/>
          </w:tcPr>
          <w:p w14:paraId="646C6FED">
            <w:pPr>
              <w:rPr>
                <w:rFonts w:ascii="Arial"/>
                <w:color w:val="auto"/>
                <w:sz w:val="21"/>
                <w:highlight w:val="none"/>
              </w:rPr>
            </w:pPr>
          </w:p>
        </w:tc>
        <w:tc>
          <w:tcPr>
            <w:tcW w:w="952" w:type="dxa"/>
            <w:vAlign w:val="top"/>
          </w:tcPr>
          <w:p w14:paraId="0CA2947D">
            <w:pPr>
              <w:rPr>
                <w:rFonts w:ascii="Arial"/>
                <w:color w:val="auto"/>
                <w:sz w:val="21"/>
                <w:highlight w:val="none"/>
              </w:rPr>
            </w:pPr>
          </w:p>
        </w:tc>
        <w:tc>
          <w:tcPr>
            <w:tcW w:w="951" w:type="dxa"/>
            <w:vAlign w:val="top"/>
          </w:tcPr>
          <w:p w14:paraId="1C95A9AE">
            <w:pPr>
              <w:rPr>
                <w:rFonts w:ascii="Arial"/>
                <w:color w:val="auto"/>
                <w:sz w:val="21"/>
                <w:highlight w:val="none"/>
              </w:rPr>
            </w:pPr>
          </w:p>
        </w:tc>
        <w:tc>
          <w:tcPr>
            <w:tcW w:w="952" w:type="dxa"/>
            <w:vAlign w:val="top"/>
          </w:tcPr>
          <w:p w14:paraId="621076C0">
            <w:pPr>
              <w:rPr>
                <w:rFonts w:ascii="Arial"/>
                <w:color w:val="auto"/>
                <w:sz w:val="21"/>
                <w:highlight w:val="none"/>
              </w:rPr>
            </w:pPr>
          </w:p>
        </w:tc>
        <w:tc>
          <w:tcPr>
            <w:tcW w:w="1177" w:type="dxa"/>
            <w:vAlign w:val="top"/>
          </w:tcPr>
          <w:p w14:paraId="077D2B0C">
            <w:pPr>
              <w:rPr>
                <w:rFonts w:ascii="Arial"/>
                <w:color w:val="auto"/>
                <w:sz w:val="21"/>
                <w:highlight w:val="none"/>
              </w:rPr>
            </w:pPr>
          </w:p>
        </w:tc>
        <w:tc>
          <w:tcPr>
            <w:tcW w:w="1547" w:type="dxa"/>
            <w:vAlign w:val="top"/>
          </w:tcPr>
          <w:p w14:paraId="02EA2F42">
            <w:pPr>
              <w:rPr>
                <w:rFonts w:ascii="Arial"/>
                <w:color w:val="auto"/>
                <w:sz w:val="21"/>
                <w:highlight w:val="none"/>
              </w:rPr>
            </w:pPr>
          </w:p>
        </w:tc>
        <w:tc>
          <w:tcPr>
            <w:tcW w:w="971" w:type="dxa"/>
            <w:vAlign w:val="top"/>
          </w:tcPr>
          <w:p w14:paraId="3F80C32F">
            <w:pPr>
              <w:rPr>
                <w:rFonts w:ascii="Arial"/>
                <w:color w:val="auto"/>
                <w:sz w:val="21"/>
                <w:highlight w:val="none"/>
              </w:rPr>
            </w:pPr>
          </w:p>
        </w:tc>
      </w:tr>
      <w:tr w14:paraId="4EFC8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99" w:type="dxa"/>
            <w:vAlign w:val="top"/>
          </w:tcPr>
          <w:p w14:paraId="62B83CF4">
            <w:pPr>
              <w:rPr>
                <w:rFonts w:ascii="Arial"/>
                <w:color w:val="auto"/>
                <w:sz w:val="21"/>
                <w:highlight w:val="none"/>
              </w:rPr>
            </w:pPr>
          </w:p>
        </w:tc>
        <w:tc>
          <w:tcPr>
            <w:tcW w:w="1204" w:type="dxa"/>
            <w:vAlign w:val="top"/>
          </w:tcPr>
          <w:p w14:paraId="24B3D198">
            <w:pPr>
              <w:rPr>
                <w:rFonts w:ascii="Arial"/>
                <w:color w:val="auto"/>
                <w:sz w:val="21"/>
                <w:highlight w:val="none"/>
              </w:rPr>
            </w:pPr>
          </w:p>
        </w:tc>
        <w:tc>
          <w:tcPr>
            <w:tcW w:w="951" w:type="dxa"/>
            <w:vAlign w:val="top"/>
          </w:tcPr>
          <w:p w14:paraId="02A46869">
            <w:pPr>
              <w:rPr>
                <w:rFonts w:ascii="Arial"/>
                <w:color w:val="auto"/>
                <w:sz w:val="21"/>
                <w:highlight w:val="none"/>
              </w:rPr>
            </w:pPr>
          </w:p>
        </w:tc>
        <w:tc>
          <w:tcPr>
            <w:tcW w:w="952" w:type="dxa"/>
            <w:vAlign w:val="top"/>
          </w:tcPr>
          <w:p w14:paraId="5CD0BE1E">
            <w:pPr>
              <w:rPr>
                <w:rFonts w:ascii="Arial"/>
                <w:color w:val="auto"/>
                <w:sz w:val="21"/>
                <w:highlight w:val="none"/>
              </w:rPr>
            </w:pPr>
          </w:p>
        </w:tc>
        <w:tc>
          <w:tcPr>
            <w:tcW w:w="951" w:type="dxa"/>
            <w:vAlign w:val="top"/>
          </w:tcPr>
          <w:p w14:paraId="5CAB491A">
            <w:pPr>
              <w:rPr>
                <w:rFonts w:ascii="Arial"/>
                <w:color w:val="auto"/>
                <w:sz w:val="21"/>
                <w:highlight w:val="none"/>
              </w:rPr>
            </w:pPr>
          </w:p>
        </w:tc>
        <w:tc>
          <w:tcPr>
            <w:tcW w:w="952" w:type="dxa"/>
            <w:vAlign w:val="top"/>
          </w:tcPr>
          <w:p w14:paraId="6343FAC4">
            <w:pPr>
              <w:rPr>
                <w:rFonts w:ascii="Arial"/>
                <w:color w:val="auto"/>
                <w:sz w:val="21"/>
                <w:highlight w:val="none"/>
              </w:rPr>
            </w:pPr>
          </w:p>
        </w:tc>
        <w:tc>
          <w:tcPr>
            <w:tcW w:w="1177" w:type="dxa"/>
            <w:vAlign w:val="top"/>
          </w:tcPr>
          <w:p w14:paraId="317DA8C0">
            <w:pPr>
              <w:rPr>
                <w:rFonts w:ascii="Arial"/>
                <w:color w:val="auto"/>
                <w:sz w:val="21"/>
                <w:highlight w:val="none"/>
              </w:rPr>
            </w:pPr>
          </w:p>
        </w:tc>
        <w:tc>
          <w:tcPr>
            <w:tcW w:w="1547" w:type="dxa"/>
            <w:vAlign w:val="top"/>
          </w:tcPr>
          <w:p w14:paraId="3EC25F22">
            <w:pPr>
              <w:rPr>
                <w:rFonts w:ascii="Arial"/>
                <w:color w:val="auto"/>
                <w:sz w:val="21"/>
                <w:highlight w:val="none"/>
              </w:rPr>
            </w:pPr>
          </w:p>
        </w:tc>
        <w:tc>
          <w:tcPr>
            <w:tcW w:w="971" w:type="dxa"/>
            <w:vAlign w:val="top"/>
          </w:tcPr>
          <w:p w14:paraId="4A19DE71">
            <w:pPr>
              <w:rPr>
                <w:rFonts w:ascii="Arial"/>
                <w:color w:val="auto"/>
                <w:sz w:val="21"/>
                <w:highlight w:val="none"/>
              </w:rPr>
            </w:pPr>
          </w:p>
        </w:tc>
      </w:tr>
      <w:tr w14:paraId="4DE69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430126A5">
            <w:pPr>
              <w:rPr>
                <w:rFonts w:ascii="Arial"/>
                <w:color w:val="auto"/>
                <w:sz w:val="21"/>
                <w:highlight w:val="none"/>
              </w:rPr>
            </w:pPr>
          </w:p>
        </w:tc>
        <w:tc>
          <w:tcPr>
            <w:tcW w:w="1204" w:type="dxa"/>
            <w:vAlign w:val="top"/>
          </w:tcPr>
          <w:p w14:paraId="2617DC2F">
            <w:pPr>
              <w:rPr>
                <w:rFonts w:ascii="Arial"/>
                <w:color w:val="auto"/>
                <w:sz w:val="21"/>
                <w:highlight w:val="none"/>
              </w:rPr>
            </w:pPr>
          </w:p>
        </w:tc>
        <w:tc>
          <w:tcPr>
            <w:tcW w:w="951" w:type="dxa"/>
            <w:vAlign w:val="top"/>
          </w:tcPr>
          <w:p w14:paraId="72855D6C">
            <w:pPr>
              <w:rPr>
                <w:rFonts w:ascii="Arial"/>
                <w:color w:val="auto"/>
                <w:sz w:val="21"/>
                <w:highlight w:val="none"/>
              </w:rPr>
            </w:pPr>
          </w:p>
        </w:tc>
        <w:tc>
          <w:tcPr>
            <w:tcW w:w="952" w:type="dxa"/>
            <w:vAlign w:val="top"/>
          </w:tcPr>
          <w:p w14:paraId="4633857E">
            <w:pPr>
              <w:rPr>
                <w:rFonts w:ascii="Arial"/>
                <w:color w:val="auto"/>
                <w:sz w:val="21"/>
                <w:highlight w:val="none"/>
              </w:rPr>
            </w:pPr>
          </w:p>
        </w:tc>
        <w:tc>
          <w:tcPr>
            <w:tcW w:w="951" w:type="dxa"/>
            <w:vAlign w:val="top"/>
          </w:tcPr>
          <w:p w14:paraId="29BD978E">
            <w:pPr>
              <w:rPr>
                <w:rFonts w:ascii="Arial"/>
                <w:color w:val="auto"/>
                <w:sz w:val="21"/>
                <w:highlight w:val="none"/>
              </w:rPr>
            </w:pPr>
          </w:p>
        </w:tc>
        <w:tc>
          <w:tcPr>
            <w:tcW w:w="952" w:type="dxa"/>
            <w:vAlign w:val="top"/>
          </w:tcPr>
          <w:p w14:paraId="3F5E01CB">
            <w:pPr>
              <w:rPr>
                <w:rFonts w:ascii="Arial"/>
                <w:color w:val="auto"/>
                <w:sz w:val="21"/>
                <w:highlight w:val="none"/>
              </w:rPr>
            </w:pPr>
          </w:p>
        </w:tc>
        <w:tc>
          <w:tcPr>
            <w:tcW w:w="1177" w:type="dxa"/>
            <w:vAlign w:val="top"/>
          </w:tcPr>
          <w:p w14:paraId="293C003C">
            <w:pPr>
              <w:rPr>
                <w:rFonts w:ascii="Arial"/>
                <w:color w:val="auto"/>
                <w:sz w:val="21"/>
                <w:highlight w:val="none"/>
              </w:rPr>
            </w:pPr>
          </w:p>
        </w:tc>
        <w:tc>
          <w:tcPr>
            <w:tcW w:w="1547" w:type="dxa"/>
            <w:vAlign w:val="top"/>
          </w:tcPr>
          <w:p w14:paraId="634C1640">
            <w:pPr>
              <w:rPr>
                <w:rFonts w:ascii="Arial"/>
                <w:color w:val="auto"/>
                <w:sz w:val="21"/>
                <w:highlight w:val="none"/>
              </w:rPr>
            </w:pPr>
          </w:p>
        </w:tc>
        <w:tc>
          <w:tcPr>
            <w:tcW w:w="971" w:type="dxa"/>
            <w:vAlign w:val="top"/>
          </w:tcPr>
          <w:p w14:paraId="36A9CA8F">
            <w:pPr>
              <w:rPr>
                <w:rFonts w:ascii="Arial"/>
                <w:color w:val="auto"/>
                <w:sz w:val="21"/>
                <w:highlight w:val="none"/>
              </w:rPr>
            </w:pPr>
          </w:p>
        </w:tc>
      </w:tr>
      <w:tr w14:paraId="6E80E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99" w:type="dxa"/>
            <w:vAlign w:val="top"/>
          </w:tcPr>
          <w:p w14:paraId="52F2D16E">
            <w:pPr>
              <w:rPr>
                <w:rFonts w:ascii="Arial"/>
                <w:color w:val="auto"/>
                <w:sz w:val="21"/>
                <w:highlight w:val="none"/>
              </w:rPr>
            </w:pPr>
          </w:p>
        </w:tc>
        <w:tc>
          <w:tcPr>
            <w:tcW w:w="1204" w:type="dxa"/>
            <w:vAlign w:val="top"/>
          </w:tcPr>
          <w:p w14:paraId="5F92ABD8">
            <w:pPr>
              <w:rPr>
                <w:rFonts w:ascii="Arial"/>
                <w:color w:val="auto"/>
                <w:sz w:val="21"/>
                <w:highlight w:val="none"/>
              </w:rPr>
            </w:pPr>
          </w:p>
        </w:tc>
        <w:tc>
          <w:tcPr>
            <w:tcW w:w="951" w:type="dxa"/>
            <w:vAlign w:val="top"/>
          </w:tcPr>
          <w:p w14:paraId="01AC413E">
            <w:pPr>
              <w:rPr>
                <w:rFonts w:ascii="Arial"/>
                <w:color w:val="auto"/>
                <w:sz w:val="21"/>
                <w:highlight w:val="none"/>
              </w:rPr>
            </w:pPr>
          </w:p>
        </w:tc>
        <w:tc>
          <w:tcPr>
            <w:tcW w:w="952" w:type="dxa"/>
            <w:vAlign w:val="top"/>
          </w:tcPr>
          <w:p w14:paraId="7B709DC1">
            <w:pPr>
              <w:rPr>
                <w:rFonts w:ascii="Arial"/>
                <w:color w:val="auto"/>
                <w:sz w:val="21"/>
                <w:highlight w:val="none"/>
              </w:rPr>
            </w:pPr>
          </w:p>
        </w:tc>
        <w:tc>
          <w:tcPr>
            <w:tcW w:w="951" w:type="dxa"/>
            <w:vAlign w:val="top"/>
          </w:tcPr>
          <w:p w14:paraId="315B9A42">
            <w:pPr>
              <w:rPr>
                <w:rFonts w:ascii="Arial"/>
                <w:color w:val="auto"/>
                <w:sz w:val="21"/>
                <w:highlight w:val="none"/>
              </w:rPr>
            </w:pPr>
          </w:p>
        </w:tc>
        <w:tc>
          <w:tcPr>
            <w:tcW w:w="952" w:type="dxa"/>
            <w:vAlign w:val="top"/>
          </w:tcPr>
          <w:p w14:paraId="464BA402">
            <w:pPr>
              <w:rPr>
                <w:rFonts w:ascii="Arial"/>
                <w:color w:val="auto"/>
                <w:sz w:val="21"/>
                <w:highlight w:val="none"/>
              </w:rPr>
            </w:pPr>
          </w:p>
        </w:tc>
        <w:tc>
          <w:tcPr>
            <w:tcW w:w="1177" w:type="dxa"/>
            <w:vAlign w:val="top"/>
          </w:tcPr>
          <w:p w14:paraId="203F930B">
            <w:pPr>
              <w:rPr>
                <w:rFonts w:ascii="Arial"/>
                <w:color w:val="auto"/>
                <w:sz w:val="21"/>
                <w:highlight w:val="none"/>
              </w:rPr>
            </w:pPr>
          </w:p>
        </w:tc>
        <w:tc>
          <w:tcPr>
            <w:tcW w:w="1547" w:type="dxa"/>
            <w:vAlign w:val="top"/>
          </w:tcPr>
          <w:p w14:paraId="723F9FC8">
            <w:pPr>
              <w:rPr>
                <w:rFonts w:ascii="Arial"/>
                <w:color w:val="auto"/>
                <w:sz w:val="21"/>
                <w:highlight w:val="none"/>
              </w:rPr>
            </w:pPr>
          </w:p>
        </w:tc>
        <w:tc>
          <w:tcPr>
            <w:tcW w:w="971" w:type="dxa"/>
            <w:vAlign w:val="top"/>
          </w:tcPr>
          <w:p w14:paraId="1A81ED7D">
            <w:pPr>
              <w:rPr>
                <w:rFonts w:ascii="Arial"/>
                <w:color w:val="auto"/>
                <w:sz w:val="21"/>
                <w:highlight w:val="none"/>
              </w:rPr>
            </w:pPr>
          </w:p>
        </w:tc>
      </w:tr>
      <w:tr w14:paraId="21E0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0D2FBB40">
            <w:pPr>
              <w:rPr>
                <w:rFonts w:ascii="Arial"/>
                <w:color w:val="auto"/>
                <w:sz w:val="21"/>
                <w:highlight w:val="none"/>
              </w:rPr>
            </w:pPr>
          </w:p>
        </w:tc>
        <w:tc>
          <w:tcPr>
            <w:tcW w:w="1204" w:type="dxa"/>
            <w:vAlign w:val="top"/>
          </w:tcPr>
          <w:p w14:paraId="21A3AB07">
            <w:pPr>
              <w:rPr>
                <w:rFonts w:ascii="Arial"/>
                <w:color w:val="auto"/>
                <w:sz w:val="21"/>
                <w:highlight w:val="none"/>
              </w:rPr>
            </w:pPr>
          </w:p>
        </w:tc>
        <w:tc>
          <w:tcPr>
            <w:tcW w:w="951" w:type="dxa"/>
            <w:vAlign w:val="top"/>
          </w:tcPr>
          <w:p w14:paraId="425B736E">
            <w:pPr>
              <w:rPr>
                <w:rFonts w:ascii="Arial"/>
                <w:color w:val="auto"/>
                <w:sz w:val="21"/>
                <w:highlight w:val="none"/>
              </w:rPr>
            </w:pPr>
          </w:p>
        </w:tc>
        <w:tc>
          <w:tcPr>
            <w:tcW w:w="952" w:type="dxa"/>
            <w:vAlign w:val="top"/>
          </w:tcPr>
          <w:p w14:paraId="2290350A">
            <w:pPr>
              <w:rPr>
                <w:rFonts w:ascii="Arial"/>
                <w:color w:val="auto"/>
                <w:sz w:val="21"/>
                <w:highlight w:val="none"/>
              </w:rPr>
            </w:pPr>
          </w:p>
        </w:tc>
        <w:tc>
          <w:tcPr>
            <w:tcW w:w="951" w:type="dxa"/>
            <w:vAlign w:val="top"/>
          </w:tcPr>
          <w:p w14:paraId="05C07352">
            <w:pPr>
              <w:rPr>
                <w:rFonts w:ascii="Arial"/>
                <w:color w:val="auto"/>
                <w:sz w:val="21"/>
                <w:highlight w:val="none"/>
              </w:rPr>
            </w:pPr>
          </w:p>
        </w:tc>
        <w:tc>
          <w:tcPr>
            <w:tcW w:w="952" w:type="dxa"/>
            <w:vAlign w:val="top"/>
          </w:tcPr>
          <w:p w14:paraId="21AD9D63">
            <w:pPr>
              <w:rPr>
                <w:rFonts w:ascii="Arial"/>
                <w:color w:val="auto"/>
                <w:sz w:val="21"/>
                <w:highlight w:val="none"/>
              </w:rPr>
            </w:pPr>
          </w:p>
        </w:tc>
        <w:tc>
          <w:tcPr>
            <w:tcW w:w="1177" w:type="dxa"/>
            <w:vAlign w:val="top"/>
          </w:tcPr>
          <w:p w14:paraId="17430A46">
            <w:pPr>
              <w:rPr>
                <w:rFonts w:ascii="Arial"/>
                <w:color w:val="auto"/>
                <w:sz w:val="21"/>
                <w:highlight w:val="none"/>
              </w:rPr>
            </w:pPr>
          </w:p>
        </w:tc>
        <w:tc>
          <w:tcPr>
            <w:tcW w:w="1547" w:type="dxa"/>
            <w:vAlign w:val="top"/>
          </w:tcPr>
          <w:p w14:paraId="69596D69">
            <w:pPr>
              <w:rPr>
                <w:rFonts w:ascii="Arial"/>
                <w:color w:val="auto"/>
                <w:sz w:val="21"/>
                <w:highlight w:val="none"/>
              </w:rPr>
            </w:pPr>
          </w:p>
        </w:tc>
        <w:tc>
          <w:tcPr>
            <w:tcW w:w="971" w:type="dxa"/>
            <w:vAlign w:val="top"/>
          </w:tcPr>
          <w:p w14:paraId="0D3AF874">
            <w:pPr>
              <w:rPr>
                <w:rFonts w:ascii="Arial"/>
                <w:color w:val="auto"/>
                <w:sz w:val="21"/>
                <w:highlight w:val="none"/>
              </w:rPr>
            </w:pPr>
          </w:p>
        </w:tc>
      </w:tr>
      <w:tr w14:paraId="22BA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99" w:type="dxa"/>
            <w:vAlign w:val="top"/>
          </w:tcPr>
          <w:p w14:paraId="76DDEDA8">
            <w:pPr>
              <w:rPr>
                <w:rFonts w:ascii="Arial"/>
                <w:color w:val="auto"/>
                <w:sz w:val="21"/>
                <w:highlight w:val="none"/>
              </w:rPr>
            </w:pPr>
          </w:p>
        </w:tc>
        <w:tc>
          <w:tcPr>
            <w:tcW w:w="1204" w:type="dxa"/>
            <w:vAlign w:val="top"/>
          </w:tcPr>
          <w:p w14:paraId="2DA55856">
            <w:pPr>
              <w:rPr>
                <w:rFonts w:ascii="Arial"/>
                <w:color w:val="auto"/>
                <w:sz w:val="21"/>
                <w:highlight w:val="none"/>
              </w:rPr>
            </w:pPr>
          </w:p>
        </w:tc>
        <w:tc>
          <w:tcPr>
            <w:tcW w:w="951" w:type="dxa"/>
            <w:vAlign w:val="top"/>
          </w:tcPr>
          <w:p w14:paraId="3F9D1AC9">
            <w:pPr>
              <w:rPr>
                <w:rFonts w:ascii="Arial"/>
                <w:color w:val="auto"/>
                <w:sz w:val="21"/>
                <w:highlight w:val="none"/>
              </w:rPr>
            </w:pPr>
          </w:p>
        </w:tc>
        <w:tc>
          <w:tcPr>
            <w:tcW w:w="952" w:type="dxa"/>
            <w:vAlign w:val="top"/>
          </w:tcPr>
          <w:p w14:paraId="42EB46CE">
            <w:pPr>
              <w:rPr>
                <w:rFonts w:ascii="Arial"/>
                <w:color w:val="auto"/>
                <w:sz w:val="21"/>
                <w:highlight w:val="none"/>
              </w:rPr>
            </w:pPr>
          </w:p>
        </w:tc>
        <w:tc>
          <w:tcPr>
            <w:tcW w:w="951" w:type="dxa"/>
            <w:vAlign w:val="top"/>
          </w:tcPr>
          <w:p w14:paraId="034893A0">
            <w:pPr>
              <w:rPr>
                <w:rFonts w:ascii="Arial"/>
                <w:color w:val="auto"/>
                <w:sz w:val="21"/>
                <w:highlight w:val="none"/>
              </w:rPr>
            </w:pPr>
          </w:p>
        </w:tc>
        <w:tc>
          <w:tcPr>
            <w:tcW w:w="952" w:type="dxa"/>
            <w:vAlign w:val="top"/>
          </w:tcPr>
          <w:p w14:paraId="60AE7108">
            <w:pPr>
              <w:rPr>
                <w:rFonts w:ascii="Arial"/>
                <w:color w:val="auto"/>
                <w:sz w:val="21"/>
                <w:highlight w:val="none"/>
              </w:rPr>
            </w:pPr>
          </w:p>
        </w:tc>
        <w:tc>
          <w:tcPr>
            <w:tcW w:w="1177" w:type="dxa"/>
            <w:vAlign w:val="top"/>
          </w:tcPr>
          <w:p w14:paraId="4233C23A">
            <w:pPr>
              <w:rPr>
                <w:rFonts w:ascii="Arial"/>
                <w:color w:val="auto"/>
                <w:sz w:val="21"/>
                <w:highlight w:val="none"/>
              </w:rPr>
            </w:pPr>
          </w:p>
        </w:tc>
        <w:tc>
          <w:tcPr>
            <w:tcW w:w="1547" w:type="dxa"/>
            <w:vAlign w:val="top"/>
          </w:tcPr>
          <w:p w14:paraId="1ED08627">
            <w:pPr>
              <w:rPr>
                <w:rFonts w:ascii="Arial"/>
                <w:color w:val="auto"/>
                <w:sz w:val="21"/>
                <w:highlight w:val="none"/>
              </w:rPr>
            </w:pPr>
          </w:p>
        </w:tc>
        <w:tc>
          <w:tcPr>
            <w:tcW w:w="971" w:type="dxa"/>
            <w:vAlign w:val="top"/>
          </w:tcPr>
          <w:p w14:paraId="59C82E29">
            <w:pPr>
              <w:rPr>
                <w:rFonts w:ascii="Arial"/>
                <w:color w:val="auto"/>
                <w:sz w:val="21"/>
                <w:highlight w:val="none"/>
              </w:rPr>
            </w:pPr>
          </w:p>
        </w:tc>
      </w:tr>
      <w:tr w14:paraId="09B0F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47B8DECC">
            <w:pPr>
              <w:rPr>
                <w:rFonts w:ascii="Arial"/>
                <w:color w:val="auto"/>
                <w:sz w:val="21"/>
                <w:highlight w:val="none"/>
              </w:rPr>
            </w:pPr>
          </w:p>
        </w:tc>
        <w:tc>
          <w:tcPr>
            <w:tcW w:w="1204" w:type="dxa"/>
            <w:vAlign w:val="top"/>
          </w:tcPr>
          <w:p w14:paraId="106367DD">
            <w:pPr>
              <w:rPr>
                <w:rFonts w:ascii="Arial"/>
                <w:color w:val="auto"/>
                <w:sz w:val="21"/>
                <w:highlight w:val="none"/>
              </w:rPr>
            </w:pPr>
          </w:p>
        </w:tc>
        <w:tc>
          <w:tcPr>
            <w:tcW w:w="951" w:type="dxa"/>
            <w:vAlign w:val="top"/>
          </w:tcPr>
          <w:p w14:paraId="784BA38E">
            <w:pPr>
              <w:rPr>
                <w:rFonts w:ascii="Arial"/>
                <w:color w:val="auto"/>
                <w:sz w:val="21"/>
                <w:highlight w:val="none"/>
              </w:rPr>
            </w:pPr>
          </w:p>
        </w:tc>
        <w:tc>
          <w:tcPr>
            <w:tcW w:w="952" w:type="dxa"/>
            <w:vAlign w:val="top"/>
          </w:tcPr>
          <w:p w14:paraId="46B261CF">
            <w:pPr>
              <w:rPr>
                <w:rFonts w:ascii="Arial"/>
                <w:color w:val="auto"/>
                <w:sz w:val="21"/>
                <w:highlight w:val="none"/>
              </w:rPr>
            </w:pPr>
          </w:p>
        </w:tc>
        <w:tc>
          <w:tcPr>
            <w:tcW w:w="951" w:type="dxa"/>
            <w:vAlign w:val="top"/>
          </w:tcPr>
          <w:p w14:paraId="16550E06">
            <w:pPr>
              <w:rPr>
                <w:rFonts w:ascii="Arial"/>
                <w:color w:val="auto"/>
                <w:sz w:val="21"/>
                <w:highlight w:val="none"/>
              </w:rPr>
            </w:pPr>
          </w:p>
        </w:tc>
        <w:tc>
          <w:tcPr>
            <w:tcW w:w="952" w:type="dxa"/>
            <w:vAlign w:val="top"/>
          </w:tcPr>
          <w:p w14:paraId="764EFF4B">
            <w:pPr>
              <w:rPr>
                <w:rFonts w:ascii="Arial"/>
                <w:color w:val="auto"/>
                <w:sz w:val="21"/>
                <w:highlight w:val="none"/>
              </w:rPr>
            </w:pPr>
          </w:p>
        </w:tc>
        <w:tc>
          <w:tcPr>
            <w:tcW w:w="1177" w:type="dxa"/>
            <w:vAlign w:val="top"/>
          </w:tcPr>
          <w:p w14:paraId="66B456E9">
            <w:pPr>
              <w:rPr>
                <w:rFonts w:ascii="Arial"/>
                <w:color w:val="auto"/>
                <w:sz w:val="21"/>
                <w:highlight w:val="none"/>
              </w:rPr>
            </w:pPr>
          </w:p>
        </w:tc>
        <w:tc>
          <w:tcPr>
            <w:tcW w:w="1547" w:type="dxa"/>
            <w:vAlign w:val="top"/>
          </w:tcPr>
          <w:p w14:paraId="35FB50D4">
            <w:pPr>
              <w:rPr>
                <w:rFonts w:ascii="Arial"/>
                <w:color w:val="auto"/>
                <w:sz w:val="21"/>
                <w:highlight w:val="none"/>
              </w:rPr>
            </w:pPr>
          </w:p>
        </w:tc>
        <w:tc>
          <w:tcPr>
            <w:tcW w:w="971" w:type="dxa"/>
            <w:vAlign w:val="top"/>
          </w:tcPr>
          <w:p w14:paraId="20CAAF36">
            <w:pPr>
              <w:rPr>
                <w:rFonts w:ascii="Arial"/>
                <w:color w:val="auto"/>
                <w:sz w:val="21"/>
                <w:highlight w:val="none"/>
              </w:rPr>
            </w:pPr>
          </w:p>
        </w:tc>
      </w:tr>
      <w:tr w14:paraId="7212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99" w:type="dxa"/>
            <w:vAlign w:val="top"/>
          </w:tcPr>
          <w:p w14:paraId="1790EA0F">
            <w:pPr>
              <w:rPr>
                <w:rFonts w:ascii="Arial"/>
                <w:color w:val="auto"/>
                <w:sz w:val="21"/>
                <w:highlight w:val="none"/>
              </w:rPr>
            </w:pPr>
          </w:p>
        </w:tc>
        <w:tc>
          <w:tcPr>
            <w:tcW w:w="1204" w:type="dxa"/>
            <w:vAlign w:val="top"/>
          </w:tcPr>
          <w:p w14:paraId="0BC1C2D4">
            <w:pPr>
              <w:rPr>
                <w:rFonts w:ascii="Arial"/>
                <w:color w:val="auto"/>
                <w:sz w:val="21"/>
                <w:highlight w:val="none"/>
              </w:rPr>
            </w:pPr>
          </w:p>
        </w:tc>
        <w:tc>
          <w:tcPr>
            <w:tcW w:w="951" w:type="dxa"/>
            <w:vAlign w:val="top"/>
          </w:tcPr>
          <w:p w14:paraId="134564B4">
            <w:pPr>
              <w:rPr>
                <w:rFonts w:ascii="Arial"/>
                <w:color w:val="auto"/>
                <w:sz w:val="21"/>
                <w:highlight w:val="none"/>
              </w:rPr>
            </w:pPr>
          </w:p>
        </w:tc>
        <w:tc>
          <w:tcPr>
            <w:tcW w:w="952" w:type="dxa"/>
            <w:vAlign w:val="top"/>
          </w:tcPr>
          <w:p w14:paraId="6CB487ED">
            <w:pPr>
              <w:rPr>
                <w:rFonts w:ascii="Arial"/>
                <w:color w:val="auto"/>
                <w:sz w:val="21"/>
                <w:highlight w:val="none"/>
              </w:rPr>
            </w:pPr>
          </w:p>
        </w:tc>
        <w:tc>
          <w:tcPr>
            <w:tcW w:w="951" w:type="dxa"/>
            <w:vAlign w:val="top"/>
          </w:tcPr>
          <w:p w14:paraId="5F0261B6">
            <w:pPr>
              <w:rPr>
                <w:rFonts w:ascii="Arial"/>
                <w:color w:val="auto"/>
                <w:sz w:val="21"/>
                <w:highlight w:val="none"/>
              </w:rPr>
            </w:pPr>
          </w:p>
        </w:tc>
        <w:tc>
          <w:tcPr>
            <w:tcW w:w="952" w:type="dxa"/>
            <w:vAlign w:val="top"/>
          </w:tcPr>
          <w:p w14:paraId="611339B3">
            <w:pPr>
              <w:rPr>
                <w:rFonts w:ascii="Arial"/>
                <w:color w:val="auto"/>
                <w:sz w:val="21"/>
                <w:highlight w:val="none"/>
              </w:rPr>
            </w:pPr>
          </w:p>
        </w:tc>
        <w:tc>
          <w:tcPr>
            <w:tcW w:w="1177" w:type="dxa"/>
            <w:vAlign w:val="top"/>
          </w:tcPr>
          <w:p w14:paraId="7AC43ABA">
            <w:pPr>
              <w:rPr>
                <w:rFonts w:ascii="Arial"/>
                <w:color w:val="auto"/>
                <w:sz w:val="21"/>
                <w:highlight w:val="none"/>
              </w:rPr>
            </w:pPr>
          </w:p>
        </w:tc>
        <w:tc>
          <w:tcPr>
            <w:tcW w:w="1547" w:type="dxa"/>
            <w:vAlign w:val="top"/>
          </w:tcPr>
          <w:p w14:paraId="4EFDA5F3">
            <w:pPr>
              <w:rPr>
                <w:rFonts w:ascii="Arial"/>
                <w:color w:val="auto"/>
                <w:sz w:val="21"/>
                <w:highlight w:val="none"/>
              </w:rPr>
            </w:pPr>
          </w:p>
        </w:tc>
        <w:tc>
          <w:tcPr>
            <w:tcW w:w="971" w:type="dxa"/>
            <w:vAlign w:val="top"/>
          </w:tcPr>
          <w:p w14:paraId="1806D9A7">
            <w:pPr>
              <w:rPr>
                <w:rFonts w:ascii="Arial"/>
                <w:color w:val="auto"/>
                <w:sz w:val="21"/>
                <w:highlight w:val="none"/>
              </w:rPr>
            </w:pPr>
          </w:p>
        </w:tc>
      </w:tr>
      <w:tr w14:paraId="65BA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3F0FECF7">
            <w:pPr>
              <w:rPr>
                <w:rFonts w:ascii="Arial"/>
                <w:color w:val="auto"/>
                <w:sz w:val="21"/>
                <w:highlight w:val="none"/>
              </w:rPr>
            </w:pPr>
          </w:p>
        </w:tc>
        <w:tc>
          <w:tcPr>
            <w:tcW w:w="1204" w:type="dxa"/>
            <w:vAlign w:val="top"/>
          </w:tcPr>
          <w:p w14:paraId="135F6C7D">
            <w:pPr>
              <w:rPr>
                <w:rFonts w:ascii="Arial"/>
                <w:color w:val="auto"/>
                <w:sz w:val="21"/>
                <w:highlight w:val="none"/>
              </w:rPr>
            </w:pPr>
          </w:p>
        </w:tc>
        <w:tc>
          <w:tcPr>
            <w:tcW w:w="951" w:type="dxa"/>
            <w:vAlign w:val="top"/>
          </w:tcPr>
          <w:p w14:paraId="5252DB88">
            <w:pPr>
              <w:rPr>
                <w:rFonts w:ascii="Arial"/>
                <w:color w:val="auto"/>
                <w:sz w:val="21"/>
                <w:highlight w:val="none"/>
              </w:rPr>
            </w:pPr>
          </w:p>
        </w:tc>
        <w:tc>
          <w:tcPr>
            <w:tcW w:w="952" w:type="dxa"/>
            <w:vAlign w:val="top"/>
          </w:tcPr>
          <w:p w14:paraId="5BFEE219">
            <w:pPr>
              <w:rPr>
                <w:rFonts w:ascii="Arial"/>
                <w:color w:val="auto"/>
                <w:sz w:val="21"/>
                <w:highlight w:val="none"/>
              </w:rPr>
            </w:pPr>
          </w:p>
        </w:tc>
        <w:tc>
          <w:tcPr>
            <w:tcW w:w="951" w:type="dxa"/>
            <w:vAlign w:val="top"/>
          </w:tcPr>
          <w:p w14:paraId="2C9F18CC">
            <w:pPr>
              <w:rPr>
                <w:rFonts w:ascii="Arial"/>
                <w:color w:val="auto"/>
                <w:sz w:val="21"/>
                <w:highlight w:val="none"/>
              </w:rPr>
            </w:pPr>
          </w:p>
        </w:tc>
        <w:tc>
          <w:tcPr>
            <w:tcW w:w="952" w:type="dxa"/>
            <w:vAlign w:val="top"/>
          </w:tcPr>
          <w:p w14:paraId="637791AF">
            <w:pPr>
              <w:rPr>
                <w:rFonts w:ascii="Arial"/>
                <w:color w:val="auto"/>
                <w:sz w:val="21"/>
                <w:highlight w:val="none"/>
              </w:rPr>
            </w:pPr>
          </w:p>
        </w:tc>
        <w:tc>
          <w:tcPr>
            <w:tcW w:w="1177" w:type="dxa"/>
            <w:vAlign w:val="top"/>
          </w:tcPr>
          <w:p w14:paraId="01FD463F">
            <w:pPr>
              <w:rPr>
                <w:rFonts w:ascii="Arial"/>
                <w:color w:val="auto"/>
                <w:sz w:val="21"/>
                <w:highlight w:val="none"/>
              </w:rPr>
            </w:pPr>
          </w:p>
        </w:tc>
        <w:tc>
          <w:tcPr>
            <w:tcW w:w="1547" w:type="dxa"/>
            <w:vAlign w:val="top"/>
          </w:tcPr>
          <w:p w14:paraId="53022DF2">
            <w:pPr>
              <w:rPr>
                <w:rFonts w:ascii="Arial"/>
                <w:color w:val="auto"/>
                <w:sz w:val="21"/>
                <w:highlight w:val="none"/>
              </w:rPr>
            </w:pPr>
          </w:p>
        </w:tc>
        <w:tc>
          <w:tcPr>
            <w:tcW w:w="971" w:type="dxa"/>
            <w:vAlign w:val="top"/>
          </w:tcPr>
          <w:p w14:paraId="4BCCBEBB">
            <w:pPr>
              <w:rPr>
                <w:rFonts w:ascii="Arial"/>
                <w:color w:val="auto"/>
                <w:sz w:val="21"/>
                <w:highlight w:val="none"/>
              </w:rPr>
            </w:pPr>
          </w:p>
        </w:tc>
      </w:tr>
      <w:tr w14:paraId="5928D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99" w:type="dxa"/>
            <w:vAlign w:val="top"/>
          </w:tcPr>
          <w:p w14:paraId="6BE1AB62">
            <w:pPr>
              <w:rPr>
                <w:rFonts w:ascii="Arial"/>
                <w:color w:val="auto"/>
                <w:sz w:val="21"/>
                <w:highlight w:val="none"/>
              </w:rPr>
            </w:pPr>
          </w:p>
        </w:tc>
        <w:tc>
          <w:tcPr>
            <w:tcW w:w="1204" w:type="dxa"/>
            <w:vAlign w:val="top"/>
          </w:tcPr>
          <w:p w14:paraId="40B70015">
            <w:pPr>
              <w:rPr>
                <w:rFonts w:ascii="Arial"/>
                <w:color w:val="auto"/>
                <w:sz w:val="21"/>
                <w:highlight w:val="none"/>
              </w:rPr>
            </w:pPr>
          </w:p>
        </w:tc>
        <w:tc>
          <w:tcPr>
            <w:tcW w:w="951" w:type="dxa"/>
            <w:vAlign w:val="top"/>
          </w:tcPr>
          <w:p w14:paraId="5ED58EA4">
            <w:pPr>
              <w:rPr>
                <w:rFonts w:ascii="Arial"/>
                <w:color w:val="auto"/>
                <w:sz w:val="21"/>
                <w:highlight w:val="none"/>
              </w:rPr>
            </w:pPr>
          </w:p>
        </w:tc>
        <w:tc>
          <w:tcPr>
            <w:tcW w:w="952" w:type="dxa"/>
            <w:vAlign w:val="top"/>
          </w:tcPr>
          <w:p w14:paraId="14C9B703">
            <w:pPr>
              <w:rPr>
                <w:rFonts w:ascii="Arial"/>
                <w:color w:val="auto"/>
                <w:sz w:val="21"/>
                <w:highlight w:val="none"/>
              </w:rPr>
            </w:pPr>
          </w:p>
        </w:tc>
        <w:tc>
          <w:tcPr>
            <w:tcW w:w="951" w:type="dxa"/>
            <w:vAlign w:val="top"/>
          </w:tcPr>
          <w:p w14:paraId="75FE60FF">
            <w:pPr>
              <w:rPr>
                <w:rFonts w:ascii="Arial"/>
                <w:color w:val="auto"/>
                <w:sz w:val="21"/>
                <w:highlight w:val="none"/>
              </w:rPr>
            </w:pPr>
          </w:p>
        </w:tc>
        <w:tc>
          <w:tcPr>
            <w:tcW w:w="952" w:type="dxa"/>
            <w:vAlign w:val="top"/>
          </w:tcPr>
          <w:p w14:paraId="7FCECB60">
            <w:pPr>
              <w:rPr>
                <w:rFonts w:ascii="Arial"/>
                <w:color w:val="auto"/>
                <w:sz w:val="21"/>
                <w:highlight w:val="none"/>
              </w:rPr>
            </w:pPr>
          </w:p>
        </w:tc>
        <w:tc>
          <w:tcPr>
            <w:tcW w:w="1177" w:type="dxa"/>
            <w:vAlign w:val="top"/>
          </w:tcPr>
          <w:p w14:paraId="5A272952">
            <w:pPr>
              <w:rPr>
                <w:rFonts w:ascii="Arial"/>
                <w:color w:val="auto"/>
                <w:sz w:val="21"/>
                <w:highlight w:val="none"/>
              </w:rPr>
            </w:pPr>
          </w:p>
        </w:tc>
        <w:tc>
          <w:tcPr>
            <w:tcW w:w="1547" w:type="dxa"/>
            <w:vAlign w:val="top"/>
          </w:tcPr>
          <w:p w14:paraId="298FF738">
            <w:pPr>
              <w:rPr>
                <w:rFonts w:ascii="Arial"/>
                <w:color w:val="auto"/>
                <w:sz w:val="21"/>
                <w:highlight w:val="none"/>
              </w:rPr>
            </w:pPr>
          </w:p>
        </w:tc>
        <w:tc>
          <w:tcPr>
            <w:tcW w:w="971" w:type="dxa"/>
            <w:vAlign w:val="top"/>
          </w:tcPr>
          <w:p w14:paraId="6428C56D">
            <w:pPr>
              <w:rPr>
                <w:rFonts w:ascii="Arial"/>
                <w:color w:val="auto"/>
                <w:sz w:val="21"/>
                <w:highlight w:val="none"/>
              </w:rPr>
            </w:pPr>
          </w:p>
        </w:tc>
      </w:tr>
      <w:tr w14:paraId="3572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99" w:type="dxa"/>
            <w:vAlign w:val="top"/>
          </w:tcPr>
          <w:p w14:paraId="6C832A67">
            <w:pPr>
              <w:rPr>
                <w:rFonts w:ascii="Arial"/>
                <w:color w:val="auto"/>
                <w:sz w:val="21"/>
                <w:highlight w:val="none"/>
              </w:rPr>
            </w:pPr>
          </w:p>
        </w:tc>
        <w:tc>
          <w:tcPr>
            <w:tcW w:w="1204" w:type="dxa"/>
            <w:vAlign w:val="top"/>
          </w:tcPr>
          <w:p w14:paraId="4C08ACEA">
            <w:pPr>
              <w:rPr>
                <w:rFonts w:ascii="Arial"/>
                <w:color w:val="auto"/>
                <w:sz w:val="21"/>
                <w:highlight w:val="none"/>
              </w:rPr>
            </w:pPr>
          </w:p>
        </w:tc>
        <w:tc>
          <w:tcPr>
            <w:tcW w:w="951" w:type="dxa"/>
            <w:vAlign w:val="top"/>
          </w:tcPr>
          <w:p w14:paraId="5A773339">
            <w:pPr>
              <w:rPr>
                <w:rFonts w:ascii="Arial"/>
                <w:color w:val="auto"/>
                <w:sz w:val="21"/>
                <w:highlight w:val="none"/>
              </w:rPr>
            </w:pPr>
          </w:p>
        </w:tc>
        <w:tc>
          <w:tcPr>
            <w:tcW w:w="952" w:type="dxa"/>
            <w:vAlign w:val="top"/>
          </w:tcPr>
          <w:p w14:paraId="0A58DA09">
            <w:pPr>
              <w:rPr>
                <w:rFonts w:ascii="Arial"/>
                <w:color w:val="auto"/>
                <w:sz w:val="21"/>
                <w:highlight w:val="none"/>
              </w:rPr>
            </w:pPr>
          </w:p>
        </w:tc>
        <w:tc>
          <w:tcPr>
            <w:tcW w:w="951" w:type="dxa"/>
            <w:vAlign w:val="top"/>
          </w:tcPr>
          <w:p w14:paraId="4498BCE5">
            <w:pPr>
              <w:rPr>
                <w:rFonts w:ascii="Arial"/>
                <w:color w:val="auto"/>
                <w:sz w:val="21"/>
                <w:highlight w:val="none"/>
              </w:rPr>
            </w:pPr>
          </w:p>
        </w:tc>
        <w:tc>
          <w:tcPr>
            <w:tcW w:w="952" w:type="dxa"/>
            <w:vAlign w:val="top"/>
          </w:tcPr>
          <w:p w14:paraId="7AF190AB">
            <w:pPr>
              <w:rPr>
                <w:rFonts w:ascii="Arial"/>
                <w:color w:val="auto"/>
                <w:sz w:val="21"/>
                <w:highlight w:val="none"/>
              </w:rPr>
            </w:pPr>
          </w:p>
        </w:tc>
        <w:tc>
          <w:tcPr>
            <w:tcW w:w="1177" w:type="dxa"/>
            <w:vAlign w:val="top"/>
          </w:tcPr>
          <w:p w14:paraId="7A7D4E04">
            <w:pPr>
              <w:rPr>
                <w:rFonts w:ascii="Arial"/>
                <w:color w:val="auto"/>
                <w:sz w:val="21"/>
                <w:highlight w:val="none"/>
              </w:rPr>
            </w:pPr>
          </w:p>
        </w:tc>
        <w:tc>
          <w:tcPr>
            <w:tcW w:w="1547" w:type="dxa"/>
            <w:vAlign w:val="top"/>
          </w:tcPr>
          <w:p w14:paraId="68A032A5">
            <w:pPr>
              <w:rPr>
                <w:rFonts w:ascii="Arial"/>
                <w:color w:val="auto"/>
                <w:sz w:val="21"/>
                <w:highlight w:val="none"/>
              </w:rPr>
            </w:pPr>
          </w:p>
        </w:tc>
        <w:tc>
          <w:tcPr>
            <w:tcW w:w="971" w:type="dxa"/>
            <w:vAlign w:val="top"/>
          </w:tcPr>
          <w:p w14:paraId="0859A20B">
            <w:pPr>
              <w:rPr>
                <w:rFonts w:ascii="Arial"/>
                <w:color w:val="auto"/>
                <w:sz w:val="21"/>
                <w:highlight w:val="none"/>
              </w:rPr>
            </w:pPr>
          </w:p>
        </w:tc>
      </w:tr>
      <w:tr w14:paraId="71CD6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99" w:type="dxa"/>
            <w:vAlign w:val="top"/>
          </w:tcPr>
          <w:p w14:paraId="05AFBAEA">
            <w:pPr>
              <w:rPr>
                <w:rFonts w:ascii="Arial"/>
                <w:color w:val="auto"/>
                <w:sz w:val="21"/>
                <w:highlight w:val="none"/>
              </w:rPr>
            </w:pPr>
          </w:p>
        </w:tc>
        <w:tc>
          <w:tcPr>
            <w:tcW w:w="1204" w:type="dxa"/>
            <w:vAlign w:val="top"/>
          </w:tcPr>
          <w:p w14:paraId="3B9124D0">
            <w:pPr>
              <w:rPr>
                <w:rFonts w:ascii="Arial"/>
                <w:color w:val="auto"/>
                <w:sz w:val="21"/>
                <w:highlight w:val="none"/>
              </w:rPr>
            </w:pPr>
          </w:p>
        </w:tc>
        <w:tc>
          <w:tcPr>
            <w:tcW w:w="951" w:type="dxa"/>
            <w:vAlign w:val="top"/>
          </w:tcPr>
          <w:p w14:paraId="45CDB9B9">
            <w:pPr>
              <w:rPr>
                <w:rFonts w:ascii="Arial"/>
                <w:color w:val="auto"/>
                <w:sz w:val="21"/>
                <w:highlight w:val="none"/>
              </w:rPr>
            </w:pPr>
          </w:p>
        </w:tc>
        <w:tc>
          <w:tcPr>
            <w:tcW w:w="952" w:type="dxa"/>
            <w:vAlign w:val="top"/>
          </w:tcPr>
          <w:p w14:paraId="2B2965C1">
            <w:pPr>
              <w:rPr>
                <w:rFonts w:ascii="Arial"/>
                <w:color w:val="auto"/>
                <w:sz w:val="21"/>
                <w:highlight w:val="none"/>
              </w:rPr>
            </w:pPr>
          </w:p>
        </w:tc>
        <w:tc>
          <w:tcPr>
            <w:tcW w:w="951" w:type="dxa"/>
            <w:vAlign w:val="top"/>
          </w:tcPr>
          <w:p w14:paraId="66F8167B">
            <w:pPr>
              <w:rPr>
                <w:rFonts w:ascii="Arial"/>
                <w:color w:val="auto"/>
                <w:sz w:val="21"/>
                <w:highlight w:val="none"/>
              </w:rPr>
            </w:pPr>
          </w:p>
        </w:tc>
        <w:tc>
          <w:tcPr>
            <w:tcW w:w="952" w:type="dxa"/>
            <w:vAlign w:val="top"/>
          </w:tcPr>
          <w:p w14:paraId="77D902F9">
            <w:pPr>
              <w:rPr>
                <w:rFonts w:ascii="Arial"/>
                <w:color w:val="auto"/>
                <w:sz w:val="21"/>
                <w:highlight w:val="none"/>
              </w:rPr>
            </w:pPr>
          </w:p>
        </w:tc>
        <w:tc>
          <w:tcPr>
            <w:tcW w:w="1177" w:type="dxa"/>
            <w:vAlign w:val="top"/>
          </w:tcPr>
          <w:p w14:paraId="6EECDCD6">
            <w:pPr>
              <w:rPr>
                <w:rFonts w:ascii="Arial"/>
                <w:color w:val="auto"/>
                <w:sz w:val="21"/>
                <w:highlight w:val="none"/>
              </w:rPr>
            </w:pPr>
          </w:p>
        </w:tc>
        <w:tc>
          <w:tcPr>
            <w:tcW w:w="1547" w:type="dxa"/>
            <w:vAlign w:val="top"/>
          </w:tcPr>
          <w:p w14:paraId="63849EBF">
            <w:pPr>
              <w:rPr>
                <w:rFonts w:ascii="Arial"/>
                <w:color w:val="auto"/>
                <w:sz w:val="21"/>
                <w:highlight w:val="none"/>
              </w:rPr>
            </w:pPr>
          </w:p>
        </w:tc>
        <w:tc>
          <w:tcPr>
            <w:tcW w:w="971" w:type="dxa"/>
            <w:vAlign w:val="top"/>
          </w:tcPr>
          <w:p w14:paraId="0242C0E0">
            <w:pPr>
              <w:rPr>
                <w:rFonts w:ascii="Arial"/>
                <w:color w:val="auto"/>
                <w:sz w:val="21"/>
                <w:highlight w:val="none"/>
              </w:rPr>
            </w:pPr>
          </w:p>
        </w:tc>
      </w:tr>
      <w:tr w14:paraId="284C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99" w:type="dxa"/>
            <w:vAlign w:val="top"/>
          </w:tcPr>
          <w:p w14:paraId="5F17031C">
            <w:pPr>
              <w:rPr>
                <w:rFonts w:ascii="Arial"/>
                <w:color w:val="auto"/>
                <w:sz w:val="21"/>
                <w:highlight w:val="none"/>
              </w:rPr>
            </w:pPr>
          </w:p>
        </w:tc>
        <w:tc>
          <w:tcPr>
            <w:tcW w:w="1204" w:type="dxa"/>
            <w:vAlign w:val="top"/>
          </w:tcPr>
          <w:p w14:paraId="522506C3">
            <w:pPr>
              <w:rPr>
                <w:rFonts w:ascii="Arial"/>
                <w:color w:val="auto"/>
                <w:sz w:val="21"/>
                <w:highlight w:val="none"/>
              </w:rPr>
            </w:pPr>
          </w:p>
        </w:tc>
        <w:tc>
          <w:tcPr>
            <w:tcW w:w="951" w:type="dxa"/>
            <w:vAlign w:val="top"/>
          </w:tcPr>
          <w:p w14:paraId="5E9A8750">
            <w:pPr>
              <w:rPr>
                <w:rFonts w:ascii="Arial"/>
                <w:color w:val="auto"/>
                <w:sz w:val="21"/>
                <w:highlight w:val="none"/>
              </w:rPr>
            </w:pPr>
          </w:p>
        </w:tc>
        <w:tc>
          <w:tcPr>
            <w:tcW w:w="952" w:type="dxa"/>
            <w:vAlign w:val="top"/>
          </w:tcPr>
          <w:p w14:paraId="496D6B33">
            <w:pPr>
              <w:rPr>
                <w:rFonts w:ascii="Arial"/>
                <w:color w:val="auto"/>
                <w:sz w:val="21"/>
                <w:highlight w:val="none"/>
              </w:rPr>
            </w:pPr>
          </w:p>
        </w:tc>
        <w:tc>
          <w:tcPr>
            <w:tcW w:w="951" w:type="dxa"/>
            <w:vAlign w:val="top"/>
          </w:tcPr>
          <w:p w14:paraId="626FE41E">
            <w:pPr>
              <w:rPr>
                <w:rFonts w:ascii="Arial"/>
                <w:color w:val="auto"/>
                <w:sz w:val="21"/>
                <w:highlight w:val="none"/>
              </w:rPr>
            </w:pPr>
          </w:p>
        </w:tc>
        <w:tc>
          <w:tcPr>
            <w:tcW w:w="952" w:type="dxa"/>
            <w:vAlign w:val="top"/>
          </w:tcPr>
          <w:p w14:paraId="176FE5EE">
            <w:pPr>
              <w:rPr>
                <w:rFonts w:ascii="Arial"/>
                <w:color w:val="auto"/>
                <w:sz w:val="21"/>
                <w:highlight w:val="none"/>
              </w:rPr>
            </w:pPr>
          </w:p>
        </w:tc>
        <w:tc>
          <w:tcPr>
            <w:tcW w:w="1177" w:type="dxa"/>
            <w:vAlign w:val="top"/>
          </w:tcPr>
          <w:p w14:paraId="2A18FC16">
            <w:pPr>
              <w:rPr>
                <w:rFonts w:ascii="Arial"/>
                <w:color w:val="auto"/>
                <w:sz w:val="21"/>
                <w:highlight w:val="none"/>
              </w:rPr>
            </w:pPr>
          </w:p>
        </w:tc>
        <w:tc>
          <w:tcPr>
            <w:tcW w:w="1547" w:type="dxa"/>
            <w:vAlign w:val="top"/>
          </w:tcPr>
          <w:p w14:paraId="41459485">
            <w:pPr>
              <w:rPr>
                <w:rFonts w:ascii="Arial"/>
                <w:color w:val="auto"/>
                <w:sz w:val="21"/>
                <w:highlight w:val="none"/>
              </w:rPr>
            </w:pPr>
          </w:p>
        </w:tc>
        <w:tc>
          <w:tcPr>
            <w:tcW w:w="971" w:type="dxa"/>
            <w:vAlign w:val="top"/>
          </w:tcPr>
          <w:p w14:paraId="7B2429B9">
            <w:pPr>
              <w:rPr>
                <w:rFonts w:ascii="Arial"/>
                <w:color w:val="auto"/>
                <w:sz w:val="21"/>
                <w:highlight w:val="none"/>
              </w:rPr>
            </w:pPr>
          </w:p>
        </w:tc>
      </w:tr>
      <w:tr w14:paraId="707D6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99" w:type="dxa"/>
            <w:vAlign w:val="top"/>
          </w:tcPr>
          <w:p w14:paraId="4D32E3DD">
            <w:pPr>
              <w:rPr>
                <w:rFonts w:ascii="Arial"/>
                <w:color w:val="auto"/>
                <w:sz w:val="21"/>
                <w:highlight w:val="none"/>
              </w:rPr>
            </w:pPr>
          </w:p>
        </w:tc>
        <w:tc>
          <w:tcPr>
            <w:tcW w:w="1204" w:type="dxa"/>
            <w:vAlign w:val="top"/>
          </w:tcPr>
          <w:p w14:paraId="0B36867D">
            <w:pPr>
              <w:rPr>
                <w:rFonts w:ascii="Arial"/>
                <w:color w:val="auto"/>
                <w:sz w:val="21"/>
                <w:highlight w:val="none"/>
              </w:rPr>
            </w:pPr>
          </w:p>
        </w:tc>
        <w:tc>
          <w:tcPr>
            <w:tcW w:w="951" w:type="dxa"/>
            <w:vAlign w:val="top"/>
          </w:tcPr>
          <w:p w14:paraId="27C37E3B">
            <w:pPr>
              <w:rPr>
                <w:rFonts w:ascii="Arial"/>
                <w:color w:val="auto"/>
                <w:sz w:val="21"/>
                <w:highlight w:val="none"/>
              </w:rPr>
            </w:pPr>
          </w:p>
        </w:tc>
        <w:tc>
          <w:tcPr>
            <w:tcW w:w="952" w:type="dxa"/>
            <w:vAlign w:val="top"/>
          </w:tcPr>
          <w:p w14:paraId="038E3738">
            <w:pPr>
              <w:rPr>
                <w:rFonts w:ascii="Arial"/>
                <w:color w:val="auto"/>
                <w:sz w:val="21"/>
                <w:highlight w:val="none"/>
              </w:rPr>
            </w:pPr>
          </w:p>
        </w:tc>
        <w:tc>
          <w:tcPr>
            <w:tcW w:w="951" w:type="dxa"/>
            <w:vAlign w:val="top"/>
          </w:tcPr>
          <w:p w14:paraId="13B89984">
            <w:pPr>
              <w:rPr>
                <w:rFonts w:ascii="Arial"/>
                <w:color w:val="auto"/>
                <w:sz w:val="21"/>
                <w:highlight w:val="none"/>
              </w:rPr>
            </w:pPr>
          </w:p>
        </w:tc>
        <w:tc>
          <w:tcPr>
            <w:tcW w:w="952" w:type="dxa"/>
            <w:vAlign w:val="top"/>
          </w:tcPr>
          <w:p w14:paraId="7D0B6AD9">
            <w:pPr>
              <w:rPr>
                <w:rFonts w:ascii="Arial"/>
                <w:color w:val="auto"/>
                <w:sz w:val="21"/>
                <w:highlight w:val="none"/>
              </w:rPr>
            </w:pPr>
          </w:p>
        </w:tc>
        <w:tc>
          <w:tcPr>
            <w:tcW w:w="1177" w:type="dxa"/>
            <w:vAlign w:val="top"/>
          </w:tcPr>
          <w:p w14:paraId="7D1D7C54">
            <w:pPr>
              <w:rPr>
                <w:rFonts w:ascii="Arial"/>
                <w:color w:val="auto"/>
                <w:sz w:val="21"/>
                <w:highlight w:val="none"/>
              </w:rPr>
            </w:pPr>
          </w:p>
        </w:tc>
        <w:tc>
          <w:tcPr>
            <w:tcW w:w="1547" w:type="dxa"/>
            <w:vAlign w:val="top"/>
          </w:tcPr>
          <w:p w14:paraId="41CA4983">
            <w:pPr>
              <w:rPr>
                <w:rFonts w:ascii="Arial"/>
                <w:color w:val="auto"/>
                <w:sz w:val="21"/>
                <w:highlight w:val="none"/>
              </w:rPr>
            </w:pPr>
          </w:p>
        </w:tc>
        <w:tc>
          <w:tcPr>
            <w:tcW w:w="971" w:type="dxa"/>
            <w:vAlign w:val="top"/>
          </w:tcPr>
          <w:p w14:paraId="3E1F3355">
            <w:pPr>
              <w:rPr>
                <w:rFonts w:ascii="Arial"/>
                <w:color w:val="auto"/>
                <w:sz w:val="21"/>
                <w:highlight w:val="none"/>
              </w:rPr>
            </w:pPr>
          </w:p>
        </w:tc>
      </w:tr>
    </w:tbl>
    <w:p w14:paraId="2202F72B">
      <w:pPr>
        <w:pStyle w:val="8"/>
        <w:rPr>
          <w:color w:val="auto"/>
          <w:highlight w:val="none"/>
        </w:rPr>
      </w:pPr>
    </w:p>
    <w:p w14:paraId="003EE7F7">
      <w:pPr>
        <w:rPr>
          <w:color w:val="auto"/>
          <w:highlight w:val="none"/>
        </w:rPr>
        <w:sectPr>
          <w:footerReference r:id="rId23" w:type="default"/>
          <w:pgSz w:w="11906" w:h="16839"/>
          <w:pgMar w:top="1347" w:right="1248" w:bottom="1156" w:left="1248" w:header="0" w:footer="994" w:gutter="0"/>
          <w:pgNumType w:fmt="decimal"/>
          <w:cols w:space="720" w:num="1"/>
        </w:sectPr>
      </w:pPr>
    </w:p>
    <w:p w14:paraId="13933509">
      <w:pPr>
        <w:spacing w:before="47" w:line="219" w:lineRule="auto"/>
        <w:ind w:left="140"/>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附表三：劳动力计划表</w:t>
      </w:r>
    </w:p>
    <w:p w14:paraId="55F49976">
      <w:pPr>
        <w:pStyle w:val="8"/>
        <w:spacing w:line="247" w:lineRule="auto"/>
        <w:rPr>
          <w:color w:val="auto"/>
          <w:highlight w:val="none"/>
        </w:rPr>
      </w:pPr>
    </w:p>
    <w:p w14:paraId="2F240910">
      <w:pPr>
        <w:pStyle w:val="8"/>
        <w:spacing w:line="248" w:lineRule="auto"/>
        <w:rPr>
          <w:color w:val="auto"/>
          <w:highlight w:val="none"/>
        </w:rPr>
      </w:pPr>
    </w:p>
    <w:p w14:paraId="0D6E29FB">
      <w:pPr>
        <w:spacing w:before="65" w:line="228" w:lineRule="auto"/>
        <w:ind w:left="846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单位：人</w:t>
      </w:r>
    </w:p>
    <w:p w14:paraId="034B534D">
      <w:pPr>
        <w:spacing w:line="130" w:lineRule="exact"/>
        <w:rPr>
          <w:color w:val="auto"/>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175"/>
        <w:gridCol w:w="1174"/>
        <w:gridCol w:w="1174"/>
        <w:gridCol w:w="1174"/>
        <w:gridCol w:w="1174"/>
        <w:gridCol w:w="1175"/>
        <w:gridCol w:w="1179"/>
      </w:tblGrid>
      <w:tr w14:paraId="30A6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9" w:type="dxa"/>
            <w:vAlign w:val="top"/>
          </w:tcPr>
          <w:p w14:paraId="3592A33A">
            <w:pPr>
              <w:pStyle w:val="21"/>
              <w:spacing w:before="35" w:line="228" w:lineRule="auto"/>
              <w:ind w:left="118"/>
              <w:rPr>
                <w:color w:val="auto"/>
                <w:highlight w:val="none"/>
              </w:rPr>
            </w:pPr>
            <w:r>
              <w:rPr>
                <w:color w:val="auto"/>
                <w:spacing w:val="3"/>
                <w:highlight w:val="none"/>
              </w:rPr>
              <w:t>工种</w:t>
            </w:r>
          </w:p>
        </w:tc>
        <w:tc>
          <w:tcPr>
            <w:tcW w:w="8225" w:type="dxa"/>
            <w:gridSpan w:val="7"/>
            <w:vAlign w:val="top"/>
          </w:tcPr>
          <w:p w14:paraId="56030A0C">
            <w:pPr>
              <w:pStyle w:val="21"/>
              <w:spacing w:before="34" w:line="228" w:lineRule="auto"/>
              <w:ind w:left="114"/>
              <w:rPr>
                <w:color w:val="auto"/>
                <w:highlight w:val="none"/>
              </w:rPr>
            </w:pPr>
            <w:r>
              <w:rPr>
                <w:color w:val="auto"/>
                <w:spacing w:val="9"/>
                <w:highlight w:val="none"/>
              </w:rPr>
              <w:t>按工程施工阶段投入劳动力情况</w:t>
            </w:r>
          </w:p>
        </w:tc>
      </w:tr>
      <w:tr w14:paraId="0AD82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A3C957F">
            <w:pPr>
              <w:rPr>
                <w:rFonts w:ascii="Arial"/>
                <w:color w:val="auto"/>
                <w:sz w:val="21"/>
                <w:highlight w:val="none"/>
              </w:rPr>
            </w:pPr>
          </w:p>
        </w:tc>
        <w:tc>
          <w:tcPr>
            <w:tcW w:w="1175" w:type="dxa"/>
            <w:vAlign w:val="top"/>
          </w:tcPr>
          <w:p w14:paraId="36E71C7D">
            <w:pPr>
              <w:rPr>
                <w:rFonts w:ascii="Arial"/>
                <w:color w:val="auto"/>
                <w:sz w:val="21"/>
                <w:highlight w:val="none"/>
              </w:rPr>
            </w:pPr>
          </w:p>
        </w:tc>
        <w:tc>
          <w:tcPr>
            <w:tcW w:w="1174" w:type="dxa"/>
            <w:vAlign w:val="top"/>
          </w:tcPr>
          <w:p w14:paraId="0AB318AE">
            <w:pPr>
              <w:rPr>
                <w:rFonts w:ascii="Arial"/>
                <w:color w:val="auto"/>
                <w:sz w:val="21"/>
                <w:highlight w:val="none"/>
              </w:rPr>
            </w:pPr>
          </w:p>
        </w:tc>
        <w:tc>
          <w:tcPr>
            <w:tcW w:w="1174" w:type="dxa"/>
            <w:vAlign w:val="top"/>
          </w:tcPr>
          <w:p w14:paraId="7011FD77">
            <w:pPr>
              <w:rPr>
                <w:rFonts w:ascii="Arial"/>
                <w:color w:val="auto"/>
                <w:sz w:val="21"/>
                <w:highlight w:val="none"/>
              </w:rPr>
            </w:pPr>
          </w:p>
        </w:tc>
        <w:tc>
          <w:tcPr>
            <w:tcW w:w="1174" w:type="dxa"/>
            <w:vAlign w:val="top"/>
          </w:tcPr>
          <w:p w14:paraId="047637E9">
            <w:pPr>
              <w:rPr>
                <w:rFonts w:ascii="Arial"/>
                <w:color w:val="auto"/>
                <w:sz w:val="21"/>
                <w:highlight w:val="none"/>
              </w:rPr>
            </w:pPr>
          </w:p>
        </w:tc>
        <w:tc>
          <w:tcPr>
            <w:tcW w:w="1174" w:type="dxa"/>
            <w:vAlign w:val="top"/>
          </w:tcPr>
          <w:p w14:paraId="29150D04">
            <w:pPr>
              <w:rPr>
                <w:rFonts w:ascii="Arial"/>
                <w:color w:val="auto"/>
                <w:sz w:val="21"/>
                <w:highlight w:val="none"/>
              </w:rPr>
            </w:pPr>
          </w:p>
        </w:tc>
        <w:tc>
          <w:tcPr>
            <w:tcW w:w="1175" w:type="dxa"/>
            <w:vAlign w:val="top"/>
          </w:tcPr>
          <w:p w14:paraId="03E14166">
            <w:pPr>
              <w:rPr>
                <w:rFonts w:ascii="Arial"/>
                <w:color w:val="auto"/>
                <w:sz w:val="21"/>
                <w:highlight w:val="none"/>
              </w:rPr>
            </w:pPr>
          </w:p>
        </w:tc>
        <w:tc>
          <w:tcPr>
            <w:tcW w:w="1179" w:type="dxa"/>
            <w:vAlign w:val="top"/>
          </w:tcPr>
          <w:p w14:paraId="4E204003">
            <w:pPr>
              <w:rPr>
                <w:rFonts w:ascii="Arial"/>
                <w:color w:val="auto"/>
                <w:sz w:val="21"/>
                <w:highlight w:val="none"/>
              </w:rPr>
            </w:pPr>
          </w:p>
        </w:tc>
      </w:tr>
      <w:tr w14:paraId="18CB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32A29B08">
            <w:pPr>
              <w:rPr>
                <w:rFonts w:ascii="Arial"/>
                <w:color w:val="auto"/>
                <w:sz w:val="21"/>
                <w:highlight w:val="none"/>
              </w:rPr>
            </w:pPr>
          </w:p>
        </w:tc>
        <w:tc>
          <w:tcPr>
            <w:tcW w:w="1175" w:type="dxa"/>
            <w:vAlign w:val="top"/>
          </w:tcPr>
          <w:p w14:paraId="628E9F93">
            <w:pPr>
              <w:rPr>
                <w:rFonts w:ascii="Arial"/>
                <w:color w:val="auto"/>
                <w:sz w:val="21"/>
                <w:highlight w:val="none"/>
              </w:rPr>
            </w:pPr>
          </w:p>
        </w:tc>
        <w:tc>
          <w:tcPr>
            <w:tcW w:w="1174" w:type="dxa"/>
            <w:vAlign w:val="top"/>
          </w:tcPr>
          <w:p w14:paraId="07512D8E">
            <w:pPr>
              <w:rPr>
                <w:rFonts w:ascii="Arial"/>
                <w:color w:val="auto"/>
                <w:sz w:val="21"/>
                <w:highlight w:val="none"/>
              </w:rPr>
            </w:pPr>
          </w:p>
        </w:tc>
        <w:tc>
          <w:tcPr>
            <w:tcW w:w="1174" w:type="dxa"/>
            <w:vAlign w:val="top"/>
          </w:tcPr>
          <w:p w14:paraId="27369B07">
            <w:pPr>
              <w:rPr>
                <w:rFonts w:ascii="Arial"/>
                <w:color w:val="auto"/>
                <w:sz w:val="21"/>
                <w:highlight w:val="none"/>
              </w:rPr>
            </w:pPr>
          </w:p>
        </w:tc>
        <w:tc>
          <w:tcPr>
            <w:tcW w:w="1174" w:type="dxa"/>
            <w:vAlign w:val="top"/>
          </w:tcPr>
          <w:p w14:paraId="1D70F059">
            <w:pPr>
              <w:rPr>
                <w:rFonts w:ascii="Arial"/>
                <w:color w:val="auto"/>
                <w:sz w:val="21"/>
                <w:highlight w:val="none"/>
              </w:rPr>
            </w:pPr>
          </w:p>
        </w:tc>
        <w:tc>
          <w:tcPr>
            <w:tcW w:w="1174" w:type="dxa"/>
            <w:vAlign w:val="top"/>
          </w:tcPr>
          <w:p w14:paraId="5C25D267">
            <w:pPr>
              <w:rPr>
                <w:rFonts w:ascii="Arial"/>
                <w:color w:val="auto"/>
                <w:sz w:val="21"/>
                <w:highlight w:val="none"/>
              </w:rPr>
            </w:pPr>
          </w:p>
        </w:tc>
        <w:tc>
          <w:tcPr>
            <w:tcW w:w="1175" w:type="dxa"/>
            <w:vAlign w:val="top"/>
          </w:tcPr>
          <w:p w14:paraId="2EC47C54">
            <w:pPr>
              <w:rPr>
                <w:rFonts w:ascii="Arial"/>
                <w:color w:val="auto"/>
                <w:sz w:val="21"/>
                <w:highlight w:val="none"/>
              </w:rPr>
            </w:pPr>
          </w:p>
        </w:tc>
        <w:tc>
          <w:tcPr>
            <w:tcW w:w="1179" w:type="dxa"/>
            <w:vAlign w:val="top"/>
          </w:tcPr>
          <w:p w14:paraId="5FD34109">
            <w:pPr>
              <w:rPr>
                <w:rFonts w:ascii="Arial"/>
                <w:color w:val="auto"/>
                <w:sz w:val="21"/>
                <w:highlight w:val="none"/>
              </w:rPr>
            </w:pPr>
          </w:p>
        </w:tc>
      </w:tr>
      <w:tr w14:paraId="35F2D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0EA618A">
            <w:pPr>
              <w:rPr>
                <w:rFonts w:ascii="Arial"/>
                <w:color w:val="auto"/>
                <w:sz w:val="21"/>
                <w:highlight w:val="none"/>
              </w:rPr>
            </w:pPr>
          </w:p>
        </w:tc>
        <w:tc>
          <w:tcPr>
            <w:tcW w:w="1175" w:type="dxa"/>
            <w:vAlign w:val="top"/>
          </w:tcPr>
          <w:p w14:paraId="2D82FD21">
            <w:pPr>
              <w:rPr>
                <w:rFonts w:ascii="Arial"/>
                <w:color w:val="auto"/>
                <w:sz w:val="21"/>
                <w:highlight w:val="none"/>
              </w:rPr>
            </w:pPr>
          </w:p>
        </w:tc>
        <w:tc>
          <w:tcPr>
            <w:tcW w:w="1174" w:type="dxa"/>
            <w:vAlign w:val="top"/>
          </w:tcPr>
          <w:p w14:paraId="3734EF39">
            <w:pPr>
              <w:rPr>
                <w:rFonts w:ascii="Arial"/>
                <w:color w:val="auto"/>
                <w:sz w:val="21"/>
                <w:highlight w:val="none"/>
              </w:rPr>
            </w:pPr>
          </w:p>
        </w:tc>
        <w:tc>
          <w:tcPr>
            <w:tcW w:w="1174" w:type="dxa"/>
            <w:vAlign w:val="top"/>
          </w:tcPr>
          <w:p w14:paraId="6EE2ED45">
            <w:pPr>
              <w:rPr>
                <w:rFonts w:ascii="Arial"/>
                <w:color w:val="auto"/>
                <w:sz w:val="21"/>
                <w:highlight w:val="none"/>
              </w:rPr>
            </w:pPr>
          </w:p>
        </w:tc>
        <w:tc>
          <w:tcPr>
            <w:tcW w:w="1174" w:type="dxa"/>
            <w:vAlign w:val="top"/>
          </w:tcPr>
          <w:p w14:paraId="0C978323">
            <w:pPr>
              <w:rPr>
                <w:rFonts w:ascii="Arial"/>
                <w:color w:val="auto"/>
                <w:sz w:val="21"/>
                <w:highlight w:val="none"/>
              </w:rPr>
            </w:pPr>
          </w:p>
        </w:tc>
        <w:tc>
          <w:tcPr>
            <w:tcW w:w="1174" w:type="dxa"/>
            <w:vAlign w:val="top"/>
          </w:tcPr>
          <w:p w14:paraId="16C739AA">
            <w:pPr>
              <w:rPr>
                <w:rFonts w:ascii="Arial"/>
                <w:color w:val="auto"/>
                <w:sz w:val="21"/>
                <w:highlight w:val="none"/>
              </w:rPr>
            </w:pPr>
          </w:p>
        </w:tc>
        <w:tc>
          <w:tcPr>
            <w:tcW w:w="1175" w:type="dxa"/>
            <w:vAlign w:val="top"/>
          </w:tcPr>
          <w:p w14:paraId="69E66ACB">
            <w:pPr>
              <w:rPr>
                <w:rFonts w:ascii="Arial"/>
                <w:color w:val="auto"/>
                <w:sz w:val="21"/>
                <w:highlight w:val="none"/>
              </w:rPr>
            </w:pPr>
          </w:p>
        </w:tc>
        <w:tc>
          <w:tcPr>
            <w:tcW w:w="1179" w:type="dxa"/>
            <w:vAlign w:val="top"/>
          </w:tcPr>
          <w:p w14:paraId="1F4355D0">
            <w:pPr>
              <w:rPr>
                <w:rFonts w:ascii="Arial"/>
                <w:color w:val="auto"/>
                <w:sz w:val="21"/>
                <w:highlight w:val="none"/>
              </w:rPr>
            </w:pPr>
          </w:p>
        </w:tc>
      </w:tr>
      <w:tr w14:paraId="3BE95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70B3333">
            <w:pPr>
              <w:rPr>
                <w:rFonts w:ascii="Arial"/>
                <w:color w:val="auto"/>
                <w:sz w:val="21"/>
                <w:highlight w:val="none"/>
              </w:rPr>
            </w:pPr>
          </w:p>
        </w:tc>
        <w:tc>
          <w:tcPr>
            <w:tcW w:w="1175" w:type="dxa"/>
            <w:vAlign w:val="top"/>
          </w:tcPr>
          <w:p w14:paraId="2A33619F">
            <w:pPr>
              <w:rPr>
                <w:rFonts w:ascii="Arial"/>
                <w:color w:val="auto"/>
                <w:sz w:val="21"/>
                <w:highlight w:val="none"/>
              </w:rPr>
            </w:pPr>
          </w:p>
        </w:tc>
        <w:tc>
          <w:tcPr>
            <w:tcW w:w="1174" w:type="dxa"/>
            <w:vAlign w:val="top"/>
          </w:tcPr>
          <w:p w14:paraId="1D5629EC">
            <w:pPr>
              <w:rPr>
                <w:rFonts w:ascii="Arial"/>
                <w:color w:val="auto"/>
                <w:sz w:val="21"/>
                <w:highlight w:val="none"/>
              </w:rPr>
            </w:pPr>
          </w:p>
        </w:tc>
        <w:tc>
          <w:tcPr>
            <w:tcW w:w="1174" w:type="dxa"/>
            <w:vAlign w:val="top"/>
          </w:tcPr>
          <w:p w14:paraId="7E67412F">
            <w:pPr>
              <w:rPr>
                <w:rFonts w:ascii="Arial"/>
                <w:color w:val="auto"/>
                <w:sz w:val="21"/>
                <w:highlight w:val="none"/>
              </w:rPr>
            </w:pPr>
          </w:p>
        </w:tc>
        <w:tc>
          <w:tcPr>
            <w:tcW w:w="1174" w:type="dxa"/>
            <w:vAlign w:val="top"/>
          </w:tcPr>
          <w:p w14:paraId="63170263">
            <w:pPr>
              <w:rPr>
                <w:rFonts w:ascii="Arial"/>
                <w:color w:val="auto"/>
                <w:sz w:val="21"/>
                <w:highlight w:val="none"/>
              </w:rPr>
            </w:pPr>
          </w:p>
        </w:tc>
        <w:tc>
          <w:tcPr>
            <w:tcW w:w="1174" w:type="dxa"/>
            <w:vAlign w:val="top"/>
          </w:tcPr>
          <w:p w14:paraId="3593B7AD">
            <w:pPr>
              <w:rPr>
                <w:rFonts w:ascii="Arial"/>
                <w:color w:val="auto"/>
                <w:sz w:val="21"/>
                <w:highlight w:val="none"/>
              </w:rPr>
            </w:pPr>
          </w:p>
        </w:tc>
        <w:tc>
          <w:tcPr>
            <w:tcW w:w="1175" w:type="dxa"/>
            <w:vAlign w:val="top"/>
          </w:tcPr>
          <w:p w14:paraId="33EA130C">
            <w:pPr>
              <w:rPr>
                <w:rFonts w:ascii="Arial"/>
                <w:color w:val="auto"/>
                <w:sz w:val="21"/>
                <w:highlight w:val="none"/>
              </w:rPr>
            </w:pPr>
          </w:p>
        </w:tc>
        <w:tc>
          <w:tcPr>
            <w:tcW w:w="1179" w:type="dxa"/>
            <w:vAlign w:val="top"/>
          </w:tcPr>
          <w:p w14:paraId="5B74566B">
            <w:pPr>
              <w:rPr>
                <w:rFonts w:ascii="Arial"/>
                <w:color w:val="auto"/>
                <w:sz w:val="21"/>
                <w:highlight w:val="none"/>
              </w:rPr>
            </w:pPr>
          </w:p>
        </w:tc>
      </w:tr>
      <w:tr w14:paraId="3649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79" w:type="dxa"/>
            <w:vAlign w:val="top"/>
          </w:tcPr>
          <w:p w14:paraId="6FB1875E">
            <w:pPr>
              <w:rPr>
                <w:rFonts w:ascii="Arial"/>
                <w:color w:val="auto"/>
                <w:sz w:val="21"/>
                <w:highlight w:val="none"/>
              </w:rPr>
            </w:pPr>
          </w:p>
        </w:tc>
        <w:tc>
          <w:tcPr>
            <w:tcW w:w="1175" w:type="dxa"/>
            <w:vAlign w:val="top"/>
          </w:tcPr>
          <w:p w14:paraId="44170323">
            <w:pPr>
              <w:rPr>
                <w:rFonts w:ascii="Arial"/>
                <w:color w:val="auto"/>
                <w:sz w:val="21"/>
                <w:highlight w:val="none"/>
              </w:rPr>
            </w:pPr>
          </w:p>
        </w:tc>
        <w:tc>
          <w:tcPr>
            <w:tcW w:w="1174" w:type="dxa"/>
            <w:vAlign w:val="top"/>
          </w:tcPr>
          <w:p w14:paraId="44BDE160">
            <w:pPr>
              <w:rPr>
                <w:rFonts w:ascii="Arial"/>
                <w:color w:val="auto"/>
                <w:sz w:val="21"/>
                <w:highlight w:val="none"/>
              </w:rPr>
            </w:pPr>
          </w:p>
        </w:tc>
        <w:tc>
          <w:tcPr>
            <w:tcW w:w="1174" w:type="dxa"/>
            <w:vAlign w:val="top"/>
          </w:tcPr>
          <w:p w14:paraId="771DB1B9">
            <w:pPr>
              <w:rPr>
                <w:rFonts w:ascii="Arial"/>
                <w:color w:val="auto"/>
                <w:sz w:val="21"/>
                <w:highlight w:val="none"/>
              </w:rPr>
            </w:pPr>
          </w:p>
        </w:tc>
        <w:tc>
          <w:tcPr>
            <w:tcW w:w="1174" w:type="dxa"/>
            <w:vAlign w:val="top"/>
          </w:tcPr>
          <w:p w14:paraId="39F61642">
            <w:pPr>
              <w:rPr>
                <w:rFonts w:ascii="Arial"/>
                <w:color w:val="auto"/>
                <w:sz w:val="21"/>
                <w:highlight w:val="none"/>
              </w:rPr>
            </w:pPr>
          </w:p>
        </w:tc>
        <w:tc>
          <w:tcPr>
            <w:tcW w:w="1174" w:type="dxa"/>
            <w:vAlign w:val="top"/>
          </w:tcPr>
          <w:p w14:paraId="4A218E7A">
            <w:pPr>
              <w:rPr>
                <w:rFonts w:ascii="Arial"/>
                <w:color w:val="auto"/>
                <w:sz w:val="21"/>
                <w:highlight w:val="none"/>
              </w:rPr>
            </w:pPr>
          </w:p>
        </w:tc>
        <w:tc>
          <w:tcPr>
            <w:tcW w:w="1175" w:type="dxa"/>
            <w:vAlign w:val="top"/>
          </w:tcPr>
          <w:p w14:paraId="5ECD0AD7">
            <w:pPr>
              <w:rPr>
                <w:rFonts w:ascii="Arial"/>
                <w:color w:val="auto"/>
                <w:sz w:val="21"/>
                <w:highlight w:val="none"/>
              </w:rPr>
            </w:pPr>
          </w:p>
        </w:tc>
        <w:tc>
          <w:tcPr>
            <w:tcW w:w="1179" w:type="dxa"/>
            <w:vAlign w:val="top"/>
          </w:tcPr>
          <w:p w14:paraId="6E1BA4DF">
            <w:pPr>
              <w:rPr>
                <w:rFonts w:ascii="Arial"/>
                <w:color w:val="auto"/>
                <w:sz w:val="21"/>
                <w:highlight w:val="none"/>
              </w:rPr>
            </w:pPr>
          </w:p>
        </w:tc>
      </w:tr>
      <w:tr w14:paraId="6F4F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98D696F">
            <w:pPr>
              <w:rPr>
                <w:rFonts w:ascii="Arial"/>
                <w:color w:val="auto"/>
                <w:sz w:val="21"/>
                <w:highlight w:val="none"/>
              </w:rPr>
            </w:pPr>
          </w:p>
        </w:tc>
        <w:tc>
          <w:tcPr>
            <w:tcW w:w="1175" w:type="dxa"/>
            <w:vAlign w:val="top"/>
          </w:tcPr>
          <w:p w14:paraId="3473E315">
            <w:pPr>
              <w:rPr>
                <w:rFonts w:ascii="Arial"/>
                <w:color w:val="auto"/>
                <w:sz w:val="21"/>
                <w:highlight w:val="none"/>
              </w:rPr>
            </w:pPr>
          </w:p>
        </w:tc>
        <w:tc>
          <w:tcPr>
            <w:tcW w:w="1174" w:type="dxa"/>
            <w:vAlign w:val="top"/>
          </w:tcPr>
          <w:p w14:paraId="06D102E1">
            <w:pPr>
              <w:rPr>
                <w:rFonts w:ascii="Arial"/>
                <w:color w:val="auto"/>
                <w:sz w:val="21"/>
                <w:highlight w:val="none"/>
              </w:rPr>
            </w:pPr>
          </w:p>
        </w:tc>
        <w:tc>
          <w:tcPr>
            <w:tcW w:w="1174" w:type="dxa"/>
            <w:vAlign w:val="top"/>
          </w:tcPr>
          <w:p w14:paraId="0D929D26">
            <w:pPr>
              <w:rPr>
                <w:rFonts w:ascii="Arial"/>
                <w:color w:val="auto"/>
                <w:sz w:val="21"/>
                <w:highlight w:val="none"/>
              </w:rPr>
            </w:pPr>
          </w:p>
        </w:tc>
        <w:tc>
          <w:tcPr>
            <w:tcW w:w="1174" w:type="dxa"/>
            <w:vAlign w:val="top"/>
          </w:tcPr>
          <w:p w14:paraId="50D2A013">
            <w:pPr>
              <w:rPr>
                <w:rFonts w:ascii="Arial"/>
                <w:color w:val="auto"/>
                <w:sz w:val="21"/>
                <w:highlight w:val="none"/>
              </w:rPr>
            </w:pPr>
          </w:p>
        </w:tc>
        <w:tc>
          <w:tcPr>
            <w:tcW w:w="1174" w:type="dxa"/>
            <w:vAlign w:val="top"/>
          </w:tcPr>
          <w:p w14:paraId="4AEE98F2">
            <w:pPr>
              <w:rPr>
                <w:rFonts w:ascii="Arial"/>
                <w:color w:val="auto"/>
                <w:sz w:val="21"/>
                <w:highlight w:val="none"/>
              </w:rPr>
            </w:pPr>
          </w:p>
        </w:tc>
        <w:tc>
          <w:tcPr>
            <w:tcW w:w="1175" w:type="dxa"/>
            <w:vAlign w:val="top"/>
          </w:tcPr>
          <w:p w14:paraId="0D8FF94A">
            <w:pPr>
              <w:rPr>
                <w:rFonts w:ascii="Arial"/>
                <w:color w:val="auto"/>
                <w:sz w:val="21"/>
                <w:highlight w:val="none"/>
              </w:rPr>
            </w:pPr>
          </w:p>
        </w:tc>
        <w:tc>
          <w:tcPr>
            <w:tcW w:w="1179" w:type="dxa"/>
            <w:vAlign w:val="top"/>
          </w:tcPr>
          <w:p w14:paraId="7728C462">
            <w:pPr>
              <w:rPr>
                <w:rFonts w:ascii="Arial"/>
                <w:color w:val="auto"/>
                <w:sz w:val="21"/>
                <w:highlight w:val="none"/>
              </w:rPr>
            </w:pPr>
          </w:p>
        </w:tc>
      </w:tr>
      <w:tr w14:paraId="3D7A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4B3D3DE1">
            <w:pPr>
              <w:rPr>
                <w:rFonts w:ascii="Arial"/>
                <w:color w:val="auto"/>
                <w:sz w:val="21"/>
                <w:highlight w:val="none"/>
              </w:rPr>
            </w:pPr>
          </w:p>
        </w:tc>
        <w:tc>
          <w:tcPr>
            <w:tcW w:w="1175" w:type="dxa"/>
            <w:vAlign w:val="top"/>
          </w:tcPr>
          <w:p w14:paraId="11ED9370">
            <w:pPr>
              <w:rPr>
                <w:rFonts w:ascii="Arial"/>
                <w:color w:val="auto"/>
                <w:sz w:val="21"/>
                <w:highlight w:val="none"/>
              </w:rPr>
            </w:pPr>
          </w:p>
        </w:tc>
        <w:tc>
          <w:tcPr>
            <w:tcW w:w="1174" w:type="dxa"/>
            <w:vAlign w:val="top"/>
          </w:tcPr>
          <w:p w14:paraId="04EB6F08">
            <w:pPr>
              <w:rPr>
                <w:rFonts w:ascii="Arial"/>
                <w:color w:val="auto"/>
                <w:sz w:val="21"/>
                <w:highlight w:val="none"/>
              </w:rPr>
            </w:pPr>
          </w:p>
        </w:tc>
        <w:tc>
          <w:tcPr>
            <w:tcW w:w="1174" w:type="dxa"/>
            <w:vAlign w:val="top"/>
          </w:tcPr>
          <w:p w14:paraId="770C1CED">
            <w:pPr>
              <w:rPr>
                <w:rFonts w:ascii="Arial"/>
                <w:color w:val="auto"/>
                <w:sz w:val="21"/>
                <w:highlight w:val="none"/>
              </w:rPr>
            </w:pPr>
          </w:p>
        </w:tc>
        <w:tc>
          <w:tcPr>
            <w:tcW w:w="1174" w:type="dxa"/>
            <w:vAlign w:val="top"/>
          </w:tcPr>
          <w:p w14:paraId="4EC5CC8F">
            <w:pPr>
              <w:rPr>
                <w:rFonts w:ascii="Arial"/>
                <w:color w:val="auto"/>
                <w:sz w:val="21"/>
                <w:highlight w:val="none"/>
              </w:rPr>
            </w:pPr>
          </w:p>
        </w:tc>
        <w:tc>
          <w:tcPr>
            <w:tcW w:w="1174" w:type="dxa"/>
            <w:vAlign w:val="top"/>
          </w:tcPr>
          <w:p w14:paraId="590A5DC7">
            <w:pPr>
              <w:rPr>
                <w:rFonts w:ascii="Arial"/>
                <w:color w:val="auto"/>
                <w:sz w:val="21"/>
                <w:highlight w:val="none"/>
              </w:rPr>
            </w:pPr>
          </w:p>
        </w:tc>
        <w:tc>
          <w:tcPr>
            <w:tcW w:w="1175" w:type="dxa"/>
            <w:vAlign w:val="top"/>
          </w:tcPr>
          <w:p w14:paraId="1CD38B5B">
            <w:pPr>
              <w:rPr>
                <w:rFonts w:ascii="Arial"/>
                <w:color w:val="auto"/>
                <w:sz w:val="21"/>
                <w:highlight w:val="none"/>
              </w:rPr>
            </w:pPr>
          </w:p>
        </w:tc>
        <w:tc>
          <w:tcPr>
            <w:tcW w:w="1179" w:type="dxa"/>
            <w:vAlign w:val="top"/>
          </w:tcPr>
          <w:p w14:paraId="1B4AC4EE">
            <w:pPr>
              <w:rPr>
                <w:rFonts w:ascii="Arial"/>
                <w:color w:val="auto"/>
                <w:sz w:val="21"/>
                <w:highlight w:val="none"/>
              </w:rPr>
            </w:pPr>
          </w:p>
        </w:tc>
      </w:tr>
      <w:tr w14:paraId="7D43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DE07289">
            <w:pPr>
              <w:rPr>
                <w:rFonts w:ascii="Arial"/>
                <w:color w:val="auto"/>
                <w:sz w:val="21"/>
                <w:highlight w:val="none"/>
              </w:rPr>
            </w:pPr>
          </w:p>
        </w:tc>
        <w:tc>
          <w:tcPr>
            <w:tcW w:w="1175" w:type="dxa"/>
            <w:vAlign w:val="top"/>
          </w:tcPr>
          <w:p w14:paraId="3AA9CEA4">
            <w:pPr>
              <w:rPr>
                <w:rFonts w:ascii="Arial"/>
                <w:color w:val="auto"/>
                <w:sz w:val="21"/>
                <w:highlight w:val="none"/>
              </w:rPr>
            </w:pPr>
          </w:p>
        </w:tc>
        <w:tc>
          <w:tcPr>
            <w:tcW w:w="1174" w:type="dxa"/>
            <w:vAlign w:val="top"/>
          </w:tcPr>
          <w:p w14:paraId="66F75894">
            <w:pPr>
              <w:rPr>
                <w:rFonts w:ascii="Arial"/>
                <w:color w:val="auto"/>
                <w:sz w:val="21"/>
                <w:highlight w:val="none"/>
              </w:rPr>
            </w:pPr>
          </w:p>
        </w:tc>
        <w:tc>
          <w:tcPr>
            <w:tcW w:w="1174" w:type="dxa"/>
            <w:vAlign w:val="top"/>
          </w:tcPr>
          <w:p w14:paraId="68D87C3C">
            <w:pPr>
              <w:rPr>
                <w:rFonts w:ascii="Arial"/>
                <w:color w:val="auto"/>
                <w:sz w:val="21"/>
                <w:highlight w:val="none"/>
              </w:rPr>
            </w:pPr>
          </w:p>
        </w:tc>
        <w:tc>
          <w:tcPr>
            <w:tcW w:w="1174" w:type="dxa"/>
            <w:vAlign w:val="top"/>
          </w:tcPr>
          <w:p w14:paraId="632214C3">
            <w:pPr>
              <w:rPr>
                <w:rFonts w:ascii="Arial"/>
                <w:color w:val="auto"/>
                <w:sz w:val="21"/>
                <w:highlight w:val="none"/>
              </w:rPr>
            </w:pPr>
          </w:p>
        </w:tc>
        <w:tc>
          <w:tcPr>
            <w:tcW w:w="1174" w:type="dxa"/>
            <w:vAlign w:val="top"/>
          </w:tcPr>
          <w:p w14:paraId="43EEE40A">
            <w:pPr>
              <w:rPr>
                <w:rFonts w:ascii="Arial"/>
                <w:color w:val="auto"/>
                <w:sz w:val="21"/>
                <w:highlight w:val="none"/>
              </w:rPr>
            </w:pPr>
          </w:p>
        </w:tc>
        <w:tc>
          <w:tcPr>
            <w:tcW w:w="1175" w:type="dxa"/>
            <w:vAlign w:val="top"/>
          </w:tcPr>
          <w:p w14:paraId="4B853718">
            <w:pPr>
              <w:rPr>
                <w:rFonts w:ascii="Arial"/>
                <w:color w:val="auto"/>
                <w:sz w:val="21"/>
                <w:highlight w:val="none"/>
              </w:rPr>
            </w:pPr>
          </w:p>
        </w:tc>
        <w:tc>
          <w:tcPr>
            <w:tcW w:w="1179" w:type="dxa"/>
            <w:vAlign w:val="top"/>
          </w:tcPr>
          <w:p w14:paraId="117F0C23">
            <w:pPr>
              <w:rPr>
                <w:rFonts w:ascii="Arial"/>
                <w:color w:val="auto"/>
                <w:sz w:val="21"/>
                <w:highlight w:val="none"/>
              </w:rPr>
            </w:pPr>
          </w:p>
        </w:tc>
      </w:tr>
      <w:tr w14:paraId="62DC5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DF95C16">
            <w:pPr>
              <w:rPr>
                <w:rFonts w:ascii="Arial"/>
                <w:color w:val="auto"/>
                <w:sz w:val="21"/>
                <w:highlight w:val="none"/>
              </w:rPr>
            </w:pPr>
          </w:p>
        </w:tc>
        <w:tc>
          <w:tcPr>
            <w:tcW w:w="1175" w:type="dxa"/>
            <w:vAlign w:val="top"/>
          </w:tcPr>
          <w:p w14:paraId="2031A59B">
            <w:pPr>
              <w:rPr>
                <w:rFonts w:ascii="Arial"/>
                <w:color w:val="auto"/>
                <w:sz w:val="21"/>
                <w:highlight w:val="none"/>
              </w:rPr>
            </w:pPr>
          </w:p>
        </w:tc>
        <w:tc>
          <w:tcPr>
            <w:tcW w:w="1174" w:type="dxa"/>
            <w:vAlign w:val="top"/>
          </w:tcPr>
          <w:p w14:paraId="23D13439">
            <w:pPr>
              <w:rPr>
                <w:rFonts w:ascii="Arial"/>
                <w:color w:val="auto"/>
                <w:sz w:val="21"/>
                <w:highlight w:val="none"/>
              </w:rPr>
            </w:pPr>
          </w:p>
        </w:tc>
        <w:tc>
          <w:tcPr>
            <w:tcW w:w="1174" w:type="dxa"/>
            <w:vAlign w:val="top"/>
          </w:tcPr>
          <w:p w14:paraId="234BCAD6">
            <w:pPr>
              <w:rPr>
                <w:rFonts w:ascii="Arial"/>
                <w:color w:val="auto"/>
                <w:sz w:val="21"/>
                <w:highlight w:val="none"/>
              </w:rPr>
            </w:pPr>
          </w:p>
        </w:tc>
        <w:tc>
          <w:tcPr>
            <w:tcW w:w="1174" w:type="dxa"/>
            <w:vAlign w:val="top"/>
          </w:tcPr>
          <w:p w14:paraId="6104769C">
            <w:pPr>
              <w:rPr>
                <w:rFonts w:ascii="Arial"/>
                <w:color w:val="auto"/>
                <w:sz w:val="21"/>
                <w:highlight w:val="none"/>
              </w:rPr>
            </w:pPr>
          </w:p>
        </w:tc>
        <w:tc>
          <w:tcPr>
            <w:tcW w:w="1174" w:type="dxa"/>
            <w:vAlign w:val="top"/>
          </w:tcPr>
          <w:p w14:paraId="6313F265">
            <w:pPr>
              <w:rPr>
                <w:rFonts w:ascii="Arial"/>
                <w:color w:val="auto"/>
                <w:sz w:val="21"/>
                <w:highlight w:val="none"/>
              </w:rPr>
            </w:pPr>
          </w:p>
        </w:tc>
        <w:tc>
          <w:tcPr>
            <w:tcW w:w="1175" w:type="dxa"/>
            <w:vAlign w:val="top"/>
          </w:tcPr>
          <w:p w14:paraId="1CE4CE42">
            <w:pPr>
              <w:rPr>
                <w:rFonts w:ascii="Arial"/>
                <w:color w:val="auto"/>
                <w:sz w:val="21"/>
                <w:highlight w:val="none"/>
              </w:rPr>
            </w:pPr>
          </w:p>
        </w:tc>
        <w:tc>
          <w:tcPr>
            <w:tcW w:w="1179" w:type="dxa"/>
            <w:vAlign w:val="top"/>
          </w:tcPr>
          <w:p w14:paraId="43F2ADF6">
            <w:pPr>
              <w:rPr>
                <w:rFonts w:ascii="Arial"/>
                <w:color w:val="auto"/>
                <w:sz w:val="21"/>
                <w:highlight w:val="none"/>
              </w:rPr>
            </w:pPr>
          </w:p>
        </w:tc>
      </w:tr>
      <w:tr w14:paraId="4B17E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3DFBF61">
            <w:pPr>
              <w:rPr>
                <w:rFonts w:ascii="Arial"/>
                <w:color w:val="auto"/>
                <w:sz w:val="21"/>
                <w:highlight w:val="none"/>
              </w:rPr>
            </w:pPr>
          </w:p>
        </w:tc>
        <w:tc>
          <w:tcPr>
            <w:tcW w:w="1175" w:type="dxa"/>
            <w:vAlign w:val="top"/>
          </w:tcPr>
          <w:p w14:paraId="3A103207">
            <w:pPr>
              <w:rPr>
                <w:rFonts w:ascii="Arial"/>
                <w:color w:val="auto"/>
                <w:sz w:val="21"/>
                <w:highlight w:val="none"/>
              </w:rPr>
            </w:pPr>
          </w:p>
        </w:tc>
        <w:tc>
          <w:tcPr>
            <w:tcW w:w="1174" w:type="dxa"/>
            <w:vAlign w:val="top"/>
          </w:tcPr>
          <w:p w14:paraId="2F2CC290">
            <w:pPr>
              <w:rPr>
                <w:rFonts w:ascii="Arial"/>
                <w:color w:val="auto"/>
                <w:sz w:val="21"/>
                <w:highlight w:val="none"/>
              </w:rPr>
            </w:pPr>
          </w:p>
        </w:tc>
        <w:tc>
          <w:tcPr>
            <w:tcW w:w="1174" w:type="dxa"/>
            <w:vAlign w:val="top"/>
          </w:tcPr>
          <w:p w14:paraId="394D4AEB">
            <w:pPr>
              <w:rPr>
                <w:rFonts w:ascii="Arial"/>
                <w:color w:val="auto"/>
                <w:sz w:val="21"/>
                <w:highlight w:val="none"/>
              </w:rPr>
            </w:pPr>
          </w:p>
        </w:tc>
        <w:tc>
          <w:tcPr>
            <w:tcW w:w="1174" w:type="dxa"/>
            <w:vAlign w:val="top"/>
          </w:tcPr>
          <w:p w14:paraId="6037AEC3">
            <w:pPr>
              <w:rPr>
                <w:rFonts w:ascii="Arial"/>
                <w:color w:val="auto"/>
                <w:sz w:val="21"/>
                <w:highlight w:val="none"/>
              </w:rPr>
            </w:pPr>
          </w:p>
        </w:tc>
        <w:tc>
          <w:tcPr>
            <w:tcW w:w="1174" w:type="dxa"/>
            <w:vAlign w:val="top"/>
          </w:tcPr>
          <w:p w14:paraId="1047A6CA">
            <w:pPr>
              <w:rPr>
                <w:rFonts w:ascii="Arial"/>
                <w:color w:val="auto"/>
                <w:sz w:val="21"/>
                <w:highlight w:val="none"/>
              </w:rPr>
            </w:pPr>
          </w:p>
        </w:tc>
        <w:tc>
          <w:tcPr>
            <w:tcW w:w="1175" w:type="dxa"/>
            <w:vAlign w:val="top"/>
          </w:tcPr>
          <w:p w14:paraId="18A3A221">
            <w:pPr>
              <w:rPr>
                <w:rFonts w:ascii="Arial"/>
                <w:color w:val="auto"/>
                <w:sz w:val="21"/>
                <w:highlight w:val="none"/>
              </w:rPr>
            </w:pPr>
          </w:p>
        </w:tc>
        <w:tc>
          <w:tcPr>
            <w:tcW w:w="1179" w:type="dxa"/>
            <w:vAlign w:val="top"/>
          </w:tcPr>
          <w:p w14:paraId="072BE62C">
            <w:pPr>
              <w:rPr>
                <w:rFonts w:ascii="Arial"/>
                <w:color w:val="auto"/>
                <w:sz w:val="21"/>
                <w:highlight w:val="none"/>
              </w:rPr>
            </w:pPr>
          </w:p>
        </w:tc>
      </w:tr>
      <w:tr w14:paraId="4FA2C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2C281A97">
            <w:pPr>
              <w:rPr>
                <w:rFonts w:ascii="Arial"/>
                <w:color w:val="auto"/>
                <w:sz w:val="21"/>
                <w:highlight w:val="none"/>
              </w:rPr>
            </w:pPr>
          </w:p>
        </w:tc>
        <w:tc>
          <w:tcPr>
            <w:tcW w:w="1175" w:type="dxa"/>
            <w:vAlign w:val="top"/>
          </w:tcPr>
          <w:p w14:paraId="15DABC8D">
            <w:pPr>
              <w:rPr>
                <w:rFonts w:ascii="Arial"/>
                <w:color w:val="auto"/>
                <w:sz w:val="21"/>
                <w:highlight w:val="none"/>
              </w:rPr>
            </w:pPr>
          </w:p>
        </w:tc>
        <w:tc>
          <w:tcPr>
            <w:tcW w:w="1174" w:type="dxa"/>
            <w:vAlign w:val="top"/>
          </w:tcPr>
          <w:p w14:paraId="7ED59C0B">
            <w:pPr>
              <w:rPr>
                <w:rFonts w:ascii="Arial"/>
                <w:color w:val="auto"/>
                <w:sz w:val="21"/>
                <w:highlight w:val="none"/>
              </w:rPr>
            </w:pPr>
          </w:p>
        </w:tc>
        <w:tc>
          <w:tcPr>
            <w:tcW w:w="1174" w:type="dxa"/>
            <w:vAlign w:val="top"/>
          </w:tcPr>
          <w:p w14:paraId="78FA66CF">
            <w:pPr>
              <w:rPr>
                <w:rFonts w:ascii="Arial"/>
                <w:color w:val="auto"/>
                <w:sz w:val="21"/>
                <w:highlight w:val="none"/>
              </w:rPr>
            </w:pPr>
          </w:p>
        </w:tc>
        <w:tc>
          <w:tcPr>
            <w:tcW w:w="1174" w:type="dxa"/>
            <w:vAlign w:val="top"/>
          </w:tcPr>
          <w:p w14:paraId="7C1CC289">
            <w:pPr>
              <w:rPr>
                <w:rFonts w:ascii="Arial"/>
                <w:color w:val="auto"/>
                <w:sz w:val="21"/>
                <w:highlight w:val="none"/>
              </w:rPr>
            </w:pPr>
          </w:p>
        </w:tc>
        <w:tc>
          <w:tcPr>
            <w:tcW w:w="1174" w:type="dxa"/>
            <w:vAlign w:val="top"/>
          </w:tcPr>
          <w:p w14:paraId="095E8555">
            <w:pPr>
              <w:rPr>
                <w:rFonts w:ascii="Arial"/>
                <w:color w:val="auto"/>
                <w:sz w:val="21"/>
                <w:highlight w:val="none"/>
              </w:rPr>
            </w:pPr>
          </w:p>
        </w:tc>
        <w:tc>
          <w:tcPr>
            <w:tcW w:w="1175" w:type="dxa"/>
            <w:vAlign w:val="top"/>
          </w:tcPr>
          <w:p w14:paraId="0C5A8D87">
            <w:pPr>
              <w:rPr>
                <w:rFonts w:ascii="Arial"/>
                <w:color w:val="auto"/>
                <w:sz w:val="21"/>
                <w:highlight w:val="none"/>
              </w:rPr>
            </w:pPr>
          </w:p>
        </w:tc>
        <w:tc>
          <w:tcPr>
            <w:tcW w:w="1179" w:type="dxa"/>
            <w:vAlign w:val="top"/>
          </w:tcPr>
          <w:p w14:paraId="075EB176">
            <w:pPr>
              <w:rPr>
                <w:rFonts w:ascii="Arial"/>
                <w:color w:val="auto"/>
                <w:sz w:val="21"/>
                <w:highlight w:val="none"/>
              </w:rPr>
            </w:pPr>
          </w:p>
        </w:tc>
      </w:tr>
      <w:tr w14:paraId="41BF6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6D826E2D">
            <w:pPr>
              <w:rPr>
                <w:rFonts w:ascii="Arial"/>
                <w:color w:val="auto"/>
                <w:sz w:val="21"/>
                <w:highlight w:val="none"/>
              </w:rPr>
            </w:pPr>
          </w:p>
        </w:tc>
        <w:tc>
          <w:tcPr>
            <w:tcW w:w="1175" w:type="dxa"/>
            <w:vAlign w:val="top"/>
          </w:tcPr>
          <w:p w14:paraId="6E1C75B7">
            <w:pPr>
              <w:rPr>
                <w:rFonts w:ascii="Arial"/>
                <w:color w:val="auto"/>
                <w:sz w:val="21"/>
                <w:highlight w:val="none"/>
              </w:rPr>
            </w:pPr>
          </w:p>
        </w:tc>
        <w:tc>
          <w:tcPr>
            <w:tcW w:w="1174" w:type="dxa"/>
            <w:vAlign w:val="top"/>
          </w:tcPr>
          <w:p w14:paraId="2AA27D82">
            <w:pPr>
              <w:rPr>
                <w:rFonts w:ascii="Arial"/>
                <w:color w:val="auto"/>
                <w:sz w:val="21"/>
                <w:highlight w:val="none"/>
              </w:rPr>
            </w:pPr>
          </w:p>
        </w:tc>
        <w:tc>
          <w:tcPr>
            <w:tcW w:w="1174" w:type="dxa"/>
            <w:vAlign w:val="top"/>
          </w:tcPr>
          <w:p w14:paraId="5829935D">
            <w:pPr>
              <w:rPr>
                <w:rFonts w:ascii="Arial"/>
                <w:color w:val="auto"/>
                <w:sz w:val="21"/>
                <w:highlight w:val="none"/>
              </w:rPr>
            </w:pPr>
          </w:p>
        </w:tc>
        <w:tc>
          <w:tcPr>
            <w:tcW w:w="1174" w:type="dxa"/>
            <w:vAlign w:val="top"/>
          </w:tcPr>
          <w:p w14:paraId="68E0D8BA">
            <w:pPr>
              <w:rPr>
                <w:rFonts w:ascii="Arial"/>
                <w:color w:val="auto"/>
                <w:sz w:val="21"/>
                <w:highlight w:val="none"/>
              </w:rPr>
            </w:pPr>
          </w:p>
        </w:tc>
        <w:tc>
          <w:tcPr>
            <w:tcW w:w="1174" w:type="dxa"/>
            <w:vAlign w:val="top"/>
          </w:tcPr>
          <w:p w14:paraId="7193B922">
            <w:pPr>
              <w:rPr>
                <w:rFonts w:ascii="Arial"/>
                <w:color w:val="auto"/>
                <w:sz w:val="21"/>
                <w:highlight w:val="none"/>
              </w:rPr>
            </w:pPr>
          </w:p>
        </w:tc>
        <w:tc>
          <w:tcPr>
            <w:tcW w:w="1175" w:type="dxa"/>
            <w:vAlign w:val="top"/>
          </w:tcPr>
          <w:p w14:paraId="76F17BAD">
            <w:pPr>
              <w:rPr>
                <w:rFonts w:ascii="Arial"/>
                <w:color w:val="auto"/>
                <w:sz w:val="21"/>
                <w:highlight w:val="none"/>
              </w:rPr>
            </w:pPr>
          </w:p>
        </w:tc>
        <w:tc>
          <w:tcPr>
            <w:tcW w:w="1179" w:type="dxa"/>
            <w:vAlign w:val="top"/>
          </w:tcPr>
          <w:p w14:paraId="4860A88E">
            <w:pPr>
              <w:rPr>
                <w:rFonts w:ascii="Arial"/>
                <w:color w:val="auto"/>
                <w:sz w:val="21"/>
                <w:highlight w:val="none"/>
              </w:rPr>
            </w:pPr>
          </w:p>
        </w:tc>
      </w:tr>
      <w:tr w14:paraId="13D0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56A8EC36">
            <w:pPr>
              <w:rPr>
                <w:rFonts w:ascii="Arial"/>
                <w:color w:val="auto"/>
                <w:sz w:val="21"/>
                <w:highlight w:val="none"/>
              </w:rPr>
            </w:pPr>
          </w:p>
        </w:tc>
        <w:tc>
          <w:tcPr>
            <w:tcW w:w="1175" w:type="dxa"/>
            <w:vAlign w:val="top"/>
          </w:tcPr>
          <w:p w14:paraId="780C45E8">
            <w:pPr>
              <w:rPr>
                <w:rFonts w:ascii="Arial"/>
                <w:color w:val="auto"/>
                <w:sz w:val="21"/>
                <w:highlight w:val="none"/>
              </w:rPr>
            </w:pPr>
          </w:p>
        </w:tc>
        <w:tc>
          <w:tcPr>
            <w:tcW w:w="1174" w:type="dxa"/>
            <w:vAlign w:val="top"/>
          </w:tcPr>
          <w:p w14:paraId="5BDFBF95">
            <w:pPr>
              <w:rPr>
                <w:rFonts w:ascii="Arial"/>
                <w:color w:val="auto"/>
                <w:sz w:val="21"/>
                <w:highlight w:val="none"/>
              </w:rPr>
            </w:pPr>
          </w:p>
        </w:tc>
        <w:tc>
          <w:tcPr>
            <w:tcW w:w="1174" w:type="dxa"/>
            <w:vAlign w:val="top"/>
          </w:tcPr>
          <w:p w14:paraId="065B5954">
            <w:pPr>
              <w:rPr>
                <w:rFonts w:ascii="Arial"/>
                <w:color w:val="auto"/>
                <w:sz w:val="21"/>
                <w:highlight w:val="none"/>
              </w:rPr>
            </w:pPr>
          </w:p>
        </w:tc>
        <w:tc>
          <w:tcPr>
            <w:tcW w:w="1174" w:type="dxa"/>
            <w:vAlign w:val="top"/>
          </w:tcPr>
          <w:p w14:paraId="292A90AE">
            <w:pPr>
              <w:rPr>
                <w:rFonts w:ascii="Arial"/>
                <w:color w:val="auto"/>
                <w:sz w:val="21"/>
                <w:highlight w:val="none"/>
              </w:rPr>
            </w:pPr>
          </w:p>
        </w:tc>
        <w:tc>
          <w:tcPr>
            <w:tcW w:w="1174" w:type="dxa"/>
            <w:vAlign w:val="top"/>
          </w:tcPr>
          <w:p w14:paraId="33EA93F1">
            <w:pPr>
              <w:rPr>
                <w:rFonts w:ascii="Arial"/>
                <w:color w:val="auto"/>
                <w:sz w:val="21"/>
                <w:highlight w:val="none"/>
              </w:rPr>
            </w:pPr>
          </w:p>
        </w:tc>
        <w:tc>
          <w:tcPr>
            <w:tcW w:w="1175" w:type="dxa"/>
            <w:vAlign w:val="top"/>
          </w:tcPr>
          <w:p w14:paraId="5C4B0124">
            <w:pPr>
              <w:rPr>
                <w:rFonts w:ascii="Arial"/>
                <w:color w:val="auto"/>
                <w:sz w:val="21"/>
                <w:highlight w:val="none"/>
              </w:rPr>
            </w:pPr>
          </w:p>
        </w:tc>
        <w:tc>
          <w:tcPr>
            <w:tcW w:w="1179" w:type="dxa"/>
            <w:vAlign w:val="top"/>
          </w:tcPr>
          <w:p w14:paraId="70097D45">
            <w:pPr>
              <w:rPr>
                <w:rFonts w:ascii="Arial"/>
                <w:color w:val="auto"/>
                <w:sz w:val="21"/>
                <w:highlight w:val="none"/>
              </w:rPr>
            </w:pPr>
          </w:p>
        </w:tc>
      </w:tr>
      <w:tr w14:paraId="5372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1B2F5E7">
            <w:pPr>
              <w:rPr>
                <w:rFonts w:ascii="Arial"/>
                <w:color w:val="auto"/>
                <w:sz w:val="21"/>
                <w:highlight w:val="none"/>
              </w:rPr>
            </w:pPr>
          </w:p>
        </w:tc>
        <w:tc>
          <w:tcPr>
            <w:tcW w:w="1175" w:type="dxa"/>
            <w:vAlign w:val="top"/>
          </w:tcPr>
          <w:p w14:paraId="13C018C6">
            <w:pPr>
              <w:rPr>
                <w:rFonts w:ascii="Arial"/>
                <w:color w:val="auto"/>
                <w:sz w:val="21"/>
                <w:highlight w:val="none"/>
              </w:rPr>
            </w:pPr>
          </w:p>
        </w:tc>
        <w:tc>
          <w:tcPr>
            <w:tcW w:w="1174" w:type="dxa"/>
            <w:vAlign w:val="top"/>
          </w:tcPr>
          <w:p w14:paraId="5BB4AD7C">
            <w:pPr>
              <w:rPr>
                <w:rFonts w:ascii="Arial"/>
                <w:color w:val="auto"/>
                <w:sz w:val="21"/>
                <w:highlight w:val="none"/>
              </w:rPr>
            </w:pPr>
          </w:p>
        </w:tc>
        <w:tc>
          <w:tcPr>
            <w:tcW w:w="1174" w:type="dxa"/>
            <w:vAlign w:val="top"/>
          </w:tcPr>
          <w:p w14:paraId="27D38AF6">
            <w:pPr>
              <w:rPr>
                <w:rFonts w:ascii="Arial"/>
                <w:color w:val="auto"/>
                <w:sz w:val="21"/>
                <w:highlight w:val="none"/>
              </w:rPr>
            </w:pPr>
          </w:p>
        </w:tc>
        <w:tc>
          <w:tcPr>
            <w:tcW w:w="1174" w:type="dxa"/>
            <w:vAlign w:val="top"/>
          </w:tcPr>
          <w:p w14:paraId="1841D8E3">
            <w:pPr>
              <w:rPr>
                <w:rFonts w:ascii="Arial"/>
                <w:color w:val="auto"/>
                <w:sz w:val="21"/>
                <w:highlight w:val="none"/>
              </w:rPr>
            </w:pPr>
          </w:p>
        </w:tc>
        <w:tc>
          <w:tcPr>
            <w:tcW w:w="1174" w:type="dxa"/>
            <w:vAlign w:val="top"/>
          </w:tcPr>
          <w:p w14:paraId="317BBF55">
            <w:pPr>
              <w:rPr>
                <w:rFonts w:ascii="Arial"/>
                <w:color w:val="auto"/>
                <w:sz w:val="21"/>
                <w:highlight w:val="none"/>
              </w:rPr>
            </w:pPr>
          </w:p>
        </w:tc>
        <w:tc>
          <w:tcPr>
            <w:tcW w:w="1175" w:type="dxa"/>
            <w:vAlign w:val="top"/>
          </w:tcPr>
          <w:p w14:paraId="48D86DAB">
            <w:pPr>
              <w:rPr>
                <w:rFonts w:ascii="Arial"/>
                <w:color w:val="auto"/>
                <w:sz w:val="21"/>
                <w:highlight w:val="none"/>
              </w:rPr>
            </w:pPr>
          </w:p>
        </w:tc>
        <w:tc>
          <w:tcPr>
            <w:tcW w:w="1179" w:type="dxa"/>
            <w:vAlign w:val="top"/>
          </w:tcPr>
          <w:p w14:paraId="29B9E685">
            <w:pPr>
              <w:rPr>
                <w:rFonts w:ascii="Arial"/>
                <w:color w:val="auto"/>
                <w:sz w:val="21"/>
                <w:highlight w:val="none"/>
              </w:rPr>
            </w:pPr>
          </w:p>
        </w:tc>
      </w:tr>
      <w:tr w14:paraId="45AB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15B4F390">
            <w:pPr>
              <w:rPr>
                <w:rFonts w:ascii="Arial"/>
                <w:color w:val="auto"/>
                <w:sz w:val="21"/>
                <w:highlight w:val="none"/>
              </w:rPr>
            </w:pPr>
          </w:p>
        </w:tc>
        <w:tc>
          <w:tcPr>
            <w:tcW w:w="1175" w:type="dxa"/>
            <w:vAlign w:val="top"/>
          </w:tcPr>
          <w:p w14:paraId="61415E7E">
            <w:pPr>
              <w:rPr>
                <w:rFonts w:ascii="Arial"/>
                <w:color w:val="auto"/>
                <w:sz w:val="21"/>
                <w:highlight w:val="none"/>
              </w:rPr>
            </w:pPr>
          </w:p>
        </w:tc>
        <w:tc>
          <w:tcPr>
            <w:tcW w:w="1174" w:type="dxa"/>
            <w:vAlign w:val="top"/>
          </w:tcPr>
          <w:p w14:paraId="435C910C">
            <w:pPr>
              <w:rPr>
                <w:rFonts w:ascii="Arial"/>
                <w:color w:val="auto"/>
                <w:sz w:val="21"/>
                <w:highlight w:val="none"/>
              </w:rPr>
            </w:pPr>
          </w:p>
        </w:tc>
        <w:tc>
          <w:tcPr>
            <w:tcW w:w="1174" w:type="dxa"/>
            <w:vAlign w:val="top"/>
          </w:tcPr>
          <w:p w14:paraId="12270B9F">
            <w:pPr>
              <w:rPr>
                <w:rFonts w:ascii="Arial"/>
                <w:color w:val="auto"/>
                <w:sz w:val="21"/>
                <w:highlight w:val="none"/>
              </w:rPr>
            </w:pPr>
          </w:p>
        </w:tc>
        <w:tc>
          <w:tcPr>
            <w:tcW w:w="1174" w:type="dxa"/>
            <w:vAlign w:val="top"/>
          </w:tcPr>
          <w:p w14:paraId="217EC5FE">
            <w:pPr>
              <w:rPr>
                <w:rFonts w:ascii="Arial"/>
                <w:color w:val="auto"/>
                <w:sz w:val="21"/>
                <w:highlight w:val="none"/>
              </w:rPr>
            </w:pPr>
          </w:p>
        </w:tc>
        <w:tc>
          <w:tcPr>
            <w:tcW w:w="1174" w:type="dxa"/>
            <w:vAlign w:val="top"/>
          </w:tcPr>
          <w:p w14:paraId="4C23CA3C">
            <w:pPr>
              <w:rPr>
                <w:rFonts w:ascii="Arial"/>
                <w:color w:val="auto"/>
                <w:sz w:val="21"/>
                <w:highlight w:val="none"/>
              </w:rPr>
            </w:pPr>
          </w:p>
        </w:tc>
        <w:tc>
          <w:tcPr>
            <w:tcW w:w="1175" w:type="dxa"/>
            <w:vAlign w:val="top"/>
          </w:tcPr>
          <w:p w14:paraId="72688BB0">
            <w:pPr>
              <w:rPr>
                <w:rFonts w:ascii="Arial"/>
                <w:color w:val="auto"/>
                <w:sz w:val="21"/>
                <w:highlight w:val="none"/>
              </w:rPr>
            </w:pPr>
          </w:p>
        </w:tc>
        <w:tc>
          <w:tcPr>
            <w:tcW w:w="1179" w:type="dxa"/>
            <w:vAlign w:val="top"/>
          </w:tcPr>
          <w:p w14:paraId="37BEDD0D">
            <w:pPr>
              <w:rPr>
                <w:rFonts w:ascii="Arial"/>
                <w:color w:val="auto"/>
                <w:sz w:val="21"/>
                <w:highlight w:val="none"/>
              </w:rPr>
            </w:pPr>
          </w:p>
        </w:tc>
      </w:tr>
      <w:tr w14:paraId="14D2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514318A">
            <w:pPr>
              <w:rPr>
                <w:rFonts w:ascii="Arial"/>
                <w:color w:val="auto"/>
                <w:sz w:val="21"/>
                <w:highlight w:val="none"/>
              </w:rPr>
            </w:pPr>
          </w:p>
        </w:tc>
        <w:tc>
          <w:tcPr>
            <w:tcW w:w="1175" w:type="dxa"/>
            <w:vAlign w:val="top"/>
          </w:tcPr>
          <w:p w14:paraId="1C238221">
            <w:pPr>
              <w:rPr>
                <w:rFonts w:ascii="Arial"/>
                <w:color w:val="auto"/>
                <w:sz w:val="21"/>
                <w:highlight w:val="none"/>
              </w:rPr>
            </w:pPr>
          </w:p>
        </w:tc>
        <w:tc>
          <w:tcPr>
            <w:tcW w:w="1174" w:type="dxa"/>
            <w:vAlign w:val="top"/>
          </w:tcPr>
          <w:p w14:paraId="109B3BFF">
            <w:pPr>
              <w:rPr>
                <w:rFonts w:ascii="Arial"/>
                <w:color w:val="auto"/>
                <w:sz w:val="21"/>
                <w:highlight w:val="none"/>
              </w:rPr>
            </w:pPr>
          </w:p>
        </w:tc>
        <w:tc>
          <w:tcPr>
            <w:tcW w:w="1174" w:type="dxa"/>
            <w:vAlign w:val="top"/>
          </w:tcPr>
          <w:p w14:paraId="144B9722">
            <w:pPr>
              <w:rPr>
                <w:rFonts w:ascii="Arial"/>
                <w:color w:val="auto"/>
                <w:sz w:val="21"/>
                <w:highlight w:val="none"/>
              </w:rPr>
            </w:pPr>
          </w:p>
        </w:tc>
        <w:tc>
          <w:tcPr>
            <w:tcW w:w="1174" w:type="dxa"/>
            <w:vAlign w:val="top"/>
          </w:tcPr>
          <w:p w14:paraId="271D8476">
            <w:pPr>
              <w:rPr>
                <w:rFonts w:ascii="Arial"/>
                <w:color w:val="auto"/>
                <w:sz w:val="21"/>
                <w:highlight w:val="none"/>
              </w:rPr>
            </w:pPr>
          </w:p>
        </w:tc>
        <w:tc>
          <w:tcPr>
            <w:tcW w:w="1174" w:type="dxa"/>
            <w:vAlign w:val="top"/>
          </w:tcPr>
          <w:p w14:paraId="6DF32DE0">
            <w:pPr>
              <w:rPr>
                <w:rFonts w:ascii="Arial"/>
                <w:color w:val="auto"/>
                <w:sz w:val="21"/>
                <w:highlight w:val="none"/>
              </w:rPr>
            </w:pPr>
          </w:p>
        </w:tc>
        <w:tc>
          <w:tcPr>
            <w:tcW w:w="1175" w:type="dxa"/>
            <w:vAlign w:val="top"/>
          </w:tcPr>
          <w:p w14:paraId="2AF2B64D">
            <w:pPr>
              <w:rPr>
                <w:rFonts w:ascii="Arial"/>
                <w:color w:val="auto"/>
                <w:sz w:val="21"/>
                <w:highlight w:val="none"/>
              </w:rPr>
            </w:pPr>
          </w:p>
        </w:tc>
        <w:tc>
          <w:tcPr>
            <w:tcW w:w="1179" w:type="dxa"/>
            <w:vAlign w:val="top"/>
          </w:tcPr>
          <w:p w14:paraId="32DE8D9B">
            <w:pPr>
              <w:rPr>
                <w:rFonts w:ascii="Arial"/>
                <w:color w:val="auto"/>
                <w:sz w:val="21"/>
                <w:highlight w:val="none"/>
              </w:rPr>
            </w:pPr>
          </w:p>
        </w:tc>
      </w:tr>
      <w:tr w14:paraId="0820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6C564799">
            <w:pPr>
              <w:rPr>
                <w:rFonts w:ascii="Arial"/>
                <w:color w:val="auto"/>
                <w:sz w:val="21"/>
                <w:highlight w:val="none"/>
              </w:rPr>
            </w:pPr>
          </w:p>
        </w:tc>
        <w:tc>
          <w:tcPr>
            <w:tcW w:w="1175" w:type="dxa"/>
            <w:vAlign w:val="top"/>
          </w:tcPr>
          <w:p w14:paraId="1077377C">
            <w:pPr>
              <w:rPr>
                <w:rFonts w:ascii="Arial"/>
                <w:color w:val="auto"/>
                <w:sz w:val="21"/>
                <w:highlight w:val="none"/>
              </w:rPr>
            </w:pPr>
          </w:p>
        </w:tc>
        <w:tc>
          <w:tcPr>
            <w:tcW w:w="1174" w:type="dxa"/>
            <w:vAlign w:val="top"/>
          </w:tcPr>
          <w:p w14:paraId="0B0484F2">
            <w:pPr>
              <w:rPr>
                <w:rFonts w:ascii="Arial"/>
                <w:color w:val="auto"/>
                <w:sz w:val="21"/>
                <w:highlight w:val="none"/>
              </w:rPr>
            </w:pPr>
          </w:p>
        </w:tc>
        <w:tc>
          <w:tcPr>
            <w:tcW w:w="1174" w:type="dxa"/>
            <w:vAlign w:val="top"/>
          </w:tcPr>
          <w:p w14:paraId="4169AF43">
            <w:pPr>
              <w:rPr>
                <w:rFonts w:ascii="Arial"/>
                <w:color w:val="auto"/>
                <w:sz w:val="21"/>
                <w:highlight w:val="none"/>
              </w:rPr>
            </w:pPr>
          </w:p>
        </w:tc>
        <w:tc>
          <w:tcPr>
            <w:tcW w:w="1174" w:type="dxa"/>
            <w:vAlign w:val="top"/>
          </w:tcPr>
          <w:p w14:paraId="66AFB265">
            <w:pPr>
              <w:rPr>
                <w:rFonts w:ascii="Arial"/>
                <w:color w:val="auto"/>
                <w:sz w:val="21"/>
                <w:highlight w:val="none"/>
              </w:rPr>
            </w:pPr>
          </w:p>
        </w:tc>
        <w:tc>
          <w:tcPr>
            <w:tcW w:w="1174" w:type="dxa"/>
            <w:vAlign w:val="top"/>
          </w:tcPr>
          <w:p w14:paraId="31DC85E6">
            <w:pPr>
              <w:rPr>
                <w:rFonts w:ascii="Arial"/>
                <w:color w:val="auto"/>
                <w:sz w:val="21"/>
                <w:highlight w:val="none"/>
              </w:rPr>
            </w:pPr>
          </w:p>
        </w:tc>
        <w:tc>
          <w:tcPr>
            <w:tcW w:w="1175" w:type="dxa"/>
            <w:vAlign w:val="top"/>
          </w:tcPr>
          <w:p w14:paraId="0F6C62C0">
            <w:pPr>
              <w:rPr>
                <w:rFonts w:ascii="Arial"/>
                <w:color w:val="auto"/>
                <w:sz w:val="21"/>
                <w:highlight w:val="none"/>
              </w:rPr>
            </w:pPr>
          </w:p>
        </w:tc>
        <w:tc>
          <w:tcPr>
            <w:tcW w:w="1179" w:type="dxa"/>
            <w:vAlign w:val="top"/>
          </w:tcPr>
          <w:p w14:paraId="2960D38C">
            <w:pPr>
              <w:rPr>
                <w:rFonts w:ascii="Arial"/>
                <w:color w:val="auto"/>
                <w:sz w:val="21"/>
                <w:highlight w:val="none"/>
              </w:rPr>
            </w:pPr>
          </w:p>
        </w:tc>
      </w:tr>
      <w:tr w14:paraId="4B14D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2CD6148">
            <w:pPr>
              <w:rPr>
                <w:rFonts w:ascii="Arial"/>
                <w:color w:val="auto"/>
                <w:sz w:val="21"/>
                <w:highlight w:val="none"/>
              </w:rPr>
            </w:pPr>
          </w:p>
        </w:tc>
        <w:tc>
          <w:tcPr>
            <w:tcW w:w="1175" w:type="dxa"/>
            <w:vAlign w:val="top"/>
          </w:tcPr>
          <w:p w14:paraId="6A7FD7FC">
            <w:pPr>
              <w:rPr>
                <w:rFonts w:ascii="Arial"/>
                <w:color w:val="auto"/>
                <w:sz w:val="21"/>
                <w:highlight w:val="none"/>
              </w:rPr>
            </w:pPr>
          </w:p>
        </w:tc>
        <w:tc>
          <w:tcPr>
            <w:tcW w:w="1174" w:type="dxa"/>
            <w:vAlign w:val="top"/>
          </w:tcPr>
          <w:p w14:paraId="3E149B7C">
            <w:pPr>
              <w:rPr>
                <w:rFonts w:ascii="Arial"/>
                <w:color w:val="auto"/>
                <w:sz w:val="21"/>
                <w:highlight w:val="none"/>
              </w:rPr>
            </w:pPr>
          </w:p>
        </w:tc>
        <w:tc>
          <w:tcPr>
            <w:tcW w:w="1174" w:type="dxa"/>
            <w:vAlign w:val="top"/>
          </w:tcPr>
          <w:p w14:paraId="2496D47E">
            <w:pPr>
              <w:rPr>
                <w:rFonts w:ascii="Arial"/>
                <w:color w:val="auto"/>
                <w:sz w:val="21"/>
                <w:highlight w:val="none"/>
              </w:rPr>
            </w:pPr>
          </w:p>
        </w:tc>
        <w:tc>
          <w:tcPr>
            <w:tcW w:w="1174" w:type="dxa"/>
            <w:vAlign w:val="top"/>
          </w:tcPr>
          <w:p w14:paraId="7435BE73">
            <w:pPr>
              <w:rPr>
                <w:rFonts w:ascii="Arial"/>
                <w:color w:val="auto"/>
                <w:sz w:val="21"/>
                <w:highlight w:val="none"/>
              </w:rPr>
            </w:pPr>
          </w:p>
        </w:tc>
        <w:tc>
          <w:tcPr>
            <w:tcW w:w="1174" w:type="dxa"/>
            <w:vAlign w:val="top"/>
          </w:tcPr>
          <w:p w14:paraId="0C50801A">
            <w:pPr>
              <w:rPr>
                <w:rFonts w:ascii="Arial"/>
                <w:color w:val="auto"/>
                <w:sz w:val="21"/>
                <w:highlight w:val="none"/>
              </w:rPr>
            </w:pPr>
          </w:p>
        </w:tc>
        <w:tc>
          <w:tcPr>
            <w:tcW w:w="1175" w:type="dxa"/>
            <w:vAlign w:val="top"/>
          </w:tcPr>
          <w:p w14:paraId="3E83B16B">
            <w:pPr>
              <w:rPr>
                <w:rFonts w:ascii="Arial"/>
                <w:color w:val="auto"/>
                <w:sz w:val="21"/>
                <w:highlight w:val="none"/>
              </w:rPr>
            </w:pPr>
          </w:p>
        </w:tc>
        <w:tc>
          <w:tcPr>
            <w:tcW w:w="1179" w:type="dxa"/>
            <w:vAlign w:val="top"/>
          </w:tcPr>
          <w:p w14:paraId="1D4BA946">
            <w:pPr>
              <w:rPr>
                <w:rFonts w:ascii="Arial"/>
                <w:color w:val="auto"/>
                <w:sz w:val="21"/>
                <w:highlight w:val="none"/>
              </w:rPr>
            </w:pPr>
          </w:p>
        </w:tc>
      </w:tr>
      <w:tr w14:paraId="320B8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20CB6549">
            <w:pPr>
              <w:rPr>
                <w:rFonts w:ascii="Arial"/>
                <w:color w:val="auto"/>
                <w:sz w:val="21"/>
                <w:highlight w:val="none"/>
              </w:rPr>
            </w:pPr>
          </w:p>
        </w:tc>
        <w:tc>
          <w:tcPr>
            <w:tcW w:w="1175" w:type="dxa"/>
            <w:vAlign w:val="top"/>
          </w:tcPr>
          <w:p w14:paraId="7ABE77C6">
            <w:pPr>
              <w:rPr>
                <w:rFonts w:ascii="Arial"/>
                <w:color w:val="auto"/>
                <w:sz w:val="21"/>
                <w:highlight w:val="none"/>
              </w:rPr>
            </w:pPr>
          </w:p>
        </w:tc>
        <w:tc>
          <w:tcPr>
            <w:tcW w:w="1174" w:type="dxa"/>
            <w:vAlign w:val="top"/>
          </w:tcPr>
          <w:p w14:paraId="0148B38B">
            <w:pPr>
              <w:rPr>
                <w:rFonts w:ascii="Arial"/>
                <w:color w:val="auto"/>
                <w:sz w:val="21"/>
                <w:highlight w:val="none"/>
              </w:rPr>
            </w:pPr>
          </w:p>
        </w:tc>
        <w:tc>
          <w:tcPr>
            <w:tcW w:w="1174" w:type="dxa"/>
            <w:vAlign w:val="top"/>
          </w:tcPr>
          <w:p w14:paraId="232B12EF">
            <w:pPr>
              <w:rPr>
                <w:rFonts w:ascii="Arial"/>
                <w:color w:val="auto"/>
                <w:sz w:val="21"/>
                <w:highlight w:val="none"/>
              </w:rPr>
            </w:pPr>
          </w:p>
        </w:tc>
        <w:tc>
          <w:tcPr>
            <w:tcW w:w="1174" w:type="dxa"/>
            <w:vAlign w:val="top"/>
          </w:tcPr>
          <w:p w14:paraId="0FE2763A">
            <w:pPr>
              <w:rPr>
                <w:rFonts w:ascii="Arial"/>
                <w:color w:val="auto"/>
                <w:sz w:val="21"/>
                <w:highlight w:val="none"/>
              </w:rPr>
            </w:pPr>
          </w:p>
        </w:tc>
        <w:tc>
          <w:tcPr>
            <w:tcW w:w="1174" w:type="dxa"/>
            <w:vAlign w:val="top"/>
          </w:tcPr>
          <w:p w14:paraId="5265C858">
            <w:pPr>
              <w:rPr>
                <w:rFonts w:ascii="Arial"/>
                <w:color w:val="auto"/>
                <w:sz w:val="21"/>
                <w:highlight w:val="none"/>
              </w:rPr>
            </w:pPr>
          </w:p>
        </w:tc>
        <w:tc>
          <w:tcPr>
            <w:tcW w:w="1175" w:type="dxa"/>
            <w:vAlign w:val="top"/>
          </w:tcPr>
          <w:p w14:paraId="635FAF0A">
            <w:pPr>
              <w:rPr>
                <w:rFonts w:ascii="Arial"/>
                <w:color w:val="auto"/>
                <w:sz w:val="21"/>
                <w:highlight w:val="none"/>
              </w:rPr>
            </w:pPr>
          </w:p>
        </w:tc>
        <w:tc>
          <w:tcPr>
            <w:tcW w:w="1179" w:type="dxa"/>
            <w:vAlign w:val="top"/>
          </w:tcPr>
          <w:p w14:paraId="46EEFFA7">
            <w:pPr>
              <w:rPr>
                <w:rFonts w:ascii="Arial"/>
                <w:color w:val="auto"/>
                <w:sz w:val="21"/>
                <w:highlight w:val="none"/>
              </w:rPr>
            </w:pPr>
          </w:p>
        </w:tc>
      </w:tr>
      <w:tr w14:paraId="0EC89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23EAA709">
            <w:pPr>
              <w:rPr>
                <w:rFonts w:ascii="Arial"/>
                <w:color w:val="auto"/>
                <w:sz w:val="21"/>
                <w:highlight w:val="none"/>
              </w:rPr>
            </w:pPr>
          </w:p>
        </w:tc>
        <w:tc>
          <w:tcPr>
            <w:tcW w:w="1175" w:type="dxa"/>
            <w:vAlign w:val="top"/>
          </w:tcPr>
          <w:p w14:paraId="4564B88D">
            <w:pPr>
              <w:rPr>
                <w:rFonts w:ascii="Arial"/>
                <w:color w:val="auto"/>
                <w:sz w:val="21"/>
                <w:highlight w:val="none"/>
              </w:rPr>
            </w:pPr>
          </w:p>
        </w:tc>
        <w:tc>
          <w:tcPr>
            <w:tcW w:w="1174" w:type="dxa"/>
            <w:vAlign w:val="top"/>
          </w:tcPr>
          <w:p w14:paraId="5B2A72A6">
            <w:pPr>
              <w:rPr>
                <w:rFonts w:ascii="Arial"/>
                <w:color w:val="auto"/>
                <w:sz w:val="21"/>
                <w:highlight w:val="none"/>
              </w:rPr>
            </w:pPr>
          </w:p>
        </w:tc>
        <w:tc>
          <w:tcPr>
            <w:tcW w:w="1174" w:type="dxa"/>
            <w:vAlign w:val="top"/>
          </w:tcPr>
          <w:p w14:paraId="586E02BB">
            <w:pPr>
              <w:rPr>
                <w:rFonts w:ascii="Arial"/>
                <w:color w:val="auto"/>
                <w:sz w:val="21"/>
                <w:highlight w:val="none"/>
              </w:rPr>
            </w:pPr>
          </w:p>
        </w:tc>
        <w:tc>
          <w:tcPr>
            <w:tcW w:w="1174" w:type="dxa"/>
            <w:vAlign w:val="top"/>
          </w:tcPr>
          <w:p w14:paraId="791C4D94">
            <w:pPr>
              <w:rPr>
                <w:rFonts w:ascii="Arial"/>
                <w:color w:val="auto"/>
                <w:sz w:val="21"/>
                <w:highlight w:val="none"/>
              </w:rPr>
            </w:pPr>
          </w:p>
        </w:tc>
        <w:tc>
          <w:tcPr>
            <w:tcW w:w="1174" w:type="dxa"/>
            <w:vAlign w:val="top"/>
          </w:tcPr>
          <w:p w14:paraId="143C81A8">
            <w:pPr>
              <w:rPr>
                <w:rFonts w:ascii="Arial"/>
                <w:color w:val="auto"/>
                <w:sz w:val="21"/>
                <w:highlight w:val="none"/>
              </w:rPr>
            </w:pPr>
          </w:p>
        </w:tc>
        <w:tc>
          <w:tcPr>
            <w:tcW w:w="1175" w:type="dxa"/>
            <w:vAlign w:val="top"/>
          </w:tcPr>
          <w:p w14:paraId="432C513D">
            <w:pPr>
              <w:rPr>
                <w:rFonts w:ascii="Arial"/>
                <w:color w:val="auto"/>
                <w:sz w:val="21"/>
                <w:highlight w:val="none"/>
              </w:rPr>
            </w:pPr>
          </w:p>
        </w:tc>
        <w:tc>
          <w:tcPr>
            <w:tcW w:w="1179" w:type="dxa"/>
            <w:vAlign w:val="top"/>
          </w:tcPr>
          <w:p w14:paraId="373A8716">
            <w:pPr>
              <w:rPr>
                <w:rFonts w:ascii="Arial"/>
                <w:color w:val="auto"/>
                <w:sz w:val="21"/>
                <w:highlight w:val="none"/>
              </w:rPr>
            </w:pPr>
          </w:p>
        </w:tc>
      </w:tr>
      <w:tr w14:paraId="3A427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7CF44469">
            <w:pPr>
              <w:rPr>
                <w:rFonts w:ascii="Arial"/>
                <w:color w:val="auto"/>
                <w:sz w:val="21"/>
                <w:highlight w:val="none"/>
              </w:rPr>
            </w:pPr>
          </w:p>
        </w:tc>
        <w:tc>
          <w:tcPr>
            <w:tcW w:w="1175" w:type="dxa"/>
            <w:vAlign w:val="top"/>
          </w:tcPr>
          <w:p w14:paraId="12271A7D">
            <w:pPr>
              <w:rPr>
                <w:rFonts w:ascii="Arial"/>
                <w:color w:val="auto"/>
                <w:sz w:val="21"/>
                <w:highlight w:val="none"/>
              </w:rPr>
            </w:pPr>
          </w:p>
        </w:tc>
        <w:tc>
          <w:tcPr>
            <w:tcW w:w="1174" w:type="dxa"/>
            <w:vAlign w:val="top"/>
          </w:tcPr>
          <w:p w14:paraId="39C01722">
            <w:pPr>
              <w:rPr>
                <w:rFonts w:ascii="Arial"/>
                <w:color w:val="auto"/>
                <w:sz w:val="21"/>
                <w:highlight w:val="none"/>
              </w:rPr>
            </w:pPr>
          </w:p>
        </w:tc>
        <w:tc>
          <w:tcPr>
            <w:tcW w:w="1174" w:type="dxa"/>
            <w:vAlign w:val="top"/>
          </w:tcPr>
          <w:p w14:paraId="3B6778BC">
            <w:pPr>
              <w:rPr>
                <w:rFonts w:ascii="Arial"/>
                <w:color w:val="auto"/>
                <w:sz w:val="21"/>
                <w:highlight w:val="none"/>
              </w:rPr>
            </w:pPr>
          </w:p>
        </w:tc>
        <w:tc>
          <w:tcPr>
            <w:tcW w:w="1174" w:type="dxa"/>
            <w:vAlign w:val="top"/>
          </w:tcPr>
          <w:p w14:paraId="304C303B">
            <w:pPr>
              <w:rPr>
                <w:rFonts w:ascii="Arial"/>
                <w:color w:val="auto"/>
                <w:sz w:val="21"/>
                <w:highlight w:val="none"/>
              </w:rPr>
            </w:pPr>
          </w:p>
        </w:tc>
        <w:tc>
          <w:tcPr>
            <w:tcW w:w="1174" w:type="dxa"/>
            <w:vAlign w:val="top"/>
          </w:tcPr>
          <w:p w14:paraId="613A26D9">
            <w:pPr>
              <w:rPr>
                <w:rFonts w:ascii="Arial"/>
                <w:color w:val="auto"/>
                <w:sz w:val="21"/>
                <w:highlight w:val="none"/>
              </w:rPr>
            </w:pPr>
          </w:p>
        </w:tc>
        <w:tc>
          <w:tcPr>
            <w:tcW w:w="1175" w:type="dxa"/>
            <w:vAlign w:val="top"/>
          </w:tcPr>
          <w:p w14:paraId="7B2BFC80">
            <w:pPr>
              <w:rPr>
                <w:rFonts w:ascii="Arial"/>
                <w:color w:val="auto"/>
                <w:sz w:val="21"/>
                <w:highlight w:val="none"/>
              </w:rPr>
            </w:pPr>
          </w:p>
        </w:tc>
        <w:tc>
          <w:tcPr>
            <w:tcW w:w="1179" w:type="dxa"/>
            <w:vAlign w:val="top"/>
          </w:tcPr>
          <w:p w14:paraId="19D8BD44">
            <w:pPr>
              <w:rPr>
                <w:rFonts w:ascii="Arial"/>
                <w:color w:val="auto"/>
                <w:sz w:val="21"/>
                <w:highlight w:val="none"/>
              </w:rPr>
            </w:pPr>
          </w:p>
        </w:tc>
      </w:tr>
      <w:tr w14:paraId="3E1F4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CC730BA">
            <w:pPr>
              <w:rPr>
                <w:rFonts w:ascii="Arial"/>
                <w:color w:val="auto"/>
                <w:sz w:val="21"/>
                <w:highlight w:val="none"/>
              </w:rPr>
            </w:pPr>
          </w:p>
        </w:tc>
        <w:tc>
          <w:tcPr>
            <w:tcW w:w="1175" w:type="dxa"/>
            <w:vAlign w:val="top"/>
          </w:tcPr>
          <w:p w14:paraId="5DC488F3">
            <w:pPr>
              <w:rPr>
                <w:rFonts w:ascii="Arial"/>
                <w:color w:val="auto"/>
                <w:sz w:val="21"/>
                <w:highlight w:val="none"/>
              </w:rPr>
            </w:pPr>
          </w:p>
        </w:tc>
        <w:tc>
          <w:tcPr>
            <w:tcW w:w="1174" w:type="dxa"/>
            <w:vAlign w:val="top"/>
          </w:tcPr>
          <w:p w14:paraId="7745E9FA">
            <w:pPr>
              <w:rPr>
                <w:rFonts w:ascii="Arial"/>
                <w:color w:val="auto"/>
                <w:sz w:val="21"/>
                <w:highlight w:val="none"/>
              </w:rPr>
            </w:pPr>
          </w:p>
        </w:tc>
        <w:tc>
          <w:tcPr>
            <w:tcW w:w="1174" w:type="dxa"/>
            <w:vAlign w:val="top"/>
          </w:tcPr>
          <w:p w14:paraId="7E109063">
            <w:pPr>
              <w:rPr>
                <w:rFonts w:ascii="Arial"/>
                <w:color w:val="auto"/>
                <w:sz w:val="21"/>
                <w:highlight w:val="none"/>
              </w:rPr>
            </w:pPr>
          </w:p>
        </w:tc>
        <w:tc>
          <w:tcPr>
            <w:tcW w:w="1174" w:type="dxa"/>
            <w:vAlign w:val="top"/>
          </w:tcPr>
          <w:p w14:paraId="1B53FE38">
            <w:pPr>
              <w:rPr>
                <w:rFonts w:ascii="Arial"/>
                <w:color w:val="auto"/>
                <w:sz w:val="21"/>
                <w:highlight w:val="none"/>
              </w:rPr>
            </w:pPr>
          </w:p>
        </w:tc>
        <w:tc>
          <w:tcPr>
            <w:tcW w:w="1174" w:type="dxa"/>
            <w:vAlign w:val="top"/>
          </w:tcPr>
          <w:p w14:paraId="067C7EEB">
            <w:pPr>
              <w:rPr>
                <w:rFonts w:ascii="Arial"/>
                <w:color w:val="auto"/>
                <w:sz w:val="21"/>
                <w:highlight w:val="none"/>
              </w:rPr>
            </w:pPr>
          </w:p>
        </w:tc>
        <w:tc>
          <w:tcPr>
            <w:tcW w:w="1175" w:type="dxa"/>
            <w:vAlign w:val="top"/>
          </w:tcPr>
          <w:p w14:paraId="31BF7398">
            <w:pPr>
              <w:rPr>
                <w:rFonts w:ascii="Arial"/>
                <w:color w:val="auto"/>
                <w:sz w:val="21"/>
                <w:highlight w:val="none"/>
              </w:rPr>
            </w:pPr>
          </w:p>
        </w:tc>
        <w:tc>
          <w:tcPr>
            <w:tcW w:w="1179" w:type="dxa"/>
            <w:vAlign w:val="top"/>
          </w:tcPr>
          <w:p w14:paraId="0C30D569">
            <w:pPr>
              <w:rPr>
                <w:rFonts w:ascii="Arial"/>
                <w:color w:val="auto"/>
                <w:sz w:val="21"/>
                <w:highlight w:val="none"/>
              </w:rPr>
            </w:pPr>
          </w:p>
        </w:tc>
      </w:tr>
      <w:tr w14:paraId="24075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01411C4">
            <w:pPr>
              <w:rPr>
                <w:rFonts w:ascii="Arial"/>
                <w:color w:val="auto"/>
                <w:sz w:val="21"/>
                <w:highlight w:val="none"/>
              </w:rPr>
            </w:pPr>
          </w:p>
        </w:tc>
        <w:tc>
          <w:tcPr>
            <w:tcW w:w="1175" w:type="dxa"/>
            <w:vAlign w:val="top"/>
          </w:tcPr>
          <w:p w14:paraId="08806F0D">
            <w:pPr>
              <w:rPr>
                <w:rFonts w:ascii="Arial"/>
                <w:color w:val="auto"/>
                <w:sz w:val="21"/>
                <w:highlight w:val="none"/>
              </w:rPr>
            </w:pPr>
          </w:p>
        </w:tc>
        <w:tc>
          <w:tcPr>
            <w:tcW w:w="1174" w:type="dxa"/>
            <w:vAlign w:val="top"/>
          </w:tcPr>
          <w:p w14:paraId="4E72DB52">
            <w:pPr>
              <w:rPr>
                <w:rFonts w:ascii="Arial"/>
                <w:color w:val="auto"/>
                <w:sz w:val="21"/>
                <w:highlight w:val="none"/>
              </w:rPr>
            </w:pPr>
          </w:p>
        </w:tc>
        <w:tc>
          <w:tcPr>
            <w:tcW w:w="1174" w:type="dxa"/>
            <w:vAlign w:val="top"/>
          </w:tcPr>
          <w:p w14:paraId="028B5C37">
            <w:pPr>
              <w:rPr>
                <w:rFonts w:ascii="Arial"/>
                <w:color w:val="auto"/>
                <w:sz w:val="21"/>
                <w:highlight w:val="none"/>
              </w:rPr>
            </w:pPr>
          </w:p>
        </w:tc>
        <w:tc>
          <w:tcPr>
            <w:tcW w:w="1174" w:type="dxa"/>
            <w:vAlign w:val="top"/>
          </w:tcPr>
          <w:p w14:paraId="17B0DE50">
            <w:pPr>
              <w:rPr>
                <w:rFonts w:ascii="Arial"/>
                <w:color w:val="auto"/>
                <w:sz w:val="21"/>
                <w:highlight w:val="none"/>
              </w:rPr>
            </w:pPr>
          </w:p>
        </w:tc>
        <w:tc>
          <w:tcPr>
            <w:tcW w:w="1174" w:type="dxa"/>
            <w:vAlign w:val="top"/>
          </w:tcPr>
          <w:p w14:paraId="4D775680">
            <w:pPr>
              <w:rPr>
                <w:rFonts w:ascii="Arial"/>
                <w:color w:val="auto"/>
                <w:sz w:val="21"/>
                <w:highlight w:val="none"/>
              </w:rPr>
            </w:pPr>
          </w:p>
        </w:tc>
        <w:tc>
          <w:tcPr>
            <w:tcW w:w="1175" w:type="dxa"/>
            <w:vAlign w:val="top"/>
          </w:tcPr>
          <w:p w14:paraId="4F8AAA32">
            <w:pPr>
              <w:rPr>
                <w:rFonts w:ascii="Arial"/>
                <w:color w:val="auto"/>
                <w:sz w:val="21"/>
                <w:highlight w:val="none"/>
              </w:rPr>
            </w:pPr>
          </w:p>
        </w:tc>
        <w:tc>
          <w:tcPr>
            <w:tcW w:w="1179" w:type="dxa"/>
            <w:vAlign w:val="top"/>
          </w:tcPr>
          <w:p w14:paraId="5C8A0710">
            <w:pPr>
              <w:rPr>
                <w:rFonts w:ascii="Arial"/>
                <w:color w:val="auto"/>
                <w:sz w:val="21"/>
                <w:highlight w:val="none"/>
              </w:rPr>
            </w:pPr>
          </w:p>
        </w:tc>
      </w:tr>
      <w:tr w14:paraId="743EA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79" w:type="dxa"/>
            <w:vAlign w:val="top"/>
          </w:tcPr>
          <w:p w14:paraId="09CC5E9C">
            <w:pPr>
              <w:rPr>
                <w:rFonts w:ascii="Arial"/>
                <w:color w:val="auto"/>
                <w:sz w:val="21"/>
                <w:highlight w:val="none"/>
              </w:rPr>
            </w:pPr>
          </w:p>
        </w:tc>
        <w:tc>
          <w:tcPr>
            <w:tcW w:w="1175" w:type="dxa"/>
            <w:vAlign w:val="top"/>
          </w:tcPr>
          <w:p w14:paraId="027DFF52">
            <w:pPr>
              <w:rPr>
                <w:rFonts w:ascii="Arial"/>
                <w:color w:val="auto"/>
                <w:sz w:val="21"/>
                <w:highlight w:val="none"/>
              </w:rPr>
            </w:pPr>
          </w:p>
        </w:tc>
        <w:tc>
          <w:tcPr>
            <w:tcW w:w="1174" w:type="dxa"/>
            <w:vAlign w:val="top"/>
          </w:tcPr>
          <w:p w14:paraId="7CA5FE99">
            <w:pPr>
              <w:rPr>
                <w:rFonts w:ascii="Arial"/>
                <w:color w:val="auto"/>
                <w:sz w:val="21"/>
                <w:highlight w:val="none"/>
              </w:rPr>
            </w:pPr>
          </w:p>
        </w:tc>
        <w:tc>
          <w:tcPr>
            <w:tcW w:w="1174" w:type="dxa"/>
            <w:vAlign w:val="top"/>
          </w:tcPr>
          <w:p w14:paraId="699F7CB6">
            <w:pPr>
              <w:rPr>
                <w:rFonts w:ascii="Arial"/>
                <w:color w:val="auto"/>
                <w:sz w:val="21"/>
                <w:highlight w:val="none"/>
              </w:rPr>
            </w:pPr>
          </w:p>
        </w:tc>
        <w:tc>
          <w:tcPr>
            <w:tcW w:w="1174" w:type="dxa"/>
            <w:vAlign w:val="top"/>
          </w:tcPr>
          <w:p w14:paraId="1C327F8A">
            <w:pPr>
              <w:rPr>
                <w:rFonts w:ascii="Arial"/>
                <w:color w:val="auto"/>
                <w:sz w:val="21"/>
                <w:highlight w:val="none"/>
              </w:rPr>
            </w:pPr>
          </w:p>
        </w:tc>
        <w:tc>
          <w:tcPr>
            <w:tcW w:w="1174" w:type="dxa"/>
            <w:vAlign w:val="top"/>
          </w:tcPr>
          <w:p w14:paraId="07633E7A">
            <w:pPr>
              <w:rPr>
                <w:rFonts w:ascii="Arial"/>
                <w:color w:val="auto"/>
                <w:sz w:val="21"/>
                <w:highlight w:val="none"/>
              </w:rPr>
            </w:pPr>
          </w:p>
        </w:tc>
        <w:tc>
          <w:tcPr>
            <w:tcW w:w="1175" w:type="dxa"/>
            <w:vAlign w:val="top"/>
          </w:tcPr>
          <w:p w14:paraId="39F00B3D">
            <w:pPr>
              <w:rPr>
                <w:rFonts w:ascii="Arial"/>
                <w:color w:val="auto"/>
                <w:sz w:val="21"/>
                <w:highlight w:val="none"/>
              </w:rPr>
            </w:pPr>
          </w:p>
        </w:tc>
        <w:tc>
          <w:tcPr>
            <w:tcW w:w="1179" w:type="dxa"/>
            <w:vAlign w:val="top"/>
          </w:tcPr>
          <w:p w14:paraId="2E9D766B">
            <w:pPr>
              <w:rPr>
                <w:rFonts w:ascii="Arial"/>
                <w:color w:val="auto"/>
                <w:sz w:val="21"/>
                <w:highlight w:val="none"/>
              </w:rPr>
            </w:pPr>
          </w:p>
        </w:tc>
      </w:tr>
    </w:tbl>
    <w:p w14:paraId="29B82004">
      <w:pPr>
        <w:pStyle w:val="8"/>
        <w:rPr>
          <w:color w:val="auto"/>
          <w:highlight w:val="none"/>
        </w:rPr>
      </w:pPr>
    </w:p>
    <w:p w14:paraId="53ABE774">
      <w:pPr>
        <w:rPr>
          <w:color w:val="auto"/>
          <w:highlight w:val="none"/>
        </w:rPr>
        <w:sectPr>
          <w:footerReference r:id="rId24" w:type="default"/>
          <w:pgSz w:w="11906" w:h="16839"/>
          <w:pgMar w:top="1347" w:right="1248" w:bottom="1156" w:left="1248" w:header="0" w:footer="994" w:gutter="0"/>
          <w:pgNumType w:fmt="decimal"/>
          <w:cols w:space="720" w:num="1"/>
        </w:sectPr>
      </w:pPr>
    </w:p>
    <w:p w14:paraId="36C4E6D2">
      <w:pPr>
        <w:spacing w:before="49" w:line="212" w:lineRule="auto"/>
        <w:ind w:left="16"/>
        <w:rPr>
          <w:rFonts w:ascii="Calibri" w:hAnsi="Calibri" w:eastAsia="Calibri" w:cs="Calibri"/>
          <w:color w:val="auto"/>
          <w:sz w:val="24"/>
          <w:szCs w:val="24"/>
          <w:highlight w:val="none"/>
        </w:rPr>
      </w:pPr>
      <w:r>
        <w:rPr>
          <w:rFonts w:ascii="宋体" w:hAnsi="宋体" w:eastAsia="宋体" w:cs="宋体"/>
          <w:b/>
          <w:bCs/>
          <w:color w:val="auto"/>
          <w:spacing w:val="-3"/>
          <w:sz w:val="24"/>
          <w:szCs w:val="24"/>
          <w:highlight w:val="none"/>
        </w:rPr>
        <w:t>附表四：计划开、竣工日期和施工进度网络图</w:t>
      </w:r>
      <w:r>
        <w:rPr>
          <w:rFonts w:hint="eastAsia" w:ascii="宋体" w:hAnsi="宋体" w:eastAsia="宋体" w:cs="宋体"/>
          <w:b/>
          <w:bCs/>
          <w:color w:val="auto"/>
          <w:spacing w:val="-3"/>
          <w:sz w:val="24"/>
          <w:szCs w:val="24"/>
          <w:highlight w:val="none"/>
          <w:lang w:eastAsia="zh-CN"/>
        </w:rPr>
        <w:t>（</w:t>
      </w:r>
      <w:r>
        <w:rPr>
          <w:rFonts w:ascii="宋体" w:hAnsi="宋体" w:eastAsia="宋体" w:cs="宋体"/>
          <w:b/>
          <w:bCs/>
          <w:color w:val="auto"/>
          <w:spacing w:val="-3"/>
          <w:sz w:val="24"/>
          <w:szCs w:val="24"/>
          <w:highlight w:val="none"/>
        </w:rPr>
        <w:t>或横道图</w:t>
      </w:r>
      <w:r>
        <w:rPr>
          <w:rFonts w:hint="eastAsia" w:ascii="宋体" w:hAnsi="宋体" w:eastAsia="宋体" w:cs="宋体"/>
          <w:b/>
          <w:bCs/>
          <w:color w:val="auto"/>
          <w:spacing w:val="-3"/>
          <w:sz w:val="24"/>
          <w:szCs w:val="24"/>
          <w:highlight w:val="none"/>
          <w:lang w:eastAsia="zh-CN"/>
        </w:rPr>
        <w:t>）</w:t>
      </w:r>
    </w:p>
    <w:p w14:paraId="08578EBE">
      <w:pPr>
        <w:pStyle w:val="8"/>
        <w:spacing w:line="251" w:lineRule="auto"/>
        <w:rPr>
          <w:color w:val="auto"/>
          <w:highlight w:val="none"/>
        </w:rPr>
      </w:pPr>
    </w:p>
    <w:p w14:paraId="0EDCD9E6">
      <w:pPr>
        <w:pStyle w:val="8"/>
        <w:spacing w:line="252" w:lineRule="auto"/>
        <w:rPr>
          <w:color w:val="auto"/>
          <w:highlight w:val="none"/>
        </w:rPr>
      </w:pPr>
    </w:p>
    <w:p w14:paraId="7BDF948F">
      <w:pPr>
        <w:spacing w:before="65" w:line="362" w:lineRule="auto"/>
        <w:ind w:firstLine="426"/>
        <w:rPr>
          <w:rFonts w:ascii="宋体" w:hAnsi="宋体" w:eastAsia="宋体" w:cs="宋体"/>
          <w:color w:val="auto"/>
          <w:sz w:val="20"/>
          <w:szCs w:val="20"/>
          <w:highlight w:val="none"/>
        </w:rPr>
      </w:pPr>
      <w:r>
        <w:rPr>
          <w:rFonts w:ascii="Calibri" w:hAnsi="Calibri" w:eastAsia="Calibri" w:cs="Calibri"/>
          <w:color w:val="auto"/>
          <w:spacing w:val="9"/>
          <w:sz w:val="20"/>
          <w:szCs w:val="20"/>
          <w:highlight w:val="none"/>
        </w:rPr>
        <w:t>1.</w:t>
      </w:r>
      <w:r>
        <w:rPr>
          <w:rFonts w:ascii="宋体" w:hAnsi="宋体" w:eastAsia="宋体" w:cs="宋体"/>
          <w:color w:val="auto"/>
          <w:spacing w:val="9"/>
          <w:sz w:val="20"/>
          <w:szCs w:val="20"/>
          <w:highlight w:val="none"/>
        </w:rPr>
        <w:t>投标供应商应递交施工进度网络图或施工进度表，说明按磋商文件要求的计划合同履行期限进</w:t>
      </w:r>
      <w:r>
        <w:rPr>
          <w:rFonts w:ascii="宋体" w:hAnsi="宋体" w:eastAsia="宋体" w:cs="宋体"/>
          <w:color w:val="auto"/>
          <w:spacing w:val="4"/>
          <w:sz w:val="20"/>
          <w:szCs w:val="20"/>
          <w:highlight w:val="none"/>
        </w:rPr>
        <w:t xml:space="preserve"> </w:t>
      </w:r>
      <w:r>
        <w:rPr>
          <w:rFonts w:ascii="宋体" w:hAnsi="宋体" w:eastAsia="宋体" w:cs="宋体"/>
          <w:color w:val="auto"/>
          <w:spacing w:val="7"/>
          <w:sz w:val="20"/>
          <w:szCs w:val="20"/>
          <w:highlight w:val="none"/>
        </w:rPr>
        <w:t>行施工的各个关键日期。</w:t>
      </w:r>
    </w:p>
    <w:p w14:paraId="1C393C93">
      <w:pPr>
        <w:spacing w:before="34" w:line="220" w:lineRule="auto"/>
        <w:ind w:left="420"/>
        <w:rPr>
          <w:rFonts w:ascii="宋体" w:hAnsi="宋体" w:eastAsia="宋体" w:cs="宋体"/>
          <w:color w:val="auto"/>
          <w:sz w:val="20"/>
          <w:szCs w:val="20"/>
          <w:highlight w:val="none"/>
        </w:rPr>
      </w:pPr>
      <w:r>
        <w:rPr>
          <w:rFonts w:ascii="Calibri" w:hAnsi="Calibri" w:eastAsia="Calibri" w:cs="Calibri"/>
          <w:color w:val="auto"/>
          <w:spacing w:val="7"/>
          <w:sz w:val="20"/>
          <w:szCs w:val="20"/>
          <w:highlight w:val="none"/>
        </w:rPr>
        <w:t>2.</w:t>
      </w:r>
      <w:r>
        <w:rPr>
          <w:rFonts w:ascii="宋体" w:hAnsi="宋体" w:eastAsia="宋体" w:cs="宋体"/>
          <w:color w:val="auto"/>
          <w:spacing w:val="7"/>
          <w:sz w:val="20"/>
          <w:szCs w:val="20"/>
          <w:highlight w:val="none"/>
        </w:rPr>
        <w:t>施工进度表可采用网络图</w:t>
      </w:r>
      <w:r>
        <w:rPr>
          <w:rFonts w:hint="eastAsia" w:ascii="宋体" w:hAnsi="宋体" w:eastAsia="宋体" w:cs="宋体"/>
          <w:color w:val="auto"/>
          <w:spacing w:val="7"/>
          <w:sz w:val="20"/>
          <w:szCs w:val="20"/>
          <w:highlight w:val="none"/>
          <w:lang w:eastAsia="zh-CN"/>
        </w:rPr>
        <w:t>（</w:t>
      </w:r>
      <w:r>
        <w:rPr>
          <w:rFonts w:ascii="宋体" w:hAnsi="宋体" w:eastAsia="宋体" w:cs="宋体"/>
          <w:color w:val="auto"/>
          <w:spacing w:val="7"/>
          <w:sz w:val="20"/>
          <w:szCs w:val="20"/>
          <w:highlight w:val="none"/>
        </w:rPr>
        <w:t>或横道图</w:t>
      </w:r>
      <w:r>
        <w:rPr>
          <w:rFonts w:hint="eastAsia" w:ascii="宋体" w:hAnsi="宋体" w:eastAsia="宋体" w:cs="宋体"/>
          <w:color w:val="auto"/>
          <w:spacing w:val="7"/>
          <w:sz w:val="20"/>
          <w:szCs w:val="20"/>
          <w:highlight w:val="none"/>
          <w:lang w:eastAsia="zh-CN"/>
        </w:rPr>
        <w:t>）</w:t>
      </w:r>
      <w:r>
        <w:rPr>
          <w:rFonts w:ascii="宋体" w:hAnsi="宋体" w:eastAsia="宋体" w:cs="宋体"/>
          <w:color w:val="auto"/>
          <w:spacing w:val="7"/>
          <w:sz w:val="20"/>
          <w:szCs w:val="20"/>
          <w:highlight w:val="none"/>
        </w:rPr>
        <w:t>表示。</w:t>
      </w:r>
    </w:p>
    <w:p w14:paraId="4906533C">
      <w:pPr>
        <w:spacing w:line="220" w:lineRule="auto"/>
        <w:rPr>
          <w:rFonts w:ascii="宋体" w:hAnsi="宋体" w:eastAsia="宋体" w:cs="宋体"/>
          <w:color w:val="auto"/>
          <w:sz w:val="20"/>
          <w:szCs w:val="20"/>
          <w:highlight w:val="none"/>
        </w:rPr>
        <w:sectPr>
          <w:footerReference r:id="rId25" w:type="default"/>
          <w:pgSz w:w="11906" w:h="16839"/>
          <w:pgMar w:top="1346" w:right="1362" w:bottom="1156" w:left="1372" w:header="0" w:footer="994" w:gutter="0"/>
          <w:pgNumType w:fmt="decimal"/>
          <w:cols w:space="720" w:num="1"/>
        </w:sectPr>
      </w:pPr>
    </w:p>
    <w:p w14:paraId="080993EE">
      <w:pPr>
        <w:spacing w:before="47" w:line="219" w:lineRule="auto"/>
        <w:ind w:left="19"/>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附表五：施工总平面图</w:t>
      </w:r>
    </w:p>
    <w:p w14:paraId="2A5DF4B7">
      <w:pPr>
        <w:pStyle w:val="8"/>
        <w:spacing w:line="247" w:lineRule="auto"/>
        <w:rPr>
          <w:color w:val="auto"/>
          <w:highlight w:val="none"/>
        </w:rPr>
      </w:pPr>
    </w:p>
    <w:p w14:paraId="6F20C9F3">
      <w:pPr>
        <w:pStyle w:val="8"/>
        <w:spacing w:line="247" w:lineRule="auto"/>
        <w:rPr>
          <w:color w:val="auto"/>
          <w:highlight w:val="none"/>
        </w:rPr>
      </w:pPr>
    </w:p>
    <w:p w14:paraId="534CF83F">
      <w:pPr>
        <w:spacing w:before="65" w:line="362" w:lineRule="auto"/>
        <w:ind w:firstLine="42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投标供应商应递交一份施工总平面图，绘出现场临时设施布置图表并附文字说明，说明临时设施、</w:t>
      </w:r>
      <w:r>
        <w:rPr>
          <w:rFonts w:ascii="宋体" w:hAnsi="宋体" w:eastAsia="宋体" w:cs="宋体"/>
          <w:color w:val="auto"/>
          <w:spacing w:val="6"/>
          <w:sz w:val="20"/>
          <w:szCs w:val="20"/>
          <w:highlight w:val="none"/>
        </w:rPr>
        <w:t xml:space="preserve"> </w:t>
      </w:r>
      <w:r>
        <w:rPr>
          <w:rFonts w:ascii="宋体" w:hAnsi="宋体" w:eastAsia="宋体" w:cs="宋体"/>
          <w:color w:val="auto"/>
          <w:spacing w:val="10"/>
          <w:sz w:val="20"/>
          <w:szCs w:val="20"/>
          <w:highlight w:val="none"/>
        </w:rPr>
        <w:t>加工车间、现场办公、设备及仓储、供电、供水</w:t>
      </w:r>
      <w:r>
        <w:rPr>
          <w:rFonts w:ascii="宋体" w:hAnsi="宋体" w:eastAsia="宋体" w:cs="宋体"/>
          <w:color w:val="auto"/>
          <w:spacing w:val="9"/>
          <w:sz w:val="20"/>
          <w:szCs w:val="20"/>
          <w:highlight w:val="none"/>
        </w:rPr>
        <w:t>、卫生、生活、道路、消防等设施的</w:t>
      </w:r>
      <w:r>
        <w:rPr>
          <w:rFonts w:hint="eastAsia" w:ascii="宋体" w:hAnsi="宋体" w:eastAsia="宋体" w:cs="宋体"/>
          <w:color w:val="auto"/>
          <w:spacing w:val="9"/>
          <w:sz w:val="20"/>
          <w:szCs w:val="20"/>
          <w:highlight w:val="none"/>
          <w:lang w:eastAsia="zh-CN"/>
        </w:rPr>
        <w:t>情况</w:t>
      </w:r>
      <w:r>
        <w:rPr>
          <w:rFonts w:ascii="宋体" w:hAnsi="宋体" w:eastAsia="宋体" w:cs="宋体"/>
          <w:color w:val="auto"/>
          <w:spacing w:val="9"/>
          <w:sz w:val="20"/>
          <w:szCs w:val="20"/>
          <w:highlight w:val="none"/>
        </w:rPr>
        <w:t>和布置。</w:t>
      </w:r>
    </w:p>
    <w:p w14:paraId="1E42BA89">
      <w:pPr>
        <w:spacing w:line="362" w:lineRule="auto"/>
        <w:rPr>
          <w:rFonts w:ascii="宋体" w:hAnsi="宋体" w:eastAsia="宋体" w:cs="宋体"/>
          <w:color w:val="auto"/>
          <w:sz w:val="20"/>
          <w:szCs w:val="20"/>
          <w:highlight w:val="none"/>
        </w:rPr>
        <w:sectPr>
          <w:footerReference r:id="rId26" w:type="default"/>
          <w:pgSz w:w="11906" w:h="16839"/>
          <w:pgMar w:top="1347" w:right="1291" w:bottom="1156" w:left="1368" w:header="0" w:footer="994" w:gutter="0"/>
          <w:pgNumType w:fmt="decimal"/>
          <w:cols w:space="720" w:num="1"/>
        </w:sectPr>
      </w:pPr>
    </w:p>
    <w:p w14:paraId="0E67958F">
      <w:pPr>
        <w:spacing w:before="47" w:line="219" w:lineRule="auto"/>
        <w:ind w:left="140"/>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附表六：临时用地表</w:t>
      </w:r>
    </w:p>
    <w:p w14:paraId="2AA1CEDD">
      <w:pPr>
        <w:spacing w:line="148" w:lineRule="exact"/>
        <w:rPr>
          <w:color w:val="auto"/>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513A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53" w:type="dxa"/>
            <w:vAlign w:val="top"/>
          </w:tcPr>
          <w:p w14:paraId="1795BDC9">
            <w:pPr>
              <w:pStyle w:val="21"/>
              <w:spacing w:before="35" w:line="229" w:lineRule="auto"/>
              <w:ind w:left="974"/>
              <w:rPr>
                <w:color w:val="auto"/>
                <w:highlight w:val="none"/>
              </w:rPr>
            </w:pPr>
            <w:r>
              <w:rPr>
                <w:color w:val="auto"/>
                <w:spacing w:val="3"/>
                <w:highlight w:val="none"/>
              </w:rPr>
              <w:t>用途</w:t>
            </w:r>
          </w:p>
        </w:tc>
        <w:tc>
          <w:tcPr>
            <w:tcW w:w="2349" w:type="dxa"/>
            <w:vAlign w:val="top"/>
          </w:tcPr>
          <w:p w14:paraId="368DAD6A">
            <w:pPr>
              <w:pStyle w:val="21"/>
              <w:spacing w:before="36" w:line="220" w:lineRule="auto"/>
              <w:ind w:left="590"/>
              <w:rPr>
                <w:rFonts w:ascii="Calibri" w:hAnsi="Calibri" w:eastAsia="Calibri" w:cs="Calibri"/>
                <w:color w:val="auto"/>
                <w:highlight w:val="none"/>
              </w:rPr>
            </w:pPr>
            <w:r>
              <w:rPr>
                <w:color w:val="auto"/>
                <w:spacing w:val="6"/>
                <w:highlight w:val="none"/>
              </w:rPr>
              <w:t>面积</w:t>
            </w:r>
            <w:r>
              <w:rPr>
                <w:rFonts w:hint="eastAsia"/>
                <w:color w:val="auto"/>
                <w:spacing w:val="6"/>
                <w:highlight w:val="none"/>
                <w:lang w:eastAsia="zh-CN"/>
              </w:rPr>
              <w:t>（</w:t>
            </w:r>
            <w:r>
              <w:rPr>
                <w:color w:val="auto"/>
                <w:spacing w:val="6"/>
                <w:highlight w:val="none"/>
              </w:rPr>
              <w:t>平方米</w:t>
            </w:r>
            <w:r>
              <w:rPr>
                <w:rFonts w:hint="eastAsia"/>
                <w:color w:val="auto"/>
                <w:spacing w:val="6"/>
                <w:highlight w:val="none"/>
                <w:lang w:eastAsia="zh-CN"/>
              </w:rPr>
              <w:t>）</w:t>
            </w:r>
          </w:p>
        </w:tc>
        <w:tc>
          <w:tcPr>
            <w:tcW w:w="2349" w:type="dxa"/>
            <w:vAlign w:val="top"/>
          </w:tcPr>
          <w:p w14:paraId="3BCEDF04">
            <w:pPr>
              <w:pStyle w:val="21"/>
              <w:spacing w:before="35" w:line="229" w:lineRule="auto"/>
              <w:ind w:left="969"/>
              <w:rPr>
                <w:color w:val="auto"/>
                <w:highlight w:val="none"/>
              </w:rPr>
            </w:pPr>
            <w:r>
              <w:rPr>
                <w:color w:val="auto"/>
                <w:spacing w:val="4"/>
                <w:highlight w:val="none"/>
              </w:rPr>
              <w:t>位置</w:t>
            </w:r>
          </w:p>
        </w:tc>
        <w:tc>
          <w:tcPr>
            <w:tcW w:w="2353" w:type="dxa"/>
            <w:vAlign w:val="top"/>
          </w:tcPr>
          <w:p w14:paraId="12F0B344">
            <w:pPr>
              <w:pStyle w:val="21"/>
              <w:spacing w:before="36" w:line="228" w:lineRule="auto"/>
              <w:ind w:left="773"/>
              <w:rPr>
                <w:color w:val="auto"/>
                <w:highlight w:val="none"/>
              </w:rPr>
            </w:pPr>
            <w:r>
              <w:rPr>
                <w:color w:val="auto"/>
                <w:spacing w:val="4"/>
                <w:highlight w:val="none"/>
              </w:rPr>
              <w:t>需用时间</w:t>
            </w:r>
          </w:p>
        </w:tc>
      </w:tr>
      <w:tr w14:paraId="04BE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E824C6A">
            <w:pPr>
              <w:rPr>
                <w:rFonts w:ascii="Arial"/>
                <w:color w:val="auto"/>
                <w:sz w:val="21"/>
                <w:highlight w:val="none"/>
              </w:rPr>
            </w:pPr>
          </w:p>
        </w:tc>
        <w:tc>
          <w:tcPr>
            <w:tcW w:w="2349" w:type="dxa"/>
            <w:vAlign w:val="top"/>
          </w:tcPr>
          <w:p w14:paraId="1C1E2AF6">
            <w:pPr>
              <w:rPr>
                <w:rFonts w:ascii="Arial"/>
                <w:color w:val="auto"/>
                <w:sz w:val="21"/>
                <w:highlight w:val="none"/>
              </w:rPr>
            </w:pPr>
          </w:p>
        </w:tc>
        <w:tc>
          <w:tcPr>
            <w:tcW w:w="2349" w:type="dxa"/>
            <w:vAlign w:val="top"/>
          </w:tcPr>
          <w:p w14:paraId="7897FF1A">
            <w:pPr>
              <w:rPr>
                <w:rFonts w:ascii="Arial"/>
                <w:color w:val="auto"/>
                <w:sz w:val="21"/>
                <w:highlight w:val="none"/>
              </w:rPr>
            </w:pPr>
          </w:p>
        </w:tc>
        <w:tc>
          <w:tcPr>
            <w:tcW w:w="2353" w:type="dxa"/>
            <w:vAlign w:val="top"/>
          </w:tcPr>
          <w:p w14:paraId="6219C392">
            <w:pPr>
              <w:rPr>
                <w:rFonts w:ascii="Arial"/>
                <w:color w:val="auto"/>
                <w:sz w:val="21"/>
                <w:highlight w:val="none"/>
              </w:rPr>
            </w:pPr>
          </w:p>
        </w:tc>
      </w:tr>
      <w:tr w14:paraId="214EB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353" w:type="dxa"/>
            <w:vAlign w:val="top"/>
          </w:tcPr>
          <w:p w14:paraId="3C76868A">
            <w:pPr>
              <w:rPr>
                <w:rFonts w:ascii="Arial"/>
                <w:color w:val="auto"/>
                <w:sz w:val="21"/>
                <w:highlight w:val="none"/>
              </w:rPr>
            </w:pPr>
          </w:p>
        </w:tc>
        <w:tc>
          <w:tcPr>
            <w:tcW w:w="2349" w:type="dxa"/>
            <w:vAlign w:val="top"/>
          </w:tcPr>
          <w:p w14:paraId="209D2C5B">
            <w:pPr>
              <w:rPr>
                <w:rFonts w:ascii="Arial"/>
                <w:color w:val="auto"/>
                <w:sz w:val="21"/>
                <w:highlight w:val="none"/>
              </w:rPr>
            </w:pPr>
          </w:p>
        </w:tc>
        <w:tc>
          <w:tcPr>
            <w:tcW w:w="2349" w:type="dxa"/>
            <w:vAlign w:val="top"/>
          </w:tcPr>
          <w:p w14:paraId="12DF6601">
            <w:pPr>
              <w:rPr>
                <w:rFonts w:ascii="Arial"/>
                <w:color w:val="auto"/>
                <w:sz w:val="21"/>
                <w:highlight w:val="none"/>
              </w:rPr>
            </w:pPr>
          </w:p>
        </w:tc>
        <w:tc>
          <w:tcPr>
            <w:tcW w:w="2353" w:type="dxa"/>
            <w:vAlign w:val="top"/>
          </w:tcPr>
          <w:p w14:paraId="0E8353AB">
            <w:pPr>
              <w:rPr>
                <w:rFonts w:ascii="Arial"/>
                <w:color w:val="auto"/>
                <w:sz w:val="21"/>
                <w:highlight w:val="none"/>
              </w:rPr>
            </w:pPr>
          </w:p>
        </w:tc>
      </w:tr>
      <w:tr w14:paraId="5305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9AA61DD">
            <w:pPr>
              <w:rPr>
                <w:rFonts w:ascii="Arial"/>
                <w:color w:val="auto"/>
                <w:sz w:val="21"/>
                <w:highlight w:val="none"/>
              </w:rPr>
            </w:pPr>
          </w:p>
        </w:tc>
        <w:tc>
          <w:tcPr>
            <w:tcW w:w="2349" w:type="dxa"/>
            <w:vAlign w:val="top"/>
          </w:tcPr>
          <w:p w14:paraId="7A515B1D">
            <w:pPr>
              <w:rPr>
                <w:rFonts w:ascii="Arial"/>
                <w:color w:val="auto"/>
                <w:sz w:val="21"/>
                <w:highlight w:val="none"/>
              </w:rPr>
            </w:pPr>
          </w:p>
        </w:tc>
        <w:tc>
          <w:tcPr>
            <w:tcW w:w="2349" w:type="dxa"/>
            <w:vAlign w:val="top"/>
          </w:tcPr>
          <w:p w14:paraId="69A7C4CD">
            <w:pPr>
              <w:rPr>
                <w:rFonts w:ascii="Arial"/>
                <w:color w:val="auto"/>
                <w:sz w:val="21"/>
                <w:highlight w:val="none"/>
              </w:rPr>
            </w:pPr>
          </w:p>
        </w:tc>
        <w:tc>
          <w:tcPr>
            <w:tcW w:w="2353" w:type="dxa"/>
            <w:vAlign w:val="top"/>
          </w:tcPr>
          <w:p w14:paraId="18E7CC24">
            <w:pPr>
              <w:rPr>
                <w:rFonts w:ascii="Arial"/>
                <w:color w:val="auto"/>
                <w:sz w:val="21"/>
                <w:highlight w:val="none"/>
              </w:rPr>
            </w:pPr>
          </w:p>
        </w:tc>
      </w:tr>
      <w:tr w14:paraId="49A8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C8662EF">
            <w:pPr>
              <w:rPr>
                <w:rFonts w:ascii="Arial"/>
                <w:color w:val="auto"/>
                <w:sz w:val="21"/>
                <w:highlight w:val="none"/>
              </w:rPr>
            </w:pPr>
          </w:p>
        </w:tc>
        <w:tc>
          <w:tcPr>
            <w:tcW w:w="2349" w:type="dxa"/>
            <w:vAlign w:val="top"/>
          </w:tcPr>
          <w:p w14:paraId="367EDBC1">
            <w:pPr>
              <w:rPr>
                <w:rFonts w:ascii="Arial"/>
                <w:color w:val="auto"/>
                <w:sz w:val="21"/>
                <w:highlight w:val="none"/>
              </w:rPr>
            </w:pPr>
          </w:p>
        </w:tc>
        <w:tc>
          <w:tcPr>
            <w:tcW w:w="2349" w:type="dxa"/>
            <w:vAlign w:val="top"/>
          </w:tcPr>
          <w:p w14:paraId="0880E51F">
            <w:pPr>
              <w:rPr>
                <w:rFonts w:ascii="Arial"/>
                <w:color w:val="auto"/>
                <w:sz w:val="21"/>
                <w:highlight w:val="none"/>
              </w:rPr>
            </w:pPr>
          </w:p>
        </w:tc>
        <w:tc>
          <w:tcPr>
            <w:tcW w:w="2353" w:type="dxa"/>
            <w:vAlign w:val="top"/>
          </w:tcPr>
          <w:p w14:paraId="3B2CA24F">
            <w:pPr>
              <w:rPr>
                <w:rFonts w:ascii="Arial"/>
                <w:color w:val="auto"/>
                <w:sz w:val="21"/>
                <w:highlight w:val="none"/>
              </w:rPr>
            </w:pPr>
          </w:p>
        </w:tc>
      </w:tr>
      <w:tr w14:paraId="46915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33D5CDF0">
            <w:pPr>
              <w:rPr>
                <w:rFonts w:ascii="Arial"/>
                <w:color w:val="auto"/>
                <w:sz w:val="21"/>
                <w:highlight w:val="none"/>
              </w:rPr>
            </w:pPr>
          </w:p>
        </w:tc>
        <w:tc>
          <w:tcPr>
            <w:tcW w:w="2349" w:type="dxa"/>
            <w:vAlign w:val="top"/>
          </w:tcPr>
          <w:p w14:paraId="24172BAF">
            <w:pPr>
              <w:rPr>
                <w:rFonts w:ascii="Arial"/>
                <w:color w:val="auto"/>
                <w:sz w:val="21"/>
                <w:highlight w:val="none"/>
              </w:rPr>
            </w:pPr>
          </w:p>
        </w:tc>
        <w:tc>
          <w:tcPr>
            <w:tcW w:w="2349" w:type="dxa"/>
            <w:vAlign w:val="top"/>
          </w:tcPr>
          <w:p w14:paraId="7BB5CA6C">
            <w:pPr>
              <w:rPr>
                <w:rFonts w:ascii="Arial"/>
                <w:color w:val="auto"/>
                <w:sz w:val="21"/>
                <w:highlight w:val="none"/>
              </w:rPr>
            </w:pPr>
          </w:p>
        </w:tc>
        <w:tc>
          <w:tcPr>
            <w:tcW w:w="2353" w:type="dxa"/>
            <w:vAlign w:val="top"/>
          </w:tcPr>
          <w:p w14:paraId="25895091">
            <w:pPr>
              <w:rPr>
                <w:rFonts w:ascii="Arial"/>
                <w:color w:val="auto"/>
                <w:sz w:val="21"/>
                <w:highlight w:val="none"/>
              </w:rPr>
            </w:pPr>
          </w:p>
        </w:tc>
      </w:tr>
      <w:tr w14:paraId="5458C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97CFE24">
            <w:pPr>
              <w:rPr>
                <w:rFonts w:ascii="Arial"/>
                <w:color w:val="auto"/>
                <w:sz w:val="21"/>
                <w:highlight w:val="none"/>
              </w:rPr>
            </w:pPr>
          </w:p>
        </w:tc>
        <w:tc>
          <w:tcPr>
            <w:tcW w:w="2349" w:type="dxa"/>
            <w:vAlign w:val="top"/>
          </w:tcPr>
          <w:p w14:paraId="391F9FB9">
            <w:pPr>
              <w:rPr>
                <w:rFonts w:ascii="Arial"/>
                <w:color w:val="auto"/>
                <w:sz w:val="21"/>
                <w:highlight w:val="none"/>
              </w:rPr>
            </w:pPr>
          </w:p>
        </w:tc>
        <w:tc>
          <w:tcPr>
            <w:tcW w:w="2349" w:type="dxa"/>
            <w:vAlign w:val="top"/>
          </w:tcPr>
          <w:p w14:paraId="25D0F5FD">
            <w:pPr>
              <w:rPr>
                <w:rFonts w:ascii="Arial"/>
                <w:color w:val="auto"/>
                <w:sz w:val="21"/>
                <w:highlight w:val="none"/>
              </w:rPr>
            </w:pPr>
          </w:p>
        </w:tc>
        <w:tc>
          <w:tcPr>
            <w:tcW w:w="2353" w:type="dxa"/>
            <w:vAlign w:val="top"/>
          </w:tcPr>
          <w:p w14:paraId="31A862B4">
            <w:pPr>
              <w:rPr>
                <w:rFonts w:ascii="Arial"/>
                <w:color w:val="auto"/>
                <w:sz w:val="21"/>
                <w:highlight w:val="none"/>
              </w:rPr>
            </w:pPr>
          </w:p>
        </w:tc>
      </w:tr>
      <w:tr w14:paraId="5F971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B53D12E">
            <w:pPr>
              <w:rPr>
                <w:rFonts w:ascii="Arial"/>
                <w:color w:val="auto"/>
                <w:sz w:val="21"/>
                <w:highlight w:val="none"/>
              </w:rPr>
            </w:pPr>
          </w:p>
        </w:tc>
        <w:tc>
          <w:tcPr>
            <w:tcW w:w="2349" w:type="dxa"/>
            <w:vAlign w:val="top"/>
          </w:tcPr>
          <w:p w14:paraId="3E1D0F6F">
            <w:pPr>
              <w:rPr>
                <w:rFonts w:ascii="Arial"/>
                <w:color w:val="auto"/>
                <w:sz w:val="21"/>
                <w:highlight w:val="none"/>
              </w:rPr>
            </w:pPr>
          </w:p>
        </w:tc>
        <w:tc>
          <w:tcPr>
            <w:tcW w:w="2349" w:type="dxa"/>
            <w:vAlign w:val="top"/>
          </w:tcPr>
          <w:p w14:paraId="195438C1">
            <w:pPr>
              <w:rPr>
                <w:rFonts w:ascii="Arial"/>
                <w:color w:val="auto"/>
                <w:sz w:val="21"/>
                <w:highlight w:val="none"/>
              </w:rPr>
            </w:pPr>
          </w:p>
        </w:tc>
        <w:tc>
          <w:tcPr>
            <w:tcW w:w="2353" w:type="dxa"/>
            <w:vAlign w:val="top"/>
          </w:tcPr>
          <w:p w14:paraId="076DD62C">
            <w:pPr>
              <w:rPr>
                <w:rFonts w:ascii="Arial"/>
                <w:color w:val="auto"/>
                <w:sz w:val="21"/>
                <w:highlight w:val="none"/>
              </w:rPr>
            </w:pPr>
          </w:p>
        </w:tc>
      </w:tr>
      <w:tr w14:paraId="66DE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5CFDDFCA">
            <w:pPr>
              <w:rPr>
                <w:rFonts w:ascii="Arial"/>
                <w:color w:val="auto"/>
                <w:sz w:val="21"/>
                <w:highlight w:val="none"/>
              </w:rPr>
            </w:pPr>
          </w:p>
        </w:tc>
        <w:tc>
          <w:tcPr>
            <w:tcW w:w="2349" w:type="dxa"/>
            <w:vAlign w:val="top"/>
          </w:tcPr>
          <w:p w14:paraId="19A76FD9">
            <w:pPr>
              <w:rPr>
                <w:rFonts w:ascii="Arial"/>
                <w:color w:val="auto"/>
                <w:sz w:val="21"/>
                <w:highlight w:val="none"/>
              </w:rPr>
            </w:pPr>
          </w:p>
        </w:tc>
        <w:tc>
          <w:tcPr>
            <w:tcW w:w="2349" w:type="dxa"/>
            <w:vAlign w:val="top"/>
          </w:tcPr>
          <w:p w14:paraId="27CE1FE5">
            <w:pPr>
              <w:rPr>
                <w:rFonts w:ascii="Arial"/>
                <w:color w:val="auto"/>
                <w:sz w:val="21"/>
                <w:highlight w:val="none"/>
              </w:rPr>
            </w:pPr>
          </w:p>
        </w:tc>
        <w:tc>
          <w:tcPr>
            <w:tcW w:w="2353" w:type="dxa"/>
            <w:vAlign w:val="top"/>
          </w:tcPr>
          <w:p w14:paraId="4C8620A4">
            <w:pPr>
              <w:rPr>
                <w:rFonts w:ascii="Arial"/>
                <w:color w:val="auto"/>
                <w:sz w:val="21"/>
                <w:highlight w:val="none"/>
              </w:rPr>
            </w:pPr>
          </w:p>
        </w:tc>
      </w:tr>
      <w:tr w14:paraId="591A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2232A655">
            <w:pPr>
              <w:rPr>
                <w:rFonts w:ascii="Arial"/>
                <w:color w:val="auto"/>
                <w:sz w:val="21"/>
                <w:highlight w:val="none"/>
              </w:rPr>
            </w:pPr>
          </w:p>
        </w:tc>
        <w:tc>
          <w:tcPr>
            <w:tcW w:w="2349" w:type="dxa"/>
            <w:vAlign w:val="top"/>
          </w:tcPr>
          <w:p w14:paraId="0D44176A">
            <w:pPr>
              <w:rPr>
                <w:rFonts w:ascii="Arial"/>
                <w:color w:val="auto"/>
                <w:sz w:val="21"/>
                <w:highlight w:val="none"/>
              </w:rPr>
            </w:pPr>
          </w:p>
        </w:tc>
        <w:tc>
          <w:tcPr>
            <w:tcW w:w="2349" w:type="dxa"/>
            <w:vAlign w:val="top"/>
          </w:tcPr>
          <w:p w14:paraId="56E051AC">
            <w:pPr>
              <w:rPr>
                <w:rFonts w:ascii="Arial"/>
                <w:color w:val="auto"/>
                <w:sz w:val="21"/>
                <w:highlight w:val="none"/>
              </w:rPr>
            </w:pPr>
          </w:p>
        </w:tc>
        <w:tc>
          <w:tcPr>
            <w:tcW w:w="2353" w:type="dxa"/>
            <w:vAlign w:val="top"/>
          </w:tcPr>
          <w:p w14:paraId="15248AE0">
            <w:pPr>
              <w:rPr>
                <w:rFonts w:ascii="Arial"/>
                <w:color w:val="auto"/>
                <w:sz w:val="21"/>
                <w:highlight w:val="none"/>
              </w:rPr>
            </w:pPr>
          </w:p>
        </w:tc>
      </w:tr>
      <w:tr w14:paraId="27A6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6E90AFE">
            <w:pPr>
              <w:rPr>
                <w:rFonts w:ascii="Arial"/>
                <w:color w:val="auto"/>
                <w:sz w:val="21"/>
                <w:highlight w:val="none"/>
              </w:rPr>
            </w:pPr>
          </w:p>
        </w:tc>
        <w:tc>
          <w:tcPr>
            <w:tcW w:w="2349" w:type="dxa"/>
            <w:vAlign w:val="top"/>
          </w:tcPr>
          <w:p w14:paraId="663F1A00">
            <w:pPr>
              <w:rPr>
                <w:rFonts w:ascii="Arial"/>
                <w:color w:val="auto"/>
                <w:sz w:val="21"/>
                <w:highlight w:val="none"/>
              </w:rPr>
            </w:pPr>
          </w:p>
        </w:tc>
        <w:tc>
          <w:tcPr>
            <w:tcW w:w="2349" w:type="dxa"/>
            <w:vAlign w:val="top"/>
          </w:tcPr>
          <w:p w14:paraId="499CD444">
            <w:pPr>
              <w:rPr>
                <w:rFonts w:ascii="Arial"/>
                <w:color w:val="auto"/>
                <w:sz w:val="21"/>
                <w:highlight w:val="none"/>
              </w:rPr>
            </w:pPr>
          </w:p>
        </w:tc>
        <w:tc>
          <w:tcPr>
            <w:tcW w:w="2353" w:type="dxa"/>
            <w:vAlign w:val="top"/>
          </w:tcPr>
          <w:p w14:paraId="34DF5374">
            <w:pPr>
              <w:rPr>
                <w:rFonts w:ascii="Arial"/>
                <w:color w:val="auto"/>
                <w:sz w:val="21"/>
                <w:highlight w:val="none"/>
              </w:rPr>
            </w:pPr>
          </w:p>
        </w:tc>
      </w:tr>
      <w:tr w14:paraId="1B053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01E6C25">
            <w:pPr>
              <w:rPr>
                <w:rFonts w:ascii="Arial"/>
                <w:color w:val="auto"/>
                <w:sz w:val="21"/>
                <w:highlight w:val="none"/>
              </w:rPr>
            </w:pPr>
          </w:p>
        </w:tc>
        <w:tc>
          <w:tcPr>
            <w:tcW w:w="2349" w:type="dxa"/>
            <w:vAlign w:val="top"/>
          </w:tcPr>
          <w:p w14:paraId="04BAAA65">
            <w:pPr>
              <w:rPr>
                <w:rFonts w:ascii="Arial"/>
                <w:color w:val="auto"/>
                <w:sz w:val="21"/>
                <w:highlight w:val="none"/>
              </w:rPr>
            </w:pPr>
          </w:p>
        </w:tc>
        <w:tc>
          <w:tcPr>
            <w:tcW w:w="2349" w:type="dxa"/>
            <w:vAlign w:val="top"/>
          </w:tcPr>
          <w:p w14:paraId="5AE41770">
            <w:pPr>
              <w:rPr>
                <w:rFonts w:ascii="Arial"/>
                <w:color w:val="auto"/>
                <w:sz w:val="21"/>
                <w:highlight w:val="none"/>
              </w:rPr>
            </w:pPr>
          </w:p>
        </w:tc>
        <w:tc>
          <w:tcPr>
            <w:tcW w:w="2353" w:type="dxa"/>
            <w:vAlign w:val="top"/>
          </w:tcPr>
          <w:p w14:paraId="7906504C">
            <w:pPr>
              <w:rPr>
                <w:rFonts w:ascii="Arial"/>
                <w:color w:val="auto"/>
                <w:sz w:val="21"/>
                <w:highlight w:val="none"/>
              </w:rPr>
            </w:pPr>
          </w:p>
        </w:tc>
      </w:tr>
      <w:tr w14:paraId="10AC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4DF4871">
            <w:pPr>
              <w:rPr>
                <w:rFonts w:ascii="Arial"/>
                <w:color w:val="auto"/>
                <w:sz w:val="21"/>
                <w:highlight w:val="none"/>
              </w:rPr>
            </w:pPr>
          </w:p>
        </w:tc>
        <w:tc>
          <w:tcPr>
            <w:tcW w:w="2349" w:type="dxa"/>
            <w:vAlign w:val="top"/>
          </w:tcPr>
          <w:p w14:paraId="1679A185">
            <w:pPr>
              <w:rPr>
                <w:rFonts w:ascii="Arial"/>
                <w:color w:val="auto"/>
                <w:sz w:val="21"/>
                <w:highlight w:val="none"/>
              </w:rPr>
            </w:pPr>
          </w:p>
        </w:tc>
        <w:tc>
          <w:tcPr>
            <w:tcW w:w="2349" w:type="dxa"/>
            <w:vAlign w:val="top"/>
          </w:tcPr>
          <w:p w14:paraId="1624168A">
            <w:pPr>
              <w:rPr>
                <w:rFonts w:ascii="Arial"/>
                <w:color w:val="auto"/>
                <w:sz w:val="21"/>
                <w:highlight w:val="none"/>
              </w:rPr>
            </w:pPr>
          </w:p>
        </w:tc>
        <w:tc>
          <w:tcPr>
            <w:tcW w:w="2353" w:type="dxa"/>
            <w:vAlign w:val="top"/>
          </w:tcPr>
          <w:p w14:paraId="276B98FE">
            <w:pPr>
              <w:rPr>
                <w:rFonts w:ascii="Arial"/>
                <w:color w:val="auto"/>
                <w:sz w:val="21"/>
                <w:highlight w:val="none"/>
              </w:rPr>
            </w:pPr>
          </w:p>
        </w:tc>
      </w:tr>
      <w:tr w14:paraId="0A88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7945D261">
            <w:pPr>
              <w:rPr>
                <w:rFonts w:ascii="Arial"/>
                <w:color w:val="auto"/>
                <w:sz w:val="21"/>
                <w:highlight w:val="none"/>
              </w:rPr>
            </w:pPr>
          </w:p>
        </w:tc>
        <w:tc>
          <w:tcPr>
            <w:tcW w:w="2349" w:type="dxa"/>
            <w:vAlign w:val="top"/>
          </w:tcPr>
          <w:p w14:paraId="70D5058A">
            <w:pPr>
              <w:rPr>
                <w:rFonts w:ascii="Arial"/>
                <w:color w:val="auto"/>
                <w:sz w:val="21"/>
                <w:highlight w:val="none"/>
              </w:rPr>
            </w:pPr>
          </w:p>
        </w:tc>
        <w:tc>
          <w:tcPr>
            <w:tcW w:w="2349" w:type="dxa"/>
            <w:vAlign w:val="top"/>
          </w:tcPr>
          <w:p w14:paraId="6ACC03AC">
            <w:pPr>
              <w:rPr>
                <w:rFonts w:ascii="Arial"/>
                <w:color w:val="auto"/>
                <w:sz w:val="21"/>
                <w:highlight w:val="none"/>
              </w:rPr>
            </w:pPr>
          </w:p>
        </w:tc>
        <w:tc>
          <w:tcPr>
            <w:tcW w:w="2353" w:type="dxa"/>
            <w:vAlign w:val="top"/>
          </w:tcPr>
          <w:p w14:paraId="08010BBD">
            <w:pPr>
              <w:rPr>
                <w:rFonts w:ascii="Arial"/>
                <w:color w:val="auto"/>
                <w:sz w:val="21"/>
                <w:highlight w:val="none"/>
              </w:rPr>
            </w:pPr>
          </w:p>
        </w:tc>
      </w:tr>
      <w:tr w14:paraId="032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241C0C07">
            <w:pPr>
              <w:rPr>
                <w:rFonts w:ascii="Arial"/>
                <w:color w:val="auto"/>
                <w:sz w:val="21"/>
                <w:highlight w:val="none"/>
              </w:rPr>
            </w:pPr>
          </w:p>
        </w:tc>
        <w:tc>
          <w:tcPr>
            <w:tcW w:w="2349" w:type="dxa"/>
            <w:vAlign w:val="top"/>
          </w:tcPr>
          <w:p w14:paraId="610A9DEF">
            <w:pPr>
              <w:rPr>
                <w:rFonts w:ascii="Arial"/>
                <w:color w:val="auto"/>
                <w:sz w:val="21"/>
                <w:highlight w:val="none"/>
              </w:rPr>
            </w:pPr>
          </w:p>
        </w:tc>
        <w:tc>
          <w:tcPr>
            <w:tcW w:w="2349" w:type="dxa"/>
            <w:vAlign w:val="top"/>
          </w:tcPr>
          <w:p w14:paraId="68CA88E5">
            <w:pPr>
              <w:rPr>
                <w:rFonts w:ascii="Arial"/>
                <w:color w:val="auto"/>
                <w:sz w:val="21"/>
                <w:highlight w:val="none"/>
              </w:rPr>
            </w:pPr>
          </w:p>
        </w:tc>
        <w:tc>
          <w:tcPr>
            <w:tcW w:w="2353" w:type="dxa"/>
            <w:vAlign w:val="top"/>
          </w:tcPr>
          <w:p w14:paraId="3E9DA0D0">
            <w:pPr>
              <w:rPr>
                <w:rFonts w:ascii="Arial"/>
                <w:color w:val="auto"/>
                <w:sz w:val="21"/>
                <w:highlight w:val="none"/>
              </w:rPr>
            </w:pPr>
          </w:p>
        </w:tc>
      </w:tr>
      <w:tr w14:paraId="464C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359C797">
            <w:pPr>
              <w:rPr>
                <w:rFonts w:ascii="Arial"/>
                <w:color w:val="auto"/>
                <w:sz w:val="21"/>
                <w:highlight w:val="none"/>
              </w:rPr>
            </w:pPr>
          </w:p>
        </w:tc>
        <w:tc>
          <w:tcPr>
            <w:tcW w:w="2349" w:type="dxa"/>
            <w:vAlign w:val="top"/>
          </w:tcPr>
          <w:p w14:paraId="2842D6EC">
            <w:pPr>
              <w:rPr>
                <w:rFonts w:ascii="Arial"/>
                <w:color w:val="auto"/>
                <w:sz w:val="21"/>
                <w:highlight w:val="none"/>
              </w:rPr>
            </w:pPr>
          </w:p>
        </w:tc>
        <w:tc>
          <w:tcPr>
            <w:tcW w:w="2349" w:type="dxa"/>
            <w:vAlign w:val="top"/>
          </w:tcPr>
          <w:p w14:paraId="24EC2D73">
            <w:pPr>
              <w:rPr>
                <w:rFonts w:ascii="Arial"/>
                <w:color w:val="auto"/>
                <w:sz w:val="21"/>
                <w:highlight w:val="none"/>
              </w:rPr>
            </w:pPr>
          </w:p>
        </w:tc>
        <w:tc>
          <w:tcPr>
            <w:tcW w:w="2353" w:type="dxa"/>
            <w:vAlign w:val="top"/>
          </w:tcPr>
          <w:p w14:paraId="53A6B1CA">
            <w:pPr>
              <w:rPr>
                <w:rFonts w:ascii="Arial"/>
                <w:color w:val="auto"/>
                <w:sz w:val="21"/>
                <w:highlight w:val="none"/>
              </w:rPr>
            </w:pPr>
          </w:p>
        </w:tc>
      </w:tr>
      <w:tr w14:paraId="35DED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82D8EE8">
            <w:pPr>
              <w:rPr>
                <w:rFonts w:ascii="Arial"/>
                <w:color w:val="auto"/>
                <w:sz w:val="21"/>
                <w:highlight w:val="none"/>
              </w:rPr>
            </w:pPr>
          </w:p>
        </w:tc>
        <w:tc>
          <w:tcPr>
            <w:tcW w:w="2349" w:type="dxa"/>
            <w:vAlign w:val="top"/>
          </w:tcPr>
          <w:p w14:paraId="2C9429BE">
            <w:pPr>
              <w:rPr>
                <w:rFonts w:ascii="Arial"/>
                <w:color w:val="auto"/>
                <w:sz w:val="21"/>
                <w:highlight w:val="none"/>
              </w:rPr>
            </w:pPr>
          </w:p>
        </w:tc>
        <w:tc>
          <w:tcPr>
            <w:tcW w:w="2349" w:type="dxa"/>
            <w:vAlign w:val="top"/>
          </w:tcPr>
          <w:p w14:paraId="37E0B841">
            <w:pPr>
              <w:rPr>
                <w:rFonts w:ascii="Arial"/>
                <w:color w:val="auto"/>
                <w:sz w:val="21"/>
                <w:highlight w:val="none"/>
              </w:rPr>
            </w:pPr>
          </w:p>
        </w:tc>
        <w:tc>
          <w:tcPr>
            <w:tcW w:w="2353" w:type="dxa"/>
            <w:vAlign w:val="top"/>
          </w:tcPr>
          <w:p w14:paraId="72FAE643">
            <w:pPr>
              <w:rPr>
                <w:rFonts w:ascii="Arial"/>
                <w:color w:val="auto"/>
                <w:sz w:val="21"/>
                <w:highlight w:val="none"/>
              </w:rPr>
            </w:pPr>
          </w:p>
        </w:tc>
      </w:tr>
      <w:tr w14:paraId="5B8C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41AD68A">
            <w:pPr>
              <w:rPr>
                <w:rFonts w:ascii="Arial"/>
                <w:color w:val="auto"/>
                <w:sz w:val="21"/>
                <w:highlight w:val="none"/>
              </w:rPr>
            </w:pPr>
          </w:p>
        </w:tc>
        <w:tc>
          <w:tcPr>
            <w:tcW w:w="2349" w:type="dxa"/>
            <w:vAlign w:val="top"/>
          </w:tcPr>
          <w:p w14:paraId="3C1B983E">
            <w:pPr>
              <w:rPr>
                <w:rFonts w:ascii="Arial"/>
                <w:color w:val="auto"/>
                <w:sz w:val="21"/>
                <w:highlight w:val="none"/>
              </w:rPr>
            </w:pPr>
          </w:p>
        </w:tc>
        <w:tc>
          <w:tcPr>
            <w:tcW w:w="2349" w:type="dxa"/>
            <w:vAlign w:val="top"/>
          </w:tcPr>
          <w:p w14:paraId="50FEA591">
            <w:pPr>
              <w:rPr>
                <w:rFonts w:ascii="Arial"/>
                <w:color w:val="auto"/>
                <w:sz w:val="21"/>
                <w:highlight w:val="none"/>
              </w:rPr>
            </w:pPr>
          </w:p>
        </w:tc>
        <w:tc>
          <w:tcPr>
            <w:tcW w:w="2353" w:type="dxa"/>
            <w:vAlign w:val="top"/>
          </w:tcPr>
          <w:p w14:paraId="55283739">
            <w:pPr>
              <w:rPr>
                <w:rFonts w:ascii="Arial"/>
                <w:color w:val="auto"/>
                <w:sz w:val="21"/>
                <w:highlight w:val="none"/>
              </w:rPr>
            </w:pPr>
          </w:p>
        </w:tc>
      </w:tr>
      <w:tr w14:paraId="21BF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9394975">
            <w:pPr>
              <w:rPr>
                <w:rFonts w:ascii="Arial"/>
                <w:color w:val="auto"/>
                <w:sz w:val="21"/>
                <w:highlight w:val="none"/>
              </w:rPr>
            </w:pPr>
          </w:p>
        </w:tc>
        <w:tc>
          <w:tcPr>
            <w:tcW w:w="2349" w:type="dxa"/>
            <w:vAlign w:val="top"/>
          </w:tcPr>
          <w:p w14:paraId="416E98C4">
            <w:pPr>
              <w:rPr>
                <w:rFonts w:ascii="Arial"/>
                <w:color w:val="auto"/>
                <w:sz w:val="21"/>
                <w:highlight w:val="none"/>
              </w:rPr>
            </w:pPr>
          </w:p>
        </w:tc>
        <w:tc>
          <w:tcPr>
            <w:tcW w:w="2349" w:type="dxa"/>
            <w:vAlign w:val="top"/>
          </w:tcPr>
          <w:p w14:paraId="76E187DC">
            <w:pPr>
              <w:rPr>
                <w:rFonts w:ascii="Arial"/>
                <w:color w:val="auto"/>
                <w:sz w:val="21"/>
                <w:highlight w:val="none"/>
              </w:rPr>
            </w:pPr>
          </w:p>
        </w:tc>
        <w:tc>
          <w:tcPr>
            <w:tcW w:w="2353" w:type="dxa"/>
            <w:vAlign w:val="top"/>
          </w:tcPr>
          <w:p w14:paraId="3AE57E67">
            <w:pPr>
              <w:rPr>
                <w:rFonts w:ascii="Arial"/>
                <w:color w:val="auto"/>
                <w:sz w:val="21"/>
                <w:highlight w:val="none"/>
              </w:rPr>
            </w:pPr>
          </w:p>
        </w:tc>
      </w:tr>
      <w:tr w14:paraId="71C2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626E722">
            <w:pPr>
              <w:rPr>
                <w:rFonts w:ascii="Arial"/>
                <w:color w:val="auto"/>
                <w:sz w:val="21"/>
                <w:highlight w:val="none"/>
              </w:rPr>
            </w:pPr>
          </w:p>
        </w:tc>
        <w:tc>
          <w:tcPr>
            <w:tcW w:w="2349" w:type="dxa"/>
            <w:vAlign w:val="top"/>
          </w:tcPr>
          <w:p w14:paraId="5D2CA651">
            <w:pPr>
              <w:rPr>
                <w:rFonts w:ascii="Arial"/>
                <w:color w:val="auto"/>
                <w:sz w:val="21"/>
                <w:highlight w:val="none"/>
              </w:rPr>
            </w:pPr>
          </w:p>
        </w:tc>
        <w:tc>
          <w:tcPr>
            <w:tcW w:w="2349" w:type="dxa"/>
            <w:vAlign w:val="top"/>
          </w:tcPr>
          <w:p w14:paraId="0A5014E5">
            <w:pPr>
              <w:rPr>
                <w:rFonts w:ascii="Arial"/>
                <w:color w:val="auto"/>
                <w:sz w:val="21"/>
                <w:highlight w:val="none"/>
              </w:rPr>
            </w:pPr>
          </w:p>
        </w:tc>
        <w:tc>
          <w:tcPr>
            <w:tcW w:w="2353" w:type="dxa"/>
            <w:vAlign w:val="top"/>
          </w:tcPr>
          <w:p w14:paraId="0E2B4C35">
            <w:pPr>
              <w:rPr>
                <w:rFonts w:ascii="Arial"/>
                <w:color w:val="auto"/>
                <w:sz w:val="21"/>
                <w:highlight w:val="none"/>
              </w:rPr>
            </w:pPr>
          </w:p>
        </w:tc>
      </w:tr>
      <w:tr w14:paraId="06985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F689664">
            <w:pPr>
              <w:rPr>
                <w:rFonts w:ascii="Arial"/>
                <w:color w:val="auto"/>
                <w:sz w:val="21"/>
                <w:highlight w:val="none"/>
              </w:rPr>
            </w:pPr>
          </w:p>
        </w:tc>
        <w:tc>
          <w:tcPr>
            <w:tcW w:w="2349" w:type="dxa"/>
            <w:vAlign w:val="top"/>
          </w:tcPr>
          <w:p w14:paraId="69429E9A">
            <w:pPr>
              <w:rPr>
                <w:rFonts w:ascii="Arial"/>
                <w:color w:val="auto"/>
                <w:sz w:val="21"/>
                <w:highlight w:val="none"/>
              </w:rPr>
            </w:pPr>
          </w:p>
        </w:tc>
        <w:tc>
          <w:tcPr>
            <w:tcW w:w="2349" w:type="dxa"/>
            <w:vAlign w:val="top"/>
          </w:tcPr>
          <w:p w14:paraId="0F7C3354">
            <w:pPr>
              <w:rPr>
                <w:rFonts w:ascii="Arial"/>
                <w:color w:val="auto"/>
                <w:sz w:val="21"/>
                <w:highlight w:val="none"/>
              </w:rPr>
            </w:pPr>
          </w:p>
        </w:tc>
        <w:tc>
          <w:tcPr>
            <w:tcW w:w="2353" w:type="dxa"/>
            <w:vAlign w:val="top"/>
          </w:tcPr>
          <w:p w14:paraId="740FF797">
            <w:pPr>
              <w:rPr>
                <w:rFonts w:ascii="Arial"/>
                <w:color w:val="auto"/>
                <w:sz w:val="21"/>
                <w:highlight w:val="none"/>
              </w:rPr>
            </w:pPr>
          </w:p>
        </w:tc>
      </w:tr>
      <w:tr w14:paraId="02FBD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A2E4390">
            <w:pPr>
              <w:rPr>
                <w:rFonts w:ascii="Arial"/>
                <w:color w:val="auto"/>
                <w:sz w:val="21"/>
                <w:highlight w:val="none"/>
              </w:rPr>
            </w:pPr>
          </w:p>
        </w:tc>
        <w:tc>
          <w:tcPr>
            <w:tcW w:w="2349" w:type="dxa"/>
            <w:vAlign w:val="top"/>
          </w:tcPr>
          <w:p w14:paraId="66838419">
            <w:pPr>
              <w:rPr>
                <w:rFonts w:ascii="Arial"/>
                <w:color w:val="auto"/>
                <w:sz w:val="21"/>
                <w:highlight w:val="none"/>
              </w:rPr>
            </w:pPr>
          </w:p>
        </w:tc>
        <w:tc>
          <w:tcPr>
            <w:tcW w:w="2349" w:type="dxa"/>
            <w:vAlign w:val="top"/>
          </w:tcPr>
          <w:p w14:paraId="275BA529">
            <w:pPr>
              <w:rPr>
                <w:rFonts w:ascii="Arial"/>
                <w:color w:val="auto"/>
                <w:sz w:val="21"/>
                <w:highlight w:val="none"/>
              </w:rPr>
            </w:pPr>
          </w:p>
        </w:tc>
        <w:tc>
          <w:tcPr>
            <w:tcW w:w="2353" w:type="dxa"/>
            <w:vAlign w:val="top"/>
          </w:tcPr>
          <w:p w14:paraId="412C2961">
            <w:pPr>
              <w:rPr>
                <w:rFonts w:ascii="Arial"/>
                <w:color w:val="auto"/>
                <w:sz w:val="21"/>
                <w:highlight w:val="none"/>
              </w:rPr>
            </w:pPr>
          </w:p>
        </w:tc>
      </w:tr>
      <w:tr w14:paraId="38CB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BB694D2">
            <w:pPr>
              <w:rPr>
                <w:rFonts w:ascii="Arial"/>
                <w:color w:val="auto"/>
                <w:sz w:val="21"/>
                <w:highlight w:val="none"/>
              </w:rPr>
            </w:pPr>
          </w:p>
        </w:tc>
        <w:tc>
          <w:tcPr>
            <w:tcW w:w="2349" w:type="dxa"/>
            <w:vAlign w:val="top"/>
          </w:tcPr>
          <w:p w14:paraId="17BAC741">
            <w:pPr>
              <w:rPr>
                <w:rFonts w:ascii="Arial"/>
                <w:color w:val="auto"/>
                <w:sz w:val="21"/>
                <w:highlight w:val="none"/>
              </w:rPr>
            </w:pPr>
          </w:p>
        </w:tc>
        <w:tc>
          <w:tcPr>
            <w:tcW w:w="2349" w:type="dxa"/>
            <w:vAlign w:val="top"/>
          </w:tcPr>
          <w:p w14:paraId="643C635E">
            <w:pPr>
              <w:rPr>
                <w:rFonts w:ascii="Arial"/>
                <w:color w:val="auto"/>
                <w:sz w:val="21"/>
                <w:highlight w:val="none"/>
              </w:rPr>
            </w:pPr>
          </w:p>
        </w:tc>
        <w:tc>
          <w:tcPr>
            <w:tcW w:w="2353" w:type="dxa"/>
            <w:vAlign w:val="top"/>
          </w:tcPr>
          <w:p w14:paraId="06911E38">
            <w:pPr>
              <w:rPr>
                <w:rFonts w:ascii="Arial"/>
                <w:color w:val="auto"/>
                <w:sz w:val="21"/>
                <w:highlight w:val="none"/>
              </w:rPr>
            </w:pPr>
          </w:p>
        </w:tc>
      </w:tr>
      <w:tr w14:paraId="0D24E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E2F50AE">
            <w:pPr>
              <w:rPr>
                <w:rFonts w:ascii="Arial"/>
                <w:color w:val="auto"/>
                <w:sz w:val="21"/>
                <w:highlight w:val="none"/>
              </w:rPr>
            </w:pPr>
          </w:p>
        </w:tc>
        <w:tc>
          <w:tcPr>
            <w:tcW w:w="2349" w:type="dxa"/>
            <w:vAlign w:val="top"/>
          </w:tcPr>
          <w:p w14:paraId="68439A24">
            <w:pPr>
              <w:rPr>
                <w:rFonts w:ascii="Arial"/>
                <w:color w:val="auto"/>
                <w:sz w:val="21"/>
                <w:highlight w:val="none"/>
              </w:rPr>
            </w:pPr>
          </w:p>
        </w:tc>
        <w:tc>
          <w:tcPr>
            <w:tcW w:w="2349" w:type="dxa"/>
            <w:vAlign w:val="top"/>
          </w:tcPr>
          <w:p w14:paraId="20127614">
            <w:pPr>
              <w:rPr>
                <w:rFonts w:ascii="Arial"/>
                <w:color w:val="auto"/>
                <w:sz w:val="21"/>
                <w:highlight w:val="none"/>
              </w:rPr>
            </w:pPr>
          </w:p>
        </w:tc>
        <w:tc>
          <w:tcPr>
            <w:tcW w:w="2353" w:type="dxa"/>
            <w:vAlign w:val="top"/>
          </w:tcPr>
          <w:p w14:paraId="081605F2">
            <w:pPr>
              <w:rPr>
                <w:rFonts w:ascii="Arial"/>
                <w:color w:val="auto"/>
                <w:sz w:val="21"/>
                <w:highlight w:val="none"/>
              </w:rPr>
            </w:pPr>
          </w:p>
        </w:tc>
      </w:tr>
      <w:tr w14:paraId="58EE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353" w:type="dxa"/>
            <w:vAlign w:val="top"/>
          </w:tcPr>
          <w:p w14:paraId="5A4811C3">
            <w:pPr>
              <w:rPr>
                <w:rFonts w:ascii="Arial"/>
                <w:color w:val="auto"/>
                <w:sz w:val="21"/>
                <w:highlight w:val="none"/>
              </w:rPr>
            </w:pPr>
          </w:p>
        </w:tc>
        <w:tc>
          <w:tcPr>
            <w:tcW w:w="2349" w:type="dxa"/>
            <w:vAlign w:val="top"/>
          </w:tcPr>
          <w:p w14:paraId="45DE24B9">
            <w:pPr>
              <w:rPr>
                <w:rFonts w:ascii="Arial"/>
                <w:color w:val="auto"/>
                <w:sz w:val="21"/>
                <w:highlight w:val="none"/>
              </w:rPr>
            </w:pPr>
          </w:p>
        </w:tc>
        <w:tc>
          <w:tcPr>
            <w:tcW w:w="2349" w:type="dxa"/>
            <w:vAlign w:val="top"/>
          </w:tcPr>
          <w:p w14:paraId="2BB5F315">
            <w:pPr>
              <w:rPr>
                <w:rFonts w:ascii="Arial"/>
                <w:color w:val="auto"/>
                <w:sz w:val="21"/>
                <w:highlight w:val="none"/>
              </w:rPr>
            </w:pPr>
          </w:p>
        </w:tc>
        <w:tc>
          <w:tcPr>
            <w:tcW w:w="2353" w:type="dxa"/>
            <w:vAlign w:val="top"/>
          </w:tcPr>
          <w:p w14:paraId="1F1F48B4">
            <w:pPr>
              <w:rPr>
                <w:rFonts w:ascii="Arial"/>
                <w:color w:val="auto"/>
                <w:sz w:val="21"/>
                <w:highlight w:val="none"/>
              </w:rPr>
            </w:pPr>
          </w:p>
        </w:tc>
      </w:tr>
    </w:tbl>
    <w:p w14:paraId="7E608EA6">
      <w:pPr>
        <w:pStyle w:val="8"/>
        <w:rPr>
          <w:color w:val="auto"/>
          <w:highlight w:val="none"/>
        </w:rPr>
      </w:pPr>
    </w:p>
    <w:p w14:paraId="7118DCBC">
      <w:pPr>
        <w:rPr>
          <w:color w:val="auto"/>
          <w:highlight w:val="none"/>
        </w:rPr>
        <w:sectPr>
          <w:footerReference r:id="rId27" w:type="default"/>
          <w:pgSz w:w="11906" w:h="16839"/>
          <w:pgMar w:top="1347" w:right="1248" w:bottom="1153" w:left="1248" w:header="0" w:footer="994" w:gutter="0"/>
          <w:pgNumType w:fmt="decimal"/>
          <w:cols w:space="720" w:num="1"/>
        </w:sectPr>
      </w:pPr>
    </w:p>
    <w:p w14:paraId="16AAFF1F">
      <w:pPr>
        <w:spacing w:before="47" w:line="219" w:lineRule="auto"/>
        <w:ind w:left="3678"/>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七、</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项目管理机构</w:t>
      </w:r>
    </w:p>
    <w:p w14:paraId="402D140C">
      <w:pPr>
        <w:pStyle w:val="8"/>
        <w:spacing w:line="276" w:lineRule="auto"/>
        <w:rPr>
          <w:color w:val="auto"/>
          <w:highlight w:val="none"/>
        </w:rPr>
      </w:pPr>
    </w:p>
    <w:p w14:paraId="195B9589">
      <w:pPr>
        <w:pStyle w:val="8"/>
        <w:spacing w:line="277" w:lineRule="auto"/>
        <w:rPr>
          <w:color w:val="auto"/>
          <w:highlight w:val="none"/>
        </w:rPr>
      </w:pPr>
    </w:p>
    <w:p w14:paraId="4AACF3D1">
      <w:pPr>
        <w:spacing w:before="78" w:line="212" w:lineRule="auto"/>
        <w:ind w:left="177"/>
        <w:rPr>
          <w:rFonts w:ascii="宋体" w:hAnsi="宋体" w:eastAsia="宋体" w:cs="宋体"/>
          <w:color w:val="auto"/>
          <w:sz w:val="24"/>
          <w:szCs w:val="24"/>
          <w:highlight w:val="none"/>
        </w:rPr>
      </w:pPr>
      <w:r>
        <w:rPr>
          <w:rFonts w:hint="eastAsia" w:ascii="Calibri" w:hAnsi="Calibri" w:eastAsia="宋体" w:cs="Calibri"/>
          <w:color w:val="auto"/>
          <w:spacing w:val="-2"/>
          <w:sz w:val="24"/>
          <w:szCs w:val="24"/>
          <w:highlight w:val="none"/>
          <w:lang w:eastAsia="zh-CN"/>
        </w:rPr>
        <w:t>（</w:t>
      </w:r>
      <w:r>
        <w:rPr>
          <w:rFonts w:ascii="宋体" w:hAnsi="宋体" w:eastAsia="宋体" w:cs="宋体"/>
          <w:color w:val="auto"/>
          <w:spacing w:val="-2"/>
          <w:sz w:val="24"/>
          <w:szCs w:val="24"/>
          <w:highlight w:val="none"/>
        </w:rPr>
        <w:t>一</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项目管理机构组成表</w:t>
      </w:r>
    </w:p>
    <w:p w14:paraId="3B7DAC57">
      <w:pPr>
        <w:spacing w:line="157" w:lineRule="exact"/>
        <w:rPr>
          <w:color w:val="auto"/>
          <w:highlight w:val="none"/>
        </w:rPr>
      </w:pPr>
    </w:p>
    <w:tbl>
      <w:tblPr>
        <w:tblStyle w:val="20"/>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055"/>
        <w:gridCol w:w="1054"/>
        <w:gridCol w:w="1195"/>
        <w:gridCol w:w="912"/>
        <w:gridCol w:w="1054"/>
        <w:gridCol w:w="731"/>
        <w:gridCol w:w="1554"/>
        <w:gridCol w:w="889"/>
      </w:tblGrid>
      <w:tr w14:paraId="1385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58" w:type="dxa"/>
            <w:vMerge w:val="restart"/>
            <w:tcBorders>
              <w:bottom w:val="nil"/>
            </w:tcBorders>
            <w:vAlign w:val="top"/>
          </w:tcPr>
          <w:p w14:paraId="21728369">
            <w:pPr>
              <w:spacing w:line="269" w:lineRule="auto"/>
              <w:rPr>
                <w:rFonts w:ascii="Arial"/>
                <w:color w:val="auto"/>
                <w:sz w:val="21"/>
                <w:highlight w:val="none"/>
              </w:rPr>
            </w:pPr>
          </w:p>
          <w:p w14:paraId="783158FC">
            <w:pPr>
              <w:spacing w:line="270" w:lineRule="auto"/>
              <w:rPr>
                <w:rFonts w:ascii="Arial"/>
                <w:color w:val="auto"/>
                <w:sz w:val="21"/>
                <w:highlight w:val="none"/>
              </w:rPr>
            </w:pPr>
          </w:p>
          <w:p w14:paraId="1C934D60">
            <w:pPr>
              <w:pStyle w:val="21"/>
              <w:spacing w:before="65" w:line="228" w:lineRule="auto"/>
              <w:ind w:left="326"/>
              <w:rPr>
                <w:color w:val="auto"/>
                <w:highlight w:val="none"/>
              </w:rPr>
            </w:pPr>
            <w:r>
              <w:rPr>
                <w:color w:val="auto"/>
                <w:spacing w:val="4"/>
                <w:highlight w:val="none"/>
              </w:rPr>
              <w:t>职务</w:t>
            </w:r>
          </w:p>
        </w:tc>
        <w:tc>
          <w:tcPr>
            <w:tcW w:w="1055" w:type="dxa"/>
            <w:vMerge w:val="restart"/>
            <w:tcBorders>
              <w:bottom w:val="nil"/>
            </w:tcBorders>
            <w:vAlign w:val="top"/>
          </w:tcPr>
          <w:p w14:paraId="5043C1E5">
            <w:pPr>
              <w:spacing w:line="269" w:lineRule="auto"/>
              <w:rPr>
                <w:rFonts w:ascii="Arial"/>
                <w:color w:val="auto"/>
                <w:sz w:val="21"/>
                <w:highlight w:val="none"/>
              </w:rPr>
            </w:pPr>
          </w:p>
          <w:p w14:paraId="290471C0">
            <w:pPr>
              <w:spacing w:line="270" w:lineRule="auto"/>
              <w:rPr>
                <w:rFonts w:ascii="Arial"/>
                <w:color w:val="auto"/>
                <w:sz w:val="21"/>
                <w:highlight w:val="none"/>
              </w:rPr>
            </w:pPr>
          </w:p>
          <w:p w14:paraId="496520F0">
            <w:pPr>
              <w:pStyle w:val="21"/>
              <w:spacing w:before="65" w:line="228" w:lineRule="auto"/>
              <w:ind w:left="321"/>
              <w:rPr>
                <w:color w:val="auto"/>
                <w:highlight w:val="none"/>
              </w:rPr>
            </w:pPr>
            <w:r>
              <w:rPr>
                <w:color w:val="auto"/>
                <w:spacing w:val="4"/>
                <w:highlight w:val="none"/>
              </w:rPr>
              <w:t>姓名</w:t>
            </w:r>
          </w:p>
        </w:tc>
        <w:tc>
          <w:tcPr>
            <w:tcW w:w="1054" w:type="dxa"/>
            <w:vMerge w:val="restart"/>
            <w:tcBorders>
              <w:bottom w:val="nil"/>
            </w:tcBorders>
            <w:vAlign w:val="top"/>
          </w:tcPr>
          <w:p w14:paraId="23FE97D8">
            <w:pPr>
              <w:spacing w:line="269" w:lineRule="auto"/>
              <w:rPr>
                <w:rFonts w:ascii="Arial"/>
                <w:color w:val="auto"/>
                <w:sz w:val="21"/>
                <w:highlight w:val="none"/>
              </w:rPr>
            </w:pPr>
          </w:p>
          <w:p w14:paraId="2B0C83D5">
            <w:pPr>
              <w:spacing w:line="270" w:lineRule="auto"/>
              <w:rPr>
                <w:rFonts w:ascii="Arial"/>
                <w:color w:val="auto"/>
                <w:sz w:val="21"/>
                <w:highlight w:val="none"/>
              </w:rPr>
            </w:pPr>
          </w:p>
          <w:p w14:paraId="58CCD95F">
            <w:pPr>
              <w:pStyle w:val="21"/>
              <w:spacing w:before="65" w:line="230" w:lineRule="auto"/>
              <w:ind w:left="320"/>
              <w:rPr>
                <w:color w:val="auto"/>
                <w:highlight w:val="none"/>
              </w:rPr>
            </w:pPr>
            <w:r>
              <w:rPr>
                <w:color w:val="auto"/>
                <w:spacing w:val="4"/>
                <w:highlight w:val="none"/>
              </w:rPr>
              <w:t>职称</w:t>
            </w:r>
          </w:p>
        </w:tc>
        <w:tc>
          <w:tcPr>
            <w:tcW w:w="5446" w:type="dxa"/>
            <w:gridSpan w:val="5"/>
            <w:vAlign w:val="top"/>
          </w:tcPr>
          <w:p w14:paraId="55F2C280">
            <w:pPr>
              <w:pStyle w:val="21"/>
              <w:spacing w:before="216" w:line="228" w:lineRule="auto"/>
              <w:ind w:left="1783"/>
              <w:rPr>
                <w:color w:val="auto"/>
                <w:highlight w:val="none"/>
              </w:rPr>
            </w:pPr>
            <w:r>
              <w:rPr>
                <w:color w:val="auto"/>
                <w:spacing w:val="8"/>
                <w:highlight w:val="none"/>
              </w:rPr>
              <w:t>执业或职业资格证明</w:t>
            </w:r>
          </w:p>
        </w:tc>
        <w:tc>
          <w:tcPr>
            <w:tcW w:w="889" w:type="dxa"/>
            <w:vMerge w:val="restart"/>
            <w:tcBorders>
              <w:bottom w:val="nil"/>
            </w:tcBorders>
            <w:vAlign w:val="top"/>
          </w:tcPr>
          <w:p w14:paraId="3B4C739F">
            <w:pPr>
              <w:spacing w:line="270" w:lineRule="auto"/>
              <w:rPr>
                <w:rFonts w:ascii="Arial"/>
                <w:color w:val="auto"/>
                <w:sz w:val="21"/>
                <w:highlight w:val="none"/>
              </w:rPr>
            </w:pPr>
          </w:p>
          <w:p w14:paraId="7FD401E3">
            <w:pPr>
              <w:spacing w:line="270" w:lineRule="auto"/>
              <w:rPr>
                <w:rFonts w:ascii="Arial"/>
                <w:color w:val="auto"/>
                <w:sz w:val="21"/>
                <w:highlight w:val="none"/>
              </w:rPr>
            </w:pPr>
          </w:p>
          <w:p w14:paraId="308AED57">
            <w:pPr>
              <w:pStyle w:val="21"/>
              <w:spacing w:before="65" w:line="229" w:lineRule="auto"/>
              <w:ind w:left="242"/>
              <w:rPr>
                <w:color w:val="auto"/>
                <w:highlight w:val="none"/>
              </w:rPr>
            </w:pPr>
            <w:r>
              <w:rPr>
                <w:color w:val="auto"/>
                <w:spacing w:val="3"/>
                <w:highlight w:val="none"/>
              </w:rPr>
              <w:t>备注</w:t>
            </w:r>
          </w:p>
        </w:tc>
      </w:tr>
      <w:tr w14:paraId="456E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058" w:type="dxa"/>
            <w:vMerge w:val="continue"/>
            <w:tcBorders>
              <w:top w:val="nil"/>
            </w:tcBorders>
            <w:vAlign w:val="top"/>
          </w:tcPr>
          <w:p w14:paraId="52B04278">
            <w:pPr>
              <w:rPr>
                <w:rFonts w:ascii="Arial"/>
                <w:color w:val="auto"/>
                <w:sz w:val="21"/>
                <w:highlight w:val="none"/>
              </w:rPr>
            </w:pPr>
          </w:p>
        </w:tc>
        <w:tc>
          <w:tcPr>
            <w:tcW w:w="1055" w:type="dxa"/>
            <w:vMerge w:val="continue"/>
            <w:tcBorders>
              <w:top w:val="nil"/>
            </w:tcBorders>
            <w:vAlign w:val="top"/>
          </w:tcPr>
          <w:p w14:paraId="7D5FFF26">
            <w:pPr>
              <w:rPr>
                <w:rFonts w:ascii="Arial"/>
                <w:color w:val="auto"/>
                <w:sz w:val="21"/>
                <w:highlight w:val="none"/>
              </w:rPr>
            </w:pPr>
          </w:p>
        </w:tc>
        <w:tc>
          <w:tcPr>
            <w:tcW w:w="1054" w:type="dxa"/>
            <w:vMerge w:val="continue"/>
            <w:tcBorders>
              <w:top w:val="nil"/>
            </w:tcBorders>
            <w:vAlign w:val="top"/>
          </w:tcPr>
          <w:p w14:paraId="22A9EFE4">
            <w:pPr>
              <w:rPr>
                <w:rFonts w:ascii="Arial"/>
                <w:color w:val="auto"/>
                <w:sz w:val="21"/>
                <w:highlight w:val="none"/>
              </w:rPr>
            </w:pPr>
          </w:p>
        </w:tc>
        <w:tc>
          <w:tcPr>
            <w:tcW w:w="1195" w:type="dxa"/>
            <w:vAlign w:val="top"/>
          </w:tcPr>
          <w:p w14:paraId="46E1499C">
            <w:pPr>
              <w:pStyle w:val="21"/>
              <w:spacing w:before="211" w:line="227" w:lineRule="auto"/>
              <w:ind w:left="182"/>
              <w:rPr>
                <w:color w:val="auto"/>
                <w:highlight w:val="none"/>
              </w:rPr>
            </w:pPr>
            <w:r>
              <w:rPr>
                <w:color w:val="auto"/>
                <w:spacing w:val="7"/>
                <w:highlight w:val="none"/>
              </w:rPr>
              <w:t>证书名称</w:t>
            </w:r>
          </w:p>
        </w:tc>
        <w:tc>
          <w:tcPr>
            <w:tcW w:w="912" w:type="dxa"/>
            <w:vAlign w:val="top"/>
          </w:tcPr>
          <w:p w14:paraId="42FBED4A">
            <w:pPr>
              <w:pStyle w:val="21"/>
              <w:spacing w:before="211" w:line="228" w:lineRule="auto"/>
              <w:ind w:left="255"/>
              <w:rPr>
                <w:color w:val="auto"/>
                <w:highlight w:val="none"/>
              </w:rPr>
            </w:pPr>
            <w:r>
              <w:rPr>
                <w:color w:val="auto"/>
                <w:spacing w:val="3"/>
                <w:highlight w:val="none"/>
              </w:rPr>
              <w:t>级别</w:t>
            </w:r>
          </w:p>
        </w:tc>
        <w:tc>
          <w:tcPr>
            <w:tcW w:w="1054" w:type="dxa"/>
            <w:vAlign w:val="top"/>
          </w:tcPr>
          <w:p w14:paraId="711F8533">
            <w:pPr>
              <w:pStyle w:val="21"/>
              <w:spacing w:before="211" w:line="229" w:lineRule="auto"/>
              <w:ind w:left="321"/>
              <w:rPr>
                <w:color w:val="auto"/>
                <w:highlight w:val="none"/>
              </w:rPr>
            </w:pPr>
            <w:r>
              <w:rPr>
                <w:color w:val="auto"/>
                <w:spacing w:val="4"/>
                <w:highlight w:val="none"/>
              </w:rPr>
              <w:t>证号</w:t>
            </w:r>
          </w:p>
        </w:tc>
        <w:tc>
          <w:tcPr>
            <w:tcW w:w="731" w:type="dxa"/>
            <w:vAlign w:val="top"/>
          </w:tcPr>
          <w:p w14:paraId="5EE158F0">
            <w:pPr>
              <w:pStyle w:val="21"/>
              <w:spacing w:before="211" w:line="228" w:lineRule="auto"/>
              <w:ind w:left="161"/>
              <w:rPr>
                <w:color w:val="auto"/>
                <w:highlight w:val="none"/>
              </w:rPr>
            </w:pPr>
            <w:r>
              <w:rPr>
                <w:color w:val="auto"/>
                <w:spacing w:val="4"/>
                <w:highlight w:val="none"/>
              </w:rPr>
              <w:t>专业</w:t>
            </w:r>
          </w:p>
        </w:tc>
        <w:tc>
          <w:tcPr>
            <w:tcW w:w="1554" w:type="dxa"/>
            <w:vAlign w:val="top"/>
          </w:tcPr>
          <w:p w14:paraId="25F35073">
            <w:pPr>
              <w:pStyle w:val="21"/>
              <w:spacing w:before="210" w:line="228" w:lineRule="auto"/>
              <w:ind w:left="364"/>
              <w:rPr>
                <w:color w:val="auto"/>
                <w:highlight w:val="none"/>
              </w:rPr>
            </w:pPr>
            <w:r>
              <w:rPr>
                <w:color w:val="auto"/>
                <w:spacing w:val="7"/>
                <w:highlight w:val="none"/>
              </w:rPr>
              <w:t>养老保险</w:t>
            </w:r>
          </w:p>
        </w:tc>
        <w:tc>
          <w:tcPr>
            <w:tcW w:w="889" w:type="dxa"/>
            <w:vMerge w:val="continue"/>
            <w:tcBorders>
              <w:top w:val="nil"/>
            </w:tcBorders>
            <w:vAlign w:val="top"/>
          </w:tcPr>
          <w:p w14:paraId="4E608EC8">
            <w:pPr>
              <w:rPr>
                <w:rFonts w:ascii="Arial"/>
                <w:color w:val="auto"/>
                <w:sz w:val="21"/>
                <w:highlight w:val="none"/>
              </w:rPr>
            </w:pPr>
          </w:p>
        </w:tc>
      </w:tr>
      <w:tr w14:paraId="1F980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58" w:type="dxa"/>
            <w:vAlign w:val="top"/>
          </w:tcPr>
          <w:p w14:paraId="1792B6F7">
            <w:pPr>
              <w:rPr>
                <w:rFonts w:ascii="Arial"/>
                <w:color w:val="auto"/>
                <w:sz w:val="21"/>
                <w:highlight w:val="none"/>
              </w:rPr>
            </w:pPr>
          </w:p>
        </w:tc>
        <w:tc>
          <w:tcPr>
            <w:tcW w:w="1055" w:type="dxa"/>
            <w:vAlign w:val="top"/>
          </w:tcPr>
          <w:p w14:paraId="38CE6D32">
            <w:pPr>
              <w:rPr>
                <w:rFonts w:ascii="Arial"/>
                <w:color w:val="auto"/>
                <w:sz w:val="21"/>
                <w:highlight w:val="none"/>
              </w:rPr>
            </w:pPr>
          </w:p>
        </w:tc>
        <w:tc>
          <w:tcPr>
            <w:tcW w:w="1054" w:type="dxa"/>
            <w:vAlign w:val="top"/>
          </w:tcPr>
          <w:p w14:paraId="45E6DF7D">
            <w:pPr>
              <w:rPr>
                <w:rFonts w:ascii="Arial"/>
                <w:color w:val="auto"/>
                <w:sz w:val="21"/>
                <w:highlight w:val="none"/>
              </w:rPr>
            </w:pPr>
          </w:p>
        </w:tc>
        <w:tc>
          <w:tcPr>
            <w:tcW w:w="1195" w:type="dxa"/>
            <w:vAlign w:val="top"/>
          </w:tcPr>
          <w:p w14:paraId="6159D337">
            <w:pPr>
              <w:rPr>
                <w:rFonts w:ascii="Arial"/>
                <w:color w:val="auto"/>
                <w:sz w:val="21"/>
                <w:highlight w:val="none"/>
              </w:rPr>
            </w:pPr>
          </w:p>
        </w:tc>
        <w:tc>
          <w:tcPr>
            <w:tcW w:w="912" w:type="dxa"/>
            <w:vAlign w:val="top"/>
          </w:tcPr>
          <w:p w14:paraId="4A18E146">
            <w:pPr>
              <w:rPr>
                <w:rFonts w:ascii="Arial"/>
                <w:color w:val="auto"/>
                <w:sz w:val="21"/>
                <w:highlight w:val="none"/>
              </w:rPr>
            </w:pPr>
          </w:p>
        </w:tc>
        <w:tc>
          <w:tcPr>
            <w:tcW w:w="1054" w:type="dxa"/>
            <w:vAlign w:val="top"/>
          </w:tcPr>
          <w:p w14:paraId="777FB444">
            <w:pPr>
              <w:rPr>
                <w:rFonts w:ascii="Arial"/>
                <w:color w:val="auto"/>
                <w:sz w:val="21"/>
                <w:highlight w:val="none"/>
              </w:rPr>
            </w:pPr>
          </w:p>
        </w:tc>
        <w:tc>
          <w:tcPr>
            <w:tcW w:w="731" w:type="dxa"/>
            <w:vAlign w:val="top"/>
          </w:tcPr>
          <w:p w14:paraId="6E78368A">
            <w:pPr>
              <w:rPr>
                <w:rFonts w:ascii="Arial"/>
                <w:color w:val="auto"/>
                <w:sz w:val="21"/>
                <w:highlight w:val="none"/>
              </w:rPr>
            </w:pPr>
          </w:p>
        </w:tc>
        <w:tc>
          <w:tcPr>
            <w:tcW w:w="1554" w:type="dxa"/>
            <w:vAlign w:val="top"/>
          </w:tcPr>
          <w:p w14:paraId="46633087">
            <w:pPr>
              <w:rPr>
                <w:rFonts w:ascii="Arial"/>
                <w:color w:val="auto"/>
                <w:sz w:val="21"/>
                <w:highlight w:val="none"/>
              </w:rPr>
            </w:pPr>
          </w:p>
        </w:tc>
        <w:tc>
          <w:tcPr>
            <w:tcW w:w="889" w:type="dxa"/>
            <w:vAlign w:val="top"/>
          </w:tcPr>
          <w:p w14:paraId="61C03599">
            <w:pPr>
              <w:rPr>
                <w:rFonts w:ascii="Arial"/>
                <w:color w:val="auto"/>
                <w:sz w:val="21"/>
                <w:highlight w:val="none"/>
              </w:rPr>
            </w:pPr>
          </w:p>
        </w:tc>
      </w:tr>
      <w:tr w14:paraId="2977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58" w:type="dxa"/>
            <w:vAlign w:val="top"/>
          </w:tcPr>
          <w:p w14:paraId="22A58A03">
            <w:pPr>
              <w:rPr>
                <w:rFonts w:ascii="Arial"/>
                <w:color w:val="auto"/>
                <w:sz w:val="21"/>
                <w:highlight w:val="none"/>
              </w:rPr>
            </w:pPr>
          </w:p>
        </w:tc>
        <w:tc>
          <w:tcPr>
            <w:tcW w:w="1055" w:type="dxa"/>
            <w:vAlign w:val="top"/>
          </w:tcPr>
          <w:p w14:paraId="1F159763">
            <w:pPr>
              <w:rPr>
                <w:rFonts w:ascii="Arial"/>
                <w:color w:val="auto"/>
                <w:sz w:val="21"/>
                <w:highlight w:val="none"/>
              </w:rPr>
            </w:pPr>
          </w:p>
        </w:tc>
        <w:tc>
          <w:tcPr>
            <w:tcW w:w="1054" w:type="dxa"/>
            <w:vAlign w:val="top"/>
          </w:tcPr>
          <w:p w14:paraId="340221F8">
            <w:pPr>
              <w:rPr>
                <w:rFonts w:ascii="Arial"/>
                <w:color w:val="auto"/>
                <w:sz w:val="21"/>
                <w:highlight w:val="none"/>
              </w:rPr>
            </w:pPr>
          </w:p>
        </w:tc>
        <w:tc>
          <w:tcPr>
            <w:tcW w:w="1195" w:type="dxa"/>
            <w:vAlign w:val="top"/>
          </w:tcPr>
          <w:p w14:paraId="2B962233">
            <w:pPr>
              <w:rPr>
                <w:rFonts w:ascii="Arial"/>
                <w:color w:val="auto"/>
                <w:sz w:val="21"/>
                <w:highlight w:val="none"/>
              </w:rPr>
            </w:pPr>
          </w:p>
        </w:tc>
        <w:tc>
          <w:tcPr>
            <w:tcW w:w="912" w:type="dxa"/>
            <w:vAlign w:val="top"/>
          </w:tcPr>
          <w:p w14:paraId="4AC2E672">
            <w:pPr>
              <w:rPr>
                <w:rFonts w:ascii="Arial"/>
                <w:color w:val="auto"/>
                <w:sz w:val="21"/>
                <w:highlight w:val="none"/>
              </w:rPr>
            </w:pPr>
          </w:p>
        </w:tc>
        <w:tc>
          <w:tcPr>
            <w:tcW w:w="1054" w:type="dxa"/>
            <w:vAlign w:val="top"/>
          </w:tcPr>
          <w:p w14:paraId="07ECE47B">
            <w:pPr>
              <w:rPr>
                <w:rFonts w:ascii="Arial"/>
                <w:color w:val="auto"/>
                <w:sz w:val="21"/>
                <w:highlight w:val="none"/>
              </w:rPr>
            </w:pPr>
          </w:p>
        </w:tc>
        <w:tc>
          <w:tcPr>
            <w:tcW w:w="731" w:type="dxa"/>
            <w:vAlign w:val="top"/>
          </w:tcPr>
          <w:p w14:paraId="1541D404">
            <w:pPr>
              <w:rPr>
                <w:rFonts w:ascii="Arial"/>
                <w:color w:val="auto"/>
                <w:sz w:val="21"/>
                <w:highlight w:val="none"/>
              </w:rPr>
            </w:pPr>
          </w:p>
        </w:tc>
        <w:tc>
          <w:tcPr>
            <w:tcW w:w="1554" w:type="dxa"/>
            <w:vAlign w:val="top"/>
          </w:tcPr>
          <w:p w14:paraId="39FB42E3">
            <w:pPr>
              <w:rPr>
                <w:rFonts w:ascii="Arial"/>
                <w:color w:val="auto"/>
                <w:sz w:val="21"/>
                <w:highlight w:val="none"/>
              </w:rPr>
            </w:pPr>
          </w:p>
        </w:tc>
        <w:tc>
          <w:tcPr>
            <w:tcW w:w="889" w:type="dxa"/>
            <w:vAlign w:val="top"/>
          </w:tcPr>
          <w:p w14:paraId="1BD5CF00">
            <w:pPr>
              <w:rPr>
                <w:rFonts w:ascii="Arial"/>
                <w:color w:val="auto"/>
                <w:sz w:val="21"/>
                <w:highlight w:val="none"/>
              </w:rPr>
            </w:pPr>
          </w:p>
        </w:tc>
      </w:tr>
      <w:tr w14:paraId="2422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58" w:type="dxa"/>
            <w:vAlign w:val="top"/>
          </w:tcPr>
          <w:p w14:paraId="4A2732DB">
            <w:pPr>
              <w:rPr>
                <w:rFonts w:ascii="Arial"/>
                <w:color w:val="auto"/>
                <w:sz w:val="21"/>
                <w:highlight w:val="none"/>
              </w:rPr>
            </w:pPr>
          </w:p>
        </w:tc>
        <w:tc>
          <w:tcPr>
            <w:tcW w:w="1055" w:type="dxa"/>
            <w:vAlign w:val="top"/>
          </w:tcPr>
          <w:p w14:paraId="3E918E85">
            <w:pPr>
              <w:rPr>
                <w:rFonts w:ascii="Arial"/>
                <w:color w:val="auto"/>
                <w:sz w:val="21"/>
                <w:highlight w:val="none"/>
              </w:rPr>
            </w:pPr>
          </w:p>
        </w:tc>
        <w:tc>
          <w:tcPr>
            <w:tcW w:w="1054" w:type="dxa"/>
            <w:vAlign w:val="top"/>
          </w:tcPr>
          <w:p w14:paraId="71B9349A">
            <w:pPr>
              <w:rPr>
                <w:rFonts w:ascii="Arial"/>
                <w:color w:val="auto"/>
                <w:sz w:val="21"/>
                <w:highlight w:val="none"/>
              </w:rPr>
            </w:pPr>
          </w:p>
        </w:tc>
        <w:tc>
          <w:tcPr>
            <w:tcW w:w="1195" w:type="dxa"/>
            <w:vAlign w:val="top"/>
          </w:tcPr>
          <w:p w14:paraId="300BF47B">
            <w:pPr>
              <w:rPr>
                <w:rFonts w:ascii="Arial"/>
                <w:color w:val="auto"/>
                <w:sz w:val="21"/>
                <w:highlight w:val="none"/>
              </w:rPr>
            </w:pPr>
          </w:p>
        </w:tc>
        <w:tc>
          <w:tcPr>
            <w:tcW w:w="912" w:type="dxa"/>
            <w:vAlign w:val="top"/>
          </w:tcPr>
          <w:p w14:paraId="3C6784D6">
            <w:pPr>
              <w:rPr>
                <w:rFonts w:ascii="Arial"/>
                <w:color w:val="auto"/>
                <w:sz w:val="21"/>
                <w:highlight w:val="none"/>
              </w:rPr>
            </w:pPr>
          </w:p>
        </w:tc>
        <w:tc>
          <w:tcPr>
            <w:tcW w:w="1054" w:type="dxa"/>
            <w:vAlign w:val="top"/>
          </w:tcPr>
          <w:p w14:paraId="67D40398">
            <w:pPr>
              <w:rPr>
                <w:rFonts w:ascii="Arial"/>
                <w:color w:val="auto"/>
                <w:sz w:val="21"/>
                <w:highlight w:val="none"/>
              </w:rPr>
            </w:pPr>
          </w:p>
        </w:tc>
        <w:tc>
          <w:tcPr>
            <w:tcW w:w="731" w:type="dxa"/>
            <w:vAlign w:val="top"/>
          </w:tcPr>
          <w:p w14:paraId="371E6704">
            <w:pPr>
              <w:rPr>
                <w:rFonts w:ascii="Arial"/>
                <w:color w:val="auto"/>
                <w:sz w:val="21"/>
                <w:highlight w:val="none"/>
              </w:rPr>
            </w:pPr>
          </w:p>
        </w:tc>
        <w:tc>
          <w:tcPr>
            <w:tcW w:w="1554" w:type="dxa"/>
            <w:vAlign w:val="top"/>
          </w:tcPr>
          <w:p w14:paraId="02D99F5F">
            <w:pPr>
              <w:rPr>
                <w:rFonts w:ascii="Arial"/>
                <w:color w:val="auto"/>
                <w:sz w:val="21"/>
                <w:highlight w:val="none"/>
              </w:rPr>
            </w:pPr>
          </w:p>
        </w:tc>
        <w:tc>
          <w:tcPr>
            <w:tcW w:w="889" w:type="dxa"/>
            <w:vAlign w:val="top"/>
          </w:tcPr>
          <w:p w14:paraId="4E06E1E5">
            <w:pPr>
              <w:rPr>
                <w:rFonts w:ascii="Arial"/>
                <w:color w:val="auto"/>
                <w:sz w:val="21"/>
                <w:highlight w:val="none"/>
              </w:rPr>
            </w:pPr>
          </w:p>
        </w:tc>
      </w:tr>
      <w:tr w14:paraId="55E1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58" w:type="dxa"/>
            <w:vAlign w:val="top"/>
          </w:tcPr>
          <w:p w14:paraId="3F0751D0">
            <w:pPr>
              <w:rPr>
                <w:rFonts w:ascii="Arial"/>
                <w:color w:val="auto"/>
                <w:sz w:val="21"/>
                <w:highlight w:val="none"/>
              </w:rPr>
            </w:pPr>
          </w:p>
        </w:tc>
        <w:tc>
          <w:tcPr>
            <w:tcW w:w="1055" w:type="dxa"/>
            <w:vAlign w:val="top"/>
          </w:tcPr>
          <w:p w14:paraId="29A83163">
            <w:pPr>
              <w:rPr>
                <w:rFonts w:ascii="Arial"/>
                <w:color w:val="auto"/>
                <w:sz w:val="21"/>
                <w:highlight w:val="none"/>
              </w:rPr>
            </w:pPr>
          </w:p>
        </w:tc>
        <w:tc>
          <w:tcPr>
            <w:tcW w:w="1054" w:type="dxa"/>
            <w:vAlign w:val="top"/>
          </w:tcPr>
          <w:p w14:paraId="58B85AB4">
            <w:pPr>
              <w:rPr>
                <w:rFonts w:ascii="Arial"/>
                <w:color w:val="auto"/>
                <w:sz w:val="21"/>
                <w:highlight w:val="none"/>
              </w:rPr>
            </w:pPr>
          </w:p>
        </w:tc>
        <w:tc>
          <w:tcPr>
            <w:tcW w:w="1195" w:type="dxa"/>
            <w:vAlign w:val="top"/>
          </w:tcPr>
          <w:p w14:paraId="026B0589">
            <w:pPr>
              <w:rPr>
                <w:rFonts w:ascii="Arial"/>
                <w:color w:val="auto"/>
                <w:sz w:val="21"/>
                <w:highlight w:val="none"/>
              </w:rPr>
            </w:pPr>
          </w:p>
        </w:tc>
        <w:tc>
          <w:tcPr>
            <w:tcW w:w="912" w:type="dxa"/>
            <w:vAlign w:val="top"/>
          </w:tcPr>
          <w:p w14:paraId="3B65DA8B">
            <w:pPr>
              <w:rPr>
                <w:rFonts w:ascii="Arial"/>
                <w:color w:val="auto"/>
                <w:sz w:val="21"/>
                <w:highlight w:val="none"/>
              </w:rPr>
            </w:pPr>
          </w:p>
        </w:tc>
        <w:tc>
          <w:tcPr>
            <w:tcW w:w="1054" w:type="dxa"/>
            <w:vAlign w:val="top"/>
          </w:tcPr>
          <w:p w14:paraId="1881111B">
            <w:pPr>
              <w:rPr>
                <w:rFonts w:ascii="Arial"/>
                <w:color w:val="auto"/>
                <w:sz w:val="21"/>
                <w:highlight w:val="none"/>
              </w:rPr>
            </w:pPr>
          </w:p>
        </w:tc>
        <w:tc>
          <w:tcPr>
            <w:tcW w:w="731" w:type="dxa"/>
            <w:vAlign w:val="top"/>
          </w:tcPr>
          <w:p w14:paraId="3C220DBE">
            <w:pPr>
              <w:rPr>
                <w:rFonts w:ascii="Arial"/>
                <w:color w:val="auto"/>
                <w:sz w:val="21"/>
                <w:highlight w:val="none"/>
              </w:rPr>
            </w:pPr>
          </w:p>
        </w:tc>
        <w:tc>
          <w:tcPr>
            <w:tcW w:w="1554" w:type="dxa"/>
            <w:vAlign w:val="top"/>
          </w:tcPr>
          <w:p w14:paraId="7A370551">
            <w:pPr>
              <w:rPr>
                <w:rFonts w:ascii="Arial"/>
                <w:color w:val="auto"/>
                <w:sz w:val="21"/>
                <w:highlight w:val="none"/>
              </w:rPr>
            </w:pPr>
          </w:p>
        </w:tc>
        <w:tc>
          <w:tcPr>
            <w:tcW w:w="889" w:type="dxa"/>
            <w:vAlign w:val="top"/>
          </w:tcPr>
          <w:p w14:paraId="39B4084C">
            <w:pPr>
              <w:rPr>
                <w:rFonts w:ascii="Arial"/>
                <w:color w:val="auto"/>
                <w:sz w:val="21"/>
                <w:highlight w:val="none"/>
              </w:rPr>
            </w:pPr>
          </w:p>
        </w:tc>
      </w:tr>
      <w:tr w14:paraId="2A861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58" w:type="dxa"/>
            <w:vAlign w:val="top"/>
          </w:tcPr>
          <w:p w14:paraId="2AF3B1B3">
            <w:pPr>
              <w:rPr>
                <w:rFonts w:ascii="Arial"/>
                <w:color w:val="auto"/>
                <w:sz w:val="21"/>
                <w:highlight w:val="none"/>
              </w:rPr>
            </w:pPr>
          </w:p>
        </w:tc>
        <w:tc>
          <w:tcPr>
            <w:tcW w:w="1055" w:type="dxa"/>
            <w:vAlign w:val="top"/>
          </w:tcPr>
          <w:p w14:paraId="711403C6">
            <w:pPr>
              <w:rPr>
                <w:rFonts w:ascii="Arial"/>
                <w:color w:val="auto"/>
                <w:sz w:val="21"/>
                <w:highlight w:val="none"/>
              </w:rPr>
            </w:pPr>
          </w:p>
        </w:tc>
        <w:tc>
          <w:tcPr>
            <w:tcW w:w="1054" w:type="dxa"/>
            <w:vAlign w:val="top"/>
          </w:tcPr>
          <w:p w14:paraId="606D8526">
            <w:pPr>
              <w:rPr>
                <w:rFonts w:ascii="Arial"/>
                <w:color w:val="auto"/>
                <w:sz w:val="21"/>
                <w:highlight w:val="none"/>
              </w:rPr>
            </w:pPr>
          </w:p>
        </w:tc>
        <w:tc>
          <w:tcPr>
            <w:tcW w:w="1195" w:type="dxa"/>
            <w:vAlign w:val="top"/>
          </w:tcPr>
          <w:p w14:paraId="440B90D7">
            <w:pPr>
              <w:rPr>
                <w:rFonts w:ascii="Arial"/>
                <w:color w:val="auto"/>
                <w:sz w:val="21"/>
                <w:highlight w:val="none"/>
              </w:rPr>
            </w:pPr>
          </w:p>
        </w:tc>
        <w:tc>
          <w:tcPr>
            <w:tcW w:w="912" w:type="dxa"/>
            <w:vAlign w:val="top"/>
          </w:tcPr>
          <w:p w14:paraId="59D214B3">
            <w:pPr>
              <w:rPr>
                <w:rFonts w:ascii="Arial"/>
                <w:color w:val="auto"/>
                <w:sz w:val="21"/>
                <w:highlight w:val="none"/>
              </w:rPr>
            </w:pPr>
          </w:p>
        </w:tc>
        <w:tc>
          <w:tcPr>
            <w:tcW w:w="1054" w:type="dxa"/>
            <w:vAlign w:val="top"/>
          </w:tcPr>
          <w:p w14:paraId="7748EFFE">
            <w:pPr>
              <w:rPr>
                <w:rFonts w:ascii="Arial"/>
                <w:color w:val="auto"/>
                <w:sz w:val="21"/>
                <w:highlight w:val="none"/>
              </w:rPr>
            </w:pPr>
          </w:p>
        </w:tc>
        <w:tc>
          <w:tcPr>
            <w:tcW w:w="731" w:type="dxa"/>
            <w:vAlign w:val="top"/>
          </w:tcPr>
          <w:p w14:paraId="0D2F92E8">
            <w:pPr>
              <w:rPr>
                <w:rFonts w:ascii="Arial"/>
                <w:color w:val="auto"/>
                <w:sz w:val="21"/>
                <w:highlight w:val="none"/>
              </w:rPr>
            </w:pPr>
          </w:p>
        </w:tc>
        <w:tc>
          <w:tcPr>
            <w:tcW w:w="1554" w:type="dxa"/>
            <w:vAlign w:val="top"/>
          </w:tcPr>
          <w:p w14:paraId="6C1A4D8D">
            <w:pPr>
              <w:rPr>
                <w:rFonts w:ascii="Arial"/>
                <w:color w:val="auto"/>
                <w:sz w:val="21"/>
                <w:highlight w:val="none"/>
              </w:rPr>
            </w:pPr>
          </w:p>
        </w:tc>
        <w:tc>
          <w:tcPr>
            <w:tcW w:w="889" w:type="dxa"/>
            <w:vAlign w:val="top"/>
          </w:tcPr>
          <w:p w14:paraId="3766BBA1">
            <w:pPr>
              <w:rPr>
                <w:rFonts w:ascii="Arial"/>
                <w:color w:val="auto"/>
                <w:sz w:val="21"/>
                <w:highlight w:val="none"/>
              </w:rPr>
            </w:pPr>
          </w:p>
        </w:tc>
      </w:tr>
      <w:tr w14:paraId="66DB6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058" w:type="dxa"/>
            <w:vAlign w:val="top"/>
          </w:tcPr>
          <w:p w14:paraId="3869A1F4">
            <w:pPr>
              <w:rPr>
                <w:rFonts w:ascii="Arial"/>
                <w:color w:val="auto"/>
                <w:sz w:val="21"/>
                <w:highlight w:val="none"/>
              </w:rPr>
            </w:pPr>
          </w:p>
        </w:tc>
        <w:tc>
          <w:tcPr>
            <w:tcW w:w="1055" w:type="dxa"/>
            <w:vAlign w:val="top"/>
          </w:tcPr>
          <w:p w14:paraId="6EE98671">
            <w:pPr>
              <w:rPr>
                <w:rFonts w:ascii="Arial"/>
                <w:color w:val="auto"/>
                <w:sz w:val="21"/>
                <w:highlight w:val="none"/>
              </w:rPr>
            </w:pPr>
          </w:p>
        </w:tc>
        <w:tc>
          <w:tcPr>
            <w:tcW w:w="1054" w:type="dxa"/>
            <w:vAlign w:val="top"/>
          </w:tcPr>
          <w:p w14:paraId="23ACBFA8">
            <w:pPr>
              <w:rPr>
                <w:rFonts w:ascii="Arial"/>
                <w:color w:val="auto"/>
                <w:sz w:val="21"/>
                <w:highlight w:val="none"/>
              </w:rPr>
            </w:pPr>
          </w:p>
        </w:tc>
        <w:tc>
          <w:tcPr>
            <w:tcW w:w="1195" w:type="dxa"/>
            <w:vAlign w:val="top"/>
          </w:tcPr>
          <w:p w14:paraId="50F06286">
            <w:pPr>
              <w:rPr>
                <w:rFonts w:ascii="Arial"/>
                <w:color w:val="auto"/>
                <w:sz w:val="21"/>
                <w:highlight w:val="none"/>
              </w:rPr>
            </w:pPr>
          </w:p>
        </w:tc>
        <w:tc>
          <w:tcPr>
            <w:tcW w:w="912" w:type="dxa"/>
            <w:vAlign w:val="top"/>
          </w:tcPr>
          <w:p w14:paraId="088AC81A">
            <w:pPr>
              <w:rPr>
                <w:rFonts w:ascii="Arial"/>
                <w:color w:val="auto"/>
                <w:sz w:val="21"/>
                <w:highlight w:val="none"/>
              </w:rPr>
            </w:pPr>
          </w:p>
        </w:tc>
        <w:tc>
          <w:tcPr>
            <w:tcW w:w="1054" w:type="dxa"/>
            <w:vAlign w:val="top"/>
          </w:tcPr>
          <w:p w14:paraId="020645AB">
            <w:pPr>
              <w:rPr>
                <w:rFonts w:ascii="Arial"/>
                <w:color w:val="auto"/>
                <w:sz w:val="21"/>
                <w:highlight w:val="none"/>
              </w:rPr>
            </w:pPr>
          </w:p>
        </w:tc>
        <w:tc>
          <w:tcPr>
            <w:tcW w:w="731" w:type="dxa"/>
            <w:vAlign w:val="top"/>
          </w:tcPr>
          <w:p w14:paraId="0B087495">
            <w:pPr>
              <w:rPr>
                <w:rFonts w:ascii="Arial"/>
                <w:color w:val="auto"/>
                <w:sz w:val="21"/>
                <w:highlight w:val="none"/>
              </w:rPr>
            </w:pPr>
          </w:p>
        </w:tc>
        <w:tc>
          <w:tcPr>
            <w:tcW w:w="1554" w:type="dxa"/>
            <w:vAlign w:val="top"/>
          </w:tcPr>
          <w:p w14:paraId="7FF57DD1">
            <w:pPr>
              <w:rPr>
                <w:rFonts w:ascii="Arial"/>
                <w:color w:val="auto"/>
                <w:sz w:val="21"/>
                <w:highlight w:val="none"/>
              </w:rPr>
            </w:pPr>
          </w:p>
        </w:tc>
        <w:tc>
          <w:tcPr>
            <w:tcW w:w="889" w:type="dxa"/>
            <w:vAlign w:val="top"/>
          </w:tcPr>
          <w:p w14:paraId="3F82771F">
            <w:pPr>
              <w:rPr>
                <w:rFonts w:ascii="Arial"/>
                <w:color w:val="auto"/>
                <w:sz w:val="21"/>
                <w:highlight w:val="none"/>
              </w:rPr>
            </w:pPr>
          </w:p>
        </w:tc>
      </w:tr>
      <w:tr w14:paraId="31D1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58" w:type="dxa"/>
            <w:vAlign w:val="top"/>
          </w:tcPr>
          <w:p w14:paraId="00FDF89C">
            <w:pPr>
              <w:rPr>
                <w:rFonts w:ascii="Arial"/>
                <w:color w:val="auto"/>
                <w:sz w:val="21"/>
                <w:highlight w:val="none"/>
              </w:rPr>
            </w:pPr>
          </w:p>
        </w:tc>
        <w:tc>
          <w:tcPr>
            <w:tcW w:w="1055" w:type="dxa"/>
            <w:vAlign w:val="top"/>
          </w:tcPr>
          <w:p w14:paraId="1A859B55">
            <w:pPr>
              <w:rPr>
                <w:rFonts w:ascii="Arial"/>
                <w:color w:val="auto"/>
                <w:sz w:val="21"/>
                <w:highlight w:val="none"/>
              </w:rPr>
            </w:pPr>
          </w:p>
        </w:tc>
        <w:tc>
          <w:tcPr>
            <w:tcW w:w="1054" w:type="dxa"/>
            <w:vAlign w:val="top"/>
          </w:tcPr>
          <w:p w14:paraId="128ACC20">
            <w:pPr>
              <w:rPr>
                <w:rFonts w:ascii="Arial"/>
                <w:color w:val="auto"/>
                <w:sz w:val="21"/>
                <w:highlight w:val="none"/>
              </w:rPr>
            </w:pPr>
          </w:p>
        </w:tc>
        <w:tc>
          <w:tcPr>
            <w:tcW w:w="1195" w:type="dxa"/>
            <w:vAlign w:val="top"/>
          </w:tcPr>
          <w:p w14:paraId="035E66EE">
            <w:pPr>
              <w:rPr>
                <w:rFonts w:ascii="Arial"/>
                <w:color w:val="auto"/>
                <w:sz w:val="21"/>
                <w:highlight w:val="none"/>
              </w:rPr>
            </w:pPr>
          </w:p>
        </w:tc>
        <w:tc>
          <w:tcPr>
            <w:tcW w:w="912" w:type="dxa"/>
            <w:vAlign w:val="top"/>
          </w:tcPr>
          <w:p w14:paraId="4FBE3A69">
            <w:pPr>
              <w:rPr>
                <w:rFonts w:ascii="Arial"/>
                <w:color w:val="auto"/>
                <w:sz w:val="21"/>
                <w:highlight w:val="none"/>
              </w:rPr>
            </w:pPr>
          </w:p>
        </w:tc>
        <w:tc>
          <w:tcPr>
            <w:tcW w:w="1054" w:type="dxa"/>
            <w:vAlign w:val="top"/>
          </w:tcPr>
          <w:p w14:paraId="06DEE271">
            <w:pPr>
              <w:rPr>
                <w:rFonts w:ascii="Arial"/>
                <w:color w:val="auto"/>
                <w:sz w:val="21"/>
                <w:highlight w:val="none"/>
              </w:rPr>
            </w:pPr>
          </w:p>
        </w:tc>
        <w:tc>
          <w:tcPr>
            <w:tcW w:w="731" w:type="dxa"/>
            <w:vAlign w:val="top"/>
          </w:tcPr>
          <w:p w14:paraId="06BA8FF3">
            <w:pPr>
              <w:rPr>
                <w:rFonts w:ascii="Arial"/>
                <w:color w:val="auto"/>
                <w:sz w:val="21"/>
                <w:highlight w:val="none"/>
              </w:rPr>
            </w:pPr>
          </w:p>
        </w:tc>
        <w:tc>
          <w:tcPr>
            <w:tcW w:w="1554" w:type="dxa"/>
            <w:vAlign w:val="top"/>
          </w:tcPr>
          <w:p w14:paraId="76487385">
            <w:pPr>
              <w:rPr>
                <w:rFonts w:ascii="Arial"/>
                <w:color w:val="auto"/>
                <w:sz w:val="21"/>
                <w:highlight w:val="none"/>
              </w:rPr>
            </w:pPr>
          </w:p>
        </w:tc>
        <w:tc>
          <w:tcPr>
            <w:tcW w:w="889" w:type="dxa"/>
            <w:vAlign w:val="top"/>
          </w:tcPr>
          <w:p w14:paraId="3BA1BE68">
            <w:pPr>
              <w:rPr>
                <w:rFonts w:ascii="Arial"/>
                <w:color w:val="auto"/>
                <w:sz w:val="21"/>
                <w:highlight w:val="none"/>
              </w:rPr>
            </w:pPr>
          </w:p>
        </w:tc>
      </w:tr>
      <w:tr w14:paraId="4420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58" w:type="dxa"/>
            <w:vAlign w:val="top"/>
          </w:tcPr>
          <w:p w14:paraId="11665AD1">
            <w:pPr>
              <w:rPr>
                <w:rFonts w:ascii="Arial"/>
                <w:color w:val="auto"/>
                <w:sz w:val="21"/>
                <w:highlight w:val="none"/>
              </w:rPr>
            </w:pPr>
          </w:p>
        </w:tc>
        <w:tc>
          <w:tcPr>
            <w:tcW w:w="1055" w:type="dxa"/>
            <w:vAlign w:val="top"/>
          </w:tcPr>
          <w:p w14:paraId="3E801AB7">
            <w:pPr>
              <w:rPr>
                <w:rFonts w:ascii="Arial"/>
                <w:color w:val="auto"/>
                <w:sz w:val="21"/>
                <w:highlight w:val="none"/>
              </w:rPr>
            </w:pPr>
          </w:p>
        </w:tc>
        <w:tc>
          <w:tcPr>
            <w:tcW w:w="1054" w:type="dxa"/>
            <w:vAlign w:val="top"/>
          </w:tcPr>
          <w:p w14:paraId="1A7C5A51">
            <w:pPr>
              <w:rPr>
                <w:rFonts w:ascii="Arial"/>
                <w:color w:val="auto"/>
                <w:sz w:val="21"/>
                <w:highlight w:val="none"/>
              </w:rPr>
            </w:pPr>
          </w:p>
        </w:tc>
        <w:tc>
          <w:tcPr>
            <w:tcW w:w="1195" w:type="dxa"/>
            <w:vAlign w:val="top"/>
          </w:tcPr>
          <w:p w14:paraId="75A79308">
            <w:pPr>
              <w:rPr>
                <w:rFonts w:ascii="Arial"/>
                <w:color w:val="auto"/>
                <w:sz w:val="21"/>
                <w:highlight w:val="none"/>
              </w:rPr>
            </w:pPr>
          </w:p>
        </w:tc>
        <w:tc>
          <w:tcPr>
            <w:tcW w:w="912" w:type="dxa"/>
            <w:vAlign w:val="top"/>
          </w:tcPr>
          <w:p w14:paraId="01E01854">
            <w:pPr>
              <w:rPr>
                <w:rFonts w:ascii="Arial"/>
                <w:color w:val="auto"/>
                <w:sz w:val="21"/>
                <w:highlight w:val="none"/>
              </w:rPr>
            </w:pPr>
          </w:p>
        </w:tc>
        <w:tc>
          <w:tcPr>
            <w:tcW w:w="1054" w:type="dxa"/>
            <w:vAlign w:val="top"/>
          </w:tcPr>
          <w:p w14:paraId="7B59F80B">
            <w:pPr>
              <w:rPr>
                <w:rFonts w:ascii="Arial"/>
                <w:color w:val="auto"/>
                <w:sz w:val="21"/>
                <w:highlight w:val="none"/>
              </w:rPr>
            </w:pPr>
          </w:p>
        </w:tc>
        <w:tc>
          <w:tcPr>
            <w:tcW w:w="731" w:type="dxa"/>
            <w:vAlign w:val="top"/>
          </w:tcPr>
          <w:p w14:paraId="076345FD">
            <w:pPr>
              <w:rPr>
                <w:rFonts w:ascii="Arial"/>
                <w:color w:val="auto"/>
                <w:sz w:val="21"/>
                <w:highlight w:val="none"/>
              </w:rPr>
            </w:pPr>
          </w:p>
        </w:tc>
        <w:tc>
          <w:tcPr>
            <w:tcW w:w="1554" w:type="dxa"/>
            <w:vAlign w:val="top"/>
          </w:tcPr>
          <w:p w14:paraId="590AD1F1">
            <w:pPr>
              <w:rPr>
                <w:rFonts w:ascii="Arial"/>
                <w:color w:val="auto"/>
                <w:sz w:val="21"/>
                <w:highlight w:val="none"/>
              </w:rPr>
            </w:pPr>
          </w:p>
        </w:tc>
        <w:tc>
          <w:tcPr>
            <w:tcW w:w="889" w:type="dxa"/>
            <w:vAlign w:val="top"/>
          </w:tcPr>
          <w:p w14:paraId="131B11A5">
            <w:pPr>
              <w:rPr>
                <w:rFonts w:ascii="Arial"/>
                <w:color w:val="auto"/>
                <w:sz w:val="21"/>
                <w:highlight w:val="none"/>
              </w:rPr>
            </w:pPr>
          </w:p>
        </w:tc>
      </w:tr>
      <w:tr w14:paraId="00C5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058" w:type="dxa"/>
            <w:vAlign w:val="top"/>
          </w:tcPr>
          <w:p w14:paraId="09F917C7">
            <w:pPr>
              <w:rPr>
                <w:rFonts w:ascii="Arial"/>
                <w:color w:val="auto"/>
                <w:sz w:val="21"/>
                <w:highlight w:val="none"/>
              </w:rPr>
            </w:pPr>
          </w:p>
        </w:tc>
        <w:tc>
          <w:tcPr>
            <w:tcW w:w="1055" w:type="dxa"/>
            <w:vAlign w:val="top"/>
          </w:tcPr>
          <w:p w14:paraId="733EDE77">
            <w:pPr>
              <w:rPr>
                <w:rFonts w:ascii="Arial"/>
                <w:color w:val="auto"/>
                <w:sz w:val="21"/>
                <w:highlight w:val="none"/>
              </w:rPr>
            </w:pPr>
          </w:p>
        </w:tc>
        <w:tc>
          <w:tcPr>
            <w:tcW w:w="1054" w:type="dxa"/>
            <w:vAlign w:val="top"/>
          </w:tcPr>
          <w:p w14:paraId="41D752DE">
            <w:pPr>
              <w:rPr>
                <w:rFonts w:ascii="Arial"/>
                <w:color w:val="auto"/>
                <w:sz w:val="21"/>
                <w:highlight w:val="none"/>
              </w:rPr>
            </w:pPr>
          </w:p>
        </w:tc>
        <w:tc>
          <w:tcPr>
            <w:tcW w:w="1195" w:type="dxa"/>
            <w:vAlign w:val="top"/>
          </w:tcPr>
          <w:p w14:paraId="605A4B6E">
            <w:pPr>
              <w:rPr>
                <w:rFonts w:ascii="Arial"/>
                <w:color w:val="auto"/>
                <w:sz w:val="21"/>
                <w:highlight w:val="none"/>
              </w:rPr>
            </w:pPr>
          </w:p>
        </w:tc>
        <w:tc>
          <w:tcPr>
            <w:tcW w:w="912" w:type="dxa"/>
            <w:vAlign w:val="top"/>
          </w:tcPr>
          <w:p w14:paraId="56A20F42">
            <w:pPr>
              <w:rPr>
                <w:rFonts w:ascii="Arial"/>
                <w:color w:val="auto"/>
                <w:sz w:val="21"/>
                <w:highlight w:val="none"/>
              </w:rPr>
            </w:pPr>
          </w:p>
        </w:tc>
        <w:tc>
          <w:tcPr>
            <w:tcW w:w="1054" w:type="dxa"/>
            <w:vAlign w:val="top"/>
          </w:tcPr>
          <w:p w14:paraId="3F4AB1BF">
            <w:pPr>
              <w:rPr>
                <w:rFonts w:ascii="Arial"/>
                <w:color w:val="auto"/>
                <w:sz w:val="21"/>
                <w:highlight w:val="none"/>
              </w:rPr>
            </w:pPr>
          </w:p>
        </w:tc>
        <w:tc>
          <w:tcPr>
            <w:tcW w:w="731" w:type="dxa"/>
            <w:vAlign w:val="top"/>
          </w:tcPr>
          <w:p w14:paraId="4804BA8A">
            <w:pPr>
              <w:rPr>
                <w:rFonts w:ascii="Arial"/>
                <w:color w:val="auto"/>
                <w:sz w:val="21"/>
                <w:highlight w:val="none"/>
              </w:rPr>
            </w:pPr>
          </w:p>
        </w:tc>
        <w:tc>
          <w:tcPr>
            <w:tcW w:w="1554" w:type="dxa"/>
            <w:vAlign w:val="top"/>
          </w:tcPr>
          <w:p w14:paraId="4497EB2A">
            <w:pPr>
              <w:rPr>
                <w:rFonts w:ascii="Arial"/>
                <w:color w:val="auto"/>
                <w:sz w:val="21"/>
                <w:highlight w:val="none"/>
              </w:rPr>
            </w:pPr>
          </w:p>
        </w:tc>
        <w:tc>
          <w:tcPr>
            <w:tcW w:w="889" w:type="dxa"/>
            <w:vAlign w:val="top"/>
          </w:tcPr>
          <w:p w14:paraId="7A4D1EE6">
            <w:pPr>
              <w:rPr>
                <w:rFonts w:ascii="Arial"/>
                <w:color w:val="auto"/>
                <w:sz w:val="21"/>
                <w:highlight w:val="none"/>
              </w:rPr>
            </w:pPr>
          </w:p>
        </w:tc>
      </w:tr>
      <w:tr w14:paraId="6AE8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058" w:type="dxa"/>
            <w:vAlign w:val="top"/>
          </w:tcPr>
          <w:p w14:paraId="6C06C7AC">
            <w:pPr>
              <w:rPr>
                <w:rFonts w:ascii="Arial"/>
                <w:color w:val="auto"/>
                <w:sz w:val="21"/>
                <w:highlight w:val="none"/>
              </w:rPr>
            </w:pPr>
          </w:p>
        </w:tc>
        <w:tc>
          <w:tcPr>
            <w:tcW w:w="1055" w:type="dxa"/>
            <w:vAlign w:val="top"/>
          </w:tcPr>
          <w:p w14:paraId="6A83EC26">
            <w:pPr>
              <w:rPr>
                <w:rFonts w:ascii="Arial"/>
                <w:color w:val="auto"/>
                <w:sz w:val="21"/>
                <w:highlight w:val="none"/>
              </w:rPr>
            </w:pPr>
          </w:p>
        </w:tc>
        <w:tc>
          <w:tcPr>
            <w:tcW w:w="1054" w:type="dxa"/>
            <w:vAlign w:val="top"/>
          </w:tcPr>
          <w:p w14:paraId="22078EAE">
            <w:pPr>
              <w:rPr>
                <w:rFonts w:ascii="Arial"/>
                <w:color w:val="auto"/>
                <w:sz w:val="21"/>
                <w:highlight w:val="none"/>
              </w:rPr>
            </w:pPr>
          </w:p>
        </w:tc>
        <w:tc>
          <w:tcPr>
            <w:tcW w:w="1195" w:type="dxa"/>
            <w:vAlign w:val="top"/>
          </w:tcPr>
          <w:p w14:paraId="255AFB11">
            <w:pPr>
              <w:rPr>
                <w:rFonts w:ascii="Arial"/>
                <w:color w:val="auto"/>
                <w:sz w:val="21"/>
                <w:highlight w:val="none"/>
              </w:rPr>
            </w:pPr>
          </w:p>
        </w:tc>
        <w:tc>
          <w:tcPr>
            <w:tcW w:w="912" w:type="dxa"/>
            <w:vAlign w:val="top"/>
          </w:tcPr>
          <w:p w14:paraId="1C4B6E6F">
            <w:pPr>
              <w:rPr>
                <w:rFonts w:ascii="Arial"/>
                <w:color w:val="auto"/>
                <w:sz w:val="21"/>
                <w:highlight w:val="none"/>
              </w:rPr>
            </w:pPr>
          </w:p>
        </w:tc>
        <w:tc>
          <w:tcPr>
            <w:tcW w:w="1054" w:type="dxa"/>
            <w:vAlign w:val="top"/>
          </w:tcPr>
          <w:p w14:paraId="17D453E9">
            <w:pPr>
              <w:rPr>
                <w:rFonts w:ascii="Arial"/>
                <w:color w:val="auto"/>
                <w:sz w:val="21"/>
                <w:highlight w:val="none"/>
              </w:rPr>
            </w:pPr>
          </w:p>
        </w:tc>
        <w:tc>
          <w:tcPr>
            <w:tcW w:w="731" w:type="dxa"/>
            <w:vAlign w:val="top"/>
          </w:tcPr>
          <w:p w14:paraId="39AA8F31">
            <w:pPr>
              <w:rPr>
                <w:rFonts w:ascii="Arial"/>
                <w:color w:val="auto"/>
                <w:sz w:val="21"/>
                <w:highlight w:val="none"/>
              </w:rPr>
            </w:pPr>
          </w:p>
        </w:tc>
        <w:tc>
          <w:tcPr>
            <w:tcW w:w="1554" w:type="dxa"/>
            <w:vAlign w:val="top"/>
          </w:tcPr>
          <w:p w14:paraId="789EA54C">
            <w:pPr>
              <w:rPr>
                <w:rFonts w:ascii="Arial"/>
                <w:color w:val="auto"/>
                <w:sz w:val="21"/>
                <w:highlight w:val="none"/>
              </w:rPr>
            </w:pPr>
          </w:p>
        </w:tc>
        <w:tc>
          <w:tcPr>
            <w:tcW w:w="889" w:type="dxa"/>
            <w:vAlign w:val="top"/>
          </w:tcPr>
          <w:p w14:paraId="15456955">
            <w:pPr>
              <w:rPr>
                <w:rFonts w:ascii="Arial"/>
                <w:color w:val="auto"/>
                <w:sz w:val="21"/>
                <w:highlight w:val="none"/>
              </w:rPr>
            </w:pPr>
          </w:p>
        </w:tc>
      </w:tr>
    </w:tbl>
    <w:p w14:paraId="3C28A7DB">
      <w:pPr>
        <w:pStyle w:val="8"/>
        <w:rPr>
          <w:color w:val="auto"/>
          <w:highlight w:val="none"/>
        </w:rPr>
      </w:pPr>
    </w:p>
    <w:p w14:paraId="0872BA2E">
      <w:pPr>
        <w:rPr>
          <w:color w:val="auto"/>
          <w:highlight w:val="none"/>
        </w:rPr>
        <w:sectPr>
          <w:footerReference r:id="rId28" w:type="default"/>
          <w:pgSz w:w="11906" w:h="16839"/>
          <w:pgMar w:top="1347" w:right="1199" w:bottom="1156" w:left="1199" w:header="0" w:footer="994" w:gutter="0"/>
          <w:pgNumType w:fmt="decimal"/>
          <w:cols w:space="720" w:num="1"/>
        </w:sectPr>
      </w:pPr>
    </w:p>
    <w:p w14:paraId="365A22DF">
      <w:pPr>
        <w:spacing w:before="49" w:line="342" w:lineRule="auto"/>
        <w:ind w:left="140" w:right="3649" w:firstLine="3546"/>
        <w:rPr>
          <w:rFonts w:ascii="宋体" w:hAnsi="宋体" w:eastAsia="宋体" w:cs="宋体"/>
          <w:color w:val="auto"/>
          <w:sz w:val="24"/>
          <w:szCs w:val="24"/>
          <w:highlight w:val="none"/>
        </w:rPr>
      </w:pPr>
      <w:r>
        <w:rPr>
          <w:rFonts w:hint="eastAsia" w:ascii="Calibri" w:hAnsi="Calibri" w:eastAsia="宋体" w:cs="Calibri"/>
          <w:color w:val="auto"/>
          <w:spacing w:val="-2"/>
          <w:sz w:val="24"/>
          <w:szCs w:val="24"/>
          <w:highlight w:val="none"/>
          <w:lang w:eastAsia="zh-CN"/>
        </w:rPr>
        <w:t>（</w:t>
      </w:r>
      <w:r>
        <w:rPr>
          <w:rFonts w:ascii="宋体" w:hAnsi="宋体" w:eastAsia="宋体" w:cs="宋体"/>
          <w:color w:val="auto"/>
          <w:spacing w:val="-2"/>
          <w:sz w:val="24"/>
          <w:szCs w:val="24"/>
          <w:highlight w:val="none"/>
        </w:rPr>
        <w:t>一</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主要人员简历表</w:t>
      </w:r>
      <w:r>
        <w:rPr>
          <w:rFonts w:ascii="宋体" w:hAnsi="宋体" w:eastAsia="宋体" w:cs="宋体"/>
          <w:color w:val="auto"/>
          <w:spacing w:val="1"/>
          <w:sz w:val="24"/>
          <w:szCs w:val="24"/>
          <w:highlight w:val="none"/>
        </w:rPr>
        <w:t xml:space="preserve"> </w:t>
      </w:r>
      <w:r>
        <w:rPr>
          <w:rFonts w:ascii="宋体" w:hAnsi="宋体" w:eastAsia="宋体" w:cs="宋体"/>
          <w:color w:val="auto"/>
          <w:spacing w:val="-8"/>
          <w:sz w:val="24"/>
          <w:szCs w:val="24"/>
          <w:highlight w:val="none"/>
        </w:rPr>
        <w:t>附</w:t>
      </w:r>
      <w:r>
        <w:rPr>
          <w:rFonts w:ascii="宋体" w:hAnsi="宋体" w:eastAsia="宋体" w:cs="宋体"/>
          <w:color w:val="auto"/>
          <w:spacing w:val="-40"/>
          <w:sz w:val="24"/>
          <w:szCs w:val="24"/>
          <w:highlight w:val="none"/>
        </w:rPr>
        <w:t xml:space="preserve"> </w:t>
      </w:r>
      <w:r>
        <w:rPr>
          <w:rFonts w:ascii="Calibri" w:hAnsi="Calibri" w:eastAsia="Calibri" w:cs="Calibri"/>
          <w:color w:val="auto"/>
          <w:spacing w:val="-8"/>
          <w:sz w:val="24"/>
          <w:szCs w:val="24"/>
          <w:highlight w:val="none"/>
        </w:rPr>
        <w:t>1</w:t>
      </w:r>
      <w:r>
        <w:rPr>
          <w:rFonts w:ascii="Calibri" w:hAnsi="Calibri" w:eastAsia="Calibri" w:cs="Calibri"/>
          <w:color w:val="auto"/>
          <w:spacing w:val="-25"/>
          <w:sz w:val="24"/>
          <w:szCs w:val="24"/>
          <w:highlight w:val="none"/>
        </w:rPr>
        <w:t xml:space="preserve"> </w:t>
      </w:r>
      <w:r>
        <w:rPr>
          <w:rFonts w:ascii="宋体" w:hAnsi="宋体" w:eastAsia="宋体" w:cs="宋体"/>
          <w:color w:val="auto"/>
          <w:spacing w:val="-8"/>
          <w:sz w:val="24"/>
          <w:szCs w:val="24"/>
          <w:highlight w:val="none"/>
        </w:rPr>
        <w:t>：项目经理简历表</w:t>
      </w:r>
    </w:p>
    <w:p w14:paraId="3777D256">
      <w:pPr>
        <w:spacing w:before="39"/>
        <w:ind w:left="124" w:right="90" w:hanging="40"/>
        <w:rPr>
          <w:rFonts w:ascii="宋体" w:hAnsi="宋体" w:eastAsia="宋体" w:cs="宋体"/>
          <w:color w:val="auto"/>
          <w:sz w:val="20"/>
          <w:szCs w:val="20"/>
          <w:highlight w:val="none"/>
        </w:rPr>
      </w:pPr>
      <w:r>
        <w:rPr>
          <w:rFonts w:ascii="Calibri" w:hAnsi="Calibri" w:eastAsia="Calibri" w:cs="Calibri"/>
          <w:color w:val="auto"/>
          <w:spacing w:val="10"/>
          <w:sz w:val="20"/>
          <w:szCs w:val="20"/>
          <w:highlight w:val="none"/>
        </w:rPr>
        <w:t>“</w:t>
      </w:r>
      <w:r>
        <w:rPr>
          <w:rFonts w:ascii="宋体" w:hAnsi="宋体" w:eastAsia="宋体" w:cs="宋体"/>
          <w:color w:val="auto"/>
          <w:spacing w:val="10"/>
          <w:sz w:val="20"/>
          <w:szCs w:val="20"/>
          <w:highlight w:val="none"/>
        </w:rPr>
        <w:t>主要人员简历表</w:t>
      </w:r>
      <w:r>
        <w:rPr>
          <w:rFonts w:ascii="Calibri" w:hAnsi="Calibri" w:eastAsia="Calibri" w:cs="Calibri"/>
          <w:color w:val="auto"/>
          <w:spacing w:val="10"/>
          <w:sz w:val="20"/>
          <w:szCs w:val="20"/>
          <w:highlight w:val="none"/>
        </w:rPr>
        <w:t>”</w:t>
      </w:r>
      <w:r>
        <w:rPr>
          <w:rFonts w:ascii="宋体" w:hAnsi="宋体" w:eastAsia="宋体" w:cs="宋体"/>
          <w:color w:val="auto"/>
          <w:spacing w:val="10"/>
          <w:sz w:val="20"/>
          <w:szCs w:val="20"/>
          <w:highlight w:val="none"/>
        </w:rPr>
        <w:t>中的项目经理应附职称证书或注册建造师证书、安全生产考核合</w:t>
      </w:r>
      <w:r>
        <w:rPr>
          <w:rFonts w:ascii="宋体" w:hAnsi="宋体" w:eastAsia="宋体" w:cs="宋体"/>
          <w:color w:val="auto"/>
          <w:spacing w:val="9"/>
          <w:sz w:val="20"/>
          <w:szCs w:val="20"/>
          <w:highlight w:val="none"/>
        </w:rPr>
        <w:t>格证书、身份证、</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学历证、养老保险复印件，管理过的项目业绩须附成交（或中标）通知书或合同协议书或竣工验收报告复印件。要求证明材料复印件清晰。</w:t>
      </w:r>
    </w:p>
    <w:tbl>
      <w:tblPr>
        <w:tblStyle w:val="20"/>
        <w:tblW w:w="9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137"/>
        <w:gridCol w:w="1250"/>
        <w:gridCol w:w="1405"/>
        <w:gridCol w:w="2032"/>
        <w:gridCol w:w="2350"/>
      </w:tblGrid>
      <w:tr w14:paraId="13316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206" w:type="dxa"/>
            <w:vAlign w:val="top"/>
          </w:tcPr>
          <w:p w14:paraId="7D95773B">
            <w:pPr>
              <w:pStyle w:val="21"/>
              <w:spacing w:before="205" w:line="228" w:lineRule="auto"/>
              <w:ind w:left="293"/>
              <w:rPr>
                <w:color w:val="auto"/>
                <w:highlight w:val="none"/>
              </w:rPr>
            </w:pPr>
            <w:r>
              <w:rPr>
                <w:color w:val="auto"/>
                <w:highlight w:val="none"/>
              </w:rPr>
              <w:t>姓</w:t>
            </w:r>
            <w:r>
              <w:rPr>
                <w:color w:val="auto"/>
                <w:spacing w:val="10"/>
                <w:highlight w:val="none"/>
              </w:rPr>
              <w:t xml:space="preserve">  </w:t>
            </w:r>
            <w:r>
              <w:rPr>
                <w:color w:val="auto"/>
                <w:highlight w:val="none"/>
              </w:rPr>
              <w:t>名</w:t>
            </w:r>
          </w:p>
        </w:tc>
        <w:tc>
          <w:tcPr>
            <w:tcW w:w="1137" w:type="dxa"/>
            <w:vAlign w:val="top"/>
          </w:tcPr>
          <w:p w14:paraId="0199AC4C">
            <w:pPr>
              <w:rPr>
                <w:rFonts w:ascii="Arial"/>
                <w:color w:val="auto"/>
                <w:sz w:val="21"/>
                <w:highlight w:val="none"/>
              </w:rPr>
            </w:pPr>
          </w:p>
        </w:tc>
        <w:tc>
          <w:tcPr>
            <w:tcW w:w="1250" w:type="dxa"/>
            <w:vAlign w:val="top"/>
          </w:tcPr>
          <w:p w14:paraId="712EFA7C">
            <w:pPr>
              <w:pStyle w:val="21"/>
              <w:spacing w:before="205" w:line="228" w:lineRule="auto"/>
              <w:ind w:left="315"/>
              <w:rPr>
                <w:color w:val="auto"/>
                <w:highlight w:val="none"/>
              </w:rPr>
            </w:pPr>
            <w:r>
              <w:rPr>
                <w:color w:val="auto"/>
                <w:highlight w:val="none"/>
              </w:rPr>
              <w:t>年</w:t>
            </w:r>
            <w:r>
              <w:rPr>
                <w:color w:val="auto"/>
                <w:spacing w:val="9"/>
                <w:highlight w:val="none"/>
              </w:rPr>
              <w:t xml:space="preserve">  </w:t>
            </w:r>
            <w:r>
              <w:rPr>
                <w:color w:val="auto"/>
                <w:highlight w:val="none"/>
              </w:rPr>
              <w:t>龄</w:t>
            </w:r>
          </w:p>
        </w:tc>
        <w:tc>
          <w:tcPr>
            <w:tcW w:w="1405" w:type="dxa"/>
            <w:vAlign w:val="top"/>
          </w:tcPr>
          <w:p w14:paraId="3C8765E9">
            <w:pPr>
              <w:rPr>
                <w:rFonts w:ascii="Arial"/>
                <w:color w:val="auto"/>
                <w:sz w:val="21"/>
                <w:highlight w:val="none"/>
              </w:rPr>
            </w:pPr>
          </w:p>
        </w:tc>
        <w:tc>
          <w:tcPr>
            <w:tcW w:w="2032" w:type="dxa"/>
            <w:vAlign w:val="top"/>
          </w:tcPr>
          <w:p w14:paraId="014E8B4A">
            <w:pPr>
              <w:pStyle w:val="21"/>
              <w:spacing w:before="206" w:line="229" w:lineRule="auto"/>
              <w:ind w:left="817"/>
              <w:rPr>
                <w:color w:val="auto"/>
                <w:highlight w:val="none"/>
              </w:rPr>
            </w:pPr>
            <w:r>
              <w:rPr>
                <w:color w:val="auto"/>
                <w:spacing w:val="2"/>
                <w:highlight w:val="none"/>
              </w:rPr>
              <w:t>学历</w:t>
            </w:r>
          </w:p>
        </w:tc>
        <w:tc>
          <w:tcPr>
            <w:tcW w:w="2350" w:type="dxa"/>
            <w:vAlign w:val="top"/>
          </w:tcPr>
          <w:p w14:paraId="09631D84">
            <w:pPr>
              <w:rPr>
                <w:rFonts w:ascii="Arial"/>
                <w:color w:val="auto"/>
                <w:sz w:val="21"/>
                <w:highlight w:val="none"/>
              </w:rPr>
            </w:pPr>
          </w:p>
        </w:tc>
      </w:tr>
      <w:tr w14:paraId="36D5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06" w:type="dxa"/>
            <w:vAlign w:val="top"/>
          </w:tcPr>
          <w:p w14:paraId="103CDC6E">
            <w:pPr>
              <w:pStyle w:val="21"/>
              <w:spacing w:before="201" w:line="230" w:lineRule="auto"/>
              <w:ind w:left="294"/>
              <w:rPr>
                <w:color w:val="auto"/>
                <w:highlight w:val="none"/>
              </w:rPr>
            </w:pPr>
            <w:r>
              <w:rPr>
                <w:color w:val="auto"/>
                <w:highlight w:val="none"/>
              </w:rPr>
              <w:t>职</w:t>
            </w:r>
            <w:r>
              <w:rPr>
                <w:color w:val="auto"/>
                <w:spacing w:val="9"/>
                <w:highlight w:val="none"/>
              </w:rPr>
              <w:t xml:space="preserve">  </w:t>
            </w:r>
            <w:r>
              <w:rPr>
                <w:color w:val="auto"/>
                <w:highlight w:val="none"/>
              </w:rPr>
              <w:t>称</w:t>
            </w:r>
          </w:p>
        </w:tc>
        <w:tc>
          <w:tcPr>
            <w:tcW w:w="1137" w:type="dxa"/>
            <w:vAlign w:val="top"/>
          </w:tcPr>
          <w:p w14:paraId="46118C51">
            <w:pPr>
              <w:rPr>
                <w:rFonts w:ascii="Arial"/>
                <w:color w:val="auto"/>
                <w:sz w:val="21"/>
                <w:highlight w:val="none"/>
              </w:rPr>
            </w:pPr>
          </w:p>
        </w:tc>
        <w:tc>
          <w:tcPr>
            <w:tcW w:w="1250" w:type="dxa"/>
            <w:vAlign w:val="top"/>
          </w:tcPr>
          <w:p w14:paraId="3FBF8F7B">
            <w:pPr>
              <w:pStyle w:val="21"/>
              <w:spacing w:before="201" w:line="228" w:lineRule="auto"/>
              <w:ind w:left="315"/>
              <w:rPr>
                <w:color w:val="auto"/>
                <w:highlight w:val="none"/>
              </w:rPr>
            </w:pPr>
            <w:r>
              <w:rPr>
                <w:color w:val="auto"/>
                <w:highlight w:val="none"/>
              </w:rPr>
              <w:t>职</w:t>
            </w:r>
            <w:r>
              <w:rPr>
                <w:color w:val="auto"/>
                <w:spacing w:val="10"/>
                <w:highlight w:val="none"/>
              </w:rPr>
              <w:t xml:space="preserve">  </w:t>
            </w:r>
            <w:r>
              <w:rPr>
                <w:color w:val="auto"/>
                <w:highlight w:val="none"/>
              </w:rPr>
              <w:t>务</w:t>
            </w:r>
          </w:p>
        </w:tc>
        <w:tc>
          <w:tcPr>
            <w:tcW w:w="1405" w:type="dxa"/>
            <w:vAlign w:val="top"/>
          </w:tcPr>
          <w:p w14:paraId="3F5493D6">
            <w:pPr>
              <w:rPr>
                <w:rFonts w:ascii="Arial"/>
                <w:color w:val="auto"/>
                <w:sz w:val="21"/>
                <w:highlight w:val="none"/>
              </w:rPr>
            </w:pPr>
          </w:p>
        </w:tc>
        <w:tc>
          <w:tcPr>
            <w:tcW w:w="2032" w:type="dxa"/>
            <w:vAlign w:val="top"/>
          </w:tcPr>
          <w:p w14:paraId="2DB8D2F5">
            <w:pPr>
              <w:pStyle w:val="21"/>
              <w:spacing w:before="201" w:line="227" w:lineRule="auto"/>
              <w:ind w:left="287"/>
              <w:rPr>
                <w:color w:val="auto"/>
                <w:highlight w:val="none"/>
              </w:rPr>
            </w:pPr>
            <w:r>
              <w:rPr>
                <w:color w:val="auto"/>
                <w:spacing w:val="8"/>
                <w:highlight w:val="none"/>
              </w:rPr>
              <w:t>拟在本工程任职</w:t>
            </w:r>
          </w:p>
        </w:tc>
        <w:tc>
          <w:tcPr>
            <w:tcW w:w="2350" w:type="dxa"/>
            <w:vAlign w:val="top"/>
          </w:tcPr>
          <w:p w14:paraId="7ED9FDD9">
            <w:pPr>
              <w:pStyle w:val="21"/>
              <w:spacing w:before="202" w:line="228" w:lineRule="auto"/>
              <w:ind w:left="764"/>
              <w:rPr>
                <w:color w:val="auto"/>
                <w:highlight w:val="none"/>
              </w:rPr>
            </w:pPr>
            <w:r>
              <w:rPr>
                <w:color w:val="auto"/>
                <w:spacing w:val="6"/>
                <w:highlight w:val="none"/>
              </w:rPr>
              <w:t>项目经理</w:t>
            </w:r>
          </w:p>
        </w:tc>
      </w:tr>
      <w:tr w14:paraId="2E69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593" w:type="dxa"/>
            <w:gridSpan w:val="3"/>
            <w:vAlign w:val="top"/>
          </w:tcPr>
          <w:p w14:paraId="20C4A412">
            <w:pPr>
              <w:pStyle w:val="21"/>
              <w:spacing w:before="202" w:line="228" w:lineRule="auto"/>
              <w:ind w:left="1391"/>
              <w:rPr>
                <w:color w:val="auto"/>
                <w:highlight w:val="none"/>
              </w:rPr>
            </w:pPr>
            <w:r>
              <w:rPr>
                <w:color w:val="auto"/>
                <w:spacing w:val="5"/>
                <w:highlight w:val="none"/>
              </w:rPr>
              <w:t>资格等级</w:t>
            </w:r>
          </w:p>
        </w:tc>
        <w:tc>
          <w:tcPr>
            <w:tcW w:w="1405" w:type="dxa"/>
            <w:vAlign w:val="top"/>
          </w:tcPr>
          <w:p w14:paraId="730F72BB">
            <w:pPr>
              <w:pStyle w:val="21"/>
              <w:spacing w:before="202" w:line="230" w:lineRule="auto"/>
              <w:ind w:left="922"/>
              <w:rPr>
                <w:color w:val="auto"/>
                <w:highlight w:val="none"/>
              </w:rPr>
            </w:pPr>
            <w:r>
              <w:rPr>
                <w:color w:val="auto"/>
                <w:highlight w:val="none"/>
              </w:rPr>
              <w:t>级</w:t>
            </w:r>
          </w:p>
        </w:tc>
        <w:tc>
          <w:tcPr>
            <w:tcW w:w="2032" w:type="dxa"/>
            <w:vAlign w:val="top"/>
          </w:tcPr>
          <w:p w14:paraId="44282FB2">
            <w:pPr>
              <w:pStyle w:val="21"/>
              <w:spacing w:before="203" w:line="228" w:lineRule="auto"/>
              <w:ind w:left="813"/>
              <w:rPr>
                <w:color w:val="auto"/>
                <w:highlight w:val="none"/>
              </w:rPr>
            </w:pPr>
            <w:r>
              <w:rPr>
                <w:color w:val="auto"/>
                <w:spacing w:val="4"/>
                <w:highlight w:val="none"/>
              </w:rPr>
              <w:t>专业</w:t>
            </w:r>
          </w:p>
        </w:tc>
        <w:tc>
          <w:tcPr>
            <w:tcW w:w="2350" w:type="dxa"/>
            <w:vAlign w:val="top"/>
          </w:tcPr>
          <w:p w14:paraId="4E4BB8BE">
            <w:pPr>
              <w:rPr>
                <w:rFonts w:ascii="Arial"/>
                <w:color w:val="auto"/>
                <w:sz w:val="21"/>
                <w:highlight w:val="none"/>
              </w:rPr>
            </w:pPr>
          </w:p>
        </w:tc>
      </w:tr>
      <w:tr w14:paraId="06A6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6E1A77BA">
            <w:pPr>
              <w:pStyle w:val="21"/>
              <w:spacing w:before="202" w:line="228" w:lineRule="auto"/>
              <w:ind w:left="191"/>
              <w:rPr>
                <w:color w:val="auto"/>
                <w:highlight w:val="none"/>
              </w:rPr>
            </w:pPr>
            <w:r>
              <w:rPr>
                <w:color w:val="auto"/>
                <w:spacing w:val="6"/>
                <w:highlight w:val="none"/>
              </w:rPr>
              <w:t>毕业学校</w:t>
            </w:r>
          </w:p>
        </w:tc>
        <w:tc>
          <w:tcPr>
            <w:tcW w:w="8174" w:type="dxa"/>
            <w:gridSpan w:val="5"/>
            <w:vAlign w:val="top"/>
          </w:tcPr>
          <w:p w14:paraId="2EE92A2C">
            <w:pPr>
              <w:pStyle w:val="21"/>
              <w:spacing w:before="202" w:line="228" w:lineRule="auto"/>
              <w:ind w:left="952"/>
              <w:rPr>
                <w:color w:val="auto"/>
                <w:highlight w:val="none"/>
              </w:rPr>
            </w:pPr>
            <w:r>
              <w:rPr>
                <w:color w:val="auto"/>
                <w:spacing w:val="5"/>
                <w:highlight w:val="none"/>
              </w:rPr>
              <w:t>年毕业于</w:t>
            </w:r>
            <w:r>
              <w:rPr>
                <w:color w:val="auto"/>
                <w:highlight w:val="none"/>
              </w:rPr>
              <w:t xml:space="preserve">                   </w:t>
            </w:r>
            <w:r>
              <w:rPr>
                <w:color w:val="auto"/>
                <w:spacing w:val="5"/>
                <w:highlight w:val="none"/>
              </w:rPr>
              <w:t>学校</w:t>
            </w:r>
            <w:r>
              <w:rPr>
                <w:color w:val="auto"/>
                <w:spacing w:val="6"/>
                <w:highlight w:val="none"/>
              </w:rPr>
              <w:t xml:space="preserve">            </w:t>
            </w:r>
            <w:r>
              <w:rPr>
                <w:color w:val="auto"/>
                <w:spacing w:val="5"/>
                <w:highlight w:val="none"/>
              </w:rPr>
              <w:t>专业</w:t>
            </w:r>
          </w:p>
        </w:tc>
      </w:tr>
      <w:tr w14:paraId="3EE1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380" w:type="dxa"/>
            <w:gridSpan w:val="6"/>
            <w:vAlign w:val="top"/>
          </w:tcPr>
          <w:p w14:paraId="45561EC0">
            <w:pPr>
              <w:pStyle w:val="21"/>
              <w:spacing w:before="202" w:line="228" w:lineRule="auto"/>
              <w:ind w:left="4067"/>
              <w:rPr>
                <w:color w:val="auto"/>
                <w:highlight w:val="none"/>
              </w:rPr>
            </w:pPr>
            <w:r>
              <w:rPr>
                <w:color w:val="auto"/>
                <w:spacing w:val="7"/>
                <w:highlight w:val="none"/>
              </w:rPr>
              <w:t>主要工作经历</w:t>
            </w:r>
          </w:p>
        </w:tc>
      </w:tr>
      <w:tr w14:paraId="1422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399678E9">
            <w:pPr>
              <w:pStyle w:val="21"/>
              <w:spacing w:before="204" w:line="230" w:lineRule="auto"/>
              <w:ind w:left="303"/>
              <w:rPr>
                <w:color w:val="auto"/>
                <w:highlight w:val="none"/>
              </w:rPr>
            </w:pPr>
            <w:r>
              <w:rPr>
                <w:color w:val="auto"/>
                <w:spacing w:val="-5"/>
                <w:highlight w:val="none"/>
              </w:rPr>
              <w:t>时</w:t>
            </w:r>
            <w:r>
              <w:rPr>
                <w:color w:val="auto"/>
                <w:spacing w:val="17"/>
                <w:highlight w:val="none"/>
              </w:rPr>
              <w:t xml:space="preserve">  </w:t>
            </w:r>
            <w:r>
              <w:rPr>
                <w:color w:val="auto"/>
                <w:spacing w:val="-5"/>
                <w:highlight w:val="none"/>
              </w:rPr>
              <w:t>间</w:t>
            </w:r>
          </w:p>
        </w:tc>
        <w:tc>
          <w:tcPr>
            <w:tcW w:w="3792" w:type="dxa"/>
            <w:gridSpan w:val="3"/>
            <w:vAlign w:val="top"/>
          </w:tcPr>
          <w:p w14:paraId="7A6B2484">
            <w:pPr>
              <w:pStyle w:val="21"/>
              <w:spacing w:before="204" w:line="228" w:lineRule="auto"/>
              <w:ind w:left="853"/>
              <w:rPr>
                <w:color w:val="auto"/>
                <w:highlight w:val="none"/>
              </w:rPr>
            </w:pPr>
            <w:r>
              <w:rPr>
                <w:color w:val="auto"/>
                <w:spacing w:val="8"/>
                <w:highlight w:val="none"/>
              </w:rPr>
              <w:t>参加过的类似项目名称</w:t>
            </w:r>
          </w:p>
        </w:tc>
        <w:tc>
          <w:tcPr>
            <w:tcW w:w="2032" w:type="dxa"/>
            <w:vAlign w:val="top"/>
          </w:tcPr>
          <w:p w14:paraId="3CB4E52A">
            <w:pPr>
              <w:pStyle w:val="21"/>
              <w:spacing w:before="204" w:line="228" w:lineRule="auto"/>
              <w:ind w:left="395"/>
              <w:rPr>
                <w:color w:val="auto"/>
                <w:highlight w:val="none"/>
              </w:rPr>
            </w:pPr>
            <w:r>
              <w:rPr>
                <w:color w:val="auto"/>
                <w:spacing w:val="7"/>
                <w:highlight w:val="none"/>
              </w:rPr>
              <w:t>工程概况说明</w:t>
            </w:r>
          </w:p>
        </w:tc>
        <w:tc>
          <w:tcPr>
            <w:tcW w:w="2350" w:type="dxa"/>
            <w:vAlign w:val="top"/>
          </w:tcPr>
          <w:p w14:paraId="477C835B">
            <w:pPr>
              <w:pStyle w:val="21"/>
              <w:spacing w:before="204" w:line="228" w:lineRule="auto"/>
              <w:ind w:left="344"/>
              <w:rPr>
                <w:color w:val="auto"/>
                <w:highlight w:val="none"/>
              </w:rPr>
            </w:pPr>
            <w:r>
              <w:rPr>
                <w:color w:val="auto"/>
                <w:spacing w:val="8"/>
                <w:highlight w:val="none"/>
              </w:rPr>
              <w:t>发包人及联系电话</w:t>
            </w:r>
          </w:p>
        </w:tc>
      </w:tr>
      <w:tr w14:paraId="07B4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20EE6B46">
            <w:pPr>
              <w:rPr>
                <w:rFonts w:ascii="Arial"/>
                <w:color w:val="auto"/>
                <w:sz w:val="21"/>
                <w:highlight w:val="none"/>
              </w:rPr>
            </w:pPr>
          </w:p>
        </w:tc>
        <w:tc>
          <w:tcPr>
            <w:tcW w:w="3792" w:type="dxa"/>
            <w:gridSpan w:val="3"/>
            <w:vAlign w:val="top"/>
          </w:tcPr>
          <w:p w14:paraId="6FDD1293">
            <w:pPr>
              <w:rPr>
                <w:rFonts w:ascii="Arial"/>
                <w:color w:val="auto"/>
                <w:sz w:val="21"/>
                <w:highlight w:val="none"/>
              </w:rPr>
            </w:pPr>
          </w:p>
        </w:tc>
        <w:tc>
          <w:tcPr>
            <w:tcW w:w="2032" w:type="dxa"/>
            <w:vAlign w:val="top"/>
          </w:tcPr>
          <w:p w14:paraId="25F052D6">
            <w:pPr>
              <w:rPr>
                <w:rFonts w:ascii="Arial"/>
                <w:color w:val="auto"/>
                <w:sz w:val="21"/>
                <w:highlight w:val="none"/>
              </w:rPr>
            </w:pPr>
          </w:p>
        </w:tc>
        <w:tc>
          <w:tcPr>
            <w:tcW w:w="2350" w:type="dxa"/>
            <w:vAlign w:val="top"/>
          </w:tcPr>
          <w:p w14:paraId="17A464CD">
            <w:pPr>
              <w:rPr>
                <w:rFonts w:ascii="Arial"/>
                <w:color w:val="auto"/>
                <w:sz w:val="21"/>
                <w:highlight w:val="none"/>
              </w:rPr>
            </w:pPr>
          </w:p>
        </w:tc>
      </w:tr>
      <w:tr w14:paraId="668A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12236349">
            <w:pPr>
              <w:rPr>
                <w:rFonts w:ascii="Arial"/>
                <w:color w:val="auto"/>
                <w:sz w:val="21"/>
                <w:highlight w:val="none"/>
              </w:rPr>
            </w:pPr>
          </w:p>
        </w:tc>
        <w:tc>
          <w:tcPr>
            <w:tcW w:w="3792" w:type="dxa"/>
            <w:gridSpan w:val="3"/>
            <w:vAlign w:val="top"/>
          </w:tcPr>
          <w:p w14:paraId="56DD5AFA">
            <w:pPr>
              <w:rPr>
                <w:rFonts w:ascii="Arial"/>
                <w:color w:val="auto"/>
                <w:sz w:val="21"/>
                <w:highlight w:val="none"/>
              </w:rPr>
            </w:pPr>
          </w:p>
        </w:tc>
        <w:tc>
          <w:tcPr>
            <w:tcW w:w="2032" w:type="dxa"/>
            <w:vAlign w:val="top"/>
          </w:tcPr>
          <w:p w14:paraId="193E7B62">
            <w:pPr>
              <w:rPr>
                <w:rFonts w:ascii="Arial"/>
                <w:color w:val="auto"/>
                <w:sz w:val="21"/>
                <w:highlight w:val="none"/>
              </w:rPr>
            </w:pPr>
          </w:p>
        </w:tc>
        <w:tc>
          <w:tcPr>
            <w:tcW w:w="2350" w:type="dxa"/>
            <w:vAlign w:val="top"/>
          </w:tcPr>
          <w:p w14:paraId="6FB2E44F">
            <w:pPr>
              <w:rPr>
                <w:rFonts w:ascii="Arial"/>
                <w:color w:val="auto"/>
                <w:sz w:val="21"/>
                <w:highlight w:val="none"/>
              </w:rPr>
            </w:pPr>
          </w:p>
        </w:tc>
      </w:tr>
      <w:tr w14:paraId="635B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5D016F9F">
            <w:pPr>
              <w:rPr>
                <w:rFonts w:ascii="Arial"/>
                <w:color w:val="auto"/>
                <w:sz w:val="21"/>
                <w:highlight w:val="none"/>
              </w:rPr>
            </w:pPr>
          </w:p>
        </w:tc>
        <w:tc>
          <w:tcPr>
            <w:tcW w:w="3792" w:type="dxa"/>
            <w:gridSpan w:val="3"/>
            <w:vAlign w:val="top"/>
          </w:tcPr>
          <w:p w14:paraId="2B5366BD">
            <w:pPr>
              <w:rPr>
                <w:rFonts w:ascii="Arial"/>
                <w:color w:val="auto"/>
                <w:sz w:val="21"/>
                <w:highlight w:val="none"/>
              </w:rPr>
            </w:pPr>
          </w:p>
        </w:tc>
        <w:tc>
          <w:tcPr>
            <w:tcW w:w="2032" w:type="dxa"/>
            <w:vAlign w:val="top"/>
          </w:tcPr>
          <w:p w14:paraId="42EBE1F9">
            <w:pPr>
              <w:rPr>
                <w:rFonts w:ascii="Arial"/>
                <w:color w:val="auto"/>
                <w:sz w:val="21"/>
                <w:highlight w:val="none"/>
              </w:rPr>
            </w:pPr>
          </w:p>
        </w:tc>
        <w:tc>
          <w:tcPr>
            <w:tcW w:w="2350" w:type="dxa"/>
            <w:vAlign w:val="top"/>
          </w:tcPr>
          <w:p w14:paraId="69CA758A">
            <w:pPr>
              <w:rPr>
                <w:rFonts w:ascii="Arial"/>
                <w:color w:val="auto"/>
                <w:sz w:val="21"/>
                <w:highlight w:val="none"/>
              </w:rPr>
            </w:pPr>
          </w:p>
        </w:tc>
      </w:tr>
      <w:tr w14:paraId="52D5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06" w:type="dxa"/>
            <w:vAlign w:val="top"/>
          </w:tcPr>
          <w:p w14:paraId="2BBEC225">
            <w:pPr>
              <w:rPr>
                <w:rFonts w:ascii="Arial"/>
                <w:color w:val="auto"/>
                <w:sz w:val="21"/>
                <w:highlight w:val="none"/>
              </w:rPr>
            </w:pPr>
          </w:p>
        </w:tc>
        <w:tc>
          <w:tcPr>
            <w:tcW w:w="3792" w:type="dxa"/>
            <w:gridSpan w:val="3"/>
            <w:vAlign w:val="top"/>
          </w:tcPr>
          <w:p w14:paraId="5B338ACE">
            <w:pPr>
              <w:rPr>
                <w:rFonts w:ascii="Arial"/>
                <w:color w:val="auto"/>
                <w:sz w:val="21"/>
                <w:highlight w:val="none"/>
              </w:rPr>
            </w:pPr>
          </w:p>
        </w:tc>
        <w:tc>
          <w:tcPr>
            <w:tcW w:w="2032" w:type="dxa"/>
            <w:vAlign w:val="top"/>
          </w:tcPr>
          <w:p w14:paraId="04C82D02">
            <w:pPr>
              <w:rPr>
                <w:rFonts w:ascii="Arial"/>
                <w:color w:val="auto"/>
                <w:sz w:val="21"/>
                <w:highlight w:val="none"/>
              </w:rPr>
            </w:pPr>
          </w:p>
        </w:tc>
        <w:tc>
          <w:tcPr>
            <w:tcW w:w="2350" w:type="dxa"/>
            <w:vAlign w:val="top"/>
          </w:tcPr>
          <w:p w14:paraId="6977418F">
            <w:pPr>
              <w:rPr>
                <w:rFonts w:ascii="Arial"/>
                <w:color w:val="auto"/>
                <w:sz w:val="21"/>
                <w:highlight w:val="none"/>
              </w:rPr>
            </w:pPr>
          </w:p>
        </w:tc>
      </w:tr>
    </w:tbl>
    <w:p w14:paraId="66284F2A">
      <w:pPr>
        <w:pStyle w:val="8"/>
        <w:rPr>
          <w:color w:val="auto"/>
          <w:highlight w:val="none"/>
        </w:rPr>
      </w:pPr>
    </w:p>
    <w:p w14:paraId="3F0E5118">
      <w:pPr>
        <w:rPr>
          <w:color w:val="auto"/>
          <w:highlight w:val="none"/>
        </w:rPr>
        <w:sectPr>
          <w:footerReference r:id="rId29" w:type="default"/>
          <w:pgSz w:w="11906" w:h="16839"/>
          <w:pgMar w:top="1346" w:right="1272" w:bottom="1153" w:left="1248" w:header="0" w:footer="994" w:gutter="0"/>
          <w:pgNumType w:fmt="decimal"/>
          <w:cols w:space="720" w:num="1"/>
        </w:sectPr>
      </w:pPr>
    </w:p>
    <w:p w14:paraId="42F77E78">
      <w:pPr>
        <w:spacing w:before="47" w:line="219" w:lineRule="auto"/>
        <w:ind w:left="304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（二）其他项目管理人员简历表</w:t>
      </w:r>
    </w:p>
    <w:p w14:paraId="79BF12BE">
      <w:pPr>
        <w:spacing w:before="177" w:line="367" w:lineRule="auto"/>
        <w:ind w:left="123" w:right="114" w:firstLine="418"/>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其他项目管理人员简历表指技术负责人等岗位人员。技术负责人应附身份证、学历证、职称证复</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印件，管理过的项目业绩须附证明其所任技术职务的企业文件或用户证明；其他主要人员应附执业证</w:t>
      </w:r>
      <w:r>
        <w:rPr>
          <w:rFonts w:ascii="宋体" w:hAnsi="宋体" w:eastAsia="宋体" w:cs="宋体"/>
          <w:color w:val="auto"/>
          <w:spacing w:val="18"/>
          <w:sz w:val="20"/>
          <w:szCs w:val="20"/>
          <w:highlight w:val="none"/>
        </w:rPr>
        <w:t xml:space="preserve"> </w:t>
      </w:r>
      <w:r>
        <w:rPr>
          <w:rFonts w:ascii="宋体" w:hAnsi="宋体" w:eastAsia="宋体" w:cs="宋体"/>
          <w:color w:val="auto"/>
          <w:spacing w:val="8"/>
          <w:sz w:val="20"/>
          <w:szCs w:val="20"/>
          <w:highlight w:val="none"/>
        </w:rPr>
        <w:t>或上岗证书复印件。要求证明材料复印件清晰。</w:t>
      </w:r>
    </w:p>
    <w:p w14:paraId="250C3366">
      <w:pPr>
        <w:spacing w:line="26" w:lineRule="auto"/>
        <w:rPr>
          <w:rFonts w:ascii="Arial"/>
          <w:color w:val="auto"/>
          <w:sz w:val="2"/>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557"/>
        <w:gridCol w:w="1571"/>
        <w:gridCol w:w="1569"/>
        <w:gridCol w:w="1605"/>
        <w:gridCol w:w="267"/>
        <w:gridCol w:w="1262"/>
      </w:tblGrid>
      <w:tr w14:paraId="0244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03743A1E">
            <w:pPr>
              <w:pStyle w:val="21"/>
              <w:spacing w:before="116" w:line="228" w:lineRule="auto"/>
              <w:ind w:left="395"/>
              <w:rPr>
                <w:color w:val="auto"/>
                <w:highlight w:val="none"/>
              </w:rPr>
            </w:pPr>
            <w:r>
              <w:rPr>
                <w:color w:val="auto"/>
                <w:spacing w:val="1"/>
                <w:highlight w:val="none"/>
              </w:rPr>
              <w:t>岗位名称</w:t>
            </w:r>
          </w:p>
        </w:tc>
        <w:tc>
          <w:tcPr>
            <w:tcW w:w="7831" w:type="dxa"/>
            <w:gridSpan w:val="6"/>
            <w:vAlign w:val="top"/>
          </w:tcPr>
          <w:p w14:paraId="0A90521A">
            <w:pPr>
              <w:rPr>
                <w:rFonts w:ascii="Arial"/>
                <w:color w:val="auto"/>
                <w:sz w:val="21"/>
                <w:highlight w:val="none"/>
              </w:rPr>
            </w:pPr>
          </w:p>
        </w:tc>
      </w:tr>
      <w:tr w14:paraId="1403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1AD31438">
            <w:pPr>
              <w:pStyle w:val="21"/>
              <w:spacing w:before="110" w:line="228" w:lineRule="auto"/>
              <w:ind w:left="581"/>
              <w:rPr>
                <w:color w:val="auto"/>
                <w:highlight w:val="none"/>
              </w:rPr>
            </w:pPr>
            <w:r>
              <w:rPr>
                <w:color w:val="auto"/>
                <w:spacing w:val="4"/>
                <w:highlight w:val="none"/>
              </w:rPr>
              <w:t>姓名</w:t>
            </w:r>
          </w:p>
        </w:tc>
        <w:tc>
          <w:tcPr>
            <w:tcW w:w="1557" w:type="dxa"/>
            <w:vAlign w:val="top"/>
          </w:tcPr>
          <w:p w14:paraId="39BBAF28">
            <w:pPr>
              <w:rPr>
                <w:rFonts w:ascii="Arial"/>
                <w:color w:val="auto"/>
                <w:sz w:val="21"/>
                <w:highlight w:val="none"/>
              </w:rPr>
            </w:pPr>
          </w:p>
        </w:tc>
        <w:tc>
          <w:tcPr>
            <w:tcW w:w="1571" w:type="dxa"/>
            <w:vAlign w:val="top"/>
          </w:tcPr>
          <w:p w14:paraId="5A54B0D4">
            <w:pPr>
              <w:pStyle w:val="21"/>
              <w:spacing w:before="110" w:line="228" w:lineRule="auto"/>
              <w:ind w:left="581"/>
              <w:rPr>
                <w:color w:val="auto"/>
                <w:highlight w:val="none"/>
              </w:rPr>
            </w:pPr>
            <w:r>
              <w:rPr>
                <w:color w:val="auto"/>
                <w:spacing w:val="4"/>
                <w:highlight w:val="none"/>
              </w:rPr>
              <w:t>年龄</w:t>
            </w:r>
          </w:p>
        </w:tc>
        <w:tc>
          <w:tcPr>
            <w:tcW w:w="1569" w:type="dxa"/>
            <w:vAlign w:val="top"/>
          </w:tcPr>
          <w:p w14:paraId="753FE045">
            <w:pPr>
              <w:rPr>
                <w:rFonts w:ascii="Arial"/>
                <w:color w:val="auto"/>
                <w:sz w:val="21"/>
                <w:highlight w:val="none"/>
              </w:rPr>
            </w:pPr>
          </w:p>
        </w:tc>
        <w:tc>
          <w:tcPr>
            <w:tcW w:w="1872" w:type="dxa"/>
            <w:gridSpan w:val="2"/>
            <w:vAlign w:val="top"/>
          </w:tcPr>
          <w:p w14:paraId="250C8243">
            <w:pPr>
              <w:pStyle w:val="21"/>
              <w:spacing w:before="111" w:line="228" w:lineRule="auto"/>
              <w:ind w:left="736"/>
              <w:rPr>
                <w:color w:val="auto"/>
                <w:highlight w:val="none"/>
              </w:rPr>
            </w:pPr>
            <w:r>
              <w:rPr>
                <w:color w:val="auto"/>
                <w:spacing w:val="3"/>
                <w:highlight w:val="none"/>
              </w:rPr>
              <w:t>性别</w:t>
            </w:r>
          </w:p>
        </w:tc>
        <w:tc>
          <w:tcPr>
            <w:tcW w:w="1262" w:type="dxa"/>
            <w:vAlign w:val="top"/>
          </w:tcPr>
          <w:p w14:paraId="2320AC67">
            <w:pPr>
              <w:rPr>
                <w:rFonts w:ascii="Arial"/>
                <w:color w:val="auto"/>
                <w:sz w:val="21"/>
                <w:highlight w:val="none"/>
              </w:rPr>
            </w:pPr>
          </w:p>
        </w:tc>
      </w:tr>
      <w:tr w14:paraId="653E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D13E0A2">
            <w:pPr>
              <w:pStyle w:val="21"/>
              <w:spacing w:before="111" w:line="229" w:lineRule="auto"/>
              <w:ind w:left="585"/>
              <w:rPr>
                <w:color w:val="auto"/>
                <w:highlight w:val="none"/>
              </w:rPr>
            </w:pPr>
            <w:r>
              <w:rPr>
                <w:color w:val="auto"/>
                <w:spacing w:val="2"/>
                <w:highlight w:val="none"/>
              </w:rPr>
              <w:t>学历</w:t>
            </w:r>
          </w:p>
        </w:tc>
        <w:tc>
          <w:tcPr>
            <w:tcW w:w="1557" w:type="dxa"/>
            <w:vAlign w:val="top"/>
          </w:tcPr>
          <w:p w14:paraId="27F986A8">
            <w:pPr>
              <w:rPr>
                <w:rFonts w:ascii="Arial"/>
                <w:color w:val="auto"/>
                <w:sz w:val="21"/>
                <w:highlight w:val="none"/>
              </w:rPr>
            </w:pPr>
          </w:p>
        </w:tc>
        <w:tc>
          <w:tcPr>
            <w:tcW w:w="1571" w:type="dxa"/>
            <w:vAlign w:val="top"/>
          </w:tcPr>
          <w:p w14:paraId="4204F592">
            <w:pPr>
              <w:pStyle w:val="21"/>
              <w:spacing w:before="111" w:line="228" w:lineRule="auto"/>
              <w:ind w:left="581"/>
              <w:rPr>
                <w:color w:val="auto"/>
                <w:highlight w:val="none"/>
              </w:rPr>
            </w:pPr>
            <w:r>
              <w:rPr>
                <w:color w:val="auto"/>
                <w:spacing w:val="4"/>
                <w:highlight w:val="none"/>
              </w:rPr>
              <w:t>专业</w:t>
            </w:r>
          </w:p>
        </w:tc>
        <w:tc>
          <w:tcPr>
            <w:tcW w:w="1569" w:type="dxa"/>
            <w:vAlign w:val="top"/>
          </w:tcPr>
          <w:p w14:paraId="7C04C7DB">
            <w:pPr>
              <w:rPr>
                <w:rFonts w:ascii="Arial"/>
                <w:color w:val="auto"/>
                <w:sz w:val="21"/>
                <w:highlight w:val="none"/>
              </w:rPr>
            </w:pPr>
          </w:p>
        </w:tc>
        <w:tc>
          <w:tcPr>
            <w:tcW w:w="1872" w:type="dxa"/>
            <w:gridSpan w:val="2"/>
            <w:vAlign w:val="top"/>
          </w:tcPr>
          <w:p w14:paraId="5654F8D9">
            <w:pPr>
              <w:pStyle w:val="21"/>
              <w:spacing w:before="110" w:line="228" w:lineRule="auto"/>
              <w:ind w:left="525"/>
              <w:rPr>
                <w:color w:val="auto"/>
                <w:highlight w:val="none"/>
              </w:rPr>
            </w:pPr>
            <w:r>
              <w:rPr>
                <w:color w:val="auto"/>
                <w:spacing w:val="6"/>
                <w:highlight w:val="none"/>
              </w:rPr>
              <w:t>工作年限</w:t>
            </w:r>
          </w:p>
        </w:tc>
        <w:tc>
          <w:tcPr>
            <w:tcW w:w="1262" w:type="dxa"/>
            <w:vAlign w:val="top"/>
          </w:tcPr>
          <w:p w14:paraId="669FC68E">
            <w:pPr>
              <w:rPr>
                <w:rFonts w:ascii="Arial"/>
                <w:color w:val="auto"/>
                <w:sz w:val="21"/>
                <w:highlight w:val="none"/>
              </w:rPr>
            </w:pPr>
          </w:p>
        </w:tc>
      </w:tr>
      <w:tr w14:paraId="1796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165FF7F4">
            <w:pPr>
              <w:pStyle w:val="21"/>
              <w:spacing w:before="113" w:line="228" w:lineRule="auto"/>
              <w:ind w:left="372"/>
              <w:rPr>
                <w:color w:val="auto"/>
                <w:highlight w:val="none"/>
              </w:rPr>
            </w:pPr>
            <w:r>
              <w:rPr>
                <w:color w:val="auto"/>
                <w:spacing w:val="7"/>
                <w:highlight w:val="none"/>
              </w:rPr>
              <w:t>执业资格</w:t>
            </w:r>
          </w:p>
        </w:tc>
        <w:tc>
          <w:tcPr>
            <w:tcW w:w="3128" w:type="dxa"/>
            <w:gridSpan w:val="2"/>
            <w:vAlign w:val="top"/>
          </w:tcPr>
          <w:p w14:paraId="7127C5D0">
            <w:pPr>
              <w:rPr>
                <w:rFonts w:ascii="Arial"/>
                <w:color w:val="auto"/>
                <w:sz w:val="21"/>
                <w:highlight w:val="none"/>
              </w:rPr>
            </w:pPr>
          </w:p>
        </w:tc>
        <w:tc>
          <w:tcPr>
            <w:tcW w:w="1569" w:type="dxa"/>
            <w:vAlign w:val="top"/>
          </w:tcPr>
          <w:p w14:paraId="69B5EA7C">
            <w:pPr>
              <w:pStyle w:val="21"/>
              <w:spacing w:before="113" w:line="227" w:lineRule="auto"/>
              <w:ind w:left="370"/>
              <w:rPr>
                <w:color w:val="auto"/>
                <w:highlight w:val="none"/>
              </w:rPr>
            </w:pPr>
            <w:r>
              <w:rPr>
                <w:color w:val="auto"/>
                <w:spacing w:val="7"/>
                <w:highlight w:val="none"/>
              </w:rPr>
              <w:t>证书编号</w:t>
            </w:r>
          </w:p>
        </w:tc>
        <w:tc>
          <w:tcPr>
            <w:tcW w:w="3134" w:type="dxa"/>
            <w:gridSpan w:val="3"/>
            <w:vAlign w:val="top"/>
          </w:tcPr>
          <w:p w14:paraId="1368AB8B">
            <w:pPr>
              <w:rPr>
                <w:rFonts w:ascii="Arial"/>
                <w:color w:val="auto"/>
                <w:sz w:val="21"/>
                <w:highlight w:val="none"/>
              </w:rPr>
            </w:pPr>
          </w:p>
        </w:tc>
      </w:tr>
      <w:tr w14:paraId="7CA9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6440E4CC">
            <w:pPr>
              <w:pStyle w:val="21"/>
              <w:spacing w:before="112" w:line="228" w:lineRule="auto"/>
              <w:ind w:left="376"/>
              <w:rPr>
                <w:color w:val="auto"/>
                <w:highlight w:val="none"/>
              </w:rPr>
            </w:pPr>
            <w:r>
              <w:rPr>
                <w:color w:val="auto"/>
                <w:spacing w:val="6"/>
                <w:highlight w:val="none"/>
              </w:rPr>
              <w:t>毕业学校</w:t>
            </w:r>
          </w:p>
        </w:tc>
        <w:tc>
          <w:tcPr>
            <w:tcW w:w="7831" w:type="dxa"/>
            <w:gridSpan w:val="6"/>
            <w:vAlign w:val="top"/>
          </w:tcPr>
          <w:p w14:paraId="1E972876">
            <w:pPr>
              <w:pStyle w:val="21"/>
              <w:spacing w:before="112" w:line="228" w:lineRule="auto"/>
              <w:ind w:left="2030"/>
              <w:rPr>
                <w:color w:val="auto"/>
                <w:highlight w:val="none"/>
              </w:rPr>
            </w:pPr>
            <w:r>
              <w:rPr>
                <w:color w:val="auto"/>
                <w:spacing w:val="5"/>
                <w:highlight w:val="none"/>
              </w:rPr>
              <w:t>年毕业于</w:t>
            </w:r>
            <w:r>
              <w:rPr>
                <w:color w:val="auto"/>
                <w:spacing w:val="6"/>
                <w:highlight w:val="none"/>
              </w:rPr>
              <w:t xml:space="preserve">         </w:t>
            </w:r>
            <w:r>
              <w:rPr>
                <w:color w:val="auto"/>
                <w:spacing w:val="5"/>
                <w:highlight w:val="none"/>
              </w:rPr>
              <w:t>学校</w:t>
            </w:r>
            <w:r>
              <w:rPr>
                <w:color w:val="auto"/>
                <w:spacing w:val="6"/>
                <w:highlight w:val="none"/>
              </w:rPr>
              <w:t xml:space="preserve">           </w:t>
            </w:r>
            <w:r>
              <w:rPr>
                <w:color w:val="auto"/>
                <w:spacing w:val="5"/>
                <w:highlight w:val="none"/>
              </w:rPr>
              <w:t>专业</w:t>
            </w:r>
          </w:p>
        </w:tc>
      </w:tr>
      <w:tr w14:paraId="2F9B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04" w:type="dxa"/>
            <w:gridSpan w:val="7"/>
            <w:vAlign w:val="top"/>
          </w:tcPr>
          <w:p w14:paraId="04E84521">
            <w:pPr>
              <w:pStyle w:val="21"/>
              <w:spacing w:before="114" w:line="228" w:lineRule="auto"/>
              <w:ind w:left="4079"/>
              <w:rPr>
                <w:color w:val="auto"/>
                <w:highlight w:val="none"/>
              </w:rPr>
            </w:pPr>
            <w:r>
              <w:rPr>
                <w:color w:val="auto"/>
                <w:spacing w:val="7"/>
                <w:highlight w:val="none"/>
              </w:rPr>
              <w:t>主要工作经历</w:t>
            </w:r>
          </w:p>
        </w:tc>
      </w:tr>
      <w:tr w14:paraId="1DB1E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C43588A">
            <w:pPr>
              <w:pStyle w:val="21"/>
              <w:spacing w:before="112" w:line="230" w:lineRule="auto"/>
              <w:ind w:left="591"/>
              <w:rPr>
                <w:color w:val="auto"/>
                <w:highlight w:val="none"/>
              </w:rPr>
            </w:pPr>
            <w:r>
              <w:rPr>
                <w:color w:val="auto"/>
                <w:spacing w:val="-1"/>
                <w:highlight w:val="none"/>
              </w:rPr>
              <w:t>时间</w:t>
            </w:r>
          </w:p>
        </w:tc>
        <w:tc>
          <w:tcPr>
            <w:tcW w:w="3128" w:type="dxa"/>
            <w:gridSpan w:val="2"/>
            <w:vAlign w:val="top"/>
          </w:tcPr>
          <w:p w14:paraId="15764791">
            <w:pPr>
              <w:pStyle w:val="21"/>
              <w:spacing w:before="112" w:line="228" w:lineRule="auto"/>
              <w:ind w:left="730"/>
              <w:rPr>
                <w:color w:val="auto"/>
                <w:highlight w:val="none"/>
              </w:rPr>
            </w:pPr>
            <w:r>
              <w:rPr>
                <w:color w:val="auto"/>
                <w:spacing w:val="8"/>
                <w:highlight w:val="none"/>
              </w:rPr>
              <w:t>参加过的类似项目</w:t>
            </w:r>
          </w:p>
        </w:tc>
        <w:tc>
          <w:tcPr>
            <w:tcW w:w="1569" w:type="dxa"/>
            <w:vAlign w:val="top"/>
          </w:tcPr>
          <w:p w14:paraId="1342965D">
            <w:pPr>
              <w:pStyle w:val="21"/>
              <w:spacing w:before="112" w:line="228" w:lineRule="auto"/>
              <w:ind w:left="582"/>
              <w:rPr>
                <w:color w:val="auto"/>
                <w:highlight w:val="none"/>
              </w:rPr>
            </w:pPr>
            <w:r>
              <w:rPr>
                <w:color w:val="auto"/>
                <w:spacing w:val="4"/>
                <w:highlight w:val="none"/>
              </w:rPr>
              <w:t>规模</w:t>
            </w:r>
          </w:p>
        </w:tc>
        <w:tc>
          <w:tcPr>
            <w:tcW w:w="1605" w:type="dxa"/>
            <w:vAlign w:val="top"/>
          </w:tcPr>
          <w:p w14:paraId="7FE3033C">
            <w:pPr>
              <w:pStyle w:val="21"/>
              <w:spacing w:before="112" w:line="228" w:lineRule="auto"/>
              <w:ind w:left="391"/>
              <w:rPr>
                <w:color w:val="auto"/>
                <w:highlight w:val="none"/>
              </w:rPr>
            </w:pPr>
            <w:r>
              <w:rPr>
                <w:color w:val="auto"/>
                <w:spacing w:val="7"/>
                <w:highlight w:val="none"/>
              </w:rPr>
              <w:t>担任职务</w:t>
            </w:r>
          </w:p>
        </w:tc>
        <w:tc>
          <w:tcPr>
            <w:tcW w:w="1529" w:type="dxa"/>
            <w:gridSpan w:val="2"/>
            <w:vAlign w:val="top"/>
          </w:tcPr>
          <w:p w14:paraId="1B630B42">
            <w:pPr>
              <w:pStyle w:val="21"/>
              <w:spacing w:before="113" w:line="228" w:lineRule="auto"/>
              <w:ind w:left="456"/>
              <w:rPr>
                <w:color w:val="auto"/>
                <w:highlight w:val="none"/>
              </w:rPr>
            </w:pPr>
            <w:r>
              <w:rPr>
                <w:b/>
                <w:bCs/>
                <w:color w:val="auto"/>
                <w:spacing w:val="4"/>
                <w:highlight w:val="none"/>
              </w:rPr>
              <w:t>发包人</w:t>
            </w:r>
          </w:p>
        </w:tc>
      </w:tr>
      <w:tr w14:paraId="26D7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1CD36CE">
            <w:pPr>
              <w:rPr>
                <w:rFonts w:ascii="Arial"/>
                <w:color w:val="auto"/>
                <w:sz w:val="21"/>
                <w:highlight w:val="none"/>
              </w:rPr>
            </w:pPr>
          </w:p>
        </w:tc>
        <w:tc>
          <w:tcPr>
            <w:tcW w:w="3128" w:type="dxa"/>
            <w:gridSpan w:val="2"/>
            <w:vAlign w:val="top"/>
          </w:tcPr>
          <w:p w14:paraId="7BCB0C7B">
            <w:pPr>
              <w:rPr>
                <w:rFonts w:ascii="Arial"/>
                <w:color w:val="auto"/>
                <w:sz w:val="21"/>
                <w:highlight w:val="none"/>
              </w:rPr>
            </w:pPr>
          </w:p>
        </w:tc>
        <w:tc>
          <w:tcPr>
            <w:tcW w:w="1569" w:type="dxa"/>
            <w:vAlign w:val="top"/>
          </w:tcPr>
          <w:p w14:paraId="3489137D">
            <w:pPr>
              <w:rPr>
                <w:rFonts w:ascii="Arial"/>
                <w:color w:val="auto"/>
                <w:sz w:val="21"/>
                <w:highlight w:val="none"/>
              </w:rPr>
            </w:pPr>
          </w:p>
        </w:tc>
        <w:tc>
          <w:tcPr>
            <w:tcW w:w="1605" w:type="dxa"/>
            <w:vAlign w:val="top"/>
          </w:tcPr>
          <w:p w14:paraId="70110E0C">
            <w:pPr>
              <w:rPr>
                <w:rFonts w:ascii="Arial"/>
                <w:color w:val="auto"/>
                <w:sz w:val="21"/>
                <w:highlight w:val="none"/>
              </w:rPr>
            </w:pPr>
          </w:p>
        </w:tc>
        <w:tc>
          <w:tcPr>
            <w:tcW w:w="1529" w:type="dxa"/>
            <w:gridSpan w:val="2"/>
            <w:vAlign w:val="top"/>
          </w:tcPr>
          <w:p w14:paraId="5552F814">
            <w:pPr>
              <w:rPr>
                <w:rFonts w:ascii="Arial"/>
                <w:color w:val="auto"/>
                <w:sz w:val="21"/>
                <w:highlight w:val="none"/>
              </w:rPr>
            </w:pPr>
          </w:p>
        </w:tc>
      </w:tr>
      <w:tr w14:paraId="7F5B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00DB6F0">
            <w:pPr>
              <w:rPr>
                <w:rFonts w:ascii="Arial"/>
                <w:color w:val="auto"/>
                <w:sz w:val="21"/>
                <w:highlight w:val="none"/>
              </w:rPr>
            </w:pPr>
          </w:p>
        </w:tc>
        <w:tc>
          <w:tcPr>
            <w:tcW w:w="3128" w:type="dxa"/>
            <w:gridSpan w:val="2"/>
            <w:vAlign w:val="top"/>
          </w:tcPr>
          <w:p w14:paraId="1BEEB35B">
            <w:pPr>
              <w:rPr>
                <w:rFonts w:ascii="Arial"/>
                <w:color w:val="auto"/>
                <w:sz w:val="21"/>
                <w:highlight w:val="none"/>
              </w:rPr>
            </w:pPr>
          </w:p>
        </w:tc>
        <w:tc>
          <w:tcPr>
            <w:tcW w:w="1569" w:type="dxa"/>
            <w:vAlign w:val="top"/>
          </w:tcPr>
          <w:p w14:paraId="12638A9F">
            <w:pPr>
              <w:rPr>
                <w:rFonts w:ascii="Arial"/>
                <w:color w:val="auto"/>
                <w:sz w:val="21"/>
                <w:highlight w:val="none"/>
              </w:rPr>
            </w:pPr>
          </w:p>
        </w:tc>
        <w:tc>
          <w:tcPr>
            <w:tcW w:w="1605" w:type="dxa"/>
            <w:vAlign w:val="top"/>
          </w:tcPr>
          <w:p w14:paraId="750738BE">
            <w:pPr>
              <w:rPr>
                <w:rFonts w:ascii="Arial"/>
                <w:color w:val="auto"/>
                <w:sz w:val="21"/>
                <w:highlight w:val="none"/>
              </w:rPr>
            </w:pPr>
          </w:p>
        </w:tc>
        <w:tc>
          <w:tcPr>
            <w:tcW w:w="1529" w:type="dxa"/>
            <w:gridSpan w:val="2"/>
            <w:vAlign w:val="top"/>
          </w:tcPr>
          <w:p w14:paraId="1DBBF70B">
            <w:pPr>
              <w:rPr>
                <w:rFonts w:ascii="Arial"/>
                <w:color w:val="auto"/>
                <w:sz w:val="21"/>
                <w:highlight w:val="none"/>
              </w:rPr>
            </w:pPr>
          </w:p>
        </w:tc>
      </w:tr>
      <w:tr w14:paraId="67F26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C9EED2A">
            <w:pPr>
              <w:rPr>
                <w:rFonts w:ascii="Arial"/>
                <w:color w:val="auto"/>
                <w:sz w:val="21"/>
                <w:highlight w:val="none"/>
              </w:rPr>
            </w:pPr>
          </w:p>
        </w:tc>
        <w:tc>
          <w:tcPr>
            <w:tcW w:w="3128" w:type="dxa"/>
            <w:gridSpan w:val="2"/>
            <w:vAlign w:val="top"/>
          </w:tcPr>
          <w:p w14:paraId="4EBF024B">
            <w:pPr>
              <w:rPr>
                <w:rFonts w:ascii="Arial"/>
                <w:color w:val="auto"/>
                <w:sz w:val="21"/>
                <w:highlight w:val="none"/>
              </w:rPr>
            </w:pPr>
          </w:p>
        </w:tc>
        <w:tc>
          <w:tcPr>
            <w:tcW w:w="1569" w:type="dxa"/>
            <w:vAlign w:val="top"/>
          </w:tcPr>
          <w:p w14:paraId="353B9D4A">
            <w:pPr>
              <w:rPr>
                <w:rFonts w:ascii="Arial"/>
                <w:color w:val="auto"/>
                <w:sz w:val="21"/>
                <w:highlight w:val="none"/>
              </w:rPr>
            </w:pPr>
          </w:p>
        </w:tc>
        <w:tc>
          <w:tcPr>
            <w:tcW w:w="1605" w:type="dxa"/>
            <w:vAlign w:val="top"/>
          </w:tcPr>
          <w:p w14:paraId="3A128EDC">
            <w:pPr>
              <w:rPr>
                <w:rFonts w:ascii="Arial"/>
                <w:color w:val="auto"/>
                <w:sz w:val="21"/>
                <w:highlight w:val="none"/>
              </w:rPr>
            </w:pPr>
          </w:p>
        </w:tc>
        <w:tc>
          <w:tcPr>
            <w:tcW w:w="1529" w:type="dxa"/>
            <w:gridSpan w:val="2"/>
            <w:vAlign w:val="top"/>
          </w:tcPr>
          <w:p w14:paraId="629AEE47">
            <w:pPr>
              <w:rPr>
                <w:rFonts w:ascii="Arial"/>
                <w:color w:val="auto"/>
                <w:sz w:val="21"/>
                <w:highlight w:val="none"/>
              </w:rPr>
            </w:pPr>
          </w:p>
        </w:tc>
      </w:tr>
      <w:tr w14:paraId="451F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67E84B3">
            <w:pPr>
              <w:rPr>
                <w:rFonts w:ascii="Arial"/>
                <w:color w:val="auto"/>
                <w:sz w:val="21"/>
                <w:highlight w:val="none"/>
              </w:rPr>
            </w:pPr>
          </w:p>
        </w:tc>
        <w:tc>
          <w:tcPr>
            <w:tcW w:w="3128" w:type="dxa"/>
            <w:gridSpan w:val="2"/>
            <w:vAlign w:val="top"/>
          </w:tcPr>
          <w:p w14:paraId="63D21CA3">
            <w:pPr>
              <w:rPr>
                <w:rFonts w:ascii="Arial"/>
                <w:color w:val="auto"/>
                <w:sz w:val="21"/>
                <w:highlight w:val="none"/>
              </w:rPr>
            </w:pPr>
          </w:p>
        </w:tc>
        <w:tc>
          <w:tcPr>
            <w:tcW w:w="1569" w:type="dxa"/>
            <w:vAlign w:val="top"/>
          </w:tcPr>
          <w:p w14:paraId="60B9E05F">
            <w:pPr>
              <w:rPr>
                <w:rFonts w:ascii="Arial"/>
                <w:color w:val="auto"/>
                <w:sz w:val="21"/>
                <w:highlight w:val="none"/>
              </w:rPr>
            </w:pPr>
          </w:p>
        </w:tc>
        <w:tc>
          <w:tcPr>
            <w:tcW w:w="1605" w:type="dxa"/>
            <w:vAlign w:val="top"/>
          </w:tcPr>
          <w:p w14:paraId="4C4B67CE">
            <w:pPr>
              <w:rPr>
                <w:rFonts w:ascii="Arial"/>
                <w:color w:val="auto"/>
                <w:sz w:val="21"/>
                <w:highlight w:val="none"/>
              </w:rPr>
            </w:pPr>
          </w:p>
        </w:tc>
        <w:tc>
          <w:tcPr>
            <w:tcW w:w="1529" w:type="dxa"/>
            <w:gridSpan w:val="2"/>
            <w:vAlign w:val="top"/>
          </w:tcPr>
          <w:p w14:paraId="04D2DC8D">
            <w:pPr>
              <w:rPr>
                <w:rFonts w:ascii="Arial"/>
                <w:color w:val="auto"/>
                <w:sz w:val="21"/>
                <w:highlight w:val="none"/>
              </w:rPr>
            </w:pPr>
          </w:p>
        </w:tc>
      </w:tr>
      <w:tr w14:paraId="2AD1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1BEF74E">
            <w:pPr>
              <w:rPr>
                <w:rFonts w:ascii="Arial"/>
                <w:color w:val="auto"/>
                <w:sz w:val="21"/>
                <w:highlight w:val="none"/>
              </w:rPr>
            </w:pPr>
          </w:p>
        </w:tc>
        <w:tc>
          <w:tcPr>
            <w:tcW w:w="3128" w:type="dxa"/>
            <w:gridSpan w:val="2"/>
            <w:vAlign w:val="top"/>
          </w:tcPr>
          <w:p w14:paraId="705CFF8D">
            <w:pPr>
              <w:rPr>
                <w:rFonts w:ascii="Arial"/>
                <w:color w:val="auto"/>
                <w:sz w:val="21"/>
                <w:highlight w:val="none"/>
              </w:rPr>
            </w:pPr>
          </w:p>
        </w:tc>
        <w:tc>
          <w:tcPr>
            <w:tcW w:w="1569" w:type="dxa"/>
            <w:vAlign w:val="top"/>
          </w:tcPr>
          <w:p w14:paraId="0D937AD7">
            <w:pPr>
              <w:rPr>
                <w:rFonts w:ascii="Arial"/>
                <w:color w:val="auto"/>
                <w:sz w:val="21"/>
                <w:highlight w:val="none"/>
              </w:rPr>
            </w:pPr>
          </w:p>
        </w:tc>
        <w:tc>
          <w:tcPr>
            <w:tcW w:w="1605" w:type="dxa"/>
            <w:vAlign w:val="top"/>
          </w:tcPr>
          <w:p w14:paraId="7D3936DE">
            <w:pPr>
              <w:rPr>
                <w:rFonts w:ascii="Arial"/>
                <w:color w:val="auto"/>
                <w:sz w:val="21"/>
                <w:highlight w:val="none"/>
              </w:rPr>
            </w:pPr>
          </w:p>
        </w:tc>
        <w:tc>
          <w:tcPr>
            <w:tcW w:w="1529" w:type="dxa"/>
            <w:gridSpan w:val="2"/>
            <w:vAlign w:val="top"/>
          </w:tcPr>
          <w:p w14:paraId="5CB3A805">
            <w:pPr>
              <w:rPr>
                <w:rFonts w:ascii="Arial"/>
                <w:color w:val="auto"/>
                <w:sz w:val="21"/>
                <w:highlight w:val="none"/>
              </w:rPr>
            </w:pPr>
          </w:p>
        </w:tc>
      </w:tr>
      <w:tr w14:paraId="3589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322DB3A">
            <w:pPr>
              <w:rPr>
                <w:rFonts w:ascii="Arial"/>
                <w:color w:val="auto"/>
                <w:sz w:val="21"/>
                <w:highlight w:val="none"/>
              </w:rPr>
            </w:pPr>
          </w:p>
        </w:tc>
        <w:tc>
          <w:tcPr>
            <w:tcW w:w="3128" w:type="dxa"/>
            <w:gridSpan w:val="2"/>
            <w:vAlign w:val="top"/>
          </w:tcPr>
          <w:p w14:paraId="0D7A351B">
            <w:pPr>
              <w:rPr>
                <w:rFonts w:ascii="Arial"/>
                <w:color w:val="auto"/>
                <w:sz w:val="21"/>
                <w:highlight w:val="none"/>
              </w:rPr>
            </w:pPr>
          </w:p>
        </w:tc>
        <w:tc>
          <w:tcPr>
            <w:tcW w:w="1569" w:type="dxa"/>
            <w:vAlign w:val="top"/>
          </w:tcPr>
          <w:p w14:paraId="0B0DFC88">
            <w:pPr>
              <w:rPr>
                <w:rFonts w:ascii="Arial"/>
                <w:color w:val="auto"/>
                <w:sz w:val="21"/>
                <w:highlight w:val="none"/>
              </w:rPr>
            </w:pPr>
          </w:p>
        </w:tc>
        <w:tc>
          <w:tcPr>
            <w:tcW w:w="1605" w:type="dxa"/>
            <w:vAlign w:val="top"/>
          </w:tcPr>
          <w:p w14:paraId="7190B8CA">
            <w:pPr>
              <w:rPr>
                <w:rFonts w:ascii="Arial"/>
                <w:color w:val="auto"/>
                <w:sz w:val="21"/>
                <w:highlight w:val="none"/>
              </w:rPr>
            </w:pPr>
          </w:p>
        </w:tc>
        <w:tc>
          <w:tcPr>
            <w:tcW w:w="1529" w:type="dxa"/>
            <w:gridSpan w:val="2"/>
            <w:vAlign w:val="top"/>
          </w:tcPr>
          <w:p w14:paraId="68178938">
            <w:pPr>
              <w:rPr>
                <w:rFonts w:ascii="Arial"/>
                <w:color w:val="auto"/>
                <w:sz w:val="21"/>
                <w:highlight w:val="none"/>
              </w:rPr>
            </w:pPr>
          </w:p>
        </w:tc>
      </w:tr>
      <w:tr w14:paraId="2EC0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B4E5555">
            <w:pPr>
              <w:rPr>
                <w:rFonts w:ascii="Arial"/>
                <w:color w:val="auto"/>
                <w:sz w:val="21"/>
                <w:highlight w:val="none"/>
              </w:rPr>
            </w:pPr>
          </w:p>
        </w:tc>
        <w:tc>
          <w:tcPr>
            <w:tcW w:w="3128" w:type="dxa"/>
            <w:gridSpan w:val="2"/>
            <w:vAlign w:val="top"/>
          </w:tcPr>
          <w:p w14:paraId="5ECE6240">
            <w:pPr>
              <w:rPr>
                <w:rFonts w:ascii="Arial"/>
                <w:color w:val="auto"/>
                <w:sz w:val="21"/>
                <w:highlight w:val="none"/>
              </w:rPr>
            </w:pPr>
          </w:p>
        </w:tc>
        <w:tc>
          <w:tcPr>
            <w:tcW w:w="1569" w:type="dxa"/>
            <w:vAlign w:val="top"/>
          </w:tcPr>
          <w:p w14:paraId="708A29CF">
            <w:pPr>
              <w:rPr>
                <w:rFonts w:ascii="Arial"/>
                <w:color w:val="auto"/>
                <w:sz w:val="21"/>
                <w:highlight w:val="none"/>
              </w:rPr>
            </w:pPr>
          </w:p>
        </w:tc>
        <w:tc>
          <w:tcPr>
            <w:tcW w:w="1605" w:type="dxa"/>
            <w:vAlign w:val="top"/>
          </w:tcPr>
          <w:p w14:paraId="5D4CCCF6">
            <w:pPr>
              <w:rPr>
                <w:rFonts w:ascii="Arial"/>
                <w:color w:val="auto"/>
                <w:sz w:val="21"/>
                <w:highlight w:val="none"/>
              </w:rPr>
            </w:pPr>
          </w:p>
        </w:tc>
        <w:tc>
          <w:tcPr>
            <w:tcW w:w="1529" w:type="dxa"/>
            <w:gridSpan w:val="2"/>
            <w:vAlign w:val="top"/>
          </w:tcPr>
          <w:p w14:paraId="5077111C">
            <w:pPr>
              <w:rPr>
                <w:rFonts w:ascii="Arial"/>
                <w:color w:val="auto"/>
                <w:sz w:val="21"/>
                <w:highlight w:val="none"/>
              </w:rPr>
            </w:pPr>
          </w:p>
        </w:tc>
      </w:tr>
      <w:tr w14:paraId="7C71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3F240C5">
            <w:pPr>
              <w:rPr>
                <w:rFonts w:ascii="Arial"/>
                <w:color w:val="auto"/>
                <w:sz w:val="21"/>
                <w:highlight w:val="none"/>
              </w:rPr>
            </w:pPr>
          </w:p>
        </w:tc>
        <w:tc>
          <w:tcPr>
            <w:tcW w:w="3128" w:type="dxa"/>
            <w:gridSpan w:val="2"/>
            <w:vAlign w:val="top"/>
          </w:tcPr>
          <w:p w14:paraId="0267F2B2">
            <w:pPr>
              <w:rPr>
                <w:rFonts w:ascii="Arial"/>
                <w:color w:val="auto"/>
                <w:sz w:val="21"/>
                <w:highlight w:val="none"/>
              </w:rPr>
            </w:pPr>
          </w:p>
        </w:tc>
        <w:tc>
          <w:tcPr>
            <w:tcW w:w="1569" w:type="dxa"/>
            <w:vAlign w:val="top"/>
          </w:tcPr>
          <w:p w14:paraId="1CA0267E">
            <w:pPr>
              <w:rPr>
                <w:rFonts w:ascii="Arial"/>
                <w:color w:val="auto"/>
                <w:sz w:val="21"/>
                <w:highlight w:val="none"/>
              </w:rPr>
            </w:pPr>
          </w:p>
        </w:tc>
        <w:tc>
          <w:tcPr>
            <w:tcW w:w="1605" w:type="dxa"/>
            <w:vAlign w:val="top"/>
          </w:tcPr>
          <w:p w14:paraId="3093A6DB">
            <w:pPr>
              <w:rPr>
                <w:rFonts w:ascii="Arial"/>
                <w:color w:val="auto"/>
                <w:sz w:val="21"/>
                <w:highlight w:val="none"/>
              </w:rPr>
            </w:pPr>
          </w:p>
        </w:tc>
        <w:tc>
          <w:tcPr>
            <w:tcW w:w="1529" w:type="dxa"/>
            <w:gridSpan w:val="2"/>
            <w:vAlign w:val="top"/>
          </w:tcPr>
          <w:p w14:paraId="1C3A3E57">
            <w:pPr>
              <w:rPr>
                <w:rFonts w:ascii="Arial"/>
                <w:color w:val="auto"/>
                <w:sz w:val="21"/>
                <w:highlight w:val="none"/>
              </w:rPr>
            </w:pPr>
          </w:p>
        </w:tc>
      </w:tr>
      <w:tr w14:paraId="6DE49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A663284">
            <w:pPr>
              <w:rPr>
                <w:rFonts w:ascii="Arial"/>
                <w:color w:val="auto"/>
                <w:sz w:val="21"/>
                <w:highlight w:val="none"/>
              </w:rPr>
            </w:pPr>
          </w:p>
        </w:tc>
        <w:tc>
          <w:tcPr>
            <w:tcW w:w="3128" w:type="dxa"/>
            <w:gridSpan w:val="2"/>
            <w:vAlign w:val="top"/>
          </w:tcPr>
          <w:p w14:paraId="3453E0AF">
            <w:pPr>
              <w:rPr>
                <w:rFonts w:ascii="Arial"/>
                <w:color w:val="auto"/>
                <w:sz w:val="21"/>
                <w:highlight w:val="none"/>
              </w:rPr>
            </w:pPr>
          </w:p>
        </w:tc>
        <w:tc>
          <w:tcPr>
            <w:tcW w:w="1569" w:type="dxa"/>
            <w:vAlign w:val="top"/>
          </w:tcPr>
          <w:p w14:paraId="66C682CA">
            <w:pPr>
              <w:rPr>
                <w:rFonts w:ascii="Arial"/>
                <w:color w:val="auto"/>
                <w:sz w:val="21"/>
                <w:highlight w:val="none"/>
              </w:rPr>
            </w:pPr>
          </w:p>
        </w:tc>
        <w:tc>
          <w:tcPr>
            <w:tcW w:w="1605" w:type="dxa"/>
            <w:vAlign w:val="top"/>
          </w:tcPr>
          <w:p w14:paraId="731F20C3">
            <w:pPr>
              <w:rPr>
                <w:rFonts w:ascii="Arial"/>
                <w:color w:val="auto"/>
                <w:sz w:val="21"/>
                <w:highlight w:val="none"/>
              </w:rPr>
            </w:pPr>
          </w:p>
        </w:tc>
        <w:tc>
          <w:tcPr>
            <w:tcW w:w="1529" w:type="dxa"/>
            <w:gridSpan w:val="2"/>
            <w:vAlign w:val="top"/>
          </w:tcPr>
          <w:p w14:paraId="0D7B9880">
            <w:pPr>
              <w:rPr>
                <w:rFonts w:ascii="Arial"/>
                <w:color w:val="auto"/>
                <w:sz w:val="21"/>
                <w:highlight w:val="none"/>
              </w:rPr>
            </w:pPr>
          </w:p>
        </w:tc>
      </w:tr>
      <w:tr w14:paraId="69C8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56556A2B">
            <w:pPr>
              <w:rPr>
                <w:rFonts w:ascii="Arial"/>
                <w:color w:val="auto"/>
                <w:sz w:val="21"/>
                <w:highlight w:val="none"/>
              </w:rPr>
            </w:pPr>
          </w:p>
        </w:tc>
        <w:tc>
          <w:tcPr>
            <w:tcW w:w="3128" w:type="dxa"/>
            <w:gridSpan w:val="2"/>
            <w:vAlign w:val="top"/>
          </w:tcPr>
          <w:p w14:paraId="4071D5CE">
            <w:pPr>
              <w:rPr>
                <w:rFonts w:ascii="Arial"/>
                <w:color w:val="auto"/>
                <w:sz w:val="21"/>
                <w:highlight w:val="none"/>
              </w:rPr>
            </w:pPr>
          </w:p>
        </w:tc>
        <w:tc>
          <w:tcPr>
            <w:tcW w:w="1569" w:type="dxa"/>
            <w:vAlign w:val="top"/>
          </w:tcPr>
          <w:p w14:paraId="322A7979">
            <w:pPr>
              <w:rPr>
                <w:rFonts w:ascii="Arial"/>
                <w:color w:val="auto"/>
                <w:sz w:val="21"/>
                <w:highlight w:val="none"/>
              </w:rPr>
            </w:pPr>
          </w:p>
        </w:tc>
        <w:tc>
          <w:tcPr>
            <w:tcW w:w="1605" w:type="dxa"/>
            <w:vAlign w:val="top"/>
          </w:tcPr>
          <w:p w14:paraId="6D0717D4">
            <w:pPr>
              <w:rPr>
                <w:rFonts w:ascii="Arial"/>
                <w:color w:val="auto"/>
                <w:sz w:val="21"/>
                <w:highlight w:val="none"/>
              </w:rPr>
            </w:pPr>
          </w:p>
        </w:tc>
        <w:tc>
          <w:tcPr>
            <w:tcW w:w="1529" w:type="dxa"/>
            <w:gridSpan w:val="2"/>
            <w:vAlign w:val="top"/>
          </w:tcPr>
          <w:p w14:paraId="354DB934">
            <w:pPr>
              <w:rPr>
                <w:rFonts w:ascii="Arial"/>
                <w:color w:val="auto"/>
                <w:sz w:val="21"/>
                <w:highlight w:val="none"/>
              </w:rPr>
            </w:pPr>
          </w:p>
        </w:tc>
      </w:tr>
      <w:tr w14:paraId="5F22F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C3A044D">
            <w:pPr>
              <w:rPr>
                <w:rFonts w:ascii="Arial"/>
                <w:color w:val="auto"/>
                <w:sz w:val="21"/>
                <w:highlight w:val="none"/>
              </w:rPr>
            </w:pPr>
          </w:p>
        </w:tc>
        <w:tc>
          <w:tcPr>
            <w:tcW w:w="3128" w:type="dxa"/>
            <w:gridSpan w:val="2"/>
            <w:vAlign w:val="top"/>
          </w:tcPr>
          <w:p w14:paraId="02A92EC7">
            <w:pPr>
              <w:rPr>
                <w:rFonts w:ascii="Arial"/>
                <w:color w:val="auto"/>
                <w:sz w:val="21"/>
                <w:highlight w:val="none"/>
              </w:rPr>
            </w:pPr>
          </w:p>
        </w:tc>
        <w:tc>
          <w:tcPr>
            <w:tcW w:w="1569" w:type="dxa"/>
            <w:vAlign w:val="top"/>
          </w:tcPr>
          <w:p w14:paraId="7688A7FE">
            <w:pPr>
              <w:rPr>
                <w:rFonts w:ascii="Arial"/>
                <w:color w:val="auto"/>
                <w:sz w:val="21"/>
                <w:highlight w:val="none"/>
              </w:rPr>
            </w:pPr>
          </w:p>
        </w:tc>
        <w:tc>
          <w:tcPr>
            <w:tcW w:w="1605" w:type="dxa"/>
            <w:vAlign w:val="top"/>
          </w:tcPr>
          <w:p w14:paraId="78E26BC7">
            <w:pPr>
              <w:rPr>
                <w:rFonts w:ascii="Arial"/>
                <w:color w:val="auto"/>
                <w:sz w:val="21"/>
                <w:highlight w:val="none"/>
              </w:rPr>
            </w:pPr>
          </w:p>
        </w:tc>
        <w:tc>
          <w:tcPr>
            <w:tcW w:w="1529" w:type="dxa"/>
            <w:gridSpan w:val="2"/>
            <w:vAlign w:val="top"/>
          </w:tcPr>
          <w:p w14:paraId="74409BFB">
            <w:pPr>
              <w:rPr>
                <w:rFonts w:ascii="Arial"/>
                <w:color w:val="auto"/>
                <w:sz w:val="21"/>
                <w:highlight w:val="none"/>
              </w:rPr>
            </w:pPr>
          </w:p>
        </w:tc>
      </w:tr>
      <w:tr w14:paraId="5582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745E9D61">
            <w:pPr>
              <w:rPr>
                <w:rFonts w:ascii="Arial"/>
                <w:color w:val="auto"/>
                <w:sz w:val="21"/>
                <w:highlight w:val="none"/>
              </w:rPr>
            </w:pPr>
          </w:p>
        </w:tc>
        <w:tc>
          <w:tcPr>
            <w:tcW w:w="3128" w:type="dxa"/>
            <w:gridSpan w:val="2"/>
            <w:vAlign w:val="top"/>
          </w:tcPr>
          <w:p w14:paraId="4AFE22AC">
            <w:pPr>
              <w:rPr>
                <w:rFonts w:ascii="Arial"/>
                <w:color w:val="auto"/>
                <w:sz w:val="21"/>
                <w:highlight w:val="none"/>
              </w:rPr>
            </w:pPr>
          </w:p>
        </w:tc>
        <w:tc>
          <w:tcPr>
            <w:tcW w:w="1569" w:type="dxa"/>
            <w:vAlign w:val="top"/>
          </w:tcPr>
          <w:p w14:paraId="427B26A0">
            <w:pPr>
              <w:rPr>
                <w:rFonts w:ascii="Arial"/>
                <w:color w:val="auto"/>
                <w:sz w:val="21"/>
                <w:highlight w:val="none"/>
              </w:rPr>
            </w:pPr>
          </w:p>
        </w:tc>
        <w:tc>
          <w:tcPr>
            <w:tcW w:w="1605" w:type="dxa"/>
            <w:vAlign w:val="top"/>
          </w:tcPr>
          <w:p w14:paraId="38A33CFB">
            <w:pPr>
              <w:rPr>
                <w:rFonts w:ascii="Arial"/>
                <w:color w:val="auto"/>
                <w:sz w:val="21"/>
                <w:highlight w:val="none"/>
              </w:rPr>
            </w:pPr>
          </w:p>
        </w:tc>
        <w:tc>
          <w:tcPr>
            <w:tcW w:w="1529" w:type="dxa"/>
            <w:gridSpan w:val="2"/>
            <w:vAlign w:val="top"/>
          </w:tcPr>
          <w:p w14:paraId="4BCF646E">
            <w:pPr>
              <w:rPr>
                <w:rFonts w:ascii="Arial"/>
                <w:color w:val="auto"/>
                <w:sz w:val="21"/>
                <w:highlight w:val="none"/>
              </w:rPr>
            </w:pPr>
          </w:p>
        </w:tc>
      </w:tr>
    </w:tbl>
    <w:p w14:paraId="2E12F0E3">
      <w:pPr>
        <w:pStyle w:val="8"/>
        <w:rPr>
          <w:color w:val="auto"/>
          <w:highlight w:val="none"/>
        </w:rPr>
      </w:pPr>
    </w:p>
    <w:p w14:paraId="69C385AE">
      <w:pPr>
        <w:rPr>
          <w:color w:val="auto"/>
          <w:highlight w:val="none"/>
        </w:rPr>
        <w:sectPr>
          <w:footerReference r:id="rId30" w:type="default"/>
          <w:pgSz w:w="11906" w:h="16839"/>
          <w:pgMar w:top="1347" w:right="1248" w:bottom="1156" w:left="1248" w:header="0" w:footer="994" w:gutter="0"/>
          <w:pgNumType w:fmt="decimal"/>
          <w:cols w:space="720" w:num="1"/>
        </w:sectPr>
      </w:pPr>
    </w:p>
    <w:p w14:paraId="2FB1FAB6">
      <w:pPr>
        <w:spacing w:before="47" w:line="219" w:lineRule="auto"/>
        <w:ind w:left="2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附：承诺书</w:t>
      </w:r>
    </w:p>
    <w:p w14:paraId="7C96D772">
      <w:pPr>
        <w:pStyle w:val="8"/>
        <w:spacing w:line="336" w:lineRule="auto"/>
        <w:rPr>
          <w:color w:val="auto"/>
          <w:highlight w:val="none"/>
        </w:rPr>
      </w:pPr>
    </w:p>
    <w:p w14:paraId="6E58686C">
      <w:pPr>
        <w:spacing w:before="91" w:line="219" w:lineRule="auto"/>
        <w:ind w:left="4182"/>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承诺书</w:t>
      </w:r>
    </w:p>
    <w:p w14:paraId="71577A9B">
      <w:pPr>
        <w:pStyle w:val="8"/>
        <w:spacing w:line="374" w:lineRule="auto"/>
        <w:rPr>
          <w:color w:val="auto"/>
          <w:highlight w:val="none"/>
        </w:rPr>
      </w:pPr>
    </w:p>
    <w:p w14:paraId="6C75ED04">
      <w:pPr>
        <w:tabs>
          <w:tab w:val="left" w:pos="1155"/>
        </w:tabs>
        <w:spacing w:before="65" w:line="227"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9"/>
          <w:sz w:val="20"/>
          <w:szCs w:val="20"/>
          <w:highlight w:val="none"/>
        </w:rPr>
        <w:t>（采购人名称</w:t>
      </w:r>
      <w:r>
        <w:rPr>
          <w:rFonts w:ascii="宋体" w:hAnsi="宋体" w:eastAsia="宋体" w:cs="宋体"/>
          <w:color w:val="auto"/>
          <w:spacing w:val="1"/>
          <w:sz w:val="20"/>
          <w:szCs w:val="20"/>
          <w:highlight w:val="none"/>
        </w:rPr>
        <w:t>）：</w:t>
      </w:r>
    </w:p>
    <w:p w14:paraId="605A747D">
      <w:pPr>
        <w:pStyle w:val="8"/>
        <w:spacing w:line="334" w:lineRule="auto"/>
        <w:rPr>
          <w:color w:val="auto"/>
          <w:highlight w:val="none"/>
        </w:rPr>
      </w:pPr>
    </w:p>
    <w:p w14:paraId="6DFD3D47">
      <w:pPr>
        <w:tabs>
          <w:tab w:val="left" w:pos="118"/>
        </w:tabs>
        <w:spacing w:before="65" w:line="362" w:lineRule="auto"/>
        <w:ind w:firstLine="43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我方在此声明，我方拟派往</w:t>
      </w:r>
      <w:r>
        <w:rPr>
          <w:rFonts w:ascii="宋体" w:hAnsi="宋体" w:eastAsia="宋体" w:cs="宋体"/>
          <w:color w:val="auto"/>
          <w:spacing w:val="-90"/>
          <w:sz w:val="20"/>
          <w:szCs w:val="20"/>
          <w:highlight w:val="none"/>
        </w:rPr>
        <w:t xml:space="preserve"> </w:t>
      </w:r>
      <w:r>
        <w:rPr>
          <w:rFonts w:ascii="宋体" w:hAnsi="宋体" w:eastAsia="宋体" w:cs="宋体"/>
          <w:color w:val="auto"/>
          <w:spacing w:val="16"/>
          <w:sz w:val="20"/>
          <w:szCs w:val="20"/>
          <w:highlight w:val="none"/>
          <w:u w:val="single" w:color="auto"/>
        </w:rPr>
        <w:t xml:space="preserve">        （项目名称</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1"/>
          <w:sz w:val="20"/>
          <w:szCs w:val="20"/>
          <w:highlight w:val="none"/>
        </w:rPr>
        <w:t>（</w:t>
      </w:r>
      <w:r>
        <w:rPr>
          <w:rFonts w:ascii="宋体" w:hAnsi="宋体" w:eastAsia="宋体" w:cs="宋体"/>
          <w:color w:val="auto"/>
          <w:spacing w:val="16"/>
          <w:sz w:val="20"/>
          <w:szCs w:val="20"/>
          <w:highlight w:val="none"/>
        </w:rPr>
        <w:t>以下简称</w:t>
      </w:r>
      <w:r>
        <w:rPr>
          <w:rFonts w:ascii="Calibri" w:hAnsi="Calibri" w:eastAsia="Calibri" w:cs="Calibri"/>
          <w:color w:val="auto"/>
          <w:spacing w:val="16"/>
          <w:sz w:val="20"/>
          <w:szCs w:val="20"/>
          <w:highlight w:val="none"/>
        </w:rPr>
        <w:t>“</w:t>
      </w:r>
      <w:r>
        <w:rPr>
          <w:rFonts w:ascii="宋体" w:hAnsi="宋体" w:eastAsia="宋体" w:cs="宋体"/>
          <w:color w:val="auto"/>
          <w:spacing w:val="16"/>
          <w:sz w:val="20"/>
          <w:szCs w:val="20"/>
          <w:highlight w:val="none"/>
        </w:rPr>
        <w:t>本工程</w:t>
      </w:r>
      <w:r>
        <w:rPr>
          <w:rFonts w:ascii="Calibri" w:hAnsi="Calibri" w:eastAsia="Calibri" w:cs="Calibri"/>
          <w:color w:val="auto"/>
          <w:spacing w:val="16"/>
          <w:sz w:val="20"/>
          <w:szCs w:val="20"/>
          <w:highlight w:val="none"/>
        </w:rPr>
        <w:t>”</w:t>
      </w:r>
      <w:r>
        <w:rPr>
          <w:rFonts w:ascii="宋体" w:hAnsi="宋体" w:eastAsia="宋体" w:cs="宋体"/>
          <w:color w:val="auto"/>
          <w:spacing w:val="16"/>
          <w:sz w:val="20"/>
          <w:szCs w:val="20"/>
          <w:highlight w:val="none"/>
        </w:rPr>
        <w:t>）</w:t>
      </w:r>
      <w:r>
        <w:rPr>
          <w:rFonts w:ascii="宋体" w:hAnsi="宋体" w:eastAsia="宋体" w:cs="宋体"/>
          <w:color w:val="auto"/>
          <w:spacing w:val="-46"/>
          <w:sz w:val="20"/>
          <w:szCs w:val="20"/>
          <w:highlight w:val="none"/>
        </w:rPr>
        <w:t xml:space="preserve"> </w:t>
      </w:r>
      <w:r>
        <w:rPr>
          <w:rFonts w:ascii="宋体" w:hAnsi="宋体" w:eastAsia="宋体" w:cs="宋体"/>
          <w:color w:val="auto"/>
          <w:spacing w:val="15"/>
          <w:sz w:val="20"/>
          <w:szCs w:val="20"/>
          <w:highlight w:val="none"/>
        </w:rPr>
        <w:t>的项目经理</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6"/>
          <w:sz w:val="20"/>
          <w:szCs w:val="20"/>
          <w:highlight w:val="none"/>
          <w:u w:val="single" w:color="auto"/>
        </w:rPr>
        <w:t>（项目经理姓名）</w:t>
      </w:r>
      <w:r>
        <w:rPr>
          <w:rFonts w:ascii="宋体" w:hAnsi="宋体" w:eastAsia="宋体" w:cs="宋体"/>
          <w:color w:val="auto"/>
          <w:spacing w:val="6"/>
          <w:sz w:val="20"/>
          <w:szCs w:val="20"/>
          <w:highlight w:val="none"/>
        </w:rPr>
        <w:t>现阶段没有担任任何在施建设工程</w:t>
      </w:r>
      <w:r>
        <w:rPr>
          <w:rFonts w:ascii="宋体" w:hAnsi="宋体" w:eastAsia="宋体" w:cs="宋体"/>
          <w:color w:val="auto"/>
          <w:spacing w:val="5"/>
          <w:sz w:val="20"/>
          <w:szCs w:val="20"/>
          <w:highlight w:val="none"/>
        </w:rPr>
        <w:t>项目的项目经理。</w:t>
      </w:r>
    </w:p>
    <w:p w14:paraId="12CB3858">
      <w:pPr>
        <w:spacing w:before="34"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我方保证上述信息的真实和准确，并愿意承担因我方就此弄虚作假所引起的一切法律后果。</w:t>
      </w:r>
    </w:p>
    <w:p w14:paraId="1CDA0E2B">
      <w:pPr>
        <w:pStyle w:val="8"/>
        <w:spacing w:line="286" w:lineRule="auto"/>
        <w:rPr>
          <w:color w:val="auto"/>
          <w:highlight w:val="none"/>
        </w:rPr>
      </w:pPr>
    </w:p>
    <w:p w14:paraId="360B5832">
      <w:pPr>
        <w:pStyle w:val="8"/>
        <w:spacing w:line="286" w:lineRule="auto"/>
        <w:rPr>
          <w:color w:val="auto"/>
          <w:highlight w:val="none"/>
        </w:rPr>
      </w:pPr>
    </w:p>
    <w:p w14:paraId="01427E49">
      <w:pPr>
        <w:pStyle w:val="8"/>
        <w:spacing w:line="287" w:lineRule="auto"/>
        <w:rPr>
          <w:color w:val="auto"/>
          <w:highlight w:val="none"/>
        </w:rPr>
      </w:pPr>
    </w:p>
    <w:p w14:paraId="018BFB0E">
      <w:pPr>
        <w:spacing w:before="66" w:line="228" w:lineRule="auto"/>
        <w:ind w:left="42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特此承诺！</w:t>
      </w:r>
    </w:p>
    <w:p w14:paraId="174E3CD5">
      <w:pPr>
        <w:pStyle w:val="8"/>
        <w:spacing w:line="265" w:lineRule="auto"/>
        <w:rPr>
          <w:color w:val="auto"/>
          <w:highlight w:val="none"/>
        </w:rPr>
      </w:pPr>
    </w:p>
    <w:p w14:paraId="57C7B154">
      <w:pPr>
        <w:pStyle w:val="8"/>
        <w:spacing w:line="265" w:lineRule="auto"/>
        <w:rPr>
          <w:color w:val="auto"/>
          <w:highlight w:val="none"/>
        </w:rPr>
      </w:pPr>
    </w:p>
    <w:p w14:paraId="42480727">
      <w:pPr>
        <w:pStyle w:val="8"/>
        <w:spacing w:line="265" w:lineRule="auto"/>
        <w:rPr>
          <w:color w:val="auto"/>
          <w:highlight w:val="none"/>
        </w:rPr>
      </w:pPr>
    </w:p>
    <w:p w14:paraId="2C5E7F41">
      <w:pPr>
        <w:pStyle w:val="8"/>
        <w:spacing w:line="265" w:lineRule="auto"/>
        <w:rPr>
          <w:color w:val="auto"/>
          <w:highlight w:val="none"/>
        </w:rPr>
      </w:pPr>
    </w:p>
    <w:p w14:paraId="4F6E50E3">
      <w:pPr>
        <w:pStyle w:val="8"/>
        <w:spacing w:line="266" w:lineRule="auto"/>
        <w:rPr>
          <w:color w:val="auto"/>
          <w:highlight w:val="none"/>
        </w:rPr>
      </w:pPr>
    </w:p>
    <w:p w14:paraId="4AE01F9E">
      <w:pPr>
        <w:pStyle w:val="8"/>
        <w:spacing w:line="266" w:lineRule="auto"/>
        <w:rPr>
          <w:color w:val="auto"/>
          <w:highlight w:val="none"/>
        </w:rPr>
      </w:pPr>
    </w:p>
    <w:p w14:paraId="0FFDD449">
      <w:pPr>
        <w:pStyle w:val="8"/>
        <w:spacing w:line="266" w:lineRule="auto"/>
        <w:rPr>
          <w:color w:val="auto"/>
          <w:highlight w:val="none"/>
        </w:rPr>
      </w:pPr>
    </w:p>
    <w:p w14:paraId="27599E3E">
      <w:pPr>
        <w:pStyle w:val="8"/>
        <w:spacing w:line="266" w:lineRule="auto"/>
        <w:rPr>
          <w:color w:val="auto"/>
          <w:highlight w:val="none"/>
        </w:rPr>
      </w:pPr>
    </w:p>
    <w:p w14:paraId="0743C917">
      <w:pPr>
        <w:pStyle w:val="8"/>
        <w:spacing w:line="266" w:lineRule="auto"/>
        <w:rPr>
          <w:color w:val="auto"/>
          <w:highlight w:val="none"/>
        </w:rPr>
      </w:pPr>
    </w:p>
    <w:p w14:paraId="048AA628">
      <w:pPr>
        <w:spacing w:before="65" w:line="362" w:lineRule="auto"/>
        <w:ind w:left="4048" w:right="18" w:firstLine="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投标供应商</w:t>
      </w:r>
      <w:r>
        <w:rPr>
          <w:rFonts w:ascii="宋体" w:hAnsi="宋体" w:eastAsia="宋体" w:cs="宋体"/>
          <w:color w:val="auto"/>
          <w:spacing w:val="-1"/>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盖单位章）</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法定代表人或其授权委托人</w:t>
      </w:r>
      <w:r>
        <w:rPr>
          <w:rFonts w:ascii="宋体" w:hAnsi="宋体" w:eastAsia="宋体" w:cs="宋体"/>
          <w:color w:val="auto"/>
          <w:spacing w:val="1"/>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签字</w:t>
      </w:r>
      <w:r>
        <w:rPr>
          <w:rFonts w:hint="eastAsia" w:ascii="宋体" w:hAnsi="宋体" w:eastAsia="宋体" w:cs="宋体"/>
          <w:color w:val="auto"/>
          <w:spacing w:val="9"/>
          <w:sz w:val="20"/>
          <w:szCs w:val="20"/>
          <w:highlight w:val="none"/>
          <w:lang w:eastAsia="zh-CN"/>
        </w:rPr>
        <w:t>或盖章</w:t>
      </w:r>
      <w:r>
        <w:rPr>
          <w:rFonts w:ascii="宋体" w:hAnsi="宋体" w:eastAsia="宋体" w:cs="宋体"/>
          <w:color w:val="auto"/>
          <w:spacing w:val="9"/>
          <w:sz w:val="20"/>
          <w:szCs w:val="20"/>
          <w:highlight w:val="none"/>
        </w:rPr>
        <w:t>）</w:t>
      </w:r>
    </w:p>
    <w:p w14:paraId="43527B61">
      <w:pPr>
        <w:pStyle w:val="8"/>
        <w:spacing w:line="348" w:lineRule="auto"/>
        <w:rPr>
          <w:color w:val="auto"/>
          <w:highlight w:val="none"/>
        </w:rPr>
      </w:pPr>
    </w:p>
    <w:p w14:paraId="68C292F1">
      <w:pPr>
        <w:tabs>
          <w:tab w:val="left" w:pos="6874"/>
        </w:tabs>
        <w:spacing w:before="66" w:line="228" w:lineRule="auto"/>
        <w:ind w:left="5825"/>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89"/>
          <w:sz w:val="20"/>
          <w:szCs w:val="20"/>
          <w:highlight w:val="none"/>
        </w:rPr>
        <w:t xml:space="preserve"> </w:t>
      </w:r>
      <w:r>
        <w:rPr>
          <w:rFonts w:ascii="宋体" w:hAnsi="宋体" w:eastAsia="宋体" w:cs="宋体"/>
          <w:color w:val="auto"/>
          <w:spacing w:val="-14"/>
          <w:sz w:val="20"/>
          <w:szCs w:val="20"/>
          <w:highlight w:val="none"/>
        </w:rPr>
        <w:t>年</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14"/>
          <w:sz w:val="20"/>
          <w:szCs w:val="20"/>
          <w:highlight w:val="none"/>
        </w:rPr>
        <w:t>月</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8"/>
          <w:sz w:val="20"/>
          <w:szCs w:val="20"/>
          <w:highlight w:val="none"/>
        </w:rPr>
        <w:t xml:space="preserve"> </w:t>
      </w:r>
      <w:r>
        <w:rPr>
          <w:rFonts w:ascii="宋体" w:hAnsi="宋体" w:eastAsia="宋体" w:cs="宋体"/>
          <w:color w:val="auto"/>
          <w:spacing w:val="-14"/>
          <w:sz w:val="20"/>
          <w:szCs w:val="20"/>
          <w:highlight w:val="none"/>
        </w:rPr>
        <w:t>日</w:t>
      </w:r>
    </w:p>
    <w:p w14:paraId="70E56030">
      <w:pPr>
        <w:spacing w:line="228" w:lineRule="auto"/>
        <w:rPr>
          <w:rFonts w:ascii="宋体" w:hAnsi="宋体" w:eastAsia="宋体" w:cs="宋体"/>
          <w:color w:val="auto"/>
          <w:sz w:val="20"/>
          <w:szCs w:val="20"/>
          <w:highlight w:val="none"/>
        </w:rPr>
        <w:sectPr>
          <w:footerReference r:id="rId31" w:type="default"/>
          <w:pgSz w:w="11906" w:h="16839"/>
          <w:pgMar w:top="1347" w:right="1362" w:bottom="1156" w:left="1360" w:header="0" w:footer="994" w:gutter="0"/>
          <w:pgNumType w:fmt="decimal"/>
          <w:cols w:space="720" w:num="1"/>
        </w:sectPr>
      </w:pPr>
    </w:p>
    <w:p w14:paraId="74C73962">
      <w:pPr>
        <w:spacing w:before="71" w:line="224" w:lineRule="auto"/>
        <w:ind w:left="4145"/>
        <w:rPr>
          <w:rFonts w:ascii="宋体" w:hAnsi="宋体" w:eastAsia="宋体" w:cs="宋体"/>
          <w:color w:val="auto"/>
          <w:sz w:val="35"/>
          <w:szCs w:val="35"/>
          <w:highlight w:val="none"/>
        </w:rPr>
      </w:pPr>
      <w:r>
        <w:rPr>
          <w:rFonts w:ascii="宋体" w:hAnsi="宋体" w:eastAsia="宋体" w:cs="宋体"/>
          <w:b/>
          <w:bCs/>
          <w:color w:val="auto"/>
          <w:spacing w:val="2"/>
          <w:sz w:val="35"/>
          <w:szCs w:val="35"/>
          <w:highlight w:val="none"/>
        </w:rPr>
        <w:t>承诺书</w:t>
      </w:r>
    </w:p>
    <w:p w14:paraId="35F3A106">
      <w:pPr>
        <w:spacing w:before="305" w:line="228" w:lineRule="auto"/>
        <w:ind w:left="420"/>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致</w:t>
      </w:r>
      <w:r>
        <w:rPr>
          <w:rFonts w:ascii="宋体" w:hAnsi="宋体" w:eastAsia="宋体" w:cs="宋体"/>
          <w:color w:val="auto"/>
          <w:spacing w:val="-19"/>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9"/>
          <w:sz w:val="20"/>
          <w:szCs w:val="20"/>
          <w:highlight w:val="none"/>
        </w:rPr>
        <w:t>（</w:t>
      </w:r>
      <w:r>
        <w:rPr>
          <w:rFonts w:ascii="宋体" w:hAnsi="宋体" w:eastAsia="宋体" w:cs="宋体"/>
          <w:color w:val="auto"/>
          <w:spacing w:val="15"/>
          <w:sz w:val="20"/>
          <w:szCs w:val="20"/>
          <w:highlight w:val="none"/>
        </w:rPr>
        <w:t>招标人名称）</w:t>
      </w:r>
    </w:p>
    <w:p w14:paraId="52A87C38">
      <w:pPr>
        <w:pStyle w:val="8"/>
        <w:spacing w:line="281" w:lineRule="auto"/>
        <w:rPr>
          <w:color w:val="auto"/>
          <w:highlight w:val="none"/>
        </w:rPr>
      </w:pPr>
    </w:p>
    <w:p w14:paraId="7021231E">
      <w:pPr>
        <w:pStyle w:val="8"/>
        <w:spacing w:line="282" w:lineRule="auto"/>
        <w:rPr>
          <w:color w:val="auto"/>
          <w:highlight w:val="none"/>
        </w:rPr>
      </w:pPr>
    </w:p>
    <w:p w14:paraId="17E54F90">
      <w:pPr>
        <w:spacing w:before="65" w:line="397" w:lineRule="auto"/>
        <w:ind w:firstLine="421"/>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我方在此声明，如成交后，我公司保证响应文件中所列的人员，包括项目经理及项目机构管理人</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rPr>
        <w:t>员</w:t>
      </w:r>
      <w:r>
        <w:rPr>
          <w:rFonts w:ascii="宋体" w:hAnsi="宋体" w:eastAsia="宋体" w:cs="宋体"/>
          <w:color w:val="auto"/>
          <w:spacing w:val="8"/>
          <w:sz w:val="20"/>
          <w:szCs w:val="20"/>
          <w:highlight w:val="none"/>
          <w:u w:val="single" w:color="auto"/>
        </w:rPr>
        <w:t>（  全姓名  ）</w:t>
      </w:r>
      <w:r>
        <w:rPr>
          <w:rFonts w:ascii="宋体" w:hAnsi="宋体" w:eastAsia="宋体" w:cs="宋体"/>
          <w:color w:val="auto"/>
          <w:spacing w:val="8"/>
          <w:sz w:val="20"/>
          <w:szCs w:val="20"/>
          <w:highlight w:val="none"/>
        </w:rPr>
        <w:t>全部到达施工现场工作。与响应文件人员一致。保证本项目的施工质量及安全。提</w:t>
      </w:r>
      <w:r>
        <w:rPr>
          <w:rFonts w:ascii="宋体" w:hAnsi="宋体" w:eastAsia="宋体" w:cs="宋体"/>
          <w:color w:val="auto"/>
          <w:spacing w:val="5"/>
          <w:sz w:val="20"/>
          <w:szCs w:val="20"/>
          <w:highlight w:val="none"/>
        </w:rPr>
        <w:t xml:space="preserve"> </w:t>
      </w:r>
      <w:r>
        <w:rPr>
          <w:rFonts w:ascii="宋体" w:hAnsi="宋体" w:eastAsia="宋体" w:cs="宋体"/>
          <w:color w:val="auto"/>
          <w:spacing w:val="8"/>
          <w:sz w:val="20"/>
          <w:szCs w:val="20"/>
          <w:highlight w:val="none"/>
        </w:rPr>
        <w:t>供的所有材料及文件真实有效。</w:t>
      </w:r>
    </w:p>
    <w:p w14:paraId="014B10F6">
      <w:pPr>
        <w:pStyle w:val="8"/>
        <w:spacing w:line="280" w:lineRule="auto"/>
        <w:rPr>
          <w:color w:val="auto"/>
          <w:highlight w:val="none"/>
        </w:rPr>
      </w:pPr>
    </w:p>
    <w:p w14:paraId="68AEDD3E">
      <w:pPr>
        <w:pStyle w:val="8"/>
        <w:spacing w:line="280" w:lineRule="auto"/>
        <w:rPr>
          <w:color w:val="auto"/>
          <w:highlight w:val="none"/>
        </w:rPr>
      </w:pPr>
    </w:p>
    <w:p w14:paraId="0CC977F0">
      <w:pPr>
        <w:pStyle w:val="8"/>
        <w:spacing w:line="281" w:lineRule="auto"/>
        <w:rPr>
          <w:color w:val="auto"/>
          <w:highlight w:val="none"/>
        </w:rPr>
      </w:pPr>
    </w:p>
    <w:p w14:paraId="6B1685BF">
      <w:pPr>
        <w:spacing w:before="65" w:line="228" w:lineRule="auto"/>
        <w:ind w:left="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特此承诺</w:t>
      </w:r>
    </w:p>
    <w:p w14:paraId="1F8AF688">
      <w:pPr>
        <w:pStyle w:val="8"/>
        <w:spacing w:line="260" w:lineRule="auto"/>
        <w:rPr>
          <w:color w:val="auto"/>
          <w:highlight w:val="none"/>
        </w:rPr>
      </w:pPr>
    </w:p>
    <w:p w14:paraId="398FF97E">
      <w:pPr>
        <w:pStyle w:val="8"/>
        <w:spacing w:line="260" w:lineRule="auto"/>
        <w:rPr>
          <w:color w:val="auto"/>
          <w:highlight w:val="none"/>
        </w:rPr>
      </w:pPr>
    </w:p>
    <w:p w14:paraId="00B152F0">
      <w:pPr>
        <w:pStyle w:val="8"/>
        <w:spacing w:line="261" w:lineRule="auto"/>
        <w:rPr>
          <w:color w:val="auto"/>
          <w:highlight w:val="none"/>
        </w:rPr>
      </w:pPr>
    </w:p>
    <w:p w14:paraId="22DA706B">
      <w:pPr>
        <w:pStyle w:val="8"/>
        <w:spacing w:line="261" w:lineRule="auto"/>
        <w:rPr>
          <w:color w:val="auto"/>
          <w:highlight w:val="none"/>
        </w:rPr>
      </w:pPr>
    </w:p>
    <w:p w14:paraId="1A297465">
      <w:pPr>
        <w:pStyle w:val="8"/>
        <w:spacing w:line="261" w:lineRule="auto"/>
        <w:rPr>
          <w:color w:val="auto"/>
          <w:highlight w:val="none"/>
        </w:rPr>
      </w:pPr>
    </w:p>
    <w:p w14:paraId="4C8E4908">
      <w:pPr>
        <w:pStyle w:val="8"/>
        <w:spacing w:line="261" w:lineRule="auto"/>
        <w:rPr>
          <w:color w:val="auto"/>
          <w:highlight w:val="none"/>
        </w:rPr>
      </w:pPr>
    </w:p>
    <w:p w14:paraId="401CBBA9">
      <w:pPr>
        <w:pStyle w:val="8"/>
        <w:spacing w:line="261" w:lineRule="auto"/>
        <w:rPr>
          <w:color w:val="auto"/>
          <w:highlight w:val="none"/>
        </w:rPr>
      </w:pPr>
    </w:p>
    <w:p w14:paraId="190E3C25">
      <w:pPr>
        <w:pStyle w:val="8"/>
        <w:spacing w:line="261" w:lineRule="auto"/>
        <w:rPr>
          <w:color w:val="auto"/>
          <w:highlight w:val="none"/>
        </w:rPr>
      </w:pPr>
    </w:p>
    <w:p w14:paraId="2646C6F4">
      <w:pPr>
        <w:pStyle w:val="8"/>
        <w:spacing w:line="261" w:lineRule="auto"/>
        <w:rPr>
          <w:color w:val="auto"/>
          <w:highlight w:val="none"/>
        </w:rPr>
      </w:pPr>
    </w:p>
    <w:p w14:paraId="6DF3BFA3">
      <w:pPr>
        <w:pStyle w:val="8"/>
        <w:spacing w:line="261" w:lineRule="auto"/>
        <w:rPr>
          <w:color w:val="auto"/>
          <w:highlight w:val="none"/>
        </w:rPr>
      </w:pPr>
    </w:p>
    <w:p w14:paraId="5B319166">
      <w:pPr>
        <w:spacing w:before="65" w:line="390" w:lineRule="auto"/>
        <w:ind w:left="4460" w:right="18" w:firstLine="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投标供应商</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盖单位章）</w:t>
      </w:r>
      <w:r>
        <w:rPr>
          <w:rFonts w:ascii="宋体" w:hAnsi="宋体" w:eastAsia="宋体" w:cs="宋体"/>
          <w:color w:val="auto"/>
          <w:spacing w:val="5"/>
          <w:sz w:val="20"/>
          <w:szCs w:val="20"/>
          <w:highlight w:val="none"/>
        </w:rPr>
        <w:t xml:space="preserve"> </w:t>
      </w:r>
      <w:r>
        <w:rPr>
          <w:rFonts w:ascii="宋体" w:hAnsi="宋体" w:eastAsia="宋体" w:cs="宋体"/>
          <w:color w:val="auto"/>
          <w:spacing w:val="10"/>
          <w:sz w:val="20"/>
          <w:szCs w:val="20"/>
          <w:highlight w:val="none"/>
        </w:rPr>
        <w:t>法定代表人</w:t>
      </w:r>
      <w:r>
        <w:rPr>
          <w:rFonts w:ascii="宋体" w:hAnsi="宋体" w:eastAsia="宋体" w:cs="宋体"/>
          <w:color w:val="auto"/>
          <w:spacing w:val="-1"/>
          <w:sz w:val="20"/>
          <w:szCs w:val="20"/>
          <w:highlight w:val="none"/>
        </w:rPr>
        <w:t>：</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lang w:val="en-US" w:eastAsia="zh-CN"/>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签字</w:t>
      </w:r>
      <w:r>
        <w:rPr>
          <w:rFonts w:hint="eastAsia" w:ascii="宋体" w:hAnsi="宋体" w:eastAsia="宋体" w:cs="宋体"/>
          <w:color w:val="auto"/>
          <w:spacing w:val="9"/>
          <w:sz w:val="20"/>
          <w:szCs w:val="20"/>
          <w:highlight w:val="none"/>
          <w:lang w:eastAsia="zh-CN"/>
        </w:rPr>
        <w:t>或盖章</w:t>
      </w:r>
      <w:r>
        <w:rPr>
          <w:rFonts w:ascii="宋体" w:hAnsi="宋体" w:eastAsia="宋体" w:cs="宋体"/>
          <w:color w:val="auto"/>
          <w:spacing w:val="9"/>
          <w:sz w:val="20"/>
          <w:szCs w:val="20"/>
          <w:highlight w:val="none"/>
        </w:rPr>
        <w:t>）</w:t>
      </w:r>
    </w:p>
    <w:p w14:paraId="37A56CFE">
      <w:pPr>
        <w:pStyle w:val="8"/>
        <w:spacing w:line="406" w:lineRule="auto"/>
        <w:rPr>
          <w:color w:val="auto"/>
          <w:highlight w:val="none"/>
        </w:rPr>
      </w:pPr>
    </w:p>
    <w:p w14:paraId="5EF7AEEF">
      <w:pPr>
        <w:tabs>
          <w:tab w:val="left" w:pos="7495"/>
        </w:tabs>
        <w:spacing w:before="65" w:line="228" w:lineRule="auto"/>
        <w:ind w:left="6759"/>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89"/>
          <w:sz w:val="20"/>
          <w:szCs w:val="20"/>
          <w:highlight w:val="none"/>
        </w:rPr>
        <w:t xml:space="preserve"> </w:t>
      </w:r>
      <w:r>
        <w:rPr>
          <w:rFonts w:ascii="宋体" w:hAnsi="宋体" w:eastAsia="宋体" w:cs="宋体"/>
          <w:color w:val="auto"/>
          <w:spacing w:val="-14"/>
          <w:sz w:val="20"/>
          <w:szCs w:val="20"/>
          <w:highlight w:val="none"/>
        </w:rPr>
        <w:t>年</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14"/>
          <w:sz w:val="20"/>
          <w:szCs w:val="20"/>
          <w:highlight w:val="none"/>
        </w:rPr>
        <w:t>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14"/>
          <w:sz w:val="20"/>
          <w:szCs w:val="20"/>
          <w:highlight w:val="none"/>
        </w:rPr>
        <w:t>日</w:t>
      </w:r>
    </w:p>
    <w:p w14:paraId="2ADDF3C7">
      <w:pPr>
        <w:spacing w:line="228" w:lineRule="auto"/>
        <w:rPr>
          <w:rFonts w:ascii="宋体" w:hAnsi="宋体" w:eastAsia="宋体" w:cs="宋体"/>
          <w:color w:val="auto"/>
          <w:sz w:val="20"/>
          <w:szCs w:val="20"/>
          <w:highlight w:val="none"/>
        </w:rPr>
        <w:sectPr>
          <w:footerReference r:id="rId32" w:type="default"/>
          <w:pgSz w:w="11906" w:h="16839"/>
          <w:pgMar w:top="1340" w:right="1362" w:bottom="1156" w:left="1368" w:header="0" w:footer="994" w:gutter="0"/>
          <w:pgNumType w:fmt="decimal"/>
          <w:cols w:space="720" w:num="1"/>
        </w:sectPr>
      </w:pPr>
    </w:p>
    <w:p w14:paraId="031B2765">
      <w:pPr>
        <w:spacing w:before="48" w:line="219" w:lineRule="auto"/>
        <w:ind w:left="375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八、资格审查资料</w:t>
      </w:r>
    </w:p>
    <w:p w14:paraId="52FDD7AE">
      <w:pPr>
        <w:pStyle w:val="8"/>
        <w:spacing w:line="270" w:lineRule="auto"/>
        <w:rPr>
          <w:color w:val="auto"/>
          <w:highlight w:val="none"/>
        </w:rPr>
      </w:pPr>
    </w:p>
    <w:p w14:paraId="67BEEC1C">
      <w:pPr>
        <w:pStyle w:val="8"/>
        <w:spacing w:line="270" w:lineRule="auto"/>
        <w:rPr>
          <w:color w:val="auto"/>
          <w:highlight w:val="none"/>
        </w:rPr>
      </w:pPr>
    </w:p>
    <w:p w14:paraId="426977F9">
      <w:pPr>
        <w:spacing w:before="78" w:line="212" w:lineRule="auto"/>
        <w:ind w:left="3236"/>
        <w:rPr>
          <w:rFonts w:ascii="宋体" w:hAnsi="宋体" w:eastAsia="宋体" w:cs="宋体"/>
          <w:color w:val="auto"/>
          <w:sz w:val="24"/>
          <w:szCs w:val="24"/>
          <w:highlight w:val="none"/>
        </w:rPr>
      </w:pPr>
      <w:r>
        <w:rPr>
          <w:rFonts w:hint="eastAsia" w:ascii="Calibri" w:hAnsi="Calibri" w:eastAsia="宋体" w:cs="Calibri"/>
          <w:color w:val="auto"/>
          <w:spacing w:val="-3"/>
          <w:sz w:val="24"/>
          <w:szCs w:val="24"/>
          <w:highlight w:val="none"/>
          <w:lang w:eastAsia="zh-CN"/>
        </w:rPr>
        <w:t>（</w:t>
      </w:r>
      <w:r>
        <w:rPr>
          <w:rFonts w:ascii="宋体" w:hAnsi="宋体" w:eastAsia="宋体" w:cs="宋体"/>
          <w:color w:val="auto"/>
          <w:spacing w:val="-3"/>
          <w:sz w:val="24"/>
          <w:szCs w:val="24"/>
          <w:highlight w:val="none"/>
        </w:rPr>
        <w:t>一</w:t>
      </w:r>
      <w:r>
        <w:rPr>
          <w:rFonts w:hint="eastAsia" w:ascii="宋体" w:hAnsi="宋体" w:eastAsia="宋体" w:cs="宋体"/>
          <w:color w:val="auto"/>
          <w:spacing w:val="-3"/>
          <w:sz w:val="24"/>
          <w:szCs w:val="24"/>
          <w:highlight w:val="none"/>
          <w:lang w:eastAsia="zh-CN"/>
        </w:rPr>
        <w:t>）</w:t>
      </w:r>
      <w:r>
        <w:rPr>
          <w:rFonts w:ascii="Calibri" w:hAnsi="Calibri" w:eastAsia="Calibri" w:cs="Calibri"/>
          <w:color w:val="auto"/>
          <w:spacing w:val="14"/>
          <w:sz w:val="24"/>
          <w:szCs w:val="24"/>
          <w:highlight w:val="none"/>
        </w:rPr>
        <w:t xml:space="preserve">   </w:t>
      </w:r>
      <w:r>
        <w:rPr>
          <w:rFonts w:ascii="宋体" w:hAnsi="宋体" w:eastAsia="宋体" w:cs="宋体"/>
          <w:color w:val="auto"/>
          <w:spacing w:val="-3"/>
          <w:sz w:val="24"/>
          <w:szCs w:val="24"/>
          <w:highlight w:val="none"/>
        </w:rPr>
        <w:t>投标供应商基本情况表</w:t>
      </w:r>
    </w:p>
    <w:p w14:paraId="00A10DE8">
      <w:pPr>
        <w:spacing w:line="155" w:lineRule="exact"/>
        <w:rPr>
          <w:color w:val="auto"/>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8"/>
        <w:gridCol w:w="954"/>
        <w:gridCol w:w="954"/>
        <w:gridCol w:w="1336"/>
        <w:gridCol w:w="192"/>
        <w:gridCol w:w="365"/>
        <w:gridCol w:w="1163"/>
        <w:gridCol w:w="382"/>
        <w:gridCol w:w="1276"/>
        <w:gridCol w:w="944"/>
      </w:tblGrid>
      <w:tr w14:paraId="511CE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838" w:type="dxa"/>
            <w:vAlign w:val="top"/>
          </w:tcPr>
          <w:p w14:paraId="463ABC21">
            <w:pPr>
              <w:pStyle w:val="21"/>
              <w:spacing w:before="36" w:line="227" w:lineRule="auto"/>
              <w:ind w:left="118"/>
              <w:rPr>
                <w:color w:val="auto"/>
                <w:highlight w:val="none"/>
              </w:rPr>
            </w:pPr>
            <w:r>
              <w:rPr>
                <w:color w:val="auto"/>
                <w:spacing w:val="8"/>
                <w:highlight w:val="none"/>
              </w:rPr>
              <w:t>投标供应商名称</w:t>
            </w:r>
          </w:p>
        </w:tc>
        <w:tc>
          <w:tcPr>
            <w:tcW w:w="7566" w:type="dxa"/>
            <w:gridSpan w:val="9"/>
            <w:vAlign w:val="top"/>
          </w:tcPr>
          <w:p w14:paraId="27627395">
            <w:pPr>
              <w:rPr>
                <w:rFonts w:ascii="Arial"/>
                <w:color w:val="auto"/>
                <w:sz w:val="21"/>
                <w:highlight w:val="none"/>
              </w:rPr>
            </w:pPr>
          </w:p>
        </w:tc>
      </w:tr>
      <w:tr w14:paraId="7099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38" w:type="dxa"/>
            <w:vAlign w:val="top"/>
          </w:tcPr>
          <w:p w14:paraId="7C370F2D">
            <w:pPr>
              <w:pStyle w:val="21"/>
              <w:spacing w:before="31" w:line="229" w:lineRule="auto"/>
              <w:ind w:left="115"/>
              <w:rPr>
                <w:color w:val="auto"/>
                <w:highlight w:val="none"/>
              </w:rPr>
            </w:pPr>
            <w:r>
              <w:rPr>
                <w:color w:val="auto"/>
                <w:spacing w:val="7"/>
                <w:highlight w:val="none"/>
              </w:rPr>
              <w:t>注册地址</w:t>
            </w:r>
          </w:p>
        </w:tc>
        <w:tc>
          <w:tcPr>
            <w:tcW w:w="3801" w:type="dxa"/>
            <w:gridSpan w:val="5"/>
            <w:vAlign w:val="top"/>
          </w:tcPr>
          <w:p w14:paraId="45DF921A">
            <w:pPr>
              <w:rPr>
                <w:rFonts w:ascii="Arial"/>
                <w:color w:val="auto"/>
                <w:sz w:val="21"/>
                <w:highlight w:val="none"/>
              </w:rPr>
            </w:pPr>
          </w:p>
        </w:tc>
        <w:tc>
          <w:tcPr>
            <w:tcW w:w="1163" w:type="dxa"/>
            <w:vAlign w:val="top"/>
          </w:tcPr>
          <w:p w14:paraId="38C208AF">
            <w:pPr>
              <w:pStyle w:val="21"/>
              <w:spacing w:before="31" w:line="228" w:lineRule="auto"/>
              <w:ind w:left="129"/>
              <w:rPr>
                <w:color w:val="auto"/>
                <w:highlight w:val="none"/>
              </w:rPr>
            </w:pPr>
            <w:r>
              <w:rPr>
                <w:color w:val="auto"/>
                <w:spacing w:val="3"/>
                <w:highlight w:val="none"/>
              </w:rPr>
              <w:t>邮政编码</w:t>
            </w:r>
          </w:p>
        </w:tc>
        <w:tc>
          <w:tcPr>
            <w:tcW w:w="2602" w:type="dxa"/>
            <w:gridSpan w:val="3"/>
            <w:vAlign w:val="top"/>
          </w:tcPr>
          <w:p w14:paraId="14EF2823">
            <w:pPr>
              <w:rPr>
                <w:rFonts w:ascii="Arial"/>
                <w:color w:val="auto"/>
                <w:sz w:val="21"/>
                <w:highlight w:val="none"/>
              </w:rPr>
            </w:pPr>
          </w:p>
        </w:tc>
      </w:tr>
      <w:tr w14:paraId="05756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38" w:type="dxa"/>
            <w:vMerge w:val="restart"/>
            <w:tcBorders>
              <w:bottom w:val="nil"/>
            </w:tcBorders>
            <w:vAlign w:val="top"/>
          </w:tcPr>
          <w:p w14:paraId="3DBE3F3B">
            <w:pPr>
              <w:pStyle w:val="21"/>
              <w:spacing w:before="242" w:line="229" w:lineRule="auto"/>
              <w:ind w:left="116"/>
              <w:rPr>
                <w:color w:val="auto"/>
                <w:highlight w:val="none"/>
              </w:rPr>
            </w:pPr>
            <w:r>
              <w:rPr>
                <w:color w:val="auto"/>
                <w:spacing w:val="7"/>
                <w:highlight w:val="none"/>
              </w:rPr>
              <w:t>联系方式</w:t>
            </w:r>
          </w:p>
        </w:tc>
        <w:tc>
          <w:tcPr>
            <w:tcW w:w="954" w:type="dxa"/>
            <w:vAlign w:val="top"/>
          </w:tcPr>
          <w:p w14:paraId="51E56DC0">
            <w:pPr>
              <w:pStyle w:val="21"/>
              <w:spacing w:before="33" w:line="230" w:lineRule="auto"/>
              <w:ind w:left="112"/>
              <w:rPr>
                <w:color w:val="auto"/>
                <w:highlight w:val="none"/>
              </w:rPr>
            </w:pPr>
            <w:r>
              <w:rPr>
                <w:color w:val="auto"/>
                <w:spacing w:val="6"/>
                <w:highlight w:val="none"/>
              </w:rPr>
              <w:t>联系人</w:t>
            </w:r>
          </w:p>
        </w:tc>
        <w:tc>
          <w:tcPr>
            <w:tcW w:w="2847" w:type="dxa"/>
            <w:gridSpan w:val="4"/>
            <w:vAlign w:val="top"/>
          </w:tcPr>
          <w:p w14:paraId="28869A33">
            <w:pPr>
              <w:rPr>
                <w:rFonts w:ascii="Arial"/>
                <w:color w:val="auto"/>
                <w:sz w:val="21"/>
                <w:highlight w:val="none"/>
              </w:rPr>
            </w:pPr>
          </w:p>
        </w:tc>
        <w:tc>
          <w:tcPr>
            <w:tcW w:w="1163" w:type="dxa"/>
            <w:vAlign w:val="top"/>
          </w:tcPr>
          <w:p w14:paraId="0034BB90">
            <w:pPr>
              <w:pStyle w:val="21"/>
              <w:spacing w:before="33" w:line="230" w:lineRule="auto"/>
              <w:ind w:left="138"/>
              <w:rPr>
                <w:color w:val="auto"/>
                <w:highlight w:val="none"/>
              </w:rPr>
            </w:pPr>
            <w:r>
              <w:rPr>
                <w:color w:val="auto"/>
                <w:spacing w:val="-8"/>
                <w:highlight w:val="none"/>
              </w:rPr>
              <w:t>电话</w:t>
            </w:r>
          </w:p>
        </w:tc>
        <w:tc>
          <w:tcPr>
            <w:tcW w:w="2602" w:type="dxa"/>
            <w:gridSpan w:val="3"/>
            <w:vAlign w:val="top"/>
          </w:tcPr>
          <w:p w14:paraId="01FE7709">
            <w:pPr>
              <w:rPr>
                <w:rFonts w:ascii="Arial"/>
                <w:color w:val="auto"/>
                <w:sz w:val="21"/>
                <w:highlight w:val="none"/>
              </w:rPr>
            </w:pPr>
          </w:p>
        </w:tc>
      </w:tr>
      <w:tr w14:paraId="7972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38" w:type="dxa"/>
            <w:vMerge w:val="continue"/>
            <w:tcBorders>
              <w:top w:val="nil"/>
            </w:tcBorders>
            <w:vAlign w:val="top"/>
          </w:tcPr>
          <w:p w14:paraId="2C323A1E">
            <w:pPr>
              <w:rPr>
                <w:rFonts w:ascii="Arial"/>
                <w:color w:val="auto"/>
                <w:sz w:val="21"/>
                <w:highlight w:val="none"/>
              </w:rPr>
            </w:pPr>
          </w:p>
        </w:tc>
        <w:tc>
          <w:tcPr>
            <w:tcW w:w="954" w:type="dxa"/>
            <w:vAlign w:val="top"/>
          </w:tcPr>
          <w:p w14:paraId="26592095">
            <w:pPr>
              <w:pStyle w:val="21"/>
              <w:spacing w:before="32" w:line="227" w:lineRule="auto"/>
              <w:ind w:left="109"/>
              <w:rPr>
                <w:color w:val="auto"/>
                <w:highlight w:val="none"/>
              </w:rPr>
            </w:pPr>
            <w:r>
              <w:rPr>
                <w:color w:val="auto"/>
                <w:spacing w:val="5"/>
                <w:highlight w:val="none"/>
              </w:rPr>
              <w:t>传真</w:t>
            </w:r>
          </w:p>
        </w:tc>
        <w:tc>
          <w:tcPr>
            <w:tcW w:w="2847" w:type="dxa"/>
            <w:gridSpan w:val="4"/>
            <w:vAlign w:val="top"/>
          </w:tcPr>
          <w:p w14:paraId="3976EC75">
            <w:pPr>
              <w:rPr>
                <w:rFonts w:ascii="Arial"/>
                <w:color w:val="auto"/>
                <w:sz w:val="21"/>
                <w:highlight w:val="none"/>
              </w:rPr>
            </w:pPr>
          </w:p>
        </w:tc>
        <w:tc>
          <w:tcPr>
            <w:tcW w:w="1163" w:type="dxa"/>
            <w:vAlign w:val="top"/>
          </w:tcPr>
          <w:p w14:paraId="6E1D16CD">
            <w:pPr>
              <w:pStyle w:val="21"/>
              <w:spacing w:before="32" w:line="233" w:lineRule="auto"/>
              <w:ind w:left="130"/>
              <w:rPr>
                <w:color w:val="auto"/>
                <w:highlight w:val="none"/>
              </w:rPr>
            </w:pPr>
            <w:r>
              <w:rPr>
                <w:color w:val="auto"/>
                <w:spacing w:val="-4"/>
                <w:highlight w:val="none"/>
              </w:rPr>
              <w:t>网址</w:t>
            </w:r>
          </w:p>
        </w:tc>
        <w:tc>
          <w:tcPr>
            <w:tcW w:w="2602" w:type="dxa"/>
            <w:gridSpan w:val="3"/>
            <w:vAlign w:val="top"/>
          </w:tcPr>
          <w:p w14:paraId="287CDCA0">
            <w:pPr>
              <w:rPr>
                <w:rFonts w:ascii="Arial"/>
                <w:color w:val="auto"/>
                <w:sz w:val="21"/>
                <w:highlight w:val="none"/>
              </w:rPr>
            </w:pPr>
          </w:p>
        </w:tc>
      </w:tr>
      <w:tr w14:paraId="04004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38" w:type="dxa"/>
            <w:vAlign w:val="top"/>
          </w:tcPr>
          <w:p w14:paraId="215DEA55">
            <w:pPr>
              <w:pStyle w:val="21"/>
              <w:spacing w:before="33" w:line="228" w:lineRule="auto"/>
              <w:ind w:left="118"/>
              <w:rPr>
                <w:color w:val="auto"/>
                <w:highlight w:val="none"/>
              </w:rPr>
            </w:pPr>
            <w:r>
              <w:rPr>
                <w:color w:val="auto"/>
                <w:spacing w:val="6"/>
                <w:highlight w:val="none"/>
              </w:rPr>
              <w:t>组织结构</w:t>
            </w:r>
          </w:p>
        </w:tc>
        <w:tc>
          <w:tcPr>
            <w:tcW w:w="7566" w:type="dxa"/>
            <w:gridSpan w:val="9"/>
            <w:vAlign w:val="top"/>
          </w:tcPr>
          <w:p w14:paraId="11890CE7">
            <w:pPr>
              <w:rPr>
                <w:rFonts w:ascii="Arial"/>
                <w:color w:val="auto"/>
                <w:sz w:val="21"/>
                <w:highlight w:val="none"/>
              </w:rPr>
            </w:pPr>
          </w:p>
        </w:tc>
      </w:tr>
      <w:tr w14:paraId="3C6F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38" w:type="dxa"/>
            <w:vAlign w:val="top"/>
          </w:tcPr>
          <w:p w14:paraId="4AE44DCD">
            <w:pPr>
              <w:pStyle w:val="21"/>
              <w:spacing w:before="31" w:line="228" w:lineRule="auto"/>
              <w:ind w:left="116"/>
              <w:rPr>
                <w:color w:val="auto"/>
                <w:highlight w:val="none"/>
              </w:rPr>
            </w:pPr>
            <w:r>
              <w:rPr>
                <w:color w:val="auto"/>
                <w:spacing w:val="7"/>
                <w:highlight w:val="none"/>
              </w:rPr>
              <w:t>法定代表人</w:t>
            </w:r>
          </w:p>
        </w:tc>
        <w:tc>
          <w:tcPr>
            <w:tcW w:w="954" w:type="dxa"/>
            <w:vAlign w:val="top"/>
          </w:tcPr>
          <w:p w14:paraId="7CD633B4">
            <w:pPr>
              <w:pStyle w:val="21"/>
              <w:spacing w:before="31" w:line="228" w:lineRule="auto"/>
              <w:ind w:left="111"/>
              <w:rPr>
                <w:color w:val="auto"/>
                <w:highlight w:val="none"/>
              </w:rPr>
            </w:pPr>
            <w:r>
              <w:rPr>
                <w:color w:val="auto"/>
                <w:spacing w:val="4"/>
                <w:highlight w:val="none"/>
              </w:rPr>
              <w:t>姓名</w:t>
            </w:r>
          </w:p>
        </w:tc>
        <w:tc>
          <w:tcPr>
            <w:tcW w:w="954" w:type="dxa"/>
            <w:vAlign w:val="top"/>
          </w:tcPr>
          <w:p w14:paraId="70A972F7">
            <w:pPr>
              <w:rPr>
                <w:rFonts w:ascii="Arial"/>
                <w:color w:val="auto"/>
                <w:sz w:val="21"/>
                <w:highlight w:val="none"/>
              </w:rPr>
            </w:pPr>
          </w:p>
        </w:tc>
        <w:tc>
          <w:tcPr>
            <w:tcW w:w="1528" w:type="dxa"/>
            <w:gridSpan w:val="2"/>
            <w:vAlign w:val="top"/>
          </w:tcPr>
          <w:p w14:paraId="670F64D2">
            <w:pPr>
              <w:pStyle w:val="21"/>
              <w:spacing w:before="31" w:line="228" w:lineRule="auto"/>
              <w:ind w:left="114"/>
              <w:rPr>
                <w:color w:val="auto"/>
                <w:highlight w:val="none"/>
              </w:rPr>
            </w:pPr>
            <w:r>
              <w:rPr>
                <w:color w:val="auto"/>
                <w:spacing w:val="7"/>
                <w:highlight w:val="none"/>
              </w:rPr>
              <w:t>技术职称</w:t>
            </w:r>
          </w:p>
        </w:tc>
        <w:tc>
          <w:tcPr>
            <w:tcW w:w="1910" w:type="dxa"/>
            <w:gridSpan w:val="3"/>
            <w:vAlign w:val="top"/>
          </w:tcPr>
          <w:p w14:paraId="5FC3E318">
            <w:pPr>
              <w:rPr>
                <w:rFonts w:ascii="Arial"/>
                <w:color w:val="auto"/>
                <w:sz w:val="21"/>
                <w:highlight w:val="none"/>
              </w:rPr>
            </w:pPr>
          </w:p>
        </w:tc>
        <w:tc>
          <w:tcPr>
            <w:tcW w:w="1276" w:type="dxa"/>
            <w:vAlign w:val="top"/>
          </w:tcPr>
          <w:p w14:paraId="7AB2A4AD">
            <w:pPr>
              <w:pStyle w:val="21"/>
              <w:spacing w:before="32" w:line="230" w:lineRule="auto"/>
              <w:ind w:left="139"/>
              <w:rPr>
                <w:color w:val="auto"/>
                <w:highlight w:val="none"/>
              </w:rPr>
            </w:pPr>
            <w:r>
              <w:rPr>
                <w:color w:val="auto"/>
                <w:spacing w:val="-8"/>
                <w:highlight w:val="none"/>
              </w:rPr>
              <w:t>电话</w:t>
            </w:r>
          </w:p>
        </w:tc>
        <w:tc>
          <w:tcPr>
            <w:tcW w:w="944" w:type="dxa"/>
            <w:vAlign w:val="top"/>
          </w:tcPr>
          <w:p w14:paraId="7FECD0A7">
            <w:pPr>
              <w:rPr>
                <w:rFonts w:ascii="Arial"/>
                <w:color w:val="auto"/>
                <w:sz w:val="21"/>
                <w:highlight w:val="none"/>
              </w:rPr>
            </w:pPr>
          </w:p>
        </w:tc>
      </w:tr>
      <w:tr w14:paraId="2978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38" w:type="dxa"/>
            <w:vAlign w:val="top"/>
          </w:tcPr>
          <w:p w14:paraId="149B276D">
            <w:pPr>
              <w:pStyle w:val="21"/>
              <w:spacing w:before="33" w:line="228" w:lineRule="auto"/>
              <w:ind w:left="116"/>
              <w:rPr>
                <w:color w:val="auto"/>
                <w:highlight w:val="none"/>
              </w:rPr>
            </w:pPr>
            <w:r>
              <w:rPr>
                <w:color w:val="auto"/>
                <w:spacing w:val="7"/>
                <w:highlight w:val="none"/>
              </w:rPr>
              <w:t>技术负责人</w:t>
            </w:r>
          </w:p>
        </w:tc>
        <w:tc>
          <w:tcPr>
            <w:tcW w:w="954" w:type="dxa"/>
            <w:vAlign w:val="top"/>
          </w:tcPr>
          <w:p w14:paraId="7DE0AF12">
            <w:pPr>
              <w:pStyle w:val="21"/>
              <w:spacing w:before="33" w:line="228" w:lineRule="auto"/>
              <w:ind w:left="111"/>
              <w:rPr>
                <w:color w:val="auto"/>
                <w:highlight w:val="none"/>
              </w:rPr>
            </w:pPr>
            <w:r>
              <w:rPr>
                <w:color w:val="auto"/>
                <w:spacing w:val="4"/>
                <w:highlight w:val="none"/>
              </w:rPr>
              <w:t>姓名</w:t>
            </w:r>
          </w:p>
        </w:tc>
        <w:tc>
          <w:tcPr>
            <w:tcW w:w="954" w:type="dxa"/>
            <w:vAlign w:val="top"/>
          </w:tcPr>
          <w:p w14:paraId="13D076E0">
            <w:pPr>
              <w:rPr>
                <w:rFonts w:ascii="Arial"/>
                <w:color w:val="auto"/>
                <w:sz w:val="21"/>
                <w:highlight w:val="none"/>
              </w:rPr>
            </w:pPr>
          </w:p>
        </w:tc>
        <w:tc>
          <w:tcPr>
            <w:tcW w:w="1528" w:type="dxa"/>
            <w:gridSpan w:val="2"/>
            <w:vAlign w:val="top"/>
          </w:tcPr>
          <w:p w14:paraId="0C5DD4DE">
            <w:pPr>
              <w:pStyle w:val="21"/>
              <w:spacing w:before="33" w:line="228" w:lineRule="auto"/>
              <w:ind w:left="114"/>
              <w:rPr>
                <w:color w:val="auto"/>
                <w:highlight w:val="none"/>
              </w:rPr>
            </w:pPr>
            <w:r>
              <w:rPr>
                <w:color w:val="auto"/>
                <w:spacing w:val="7"/>
                <w:highlight w:val="none"/>
              </w:rPr>
              <w:t>技术职称</w:t>
            </w:r>
          </w:p>
        </w:tc>
        <w:tc>
          <w:tcPr>
            <w:tcW w:w="1910" w:type="dxa"/>
            <w:gridSpan w:val="3"/>
            <w:vAlign w:val="top"/>
          </w:tcPr>
          <w:p w14:paraId="5C487472">
            <w:pPr>
              <w:rPr>
                <w:rFonts w:ascii="Arial"/>
                <w:color w:val="auto"/>
                <w:sz w:val="21"/>
                <w:highlight w:val="none"/>
              </w:rPr>
            </w:pPr>
          </w:p>
        </w:tc>
        <w:tc>
          <w:tcPr>
            <w:tcW w:w="1276" w:type="dxa"/>
            <w:vAlign w:val="top"/>
          </w:tcPr>
          <w:p w14:paraId="484C54D4">
            <w:pPr>
              <w:pStyle w:val="21"/>
              <w:spacing w:before="34" w:line="230" w:lineRule="auto"/>
              <w:ind w:left="139"/>
              <w:rPr>
                <w:color w:val="auto"/>
                <w:highlight w:val="none"/>
              </w:rPr>
            </w:pPr>
            <w:r>
              <w:rPr>
                <w:color w:val="auto"/>
                <w:spacing w:val="-8"/>
                <w:highlight w:val="none"/>
              </w:rPr>
              <w:t>电话</w:t>
            </w:r>
          </w:p>
        </w:tc>
        <w:tc>
          <w:tcPr>
            <w:tcW w:w="944" w:type="dxa"/>
            <w:vAlign w:val="top"/>
          </w:tcPr>
          <w:p w14:paraId="16C263C1">
            <w:pPr>
              <w:rPr>
                <w:rFonts w:ascii="Arial"/>
                <w:color w:val="auto"/>
                <w:sz w:val="21"/>
                <w:highlight w:val="none"/>
              </w:rPr>
            </w:pPr>
          </w:p>
        </w:tc>
      </w:tr>
      <w:tr w14:paraId="48B2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38" w:type="dxa"/>
            <w:vAlign w:val="top"/>
          </w:tcPr>
          <w:p w14:paraId="568F5FAD">
            <w:pPr>
              <w:pStyle w:val="21"/>
              <w:spacing w:before="32" w:line="229" w:lineRule="auto"/>
              <w:ind w:left="117"/>
              <w:rPr>
                <w:color w:val="auto"/>
                <w:highlight w:val="none"/>
              </w:rPr>
            </w:pPr>
            <w:r>
              <w:rPr>
                <w:color w:val="auto"/>
                <w:spacing w:val="6"/>
                <w:highlight w:val="none"/>
              </w:rPr>
              <w:t>成立时间</w:t>
            </w:r>
          </w:p>
        </w:tc>
        <w:tc>
          <w:tcPr>
            <w:tcW w:w="1908" w:type="dxa"/>
            <w:gridSpan w:val="2"/>
            <w:vAlign w:val="top"/>
          </w:tcPr>
          <w:p w14:paraId="34ADFC81">
            <w:pPr>
              <w:rPr>
                <w:rFonts w:ascii="Arial"/>
                <w:color w:val="auto"/>
                <w:sz w:val="21"/>
                <w:highlight w:val="none"/>
              </w:rPr>
            </w:pPr>
          </w:p>
        </w:tc>
        <w:tc>
          <w:tcPr>
            <w:tcW w:w="5658" w:type="dxa"/>
            <w:gridSpan w:val="7"/>
            <w:vAlign w:val="top"/>
          </w:tcPr>
          <w:p w14:paraId="08EBEDFB">
            <w:pPr>
              <w:pStyle w:val="21"/>
              <w:spacing w:before="32" w:line="228" w:lineRule="auto"/>
              <w:ind w:left="121"/>
              <w:rPr>
                <w:color w:val="auto"/>
                <w:highlight w:val="none"/>
              </w:rPr>
            </w:pPr>
            <w:r>
              <w:rPr>
                <w:color w:val="auto"/>
                <w:spacing w:val="5"/>
                <w:highlight w:val="none"/>
              </w:rPr>
              <w:t>员工总人数：</w:t>
            </w:r>
          </w:p>
        </w:tc>
      </w:tr>
      <w:tr w14:paraId="6A2B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38" w:type="dxa"/>
            <w:vAlign w:val="top"/>
          </w:tcPr>
          <w:p w14:paraId="02940CA7">
            <w:pPr>
              <w:pStyle w:val="21"/>
              <w:spacing w:before="34" w:line="228" w:lineRule="auto"/>
              <w:ind w:left="119"/>
              <w:rPr>
                <w:color w:val="auto"/>
                <w:highlight w:val="none"/>
              </w:rPr>
            </w:pPr>
            <w:r>
              <w:rPr>
                <w:color w:val="auto"/>
                <w:spacing w:val="7"/>
                <w:highlight w:val="none"/>
              </w:rPr>
              <w:t>企业资质等级</w:t>
            </w:r>
          </w:p>
        </w:tc>
        <w:tc>
          <w:tcPr>
            <w:tcW w:w="1908" w:type="dxa"/>
            <w:gridSpan w:val="2"/>
            <w:vAlign w:val="top"/>
          </w:tcPr>
          <w:p w14:paraId="2295D638">
            <w:pPr>
              <w:rPr>
                <w:rFonts w:ascii="Arial"/>
                <w:color w:val="auto"/>
                <w:sz w:val="21"/>
                <w:highlight w:val="none"/>
              </w:rPr>
            </w:pPr>
          </w:p>
        </w:tc>
        <w:tc>
          <w:tcPr>
            <w:tcW w:w="1336" w:type="dxa"/>
            <w:vMerge w:val="restart"/>
            <w:tcBorders>
              <w:bottom w:val="nil"/>
            </w:tcBorders>
            <w:vAlign w:val="top"/>
          </w:tcPr>
          <w:p w14:paraId="6A05BE55">
            <w:pPr>
              <w:spacing w:line="266" w:lineRule="auto"/>
              <w:rPr>
                <w:rFonts w:ascii="Arial"/>
                <w:color w:val="auto"/>
                <w:sz w:val="21"/>
                <w:highlight w:val="none"/>
              </w:rPr>
            </w:pPr>
          </w:p>
          <w:p w14:paraId="1C70F537">
            <w:pPr>
              <w:spacing w:line="267" w:lineRule="auto"/>
              <w:rPr>
                <w:rFonts w:ascii="Arial"/>
                <w:color w:val="auto"/>
                <w:sz w:val="21"/>
                <w:highlight w:val="none"/>
              </w:rPr>
            </w:pPr>
          </w:p>
          <w:p w14:paraId="3BD310D3">
            <w:pPr>
              <w:spacing w:line="267" w:lineRule="auto"/>
              <w:rPr>
                <w:rFonts w:ascii="Arial"/>
                <w:color w:val="auto"/>
                <w:sz w:val="21"/>
                <w:highlight w:val="none"/>
              </w:rPr>
            </w:pPr>
          </w:p>
          <w:p w14:paraId="018831ED">
            <w:pPr>
              <w:pStyle w:val="21"/>
              <w:spacing w:before="65" w:line="228" w:lineRule="auto"/>
              <w:ind w:left="114"/>
              <w:rPr>
                <w:color w:val="auto"/>
                <w:highlight w:val="none"/>
              </w:rPr>
            </w:pPr>
            <w:r>
              <w:rPr>
                <w:color w:val="auto"/>
                <w:spacing w:val="4"/>
                <w:highlight w:val="none"/>
              </w:rPr>
              <w:t>其中</w:t>
            </w:r>
          </w:p>
        </w:tc>
        <w:tc>
          <w:tcPr>
            <w:tcW w:w="2102" w:type="dxa"/>
            <w:gridSpan w:val="4"/>
            <w:vAlign w:val="top"/>
          </w:tcPr>
          <w:p w14:paraId="60A8F209">
            <w:pPr>
              <w:pStyle w:val="21"/>
              <w:spacing w:before="35" w:line="228" w:lineRule="auto"/>
              <w:ind w:left="117"/>
              <w:rPr>
                <w:color w:val="auto"/>
                <w:highlight w:val="none"/>
              </w:rPr>
            </w:pPr>
            <w:r>
              <w:rPr>
                <w:color w:val="auto"/>
                <w:spacing w:val="6"/>
                <w:highlight w:val="none"/>
              </w:rPr>
              <w:t>项目经理</w:t>
            </w:r>
          </w:p>
        </w:tc>
        <w:tc>
          <w:tcPr>
            <w:tcW w:w="2220" w:type="dxa"/>
            <w:gridSpan w:val="2"/>
            <w:vAlign w:val="top"/>
          </w:tcPr>
          <w:p w14:paraId="72823352">
            <w:pPr>
              <w:rPr>
                <w:rFonts w:ascii="Arial"/>
                <w:color w:val="auto"/>
                <w:sz w:val="21"/>
                <w:highlight w:val="none"/>
              </w:rPr>
            </w:pPr>
          </w:p>
        </w:tc>
      </w:tr>
      <w:tr w14:paraId="63F55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38" w:type="dxa"/>
            <w:vAlign w:val="top"/>
          </w:tcPr>
          <w:p w14:paraId="2182E68B">
            <w:pPr>
              <w:pStyle w:val="21"/>
              <w:spacing w:before="33" w:line="228" w:lineRule="auto"/>
              <w:ind w:left="122"/>
              <w:rPr>
                <w:color w:val="auto"/>
                <w:highlight w:val="none"/>
              </w:rPr>
            </w:pPr>
            <w:r>
              <w:rPr>
                <w:color w:val="auto"/>
                <w:spacing w:val="6"/>
                <w:highlight w:val="none"/>
              </w:rPr>
              <w:t>营业执照号</w:t>
            </w:r>
          </w:p>
        </w:tc>
        <w:tc>
          <w:tcPr>
            <w:tcW w:w="1908" w:type="dxa"/>
            <w:gridSpan w:val="2"/>
            <w:vAlign w:val="top"/>
          </w:tcPr>
          <w:p w14:paraId="5AD5EFC4">
            <w:pPr>
              <w:rPr>
                <w:rFonts w:ascii="Arial"/>
                <w:color w:val="auto"/>
                <w:sz w:val="21"/>
                <w:highlight w:val="none"/>
              </w:rPr>
            </w:pPr>
          </w:p>
        </w:tc>
        <w:tc>
          <w:tcPr>
            <w:tcW w:w="1336" w:type="dxa"/>
            <w:vMerge w:val="continue"/>
            <w:tcBorders>
              <w:top w:val="nil"/>
              <w:bottom w:val="nil"/>
            </w:tcBorders>
            <w:vAlign w:val="top"/>
          </w:tcPr>
          <w:p w14:paraId="23C066D1">
            <w:pPr>
              <w:rPr>
                <w:rFonts w:ascii="Arial"/>
                <w:color w:val="auto"/>
                <w:sz w:val="21"/>
                <w:highlight w:val="none"/>
              </w:rPr>
            </w:pPr>
          </w:p>
        </w:tc>
        <w:tc>
          <w:tcPr>
            <w:tcW w:w="2102" w:type="dxa"/>
            <w:gridSpan w:val="4"/>
            <w:vAlign w:val="top"/>
          </w:tcPr>
          <w:p w14:paraId="4F896E18">
            <w:pPr>
              <w:pStyle w:val="21"/>
              <w:spacing w:before="33" w:line="228" w:lineRule="auto"/>
              <w:ind w:left="120"/>
              <w:rPr>
                <w:color w:val="auto"/>
                <w:highlight w:val="none"/>
              </w:rPr>
            </w:pPr>
            <w:r>
              <w:rPr>
                <w:color w:val="auto"/>
                <w:spacing w:val="7"/>
                <w:highlight w:val="none"/>
              </w:rPr>
              <w:t>高级职称人员</w:t>
            </w:r>
          </w:p>
        </w:tc>
        <w:tc>
          <w:tcPr>
            <w:tcW w:w="2220" w:type="dxa"/>
            <w:gridSpan w:val="2"/>
            <w:vAlign w:val="top"/>
          </w:tcPr>
          <w:p w14:paraId="3F736463">
            <w:pPr>
              <w:rPr>
                <w:rFonts w:ascii="Arial"/>
                <w:color w:val="auto"/>
                <w:sz w:val="21"/>
                <w:highlight w:val="none"/>
              </w:rPr>
            </w:pPr>
          </w:p>
        </w:tc>
      </w:tr>
      <w:tr w14:paraId="5DF6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38" w:type="dxa"/>
            <w:vAlign w:val="top"/>
          </w:tcPr>
          <w:p w14:paraId="2B728AAE">
            <w:pPr>
              <w:pStyle w:val="21"/>
              <w:spacing w:before="35" w:line="229" w:lineRule="auto"/>
              <w:ind w:left="115"/>
              <w:rPr>
                <w:color w:val="auto"/>
                <w:highlight w:val="none"/>
              </w:rPr>
            </w:pPr>
            <w:r>
              <w:rPr>
                <w:color w:val="auto"/>
                <w:spacing w:val="7"/>
                <w:highlight w:val="none"/>
              </w:rPr>
              <w:t>注册资金</w:t>
            </w:r>
          </w:p>
        </w:tc>
        <w:tc>
          <w:tcPr>
            <w:tcW w:w="1908" w:type="dxa"/>
            <w:gridSpan w:val="2"/>
            <w:vAlign w:val="top"/>
          </w:tcPr>
          <w:p w14:paraId="3D8169CD">
            <w:pPr>
              <w:rPr>
                <w:rFonts w:ascii="Arial"/>
                <w:color w:val="auto"/>
                <w:sz w:val="21"/>
                <w:highlight w:val="none"/>
              </w:rPr>
            </w:pPr>
          </w:p>
        </w:tc>
        <w:tc>
          <w:tcPr>
            <w:tcW w:w="1336" w:type="dxa"/>
            <w:vMerge w:val="continue"/>
            <w:tcBorders>
              <w:top w:val="nil"/>
              <w:bottom w:val="nil"/>
            </w:tcBorders>
            <w:vAlign w:val="top"/>
          </w:tcPr>
          <w:p w14:paraId="5CF53363">
            <w:pPr>
              <w:rPr>
                <w:rFonts w:ascii="Arial"/>
                <w:color w:val="auto"/>
                <w:sz w:val="21"/>
                <w:highlight w:val="none"/>
              </w:rPr>
            </w:pPr>
          </w:p>
        </w:tc>
        <w:tc>
          <w:tcPr>
            <w:tcW w:w="2102" w:type="dxa"/>
            <w:gridSpan w:val="4"/>
            <w:vAlign w:val="top"/>
          </w:tcPr>
          <w:p w14:paraId="4033412F">
            <w:pPr>
              <w:pStyle w:val="21"/>
              <w:spacing w:before="35" w:line="228" w:lineRule="auto"/>
              <w:ind w:left="134"/>
              <w:rPr>
                <w:color w:val="auto"/>
                <w:highlight w:val="none"/>
              </w:rPr>
            </w:pPr>
            <w:r>
              <w:rPr>
                <w:color w:val="auto"/>
                <w:spacing w:val="4"/>
                <w:highlight w:val="none"/>
              </w:rPr>
              <w:t>中级职称人员</w:t>
            </w:r>
          </w:p>
        </w:tc>
        <w:tc>
          <w:tcPr>
            <w:tcW w:w="2220" w:type="dxa"/>
            <w:gridSpan w:val="2"/>
            <w:vAlign w:val="top"/>
          </w:tcPr>
          <w:p w14:paraId="2A411FAE">
            <w:pPr>
              <w:rPr>
                <w:rFonts w:ascii="Arial"/>
                <w:color w:val="auto"/>
                <w:sz w:val="21"/>
                <w:highlight w:val="none"/>
              </w:rPr>
            </w:pPr>
          </w:p>
        </w:tc>
      </w:tr>
      <w:tr w14:paraId="7694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38" w:type="dxa"/>
            <w:vAlign w:val="top"/>
          </w:tcPr>
          <w:p w14:paraId="1A534C1B">
            <w:pPr>
              <w:pStyle w:val="21"/>
              <w:spacing w:before="34" w:line="228" w:lineRule="auto"/>
              <w:ind w:left="116"/>
              <w:rPr>
                <w:color w:val="auto"/>
                <w:highlight w:val="none"/>
              </w:rPr>
            </w:pPr>
            <w:r>
              <w:rPr>
                <w:color w:val="auto"/>
                <w:spacing w:val="7"/>
                <w:highlight w:val="none"/>
              </w:rPr>
              <w:t>开户银行</w:t>
            </w:r>
          </w:p>
        </w:tc>
        <w:tc>
          <w:tcPr>
            <w:tcW w:w="1908" w:type="dxa"/>
            <w:gridSpan w:val="2"/>
            <w:vAlign w:val="top"/>
          </w:tcPr>
          <w:p w14:paraId="0397BB18">
            <w:pPr>
              <w:rPr>
                <w:rFonts w:ascii="Arial"/>
                <w:color w:val="auto"/>
                <w:sz w:val="21"/>
                <w:highlight w:val="none"/>
              </w:rPr>
            </w:pPr>
          </w:p>
        </w:tc>
        <w:tc>
          <w:tcPr>
            <w:tcW w:w="1336" w:type="dxa"/>
            <w:vMerge w:val="continue"/>
            <w:tcBorders>
              <w:top w:val="nil"/>
              <w:bottom w:val="nil"/>
            </w:tcBorders>
            <w:vAlign w:val="top"/>
          </w:tcPr>
          <w:p w14:paraId="5D462B41">
            <w:pPr>
              <w:rPr>
                <w:rFonts w:ascii="Arial"/>
                <w:color w:val="auto"/>
                <w:sz w:val="21"/>
                <w:highlight w:val="none"/>
              </w:rPr>
            </w:pPr>
          </w:p>
        </w:tc>
        <w:tc>
          <w:tcPr>
            <w:tcW w:w="2102" w:type="dxa"/>
            <w:gridSpan w:val="4"/>
            <w:vAlign w:val="top"/>
          </w:tcPr>
          <w:p w14:paraId="3D0F0454">
            <w:pPr>
              <w:pStyle w:val="21"/>
              <w:spacing w:before="34" w:line="229" w:lineRule="auto"/>
              <w:ind w:left="113"/>
              <w:rPr>
                <w:color w:val="auto"/>
                <w:highlight w:val="none"/>
              </w:rPr>
            </w:pPr>
            <w:r>
              <w:rPr>
                <w:color w:val="auto"/>
                <w:spacing w:val="8"/>
                <w:highlight w:val="none"/>
              </w:rPr>
              <w:t>初级职称人员</w:t>
            </w:r>
          </w:p>
        </w:tc>
        <w:tc>
          <w:tcPr>
            <w:tcW w:w="2220" w:type="dxa"/>
            <w:gridSpan w:val="2"/>
            <w:vAlign w:val="top"/>
          </w:tcPr>
          <w:p w14:paraId="01AC9BE9">
            <w:pPr>
              <w:rPr>
                <w:rFonts w:ascii="Arial"/>
                <w:color w:val="auto"/>
                <w:sz w:val="21"/>
                <w:highlight w:val="none"/>
              </w:rPr>
            </w:pPr>
          </w:p>
        </w:tc>
      </w:tr>
      <w:tr w14:paraId="0992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838" w:type="dxa"/>
            <w:vAlign w:val="top"/>
          </w:tcPr>
          <w:p w14:paraId="13B5D2D6">
            <w:pPr>
              <w:pStyle w:val="21"/>
              <w:spacing w:before="33" w:line="229" w:lineRule="auto"/>
              <w:ind w:left="119"/>
              <w:rPr>
                <w:color w:val="auto"/>
                <w:highlight w:val="none"/>
              </w:rPr>
            </w:pPr>
            <w:r>
              <w:rPr>
                <w:color w:val="auto"/>
                <w:spacing w:val="3"/>
                <w:highlight w:val="none"/>
              </w:rPr>
              <w:t>账号</w:t>
            </w:r>
          </w:p>
        </w:tc>
        <w:tc>
          <w:tcPr>
            <w:tcW w:w="1908" w:type="dxa"/>
            <w:gridSpan w:val="2"/>
            <w:vAlign w:val="top"/>
          </w:tcPr>
          <w:p w14:paraId="7A9E8C3F">
            <w:pPr>
              <w:rPr>
                <w:rFonts w:ascii="Arial"/>
                <w:color w:val="auto"/>
                <w:sz w:val="21"/>
                <w:highlight w:val="none"/>
              </w:rPr>
            </w:pPr>
          </w:p>
        </w:tc>
        <w:tc>
          <w:tcPr>
            <w:tcW w:w="1336" w:type="dxa"/>
            <w:vMerge w:val="continue"/>
            <w:tcBorders>
              <w:top w:val="nil"/>
            </w:tcBorders>
            <w:vAlign w:val="top"/>
          </w:tcPr>
          <w:p w14:paraId="4CD62854">
            <w:pPr>
              <w:rPr>
                <w:rFonts w:ascii="Arial"/>
                <w:color w:val="auto"/>
                <w:sz w:val="21"/>
                <w:highlight w:val="none"/>
              </w:rPr>
            </w:pPr>
          </w:p>
        </w:tc>
        <w:tc>
          <w:tcPr>
            <w:tcW w:w="2102" w:type="dxa"/>
            <w:gridSpan w:val="4"/>
            <w:vAlign w:val="top"/>
          </w:tcPr>
          <w:p w14:paraId="1E895AEE">
            <w:pPr>
              <w:pStyle w:val="21"/>
              <w:spacing w:before="33" w:line="229" w:lineRule="auto"/>
              <w:ind w:left="115"/>
              <w:rPr>
                <w:color w:val="auto"/>
                <w:highlight w:val="none"/>
              </w:rPr>
            </w:pPr>
            <w:r>
              <w:rPr>
                <w:color w:val="auto"/>
                <w:spacing w:val="4"/>
                <w:highlight w:val="none"/>
              </w:rPr>
              <w:t>技工</w:t>
            </w:r>
          </w:p>
        </w:tc>
        <w:tc>
          <w:tcPr>
            <w:tcW w:w="2220" w:type="dxa"/>
            <w:gridSpan w:val="2"/>
            <w:vAlign w:val="top"/>
          </w:tcPr>
          <w:p w14:paraId="10CC7109">
            <w:pPr>
              <w:rPr>
                <w:rFonts w:ascii="Arial"/>
                <w:color w:val="auto"/>
                <w:sz w:val="21"/>
                <w:highlight w:val="none"/>
              </w:rPr>
            </w:pPr>
          </w:p>
        </w:tc>
      </w:tr>
      <w:tr w14:paraId="25A9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8" w:hRule="atLeast"/>
        </w:trPr>
        <w:tc>
          <w:tcPr>
            <w:tcW w:w="1838" w:type="dxa"/>
            <w:vAlign w:val="top"/>
          </w:tcPr>
          <w:p w14:paraId="4E90C70B">
            <w:pPr>
              <w:rPr>
                <w:rFonts w:ascii="Arial"/>
                <w:color w:val="auto"/>
                <w:sz w:val="21"/>
                <w:highlight w:val="none"/>
              </w:rPr>
            </w:pPr>
          </w:p>
          <w:p w14:paraId="447775A1">
            <w:pPr>
              <w:rPr>
                <w:rFonts w:ascii="Arial"/>
                <w:color w:val="auto"/>
                <w:sz w:val="21"/>
                <w:highlight w:val="none"/>
              </w:rPr>
            </w:pPr>
          </w:p>
          <w:p w14:paraId="0ADB8D10">
            <w:pPr>
              <w:spacing w:line="241" w:lineRule="auto"/>
              <w:rPr>
                <w:rFonts w:ascii="Arial"/>
                <w:color w:val="auto"/>
                <w:sz w:val="21"/>
                <w:highlight w:val="none"/>
              </w:rPr>
            </w:pPr>
          </w:p>
          <w:p w14:paraId="0AF5536D">
            <w:pPr>
              <w:spacing w:line="241" w:lineRule="auto"/>
              <w:rPr>
                <w:rFonts w:ascii="Arial"/>
                <w:color w:val="auto"/>
                <w:sz w:val="21"/>
                <w:highlight w:val="none"/>
              </w:rPr>
            </w:pPr>
          </w:p>
          <w:p w14:paraId="6579BBF6">
            <w:pPr>
              <w:spacing w:line="241" w:lineRule="auto"/>
              <w:rPr>
                <w:rFonts w:ascii="Arial"/>
                <w:color w:val="auto"/>
                <w:sz w:val="21"/>
                <w:highlight w:val="none"/>
              </w:rPr>
            </w:pPr>
          </w:p>
          <w:p w14:paraId="663DBF61">
            <w:pPr>
              <w:spacing w:line="241" w:lineRule="auto"/>
              <w:rPr>
                <w:rFonts w:ascii="Arial"/>
                <w:color w:val="auto"/>
                <w:sz w:val="21"/>
                <w:highlight w:val="none"/>
              </w:rPr>
            </w:pPr>
          </w:p>
          <w:p w14:paraId="7223FDAE">
            <w:pPr>
              <w:spacing w:line="241" w:lineRule="auto"/>
              <w:rPr>
                <w:rFonts w:ascii="Arial"/>
                <w:color w:val="auto"/>
                <w:sz w:val="21"/>
                <w:highlight w:val="none"/>
              </w:rPr>
            </w:pPr>
          </w:p>
          <w:p w14:paraId="7B3B32E9">
            <w:pPr>
              <w:pStyle w:val="21"/>
              <w:spacing w:before="65" w:line="228" w:lineRule="auto"/>
              <w:ind w:left="117"/>
              <w:rPr>
                <w:color w:val="auto"/>
                <w:highlight w:val="none"/>
              </w:rPr>
            </w:pPr>
            <w:r>
              <w:rPr>
                <w:color w:val="auto"/>
                <w:spacing w:val="6"/>
                <w:highlight w:val="none"/>
              </w:rPr>
              <w:t>经营范围</w:t>
            </w:r>
          </w:p>
        </w:tc>
        <w:tc>
          <w:tcPr>
            <w:tcW w:w="7566" w:type="dxa"/>
            <w:gridSpan w:val="9"/>
            <w:vAlign w:val="top"/>
          </w:tcPr>
          <w:p w14:paraId="3E3C8653">
            <w:pPr>
              <w:rPr>
                <w:rFonts w:ascii="Arial"/>
                <w:color w:val="auto"/>
                <w:sz w:val="21"/>
                <w:highlight w:val="none"/>
              </w:rPr>
            </w:pPr>
          </w:p>
        </w:tc>
      </w:tr>
      <w:tr w14:paraId="4C88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38" w:type="dxa"/>
            <w:vAlign w:val="top"/>
          </w:tcPr>
          <w:p w14:paraId="0355AC24">
            <w:pPr>
              <w:pStyle w:val="21"/>
              <w:spacing w:before="35" w:line="229" w:lineRule="auto"/>
              <w:ind w:left="118"/>
              <w:rPr>
                <w:color w:val="auto"/>
                <w:highlight w:val="none"/>
              </w:rPr>
            </w:pPr>
            <w:r>
              <w:rPr>
                <w:color w:val="auto"/>
                <w:spacing w:val="3"/>
                <w:highlight w:val="none"/>
              </w:rPr>
              <w:t>备注</w:t>
            </w:r>
          </w:p>
        </w:tc>
        <w:tc>
          <w:tcPr>
            <w:tcW w:w="7566" w:type="dxa"/>
            <w:gridSpan w:val="9"/>
            <w:vAlign w:val="top"/>
          </w:tcPr>
          <w:p w14:paraId="5515049C">
            <w:pPr>
              <w:rPr>
                <w:rFonts w:ascii="Arial"/>
                <w:color w:val="auto"/>
                <w:sz w:val="21"/>
                <w:highlight w:val="none"/>
              </w:rPr>
            </w:pPr>
          </w:p>
        </w:tc>
      </w:tr>
    </w:tbl>
    <w:p w14:paraId="407C0772">
      <w:pPr>
        <w:spacing w:before="33" w:line="366" w:lineRule="auto"/>
        <w:ind w:left="120" w:right="466"/>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注：后附有效营业执照副本、资质证书、安全生产许可证、开户许可信息等材料复印件加盖公章。</w:t>
      </w:r>
      <w:r>
        <w:rPr>
          <w:rFonts w:ascii="宋体" w:hAnsi="宋体" w:eastAsia="宋体" w:cs="宋体"/>
          <w:color w:val="auto"/>
          <w:spacing w:val="6"/>
          <w:sz w:val="20"/>
          <w:szCs w:val="20"/>
          <w:highlight w:val="none"/>
        </w:rPr>
        <w:t xml:space="preserve"> </w:t>
      </w:r>
      <w:r>
        <w:rPr>
          <w:rFonts w:ascii="宋体" w:hAnsi="宋体" w:eastAsia="宋体" w:cs="宋体"/>
          <w:color w:val="auto"/>
          <w:spacing w:val="8"/>
          <w:sz w:val="20"/>
          <w:szCs w:val="20"/>
          <w:highlight w:val="none"/>
        </w:rPr>
        <w:t>供应商在国家企业信用信息公示系统中基础信息（体现股东及出资详细信息）的网页截图或由法</w:t>
      </w:r>
      <w:r>
        <w:rPr>
          <w:rFonts w:ascii="宋体" w:hAnsi="宋体" w:eastAsia="宋体" w:cs="宋体"/>
          <w:color w:val="auto"/>
          <w:spacing w:val="14"/>
          <w:sz w:val="20"/>
          <w:szCs w:val="20"/>
          <w:highlight w:val="none"/>
        </w:rPr>
        <w:t xml:space="preserve"> </w:t>
      </w:r>
      <w:r>
        <w:rPr>
          <w:rFonts w:ascii="宋体" w:hAnsi="宋体" w:eastAsia="宋体" w:cs="宋体"/>
          <w:color w:val="auto"/>
          <w:spacing w:val="10"/>
          <w:sz w:val="20"/>
          <w:szCs w:val="20"/>
          <w:highlight w:val="none"/>
        </w:rPr>
        <w:t>定的社会验资机构出具的验资报告或注册地工商</w:t>
      </w:r>
      <w:r>
        <w:rPr>
          <w:rFonts w:ascii="宋体" w:hAnsi="宋体" w:eastAsia="宋体" w:cs="宋体"/>
          <w:color w:val="auto"/>
          <w:spacing w:val="9"/>
          <w:sz w:val="20"/>
          <w:szCs w:val="20"/>
          <w:highlight w:val="none"/>
        </w:rPr>
        <w:t>部门出具的股东出资情况证明复印件加盖公章。</w:t>
      </w:r>
    </w:p>
    <w:p w14:paraId="534E78AC">
      <w:pPr>
        <w:spacing w:line="366" w:lineRule="auto"/>
        <w:rPr>
          <w:rFonts w:ascii="宋体" w:hAnsi="宋体" w:eastAsia="宋体" w:cs="宋体"/>
          <w:color w:val="auto"/>
          <w:sz w:val="20"/>
          <w:szCs w:val="20"/>
          <w:highlight w:val="none"/>
        </w:rPr>
        <w:sectPr>
          <w:footerReference r:id="rId33" w:type="default"/>
          <w:pgSz w:w="11906" w:h="16839"/>
          <w:pgMar w:top="1347" w:right="1248" w:bottom="1156" w:left="1248" w:header="0" w:footer="994" w:gutter="0"/>
          <w:pgNumType w:fmt="decimal"/>
          <w:cols w:space="720" w:num="1"/>
        </w:sectPr>
      </w:pPr>
    </w:p>
    <w:p w14:paraId="05069123">
      <w:pPr>
        <w:spacing w:before="219" w:line="224" w:lineRule="auto"/>
        <w:ind w:left="27"/>
        <w:rPr>
          <w:rFonts w:ascii="仿宋" w:hAnsi="仿宋" w:eastAsia="仿宋" w:cs="仿宋"/>
          <w:color w:val="auto"/>
          <w:sz w:val="31"/>
          <w:szCs w:val="31"/>
          <w:highlight w:val="none"/>
        </w:rPr>
      </w:pPr>
      <w:r>
        <w:rPr>
          <w:rFonts w:ascii="仿宋" w:hAnsi="仿宋" w:eastAsia="仿宋" w:cs="仿宋"/>
          <w:b/>
          <w:bCs/>
          <w:color w:val="auto"/>
          <w:spacing w:val="-17"/>
          <w:sz w:val="31"/>
          <w:szCs w:val="31"/>
          <w:highlight w:val="none"/>
        </w:rPr>
        <w:t>附：</w:t>
      </w:r>
    </w:p>
    <w:p w14:paraId="6A312CC7">
      <w:pPr>
        <w:pStyle w:val="8"/>
        <w:spacing w:line="381" w:lineRule="auto"/>
        <w:rPr>
          <w:color w:val="auto"/>
          <w:highlight w:val="none"/>
        </w:rPr>
      </w:pPr>
    </w:p>
    <w:p w14:paraId="6F85FE68">
      <w:pPr>
        <w:spacing w:before="100" w:line="224" w:lineRule="auto"/>
        <w:ind w:left="2989"/>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供应商关联单位的说明</w:t>
      </w:r>
    </w:p>
    <w:p w14:paraId="0192331D">
      <w:pPr>
        <w:pStyle w:val="8"/>
        <w:spacing w:line="402" w:lineRule="auto"/>
        <w:rPr>
          <w:color w:val="auto"/>
          <w:highlight w:val="none"/>
        </w:rPr>
      </w:pPr>
    </w:p>
    <w:p w14:paraId="4CCBA360">
      <w:pPr>
        <w:spacing w:before="65" w:line="227" w:lineRule="auto"/>
        <w:ind w:left="48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说明：供应商应当如实披露与本单位存在下列关联关系的单位名称：</w:t>
      </w:r>
    </w:p>
    <w:p w14:paraId="4F337B85">
      <w:pPr>
        <w:spacing w:before="162" w:line="227" w:lineRule="auto"/>
        <w:ind w:left="48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（1）与供应商单位法定代表人（或非法人组织负责人）为同一人的其他</w:t>
      </w:r>
      <w:r>
        <w:rPr>
          <w:rFonts w:ascii="宋体" w:hAnsi="宋体" w:eastAsia="宋体" w:cs="宋体"/>
          <w:color w:val="auto"/>
          <w:spacing w:val="8"/>
          <w:sz w:val="20"/>
          <w:szCs w:val="20"/>
          <w:highlight w:val="none"/>
        </w:rPr>
        <w:t>单位；</w:t>
      </w:r>
    </w:p>
    <w:p w14:paraId="298401BC">
      <w:pPr>
        <w:spacing w:before="164" w:line="227" w:lineRule="auto"/>
        <w:ind w:left="48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（2）与供应商存在直接控股、管理关系的其他单位。</w:t>
      </w:r>
    </w:p>
    <w:p w14:paraId="4469399F">
      <w:pPr>
        <w:pStyle w:val="8"/>
        <w:spacing w:line="251" w:lineRule="auto"/>
        <w:rPr>
          <w:color w:val="auto"/>
          <w:highlight w:val="none"/>
        </w:rPr>
      </w:pPr>
    </w:p>
    <w:p w14:paraId="4F7B57F2">
      <w:pPr>
        <w:pStyle w:val="8"/>
        <w:spacing w:line="251" w:lineRule="auto"/>
        <w:rPr>
          <w:color w:val="auto"/>
          <w:highlight w:val="none"/>
        </w:rPr>
      </w:pPr>
    </w:p>
    <w:p w14:paraId="59F08537">
      <w:pPr>
        <w:spacing w:before="65" w:line="228" w:lineRule="auto"/>
        <w:ind w:left="47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注：若无此情形，写“无</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”即可</w:t>
      </w:r>
    </w:p>
    <w:p w14:paraId="1CC96B8B">
      <w:pPr>
        <w:pStyle w:val="8"/>
        <w:spacing w:line="262" w:lineRule="auto"/>
        <w:rPr>
          <w:color w:val="auto"/>
          <w:highlight w:val="none"/>
        </w:rPr>
      </w:pPr>
    </w:p>
    <w:p w14:paraId="2AA06654">
      <w:pPr>
        <w:pStyle w:val="8"/>
        <w:spacing w:line="262" w:lineRule="auto"/>
        <w:rPr>
          <w:color w:val="auto"/>
          <w:highlight w:val="none"/>
        </w:rPr>
      </w:pPr>
    </w:p>
    <w:p w14:paraId="0A7549F7">
      <w:pPr>
        <w:pStyle w:val="8"/>
        <w:spacing w:line="263" w:lineRule="auto"/>
        <w:rPr>
          <w:color w:val="auto"/>
          <w:highlight w:val="none"/>
        </w:rPr>
      </w:pPr>
    </w:p>
    <w:p w14:paraId="2D89E69C">
      <w:pPr>
        <w:pStyle w:val="8"/>
        <w:spacing w:line="263" w:lineRule="auto"/>
        <w:rPr>
          <w:color w:val="auto"/>
          <w:highlight w:val="none"/>
        </w:rPr>
      </w:pPr>
    </w:p>
    <w:p w14:paraId="21EF6A04">
      <w:pPr>
        <w:pStyle w:val="8"/>
        <w:spacing w:line="263" w:lineRule="auto"/>
        <w:rPr>
          <w:color w:val="auto"/>
          <w:highlight w:val="none"/>
        </w:rPr>
      </w:pPr>
    </w:p>
    <w:p w14:paraId="680A55AE">
      <w:pPr>
        <w:spacing w:before="66" w:line="227" w:lineRule="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供应商名称</w:t>
      </w:r>
      <w:r>
        <w:rPr>
          <w:rFonts w:hint="eastAsia" w:ascii="宋体" w:hAnsi="宋体" w:eastAsia="宋体" w:cs="宋体"/>
          <w:color w:val="auto"/>
          <w:spacing w:val="7"/>
          <w:sz w:val="20"/>
          <w:szCs w:val="20"/>
          <w:highlight w:val="none"/>
          <w:lang w:eastAsia="zh-CN"/>
        </w:rPr>
        <w:t>（</w:t>
      </w:r>
      <w:r>
        <w:rPr>
          <w:rFonts w:ascii="宋体" w:hAnsi="宋体" w:eastAsia="宋体" w:cs="宋体"/>
          <w:color w:val="auto"/>
          <w:spacing w:val="7"/>
          <w:sz w:val="20"/>
          <w:szCs w:val="20"/>
          <w:highlight w:val="none"/>
        </w:rPr>
        <w:t>加盖单位公章</w:t>
      </w:r>
      <w:r>
        <w:rPr>
          <w:rFonts w:hint="eastAsia" w:ascii="宋体" w:hAnsi="宋体" w:eastAsia="宋体" w:cs="宋体"/>
          <w:color w:val="auto"/>
          <w:spacing w:val="7"/>
          <w:sz w:val="20"/>
          <w:szCs w:val="20"/>
          <w:highlight w:val="none"/>
          <w:lang w:eastAsia="zh-CN"/>
        </w:rPr>
        <w:t>）</w:t>
      </w:r>
      <w:r>
        <w:rPr>
          <w:rFonts w:ascii="宋体" w:hAnsi="宋体" w:eastAsia="宋体" w:cs="宋体"/>
          <w:color w:val="auto"/>
          <w:spacing w:val="-48"/>
          <w:sz w:val="20"/>
          <w:szCs w:val="20"/>
          <w:highlight w:val="none"/>
        </w:rPr>
        <w:t xml:space="preserve"> </w:t>
      </w:r>
      <w:r>
        <w:rPr>
          <w:rFonts w:ascii="宋体" w:hAnsi="宋体" w:eastAsia="宋体" w:cs="宋体"/>
          <w:color w:val="auto"/>
          <w:spacing w:val="7"/>
          <w:sz w:val="20"/>
          <w:szCs w:val="20"/>
          <w:highlight w:val="none"/>
        </w:rPr>
        <w:t>:</w:t>
      </w:r>
    </w:p>
    <w:p w14:paraId="50F8F1CF">
      <w:pPr>
        <w:spacing w:before="298" w:line="489" w:lineRule="auto"/>
        <w:ind w:left="35" w:right="2563" w:hanging="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法定代表人（或非法人组织负责人）或其授权委托人</w:t>
      </w:r>
      <w:r>
        <w:rPr>
          <w:rFonts w:hint="eastAsia" w:ascii="宋体" w:hAnsi="宋体" w:eastAsia="宋体" w:cs="宋体"/>
          <w:color w:val="auto"/>
          <w:spacing w:val="8"/>
          <w:sz w:val="20"/>
          <w:szCs w:val="20"/>
          <w:highlight w:val="none"/>
          <w:lang w:eastAsia="zh-CN"/>
        </w:rPr>
        <w:t>（</w:t>
      </w:r>
      <w:r>
        <w:rPr>
          <w:rFonts w:ascii="宋体" w:hAnsi="宋体" w:eastAsia="宋体" w:cs="宋体"/>
          <w:color w:val="auto"/>
          <w:spacing w:val="8"/>
          <w:sz w:val="20"/>
          <w:szCs w:val="20"/>
          <w:highlight w:val="none"/>
        </w:rPr>
        <w:t>签字或盖</w:t>
      </w:r>
      <w:r>
        <w:rPr>
          <w:rFonts w:ascii="宋体" w:hAnsi="宋体" w:eastAsia="宋体" w:cs="宋体"/>
          <w:color w:val="auto"/>
          <w:spacing w:val="7"/>
          <w:sz w:val="20"/>
          <w:szCs w:val="20"/>
          <w:highlight w:val="none"/>
        </w:rPr>
        <w:t>章</w:t>
      </w:r>
      <w:r>
        <w:rPr>
          <w:rFonts w:hint="eastAsia" w:ascii="宋体" w:hAnsi="宋体" w:eastAsia="宋体" w:cs="宋体"/>
          <w:color w:val="auto"/>
          <w:spacing w:val="7"/>
          <w:sz w:val="20"/>
          <w:szCs w:val="20"/>
          <w:highlight w:val="none"/>
          <w:lang w:eastAsia="zh-CN"/>
        </w:rPr>
        <w:t>）</w:t>
      </w:r>
      <w:r>
        <w:rPr>
          <w:rFonts w:ascii="宋体" w:hAnsi="宋体" w:eastAsia="宋体" w:cs="宋体"/>
          <w:color w:val="auto"/>
          <w:spacing w:val="-60"/>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日期</w:t>
      </w:r>
      <w:r>
        <w:rPr>
          <w:rFonts w:ascii="宋体" w:hAnsi="宋体" w:eastAsia="宋体" w:cs="宋体"/>
          <w:color w:val="auto"/>
          <w:spacing w:val="-59"/>
          <w:sz w:val="20"/>
          <w:szCs w:val="20"/>
          <w:highlight w:val="none"/>
        </w:rPr>
        <w:t xml:space="preserve"> </w:t>
      </w:r>
      <w:r>
        <w:rPr>
          <w:rFonts w:ascii="宋体" w:hAnsi="宋体" w:eastAsia="宋体" w:cs="宋体"/>
          <w:color w:val="auto"/>
          <w:spacing w:val="-9"/>
          <w:sz w:val="20"/>
          <w:szCs w:val="20"/>
          <w:highlight w:val="none"/>
        </w:rPr>
        <w:t>:</w:t>
      </w:r>
    </w:p>
    <w:p w14:paraId="601A8728">
      <w:pPr>
        <w:spacing w:line="489" w:lineRule="auto"/>
        <w:rPr>
          <w:rFonts w:ascii="宋体" w:hAnsi="宋体" w:eastAsia="宋体" w:cs="宋体"/>
          <w:color w:val="auto"/>
          <w:sz w:val="20"/>
          <w:szCs w:val="20"/>
          <w:highlight w:val="none"/>
        </w:rPr>
        <w:sectPr>
          <w:footerReference r:id="rId34" w:type="default"/>
          <w:pgSz w:w="11906" w:h="16839"/>
          <w:pgMar w:top="1431" w:right="1785" w:bottom="1156" w:left="1368" w:header="0" w:footer="994" w:gutter="0"/>
          <w:pgNumType w:fmt="decimal"/>
          <w:cols w:space="720" w:num="1"/>
        </w:sectPr>
      </w:pPr>
    </w:p>
    <w:p w14:paraId="28E27F57">
      <w:pPr>
        <w:spacing w:before="240" w:line="219" w:lineRule="auto"/>
        <w:ind w:left="2557"/>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（二）中小企业声明函（工程、服务）</w:t>
      </w:r>
    </w:p>
    <w:p w14:paraId="2A07D448">
      <w:pPr>
        <w:pStyle w:val="8"/>
        <w:spacing w:line="340" w:lineRule="auto"/>
        <w:rPr>
          <w:color w:val="auto"/>
          <w:highlight w:val="none"/>
        </w:rPr>
      </w:pPr>
    </w:p>
    <w:p w14:paraId="2240CDC1">
      <w:pPr>
        <w:spacing w:before="65" w:line="370" w:lineRule="auto"/>
        <w:ind w:firstLine="421"/>
        <w:jc w:val="both"/>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本公司（联合体）郑重声明，根据《政府采购促进中小企业发展管理办法》（财库</w:t>
      </w:r>
      <w:r>
        <w:rPr>
          <w:rFonts w:ascii="宋体" w:hAnsi="宋体" w:eastAsia="宋体" w:cs="宋体"/>
          <w:color w:val="auto"/>
          <w:spacing w:val="-74"/>
          <w:sz w:val="20"/>
          <w:szCs w:val="20"/>
          <w:highlight w:val="none"/>
        </w:rPr>
        <w:t xml:space="preserve"> </w:t>
      </w:r>
      <w:r>
        <w:rPr>
          <w:rFonts w:ascii="宋体" w:hAnsi="宋体" w:eastAsia="宋体" w:cs="宋体"/>
          <w:color w:val="auto"/>
          <w:spacing w:val="2"/>
          <w:sz w:val="20"/>
          <w:szCs w:val="20"/>
          <w:highlight w:val="none"/>
        </w:rPr>
        <w:t>﹝</w:t>
      </w:r>
      <w:r>
        <w:rPr>
          <w:rFonts w:ascii="Calibri" w:hAnsi="Calibri" w:eastAsia="Calibri" w:cs="Calibri"/>
          <w:color w:val="auto"/>
          <w:spacing w:val="2"/>
          <w:sz w:val="20"/>
          <w:szCs w:val="20"/>
          <w:highlight w:val="none"/>
        </w:rPr>
        <w:t>2020</w:t>
      </w:r>
      <w:r>
        <w:rPr>
          <w:rFonts w:ascii="宋体" w:hAnsi="宋体" w:eastAsia="宋体" w:cs="宋体"/>
          <w:color w:val="auto"/>
          <w:spacing w:val="1"/>
          <w:sz w:val="20"/>
          <w:szCs w:val="20"/>
          <w:highlight w:val="none"/>
        </w:rPr>
        <w:t>﹞</w:t>
      </w:r>
      <w:r>
        <w:rPr>
          <w:rFonts w:ascii="Calibri" w:hAnsi="Calibri" w:eastAsia="Calibri" w:cs="Calibri"/>
          <w:color w:val="auto"/>
          <w:spacing w:val="1"/>
          <w:sz w:val="20"/>
          <w:szCs w:val="20"/>
          <w:highlight w:val="none"/>
        </w:rPr>
        <w:t>46</w:t>
      </w:r>
      <w:r>
        <w:rPr>
          <w:rFonts w:ascii="Calibri" w:hAnsi="Calibri" w:eastAsia="Calibri" w:cs="Calibri"/>
          <w:color w:val="auto"/>
          <w:spacing w:val="14"/>
          <w:sz w:val="20"/>
          <w:szCs w:val="20"/>
          <w:highlight w:val="none"/>
        </w:rPr>
        <w:t xml:space="preserve">  </w:t>
      </w:r>
      <w:r>
        <w:rPr>
          <w:rFonts w:ascii="宋体" w:hAnsi="宋体" w:eastAsia="宋体" w:cs="宋体"/>
          <w:color w:val="auto"/>
          <w:spacing w:val="1"/>
          <w:sz w:val="20"/>
          <w:szCs w:val="20"/>
          <w:highlight w:val="none"/>
        </w:rPr>
        <w:t>号）</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的规定，本公司（联合体）参加</w:t>
      </w:r>
      <w:r>
        <w:rPr>
          <w:rFonts w:ascii="宋体" w:hAnsi="宋体" w:eastAsia="宋体" w:cs="宋体"/>
          <w:color w:val="auto"/>
          <w:spacing w:val="9"/>
          <w:sz w:val="20"/>
          <w:szCs w:val="20"/>
          <w:highlight w:val="none"/>
          <w:u w:val="single" w:color="auto"/>
        </w:rPr>
        <w:t>（单位名称）</w:t>
      </w:r>
      <w:r>
        <w:rPr>
          <w:rFonts w:ascii="宋体" w:hAnsi="宋体" w:eastAsia="宋体" w:cs="宋体"/>
          <w:color w:val="auto"/>
          <w:spacing w:val="9"/>
          <w:sz w:val="20"/>
          <w:szCs w:val="20"/>
          <w:highlight w:val="none"/>
        </w:rPr>
        <w:t>的</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8"/>
          <w:sz w:val="20"/>
          <w:szCs w:val="20"/>
          <w:highlight w:val="none"/>
          <w:u w:val="single" w:color="auto"/>
        </w:rPr>
        <w:t>项目名称）</w:t>
      </w:r>
      <w:r>
        <w:rPr>
          <w:rFonts w:ascii="宋体" w:hAnsi="宋体" w:eastAsia="宋体" w:cs="宋体"/>
          <w:color w:val="auto"/>
          <w:spacing w:val="8"/>
          <w:sz w:val="20"/>
          <w:szCs w:val="20"/>
          <w:highlight w:val="none"/>
        </w:rPr>
        <w:t>采购活动，工程的施工单位全部为符合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政策要求的中小企业（或者：服务全部由符合政策</w:t>
      </w:r>
      <w:r>
        <w:rPr>
          <w:rFonts w:ascii="宋体" w:hAnsi="宋体" w:eastAsia="宋体" w:cs="宋体"/>
          <w:color w:val="auto"/>
          <w:spacing w:val="8"/>
          <w:sz w:val="20"/>
          <w:szCs w:val="20"/>
          <w:highlight w:val="none"/>
        </w:rPr>
        <w:t>要求的中小企业承接）。相关企业（含联合体中的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中小企业、签订分包意向协议的中小企业）的具体情况如下：</w:t>
      </w:r>
    </w:p>
    <w:p w14:paraId="3900FC99">
      <w:pPr>
        <w:spacing w:before="30" w:line="370" w:lineRule="auto"/>
        <w:ind w:left="2" w:right="35" w:firstLine="7"/>
        <w:jc w:val="both"/>
        <w:rPr>
          <w:rFonts w:ascii="宋体" w:hAnsi="宋体" w:eastAsia="宋体" w:cs="宋体"/>
          <w:color w:val="auto"/>
          <w:sz w:val="20"/>
          <w:szCs w:val="20"/>
          <w:highlight w:val="none"/>
        </w:rPr>
      </w:pPr>
      <w:r>
        <w:rPr>
          <w:rFonts w:ascii="Calibri" w:hAnsi="Calibri" w:eastAsia="Calibri" w:cs="Calibri"/>
          <w:color w:val="auto"/>
          <w:spacing w:val="8"/>
          <w:sz w:val="20"/>
          <w:szCs w:val="20"/>
          <w:highlight w:val="none"/>
        </w:rPr>
        <w:t>1.</w:t>
      </w:r>
      <w:r>
        <w:rPr>
          <w:rFonts w:ascii="宋体" w:hAnsi="宋体" w:eastAsia="宋体" w:cs="宋体"/>
          <w:color w:val="auto"/>
          <w:spacing w:val="8"/>
          <w:sz w:val="20"/>
          <w:szCs w:val="20"/>
          <w:highlight w:val="none"/>
          <w:u w:val="single" w:color="auto"/>
        </w:rPr>
        <w:t xml:space="preserve"> （标的名称</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33"/>
          <w:sz w:val="20"/>
          <w:szCs w:val="20"/>
          <w:highlight w:val="none"/>
        </w:rPr>
        <w:t xml:space="preserve"> </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属于</w:t>
      </w:r>
      <w:r>
        <w:rPr>
          <w:rFonts w:ascii="宋体" w:hAnsi="宋体" w:eastAsia="宋体" w:cs="宋体"/>
          <w:color w:val="auto"/>
          <w:spacing w:val="8"/>
          <w:sz w:val="20"/>
          <w:szCs w:val="20"/>
          <w:highlight w:val="none"/>
          <w:u w:val="single" w:color="auto"/>
        </w:rPr>
        <w:t>（磋商文件中明确的所属行业</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承建（承接）企业为</w:t>
      </w:r>
      <w:r>
        <w:rPr>
          <w:rFonts w:ascii="宋体" w:hAnsi="宋体" w:eastAsia="宋体" w:cs="宋体"/>
          <w:color w:val="auto"/>
          <w:spacing w:val="8"/>
          <w:sz w:val="20"/>
          <w:szCs w:val="20"/>
          <w:highlight w:val="none"/>
          <w:u w:val="single" w:color="auto"/>
        </w:rPr>
        <w:t>（企业名称</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从业</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人员</w:t>
      </w:r>
      <w:r>
        <w:rPr>
          <w:rFonts w:ascii="宋体" w:hAnsi="宋体" w:eastAsia="宋体" w:cs="宋体"/>
          <w:color w:val="auto"/>
          <w:spacing w:val="-96"/>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4"/>
          <w:sz w:val="20"/>
          <w:szCs w:val="20"/>
          <w:highlight w:val="none"/>
        </w:rPr>
        <w:t>人，营业收入为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4"/>
          <w:sz w:val="20"/>
          <w:szCs w:val="20"/>
          <w:highlight w:val="none"/>
        </w:rPr>
        <w:t>万元，资产总额为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4"/>
          <w:sz w:val="20"/>
          <w:szCs w:val="20"/>
          <w:highlight w:val="none"/>
        </w:rPr>
        <w:t>万元，属于（</w:t>
      </w:r>
      <w:r>
        <w:rPr>
          <w:rFonts w:ascii="宋体" w:hAnsi="宋体" w:eastAsia="宋体" w:cs="宋体"/>
          <w:color w:val="auto"/>
          <w:spacing w:val="4"/>
          <w:sz w:val="20"/>
          <w:szCs w:val="20"/>
          <w:highlight w:val="none"/>
          <w:u w:val="single" w:color="auto"/>
        </w:rPr>
        <w:t>中型企业、小型企业、微型企业</w:t>
      </w:r>
      <w:r>
        <w:rPr>
          <w:rFonts w:ascii="宋体" w:hAnsi="宋体" w:eastAsia="宋体" w:cs="宋体"/>
          <w:color w:val="auto"/>
          <w:spacing w:val="-51"/>
          <w:w w:val="95"/>
          <w:sz w:val="20"/>
          <w:szCs w:val="20"/>
          <w:highlight w:val="none"/>
        </w:rPr>
        <w:t>）；</w:t>
      </w:r>
      <w:r>
        <w:rPr>
          <w:rFonts w:ascii="宋体" w:hAnsi="宋体" w:eastAsia="宋体" w:cs="宋体"/>
          <w:color w:val="auto"/>
          <w:sz w:val="20"/>
          <w:szCs w:val="20"/>
          <w:highlight w:val="none"/>
        </w:rPr>
        <w:t xml:space="preserve"> </w:t>
      </w:r>
      <w:r>
        <w:rPr>
          <w:rFonts w:ascii="Calibri" w:hAnsi="Calibri" w:eastAsia="Calibri" w:cs="Calibri"/>
          <w:color w:val="auto"/>
          <w:spacing w:val="8"/>
          <w:sz w:val="20"/>
          <w:szCs w:val="20"/>
          <w:highlight w:val="none"/>
        </w:rPr>
        <w:t xml:space="preserve">2.  </w:t>
      </w:r>
      <w:r>
        <w:rPr>
          <w:rFonts w:ascii="宋体" w:hAnsi="宋体" w:eastAsia="宋体" w:cs="宋体"/>
          <w:color w:val="auto"/>
          <w:spacing w:val="8"/>
          <w:sz w:val="20"/>
          <w:szCs w:val="20"/>
          <w:highlight w:val="none"/>
          <w:u w:val="single" w:color="auto"/>
        </w:rPr>
        <w:t>（标的名称</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18"/>
          <w:sz w:val="20"/>
          <w:szCs w:val="20"/>
          <w:highlight w:val="none"/>
          <w:u w:val="single" w:color="auto"/>
        </w:rPr>
        <w:t xml:space="preserve"> </w:t>
      </w:r>
      <w:r>
        <w:rPr>
          <w:rFonts w:ascii="宋体" w:hAnsi="宋体" w:eastAsia="宋体" w:cs="宋体"/>
          <w:color w:val="auto"/>
          <w:spacing w:val="-75"/>
          <w:sz w:val="20"/>
          <w:szCs w:val="20"/>
          <w:highlight w:val="none"/>
        </w:rPr>
        <w:t xml:space="preserve"> </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属于</w:t>
      </w:r>
      <w:r>
        <w:rPr>
          <w:rFonts w:ascii="宋体" w:hAnsi="宋体" w:eastAsia="宋体" w:cs="宋体"/>
          <w:color w:val="auto"/>
          <w:spacing w:val="8"/>
          <w:sz w:val="20"/>
          <w:szCs w:val="20"/>
          <w:highlight w:val="none"/>
          <w:u w:val="single" w:color="auto"/>
        </w:rPr>
        <w:t>（磋商文件中明确的所属行业</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承建（承接）企业为</w:t>
      </w:r>
      <w:r>
        <w:rPr>
          <w:rFonts w:ascii="宋体" w:hAnsi="宋体" w:eastAsia="宋体" w:cs="宋体"/>
          <w:color w:val="auto"/>
          <w:spacing w:val="8"/>
          <w:sz w:val="20"/>
          <w:szCs w:val="20"/>
          <w:highlight w:val="none"/>
          <w:u w:val="single" w:color="auto"/>
        </w:rPr>
        <w:t>（企业名称</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从业</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人员</w:t>
      </w:r>
      <w:r>
        <w:rPr>
          <w:rFonts w:ascii="宋体" w:hAnsi="宋体" w:eastAsia="宋体" w:cs="宋体"/>
          <w:color w:val="auto"/>
          <w:spacing w:val="-95"/>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2"/>
          <w:sz w:val="20"/>
          <w:szCs w:val="20"/>
          <w:highlight w:val="none"/>
        </w:rPr>
        <w:t>人，营业收入为</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2"/>
          <w:sz w:val="20"/>
          <w:szCs w:val="20"/>
          <w:highlight w:val="none"/>
        </w:rPr>
        <w:t>万元，资产总额为</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2"/>
          <w:sz w:val="20"/>
          <w:szCs w:val="20"/>
          <w:highlight w:val="none"/>
        </w:rPr>
        <w:t>万元，属于</w:t>
      </w:r>
      <w:r>
        <w:rPr>
          <w:rFonts w:ascii="宋体" w:hAnsi="宋体" w:eastAsia="宋体" w:cs="宋体"/>
          <w:color w:val="auto"/>
          <w:spacing w:val="2"/>
          <w:sz w:val="20"/>
          <w:szCs w:val="20"/>
          <w:highlight w:val="none"/>
          <w:u w:val="single" w:color="auto"/>
        </w:rPr>
        <w:t>（中型企业</w:t>
      </w:r>
      <w:r>
        <w:rPr>
          <w:rFonts w:ascii="宋体" w:hAnsi="宋体" w:eastAsia="宋体" w:cs="宋体"/>
          <w:color w:val="auto"/>
          <w:spacing w:val="1"/>
          <w:sz w:val="20"/>
          <w:szCs w:val="20"/>
          <w:highlight w:val="none"/>
          <w:u w:val="single" w:color="auto"/>
        </w:rPr>
        <w:t>、小型企业、微型企业</w:t>
      </w:r>
      <w:r>
        <w:rPr>
          <w:rFonts w:ascii="宋体" w:hAnsi="宋体" w:eastAsia="宋体" w:cs="宋体"/>
          <w:color w:val="auto"/>
          <w:spacing w:val="-48"/>
          <w:w w:val="89"/>
          <w:sz w:val="20"/>
          <w:szCs w:val="20"/>
          <w:highlight w:val="none"/>
          <w:u w:val="single" w:color="auto"/>
        </w:rPr>
        <w:t>）</w:t>
      </w:r>
      <w:r>
        <w:rPr>
          <w:rFonts w:ascii="宋体" w:hAnsi="宋体" w:eastAsia="宋体" w:cs="宋体"/>
          <w:color w:val="auto"/>
          <w:spacing w:val="-48"/>
          <w:w w:val="89"/>
          <w:sz w:val="20"/>
          <w:szCs w:val="20"/>
          <w:highlight w:val="none"/>
        </w:rPr>
        <w:t>；</w:t>
      </w:r>
    </w:p>
    <w:p w14:paraId="1B3AB3BA">
      <w:pPr>
        <w:spacing w:before="175" w:line="77" w:lineRule="exact"/>
        <w:ind w:left="8"/>
        <w:rPr>
          <w:rFonts w:ascii="Calibri" w:hAnsi="Calibri" w:eastAsia="Calibri" w:cs="Calibri"/>
          <w:color w:val="auto"/>
          <w:sz w:val="20"/>
          <w:szCs w:val="20"/>
          <w:highlight w:val="none"/>
        </w:rPr>
      </w:pPr>
      <w:r>
        <w:rPr>
          <w:rFonts w:ascii="Calibri" w:hAnsi="Calibri" w:eastAsia="Calibri" w:cs="Calibri"/>
          <w:color w:val="auto"/>
          <w:spacing w:val="2"/>
          <w:position w:val="1"/>
          <w:sz w:val="20"/>
          <w:szCs w:val="20"/>
          <w:highlight w:val="none"/>
        </w:rPr>
        <w:t>……</w:t>
      </w:r>
    </w:p>
    <w:p w14:paraId="6DCB6D43">
      <w:pPr>
        <w:spacing w:before="162" w:line="362" w:lineRule="auto"/>
        <w:ind w:left="8" w:right="89" w:firstLine="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以上企业，不属于大企业的分支机构，不存在控股股东为大企业的情形，也</w:t>
      </w:r>
      <w:r>
        <w:rPr>
          <w:rFonts w:ascii="宋体" w:hAnsi="宋体" w:eastAsia="宋体" w:cs="宋体"/>
          <w:color w:val="auto"/>
          <w:spacing w:val="7"/>
          <w:sz w:val="20"/>
          <w:szCs w:val="20"/>
          <w:highlight w:val="none"/>
        </w:rPr>
        <w:t>不存在与大企业的负</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责人为同一人的情形。本企业对上述声明内容的真实性负责。如有虚假，将依法承担相应责任。</w:t>
      </w:r>
    </w:p>
    <w:p w14:paraId="74A8E5AE">
      <w:pPr>
        <w:pStyle w:val="8"/>
        <w:spacing w:line="249" w:lineRule="auto"/>
        <w:rPr>
          <w:color w:val="auto"/>
          <w:highlight w:val="none"/>
        </w:rPr>
      </w:pPr>
    </w:p>
    <w:p w14:paraId="1A7B6E1C">
      <w:pPr>
        <w:pStyle w:val="8"/>
        <w:spacing w:line="249" w:lineRule="auto"/>
        <w:rPr>
          <w:color w:val="auto"/>
          <w:highlight w:val="none"/>
        </w:rPr>
      </w:pPr>
    </w:p>
    <w:p w14:paraId="6ACF41E6">
      <w:pPr>
        <w:pStyle w:val="8"/>
        <w:spacing w:line="249" w:lineRule="auto"/>
        <w:rPr>
          <w:color w:val="auto"/>
          <w:highlight w:val="none"/>
        </w:rPr>
      </w:pPr>
    </w:p>
    <w:p w14:paraId="59914542">
      <w:pPr>
        <w:pStyle w:val="8"/>
        <w:spacing w:line="249" w:lineRule="auto"/>
        <w:rPr>
          <w:color w:val="auto"/>
          <w:highlight w:val="none"/>
        </w:rPr>
      </w:pPr>
    </w:p>
    <w:p w14:paraId="02CC162D">
      <w:pPr>
        <w:pStyle w:val="8"/>
        <w:spacing w:line="250" w:lineRule="auto"/>
        <w:rPr>
          <w:color w:val="auto"/>
          <w:highlight w:val="none"/>
        </w:rPr>
      </w:pPr>
    </w:p>
    <w:p w14:paraId="5A16F0D2">
      <w:pPr>
        <w:pStyle w:val="8"/>
        <w:spacing w:line="250" w:lineRule="auto"/>
        <w:rPr>
          <w:color w:val="auto"/>
          <w:highlight w:val="none"/>
        </w:rPr>
      </w:pPr>
    </w:p>
    <w:p w14:paraId="24E0EEE9">
      <w:pPr>
        <w:spacing w:before="65" w:line="227" w:lineRule="auto"/>
        <w:ind w:left="729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企业名称（盖章</w:t>
      </w:r>
      <w:r>
        <w:rPr>
          <w:rFonts w:ascii="宋体" w:hAnsi="宋体" w:eastAsia="宋体" w:cs="宋体"/>
          <w:color w:val="auto"/>
          <w:sz w:val="20"/>
          <w:szCs w:val="20"/>
          <w:highlight w:val="none"/>
        </w:rPr>
        <w:t>）：</w:t>
      </w:r>
    </w:p>
    <w:p w14:paraId="22117327">
      <w:pPr>
        <w:spacing w:before="164" w:line="228" w:lineRule="auto"/>
        <w:ind w:left="8590"/>
        <w:outlineLvl w:val="0"/>
        <w:rPr>
          <w:rFonts w:ascii="宋体" w:hAnsi="宋体" w:eastAsia="宋体" w:cs="宋体"/>
          <w:color w:val="auto"/>
          <w:sz w:val="20"/>
          <w:szCs w:val="20"/>
          <w:highlight w:val="none"/>
        </w:rPr>
      </w:pPr>
      <w:bookmarkStart w:id="388" w:name="_Toc27767"/>
      <w:r>
        <w:rPr>
          <w:rFonts w:ascii="宋体" w:hAnsi="宋体" w:eastAsia="宋体" w:cs="宋体"/>
          <w:color w:val="auto"/>
          <w:spacing w:val="-9"/>
          <w:sz w:val="20"/>
          <w:szCs w:val="20"/>
          <w:highlight w:val="none"/>
        </w:rPr>
        <w:t>日期：</w:t>
      </w:r>
      <w:bookmarkEnd w:id="388"/>
    </w:p>
    <w:p w14:paraId="2F611B4F">
      <w:pPr>
        <w:pStyle w:val="8"/>
        <w:spacing w:line="262" w:lineRule="auto"/>
        <w:rPr>
          <w:color w:val="auto"/>
          <w:highlight w:val="none"/>
        </w:rPr>
      </w:pPr>
    </w:p>
    <w:p w14:paraId="05A51A96">
      <w:pPr>
        <w:pStyle w:val="8"/>
        <w:spacing w:line="262" w:lineRule="auto"/>
        <w:rPr>
          <w:color w:val="auto"/>
          <w:highlight w:val="none"/>
        </w:rPr>
      </w:pPr>
    </w:p>
    <w:p w14:paraId="57021675">
      <w:pPr>
        <w:pStyle w:val="8"/>
        <w:spacing w:line="262" w:lineRule="auto"/>
        <w:rPr>
          <w:color w:val="auto"/>
          <w:highlight w:val="none"/>
        </w:rPr>
      </w:pPr>
    </w:p>
    <w:p w14:paraId="7FBC61C8">
      <w:pPr>
        <w:pStyle w:val="8"/>
        <w:spacing w:line="263" w:lineRule="auto"/>
        <w:rPr>
          <w:color w:val="auto"/>
          <w:highlight w:val="none"/>
        </w:rPr>
      </w:pPr>
    </w:p>
    <w:p w14:paraId="13C1569C">
      <w:pPr>
        <w:pStyle w:val="8"/>
        <w:spacing w:line="263" w:lineRule="auto"/>
        <w:rPr>
          <w:color w:val="auto"/>
          <w:highlight w:val="none"/>
        </w:rPr>
      </w:pPr>
    </w:p>
    <w:p w14:paraId="7CCB82BB">
      <w:pPr>
        <w:spacing w:before="59" w:line="219" w:lineRule="auto"/>
        <w:rPr>
          <w:rFonts w:ascii="宋体" w:hAnsi="宋体" w:eastAsia="宋体" w:cs="宋体"/>
          <w:color w:val="auto"/>
          <w:sz w:val="18"/>
          <w:szCs w:val="18"/>
          <w:highlight w:val="none"/>
        </w:rPr>
      </w:pPr>
      <w:r>
        <w:rPr>
          <w:rFonts w:ascii="宋体" w:hAnsi="宋体" w:eastAsia="宋体" w:cs="宋体"/>
          <w:color w:val="auto"/>
          <w:sz w:val="18"/>
          <w:szCs w:val="18"/>
          <w:highlight w:val="none"/>
        </w:rPr>
        <w:t>注：从业人员、营业收入、资产总额填报上一年度数据，无上一年度数据的新</w:t>
      </w:r>
      <w:r>
        <w:rPr>
          <w:rFonts w:ascii="宋体" w:hAnsi="宋体" w:eastAsia="宋体" w:cs="宋体"/>
          <w:color w:val="auto"/>
          <w:spacing w:val="-1"/>
          <w:sz w:val="18"/>
          <w:szCs w:val="18"/>
          <w:highlight w:val="none"/>
        </w:rPr>
        <w:t>成立企业可不填报。</w:t>
      </w:r>
    </w:p>
    <w:p w14:paraId="1E4EB711">
      <w:pPr>
        <w:spacing w:line="219" w:lineRule="auto"/>
        <w:rPr>
          <w:rFonts w:ascii="宋体" w:hAnsi="宋体" w:eastAsia="宋体" w:cs="宋体"/>
          <w:color w:val="auto"/>
          <w:sz w:val="18"/>
          <w:szCs w:val="18"/>
          <w:highlight w:val="none"/>
        </w:rPr>
        <w:sectPr>
          <w:footerReference r:id="rId35" w:type="default"/>
          <w:pgSz w:w="11906" w:h="16839"/>
          <w:pgMar w:top="1431" w:right="1275" w:bottom="1156" w:left="1367" w:header="0" w:footer="994" w:gutter="0"/>
          <w:pgNumType w:fmt="decimal"/>
          <w:cols w:space="720" w:num="1"/>
        </w:sectPr>
      </w:pPr>
    </w:p>
    <w:p w14:paraId="65982334">
      <w:pPr>
        <w:spacing w:before="41" w:line="227" w:lineRule="auto"/>
        <w:ind w:left="290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监狱企业证明材料（如是，请提供）</w:t>
      </w:r>
    </w:p>
    <w:p w14:paraId="40E49DD3">
      <w:pPr>
        <w:pStyle w:val="8"/>
        <w:spacing w:line="246" w:lineRule="auto"/>
        <w:rPr>
          <w:color w:val="auto"/>
          <w:highlight w:val="none"/>
        </w:rPr>
      </w:pPr>
    </w:p>
    <w:p w14:paraId="3954F925">
      <w:pPr>
        <w:pStyle w:val="8"/>
        <w:spacing w:line="246" w:lineRule="auto"/>
        <w:rPr>
          <w:color w:val="auto"/>
          <w:highlight w:val="none"/>
        </w:rPr>
      </w:pPr>
    </w:p>
    <w:p w14:paraId="5F400005">
      <w:pPr>
        <w:pStyle w:val="8"/>
        <w:spacing w:line="246" w:lineRule="auto"/>
        <w:rPr>
          <w:color w:val="auto"/>
          <w:highlight w:val="none"/>
        </w:rPr>
      </w:pPr>
    </w:p>
    <w:p w14:paraId="6E9352FD">
      <w:pPr>
        <w:pStyle w:val="8"/>
        <w:spacing w:line="247" w:lineRule="auto"/>
        <w:rPr>
          <w:color w:val="auto"/>
          <w:highlight w:val="none"/>
        </w:rPr>
      </w:pPr>
    </w:p>
    <w:p w14:paraId="4D967F23">
      <w:pPr>
        <w:pStyle w:val="8"/>
        <w:spacing w:line="247" w:lineRule="auto"/>
        <w:rPr>
          <w:color w:val="auto"/>
          <w:highlight w:val="none"/>
        </w:rPr>
      </w:pPr>
    </w:p>
    <w:p w14:paraId="3267A6D9">
      <w:pPr>
        <w:pStyle w:val="8"/>
        <w:spacing w:line="247" w:lineRule="auto"/>
        <w:rPr>
          <w:color w:val="auto"/>
          <w:highlight w:val="none"/>
        </w:rPr>
      </w:pPr>
    </w:p>
    <w:p w14:paraId="111D7417">
      <w:pPr>
        <w:pStyle w:val="8"/>
        <w:spacing w:line="247" w:lineRule="auto"/>
        <w:rPr>
          <w:color w:val="auto"/>
          <w:highlight w:val="none"/>
        </w:rPr>
      </w:pPr>
    </w:p>
    <w:p w14:paraId="5F6EA63F">
      <w:pPr>
        <w:pStyle w:val="8"/>
        <w:spacing w:line="247" w:lineRule="auto"/>
        <w:rPr>
          <w:color w:val="auto"/>
          <w:highlight w:val="none"/>
        </w:rPr>
      </w:pPr>
    </w:p>
    <w:p w14:paraId="19A77A13">
      <w:pPr>
        <w:pStyle w:val="8"/>
        <w:spacing w:line="247" w:lineRule="auto"/>
        <w:rPr>
          <w:color w:val="auto"/>
          <w:highlight w:val="none"/>
        </w:rPr>
      </w:pPr>
    </w:p>
    <w:p w14:paraId="484351B7">
      <w:pPr>
        <w:pStyle w:val="8"/>
        <w:spacing w:line="247" w:lineRule="auto"/>
        <w:rPr>
          <w:color w:val="auto"/>
          <w:highlight w:val="none"/>
        </w:rPr>
      </w:pPr>
    </w:p>
    <w:p w14:paraId="1CD9A303">
      <w:pPr>
        <w:pStyle w:val="8"/>
        <w:spacing w:line="247" w:lineRule="auto"/>
        <w:rPr>
          <w:color w:val="auto"/>
          <w:highlight w:val="none"/>
        </w:rPr>
      </w:pPr>
    </w:p>
    <w:p w14:paraId="016B6C97">
      <w:pPr>
        <w:pStyle w:val="8"/>
        <w:spacing w:line="247" w:lineRule="auto"/>
        <w:rPr>
          <w:color w:val="auto"/>
          <w:highlight w:val="none"/>
        </w:rPr>
      </w:pPr>
    </w:p>
    <w:p w14:paraId="58C64974">
      <w:pPr>
        <w:spacing w:before="65" w:line="227" w:lineRule="auto"/>
        <w:ind w:left="57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企业名称（公章</w:t>
      </w:r>
      <w:r>
        <w:rPr>
          <w:rFonts w:ascii="宋体" w:hAnsi="宋体" w:eastAsia="宋体" w:cs="宋体"/>
          <w:color w:val="auto"/>
          <w:sz w:val="20"/>
          <w:szCs w:val="20"/>
          <w:highlight w:val="none"/>
        </w:rPr>
        <w:t>）：</w:t>
      </w:r>
    </w:p>
    <w:p w14:paraId="0BAF97BE">
      <w:pPr>
        <w:pStyle w:val="8"/>
        <w:rPr>
          <w:color w:val="auto"/>
          <w:highlight w:val="none"/>
        </w:rPr>
      </w:pPr>
    </w:p>
    <w:p w14:paraId="2FE4A68B">
      <w:pPr>
        <w:pStyle w:val="8"/>
        <w:rPr>
          <w:color w:val="auto"/>
          <w:highlight w:val="none"/>
        </w:rPr>
      </w:pPr>
    </w:p>
    <w:p w14:paraId="572C8730">
      <w:pPr>
        <w:spacing w:before="66" w:line="228" w:lineRule="auto"/>
        <w:ind w:left="749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日期：</w:t>
      </w:r>
    </w:p>
    <w:p w14:paraId="7FB70294">
      <w:pPr>
        <w:pStyle w:val="8"/>
        <w:spacing w:line="243" w:lineRule="auto"/>
        <w:rPr>
          <w:color w:val="auto"/>
          <w:highlight w:val="none"/>
        </w:rPr>
      </w:pPr>
    </w:p>
    <w:p w14:paraId="0DEB9555">
      <w:pPr>
        <w:pStyle w:val="8"/>
        <w:spacing w:line="243" w:lineRule="auto"/>
        <w:rPr>
          <w:color w:val="auto"/>
          <w:highlight w:val="none"/>
        </w:rPr>
      </w:pPr>
    </w:p>
    <w:p w14:paraId="3516CAE2">
      <w:pPr>
        <w:pStyle w:val="8"/>
        <w:spacing w:line="244" w:lineRule="auto"/>
        <w:rPr>
          <w:color w:val="auto"/>
          <w:highlight w:val="none"/>
        </w:rPr>
      </w:pPr>
    </w:p>
    <w:p w14:paraId="00DF7B7B">
      <w:pPr>
        <w:spacing w:before="65" w:line="359" w:lineRule="auto"/>
        <w:ind w:firstLine="423"/>
        <w:rPr>
          <w:rFonts w:ascii="宋体" w:hAnsi="宋体" w:eastAsia="宋体" w:cs="宋体"/>
          <w:color w:val="auto"/>
          <w:sz w:val="24"/>
          <w:szCs w:val="24"/>
          <w:highlight w:val="none"/>
        </w:rPr>
      </w:pPr>
      <w:r>
        <w:rPr>
          <w:rFonts w:ascii="宋体" w:hAnsi="宋体" w:eastAsia="宋体" w:cs="宋体"/>
          <w:color w:val="auto"/>
          <w:spacing w:val="8"/>
          <w:sz w:val="20"/>
          <w:szCs w:val="20"/>
          <w:highlight w:val="none"/>
        </w:rPr>
        <w:t>备注：若有，后附行政主管部门出具的证明材料原件扫描件，并在开标前将证明材料原件提交给</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采购代理机构收存，评标时提交评标委员会进行审查，否则不给予价格扣除</w:t>
      </w:r>
      <w:r>
        <w:rPr>
          <w:rFonts w:ascii="宋体" w:hAnsi="宋体" w:eastAsia="宋体" w:cs="宋体"/>
          <w:color w:val="auto"/>
          <w:spacing w:val="9"/>
          <w:sz w:val="24"/>
          <w:szCs w:val="24"/>
          <w:highlight w:val="none"/>
        </w:rPr>
        <w:t>。</w:t>
      </w:r>
    </w:p>
    <w:p w14:paraId="6AF55123">
      <w:pPr>
        <w:spacing w:line="359" w:lineRule="auto"/>
        <w:rPr>
          <w:rFonts w:ascii="宋体" w:hAnsi="宋体" w:eastAsia="宋体" w:cs="宋体"/>
          <w:color w:val="auto"/>
          <w:sz w:val="24"/>
          <w:szCs w:val="24"/>
          <w:highlight w:val="none"/>
        </w:rPr>
        <w:sectPr>
          <w:footerReference r:id="rId36" w:type="default"/>
          <w:pgSz w:w="11906" w:h="16839"/>
          <w:pgMar w:top="1351" w:right="1362" w:bottom="1156" w:left="1368" w:header="0" w:footer="994" w:gutter="0"/>
          <w:pgNumType w:fmt="decimal"/>
          <w:cols w:space="720" w:num="1"/>
        </w:sectPr>
      </w:pPr>
    </w:p>
    <w:p w14:paraId="113E924B">
      <w:pPr>
        <w:spacing w:before="41" w:line="227" w:lineRule="auto"/>
        <w:ind w:left="2589"/>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残疾人福利性单位声明函（如是，请提供）</w:t>
      </w:r>
    </w:p>
    <w:p w14:paraId="0476ED0C">
      <w:pPr>
        <w:pStyle w:val="8"/>
        <w:spacing w:line="311" w:lineRule="auto"/>
        <w:rPr>
          <w:color w:val="auto"/>
          <w:highlight w:val="none"/>
        </w:rPr>
      </w:pPr>
    </w:p>
    <w:p w14:paraId="36514861">
      <w:pPr>
        <w:pStyle w:val="8"/>
        <w:spacing w:line="312" w:lineRule="auto"/>
        <w:rPr>
          <w:color w:val="auto"/>
          <w:highlight w:val="none"/>
        </w:rPr>
      </w:pPr>
    </w:p>
    <w:p w14:paraId="3A04D23C">
      <w:pPr>
        <w:pStyle w:val="8"/>
        <w:spacing w:line="312" w:lineRule="auto"/>
        <w:rPr>
          <w:color w:val="auto"/>
          <w:highlight w:val="none"/>
        </w:rPr>
      </w:pPr>
    </w:p>
    <w:p w14:paraId="06A865B1">
      <w:pPr>
        <w:spacing w:before="65" w:line="523" w:lineRule="auto"/>
        <w:ind w:firstLine="444"/>
        <w:jc w:val="both"/>
        <w:rPr>
          <w:rFonts w:ascii="宋体" w:hAnsi="宋体" w:eastAsia="宋体" w:cs="宋体"/>
          <w:color w:val="auto"/>
          <w:sz w:val="20"/>
          <w:szCs w:val="20"/>
          <w:highlight w:val="none"/>
        </w:rPr>
      </w:pPr>
      <w:r>
        <w:rPr>
          <w:rFonts w:ascii="宋体" w:hAnsi="宋体" w:eastAsia="宋体" w:cs="宋体"/>
          <w:color w:val="auto"/>
          <w:spacing w:val="22"/>
          <w:sz w:val="20"/>
          <w:szCs w:val="20"/>
          <w:highlight w:val="none"/>
        </w:rPr>
        <w:t>本单位郑重声明</w:t>
      </w:r>
      <w:r>
        <w:rPr>
          <w:rFonts w:ascii="宋体" w:hAnsi="宋体" w:eastAsia="宋体" w:cs="宋体"/>
          <w:color w:val="auto"/>
          <w:spacing w:val="-42"/>
          <w:sz w:val="20"/>
          <w:szCs w:val="20"/>
          <w:highlight w:val="none"/>
        </w:rPr>
        <w:t xml:space="preserve"> </w:t>
      </w:r>
      <w:r>
        <w:rPr>
          <w:rFonts w:ascii="宋体" w:hAnsi="宋体" w:eastAsia="宋体" w:cs="宋体"/>
          <w:color w:val="auto"/>
          <w:spacing w:val="22"/>
          <w:sz w:val="20"/>
          <w:szCs w:val="20"/>
          <w:highlight w:val="none"/>
        </w:rPr>
        <w:t>，根据《财政部民政部中国残疾人联合会关于促进残疾人就业政府采购政</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策的通知》</w:t>
      </w:r>
      <w:r>
        <w:rPr>
          <w:rFonts w:ascii="宋体" w:hAnsi="宋体" w:eastAsia="宋体" w:cs="宋体"/>
          <w:color w:val="auto"/>
          <w:spacing w:val="-55"/>
          <w:sz w:val="20"/>
          <w:szCs w:val="20"/>
          <w:highlight w:val="none"/>
        </w:rPr>
        <w:t xml:space="preserve"> </w:t>
      </w:r>
      <w:r>
        <w:rPr>
          <w:rFonts w:ascii="宋体" w:hAnsi="宋体" w:eastAsia="宋体" w:cs="宋体"/>
          <w:color w:val="auto"/>
          <w:spacing w:val="16"/>
          <w:sz w:val="20"/>
          <w:szCs w:val="20"/>
          <w:highlight w:val="none"/>
        </w:rPr>
        <w:t>（财库〔</w:t>
      </w:r>
      <w:r>
        <w:rPr>
          <w:rFonts w:ascii="Calibri" w:hAnsi="Calibri" w:eastAsia="Calibri" w:cs="Calibri"/>
          <w:color w:val="auto"/>
          <w:spacing w:val="16"/>
          <w:sz w:val="20"/>
          <w:szCs w:val="20"/>
          <w:highlight w:val="none"/>
        </w:rPr>
        <w:t>2017</w:t>
      </w:r>
      <w:r>
        <w:rPr>
          <w:rFonts w:ascii="宋体" w:hAnsi="宋体" w:eastAsia="宋体" w:cs="宋体"/>
          <w:color w:val="auto"/>
          <w:spacing w:val="16"/>
          <w:sz w:val="20"/>
          <w:szCs w:val="20"/>
          <w:highlight w:val="none"/>
        </w:rPr>
        <w:t>〕</w:t>
      </w:r>
      <w:r>
        <w:rPr>
          <w:rFonts w:ascii="宋体" w:hAnsi="宋体" w:eastAsia="宋体" w:cs="宋体"/>
          <w:color w:val="auto"/>
          <w:spacing w:val="44"/>
          <w:sz w:val="20"/>
          <w:szCs w:val="20"/>
          <w:highlight w:val="none"/>
        </w:rPr>
        <w:t xml:space="preserve"> </w:t>
      </w:r>
      <w:r>
        <w:rPr>
          <w:rFonts w:ascii="Calibri" w:hAnsi="Calibri" w:eastAsia="Calibri" w:cs="Calibri"/>
          <w:color w:val="auto"/>
          <w:spacing w:val="16"/>
          <w:sz w:val="20"/>
          <w:szCs w:val="20"/>
          <w:highlight w:val="none"/>
        </w:rPr>
        <w:t>141</w:t>
      </w:r>
      <w:r>
        <w:rPr>
          <w:rFonts w:ascii="Calibri" w:hAnsi="Calibri" w:eastAsia="Calibri" w:cs="Calibri"/>
          <w:color w:val="auto"/>
          <w:spacing w:val="23"/>
          <w:sz w:val="20"/>
          <w:szCs w:val="20"/>
          <w:highlight w:val="none"/>
        </w:rPr>
        <w:t xml:space="preserve"> </w:t>
      </w:r>
      <w:r>
        <w:rPr>
          <w:rFonts w:ascii="宋体" w:hAnsi="宋体" w:eastAsia="宋体" w:cs="宋体"/>
          <w:color w:val="auto"/>
          <w:spacing w:val="16"/>
          <w:sz w:val="20"/>
          <w:szCs w:val="20"/>
          <w:highlight w:val="none"/>
        </w:rPr>
        <w:t>号）</w:t>
      </w:r>
      <w:r>
        <w:rPr>
          <w:rFonts w:ascii="宋体" w:hAnsi="宋体" w:eastAsia="宋体" w:cs="宋体"/>
          <w:color w:val="auto"/>
          <w:spacing w:val="-35"/>
          <w:sz w:val="20"/>
          <w:szCs w:val="20"/>
          <w:highlight w:val="none"/>
        </w:rPr>
        <w:t xml:space="preserve"> </w:t>
      </w:r>
      <w:r>
        <w:rPr>
          <w:rFonts w:ascii="宋体" w:hAnsi="宋体" w:eastAsia="宋体" w:cs="宋体"/>
          <w:color w:val="auto"/>
          <w:spacing w:val="16"/>
          <w:sz w:val="20"/>
          <w:szCs w:val="20"/>
          <w:highlight w:val="none"/>
        </w:rPr>
        <w:t>的规定，本单</w:t>
      </w:r>
      <w:r>
        <w:rPr>
          <w:rFonts w:ascii="宋体" w:hAnsi="宋体" w:eastAsia="宋体" w:cs="宋体"/>
          <w:color w:val="auto"/>
          <w:spacing w:val="15"/>
          <w:sz w:val="20"/>
          <w:szCs w:val="20"/>
          <w:highlight w:val="none"/>
        </w:rPr>
        <w:t>位为符合条件的残疾人福利性单位</w:t>
      </w:r>
      <w:r>
        <w:rPr>
          <w:rFonts w:ascii="宋体" w:hAnsi="宋体" w:eastAsia="宋体" w:cs="宋体"/>
          <w:color w:val="auto"/>
          <w:spacing w:val="-58"/>
          <w:sz w:val="20"/>
          <w:szCs w:val="20"/>
          <w:highlight w:val="none"/>
        </w:rPr>
        <w:t xml:space="preserve"> </w:t>
      </w:r>
      <w:r>
        <w:rPr>
          <w:rFonts w:ascii="宋体" w:hAnsi="宋体" w:eastAsia="宋体" w:cs="宋体"/>
          <w:color w:val="auto"/>
          <w:spacing w:val="15"/>
          <w:sz w:val="20"/>
          <w:szCs w:val="20"/>
          <w:highlight w:val="none"/>
        </w:rPr>
        <w:t>，且本单</w:t>
      </w:r>
      <w:r>
        <w:rPr>
          <w:rFonts w:ascii="宋体" w:hAnsi="宋体" w:eastAsia="宋体" w:cs="宋体"/>
          <w:color w:val="auto"/>
          <w:sz w:val="20"/>
          <w:szCs w:val="20"/>
          <w:highlight w:val="none"/>
        </w:rPr>
        <w:t xml:space="preserve"> </w:t>
      </w:r>
      <w:r>
        <w:rPr>
          <w:rFonts w:ascii="宋体" w:hAnsi="宋体" w:eastAsia="宋体" w:cs="宋体"/>
          <w:color w:val="auto"/>
          <w:spacing w:val="20"/>
          <w:sz w:val="20"/>
          <w:szCs w:val="20"/>
          <w:highlight w:val="none"/>
        </w:rPr>
        <w:t>位参加单位的项目采购活动提供本单位制造的货物（由本单位承担工程</w:t>
      </w:r>
      <w:r>
        <w:rPr>
          <w:rFonts w:ascii="Calibri" w:hAnsi="Calibri" w:eastAsia="Calibri" w:cs="Calibri"/>
          <w:color w:val="auto"/>
          <w:spacing w:val="20"/>
          <w:sz w:val="20"/>
          <w:szCs w:val="20"/>
          <w:highlight w:val="none"/>
        </w:rPr>
        <w:t>/</w:t>
      </w:r>
      <w:r>
        <w:rPr>
          <w:rFonts w:ascii="宋体" w:hAnsi="宋体" w:eastAsia="宋体" w:cs="宋体"/>
          <w:color w:val="auto"/>
          <w:spacing w:val="20"/>
          <w:sz w:val="20"/>
          <w:szCs w:val="20"/>
          <w:highlight w:val="none"/>
        </w:rPr>
        <w:t>提供服务</w:t>
      </w:r>
      <w:r>
        <w:rPr>
          <w:rFonts w:ascii="宋体" w:hAnsi="宋体" w:eastAsia="宋体" w:cs="宋体"/>
          <w:color w:val="auto"/>
          <w:spacing w:val="10"/>
          <w:sz w:val="20"/>
          <w:szCs w:val="20"/>
          <w:highlight w:val="none"/>
        </w:rPr>
        <w:t>）</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w:t>
      </w:r>
      <w:r>
        <w:rPr>
          <w:rFonts w:ascii="宋体" w:hAnsi="宋体" w:eastAsia="宋体" w:cs="宋体"/>
          <w:color w:val="auto"/>
          <w:spacing w:val="20"/>
          <w:sz w:val="20"/>
          <w:szCs w:val="20"/>
          <w:highlight w:val="none"/>
        </w:rPr>
        <w:t>或者提供</w:t>
      </w:r>
      <w:r>
        <w:rPr>
          <w:rFonts w:ascii="宋体" w:hAnsi="宋体" w:eastAsia="宋体" w:cs="宋体"/>
          <w:color w:val="auto"/>
          <w:sz w:val="20"/>
          <w:szCs w:val="20"/>
          <w:highlight w:val="none"/>
        </w:rPr>
        <w:t xml:space="preserve"> </w:t>
      </w:r>
      <w:r>
        <w:rPr>
          <w:rFonts w:ascii="宋体" w:hAnsi="宋体" w:eastAsia="宋体" w:cs="宋体"/>
          <w:color w:val="auto"/>
          <w:spacing w:val="21"/>
          <w:sz w:val="20"/>
          <w:szCs w:val="20"/>
          <w:highlight w:val="none"/>
        </w:rPr>
        <w:t>其他残疾人福利性单位制造的货物（不包括使用非残疾人福利性单位注册商标的货物）。</w:t>
      </w:r>
    </w:p>
    <w:p w14:paraId="4028A7D3">
      <w:pPr>
        <w:spacing w:before="85" w:line="227" w:lineRule="auto"/>
        <w:ind w:left="444"/>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本单位对上述声明的真实性负责</w:t>
      </w:r>
      <w:r>
        <w:rPr>
          <w:rFonts w:ascii="宋体" w:hAnsi="宋体" w:eastAsia="宋体" w:cs="宋体"/>
          <w:color w:val="auto"/>
          <w:spacing w:val="-56"/>
          <w:sz w:val="20"/>
          <w:szCs w:val="20"/>
          <w:highlight w:val="none"/>
        </w:rPr>
        <w:t xml:space="preserve"> </w:t>
      </w:r>
      <w:r>
        <w:rPr>
          <w:rFonts w:ascii="宋体" w:hAnsi="宋体" w:eastAsia="宋体" w:cs="宋体"/>
          <w:color w:val="auto"/>
          <w:spacing w:val="19"/>
          <w:sz w:val="20"/>
          <w:szCs w:val="20"/>
          <w:highlight w:val="none"/>
        </w:rPr>
        <w:t>。如有虚假，将依法承担相应责任。</w:t>
      </w:r>
    </w:p>
    <w:p w14:paraId="480C6F87">
      <w:pPr>
        <w:pStyle w:val="8"/>
        <w:rPr>
          <w:color w:val="auto"/>
          <w:highlight w:val="none"/>
        </w:rPr>
      </w:pPr>
    </w:p>
    <w:p w14:paraId="0F97B87B">
      <w:pPr>
        <w:pStyle w:val="8"/>
        <w:rPr>
          <w:color w:val="auto"/>
          <w:highlight w:val="none"/>
        </w:rPr>
      </w:pPr>
    </w:p>
    <w:p w14:paraId="78E52418">
      <w:pPr>
        <w:pStyle w:val="8"/>
        <w:spacing w:line="241" w:lineRule="auto"/>
        <w:rPr>
          <w:color w:val="auto"/>
          <w:highlight w:val="none"/>
        </w:rPr>
      </w:pPr>
    </w:p>
    <w:p w14:paraId="3CB521DD">
      <w:pPr>
        <w:pStyle w:val="8"/>
        <w:spacing w:line="241" w:lineRule="auto"/>
        <w:rPr>
          <w:color w:val="auto"/>
          <w:highlight w:val="none"/>
        </w:rPr>
      </w:pPr>
    </w:p>
    <w:p w14:paraId="065DFA74">
      <w:pPr>
        <w:pStyle w:val="8"/>
        <w:spacing w:line="241" w:lineRule="auto"/>
        <w:rPr>
          <w:color w:val="auto"/>
          <w:highlight w:val="none"/>
        </w:rPr>
      </w:pPr>
    </w:p>
    <w:p w14:paraId="500BE28F">
      <w:pPr>
        <w:pStyle w:val="8"/>
        <w:spacing w:line="241" w:lineRule="auto"/>
        <w:rPr>
          <w:color w:val="auto"/>
          <w:highlight w:val="none"/>
        </w:rPr>
      </w:pPr>
    </w:p>
    <w:p w14:paraId="38AA3F2B">
      <w:pPr>
        <w:spacing w:before="65" w:line="227" w:lineRule="auto"/>
        <w:ind w:left="31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企业名称（公章</w:t>
      </w:r>
      <w:r>
        <w:rPr>
          <w:rFonts w:ascii="宋体" w:hAnsi="宋体" w:eastAsia="宋体" w:cs="宋体"/>
          <w:color w:val="auto"/>
          <w:sz w:val="20"/>
          <w:szCs w:val="20"/>
          <w:highlight w:val="none"/>
        </w:rPr>
        <w:t>）：</w:t>
      </w:r>
    </w:p>
    <w:p w14:paraId="584AFC85">
      <w:pPr>
        <w:pStyle w:val="8"/>
        <w:spacing w:line="275" w:lineRule="auto"/>
        <w:rPr>
          <w:color w:val="auto"/>
          <w:highlight w:val="none"/>
        </w:rPr>
      </w:pPr>
    </w:p>
    <w:p w14:paraId="23C4881C">
      <w:pPr>
        <w:spacing w:before="66" w:line="228" w:lineRule="auto"/>
        <w:ind w:left="378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日期：</w:t>
      </w:r>
    </w:p>
    <w:p w14:paraId="3DF16FBE">
      <w:pPr>
        <w:spacing w:line="228" w:lineRule="auto"/>
        <w:rPr>
          <w:rFonts w:ascii="宋体" w:hAnsi="宋体" w:eastAsia="宋体" w:cs="宋体"/>
          <w:color w:val="auto"/>
          <w:sz w:val="20"/>
          <w:szCs w:val="20"/>
          <w:highlight w:val="none"/>
        </w:rPr>
        <w:sectPr>
          <w:footerReference r:id="rId37" w:type="default"/>
          <w:pgSz w:w="11906" w:h="16839"/>
          <w:pgMar w:top="1351" w:right="1374" w:bottom="1156" w:left="1368" w:header="0" w:footer="994" w:gutter="0"/>
          <w:pgNumType w:fmt="decimal"/>
          <w:cols w:space="720" w:num="1"/>
        </w:sectPr>
      </w:pPr>
    </w:p>
    <w:p w14:paraId="299905C6">
      <w:pPr>
        <w:spacing w:before="203" w:line="219" w:lineRule="auto"/>
        <w:ind w:left="147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（三）财务状况、依法纳税和依法缴纳社保保障资金承诺函</w:t>
      </w:r>
    </w:p>
    <w:p w14:paraId="57910851">
      <w:pPr>
        <w:pStyle w:val="8"/>
        <w:spacing w:line="336" w:lineRule="auto"/>
        <w:rPr>
          <w:color w:val="auto"/>
          <w:highlight w:val="none"/>
        </w:rPr>
      </w:pPr>
    </w:p>
    <w:p w14:paraId="65F6089B">
      <w:pPr>
        <w:spacing w:before="91" w:line="220" w:lineRule="auto"/>
        <w:ind w:left="362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资格条件承诺函</w:t>
      </w:r>
    </w:p>
    <w:p w14:paraId="5153E473">
      <w:pPr>
        <w:pStyle w:val="8"/>
        <w:spacing w:line="247" w:lineRule="auto"/>
        <w:rPr>
          <w:color w:val="auto"/>
          <w:highlight w:val="none"/>
        </w:rPr>
      </w:pPr>
    </w:p>
    <w:p w14:paraId="2878F021">
      <w:pPr>
        <w:pStyle w:val="8"/>
        <w:spacing w:line="248" w:lineRule="auto"/>
        <w:rPr>
          <w:color w:val="auto"/>
          <w:highlight w:val="none"/>
        </w:rPr>
      </w:pPr>
    </w:p>
    <w:p w14:paraId="20BD9662">
      <w:pPr>
        <w:spacing w:before="65" w:line="227" w:lineRule="auto"/>
        <w:ind w:left="42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致</w:t>
      </w:r>
      <w:r>
        <w:rPr>
          <w:rFonts w:ascii="宋体" w:hAnsi="宋体" w:eastAsia="宋体" w:cs="宋体"/>
          <w:color w:val="auto"/>
          <w:spacing w:val="-13"/>
          <w:sz w:val="20"/>
          <w:szCs w:val="20"/>
          <w:highlight w:val="none"/>
        </w:rPr>
        <w:t>：</w:t>
      </w:r>
      <w:r>
        <w:rPr>
          <w:rFonts w:ascii="宋体" w:hAnsi="宋体" w:eastAsia="宋体" w:cs="宋体"/>
          <w:color w:val="auto"/>
          <w:spacing w:val="-13"/>
          <w:sz w:val="20"/>
          <w:szCs w:val="20"/>
          <w:highlight w:val="none"/>
          <w:u w:val="single" w:color="auto"/>
        </w:rPr>
        <w:t>（</w:t>
      </w:r>
      <w:r>
        <w:rPr>
          <w:rFonts w:ascii="宋体" w:hAnsi="宋体" w:eastAsia="宋体" w:cs="宋体"/>
          <w:color w:val="auto"/>
          <w:spacing w:val="13"/>
          <w:sz w:val="20"/>
          <w:szCs w:val="20"/>
          <w:highlight w:val="none"/>
          <w:u w:val="single" w:color="auto"/>
        </w:rPr>
        <w:t>采购人、采购代理机构）</w:t>
      </w:r>
    </w:p>
    <w:p w14:paraId="43B019A0">
      <w:pPr>
        <w:spacing w:before="298" w:line="227" w:lineRule="auto"/>
        <w:jc w:val="righ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我单位（公司）参与</w:t>
      </w:r>
      <w:r>
        <w:rPr>
          <w:rFonts w:ascii="宋体" w:hAnsi="宋体" w:eastAsia="宋体" w:cs="宋体"/>
          <w:color w:val="auto"/>
          <w:spacing w:val="5"/>
          <w:sz w:val="20"/>
          <w:szCs w:val="20"/>
          <w:highlight w:val="none"/>
          <w:u w:val="single" w:color="auto"/>
        </w:rPr>
        <w:t xml:space="preserve"> （采购项目名称、采购项目编号） </w:t>
      </w:r>
      <w:r>
        <w:rPr>
          <w:rFonts w:ascii="宋体" w:hAnsi="宋体" w:eastAsia="宋体" w:cs="宋体"/>
          <w:color w:val="auto"/>
          <w:spacing w:val="5"/>
          <w:sz w:val="20"/>
          <w:szCs w:val="20"/>
          <w:highlight w:val="none"/>
        </w:rPr>
        <w:t>采购</w:t>
      </w:r>
      <w:r>
        <w:rPr>
          <w:rFonts w:ascii="宋体" w:hAnsi="宋体" w:eastAsia="宋体" w:cs="宋体"/>
          <w:color w:val="auto"/>
          <w:spacing w:val="4"/>
          <w:sz w:val="20"/>
          <w:szCs w:val="20"/>
          <w:highlight w:val="none"/>
        </w:rPr>
        <w:t>项目的政府采购活动，现承诺如下：</w:t>
      </w:r>
    </w:p>
    <w:p w14:paraId="506B7F1F">
      <w:pPr>
        <w:spacing w:before="299" w:line="227" w:lineRule="auto"/>
        <w:ind w:left="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1．具有良好的商业信誉和健全的财务会计制度；</w:t>
      </w:r>
    </w:p>
    <w:p w14:paraId="42B11E29">
      <w:pPr>
        <w:spacing w:before="299" w:line="227"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2．具有依法缴纳税收的良好记录；</w:t>
      </w:r>
    </w:p>
    <w:p w14:paraId="5712E3F8">
      <w:pPr>
        <w:spacing w:before="298" w:line="227"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3．具有依法缴纳社保保障金的良好记录。</w:t>
      </w:r>
    </w:p>
    <w:p w14:paraId="69437F09">
      <w:pPr>
        <w:spacing w:before="299" w:line="488" w:lineRule="auto"/>
        <w:ind w:right="53"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我方在采购项目评审（评标）环节结束后，随时接受采购人、采购代理机构的检查验证，配合提</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供相关证明材料，证明符合《中华人民共和国政府采购法》规定的供应商基本资格条件。</w:t>
      </w:r>
    </w:p>
    <w:p w14:paraId="5521ADD1">
      <w:pPr>
        <w:spacing w:before="33" w:line="488" w:lineRule="auto"/>
        <w:ind w:left="420" w:right="1712" w:firstLine="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我单位（公司）对上述承诺的真实性负责。</w:t>
      </w:r>
      <w:r>
        <w:rPr>
          <w:rFonts w:ascii="宋体" w:hAnsi="宋体" w:eastAsia="宋体" w:cs="宋体"/>
          <w:color w:val="auto"/>
          <w:spacing w:val="8"/>
          <w:sz w:val="20"/>
          <w:szCs w:val="20"/>
          <w:highlight w:val="none"/>
        </w:rPr>
        <w:t>如有虚假，将依法承担相应责任。</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特此承诺。</w:t>
      </w:r>
    </w:p>
    <w:p w14:paraId="049A7530">
      <w:pPr>
        <w:pStyle w:val="8"/>
        <w:spacing w:line="254" w:lineRule="auto"/>
        <w:rPr>
          <w:color w:val="auto"/>
          <w:highlight w:val="none"/>
        </w:rPr>
      </w:pPr>
    </w:p>
    <w:p w14:paraId="54A6C028">
      <w:pPr>
        <w:pStyle w:val="8"/>
        <w:spacing w:line="254" w:lineRule="auto"/>
        <w:rPr>
          <w:color w:val="auto"/>
          <w:highlight w:val="none"/>
        </w:rPr>
      </w:pPr>
    </w:p>
    <w:p w14:paraId="2AE6FCCC">
      <w:pPr>
        <w:spacing w:before="66" w:line="227"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供应商名称（加盖单位公章</w:t>
      </w:r>
      <w:r>
        <w:rPr>
          <w:rFonts w:ascii="宋体" w:hAnsi="宋体" w:eastAsia="宋体" w:cs="宋体"/>
          <w:color w:val="auto"/>
          <w:sz w:val="20"/>
          <w:szCs w:val="20"/>
          <w:highlight w:val="none"/>
        </w:rPr>
        <w:t>）：</w:t>
      </w:r>
    </w:p>
    <w:p w14:paraId="608689D2">
      <w:pPr>
        <w:spacing w:before="299" w:line="486" w:lineRule="auto"/>
        <w:ind w:left="35" w:right="5299" w:hanging="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法定代表人或其授权委托人</w:t>
      </w:r>
      <w:r>
        <w:rPr>
          <w:rFonts w:hint="eastAsia" w:ascii="宋体" w:hAnsi="宋体" w:eastAsia="宋体" w:cs="宋体"/>
          <w:color w:val="auto"/>
          <w:spacing w:val="6"/>
          <w:sz w:val="20"/>
          <w:szCs w:val="20"/>
          <w:highlight w:val="none"/>
          <w:lang w:eastAsia="zh-CN"/>
        </w:rPr>
        <w:t>（</w:t>
      </w:r>
      <w:r>
        <w:rPr>
          <w:rFonts w:ascii="宋体" w:hAnsi="宋体" w:eastAsia="宋体" w:cs="宋体"/>
          <w:color w:val="auto"/>
          <w:spacing w:val="6"/>
          <w:sz w:val="20"/>
          <w:szCs w:val="20"/>
          <w:highlight w:val="none"/>
        </w:rPr>
        <w:t>签字或盖章</w:t>
      </w:r>
      <w:r>
        <w:rPr>
          <w:rFonts w:hint="eastAsia" w:ascii="宋体" w:hAnsi="宋体" w:eastAsia="宋体" w:cs="宋体"/>
          <w:color w:val="auto"/>
          <w:spacing w:val="6"/>
          <w:sz w:val="20"/>
          <w:szCs w:val="20"/>
          <w:highlight w:val="none"/>
          <w:lang w:eastAsia="zh-CN"/>
        </w:rPr>
        <w:t>）</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日期：</w:t>
      </w:r>
    </w:p>
    <w:p w14:paraId="7D090420">
      <w:pPr>
        <w:spacing w:line="486" w:lineRule="auto"/>
        <w:rPr>
          <w:rFonts w:ascii="宋体" w:hAnsi="宋体" w:eastAsia="宋体" w:cs="宋体"/>
          <w:color w:val="auto"/>
          <w:sz w:val="20"/>
          <w:szCs w:val="20"/>
          <w:highlight w:val="none"/>
        </w:rPr>
        <w:sectPr>
          <w:footerReference r:id="rId38" w:type="default"/>
          <w:pgSz w:w="11906" w:h="16839"/>
          <w:pgMar w:top="1431" w:right="1309" w:bottom="1156" w:left="1368" w:header="0" w:footer="994" w:gutter="0"/>
          <w:pgNumType w:fmt="decimal"/>
          <w:cols w:space="720" w:num="1"/>
        </w:sectPr>
      </w:pPr>
    </w:p>
    <w:p w14:paraId="60216414">
      <w:pPr>
        <w:spacing w:before="49" w:line="212" w:lineRule="auto"/>
        <w:ind w:left="3137"/>
        <w:rPr>
          <w:rFonts w:ascii="宋体" w:hAnsi="宋体" w:eastAsia="宋体" w:cs="宋体"/>
          <w:color w:val="auto"/>
          <w:sz w:val="24"/>
          <w:szCs w:val="24"/>
          <w:highlight w:val="none"/>
        </w:rPr>
      </w:pPr>
      <w:r>
        <w:rPr>
          <w:rFonts w:hint="eastAsia" w:ascii="Calibri" w:hAnsi="Calibri" w:eastAsia="宋体" w:cs="Calibri"/>
          <w:b/>
          <w:bCs/>
          <w:color w:val="auto"/>
          <w:spacing w:val="-3"/>
          <w:sz w:val="24"/>
          <w:szCs w:val="24"/>
          <w:highlight w:val="none"/>
          <w:lang w:eastAsia="zh-CN"/>
        </w:rPr>
        <w:t>（</w:t>
      </w:r>
      <w:r>
        <w:rPr>
          <w:rFonts w:ascii="宋体" w:hAnsi="宋体" w:eastAsia="宋体" w:cs="宋体"/>
          <w:b/>
          <w:bCs/>
          <w:color w:val="auto"/>
          <w:spacing w:val="-3"/>
          <w:sz w:val="24"/>
          <w:szCs w:val="24"/>
          <w:highlight w:val="none"/>
        </w:rPr>
        <w:t>四</w:t>
      </w:r>
      <w:r>
        <w:rPr>
          <w:rFonts w:hint="eastAsia" w:ascii="宋体" w:hAnsi="宋体" w:eastAsia="宋体" w:cs="宋体"/>
          <w:b/>
          <w:bCs/>
          <w:color w:val="auto"/>
          <w:spacing w:val="-3"/>
          <w:sz w:val="24"/>
          <w:szCs w:val="24"/>
          <w:highlight w:val="none"/>
          <w:lang w:eastAsia="zh-CN"/>
        </w:rPr>
        <w:t>）</w:t>
      </w:r>
      <w:r>
        <w:rPr>
          <w:rFonts w:ascii="宋体" w:hAnsi="宋体" w:eastAsia="宋体" w:cs="宋体"/>
          <w:b/>
          <w:bCs/>
          <w:color w:val="auto"/>
          <w:spacing w:val="-3"/>
          <w:sz w:val="24"/>
          <w:szCs w:val="24"/>
          <w:highlight w:val="none"/>
        </w:rPr>
        <w:t>近年完成的类似项目情况表</w:t>
      </w:r>
    </w:p>
    <w:p w14:paraId="4BE6125A">
      <w:pPr>
        <w:spacing w:line="156" w:lineRule="exact"/>
        <w:rPr>
          <w:color w:val="auto"/>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3"/>
        <w:gridCol w:w="6611"/>
      </w:tblGrid>
      <w:tr w14:paraId="24CD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793" w:type="dxa"/>
            <w:vAlign w:val="top"/>
          </w:tcPr>
          <w:p w14:paraId="5D822B51">
            <w:pPr>
              <w:pStyle w:val="21"/>
              <w:spacing w:before="36" w:line="228" w:lineRule="auto"/>
              <w:ind w:left="119"/>
              <w:rPr>
                <w:color w:val="auto"/>
                <w:highlight w:val="none"/>
              </w:rPr>
            </w:pPr>
            <w:r>
              <w:rPr>
                <w:color w:val="auto"/>
                <w:spacing w:val="6"/>
                <w:highlight w:val="none"/>
              </w:rPr>
              <w:t>项目名称</w:t>
            </w:r>
          </w:p>
        </w:tc>
        <w:tc>
          <w:tcPr>
            <w:tcW w:w="6611" w:type="dxa"/>
            <w:vAlign w:val="top"/>
          </w:tcPr>
          <w:p w14:paraId="6EB32976">
            <w:pPr>
              <w:rPr>
                <w:rFonts w:ascii="Arial"/>
                <w:color w:val="auto"/>
                <w:sz w:val="21"/>
                <w:highlight w:val="none"/>
              </w:rPr>
            </w:pPr>
          </w:p>
        </w:tc>
      </w:tr>
      <w:tr w14:paraId="6BC0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F13539E">
            <w:pPr>
              <w:pStyle w:val="21"/>
              <w:spacing w:before="31" w:line="228" w:lineRule="auto"/>
              <w:ind w:left="119"/>
              <w:rPr>
                <w:color w:val="auto"/>
                <w:highlight w:val="none"/>
              </w:rPr>
            </w:pPr>
            <w:r>
              <w:rPr>
                <w:color w:val="auto"/>
                <w:spacing w:val="7"/>
                <w:highlight w:val="none"/>
              </w:rPr>
              <w:t>项目所在地</w:t>
            </w:r>
          </w:p>
        </w:tc>
        <w:tc>
          <w:tcPr>
            <w:tcW w:w="6611" w:type="dxa"/>
            <w:vAlign w:val="top"/>
          </w:tcPr>
          <w:p w14:paraId="4B6E9009">
            <w:pPr>
              <w:rPr>
                <w:rFonts w:ascii="Arial"/>
                <w:color w:val="auto"/>
                <w:sz w:val="21"/>
                <w:highlight w:val="none"/>
              </w:rPr>
            </w:pPr>
          </w:p>
        </w:tc>
      </w:tr>
      <w:tr w14:paraId="146C6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2554B386">
            <w:pPr>
              <w:pStyle w:val="21"/>
              <w:spacing w:before="33" w:line="228" w:lineRule="auto"/>
              <w:ind w:left="119"/>
              <w:rPr>
                <w:color w:val="auto"/>
                <w:highlight w:val="none"/>
              </w:rPr>
            </w:pPr>
            <w:r>
              <w:rPr>
                <w:color w:val="auto"/>
                <w:spacing w:val="7"/>
                <w:highlight w:val="none"/>
              </w:rPr>
              <w:t>发包人名称</w:t>
            </w:r>
          </w:p>
        </w:tc>
        <w:tc>
          <w:tcPr>
            <w:tcW w:w="6611" w:type="dxa"/>
            <w:vAlign w:val="top"/>
          </w:tcPr>
          <w:p w14:paraId="3572A7BC">
            <w:pPr>
              <w:rPr>
                <w:rFonts w:ascii="Arial"/>
                <w:color w:val="auto"/>
                <w:sz w:val="21"/>
                <w:highlight w:val="none"/>
              </w:rPr>
            </w:pPr>
          </w:p>
        </w:tc>
      </w:tr>
      <w:tr w14:paraId="2F18F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B05525C">
            <w:pPr>
              <w:pStyle w:val="21"/>
              <w:spacing w:before="33" w:line="228" w:lineRule="auto"/>
              <w:ind w:left="119"/>
              <w:rPr>
                <w:color w:val="auto"/>
                <w:highlight w:val="none"/>
              </w:rPr>
            </w:pPr>
            <w:r>
              <w:rPr>
                <w:color w:val="auto"/>
                <w:spacing w:val="7"/>
                <w:highlight w:val="none"/>
              </w:rPr>
              <w:t>发包人地址</w:t>
            </w:r>
          </w:p>
        </w:tc>
        <w:tc>
          <w:tcPr>
            <w:tcW w:w="6611" w:type="dxa"/>
            <w:vAlign w:val="top"/>
          </w:tcPr>
          <w:p w14:paraId="192E029B">
            <w:pPr>
              <w:rPr>
                <w:rFonts w:ascii="Arial"/>
                <w:color w:val="auto"/>
                <w:sz w:val="21"/>
                <w:highlight w:val="none"/>
              </w:rPr>
            </w:pPr>
          </w:p>
        </w:tc>
      </w:tr>
      <w:tr w14:paraId="4BF2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6C63402">
            <w:pPr>
              <w:pStyle w:val="21"/>
              <w:spacing w:before="32" w:line="228" w:lineRule="auto"/>
              <w:ind w:left="119"/>
              <w:rPr>
                <w:color w:val="auto"/>
                <w:highlight w:val="none"/>
              </w:rPr>
            </w:pPr>
            <w:r>
              <w:rPr>
                <w:color w:val="auto"/>
                <w:spacing w:val="7"/>
                <w:highlight w:val="none"/>
              </w:rPr>
              <w:t>发包人电话</w:t>
            </w:r>
          </w:p>
        </w:tc>
        <w:tc>
          <w:tcPr>
            <w:tcW w:w="6611" w:type="dxa"/>
            <w:vAlign w:val="top"/>
          </w:tcPr>
          <w:p w14:paraId="39EE060A">
            <w:pPr>
              <w:rPr>
                <w:rFonts w:ascii="Arial"/>
                <w:color w:val="auto"/>
                <w:sz w:val="21"/>
                <w:highlight w:val="none"/>
              </w:rPr>
            </w:pPr>
          </w:p>
        </w:tc>
      </w:tr>
      <w:tr w14:paraId="18A0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055719B">
            <w:pPr>
              <w:pStyle w:val="21"/>
              <w:spacing w:before="34" w:line="226" w:lineRule="auto"/>
              <w:ind w:left="116"/>
              <w:rPr>
                <w:color w:val="auto"/>
                <w:highlight w:val="none"/>
              </w:rPr>
            </w:pPr>
            <w:r>
              <w:rPr>
                <w:color w:val="auto"/>
                <w:spacing w:val="7"/>
                <w:highlight w:val="none"/>
              </w:rPr>
              <w:t>合同价格</w:t>
            </w:r>
          </w:p>
        </w:tc>
        <w:tc>
          <w:tcPr>
            <w:tcW w:w="6611" w:type="dxa"/>
            <w:vAlign w:val="top"/>
          </w:tcPr>
          <w:p w14:paraId="12081402">
            <w:pPr>
              <w:rPr>
                <w:rFonts w:ascii="Arial"/>
                <w:color w:val="auto"/>
                <w:sz w:val="21"/>
                <w:highlight w:val="none"/>
              </w:rPr>
            </w:pPr>
          </w:p>
        </w:tc>
      </w:tr>
      <w:tr w14:paraId="72F4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4584285A">
            <w:pPr>
              <w:pStyle w:val="21"/>
              <w:spacing w:before="33" w:line="228" w:lineRule="auto"/>
              <w:ind w:left="116"/>
              <w:rPr>
                <w:color w:val="auto"/>
                <w:highlight w:val="none"/>
              </w:rPr>
            </w:pPr>
            <w:r>
              <w:rPr>
                <w:color w:val="auto"/>
                <w:spacing w:val="7"/>
                <w:highlight w:val="none"/>
              </w:rPr>
              <w:t>开工日期</w:t>
            </w:r>
          </w:p>
        </w:tc>
        <w:tc>
          <w:tcPr>
            <w:tcW w:w="6611" w:type="dxa"/>
            <w:vAlign w:val="top"/>
          </w:tcPr>
          <w:p w14:paraId="18741BB9">
            <w:pPr>
              <w:rPr>
                <w:rFonts w:ascii="Arial"/>
                <w:color w:val="auto"/>
                <w:sz w:val="21"/>
                <w:highlight w:val="none"/>
              </w:rPr>
            </w:pPr>
          </w:p>
        </w:tc>
      </w:tr>
      <w:tr w14:paraId="6D7B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378C54E8">
            <w:pPr>
              <w:pStyle w:val="21"/>
              <w:spacing w:before="34" w:line="228" w:lineRule="auto"/>
              <w:ind w:left="116"/>
              <w:rPr>
                <w:color w:val="auto"/>
                <w:highlight w:val="none"/>
              </w:rPr>
            </w:pPr>
            <w:r>
              <w:rPr>
                <w:color w:val="auto"/>
                <w:spacing w:val="7"/>
                <w:highlight w:val="none"/>
              </w:rPr>
              <w:t>竣工日期</w:t>
            </w:r>
          </w:p>
        </w:tc>
        <w:tc>
          <w:tcPr>
            <w:tcW w:w="6611" w:type="dxa"/>
            <w:vAlign w:val="top"/>
          </w:tcPr>
          <w:p w14:paraId="29C28DED">
            <w:pPr>
              <w:rPr>
                <w:rFonts w:ascii="Arial"/>
                <w:color w:val="auto"/>
                <w:sz w:val="21"/>
                <w:highlight w:val="none"/>
              </w:rPr>
            </w:pPr>
          </w:p>
        </w:tc>
      </w:tr>
      <w:tr w14:paraId="75739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2E008AB4">
            <w:pPr>
              <w:pStyle w:val="21"/>
              <w:spacing w:before="33" w:line="228" w:lineRule="auto"/>
              <w:ind w:left="115"/>
              <w:rPr>
                <w:color w:val="auto"/>
                <w:highlight w:val="none"/>
              </w:rPr>
            </w:pPr>
            <w:r>
              <w:rPr>
                <w:color w:val="auto"/>
                <w:spacing w:val="8"/>
                <w:highlight w:val="none"/>
              </w:rPr>
              <w:t>承担的工作</w:t>
            </w:r>
          </w:p>
        </w:tc>
        <w:tc>
          <w:tcPr>
            <w:tcW w:w="6611" w:type="dxa"/>
            <w:vAlign w:val="top"/>
          </w:tcPr>
          <w:p w14:paraId="134A8E54">
            <w:pPr>
              <w:rPr>
                <w:rFonts w:ascii="Arial"/>
                <w:color w:val="auto"/>
                <w:sz w:val="21"/>
                <w:highlight w:val="none"/>
              </w:rPr>
            </w:pPr>
          </w:p>
        </w:tc>
      </w:tr>
      <w:tr w14:paraId="62AE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64EBA5E">
            <w:pPr>
              <w:pStyle w:val="21"/>
              <w:spacing w:before="32" w:line="228" w:lineRule="auto"/>
              <w:ind w:left="118"/>
              <w:rPr>
                <w:color w:val="auto"/>
                <w:highlight w:val="none"/>
              </w:rPr>
            </w:pPr>
            <w:r>
              <w:rPr>
                <w:color w:val="auto"/>
                <w:spacing w:val="6"/>
                <w:highlight w:val="none"/>
              </w:rPr>
              <w:t>工程质量</w:t>
            </w:r>
          </w:p>
        </w:tc>
        <w:tc>
          <w:tcPr>
            <w:tcW w:w="6611" w:type="dxa"/>
            <w:vAlign w:val="top"/>
          </w:tcPr>
          <w:p w14:paraId="7E7044DE">
            <w:pPr>
              <w:rPr>
                <w:rFonts w:ascii="Arial"/>
                <w:color w:val="auto"/>
                <w:sz w:val="21"/>
                <w:highlight w:val="none"/>
              </w:rPr>
            </w:pPr>
          </w:p>
        </w:tc>
      </w:tr>
      <w:tr w14:paraId="1660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1BFB8B65">
            <w:pPr>
              <w:pStyle w:val="21"/>
              <w:spacing w:before="34" w:line="228" w:lineRule="auto"/>
              <w:ind w:left="119"/>
              <w:rPr>
                <w:color w:val="auto"/>
                <w:highlight w:val="none"/>
              </w:rPr>
            </w:pPr>
            <w:r>
              <w:rPr>
                <w:color w:val="auto"/>
                <w:spacing w:val="6"/>
                <w:highlight w:val="none"/>
              </w:rPr>
              <w:t>项目经理</w:t>
            </w:r>
          </w:p>
        </w:tc>
        <w:tc>
          <w:tcPr>
            <w:tcW w:w="6611" w:type="dxa"/>
            <w:vAlign w:val="top"/>
          </w:tcPr>
          <w:p w14:paraId="7B998A54">
            <w:pPr>
              <w:rPr>
                <w:rFonts w:ascii="Arial"/>
                <w:color w:val="auto"/>
                <w:sz w:val="21"/>
                <w:highlight w:val="none"/>
              </w:rPr>
            </w:pPr>
          </w:p>
        </w:tc>
      </w:tr>
      <w:tr w14:paraId="533F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78DE9381">
            <w:pPr>
              <w:pStyle w:val="21"/>
              <w:spacing w:before="32" w:line="228" w:lineRule="auto"/>
              <w:ind w:left="116"/>
              <w:rPr>
                <w:color w:val="auto"/>
                <w:highlight w:val="none"/>
              </w:rPr>
            </w:pPr>
            <w:r>
              <w:rPr>
                <w:color w:val="auto"/>
                <w:spacing w:val="7"/>
                <w:highlight w:val="none"/>
              </w:rPr>
              <w:t>技术负责人</w:t>
            </w:r>
          </w:p>
        </w:tc>
        <w:tc>
          <w:tcPr>
            <w:tcW w:w="6611" w:type="dxa"/>
            <w:vAlign w:val="top"/>
          </w:tcPr>
          <w:p w14:paraId="54BDA753">
            <w:pPr>
              <w:rPr>
                <w:rFonts w:ascii="Arial"/>
                <w:color w:val="auto"/>
                <w:sz w:val="21"/>
                <w:highlight w:val="none"/>
              </w:rPr>
            </w:pPr>
          </w:p>
        </w:tc>
      </w:tr>
      <w:tr w14:paraId="1D9B1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DD95228">
            <w:pPr>
              <w:pStyle w:val="21"/>
              <w:spacing w:before="34" w:line="228" w:lineRule="auto"/>
              <w:ind w:left="121"/>
              <w:rPr>
                <w:color w:val="auto"/>
                <w:highlight w:val="none"/>
              </w:rPr>
            </w:pPr>
            <w:r>
              <w:rPr>
                <w:color w:val="auto"/>
                <w:spacing w:val="8"/>
                <w:highlight w:val="none"/>
              </w:rPr>
              <w:t>总监理工程师及电话</w:t>
            </w:r>
          </w:p>
        </w:tc>
        <w:tc>
          <w:tcPr>
            <w:tcW w:w="6611" w:type="dxa"/>
            <w:vAlign w:val="top"/>
          </w:tcPr>
          <w:p w14:paraId="72D30BB1">
            <w:pPr>
              <w:rPr>
                <w:rFonts w:ascii="Arial"/>
                <w:color w:val="auto"/>
                <w:sz w:val="21"/>
                <w:highlight w:val="none"/>
              </w:rPr>
            </w:pPr>
          </w:p>
        </w:tc>
      </w:tr>
      <w:tr w14:paraId="50E8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9" w:hRule="atLeast"/>
        </w:trPr>
        <w:tc>
          <w:tcPr>
            <w:tcW w:w="2793" w:type="dxa"/>
            <w:vAlign w:val="top"/>
          </w:tcPr>
          <w:p w14:paraId="3FCA981C">
            <w:pPr>
              <w:spacing w:line="242" w:lineRule="auto"/>
              <w:rPr>
                <w:rFonts w:ascii="Arial"/>
                <w:color w:val="auto"/>
                <w:sz w:val="21"/>
                <w:highlight w:val="none"/>
              </w:rPr>
            </w:pPr>
          </w:p>
          <w:p w14:paraId="57F9A41A">
            <w:pPr>
              <w:spacing w:line="243" w:lineRule="auto"/>
              <w:rPr>
                <w:rFonts w:ascii="Arial"/>
                <w:color w:val="auto"/>
                <w:sz w:val="21"/>
                <w:highlight w:val="none"/>
              </w:rPr>
            </w:pPr>
          </w:p>
          <w:p w14:paraId="0AFC9681">
            <w:pPr>
              <w:spacing w:line="243" w:lineRule="auto"/>
              <w:rPr>
                <w:rFonts w:ascii="Arial"/>
                <w:color w:val="auto"/>
                <w:sz w:val="21"/>
                <w:highlight w:val="none"/>
              </w:rPr>
            </w:pPr>
          </w:p>
          <w:p w14:paraId="44B9B1D9">
            <w:pPr>
              <w:spacing w:line="243" w:lineRule="auto"/>
              <w:rPr>
                <w:rFonts w:ascii="Arial"/>
                <w:color w:val="auto"/>
                <w:sz w:val="21"/>
                <w:highlight w:val="none"/>
              </w:rPr>
            </w:pPr>
          </w:p>
          <w:p w14:paraId="7844A002">
            <w:pPr>
              <w:spacing w:line="243" w:lineRule="auto"/>
              <w:rPr>
                <w:rFonts w:ascii="Arial"/>
                <w:color w:val="auto"/>
                <w:sz w:val="21"/>
                <w:highlight w:val="none"/>
              </w:rPr>
            </w:pPr>
          </w:p>
          <w:p w14:paraId="0224AA11">
            <w:pPr>
              <w:spacing w:line="243" w:lineRule="auto"/>
              <w:rPr>
                <w:rFonts w:ascii="Arial"/>
                <w:color w:val="auto"/>
                <w:sz w:val="21"/>
                <w:highlight w:val="none"/>
              </w:rPr>
            </w:pPr>
          </w:p>
          <w:p w14:paraId="499F4BCE">
            <w:pPr>
              <w:spacing w:line="243" w:lineRule="auto"/>
              <w:rPr>
                <w:rFonts w:ascii="Arial"/>
                <w:color w:val="auto"/>
                <w:sz w:val="21"/>
                <w:highlight w:val="none"/>
              </w:rPr>
            </w:pPr>
          </w:p>
          <w:p w14:paraId="6CFB8058">
            <w:pPr>
              <w:pStyle w:val="21"/>
              <w:spacing w:before="65" w:line="228" w:lineRule="auto"/>
              <w:ind w:left="119"/>
              <w:rPr>
                <w:color w:val="auto"/>
                <w:highlight w:val="none"/>
              </w:rPr>
            </w:pPr>
            <w:r>
              <w:rPr>
                <w:color w:val="auto"/>
                <w:spacing w:val="6"/>
                <w:highlight w:val="none"/>
              </w:rPr>
              <w:t>项目描述</w:t>
            </w:r>
          </w:p>
        </w:tc>
        <w:tc>
          <w:tcPr>
            <w:tcW w:w="6611" w:type="dxa"/>
            <w:vAlign w:val="top"/>
          </w:tcPr>
          <w:p w14:paraId="751DE6E2">
            <w:pPr>
              <w:rPr>
                <w:rFonts w:ascii="Arial"/>
                <w:color w:val="auto"/>
                <w:sz w:val="21"/>
                <w:highlight w:val="none"/>
              </w:rPr>
            </w:pPr>
          </w:p>
        </w:tc>
      </w:tr>
      <w:tr w14:paraId="38CB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793" w:type="dxa"/>
            <w:vAlign w:val="top"/>
          </w:tcPr>
          <w:p w14:paraId="28729293">
            <w:pPr>
              <w:spacing w:line="265" w:lineRule="auto"/>
              <w:rPr>
                <w:rFonts w:ascii="Arial"/>
                <w:color w:val="auto"/>
                <w:sz w:val="21"/>
                <w:highlight w:val="none"/>
              </w:rPr>
            </w:pPr>
          </w:p>
          <w:p w14:paraId="4B683D23">
            <w:pPr>
              <w:pStyle w:val="21"/>
              <w:spacing w:before="65" w:line="229" w:lineRule="auto"/>
              <w:ind w:left="118"/>
              <w:rPr>
                <w:color w:val="auto"/>
                <w:highlight w:val="none"/>
              </w:rPr>
            </w:pPr>
            <w:r>
              <w:rPr>
                <w:color w:val="auto"/>
                <w:spacing w:val="3"/>
                <w:highlight w:val="none"/>
              </w:rPr>
              <w:t>备注</w:t>
            </w:r>
          </w:p>
        </w:tc>
        <w:tc>
          <w:tcPr>
            <w:tcW w:w="6611" w:type="dxa"/>
            <w:vAlign w:val="top"/>
          </w:tcPr>
          <w:p w14:paraId="1C630E40">
            <w:pPr>
              <w:rPr>
                <w:rFonts w:ascii="Arial"/>
                <w:color w:val="auto"/>
                <w:sz w:val="21"/>
                <w:highlight w:val="none"/>
              </w:rPr>
            </w:pPr>
          </w:p>
        </w:tc>
      </w:tr>
    </w:tbl>
    <w:p w14:paraId="0E23C518">
      <w:pPr>
        <w:spacing w:before="31" w:line="226" w:lineRule="auto"/>
        <w:ind w:left="1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注：后附近年（</w:t>
      </w:r>
      <w:r>
        <w:rPr>
          <w:rFonts w:ascii="Calibri" w:hAnsi="Calibri" w:eastAsia="Calibri" w:cs="Calibri"/>
          <w:color w:val="auto"/>
          <w:spacing w:val="9"/>
          <w:sz w:val="20"/>
          <w:szCs w:val="20"/>
          <w:highlight w:val="none"/>
        </w:rPr>
        <w:t>202</w:t>
      </w:r>
      <w:r>
        <w:rPr>
          <w:rFonts w:hint="eastAsia" w:ascii="Calibri" w:hAnsi="Calibri" w:eastAsia="宋体" w:cs="Calibri"/>
          <w:color w:val="auto"/>
          <w:spacing w:val="9"/>
          <w:sz w:val="20"/>
          <w:szCs w:val="20"/>
          <w:highlight w:val="none"/>
          <w:lang w:val="en-US" w:eastAsia="zh-CN"/>
        </w:rPr>
        <w:t>2</w:t>
      </w:r>
      <w:r>
        <w:rPr>
          <w:rFonts w:ascii="宋体" w:hAnsi="宋体" w:eastAsia="宋体" w:cs="宋体"/>
          <w:color w:val="auto"/>
          <w:spacing w:val="9"/>
          <w:sz w:val="20"/>
          <w:szCs w:val="20"/>
          <w:highlight w:val="none"/>
        </w:rPr>
        <w:t>年至今）成交（或中标）通知书或合同协议书或竣工验收报告复印件加盖公章。</w:t>
      </w:r>
    </w:p>
    <w:p w14:paraId="0E1283AC">
      <w:pPr>
        <w:spacing w:line="226" w:lineRule="auto"/>
        <w:rPr>
          <w:rFonts w:ascii="宋体" w:hAnsi="宋体" w:eastAsia="宋体" w:cs="宋体"/>
          <w:color w:val="auto"/>
          <w:sz w:val="20"/>
          <w:szCs w:val="20"/>
          <w:highlight w:val="none"/>
        </w:rPr>
        <w:sectPr>
          <w:footerReference r:id="rId39" w:type="default"/>
          <w:pgSz w:w="11906" w:h="16839"/>
          <w:pgMar w:top="1346" w:right="1248" w:bottom="1156" w:left="1248" w:header="0" w:footer="994" w:gutter="0"/>
          <w:pgNumType w:fmt="decimal"/>
          <w:cols w:space="720" w:num="1"/>
        </w:sectPr>
      </w:pPr>
    </w:p>
    <w:p w14:paraId="34DC51E3">
      <w:pPr>
        <w:spacing w:before="49" w:line="212" w:lineRule="auto"/>
        <w:ind w:left="2714"/>
        <w:rPr>
          <w:rFonts w:ascii="宋体" w:hAnsi="宋体" w:eastAsia="宋体" w:cs="宋体"/>
          <w:color w:val="auto"/>
          <w:sz w:val="24"/>
          <w:szCs w:val="24"/>
          <w:highlight w:val="none"/>
        </w:rPr>
      </w:pPr>
      <w:r>
        <w:rPr>
          <w:rFonts w:hint="eastAsia" w:ascii="Calibri" w:hAnsi="Calibri" w:eastAsia="宋体" w:cs="Calibri"/>
          <w:b/>
          <w:bCs/>
          <w:color w:val="auto"/>
          <w:spacing w:val="-3"/>
          <w:sz w:val="24"/>
          <w:szCs w:val="24"/>
          <w:highlight w:val="none"/>
          <w:lang w:eastAsia="zh-CN"/>
        </w:rPr>
        <w:t>（</w:t>
      </w:r>
      <w:r>
        <w:rPr>
          <w:rFonts w:ascii="宋体" w:hAnsi="宋体" w:eastAsia="宋体" w:cs="宋体"/>
          <w:b/>
          <w:bCs/>
          <w:color w:val="auto"/>
          <w:spacing w:val="-3"/>
          <w:sz w:val="24"/>
          <w:szCs w:val="24"/>
          <w:highlight w:val="none"/>
        </w:rPr>
        <w:t>五</w:t>
      </w:r>
      <w:r>
        <w:rPr>
          <w:rFonts w:hint="eastAsia" w:ascii="宋体" w:hAnsi="宋体" w:eastAsia="宋体" w:cs="宋体"/>
          <w:b/>
          <w:bCs/>
          <w:color w:val="auto"/>
          <w:spacing w:val="-3"/>
          <w:sz w:val="24"/>
          <w:szCs w:val="24"/>
          <w:highlight w:val="none"/>
          <w:lang w:eastAsia="zh-CN"/>
        </w:rPr>
        <w:t>）</w:t>
      </w:r>
      <w:r>
        <w:rPr>
          <w:rFonts w:ascii="宋体" w:hAnsi="宋体" w:eastAsia="宋体" w:cs="宋体"/>
          <w:b/>
          <w:bCs/>
          <w:color w:val="auto"/>
          <w:spacing w:val="-3"/>
          <w:sz w:val="24"/>
          <w:szCs w:val="24"/>
          <w:highlight w:val="none"/>
        </w:rPr>
        <w:t>正在施工的和新承接的项目情况表</w:t>
      </w:r>
    </w:p>
    <w:p w14:paraId="58A31063">
      <w:pPr>
        <w:spacing w:line="156" w:lineRule="exact"/>
        <w:rPr>
          <w:color w:val="auto"/>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5"/>
        <w:gridCol w:w="6229"/>
      </w:tblGrid>
      <w:tr w14:paraId="341F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6DC35F4B">
            <w:pPr>
              <w:pStyle w:val="21"/>
              <w:spacing w:before="36" w:line="228" w:lineRule="auto"/>
              <w:ind w:left="119"/>
              <w:rPr>
                <w:color w:val="auto"/>
                <w:highlight w:val="none"/>
              </w:rPr>
            </w:pPr>
            <w:r>
              <w:rPr>
                <w:color w:val="auto"/>
                <w:spacing w:val="6"/>
                <w:highlight w:val="none"/>
              </w:rPr>
              <w:t>项目名称</w:t>
            </w:r>
          </w:p>
        </w:tc>
        <w:tc>
          <w:tcPr>
            <w:tcW w:w="6229" w:type="dxa"/>
            <w:vAlign w:val="top"/>
          </w:tcPr>
          <w:p w14:paraId="63945EFF">
            <w:pPr>
              <w:rPr>
                <w:rFonts w:ascii="Arial"/>
                <w:color w:val="auto"/>
                <w:sz w:val="21"/>
                <w:highlight w:val="none"/>
              </w:rPr>
            </w:pPr>
          </w:p>
        </w:tc>
      </w:tr>
      <w:tr w14:paraId="1727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0FADA902">
            <w:pPr>
              <w:pStyle w:val="21"/>
              <w:spacing w:before="31" w:line="228" w:lineRule="auto"/>
              <w:ind w:left="119"/>
              <w:rPr>
                <w:color w:val="auto"/>
                <w:highlight w:val="none"/>
              </w:rPr>
            </w:pPr>
            <w:r>
              <w:rPr>
                <w:color w:val="auto"/>
                <w:spacing w:val="7"/>
                <w:highlight w:val="none"/>
              </w:rPr>
              <w:t>项目所在地</w:t>
            </w:r>
          </w:p>
        </w:tc>
        <w:tc>
          <w:tcPr>
            <w:tcW w:w="6229" w:type="dxa"/>
            <w:vAlign w:val="top"/>
          </w:tcPr>
          <w:p w14:paraId="36471D87">
            <w:pPr>
              <w:rPr>
                <w:rFonts w:ascii="Arial"/>
                <w:color w:val="auto"/>
                <w:sz w:val="21"/>
                <w:highlight w:val="none"/>
              </w:rPr>
            </w:pPr>
          </w:p>
        </w:tc>
      </w:tr>
      <w:tr w14:paraId="203B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01DE96">
            <w:pPr>
              <w:pStyle w:val="21"/>
              <w:spacing w:before="33" w:line="228" w:lineRule="auto"/>
              <w:ind w:left="119"/>
              <w:rPr>
                <w:color w:val="auto"/>
                <w:highlight w:val="none"/>
              </w:rPr>
            </w:pPr>
            <w:r>
              <w:rPr>
                <w:color w:val="auto"/>
                <w:spacing w:val="7"/>
                <w:highlight w:val="none"/>
              </w:rPr>
              <w:t>发包人名称</w:t>
            </w:r>
          </w:p>
        </w:tc>
        <w:tc>
          <w:tcPr>
            <w:tcW w:w="6229" w:type="dxa"/>
            <w:vAlign w:val="top"/>
          </w:tcPr>
          <w:p w14:paraId="17E80E81">
            <w:pPr>
              <w:rPr>
                <w:rFonts w:ascii="Arial"/>
                <w:color w:val="auto"/>
                <w:sz w:val="21"/>
                <w:highlight w:val="none"/>
              </w:rPr>
            </w:pPr>
          </w:p>
        </w:tc>
      </w:tr>
      <w:tr w14:paraId="571DB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8DCF411">
            <w:pPr>
              <w:pStyle w:val="21"/>
              <w:spacing w:before="33" w:line="228" w:lineRule="auto"/>
              <w:ind w:left="119"/>
              <w:rPr>
                <w:color w:val="auto"/>
                <w:highlight w:val="none"/>
              </w:rPr>
            </w:pPr>
            <w:r>
              <w:rPr>
                <w:color w:val="auto"/>
                <w:spacing w:val="7"/>
                <w:highlight w:val="none"/>
              </w:rPr>
              <w:t>发包人地址</w:t>
            </w:r>
          </w:p>
        </w:tc>
        <w:tc>
          <w:tcPr>
            <w:tcW w:w="6229" w:type="dxa"/>
            <w:vAlign w:val="top"/>
          </w:tcPr>
          <w:p w14:paraId="2E4F005E">
            <w:pPr>
              <w:rPr>
                <w:rFonts w:ascii="Arial"/>
                <w:color w:val="auto"/>
                <w:sz w:val="21"/>
                <w:highlight w:val="none"/>
              </w:rPr>
            </w:pPr>
          </w:p>
        </w:tc>
      </w:tr>
      <w:tr w14:paraId="2F71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5542E9">
            <w:pPr>
              <w:pStyle w:val="21"/>
              <w:spacing w:before="31" w:line="228" w:lineRule="auto"/>
              <w:ind w:left="119"/>
              <w:rPr>
                <w:color w:val="auto"/>
                <w:highlight w:val="none"/>
              </w:rPr>
            </w:pPr>
            <w:r>
              <w:rPr>
                <w:color w:val="auto"/>
                <w:spacing w:val="7"/>
                <w:highlight w:val="none"/>
              </w:rPr>
              <w:t>发包人电话</w:t>
            </w:r>
          </w:p>
        </w:tc>
        <w:tc>
          <w:tcPr>
            <w:tcW w:w="6229" w:type="dxa"/>
            <w:vAlign w:val="top"/>
          </w:tcPr>
          <w:p w14:paraId="2A5F5988">
            <w:pPr>
              <w:rPr>
                <w:rFonts w:ascii="Arial"/>
                <w:color w:val="auto"/>
                <w:sz w:val="21"/>
                <w:highlight w:val="none"/>
              </w:rPr>
            </w:pPr>
          </w:p>
        </w:tc>
      </w:tr>
      <w:tr w14:paraId="7520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ED18269">
            <w:pPr>
              <w:pStyle w:val="21"/>
              <w:spacing w:before="33" w:line="226" w:lineRule="auto"/>
              <w:ind w:left="115"/>
              <w:rPr>
                <w:color w:val="auto"/>
                <w:highlight w:val="none"/>
              </w:rPr>
            </w:pPr>
            <w:r>
              <w:rPr>
                <w:color w:val="auto"/>
                <w:spacing w:val="8"/>
                <w:highlight w:val="none"/>
              </w:rPr>
              <w:t>签约合同价</w:t>
            </w:r>
          </w:p>
        </w:tc>
        <w:tc>
          <w:tcPr>
            <w:tcW w:w="6229" w:type="dxa"/>
            <w:vAlign w:val="top"/>
          </w:tcPr>
          <w:p w14:paraId="0B83A5AF">
            <w:pPr>
              <w:rPr>
                <w:rFonts w:ascii="Arial"/>
                <w:color w:val="auto"/>
                <w:sz w:val="21"/>
                <w:highlight w:val="none"/>
              </w:rPr>
            </w:pPr>
          </w:p>
        </w:tc>
      </w:tr>
      <w:tr w14:paraId="5C2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54EEC0B0">
            <w:pPr>
              <w:pStyle w:val="21"/>
              <w:spacing w:before="32" w:line="228" w:lineRule="auto"/>
              <w:ind w:left="116"/>
              <w:rPr>
                <w:color w:val="auto"/>
                <w:highlight w:val="none"/>
              </w:rPr>
            </w:pPr>
            <w:r>
              <w:rPr>
                <w:color w:val="auto"/>
                <w:spacing w:val="7"/>
                <w:highlight w:val="none"/>
              </w:rPr>
              <w:t>开工日期</w:t>
            </w:r>
          </w:p>
        </w:tc>
        <w:tc>
          <w:tcPr>
            <w:tcW w:w="6229" w:type="dxa"/>
            <w:vAlign w:val="top"/>
          </w:tcPr>
          <w:p w14:paraId="453AF5C2">
            <w:pPr>
              <w:rPr>
                <w:rFonts w:ascii="Arial"/>
                <w:color w:val="auto"/>
                <w:sz w:val="21"/>
                <w:highlight w:val="none"/>
              </w:rPr>
            </w:pPr>
          </w:p>
        </w:tc>
      </w:tr>
      <w:tr w14:paraId="2FEE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73DABDA6">
            <w:pPr>
              <w:pStyle w:val="21"/>
              <w:spacing w:before="33" w:line="228" w:lineRule="auto"/>
              <w:ind w:left="115"/>
              <w:rPr>
                <w:color w:val="auto"/>
                <w:highlight w:val="none"/>
              </w:rPr>
            </w:pPr>
            <w:r>
              <w:rPr>
                <w:color w:val="auto"/>
                <w:spacing w:val="8"/>
                <w:highlight w:val="none"/>
              </w:rPr>
              <w:t>计划竣工日期</w:t>
            </w:r>
          </w:p>
        </w:tc>
        <w:tc>
          <w:tcPr>
            <w:tcW w:w="6229" w:type="dxa"/>
            <w:vAlign w:val="top"/>
          </w:tcPr>
          <w:p w14:paraId="2E860EE0">
            <w:pPr>
              <w:rPr>
                <w:rFonts w:ascii="Arial"/>
                <w:color w:val="auto"/>
                <w:sz w:val="21"/>
                <w:highlight w:val="none"/>
              </w:rPr>
            </w:pPr>
          </w:p>
        </w:tc>
      </w:tr>
      <w:tr w14:paraId="01FA8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385B3357">
            <w:pPr>
              <w:pStyle w:val="21"/>
              <w:spacing w:before="32" w:line="228" w:lineRule="auto"/>
              <w:ind w:left="115"/>
              <w:rPr>
                <w:color w:val="auto"/>
                <w:highlight w:val="none"/>
              </w:rPr>
            </w:pPr>
            <w:r>
              <w:rPr>
                <w:color w:val="auto"/>
                <w:spacing w:val="8"/>
                <w:highlight w:val="none"/>
              </w:rPr>
              <w:t>承担的工作</w:t>
            </w:r>
          </w:p>
        </w:tc>
        <w:tc>
          <w:tcPr>
            <w:tcW w:w="6229" w:type="dxa"/>
            <w:vAlign w:val="top"/>
          </w:tcPr>
          <w:p w14:paraId="6439F343">
            <w:pPr>
              <w:rPr>
                <w:rFonts w:ascii="Arial"/>
                <w:color w:val="auto"/>
                <w:sz w:val="21"/>
                <w:highlight w:val="none"/>
              </w:rPr>
            </w:pPr>
          </w:p>
        </w:tc>
      </w:tr>
      <w:tr w14:paraId="4EBD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202A6C">
            <w:pPr>
              <w:pStyle w:val="21"/>
              <w:spacing w:before="31" w:line="228" w:lineRule="auto"/>
              <w:ind w:left="118"/>
              <w:rPr>
                <w:color w:val="auto"/>
                <w:highlight w:val="none"/>
              </w:rPr>
            </w:pPr>
            <w:r>
              <w:rPr>
                <w:color w:val="auto"/>
                <w:spacing w:val="6"/>
                <w:highlight w:val="none"/>
              </w:rPr>
              <w:t>工程质量</w:t>
            </w:r>
          </w:p>
        </w:tc>
        <w:tc>
          <w:tcPr>
            <w:tcW w:w="6229" w:type="dxa"/>
            <w:vAlign w:val="top"/>
          </w:tcPr>
          <w:p w14:paraId="6C957DED">
            <w:pPr>
              <w:rPr>
                <w:rFonts w:ascii="Arial"/>
                <w:color w:val="auto"/>
                <w:sz w:val="21"/>
                <w:highlight w:val="none"/>
              </w:rPr>
            </w:pPr>
          </w:p>
        </w:tc>
      </w:tr>
      <w:tr w14:paraId="20A5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D4963C9">
            <w:pPr>
              <w:pStyle w:val="21"/>
              <w:spacing w:before="33" w:line="228" w:lineRule="auto"/>
              <w:ind w:left="119"/>
              <w:rPr>
                <w:color w:val="auto"/>
                <w:highlight w:val="none"/>
              </w:rPr>
            </w:pPr>
            <w:r>
              <w:rPr>
                <w:color w:val="auto"/>
                <w:spacing w:val="6"/>
                <w:highlight w:val="none"/>
              </w:rPr>
              <w:t>项目经理</w:t>
            </w:r>
          </w:p>
        </w:tc>
        <w:tc>
          <w:tcPr>
            <w:tcW w:w="6229" w:type="dxa"/>
            <w:vAlign w:val="top"/>
          </w:tcPr>
          <w:p w14:paraId="1D5D74B9">
            <w:pPr>
              <w:rPr>
                <w:rFonts w:ascii="Arial"/>
                <w:color w:val="auto"/>
                <w:sz w:val="21"/>
                <w:highlight w:val="none"/>
              </w:rPr>
            </w:pPr>
          </w:p>
        </w:tc>
      </w:tr>
      <w:tr w14:paraId="37D5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A97ACD">
            <w:pPr>
              <w:pStyle w:val="21"/>
              <w:spacing w:before="31" w:line="228" w:lineRule="auto"/>
              <w:ind w:left="116"/>
              <w:rPr>
                <w:color w:val="auto"/>
                <w:highlight w:val="none"/>
              </w:rPr>
            </w:pPr>
            <w:r>
              <w:rPr>
                <w:color w:val="auto"/>
                <w:spacing w:val="7"/>
                <w:highlight w:val="none"/>
              </w:rPr>
              <w:t>技术负责人</w:t>
            </w:r>
          </w:p>
        </w:tc>
        <w:tc>
          <w:tcPr>
            <w:tcW w:w="6229" w:type="dxa"/>
            <w:vAlign w:val="top"/>
          </w:tcPr>
          <w:p w14:paraId="6CA4AAF4">
            <w:pPr>
              <w:rPr>
                <w:rFonts w:ascii="Arial"/>
                <w:color w:val="auto"/>
                <w:sz w:val="21"/>
                <w:highlight w:val="none"/>
              </w:rPr>
            </w:pPr>
          </w:p>
        </w:tc>
      </w:tr>
      <w:tr w14:paraId="2D33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4F041E19">
            <w:pPr>
              <w:pStyle w:val="21"/>
              <w:spacing w:before="33" w:line="228" w:lineRule="auto"/>
              <w:ind w:left="121"/>
              <w:rPr>
                <w:color w:val="auto"/>
                <w:highlight w:val="none"/>
              </w:rPr>
            </w:pPr>
            <w:r>
              <w:rPr>
                <w:color w:val="auto"/>
                <w:spacing w:val="8"/>
                <w:highlight w:val="none"/>
              </w:rPr>
              <w:t>总监理工程师及电话</w:t>
            </w:r>
          </w:p>
        </w:tc>
        <w:tc>
          <w:tcPr>
            <w:tcW w:w="6229" w:type="dxa"/>
            <w:vAlign w:val="top"/>
          </w:tcPr>
          <w:p w14:paraId="21C15095">
            <w:pPr>
              <w:rPr>
                <w:rFonts w:ascii="Arial"/>
                <w:color w:val="auto"/>
                <w:sz w:val="21"/>
                <w:highlight w:val="none"/>
              </w:rPr>
            </w:pPr>
          </w:p>
        </w:tc>
      </w:tr>
      <w:tr w14:paraId="4771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8" w:hRule="atLeast"/>
        </w:trPr>
        <w:tc>
          <w:tcPr>
            <w:tcW w:w="3175" w:type="dxa"/>
            <w:vAlign w:val="top"/>
          </w:tcPr>
          <w:p w14:paraId="77DCCEB1">
            <w:pPr>
              <w:spacing w:line="249" w:lineRule="auto"/>
              <w:rPr>
                <w:rFonts w:ascii="Arial"/>
                <w:color w:val="auto"/>
                <w:sz w:val="21"/>
                <w:highlight w:val="none"/>
              </w:rPr>
            </w:pPr>
          </w:p>
          <w:p w14:paraId="78BC3597">
            <w:pPr>
              <w:spacing w:line="249" w:lineRule="auto"/>
              <w:rPr>
                <w:rFonts w:ascii="Arial"/>
                <w:color w:val="auto"/>
                <w:sz w:val="21"/>
                <w:highlight w:val="none"/>
              </w:rPr>
            </w:pPr>
          </w:p>
          <w:p w14:paraId="007602FB">
            <w:pPr>
              <w:spacing w:line="249" w:lineRule="auto"/>
              <w:rPr>
                <w:rFonts w:ascii="Arial"/>
                <w:color w:val="auto"/>
                <w:sz w:val="21"/>
                <w:highlight w:val="none"/>
              </w:rPr>
            </w:pPr>
          </w:p>
          <w:p w14:paraId="6C4E2B81">
            <w:pPr>
              <w:spacing w:line="249" w:lineRule="auto"/>
              <w:rPr>
                <w:rFonts w:ascii="Arial"/>
                <w:color w:val="auto"/>
                <w:sz w:val="21"/>
                <w:highlight w:val="none"/>
              </w:rPr>
            </w:pPr>
          </w:p>
          <w:p w14:paraId="6EAAB202">
            <w:pPr>
              <w:spacing w:line="249" w:lineRule="auto"/>
              <w:rPr>
                <w:rFonts w:ascii="Arial"/>
                <w:color w:val="auto"/>
                <w:sz w:val="21"/>
                <w:highlight w:val="none"/>
              </w:rPr>
            </w:pPr>
          </w:p>
          <w:p w14:paraId="57BCB4E6">
            <w:pPr>
              <w:spacing w:line="249" w:lineRule="auto"/>
              <w:rPr>
                <w:rFonts w:ascii="Arial"/>
                <w:color w:val="auto"/>
                <w:sz w:val="21"/>
                <w:highlight w:val="none"/>
              </w:rPr>
            </w:pPr>
          </w:p>
          <w:p w14:paraId="28AEF9DA">
            <w:pPr>
              <w:spacing w:line="249" w:lineRule="auto"/>
              <w:rPr>
                <w:rFonts w:ascii="Arial"/>
                <w:color w:val="auto"/>
                <w:sz w:val="21"/>
                <w:highlight w:val="none"/>
              </w:rPr>
            </w:pPr>
          </w:p>
          <w:p w14:paraId="652F5EF5">
            <w:pPr>
              <w:spacing w:line="249" w:lineRule="auto"/>
              <w:rPr>
                <w:rFonts w:ascii="Arial"/>
                <w:color w:val="auto"/>
                <w:sz w:val="21"/>
                <w:highlight w:val="none"/>
              </w:rPr>
            </w:pPr>
          </w:p>
          <w:p w14:paraId="31BD10F7">
            <w:pPr>
              <w:spacing w:line="249" w:lineRule="auto"/>
              <w:rPr>
                <w:rFonts w:ascii="Arial"/>
                <w:color w:val="auto"/>
                <w:sz w:val="21"/>
                <w:highlight w:val="none"/>
              </w:rPr>
            </w:pPr>
          </w:p>
          <w:p w14:paraId="244C1CBD">
            <w:pPr>
              <w:pStyle w:val="21"/>
              <w:spacing w:before="65" w:line="228" w:lineRule="auto"/>
              <w:ind w:left="119"/>
              <w:rPr>
                <w:color w:val="auto"/>
                <w:highlight w:val="none"/>
              </w:rPr>
            </w:pPr>
            <w:r>
              <w:rPr>
                <w:color w:val="auto"/>
                <w:spacing w:val="6"/>
                <w:highlight w:val="none"/>
              </w:rPr>
              <w:t>项目描述</w:t>
            </w:r>
          </w:p>
        </w:tc>
        <w:tc>
          <w:tcPr>
            <w:tcW w:w="6229" w:type="dxa"/>
            <w:vAlign w:val="top"/>
          </w:tcPr>
          <w:p w14:paraId="52CB875C">
            <w:pPr>
              <w:rPr>
                <w:rFonts w:ascii="Arial"/>
                <w:color w:val="auto"/>
                <w:sz w:val="21"/>
                <w:highlight w:val="none"/>
              </w:rPr>
            </w:pPr>
          </w:p>
        </w:tc>
      </w:tr>
      <w:tr w14:paraId="3EC8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101638BD">
            <w:pPr>
              <w:pStyle w:val="21"/>
              <w:spacing w:before="36" w:line="229" w:lineRule="auto"/>
              <w:ind w:left="118"/>
              <w:rPr>
                <w:color w:val="auto"/>
                <w:highlight w:val="none"/>
              </w:rPr>
            </w:pPr>
            <w:r>
              <w:rPr>
                <w:color w:val="auto"/>
                <w:spacing w:val="3"/>
                <w:highlight w:val="none"/>
              </w:rPr>
              <w:t>备注</w:t>
            </w:r>
          </w:p>
        </w:tc>
        <w:tc>
          <w:tcPr>
            <w:tcW w:w="6229" w:type="dxa"/>
            <w:vAlign w:val="top"/>
          </w:tcPr>
          <w:p w14:paraId="060DF039">
            <w:pPr>
              <w:rPr>
                <w:rFonts w:ascii="Arial"/>
                <w:color w:val="auto"/>
                <w:sz w:val="21"/>
                <w:highlight w:val="none"/>
              </w:rPr>
            </w:pPr>
          </w:p>
        </w:tc>
      </w:tr>
    </w:tbl>
    <w:p w14:paraId="26023AFB">
      <w:pPr>
        <w:spacing w:before="31" w:line="227" w:lineRule="auto"/>
        <w:ind w:left="435"/>
        <w:outlineLvl w:val="1"/>
        <w:rPr>
          <w:rFonts w:ascii="宋体" w:hAnsi="宋体" w:eastAsia="宋体" w:cs="宋体"/>
          <w:color w:val="auto"/>
          <w:sz w:val="20"/>
          <w:szCs w:val="20"/>
          <w:highlight w:val="none"/>
        </w:rPr>
      </w:pPr>
      <w:bookmarkStart w:id="389" w:name="_Toc2819"/>
      <w:r>
        <w:rPr>
          <w:rFonts w:ascii="宋体" w:hAnsi="宋体" w:eastAsia="宋体" w:cs="宋体"/>
          <w:color w:val="auto"/>
          <w:spacing w:val="9"/>
          <w:sz w:val="20"/>
          <w:szCs w:val="20"/>
          <w:highlight w:val="none"/>
        </w:rPr>
        <w:t>注：附合同或成交（中标）通知书复印件加盖公章</w:t>
      </w:r>
      <w:bookmarkEnd w:id="389"/>
    </w:p>
    <w:p w14:paraId="0E42CDFB">
      <w:pPr>
        <w:spacing w:line="227" w:lineRule="auto"/>
        <w:rPr>
          <w:rFonts w:ascii="宋体" w:hAnsi="宋体" w:eastAsia="宋体" w:cs="宋体"/>
          <w:color w:val="auto"/>
          <w:sz w:val="20"/>
          <w:szCs w:val="20"/>
          <w:highlight w:val="none"/>
        </w:rPr>
        <w:sectPr>
          <w:footerReference r:id="rId40" w:type="default"/>
          <w:pgSz w:w="11906" w:h="16839"/>
          <w:pgMar w:top="1346" w:right="1248" w:bottom="1156" w:left="1248" w:header="0" w:footer="994" w:gutter="0"/>
          <w:pgNumType w:fmt="decimal"/>
          <w:cols w:space="720" w:num="1"/>
        </w:sectPr>
      </w:pPr>
    </w:p>
    <w:p w14:paraId="24B7459B">
      <w:pPr>
        <w:spacing w:before="49" w:line="212" w:lineRule="auto"/>
        <w:ind w:left="2602"/>
        <w:rPr>
          <w:rFonts w:ascii="宋体" w:hAnsi="宋体" w:eastAsia="宋体" w:cs="宋体"/>
          <w:color w:val="auto"/>
          <w:sz w:val="24"/>
          <w:szCs w:val="24"/>
          <w:highlight w:val="none"/>
        </w:rPr>
      </w:pPr>
      <w:r>
        <w:rPr>
          <w:rFonts w:hint="eastAsia" w:ascii="Calibri" w:hAnsi="Calibri" w:eastAsia="宋体" w:cs="Calibri"/>
          <w:b/>
          <w:bCs/>
          <w:color w:val="auto"/>
          <w:spacing w:val="-3"/>
          <w:sz w:val="24"/>
          <w:szCs w:val="24"/>
          <w:highlight w:val="none"/>
          <w:lang w:eastAsia="zh-CN"/>
        </w:rPr>
        <w:t>（</w:t>
      </w:r>
      <w:r>
        <w:rPr>
          <w:rFonts w:ascii="宋体" w:hAnsi="宋体" w:eastAsia="宋体" w:cs="宋体"/>
          <w:b/>
          <w:bCs/>
          <w:color w:val="auto"/>
          <w:spacing w:val="-3"/>
          <w:sz w:val="24"/>
          <w:szCs w:val="24"/>
          <w:highlight w:val="none"/>
        </w:rPr>
        <w:t>六</w:t>
      </w:r>
      <w:r>
        <w:rPr>
          <w:rFonts w:hint="eastAsia" w:ascii="宋体" w:hAnsi="宋体" w:eastAsia="宋体" w:cs="宋体"/>
          <w:b/>
          <w:bCs/>
          <w:color w:val="auto"/>
          <w:spacing w:val="-3"/>
          <w:sz w:val="24"/>
          <w:szCs w:val="24"/>
          <w:highlight w:val="none"/>
          <w:lang w:eastAsia="zh-CN"/>
        </w:rPr>
        <w:t>）</w:t>
      </w:r>
      <w:r>
        <w:rPr>
          <w:rFonts w:ascii="宋体" w:hAnsi="宋体" w:eastAsia="宋体" w:cs="宋体"/>
          <w:b/>
          <w:bCs/>
          <w:color w:val="auto"/>
          <w:spacing w:val="-3"/>
          <w:sz w:val="24"/>
          <w:szCs w:val="24"/>
          <w:highlight w:val="none"/>
        </w:rPr>
        <w:t>信用承诺及信用记录官网查询截图</w:t>
      </w:r>
    </w:p>
    <w:p w14:paraId="4D7C514E">
      <w:pPr>
        <w:pStyle w:val="8"/>
        <w:spacing w:line="424" w:lineRule="auto"/>
        <w:rPr>
          <w:color w:val="auto"/>
          <w:highlight w:val="none"/>
        </w:rPr>
      </w:pPr>
    </w:p>
    <w:p w14:paraId="26F4C441">
      <w:pPr>
        <w:spacing w:before="78" w:line="219" w:lineRule="auto"/>
        <w:ind w:left="3804"/>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信用承诺</w:t>
      </w:r>
    </w:p>
    <w:p w14:paraId="4A09639F">
      <w:pPr>
        <w:tabs>
          <w:tab w:val="left" w:pos="118"/>
        </w:tabs>
        <w:spacing w:before="175" w:line="227"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b/>
          <w:bCs/>
          <w:color w:val="auto"/>
          <w:spacing w:val="-1"/>
          <w:sz w:val="20"/>
          <w:szCs w:val="20"/>
          <w:highlight w:val="none"/>
          <w:u w:val="single" w:color="auto"/>
        </w:rPr>
        <w:t>（采购人或采购代理机构名称</w:t>
      </w:r>
      <w:r>
        <w:rPr>
          <w:rFonts w:ascii="宋体" w:hAnsi="宋体" w:eastAsia="宋体" w:cs="宋体"/>
          <w:b/>
          <w:bCs/>
          <w:color w:val="auto"/>
          <w:sz w:val="20"/>
          <w:szCs w:val="20"/>
          <w:highlight w:val="none"/>
          <w:u w:val="single" w:color="auto"/>
        </w:rPr>
        <w:t>）</w:t>
      </w:r>
      <w:r>
        <w:rPr>
          <w:rFonts w:ascii="宋体" w:hAnsi="宋体" w:eastAsia="宋体" w:cs="宋体"/>
          <w:color w:val="auto"/>
          <w:spacing w:val="17"/>
          <w:sz w:val="20"/>
          <w:szCs w:val="20"/>
          <w:highlight w:val="none"/>
          <w:u w:val="single" w:color="auto"/>
        </w:rPr>
        <w:t xml:space="preserve"> </w:t>
      </w:r>
      <w:r>
        <w:rPr>
          <w:rFonts w:ascii="宋体" w:hAnsi="宋体" w:eastAsia="宋体" w:cs="宋体"/>
          <w:color w:val="auto"/>
          <w:spacing w:val="9"/>
          <w:sz w:val="20"/>
          <w:szCs w:val="20"/>
          <w:highlight w:val="none"/>
        </w:rPr>
        <w:t xml:space="preserve"> </w:t>
      </w:r>
      <w:r>
        <w:rPr>
          <w:rFonts w:ascii="宋体" w:hAnsi="宋体" w:eastAsia="宋体" w:cs="宋体"/>
          <w:b/>
          <w:bCs/>
          <w:color w:val="auto"/>
          <w:sz w:val="20"/>
          <w:szCs w:val="20"/>
          <w:highlight w:val="none"/>
        </w:rPr>
        <w:t>：</w:t>
      </w:r>
    </w:p>
    <w:p w14:paraId="37CD879B">
      <w:pPr>
        <w:pStyle w:val="8"/>
        <w:spacing w:line="284" w:lineRule="auto"/>
        <w:rPr>
          <w:color w:val="auto"/>
          <w:highlight w:val="none"/>
        </w:rPr>
      </w:pPr>
    </w:p>
    <w:p w14:paraId="5AB6379D">
      <w:pPr>
        <w:spacing w:before="65" w:line="227" w:lineRule="auto"/>
        <w:jc w:val="right"/>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我单位未发生被列入政府取消投标资格记录期间的企业或个人投标情况；通过“信用中国</w:t>
      </w:r>
      <w:r>
        <w:rPr>
          <w:rFonts w:ascii="宋体" w:hAnsi="宋体" w:eastAsia="宋体" w:cs="宋体"/>
          <w:color w:val="auto"/>
          <w:spacing w:val="-61"/>
          <w:sz w:val="20"/>
          <w:szCs w:val="20"/>
          <w:highlight w:val="none"/>
        </w:rPr>
        <w:t xml:space="preserve"> </w:t>
      </w:r>
      <w:r>
        <w:rPr>
          <w:rFonts w:ascii="宋体" w:hAnsi="宋体" w:eastAsia="宋体" w:cs="宋体"/>
          <w:color w:val="auto"/>
          <w:spacing w:val="3"/>
          <w:sz w:val="20"/>
          <w:szCs w:val="20"/>
          <w:highlight w:val="none"/>
        </w:rPr>
        <w:t>”</w:t>
      </w:r>
      <w:r>
        <w:rPr>
          <w:rFonts w:hint="eastAsia" w:ascii="宋体" w:hAnsi="宋体" w:eastAsia="宋体" w:cs="宋体"/>
          <w:color w:val="auto"/>
          <w:spacing w:val="3"/>
          <w:sz w:val="20"/>
          <w:szCs w:val="20"/>
          <w:highlight w:val="none"/>
          <w:lang w:eastAsia="zh-CN"/>
        </w:rPr>
        <w:t>（</w:t>
      </w:r>
      <w:r>
        <w:rPr>
          <w:rFonts w:ascii="宋体" w:hAnsi="宋体" w:eastAsia="宋体" w:cs="宋体"/>
          <w:color w:val="auto"/>
          <w:spacing w:val="3"/>
          <w:sz w:val="20"/>
          <w:szCs w:val="20"/>
          <w:highlight w:val="none"/>
        </w:rPr>
        <w:t>网站：</w:t>
      </w:r>
    </w:p>
    <w:p w14:paraId="6802DCC0">
      <w:pPr>
        <w:spacing w:before="253" w:line="222" w:lineRule="auto"/>
        <w:ind w:left="1"/>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eastAsia="宋体" w:cs="宋体"/>
          <w:color w:val="auto"/>
          <w:sz w:val="20"/>
          <w:szCs w:val="20"/>
          <w:highlight w:val="none"/>
        </w:rPr>
        <w:t>www</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4"/>
          <w:sz w:val="20"/>
          <w:szCs w:val="20"/>
          <w:highlight w:val="none"/>
        </w:rPr>
        <w:t>/)、“中国政府采购网”（网站</w:t>
      </w:r>
      <w:r>
        <w:rPr>
          <w:rFonts w:ascii="宋体" w:hAnsi="宋体" w:eastAsia="宋体" w:cs="宋体"/>
          <w:color w:val="auto"/>
          <w:spacing w:val="-46"/>
          <w:sz w:val="20"/>
          <w:szCs w:val="20"/>
          <w:highlight w:val="none"/>
        </w:rPr>
        <w:t xml:space="preserve"> </w:t>
      </w:r>
      <w:r>
        <w:rPr>
          <w:rFonts w:ascii="宋体" w:hAnsi="宋体" w:eastAsia="宋体" w:cs="宋体"/>
          <w:color w:val="auto"/>
          <w:sz w:val="20"/>
          <w:szCs w:val="20"/>
          <w:highlight w:val="none"/>
        </w:rPr>
        <w:t>www</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4"/>
          <w:sz w:val="20"/>
          <w:szCs w:val="20"/>
          <w:highlight w:val="none"/>
        </w:rPr>
        <w:t>）等渠道查询，我单位未</w:t>
      </w:r>
      <w:r>
        <w:rPr>
          <w:rFonts w:ascii="宋体" w:hAnsi="宋体" w:eastAsia="宋体" w:cs="宋体"/>
          <w:color w:val="auto"/>
          <w:spacing w:val="14"/>
          <w:sz w:val="20"/>
          <w:szCs w:val="20"/>
          <w:highlight w:val="none"/>
        </w:rPr>
        <w:fldChar w:fldCharType="end"/>
      </w:r>
    </w:p>
    <w:p w14:paraId="01410FA3">
      <w:pPr>
        <w:spacing w:before="261" w:line="227" w:lineRule="auto"/>
        <w:ind w:left="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被列入失信被执行人、重大税收违法案件当</w:t>
      </w:r>
      <w:r>
        <w:rPr>
          <w:rFonts w:ascii="宋体" w:hAnsi="宋体" w:eastAsia="宋体" w:cs="宋体"/>
          <w:color w:val="auto"/>
          <w:spacing w:val="9"/>
          <w:sz w:val="20"/>
          <w:szCs w:val="20"/>
          <w:highlight w:val="none"/>
        </w:rPr>
        <w:t>事人名单、政府采购严重违法失信行为记录名单。</w:t>
      </w:r>
    </w:p>
    <w:p w14:paraId="17AAFCF7">
      <w:pPr>
        <w:spacing w:before="254" w:line="448" w:lineRule="auto"/>
        <w:ind w:left="13" w:right="50" w:firstLine="37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如发现我单位提供的承诺不实时，我单位将按照《政府采购法》有关提供虚假材料的规定，接受</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处罚。</w:t>
      </w:r>
    </w:p>
    <w:p w14:paraId="48BB74B7">
      <w:pPr>
        <w:pStyle w:val="8"/>
        <w:spacing w:line="256" w:lineRule="auto"/>
        <w:rPr>
          <w:color w:val="auto"/>
          <w:highlight w:val="none"/>
        </w:rPr>
      </w:pPr>
    </w:p>
    <w:p w14:paraId="6EB0FAC9">
      <w:pPr>
        <w:pStyle w:val="8"/>
        <w:spacing w:line="257" w:lineRule="auto"/>
        <w:rPr>
          <w:color w:val="auto"/>
          <w:highlight w:val="none"/>
        </w:rPr>
      </w:pPr>
    </w:p>
    <w:p w14:paraId="38FAE275">
      <w:pPr>
        <w:pStyle w:val="8"/>
        <w:spacing w:line="257" w:lineRule="auto"/>
        <w:rPr>
          <w:color w:val="auto"/>
          <w:highlight w:val="none"/>
        </w:rPr>
      </w:pPr>
    </w:p>
    <w:p w14:paraId="68016575">
      <w:pPr>
        <w:spacing w:before="66" w:line="227" w:lineRule="auto"/>
        <w:ind w:left="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供应商名称（加盖单位公章</w:t>
      </w:r>
      <w:r>
        <w:rPr>
          <w:rFonts w:ascii="宋体" w:hAnsi="宋体" w:eastAsia="宋体" w:cs="宋体"/>
          <w:color w:val="auto"/>
          <w:sz w:val="20"/>
          <w:szCs w:val="20"/>
          <w:highlight w:val="none"/>
        </w:rPr>
        <w:t>）：</w:t>
      </w:r>
    </w:p>
    <w:p w14:paraId="72B42E54">
      <w:pPr>
        <w:spacing w:before="300" w:line="486" w:lineRule="auto"/>
        <w:ind w:left="44" w:right="5318" w:hanging="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法定代表人或其授权委托人</w:t>
      </w:r>
      <w:r>
        <w:rPr>
          <w:rFonts w:hint="eastAsia" w:ascii="宋体" w:hAnsi="宋体" w:eastAsia="宋体" w:cs="宋体"/>
          <w:color w:val="auto"/>
          <w:spacing w:val="6"/>
          <w:sz w:val="20"/>
          <w:szCs w:val="20"/>
          <w:highlight w:val="none"/>
          <w:lang w:eastAsia="zh-CN"/>
        </w:rPr>
        <w:t>（</w:t>
      </w:r>
      <w:r>
        <w:rPr>
          <w:rFonts w:ascii="宋体" w:hAnsi="宋体" w:eastAsia="宋体" w:cs="宋体"/>
          <w:color w:val="auto"/>
          <w:spacing w:val="6"/>
          <w:sz w:val="20"/>
          <w:szCs w:val="20"/>
          <w:highlight w:val="none"/>
        </w:rPr>
        <w:t>签字或盖章</w:t>
      </w:r>
      <w:r>
        <w:rPr>
          <w:rFonts w:hint="eastAsia" w:ascii="宋体" w:hAnsi="宋体" w:eastAsia="宋体" w:cs="宋体"/>
          <w:color w:val="auto"/>
          <w:spacing w:val="6"/>
          <w:sz w:val="20"/>
          <w:szCs w:val="20"/>
          <w:highlight w:val="none"/>
          <w:lang w:eastAsia="zh-CN"/>
        </w:rPr>
        <w:t>）</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日期：</w:t>
      </w:r>
    </w:p>
    <w:p w14:paraId="3238281C">
      <w:pPr>
        <w:pStyle w:val="8"/>
        <w:spacing w:line="249" w:lineRule="auto"/>
        <w:rPr>
          <w:color w:val="auto"/>
          <w:highlight w:val="none"/>
        </w:rPr>
      </w:pPr>
    </w:p>
    <w:p w14:paraId="0A6FA90B">
      <w:pPr>
        <w:pStyle w:val="8"/>
        <w:spacing w:line="249" w:lineRule="auto"/>
        <w:rPr>
          <w:color w:val="auto"/>
          <w:highlight w:val="none"/>
        </w:rPr>
      </w:pPr>
    </w:p>
    <w:p w14:paraId="0D7937FD">
      <w:pPr>
        <w:pStyle w:val="8"/>
        <w:spacing w:line="249" w:lineRule="auto"/>
        <w:rPr>
          <w:color w:val="auto"/>
          <w:highlight w:val="none"/>
        </w:rPr>
      </w:pPr>
    </w:p>
    <w:p w14:paraId="45501261">
      <w:pPr>
        <w:pStyle w:val="8"/>
        <w:spacing w:line="249" w:lineRule="auto"/>
        <w:rPr>
          <w:color w:val="auto"/>
          <w:highlight w:val="none"/>
        </w:rPr>
      </w:pPr>
    </w:p>
    <w:p w14:paraId="11E51EB7">
      <w:pPr>
        <w:pStyle w:val="8"/>
        <w:spacing w:line="249" w:lineRule="auto"/>
        <w:rPr>
          <w:color w:val="auto"/>
          <w:highlight w:val="none"/>
        </w:rPr>
      </w:pPr>
    </w:p>
    <w:p w14:paraId="479C47D9">
      <w:pPr>
        <w:pStyle w:val="8"/>
        <w:spacing w:line="249" w:lineRule="auto"/>
        <w:rPr>
          <w:color w:val="auto"/>
          <w:highlight w:val="none"/>
        </w:rPr>
      </w:pPr>
    </w:p>
    <w:p w14:paraId="634EBBC8">
      <w:pPr>
        <w:pStyle w:val="8"/>
        <w:spacing w:line="249" w:lineRule="auto"/>
        <w:rPr>
          <w:color w:val="auto"/>
          <w:highlight w:val="none"/>
        </w:rPr>
      </w:pPr>
    </w:p>
    <w:p w14:paraId="7277B74E">
      <w:pPr>
        <w:pStyle w:val="8"/>
        <w:spacing w:line="249" w:lineRule="auto"/>
        <w:rPr>
          <w:color w:val="auto"/>
          <w:highlight w:val="none"/>
        </w:rPr>
      </w:pPr>
    </w:p>
    <w:p w14:paraId="67FC01E4">
      <w:pPr>
        <w:pStyle w:val="8"/>
        <w:spacing w:line="249" w:lineRule="auto"/>
        <w:rPr>
          <w:color w:val="auto"/>
          <w:highlight w:val="none"/>
        </w:rPr>
      </w:pPr>
    </w:p>
    <w:p w14:paraId="25D0CF38">
      <w:pPr>
        <w:pStyle w:val="8"/>
        <w:spacing w:line="249" w:lineRule="auto"/>
        <w:rPr>
          <w:color w:val="auto"/>
          <w:highlight w:val="none"/>
        </w:rPr>
      </w:pPr>
    </w:p>
    <w:p w14:paraId="205EE867">
      <w:pPr>
        <w:pStyle w:val="8"/>
        <w:spacing w:line="249" w:lineRule="auto"/>
        <w:rPr>
          <w:color w:val="auto"/>
          <w:highlight w:val="none"/>
        </w:rPr>
      </w:pPr>
    </w:p>
    <w:p w14:paraId="2EB89E11">
      <w:pPr>
        <w:pStyle w:val="8"/>
        <w:spacing w:line="250" w:lineRule="auto"/>
        <w:rPr>
          <w:color w:val="auto"/>
          <w:highlight w:val="none"/>
        </w:rPr>
      </w:pPr>
    </w:p>
    <w:p w14:paraId="77F0C7FA">
      <w:pPr>
        <w:pStyle w:val="8"/>
        <w:spacing w:line="250" w:lineRule="auto"/>
        <w:rPr>
          <w:color w:val="auto"/>
          <w:highlight w:val="none"/>
        </w:rPr>
      </w:pPr>
    </w:p>
    <w:p w14:paraId="622E5417">
      <w:pPr>
        <w:pStyle w:val="8"/>
        <w:spacing w:line="250" w:lineRule="auto"/>
        <w:rPr>
          <w:color w:val="auto"/>
          <w:highlight w:val="none"/>
        </w:rPr>
      </w:pPr>
    </w:p>
    <w:p w14:paraId="46E8CD54">
      <w:pPr>
        <w:spacing w:before="65" w:line="222" w:lineRule="auto"/>
        <w:ind w:left="8"/>
        <w:outlineLvl w:val="1"/>
        <w:rPr>
          <w:rFonts w:ascii="宋体" w:hAnsi="宋体" w:eastAsia="宋体" w:cs="宋体"/>
          <w:color w:val="auto"/>
          <w:sz w:val="20"/>
          <w:szCs w:val="20"/>
          <w:highlight w:val="none"/>
        </w:rPr>
      </w:pPr>
      <w:bookmarkStart w:id="390" w:name="_Toc32102"/>
      <w:r>
        <w:rPr>
          <w:rFonts w:ascii="宋体" w:hAnsi="宋体" w:eastAsia="宋体" w:cs="宋体"/>
          <w:b/>
          <w:bCs/>
          <w:color w:val="auto"/>
          <w:spacing w:val="6"/>
          <w:sz w:val="20"/>
          <w:szCs w:val="20"/>
          <w:highlight w:val="none"/>
        </w:rPr>
        <w:t>注：此后须附以下官网查询截图：未被“信用中国</w:t>
      </w:r>
      <w:r>
        <w:rPr>
          <w:rFonts w:ascii="宋体" w:hAnsi="宋体" w:eastAsia="宋体" w:cs="宋体"/>
          <w:color w:val="auto"/>
          <w:spacing w:val="-71"/>
          <w:sz w:val="20"/>
          <w:szCs w:val="20"/>
          <w:highlight w:val="none"/>
        </w:rPr>
        <w:t xml:space="preserve"> </w:t>
      </w:r>
      <w:r>
        <w:rPr>
          <w:rFonts w:ascii="宋体" w:hAnsi="宋体" w:eastAsia="宋体" w:cs="宋体"/>
          <w:b/>
          <w:bCs/>
          <w:color w:val="auto"/>
          <w:spacing w:val="6"/>
          <w:sz w:val="20"/>
          <w:szCs w:val="20"/>
          <w:highlight w:val="none"/>
        </w:rPr>
        <w:t>”网站（</w:t>
      </w:r>
      <w:r>
        <w:rPr>
          <w:rFonts w:ascii="宋体" w:hAnsi="宋体" w:eastAsia="宋体" w:cs="宋体"/>
          <w:b/>
          <w:bCs/>
          <w:color w:val="auto"/>
          <w:sz w:val="20"/>
          <w:szCs w:val="20"/>
          <w:highlight w:val="none"/>
        </w:rPr>
        <w:t>www</w:t>
      </w:r>
      <w:r>
        <w:rPr>
          <w:rFonts w:ascii="宋体" w:hAnsi="宋体" w:eastAsia="宋体" w:cs="宋体"/>
          <w:b/>
          <w:bCs/>
          <w:color w:val="auto"/>
          <w:spacing w:val="6"/>
          <w:sz w:val="20"/>
          <w:szCs w:val="20"/>
          <w:highlight w:val="none"/>
        </w:rPr>
        <w:t>.</w:t>
      </w:r>
      <w:r>
        <w:rPr>
          <w:rFonts w:ascii="宋体" w:hAnsi="宋体" w:eastAsia="宋体" w:cs="宋体"/>
          <w:b/>
          <w:bCs/>
          <w:color w:val="auto"/>
          <w:sz w:val="20"/>
          <w:szCs w:val="20"/>
          <w:highlight w:val="none"/>
        </w:rPr>
        <w:t>creditchina</w:t>
      </w:r>
      <w:r>
        <w:rPr>
          <w:rFonts w:ascii="宋体" w:hAnsi="宋体" w:eastAsia="宋体" w:cs="宋体"/>
          <w:b/>
          <w:bCs/>
          <w:color w:val="auto"/>
          <w:spacing w:val="6"/>
          <w:sz w:val="20"/>
          <w:szCs w:val="20"/>
          <w:highlight w:val="none"/>
        </w:rPr>
        <w:t>.</w:t>
      </w:r>
      <w:r>
        <w:rPr>
          <w:rFonts w:ascii="宋体" w:hAnsi="宋体" w:eastAsia="宋体" w:cs="宋体"/>
          <w:b/>
          <w:bCs/>
          <w:color w:val="auto"/>
          <w:sz w:val="20"/>
          <w:szCs w:val="20"/>
          <w:highlight w:val="none"/>
        </w:rPr>
        <w:t>gov</w:t>
      </w:r>
      <w:r>
        <w:rPr>
          <w:rFonts w:ascii="宋体" w:hAnsi="宋体" w:eastAsia="宋体" w:cs="宋体"/>
          <w:b/>
          <w:bCs/>
          <w:color w:val="auto"/>
          <w:spacing w:val="6"/>
          <w:sz w:val="20"/>
          <w:szCs w:val="20"/>
          <w:highlight w:val="none"/>
        </w:rPr>
        <w:t>.</w:t>
      </w:r>
      <w:r>
        <w:rPr>
          <w:rFonts w:ascii="宋体" w:hAnsi="宋体" w:eastAsia="宋体" w:cs="宋体"/>
          <w:b/>
          <w:bCs/>
          <w:color w:val="auto"/>
          <w:sz w:val="20"/>
          <w:szCs w:val="20"/>
          <w:highlight w:val="none"/>
        </w:rPr>
        <w:t>cn</w:t>
      </w:r>
      <w:r>
        <w:rPr>
          <w:rFonts w:ascii="宋体" w:hAnsi="宋体" w:eastAsia="宋体" w:cs="宋体"/>
          <w:b/>
          <w:bCs/>
          <w:color w:val="auto"/>
          <w:spacing w:val="11"/>
          <w:sz w:val="20"/>
          <w:szCs w:val="20"/>
          <w:highlight w:val="none"/>
        </w:rPr>
        <w:t>）；</w:t>
      </w:r>
      <w:r>
        <w:rPr>
          <w:rFonts w:ascii="宋体" w:hAnsi="宋体" w:eastAsia="宋体" w:cs="宋体"/>
          <w:b/>
          <w:bCs/>
          <w:color w:val="auto"/>
          <w:spacing w:val="6"/>
          <w:sz w:val="20"/>
          <w:szCs w:val="20"/>
          <w:highlight w:val="none"/>
        </w:rPr>
        <w:t>中国政府采</w:t>
      </w:r>
      <w:bookmarkEnd w:id="390"/>
    </w:p>
    <w:p w14:paraId="6FF42B68">
      <w:pPr>
        <w:spacing w:before="32" w:line="239" w:lineRule="auto"/>
        <w:ind w:left="8" w:right="72" w:hanging="1"/>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购网（</w:t>
      </w:r>
      <w:r>
        <w:rPr>
          <w:rFonts w:ascii="宋体" w:hAnsi="宋体" w:eastAsia="宋体" w:cs="宋体"/>
          <w:b/>
          <w:bCs/>
          <w:color w:val="auto"/>
          <w:sz w:val="20"/>
          <w:szCs w:val="20"/>
          <w:highlight w:val="none"/>
        </w:rPr>
        <w:t>www</w:t>
      </w:r>
      <w:r>
        <w:rPr>
          <w:rFonts w:ascii="宋体" w:hAnsi="宋体" w:eastAsia="宋体" w:cs="宋体"/>
          <w:b/>
          <w:bCs/>
          <w:color w:val="auto"/>
          <w:spacing w:val="9"/>
          <w:sz w:val="20"/>
          <w:szCs w:val="20"/>
          <w:highlight w:val="none"/>
        </w:rPr>
        <w:t>.</w:t>
      </w:r>
      <w:r>
        <w:rPr>
          <w:rFonts w:ascii="宋体" w:hAnsi="宋体" w:eastAsia="宋体" w:cs="宋体"/>
          <w:b/>
          <w:bCs/>
          <w:color w:val="auto"/>
          <w:sz w:val="20"/>
          <w:szCs w:val="20"/>
          <w:highlight w:val="none"/>
        </w:rPr>
        <w:t>ccgp</w:t>
      </w:r>
      <w:r>
        <w:rPr>
          <w:rFonts w:ascii="宋体" w:hAnsi="宋体" w:eastAsia="宋体" w:cs="宋体"/>
          <w:b/>
          <w:bCs/>
          <w:color w:val="auto"/>
          <w:spacing w:val="9"/>
          <w:sz w:val="20"/>
          <w:szCs w:val="20"/>
          <w:highlight w:val="none"/>
        </w:rPr>
        <w:t>.</w:t>
      </w:r>
      <w:r>
        <w:rPr>
          <w:rFonts w:ascii="宋体" w:hAnsi="宋体" w:eastAsia="宋体" w:cs="宋体"/>
          <w:b/>
          <w:bCs/>
          <w:color w:val="auto"/>
          <w:sz w:val="20"/>
          <w:szCs w:val="20"/>
          <w:highlight w:val="none"/>
        </w:rPr>
        <w:t>gov</w:t>
      </w:r>
      <w:r>
        <w:rPr>
          <w:rFonts w:ascii="宋体" w:hAnsi="宋体" w:eastAsia="宋体" w:cs="宋体"/>
          <w:b/>
          <w:bCs/>
          <w:color w:val="auto"/>
          <w:spacing w:val="9"/>
          <w:sz w:val="20"/>
          <w:szCs w:val="20"/>
          <w:highlight w:val="none"/>
        </w:rPr>
        <w:t>.</w:t>
      </w:r>
      <w:r>
        <w:rPr>
          <w:rFonts w:ascii="宋体" w:hAnsi="宋体" w:eastAsia="宋体" w:cs="宋体"/>
          <w:b/>
          <w:bCs/>
          <w:color w:val="auto"/>
          <w:sz w:val="20"/>
          <w:szCs w:val="20"/>
          <w:highlight w:val="none"/>
        </w:rPr>
        <w:t>cn</w:t>
      </w:r>
      <w:r>
        <w:rPr>
          <w:rFonts w:ascii="宋体" w:hAnsi="宋体" w:eastAsia="宋体" w:cs="宋体"/>
          <w:b/>
          <w:bCs/>
          <w:color w:val="auto"/>
          <w:spacing w:val="9"/>
          <w:sz w:val="20"/>
          <w:szCs w:val="20"/>
          <w:highlight w:val="none"/>
        </w:rPr>
        <w:t>）列入失信被执行人、重大税收违法案件当事人名单、政府采购严重违法失</w:t>
      </w:r>
      <w:r>
        <w:rPr>
          <w:rFonts w:ascii="宋体" w:hAnsi="宋体" w:eastAsia="宋体" w:cs="宋体"/>
          <w:color w:val="auto"/>
          <w:spacing w:val="8"/>
          <w:sz w:val="20"/>
          <w:szCs w:val="20"/>
          <w:highlight w:val="none"/>
        </w:rPr>
        <w:t xml:space="preserve">  </w:t>
      </w:r>
      <w:r>
        <w:rPr>
          <w:rFonts w:ascii="宋体" w:hAnsi="宋体" w:eastAsia="宋体" w:cs="宋体"/>
          <w:b/>
          <w:bCs/>
          <w:color w:val="auto"/>
          <w:spacing w:val="8"/>
          <w:sz w:val="20"/>
          <w:szCs w:val="20"/>
          <w:highlight w:val="none"/>
        </w:rPr>
        <w:t>信行为记录名单证明。需在公告发布之后至投标截止期间查询打印网站查询结果截图加盖公章。</w:t>
      </w:r>
    </w:p>
    <w:p w14:paraId="450638AF">
      <w:pPr>
        <w:spacing w:line="239" w:lineRule="auto"/>
        <w:rPr>
          <w:rFonts w:ascii="宋体" w:hAnsi="宋体" w:eastAsia="宋体" w:cs="宋体"/>
          <w:color w:val="auto"/>
          <w:sz w:val="20"/>
          <w:szCs w:val="20"/>
          <w:highlight w:val="none"/>
        </w:rPr>
        <w:sectPr>
          <w:footerReference r:id="rId41" w:type="default"/>
          <w:pgSz w:w="11906" w:h="16839"/>
          <w:pgMar w:top="1346" w:right="1290" w:bottom="1156" w:left="1360" w:header="0" w:footer="994" w:gutter="0"/>
          <w:pgNumType w:fmt="decimal"/>
          <w:cols w:space="720" w:num="1"/>
        </w:sectPr>
      </w:pPr>
    </w:p>
    <w:p w14:paraId="30C76AB6">
      <w:pPr>
        <w:pStyle w:val="8"/>
        <w:spacing w:line="253" w:lineRule="auto"/>
        <w:rPr>
          <w:color w:val="auto"/>
          <w:highlight w:val="none"/>
        </w:rPr>
      </w:pPr>
    </w:p>
    <w:p w14:paraId="46404B53">
      <w:pPr>
        <w:pStyle w:val="8"/>
        <w:spacing w:line="253" w:lineRule="auto"/>
        <w:rPr>
          <w:color w:val="auto"/>
          <w:highlight w:val="none"/>
        </w:rPr>
      </w:pPr>
    </w:p>
    <w:p w14:paraId="21284026">
      <w:pPr>
        <w:spacing w:before="78" w:line="219" w:lineRule="auto"/>
        <w:ind w:left="518"/>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（七）参加政府采购活动前</w:t>
      </w:r>
      <w:r>
        <w:rPr>
          <w:rFonts w:ascii="宋体" w:hAnsi="宋体" w:eastAsia="宋体" w:cs="宋体"/>
          <w:color w:val="auto"/>
          <w:spacing w:val="-46"/>
          <w:sz w:val="24"/>
          <w:szCs w:val="24"/>
          <w:highlight w:val="none"/>
        </w:rPr>
        <w:t xml:space="preserve"> </w:t>
      </w:r>
      <w:r>
        <w:rPr>
          <w:rFonts w:ascii="宋体" w:hAnsi="宋体" w:eastAsia="宋体" w:cs="宋体"/>
          <w:b/>
          <w:bCs/>
          <w:color w:val="auto"/>
          <w:spacing w:val="-3"/>
          <w:sz w:val="24"/>
          <w:szCs w:val="24"/>
          <w:highlight w:val="none"/>
        </w:rPr>
        <w:t>3</w:t>
      </w:r>
      <w:r>
        <w:rPr>
          <w:rFonts w:ascii="宋体" w:hAnsi="宋体" w:eastAsia="宋体" w:cs="宋体"/>
          <w:color w:val="auto"/>
          <w:spacing w:val="-47"/>
          <w:sz w:val="24"/>
          <w:szCs w:val="24"/>
          <w:highlight w:val="none"/>
        </w:rPr>
        <w:t xml:space="preserve"> </w:t>
      </w:r>
      <w:r>
        <w:rPr>
          <w:rFonts w:ascii="宋体" w:hAnsi="宋体" w:eastAsia="宋体" w:cs="宋体"/>
          <w:b/>
          <w:bCs/>
          <w:color w:val="auto"/>
          <w:spacing w:val="-3"/>
          <w:sz w:val="24"/>
          <w:szCs w:val="24"/>
          <w:highlight w:val="none"/>
        </w:rPr>
        <w:t>年内在经营活动中没有重大违法记录的书面</w:t>
      </w:r>
      <w:r>
        <w:rPr>
          <w:rFonts w:ascii="宋体" w:hAnsi="宋体" w:eastAsia="宋体" w:cs="宋体"/>
          <w:b/>
          <w:bCs/>
          <w:color w:val="auto"/>
          <w:spacing w:val="-4"/>
          <w:sz w:val="24"/>
          <w:szCs w:val="24"/>
          <w:highlight w:val="none"/>
        </w:rPr>
        <w:t>声明</w:t>
      </w:r>
    </w:p>
    <w:p w14:paraId="16272672">
      <w:pPr>
        <w:pStyle w:val="8"/>
        <w:spacing w:line="289" w:lineRule="auto"/>
        <w:rPr>
          <w:color w:val="auto"/>
          <w:highlight w:val="none"/>
        </w:rPr>
      </w:pPr>
    </w:p>
    <w:p w14:paraId="55EE7F6A">
      <w:pPr>
        <w:pStyle w:val="8"/>
        <w:spacing w:line="290" w:lineRule="auto"/>
        <w:rPr>
          <w:color w:val="auto"/>
          <w:highlight w:val="none"/>
        </w:rPr>
      </w:pPr>
    </w:p>
    <w:p w14:paraId="33F05981">
      <w:pPr>
        <w:pStyle w:val="8"/>
        <w:spacing w:line="290" w:lineRule="auto"/>
        <w:rPr>
          <w:color w:val="auto"/>
          <w:highlight w:val="none"/>
        </w:rPr>
      </w:pPr>
    </w:p>
    <w:p w14:paraId="78A32C86">
      <w:pPr>
        <w:tabs>
          <w:tab w:val="left" w:pos="118"/>
        </w:tabs>
        <w:spacing w:before="65" w:line="227"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b/>
          <w:bCs/>
          <w:color w:val="auto"/>
          <w:spacing w:val="-1"/>
          <w:sz w:val="20"/>
          <w:szCs w:val="20"/>
          <w:highlight w:val="none"/>
          <w:u w:val="single" w:color="auto"/>
        </w:rPr>
        <w:t>（采购人或采购代理机构名称</w:t>
      </w:r>
      <w:r>
        <w:rPr>
          <w:rFonts w:ascii="宋体" w:hAnsi="宋体" w:eastAsia="宋体" w:cs="宋体"/>
          <w:b/>
          <w:bCs/>
          <w:color w:val="auto"/>
          <w:sz w:val="20"/>
          <w:szCs w:val="20"/>
          <w:highlight w:val="none"/>
          <w:u w:val="single" w:color="auto"/>
        </w:rPr>
        <w:t>）</w:t>
      </w:r>
      <w:r>
        <w:rPr>
          <w:rFonts w:ascii="宋体" w:hAnsi="宋体" w:eastAsia="宋体" w:cs="宋体"/>
          <w:b/>
          <w:bCs/>
          <w:color w:val="auto"/>
          <w:sz w:val="20"/>
          <w:szCs w:val="20"/>
          <w:highlight w:val="none"/>
        </w:rPr>
        <w:t>：</w:t>
      </w:r>
    </w:p>
    <w:p w14:paraId="2436F535">
      <w:pPr>
        <w:pStyle w:val="8"/>
        <w:spacing w:line="284" w:lineRule="auto"/>
        <w:rPr>
          <w:color w:val="auto"/>
          <w:highlight w:val="none"/>
        </w:rPr>
      </w:pPr>
    </w:p>
    <w:p w14:paraId="01354592">
      <w:pPr>
        <w:spacing w:before="65" w:line="452" w:lineRule="auto"/>
        <w:ind w:left="8" w:right="2" w:firstLine="491"/>
        <w:jc w:val="both"/>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在本项目提交响应文件截止时间前，我单位参</w:t>
      </w:r>
      <w:r>
        <w:rPr>
          <w:rFonts w:ascii="宋体" w:hAnsi="宋体" w:eastAsia="宋体" w:cs="宋体"/>
          <w:color w:val="auto"/>
          <w:spacing w:val="11"/>
          <w:sz w:val="20"/>
          <w:szCs w:val="20"/>
          <w:highlight w:val="none"/>
        </w:rPr>
        <w:t>加本次政府采购活动前</w:t>
      </w:r>
      <w:r>
        <w:rPr>
          <w:rFonts w:ascii="宋体" w:hAnsi="宋体" w:eastAsia="宋体" w:cs="宋体"/>
          <w:color w:val="auto"/>
          <w:spacing w:val="-33"/>
          <w:sz w:val="20"/>
          <w:szCs w:val="20"/>
          <w:highlight w:val="none"/>
        </w:rPr>
        <w:t xml:space="preserve"> </w:t>
      </w:r>
      <w:r>
        <w:rPr>
          <w:rFonts w:ascii="宋体" w:hAnsi="宋体" w:eastAsia="宋体" w:cs="宋体"/>
          <w:color w:val="auto"/>
          <w:spacing w:val="11"/>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11"/>
          <w:sz w:val="20"/>
          <w:szCs w:val="20"/>
          <w:highlight w:val="none"/>
        </w:rPr>
        <w:t>年内在经营活动中没有</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因违法经营受到刑事处罚或者责令停产停业、吊销许可证或者执照、较大数额罚款等行政处</w:t>
      </w:r>
      <w:r>
        <w:rPr>
          <w:rFonts w:ascii="宋体" w:hAnsi="宋体" w:eastAsia="宋体" w:cs="宋体"/>
          <w:color w:val="auto"/>
          <w:spacing w:val="8"/>
          <w:sz w:val="20"/>
          <w:szCs w:val="20"/>
          <w:highlight w:val="none"/>
        </w:rPr>
        <w:t>罚的重大</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违法记录。</w:t>
      </w:r>
    </w:p>
    <w:p w14:paraId="46A7E9F7">
      <w:pPr>
        <w:spacing w:before="32" w:line="447" w:lineRule="auto"/>
        <w:ind w:left="13" w:firstLine="37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如发现我单位提供的声明函不实时，我单位将按照《政府采购法》有关提供虚假材料的规定，接</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受处罚。</w:t>
      </w:r>
    </w:p>
    <w:p w14:paraId="63D39F32">
      <w:pPr>
        <w:spacing w:before="29" w:line="228" w:lineRule="auto"/>
        <w:ind w:left="42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特此声明。</w:t>
      </w:r>
    </w:p>
    <w:p w14:paraId="0A259A49">
      <w:pPr>
        <w:pStyle w:val="8"/>
        <w:spacing w:line="248" w:lineRule="auto"/>
        <w:rPr>
          <w:color w:val="auto"/>
          <w:highlight w:val="none"/>
        </w:rPr>
      </w:pPr>
    </w:p>
    <w:p w14:paraId="1CF28EF5">
      <w:pPr>
        <w:pStyle w:val="8"/>
        <w:spacing w:line="248" w:lineRule="auto"/>
        <w:rPr>
          <w:color w:val="auto"/>
          <w:highlight w:val="none"/>
        </w:rPr>
      </w:pPr>
    </w:p>
    <w:p w14:paraId="7364A061">
      <w:pPr>
        <w:pStyle w:val="8"/>
        <w:spacing w:line="248" w:lineRule="auto"/>
        <w:rPr>
          <w:color w:val="auto"/>
          <w:highlight w:val="none"/>
        </w:rPr>
      </w:pPr>
    </w:p>
    <w:p w14:paraId="0051BBB2">
      <w:pPr>
        <w:pStyle w:val="8"/>
        <w:spacing w:line="248" w:lineRule="auto"/>
        <w:rPr>
          <w:color w:val="auto"/>
          <w:highlight w:val="none"/>
        </w:rPr>
      </w:pPr>
    </w:p>
    <w:p w14:paraId="3F19CE85">
      <w:pPr>
        <w:spacing w:before="65" w:line="227" w:lineRule="auto"/>
        <w:ind w:left="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供应商名称（加盖单位公章</w:t>
      </w:r>
      <w:r>
        <w:rPr>
          <w:rFonts w:ascii="宋体" w:hAnsi="宋体" w:eastAsia="宋体" w:cs="宋体"/>
          <w:color w:val="auto"/>
          <w:sz w:val="20"/>
          <w:szCs w:val="20"/>
          <w:highlight w:val="none"/>
        </w:rPr>
        <w:t>）：</w:t>
      </w:r>
    </w:p>
    <w:p w14:paraId="7B1FE576">
      <w:pPr>
        <w:spacing w:before="300" w:line="489" w:lineRule="auto"/>
        <w:ind w:left="44" w:right="5267" w:hanging="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法定代表人或其授权委托人</w:t>
      </w:r>
      <w:r>
        <w:rPr>
          <w:rFonts w:hint="eastAsia" w:ascii="宋体" w:hAnsi="宋体" w:eastAsia="宋体" w:cs="宋体"/>
          <w:color w:val="auto"/>
          <w:spacing w:val="6"/>
          <w:sz w:val="20"/>
          <w:szCs w:val="20"/>
          <w:highlight w:val="none"/>
          <w:lang w:eastAsia="zh-CN"/>
        </w:rPr>
        <w:t>（</w:t>
      </w:r>
      <w:r>
        <w:rPr>
          <w:rFonts w:ascii="宋体" w:hAnsi="宋体" w:eastAsia="宋体" w:cs="宋体"/>
          <w:color w:val="auto"/>
          <w:spacing w:val="6"/>
          <w:sz w:val="20"/>
          <w:szCs w:val="20"/>
          <w:highlight w:val="none"/>
        </w:rPr>
        <w:t>签字或盖章</w:t>
      </w:r>
      <w:r>
        <w:rPr>
          <w:rFonts w:hint="eastAsia" w:ascii="宋体" w:hAnsi="宋体" w:eastAsia="宋体" w:cs="宋体"/>
          <w:color w:val="auto"/>
          <w:spacing w:val="6"/>
          <w:sz w:val="20"/>
          <w:szCs w:val="20"/>
          <w:highlight w:val="none"/>
          <w:lang w:eastAsia="zh-CN"/>
        </w:rPr>
        <w:t>）</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日期：</w:t>
      </w:r>
    </w:p>
    <w:p w14:paraId="6A184A0C">
      <w:pPr>
        <w:spacing w:line="489" w:lineRule="auto"/>
        <w:rPr>
          <w:rFonts w:ascii="宋体" w:hAnsi="宋体" w:eastAsia="宋体" w:cs="宋体"/>
          <w:color w:val="auto"/>
          <w:sz w:val="20"/>
          <w:szCs w:val="20"/>
          <w:highlight w:val="none"/>
        </w:rPr>
        <w:sectPr>
          <w:footerReference r:id="rId42" w:type="default"/>
          <w:pgSz w:w="11906" w:h="16839"/>
          <w:pgMar w:top="1431" w:right="1341" w:bottom="1156" w:left="1360" w:header="0" w:footer="994" w:gutter="0"/>
          <w:pgNumType w:fmt="decimal"/>
          <w:cols w:space="720" w:num="1"/>
        </w:sectPr>
      </w:pPr>
    </w:p>
    <w:p w14:paraId="39B52304">
      <w:pPr>
        <w:spacing w:before="48" w:line="219" w:lineRule="auto"/>
        <w:ind w:left="237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（八）磋商文件中要求做出的承诺</w:t>
      </w:r>
    </w:p>
    <w:p w14:paraId="68D8972F">
      <w:pPr>
        <w:spacing w:before="242" w:line="219" w:lineRule="auto"/>
        <w:ind w:left="3695"/>
        <w:outlineLvl w:val="1"/>
        <w:rPr>
          <w:rFonts w:ascii="宋体" w:hAnsi="宋体" w:eastAsia="宋体" w:cs="宋体"/>
          <w:color w:val="auto"/>
          <w:sz w:val="24"/>
          <w:szCs w:val="24"/>
          <w:highlight w:val="none"/>
        </w:rPr>
      </w:pPr>
      <w:bookmarkStart w:id="391" w:name="_Toc25561"/>
      <w:r>
        <w:rPr>
          <w:rFonts w:ascii="宋体" w:hAnsi="宋体" w:eastAsia="宋体" w:cs="宋体"/>
          <w:color w:val="auto"/>
          <w:spacing w:val="-3"/>
          <w:sz w:val="24"/>
          <w:szCs w:val="24"/>
          <w:highlight w:val="none"/>
        </w:rPr>
        <w:t>格式自拟</w:t>
      </w:r>
      <w:bookmarkEnd w:id="391"/>
    </w:p>
    <w:p w14:paraId="036980E4">
      <w:pPr>
        <w:spacing w:line="219" w:lineRule="auto"/>
        <w:rPr>
          <w:rFonts w:ascii="宋体" w:hAnsi="宋体" w:eastAsia="宋体" w:cs="宋体"/>
          <w:color w:val="auto"/>
          <w:sz w:val="24"/>
          <w:szCs w:val="24"/>
          <w:highlight w:val="none"/>
        </w:rPr>
        <w:sectPr>
          <w:footerReference r:id="rId43" w:type="default"/>
          <w:pgSz w:w="11906" w:h="16839"/>
          <w:pgMar w:top="1347" w:right="1785" w:bottom="1156" w:left="1785" w:header="0" w:footer="994" w:gutter="0"/>
          <w:pgNumType w:fmt="decimal"/>
          <w:cols w:space="720" w:num="1"/>
        </w:sectPr>
      </w:pPr>
    </w:p>
    <w:p w14:paraId="0EB5AEBF">
      <w:pPr>
        <w:spacing w:before="184" w:line="219" w:lineRule="auto"/>
        <w:ind w:left="3458"/>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九、其他材料</w:t>
      </w:r>
    </w:p>
    <w:p w14:paraId="48C500A4">
      <w:pPr>
        <w:pStyle w:val="8"/>
        <w:spacing w:line="284" w:lineRule="auto"/>
        <w:rPr>
          <w:color w:val="auto"/>
          <w:highlight w:val="none"/>
        </w:rPr>
      </w:pPr>
    </w:p>
    <w:p w14:paraId="01458A83">
      <w:pPr>
        <w:pStyle w:val="8"/>
        <w:spacing w:line="284" w:lineRule="auto"/>
        <w:rPr>
          <w:color w:val="auto"/>
          <w:highlight w:val="none"/>
        </w:rPr>
      </w:pPr>
    </w:p>
    <w:p w14:paraId="50AA7DB0">
      <w:pPr>
        <w:pStyle w:val="8"/>
        <w:spacing w:line="284" w:lineRule="auto"/>
        <w:rPr>
          <w:color w:val="auto"/>
          <w:highlight w:val="none"/>
        </w:rPr>
      </w:pPr>
    </w:p>
    <w:p w14:paraId="6F0A2E59">
      <w:pPr>
        <w:spacing w:before="65" w:line="227" w:lineRule="auto"/>
        <w:ind w:left="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磋商文件中要求的资料或投标供应商认为针对本项目有必要提供的资料，附后。</w:t>
      </w:r>
    </w:p>
    <w:p w14:paraId="4FB133F9">
      <w:pPr>
        <w:spacing w:line="227" w:lineRule="auto"/>
        <w:rPr>
          <w:rFonts w:ascii="宋体" w:hAnsi="宋体" w:eastAsia="宋体" w:cs="宋体"/>
          <w:color w:val="auto"/>
          <w:sz w:val="20"/>
          <w:szCs w:val="20"/>
          <w:highlight w:val="none"/>
        </w:rPr>
        <w:sectPr>
          <w:footerReference r:id="rId44" w:type="default"/>
          <w:pgSz w:w="11906" w:h="16839"/>
          <w:pgMar w:top="1431" w:right="1785" w:bottom="1156" w:left="1785" w:header="0" w:footer="994" w:gutter="0"/>
          <w:pgNumType w:fmt="decimal"/>
          <w:cols w:space="720" w:num="1"/>
        </w:sectPr>
      </w:pPr>
    </w:p>
    <w:p w14:paraId="29A4AA9B">
      <w:pPr>
        <w:spacing w:before="47" w:line="219" w:lineRule="auto"/>
        <w:ind w:left="19"/>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附表</w:t>
      </w:r>
    </w:p>
    <w:p w14:paraId="197F2D55">
      <w:pPr>
        <w:spacing w:before="195" w:line="355" w:lineRule="auto"/>
        <w:ind w:left="1" w:right="2329" w:firstLine="2357"/>
        <w:rPr>
          <w:rFonts w:ascii="宋体" w:hAnsi="宋体" w:eastAsia="宋体" w:cs="宋体"/>
          <w:color w:val="auto"/>
          <w:sz w:val="20"/>
          <w:szCs w:val="20"/>
          <w:highlight w:val="none"/>
        </w:rPr>
      </w:pPr>
      <w:r>
        <w:rPr>
          <w:rFonts w:ascii="宋体" w:hAnsi="宋体" w:eastAsia="宋体" w:cs="宋体"/>
          <w:color w:val="auto"/>
          <w:spacing w:val="6"/>
          <w:sz w:val="31"/>
          <w:szCs w:val="31"/>
          <w:highlight w:val="none"/>
        </w:rPr>
        <w:t>最后报价（已标价工程量清单）</w:t>
      </w:r>
      <w:r>
        <w:rPr>
          <w:rFonts w:ascii="宋体" w:hAnsi="宋体" w:eastAsia="宋体" w:cs="宋体"/>
          <w:color w:val="auto"/>
          <w:spacing w:val="11"/>
          <w:sz w:val="31"/>
          <w:szCs w:val="31"/>
          <w:highlight w:val="none"/>
        </w:rPr>
        <w:t xml:space="preserve"> </w:t>
      </w:r>
      <w:r>
        <w:rPr>
          <w:rFonts w:ascii="宋体" w:hAnsi="宋体" w:eastAsia="宋体" w:cs="宋体"/>
          <w:color w:val="auto"/>
          <w:spacing w:val="7"/>
          <w:sz w:val="20"/>
          <w:szCs w:val="20"/>
          <w:highlight w:val="none"/>
        </w:rPr>
        <w:t>备注：</w:t>
      </w:r>
      <w:r>
        <w:rPr>
          <w:rFonts w:ascii="Calibri" w:hAnsi="Calibri" w:eastAsia="Calibri" w:cs="Calibri"/>
          <w:color w:val="auto"/>
          <w:spacing w:val="7"/>
          <w:sz w:val="20"/>
          <w:szCs w:val="20"/>
          <w:highlight w:val="none"/>
        </w:rPr>
        <w:t>1</w:t>
      </w:r>
      <w:r>
        <w:rPr>
          <w:rFonts w:ascii="Calibri" w:hAnsi="Calibri" w:eastAsia="Calibri" w:cs="Calibri"/>
          <w:color w:val="auto"/>
          <w:spacing w:val="-12"/>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b/>
          <w:bCs/>
          <w:color w:val="auto"/>
          <w:spacing w:val="7"/>
          <w:sz w:val="20"/>
          <w:szCs w:val="20"/>
          <w:highlight w:val="none"/>
        </w:rPr>
        <w:t>供应商接到通知后在规定时间内在政采云平台进行最后报价。</w:t>
      </w:r>
    </w:p>
    <w:p w14:paraId="75EF613D">
      <w:pPr>
        <w:spacing w:before="32" w:line="226" w:lineRule="auto"/>
        <w:jc w:val="right"/>
        <w:rPr>
          <w:rFonts w:ascii="宋体" w:hAnsi="宋体" w:eastAsia="宋体" w:cs="宋体"/>
          <w:color w:val="auto"/>
          <w:sz w:val="20"/>
          <w:szCs w:val="20"/>
          <w:highlight w:val="none"/>
        </w:rPr>
      </w:pPr>
      <w:r>
        <w:rPr>
          <w:rFonts w:ascii="Calibri" w:hAnsi="Calibri" w:eastAsia="Calibri" w:cs="Calibri"/>
          <w:color w:val="auto"/>
          <w:spacing w:val="9"/>
          <w:sz w:val="20"/>
          <w:szCs w:val="20"/>
          <w:highlight w:val="none"/>
        </w:rPr>
        <w:t>2</w:t>
      </w:r>
      <w:r>
        <w:rPr>
          <w:rFonts w:ascii="Calibri" w:hAnsi="Calibri" w:eastAsia="Calibri" w:cs="Calibri"/>
          <w:color w:val="auto"/>
          <w:spacing w:val="-23"/>
          <w:sz w:val="20"/>
          <w:szCs w:val="20"/>
          <w:highlight w:val="none"/>
        </w:rPr>
        <w:t xml:space="preserve"> </w:t>
      </w:r>
      <w:r>
        <w:rPr>
          <w:rFonts w:ascii="宋体" w:hAnsi="宋体" w:eastAsia="宋体" w:cs="宋体"/>
          <w:color w:val="auto"/>
          <w:spacing w:val="9"/>
          <w:sz w:val="20"/>
          <w:szCs w:val="20"/>
          <w:highlight w:val="none"/>
        </w:rPr>
        <w:t>、供应商应按照《建设工程工程量清单计价规范》提供的工程量清单计价格式编制</w:t>
      </w:r>
      <w:r>
        <w:rPr>
          <w:rFonts w:ascii="宋体" w:hAnsi="宋体" w:eastAsia="宋体" w:cs="宋体"/>
          <w:color w:val="auto"/>
          <w:spacing w:val="8"/>
          <w:sz w:val="20"/>
          <w:szCs w:val="20"/>
          <w:highlight w:val="none"/>
        </w:rPr>
        <w:t>。已标</w:t>
      </w:r>
    </w:p>
    <w:p w14:paraId="3601D37C">
      <w:pPr>
        <w:spacing w:before="165" w:line="209"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价工程量清单封皮有注册造价师签字并盖专用章（首次及最后报价）。</w:t>
      </w:r>
    </w:p>
    <w:p w14:paraId="1453041D">
      <w:pPr>
        <w:spacing w:line="86" w:lineRule="exact"/>
        <w:ind w:left="1970"/>
        <w:rPr>
          <w:rFonts w:ascii="宋体" w:hAnsi="宋体" w:eastAsia="宋体" w:cs="宋体"/>
          <w:color w:val="auto"/>
          <w:sz w:val="20"/>
          <w:szCs w:val="20"/>
          <w:highlight w:val="none"/>
        </w:rPr>
      </w:pPr>
      <w:r>
        <w:rPr>
          <w:rFonts w:ascii="宋体" w:hAnsi="宋体" w:eastAsia="宋体" w:cs="宋体"/>
          <w:color w:val="auto"/>
          <w:spacing w:val="-15"/>
          <w:w w:val="57"/>
          <w:position w:val="1"/>
          <w:sz w:val="20"/>
          <w:szCs w:val="20"/>
          <w:highlight w:val="none"/>
        </w:rPr>
        <w:t>.</w:t>
      </w:r>
      <w:r>
        <w:rPr>
          <w:rFonts w:ascii="宋体" w:hAnsi="宋体" w:eastAsia="宋体" w:cs="宋体"/>
          <w:color w:val="auto"/>
          <w:spacing w:val="84"/>
          <w:position w:val="1"/>
          <w:sz w:val="20"/>
          <w:szCs w:val="20"/>
          <w:highlight w:val="none"/>
        </w:rPr>
        <w:t xml:space="preserve"> </w:t>
      </w:r>
      <w:r>
        <w:rPr>
          <w:rFonts w:ascii="宋体" w:hAnsi="宋体" w:eastAsia="宋体" w:cs="宋体"/>
          <w:color w:val="auto"/>
          <w:spacing w:val="-15"/>
          <w:w w:val="57"/>
          <w:position w:val="1"/>
          <w:sz w:val="20"/>
          <w:szCs w:val="20"/>
          <w:highlight w:val="none"/>
        </w:rPr>
        <w:t>.</w:t>
      </w:r>
      <w:r>
        <w:rPr>
          <w:rFonts w:ascii="宋体" w:hAnsi="宋体" w:eastAsia="宋体" w:cs="宋体"/>
          <w:color w:val="auto"/>
          <w:spacing w:val="82"/>
          <w:position w:val="1"/>
          <w:sz w:val="20"/>
          <w:szCs w:val="20"/>
          <w:highlight w:val="none"/>
        </w:rPr>
        <w:t xml:space="preserve"> </w:t>
      </w:r>
      <w:r>
        <w:rPr>
          <w:rFonts w:ascii="宋体" w:hAnsi="宋体" w:eastAsia="宋体" w:cs="宋体"/>
          <w:color w:val="auto"/>
          <w:spacing w:val="-15"/>
          <w:w w:val="57"/>
          <w:position w:val="1"/>
          <w:sz w:val="20"/>
          <w:szCs w:val="20"/>
          <w:highlight w:val="none"/>
        </w:rPr>
        <w:t>.</w:t>
      </w:r>
      <w:r>
        <w:rPr>
          <w:rFonts w:ascii="宋体" w:hAnsi="宋体" w:eastAsia="宋体" w:cs="宋体"/>
          <w:color w:val="auto"/>
          <w:spacing w:val="81"/>
          <w:position w:val="1"/>
          <w:sz w:val="20"/>
          <w:szCs w:val="20"/>
          <w:highlight w:val="none"/>
        </w:rPr>
        <w:t xml:space="preserve"> </w:t>
      </w:r>
      <w:r>
        <w:rPr>
          <w:rFonts w:ascii="宋体" w:hAnsi="宋体" w:eastAsia="宋体" w:cs="宋体"/>
          <w:color w:val="auto"/>
          <w:spacing w:val="-15"/>
          <w:w w:val="57"/>
          <w:position w:val="1"/>
          <w:sz w:val="20"/>
          <w:szCs w:val="20"/>
          <w:highlight w:val="none"/>
        </w:rPr>
        <w:t>.</w:t>
      </w:r>
      <w:r>
        <w:rPr>
          <w:rFonts w:ascii="宋体" w:hAnsi="宋体" w:eastAsia="宋体" w:cs="宋体"/>
          <w:color w:val="auto"/>
          <w:spacing w:val="81"/>
          <w:position w:val="1"/>
          <w:sz w:val="20"/>
          <w:szCs w:val="20"/>
          <w:highlight w:val="none"/>
        </w:rPr>
        <w:t xml:space="preserve"> </w:t>
      </w:r>
      <w:r>
        <w:rPr>
          <w:rFonts w:ascii="宋体" w:hAnsi="宋体" w:eastAsia="宋体" w:cs="宋体"/>
          <w:color w:val="auto"/>
          <w:spacing w:val="-15"/>
          <w:w w:val="57"/>
          <w:position w:val="1"/>
          <w:sz w:val="20"/>
          <w:szCs w:val="20"/>
          <w:highlight w:val="none"/>
        </w:rPr>
        <w:t>.</w:t>
      </w:r>
    </w:p>
    <w:p w14:paraId="02756903">
      <w:pPr>
        <w:spacing w:before="95" w:line="226" w:lineRule="auto"/>
        <w:ind w:left="632"/>
        <w:rPr>
          <w:rFonts w:ascii="宋体" w:hAnsi="宋体" w:eastAsia="宋体" w:cs="宋体"/>
          <w:color w:val="auto"/>
          <w:sz w:val="20"/>
          <w:szCs w:val="20"/>
          <w:highlight w:val="none"/>
        </w:rPr>
      </w:pPr>
      <w:r>
        <w:rPr>
          <w:rFonts w:ascii="Calibri" w:hAnsi="Calibri" w:eastAsia="Calibri" w:cs="Calibri"/>
          <w:color w:val="auto"/>
          <w:spacing w:val="9"/>
          <w:sz w:val="20"/>
          <w:szCs w:val="20"/>
          <w:highlight w:val="none"/>
        </w:rPr>
        <w:t>3</w:t>
      </w:r>
      <w:r>
        <w:rPr>
          <w:rFonts w:ascii="Calibri" w:hAnsi="Calibri" w:eastAsia="Calibri" w:cs="Calibri"/>
          <w:color w:val="auto"/>
          <w:spacing w:val="-22"/>
          <w:sz w:val="20"/>
          <w:szCs w:val="20"/>
          <w:highlight w:val="none"/>
        </w:rPr>
        <w:t xml:space="preserve"> </w:t>
      </w:r>
      <w:r>
        <w:rPr>
          <w:rFonts w:ascii="宋体" w:hAnsi="宋体" w:eastAsia="宋体" w:cs="宋体"/>
          <w:color w:val="auto"/>
          <w:spacing w:val="9"/>
          <w:sz w:val="20"/>
          <w:szCs w:val="20"/>
          <w:highlight w:val="none"/>
        </w:rPr>
        <w:t>、如最后报价与首次报价一致，最后报价则不需</w:t>
      </w:r>
      <w:r>
        <w:rPr>
          <w:rFonts w:ascii="宋体" w:hAnsi="宋体" w:eastAsia="宋体" w:cs="宋体"/>
          <w:color w:val="auto"/>
          <w:spacing w:val="8"/>
          <w:sz w:val="20"/>
          <w:szCs w:val="20"/>
          <w:highlight w:val="none"/>
        </w:rPr>
        <w:t>再提供完整的已标价工程量清单。</w:t>
      </w:r>
    </w:p>
    <w:p w14:paraId="6511A150">
      <w:pPr>
        <w:rPr>
          <w:rFonts w:ascii="宋体" w:hAnsi="宋体" w:eastAsia="宋体" w:cs="宋体"/>
          <w:b/>
          <w:bCs/>
          <w:color w:val="auto"/>
          <w:spacing w:val="4"/>
          <w:sz w:val="43"/>
          <w:szCs w:val="43"/>
          <w:highlight w:val="none"/>
        </w:rPr>
      </w:pPr>
    </w:p>
    <w:p w14:paraId="4B589B6F">
      <w:pPr>
        <w:rPr>
          <w:rFonts w:ascii="宋体" w:hAnsi="宋体" w:eastAsia="宋体" w:cs="宋体"/>
          <w:b/>
          <w:bCs/>
          <w:color w:val="auto"/>
          <w:spacing w:val="4"/>
          <w:sz w:val="43"/>
          <w:szCs w:val="43"/>
          <w:highlight w:val="none"/>
        </w:rPr>
      </w:pPr>
      <w:r>
        <w:rPr>
          <w:rFonts w:ascii="宋体" w:hAnsi="宋体" w:eastAsia="宋体" w:cs="宋体"/>
          <w:b/>
          <w:bCs/>
          <w:color w:val="auto"/>
          <w:spacing w:val="4"/>
          <w:sz w:val="43"/>
          <w:szCs w:val="43"/>
          <w:highlight w:val="none"/>
        </w:rPr>
        <w:br w:type="page"/>
      </w:r>
    </w:p>
    <w:p w14:paraId="3A4F491B">
      <w:pPr>
        <w:jc w:val="center"/>
        <w:rPr>
          <w:rFonts w:hint="eastAsia" w:asciiTheme="majorEastAsia" w:hAnsiTheme="majorEastAsia" w:eastAsiaTheme="majorEastAsia" w:cstheme="majorEastAsia"/>
          <w:b/>
          <w:bCs/>
          <w:color w:val="auto"/>
          <w:spacing w:val="6"/>
          <w:sz w:val="31"/>
          <w:szCs w:val="31"/>
          <w:highlight w:val="none"/>
        </w:rPr>
      </w:pPr>
      <w:r>
        <w:rPr>
          <w:rFonts w:hint="eastAsia" w:asciiTheme="majorEastAsia" w:hAnsiTheme="majorEastAsia" w:eastAsiaTheme="majorEastAsia" w:cstheme="majorEastAsia"/>
          <w:b/>
          <w:bCs/>
          <w:color w:val="auto"/>
          <w:spacing w:val="6"/>
          <w:sz w:val="31"/>
          <w:szCs w:val="31"/>
          <w:highlight w:val="none"/>
        </w:rPr>
        <w:t>第</w:t>
      </w:r>
      <w:r>
        <w:rPr>
          <w:rFonts w:hint="eastAsia" w:asciiTheme="majorEastAsia" w:hAnsiTheme="majorEastAsia" w:eastAsiaTheme="majorEastAsia" w:cstheme="majorEastAsia"/>
          <w:b/>
          <w:bCs/>
          <w:color w:val="auto"/>
          <w:spacing w:val="6"/>
          <w:sz w:val="31"/>
          <w:szCs w:val="31"/>
          <w:highlight w:val="none"/>
          <w:lang w:eastAsia="zh-CN"/>
        </w:rPr>
        <w:t>六</w:t>
      </w:r>
      <w:r>
        <w:rPr>
          <w:rFonts w:hint="eastAsia" w:asciiTheme="majorEastAsia" w:hAnsiTheme="majorEastAsia" w:eastAsiaTheme="majorEastAsia" w:cstheme="majorEastAsia"/>
          <w:b/>
          <w:bCs/>
          <w:color w:val="auto"/>
          <w:spacing w:val="6"/>
          <w:sz w:val="31"/>
          <w:szCs w:val="31"/>
          <w:highlight w:val="none"/>
        </w:rPr>
        <w:t>章 竞争性磋商办法</w:t>
      </w:r>
    </w:p>
    <w:p w14:paraId="397E11CD">
      <w:pPr>
        <w:pStyle w:val="8"/>
        <w:spacing w:line="296" w:lineRule="auto"/>
        <w:rPr>
          <w:color w:val="auto"/>
          <w:sz w:val="21"/>
          <w:szCs w:val="21"/>
          <w:highlight w:val="none"/>
        </w:rPr>
      </w:pPr>
    </w:p>
    <w:p w14:paraId="39D00710">
      <w:pPr>
        <w:spacing w:before="65" w:line="228" w:lineRule="auto"/>
        <w:ind w:left="544"/>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一、评审方法</w:t>
      </w:r>
    </w:p>
    <w:p w14:paraId="64E3B000">
      <w:pPr>
        <w:spacing w:before="160" w:line="227" w:lineRule="auto"/>
        <w:ind w:left="541"/>
        <w:rPr>
          <w:rFonts w:ascii="宋体" w:hAnsi="宋体" w:eastAsia="宋体" w:cs="宋体"/>
          <w:color w:val="auto"/>
          <w:sz w:val="21"/>
          <w:szCs w:val="21"/>
          <w:highlight w:val="none"/>
        </w:rPr>
      </w:pPr>
      <w:r>
        <w:rPr>
          <w:rFonts w:hint="eastAsia" w:ascii="宋体" w:hAnsi="宋体" w:eastAsia="宋体" w:cs="Times New Roman"/>
          <w:bCs/>
          <w:snapToGrid w:val="0"/>
          <w:color w:val="auto"/>
          <w:sz w:val="21"/>
          <w:szCs w:val="21"/>
          <w:highlight w:val="none"/>
          <w:lang w:val="zh-CN" w:eastAsia="zh-CN"/>
        </w:rPr>
        <w:t>本项目采用综合评分法进行评审。</w:t>
      </w:r>
    </w:p>
    <w:p w14:paraId="7C695A15">
      <w:pPr>
        <w:spacing w:before="162" w:line="228" w:lineRule="auto"/>
        <w:ind w:left="544"/>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二、评审原则及程序</w:t>
      </w:r>
    </w:p>
    <w:p w14:paraId="6E99C45B">
      <w:pPr>
        <w:spacing w:before="163" w:line="228" w:lineRule="auto"/>
        <w:ind w:left="55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（一）评审原则</w:t>
      </w:r>
    </w:p>
    <w:p w14:paraId="42BD3304">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磋商小组应当按照客观、公正、审慎的原则，根据磋商文件规定的评审程序、评审办法和评审标 准进行独立评审。磋商文件内容违反国家有关强制性规定的，磋商小组应当停止评审并向采购人或者 采购代理机构说明情况。</w:t>
      </w:r>
    </w:p>
    <w:p w14:paraId="791E7CA9">
      <w:pPr>
        <w:spacing w:before="32" w:line="228" w:lineRule="auto"/>
        <w:ind w:left="55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（二）评审程序</w:t>
      </w:r>
    </w:p>
    <w:p w14:paraId="715AB5C2">
      <w:pPr>
        <w:spacing w:before="160" w:line="228" w:lineRule="auto"/>
        <w:ind w:left="556"/>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1、资格审查</w:t>
      </w:r>
    </w:p>
    <w:p w14:paraId="6C510740">
      <w:pPr>
        <w:spacing w:before="160" w:line="227" w:lineRule="auto"/>
        <w:ind w:left="541"/>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磋商小组依据法律法规和磋商文件中规定的内容，对供应商的资格（提交的资格证明材料）进行 审查。未通过资格审查的供应商不能进入下一阶段评审；通过资格审查的供应商不足 3 家的，不得进入下一阶段评审。</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2"/>
        <w:gridCol w:w="7352"/>
      </w:tblGrid>
      <w:tr w14:paraId="522A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052" w:type="dxa"/>
            <w:vAlign w:val="top"/>
          </w:tcPr>
          <w:p w14:paraId="30B346ED">
            <w:pPr>
              <w:pStyle w:val="21"/>
              <w:spacing w:before="285" w:line="228" w:lineRule="auto"/>
              <w:ind w:left="5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评审因素</w:t>
            </w:r>
          </w:p>
        </w:tc>
        <w:tc>
          <w:tcPr>
            <w:tcW w:w="7352" w:type="dxa"/>
            <w:vAlign w:val="top"/>
          </w:tcPr>
          <w:p w14:paraId="25AB887E">
            <w:pPr>
              <w:pStyle w:val="21"/>
              <w:spacing w:before="286" w:line="228" w:lineRule="auto"/>
              <w:ind w:left="3308"/>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评审标准</w:t>
            </w:r>
          </w:p>
        </w:tc>
      </w:tr>
      <w:tr w14:paraId="2EC5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52" w:type="dxa"/>
            <w:vAlign w:val="center"/>
          </w:tcPr>
          <w:p w14:paraId="172F6BD9">
            <w:pPr>
              <w:spacing w:before="160" w:line="227" w:lineRule="auto"/>
              <w:jc w:val="center"/>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营业执照</w:t>
            </w:r>
          </w:p>
        </w:tc>
        <w:tc>
          <w:tcPr>
            <w:tcW w:w="7352" w:type="dxa"/>
            <w:vAlign w:val="top"/>
          </w:tcPr>
          <w:p w14:paraId="5AC6FFE8">
            <w:pPr>
              <w:spacing w:before="160" w:line="227" w:lineRule="auto"/>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具备有效的营业执照，并提供营业执照（副本），标书内复印件加盖公章。</w:t>
            </w:r>
          </w:p>
        </w:tc>
      </w:tr>
      <w:tr w14:paraId="55AA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052" w:type="dxa"/>
            <w:vAlign w:val="center"/>
          </w:tcPr>
          <w:p w14:paraId="33B9D587">
            <w:pPr>
              <w:pStyle w:val="21"/>
              <w:spacing w:before="65" w:line="228"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zh-CN"/>
              </w:rPr>
              <w:t>安全生产许可证</w:t>
            </w:r>
          </w:p>
        </w:tc>
        <w:tc>
          <w:tcPr>
            <w:tcW w:w="7352" w:type="dxa"/>
            <w:vAlign w:val="top"/>
          </w:tcPr>
          <w:p w14:paraId="53956FEC">
            <w:pPr>
              <w:spacing w:before="160" w:line="227" w:lineRule="auto"/>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具备有效的安全生产许可证，提供安全生产许可证（副本），标书中附加盖公章的复印件。</w:t>
            </w:r>
          </w:p>
        </w:tc>
      </w:tr>
      <w:tr w14:paraId="0B891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052" w:type="dxa"/>
            <w:vAlign w:val="center"/>
          </w:tcPr>
          <w:p w14:paraId="014C1789">
            <w:pPr>
              <w:pStyle w:val="21"/>
              <w:spacing w:before="159" w:line="228" w:lineRule="auto"/>
              <w:jc w:val="center"/>
              <w:rPr>
                <w:rFonts w:hint="eastAsia" w:ascii="宋体" w:hAnsi="宋体" w:eastAsia="宋体" w:cs="宋体"/>
                <w:bCs/>
                <w:snapToGrid w:val="0"/>
                <w:color w:val="auto"/>
                <w:kern w:val="0"/>
                <w:sz w:val="20"/>
                <w:szCs w:val="20"/>
                <w:highlight w:val="none"/>
                <w:lang w:val="zh-CN" w:eastAsia="zh-CN" w:bidi="ar-SA"/>
              </w:rPr>
            </w:pPr>
            <w:r>
              <w:rPr>
                <w:rFonts w:hint="eastAsia" w:ascii="宋体" w:hAnsi="宋体" w:eastAsia="宋体" w:cs="宋体"/>
                <w:bCs/>
                <w:snapToGrid w:val="0"/>
                <w:color w:val="auto"/>
                <w:kern w:val="0"/>
                <w:sz w:val="20"/>
                <w:szCs w:val="20"/>
                <w:highlight w:val="none"/>
                <w:lang w:val="zh-CN" w:eastAsia="zh-CN" w:bidi="ar-SA"/>
              </w:rPr>
              <w:t>资质等级</w:t>
            </w:r>
          </w:p>
        </w:tc>
        <w:tc>
          <w:tcPr>
            <w:tcW w:w="7352" w:type="dxa"/>
            <w:vAlign w:val="top"/>
          </w:tcPr>
          <w:p w14:paraId="42032122">
            <w:pPr>
              <w:spacing w:before="160" w:line="227" w:lineRule="auto"/>
              <w:rPr>
                <w:rFonts w:hint="eastAsia" w:ascii="宋体" w:hAnsi="宋体" w:eastAsia="宋体" w:cs="宋体"/>
                <w:bCs/>
                <w:snapToGrid w:val="0"/>
                <w:color w:val="auto"/>
                <w:kern w:val="0"/>
                <w:sz w:val="20"/>
                <w:szCs w:val="20"/>
                <w:highlight w:val="none"/>
                <w:lang w:val="zh-CN" w:eastAsia="zh-CN" w:bidi="ar-SA"/>
              </w:rPr>
            </w:pPr>
            <w:r>
              <w:rPr>
                <w:rFonts w:hint="eastAsia" w:ascii="宋体" w:hAnsi="宋体" w:eastAsia="宋体" w:cs="宋体"/>
                <w:bCs/>
                <w:snapToGrid w:val="0"/>
                <w:color w:val="auto"/>
                <w:kern w:val="0"/>
                <w:sz w:val="20"/>
                <w:szCs w:val="20"/>
                <w:highlight w:val="none"/>
                <w:lang w:val="zh-CN" w:eastAsia="zh-CN" w:bidi="ar-SA"/>
              </w:rPr>
              <w:t>具备建设行政主管部门核发的建筑工程施工总承包二级及以上资质或消防资质二级的法人或其他组织，提供资质证书（副本），标书内复印件加盖公章。</w:t>
            </w:r>
          </w:p>
        </w:tc>
      </w:tr>
      <w:tr w14:paraId="3F084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052" w:type="dxa"/>
            <w:vAlign w:val="center"/>
          </w:tcPr>
          <w:p w14:paraId="1BF77E35">
            <w:pPr>
              <w:pStyle w:val="21"/>
              <w:spacing w:before="168" w:line="228"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中小企业声明函</w:t>
            </w:r>
          </w:p>
        </w:tc>
        <w:tc>
          <w:tcPr>
            <w:tcW w:w="7352" w:type="dxa"/>
            <w:vAlign w:val="center"/>
          </w:tcPr>
          <w:p w14:paraId="63E766BE">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根据《政府采购促进中小企业发展管理办法》规定，本项目是专门面向中小企业项目，本项目 采购标的对应的中小企业划分标准所属行业为工业，须提供中小企业声明函。《政府采购促进中小企业发展管理办法》（财库[2020]46 号）、《关于政府采购支持监狱企业发展有关问题 的通知》（财库[2014]68 号）、《三部门联合发布关于促进残疾人就业政府采购政策的通知》（财 库[2017]141 号）、《关于调整优化节能产品、环境标志产品政府采购执行机制的通知》 （财库 [2019]9号）等。</w:t>
            </w:r>
          </w:p>
          <w:p w14:paraId="1A36F739">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注：中小企业参加政府采购活动，应当出具本办法规定的《中小企业声明函》，否则不得享受 相关中小企业扶持政策。监狱企业参加政府采购活动时，应当提供由省级以上监狱管理局、戒 毒管理局（含新疆生产建设兵团）出具的属于监狱企业的证明文件。残疾人福利性单位在参加 政府采购活动时，应当按规定提供《残疾人福利性单位声明函》，并对声明的真实性负责。未 按要求提供相应材料的，不享受相应的优惠政策； 以上政策不重复享受。</w:t>
            </w:r>
          </w:p>
          <w:p w14:paraId="3706E795">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投标文件内附中小企业声明函或视同为小微企业的证明材料。</w:t>
            </w:r>
          </w:p>
        </w:tc>
      </w:tr>
      <w:tr w14:paraId="795C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52" w:type="dxa"/>
            <w:vAlign w:val="center"/>
          </w:tcPr>
          <w:p w14:paraId="2F80DD56">
            <w:pPr>
              <w:spacing w:before="160" w:line="227" w:lineRule="auto"/>
              <w:jc w:val="center"/>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财务状况、依法纳税和依法缴纳社保保障资金承诺函</w:t>
            </w:r>
          </w:p>
        </w:tc>
        <w:tc>
          <w:tcPr>
            <w:tcW w:w="7352" w:type="dxa"/>
            <w:vAlign w:val="center"/>
          </w:tcPr>
          <w:p w14:paraId="50BEE2A4">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供应商应按照《关于加强政府采购信用体系建设简化供应商资格条件有关事项 的通知》（长朝财采购[2022]2号）文件要求在响应文件中提交反映其财务状况、 依法缴纳税收和社保保障资金情况的资格条件承诺函，并对资格条件承诺函有 关内容的真实性、有效性、合法性负责。响应文件内附承诺函加盖公章。</w:t>
            </w:r>
          </w:p>
        </w:tc>
      </w:tr>
      <w:tr w14:paraId="754C4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52" w:type="dxa"/>
            <w:vAlign w:val="center"/>
          </w:tcPr>
          <w:p w14:paraId="6587848A">
            <w:pPr>
              <w:spacing w:before="160" w:line="227" w:lineRule="auto"/>
              <w:jc w:val="center"/>
              <w:rPr>
                <w:rFonts w:hint="eastAsia" w:ascii="宋体" w:hAnsi="宋体" w:eastAsia="宋体" w:cs="宋体"/>
                <w:bCs/>
                <w:snapToGrid w:val="0"/>
                <w:color w:val="auto"/>
                <w:kern w:val="0"/>
                <w:sz w:val="20"/>
                <w:szCs w:val="20"/>
                <w:highlight w:val="none"/>
                <w:lang w:val="zh-CN" w:eastAsia="zh-CN" w:bidi="ar-SA"/>
              </w:rPr>
            </w:pPr>
            <w:r>
              <w:rPr>
                <w:rFonts w:hint="eastAsia" w:ascii="宋体" w:hAnsi="宋体" w:eastAsia="宋体" w:cs="宋体"/>
                <w:bCs/>
                <w:snapToGrid w:val="0"/>
                <w:color w:val="auto"/>
                <w:sz w:val="20"/>
                <w:szCs w:val="20"/>
                <w:highlight w:val="none"/>
                <w:lang w:val="zh-CN" w:eastAsia="zh-CN"/>
              </w:rPr>
              <w:t>信誉要求</w:t>
            </w:r>
          </w:p>
        </w:tc>
        <w:tc>
          <w:tcPr>
            <w:tcW w:w="7352" w:type="dxa"/>
            <w:vAlign w:val="top"/>
          </w:tcPr>
          <w:p w14:paraId="74C01C58">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（1）拒绝列入政府取消投标资格记录期间的企业或个人投标。</w:t>
            </w:r>
          </w:p>
          <w:p w14:paraId="1E31576D">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（2）近三年（202</w:t>
            </w:r>
            <w:r>
              <w:rPr>
                <w:rFonts w:hint="eastAsia" w:ascii="宋体" w:hAnsi="宋体" w:eastAsia="宋体" w:cs="宋体"/>
                <w:bCs/>
                <w:snapToGrid w:val="0"/>
                <w:color w:val="auto"/>
                <w:sz w:val="20"/>
                <w:szCs w:val="20"/>
                <w:highlight w:val="none"/>
                <w:lang w:val="en-US" w:eastAsia="zh-CN"/>
              </w:rPr>
              <w:t>2</w:t>
            </w:r>
            <w:r>
              <w:rPr>
                <w:rFonts w:hint="eastAsia" w:ascii="宋体" w:hAnsi="宋体" w:eastAsia="宋体" w:cs="宋体"/>
                <w:bCs/>
                <w:snapToGrid w:val="0"/>
                <w:color w:val="auto"/>
                <w:sz w:val="20"/>
                <w:szCs w:val="20"/>
                <w:highlight w:val="none"/>
                <w:lang w:val="zh-CN" w:eastAsia="zh-CN"/>
              </w:rPr>
              <w:t>年1月1日至今）内不得为“信用中国”网站（www.creditchina.gov.cn）中列入失信被执行人和重大税收违法案件当事人名单 供应商，不得为中国政府采购网（ www.ccgp.gov.cn）政府采购严重违法失信行 为记录名单中被财政部门禁止参加政府采购活动的供应商（在处罚决定规定的 时间和地域范围内）。</w:t>
            </w:r>
          </w:p>
          <w:p w14:paraId="744E0438">
            <w:pPr>
              <w:spacing w:before="160" w:line="227" w:lineRule="auto"/>
              <w:jc w:val="both"/>
              <w:rPr>
                <w:rFonts w:hint="eastAsia" w:ascii="宋体" w:hAnsi="宋体" w:eastAsia="宋体" w:cs="宋体"/>
                <w:bCs/>
                <w:snapToGrid w:val="0"/>
                <w:color w:val="auto"/>
                <w:kern w:val="0"/>
                <w:sz w:val="20"/>
                <w:szCs w:val="20"/>
                <w:highlight w:val="none"/>
                <w:lang w:val="zh-CN" w:eastAsia="zh-CN" w:bidi="ar-SA"/>
              </w:rPr>
            </w:pPr>
            <w:r>
              <w:rPr>
                <w:rFonts w:hint="eastAsia" w:ascii="宋体" w:hAnsi="宋体" w:eastAsia="宋体" w:cs="宋体"/>
                <w:bCs/>
                <w:snapToGrid w:val="0"/>
                <w:color w:val="auto"/>
                <w:sz w:val="20"/>
                <w:szCs w:val="20"/>
                <w:highlight w:val="none"/>
                <w:lang w:val="zh-CN" w:eastAsia="zh-CN"/>
              </w:rPr>
              <w:t>响应文件内上述（1）附由法定代表人或其委托代理人签字或盖章并加盖公章的 承诺书；（2）响应文件内有官网截图复印件加盖公章（需在公告发布之后至响 应文件递交截止期间查询打印网站查询结果截图）。</w:t>
            </w:r>
          </w:p>
        </w:tc>
      </w:tr>
      <w:tr w14:paraId="32AFE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52" w:type="dxa"/>
            <w:vAlign w:val="center"/>
          </w:tcPr>
          <w:p w14:paraId="230FDBC8">
            <w:pPr>
              <w:spacing w:before="160" w:line="227" w:lineRule="auto"/>
              <w:jc w:val="center"/>
              <w:rPr>
                <w:rFonts w:hint="eastAsia" w:ascii="宋体" w:hAnsi="宋体" w:eastAsia="宋体" w:cs="宋体"/>
                <w:bCs/>
                <w:snapToGrid w:val="0"/>
                <w:color w:val="auto"/>
                <w:sz w:val="20"/>
                <w:szCs w:val="20"/>
                <w:highlight w:val="none"/>
                <w:lang w:val="en-US" w:eastAsia="zh-CN"/>
              </w:rPr>
            </w:pPr>
            <w:r>
              <w:rPr>
                <w:rFonts w:hint="eastAsia" w:ascii="宋体" w:hAnsi="宋体" w:eastAsia="宋体" w:cs="宋体"/>
                <w:bCs/>
                <w:snapToGrid w:val="0"/>
                <w:color w:val="auto"/>
                <w:sz w:val="20"/>
                <w:szCs w:val="20"/>
                <w:highlight w:val="none"/>
                <w:lang w:val="en-US" w:eastAsia="zh-CN"/>
              </w:rPr>
              <w:t>其他要求</w:t>
            </w:r>
          </w:p>
        </w:tc>
        <w:tc>
          <w:tcPr>
            <w:tcW w:w="7352" w:type="dxa"/>
            <w:vAlign w:val="top"/>
          </w:tcPr>
          <w:p w14:paraId="713C3BCE">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bCs/>
                <w:snapToGrid w:val="0"/>
                <w:color w:val="auto"/>
                <w:sz w:val="20"/>
                <w:szCs w:val="20"/>
                <w:highlight w:val="none"/>
                <w:lang w:val="zh-CN" w:eastAsia="zh-CN"/>
              </w:rPr>
              <w:t>中标人项目管理机构人员应与投标文件承诺一致，确因特殊原因需更换人员的，应经采购人同意，且中标人须认同合同中关于更换人员的违约条款，所更换人员必须是中标人本单位专职人员，其资格、条件不低于被更换人员，项目经理、技术负责人需每天到场，每天实行项目经理、技术负责人签到。响应文件内附由法定代表人及项目经理、技术负责人本人签字并加盖公章的承诺书。</w:t>
            </w:r>
          </w:p>
        </w:tc>
      </w:tr>
      <w:tr w14:paraId="6400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2052" w:type="dxa"/>
            <w:vMerge w:val="restart"/>
            <w:vAlign w:val="center"/>
          </w:tcPr>
          <w:p w14:paraId="20D029CC">
            <w:pPr>
              <w:spacing w:before="160" w:line="227" w:lineRule="auto"/>
              <w:jc w:val="center"/>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lang w:val="zh-CN"/>
              </w:rPr>
              <w:t>项目经理</w:t>
            </w:r>
          </w:p>
        </w:tc>
        <w:tc>
          <w:tcPr>
            <w:tcW w:w="7352" w:type="dxa"/>
            <w:vAlign w:val="center"/>
          </w:tcPr>
          <w:p w14:paraId="2A1D6F0A">
            <w:pPr>
              <w:autoSpaceDN w:val="0"/>
              <w:adjustRightInd w:val="0"/>
              <w:spacing w:line="0" w:lineRule="atLeast"/>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具备建设行政主管部门核发的相关专业二级及以上注册建造师资格，有效期内的项目负责人安全生产考核合格证书（B类），应无在建工程</w:t>
            </w:r>
          </w:p>
          <w:p w14:paraId="767FD90F">
            <w:pPr>
              <w:autoSpaceDN w:val="0"/>
              <w:adjustRightInd w:val="0"/>
              <w:spacing w:line="0" w:lineRule="atLeast"/>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响应文件内附注册建造师证书、有效期内的项目负责人安全生产考核合格证书复印件加盖供应商单位公章、项目负责人无在建工程承诺书；</w:t>
            </w:r>
          </w:p>
          <w:p w14:paraId="68C07A0E">
            <w:pPr>
              <w:autoSpaceDN w:val="0"/>
              <w:adjustRightInd w:val="0"/>
              <w:spacing w:line="0" w:lineRule="atLeast"/>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启用电子证书的供应商，响应文件内附电子证书的有效查询网址，信息真伪由磋商小组登录其提供的有效网址或扫描二维码标识进行查询确认。</w:t>
            </w:r>
          </w:p>
          <w:p w14:paraId="4E86DF37">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lang w:val="zh-CN"/>
              </w:rPr>
              <w:t>注：（1）吉林省内供应商启用安全生产考核合格证电子证书的，信息的真伪由磋商小组通过登录“吉林省建设工程安管人员管理系统”–证书查询（http://jy.jlsjsxxw.com:8071）或扫描二维码标识进行查询确认。</w:t>
            </w:r>
          </w:p>
        </w:tc>
      </w:tr>
      <w:tr w14:paraId="28B4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052" w:type="dxa"/>
            <w:vMerge w:val="continue"/>
            <w:vAlign w:val="center"/>
          </w:tcPr>
          <w:p w14:paraId="0382A89A">
            <w:pPr>
              <w:spacing w:before="160" w:line="227" w:lineRule="auto"/>
              <w:jc w:val="center"/>
              <w:rPr>
                <w:rFonts w:hint="eastAsia" w:ascii="宋体" w:hAnsi="宋体" w:eastAsia="宋体" w:cs="宋体"/>
                <w:bCs/>
                <w:snapToGrid w:val="0"/>
                <w:color w:val="auto"/>
                <w:sz w:val="20"/>
                <w:szCs w:val="20"/>
                <w:highlight w:val="none"/>
                <w:lang w:val="zh-CN" w:eastAsia="zh-CN"/>
              </w:rPr>
            </w:pPr>
          </w:p>
        </w:tc>
        <w:tc>
          <w:tcPr>
            <w:tcW w:w="7352" w:type="dxa"/>
            <w:vAlign w:val="center"/>
          </w:tcPr>
          <w:p w14:paraId="017F4BFF">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lang w:val="zh-CN"/>
              </w:rPr>
              <w:t>应无在建工程。响应文件内提供法定代表人及项目负责人签字并加盖企业公章的无在建工程承诺书。</w:t>
            </w:r>
          </w:p>
        </w:tc>
      </w:tr>
      <w:tr w14:paraId="139D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052" w:type="dxa"/>
            <w:vMerge w:val="restart"/>
            <w:vAlign w:val="center"/>
          </w:tcPr>
          <w:p w14:paraId="216F5DA8">
            <w:pPr>
              <w:spacing w:before="160" w:line="227" w:lineRule="auto"/>
              <w:jc w:val="center"/>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lang w:val="zh-CN"/>
              </w:rPr>
              <w:t>项目管理机构人员</w:t>
            </w:r>
          </w:p>
        </w:tc>
        <w:tc>
          <w:tcPr>
            <w:tcW w:w="7352" w:type="dxa"/>
            <w:vAlign w:val="center"/>
          </w:tcPr>
          <w:p w14:paraId="4FFBC274">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lang w:val="zh-CN"/>
              </w:rPr>
              <w:t>满足施工标准。响应文件内附相应岗位证书复印件加盖公章。</w:t>
            </w:r>
          </w:p>
        </w:tc>
      </w:tr>
      <w:tr w14:paraId="05A6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52" w:type="dxa"/>
            <w:vMerge w:val="continue"/>
            <w:vAlign w:val="center"/>
          </w:tcPr>
          <w:p w14:paraId="302D976D">
            <w:pPr>
              <w:spacing w:before="160" w:line="227" w:lineRule="auto"/>
              <w:jc w:val="center"/>
              <w:rPr>
                <w:rFonts w:hint="eastAsia" w:ascii="宋体" w:hAnsi="宋体" w:eastAsia="宋体" w:cs="宋体"/>
                <w:bCs/>
                <w:snapToGrid w:val="0"/>
                <w:color w:val="auto"/>
                <w:sz w:val="20"/>
                <w:szCs w:val="20"/>
                <w:highlight w:val="none"/>
                <w:lang w:val="zh-CN" w:eastAsia="zh-CN"/>
              </w:rPr>
            </w:pPr>
          </w:p>
        </w:tc>
        <w:tc>
          <w:tcPr>
            <w:tcW w:w="7352" w:type="dxa"/>
            <w:vAlign w:val="center"/>
          </w:tcPr>
          <w:p w14:paraId="0DE39BDD">
            <w:pPr>
              <w:spacing w:before="160" w:line="227" w:lineRule="auto"/>
              <w:jc w:val="both"/>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lang w:val="zh-CN"/>
              </w:rPr>
              <w:t>供应商拟派的项目管理团队人员均无在建工程。响应文件中提供法定代表人签字并加盖公章的无在建工程承诺书。</w:t>
            </w:r>
          </w:p>
        </w:tc>
      </w:tr>
      <w:tr w14:paraId="2EF3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052" w:type="dxa"/>
            <w:vAlign w:val="center"/>
          </w:tcPr>
          <w:p w14:paraId="5D9BB776">
            <w:pPr>
              <w:tabs>
                <w:tab w:val="left" w:pos="200"/>
              </w:tabs>
              <w:spacing w:line="0" w:lineRule="atLeast"/>
              <w:jc w:val="center"/>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rPr>
              <w:t>履约历史</w:t>
            </w:r>
          </w:p>
        </w:tc>
        <w:tc>
          <w:tcPr>
            <w:tcW w:w="7352" w:type="dxa"/>
            <w:vAlign w:val="center"/>
          </w:tcPr>
          <w:p w14:paraId="4CAA2154">
            <w:pPr>
              <w:autoSpaceDN w:val="0"/>
              <w:adjustRightInd w:val="0"/>
              <w:spacing w:line="0" w:lineRule="atLeast"/>
              <w:jc w:val="left"/>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（20</w:t>
            </w: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rPr>
              <w:t>年至</w:t>
            </w:r>
            <w:r>
              <w:rPr>
                <w:rFonts w:hint="eastAsia" w:ascii="宋体" w:hAnsi="宋体" w:eastAsia="宋体" w:cs="宋体"/>
                <w:color w:val="auto"/>
                <w:sz w:val="20"/>
                <w:szCs w:val="20"/>
                <w:highlight w:val="none"/>
              </w:rPr>
              <w:t>今</w:t>
            </w:r>
            <w:r>
              <w:rPr>
                <w:rFonts w:hint="eastAsia" w:ascii="宋体" w:hAnsi="宋体" w:eastAsia="宋体" w:cs="宋体"/>
                <w:color w:val="auto"/>
                <w:sz w:val="20"/>
                <w:szCs w:val="20"/>
                <w:highlight w:val="none"/>
                <w:lang w:val="zh-CN"/>
              </w:rPr>
              <w:t>）没有骗取中标和严重违约及严重工程质量问题。</w:t>
            </w:r>
          </w:p>
          <w:p w14:paraId="12802DF2">
            <w:pPr>
              <w:autoSpaceDN w:val="0"/>
              <w:adjustRightInd w:val="0"/>
              <w:spacing w:line="0" w:lineRule="atLeast"/>
              <w:jc w:val="left"/>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lang w:val="zh-CN"/>
              </w:rPr>
              <w:t>标书内提供加盖公章及法定代表人签字并盖章的承诺书。</w:t>
            </w:r>
          </w:p>
        </w:tc>
      </w:tr>
      <w:tr w14:paraId="75A72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2" w:type="dxa"/>
            <w:vAlign w:val="center"/>
          </w:tcPr>
          <w:p w14:paraId="68307E5E">
            <w:pPr>
              <w:autoSpaceDN w:val="0"/>
              <w:adjustRightInd w:val="0"/>
              <w:spacing w:line="0" w:lineRule="atLeast"/>
              <w:jc w:val="center"/>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rPr>
              <w:t>承诺书</w:t>
            </w:r>
          </w:p>
        </w:tc>
        <w:tc>
          <w:tcPr>
            <w:tcW w:w="7352" w:type="dxa"/>
            <w:vAlign w:val="center"/>
          </w:tcPr>
          <w:p w14:paraId="65DBE0BF">
            <w:pPr>
              <w:autoSpaceDN w:val="0"/>
              <w:adjustRightInd w:val="0"/>
              <w:spacing w:line="0" w:lineRule="atLeast"/>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lang w:val="zh-CN"/>
              </w:rPr>
              <w:t>法人承诺书、其他</w:t>
            </w:r>
            <w:r>
              <w:rPr>
                <w:rFonts w:hint="eastAsia" w:ascii="宋体" w:hAnsi="宋体" w:eastAsia="宋体" w:cs="宋体"/>
                <w:bCs/>
                <w:color w:val="auto"/>
                <w:sz w:val="20"/>
                <w:szCs w:val="20"/>
                <w:highlight w:val="none"/>
              </w:rPr>
              <w:t>承诺书等招标文件中要求提供的所有承诺书。</w:t>
            </w:r>
          </w:p>
        </w:tc>
      </w:tr>
      <w:tr w14:paraId="13430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052" w:type="dxa"/>
            <w:vAlign w:val="center"/>
          </w:tcPr>
          <w:p w14:paraId="0C353399">
            <w:pPr>
              <w:autoSpaceDN w:val="0"/>
              <w:adjustRightInd w:val="0"/>
              <w:spacing w:line="0" w:lineRule="atLeast"/>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lang w:val="zh-CN"/>
              </w:rPr>
              <w:t>不存在禁止投标的情形</w:t>
            </w:r>
          </w:p>
        </w:tc>
        <w:tc>
          <w:tcPr>
            <w:tcW w:w="7352" w:type="dxa"/>
            <w:vAlign w:val="center"/>
          </w:tcPr>
          <w:p w14:paraId="1F15E237">
            <w:pPr>
              <w:autoSpaceDN w:val="0"/>
              <w:adjustRightInd w:val="0"/>
              <w:spacing w:line="0" w:lineRule="atLeas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zh-CN"/>
              </w:rPr>
              <w:t>不存在第二章“供应商须知”第</w:t>
            </w:r>
            <w:r>
              <w:rPr>
                <w:rFonts w:hint="eastAsia" w:ascii="宋体" w:hAnsi="宋体" w:eastAsia="宋体" w:cs="宋体"/>
                <w:color w:val="auto"/>
                <w:sz w:val="20"/>
                <w:szCs w:val="20"/>
                <w:highlight w:val="none"/>
              </w:rPr>
              <w:t>1.4.</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项</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1.4.3</w:t>
            </w:r>
            <w:r>
              <w:rPr>
                <w:rFonts w:hint="eastAsia" w:ascii="宋体" w:hAnsi="宋体" w:eastAsia="宋体" w:cs="宋体"/>
                <w:color w:val="auto"/>
                <w:sz w:val="20"/>
                <w:szCs w:val="20"/>
                <w:highlight w:val="none"/>
              </w:rPr>
              <w:t>项规定的任何一种情形</w:t>
            </w:r>
          </w:p>
          <w:p w14:paraId="74C0A7D8">
            <w:pPr>
              <w:autoSpaceDN w:val="0"/>
              <w:adjustRightInd w:val="0"/>
              <w:spacing w:line="0" w:lineRule="atLeast"/>
              <w:rPr>
                <w:rFonts w:hint="eastAsia" w:ascii="宋体" w:hAnsi="宋体" w:eastAsia="宋体" w:cs="宋体"/>
                <w:bCs/>
                <w:snapToGrid w:val="0"/>
                <w:color w:val="auto"/>
                <w:sz w:val="20"/>
                <w:szCs w:val="20"/>
                <w:highlight w:val="none"/>
                <w:lang w:val="zh-CN" w:eastAsia="zh-CN"/>
              </w:rPr>
            </w:pPr>
            <w:r>
              <w:rPr>
                <w:rFonts w:hint="eastAsia" w:ascii="宋体" w:hAnsi="宋体" w:eastAsia="宋体" w:cs="宋体"/>
                <w:color w:val="auto"/>
                <w:sz w:val="20"/>
                <w:szCs w:val="20"/>
                <w:highlight w:val="none"/>
              </w:rPr>
              <w:t>投标文件内附由法定代表人或其委托代理人签字并加盖投标单位公章的承诺书</w:t>
            </w:r>
          </w:p>
        </w:tc>
      </w:tr>
    </w:tbl>
    <w:p w14:paraId="4BDB8DC0">
      <w:pPr>
        <w:pStyle w:val="8"/>
        <w:rPr>
          <w:color w:val="auto"/>
          <w:sz w:val="21"/>
          <w:szCs w:val="21"/>
          <w:highlight w:val="none"/>
        </w:rPr>
      </w:pPr>
    </w:p>
    <w:p w14:paraId="6BCB86D6">
      <w:pPr>
        <w:rPr>
          <w:color w:val="auto"/>
          <w:sz w:val="21"/>
          <w:szCs w:val="21"/>
          <w:highlight w:val="none"/>
        </w:rPr>
        <w:sectPr>
          <w:footerReference r:id="rId45" w:type="default"/>
          <w:pgSz w:w="11906" w:h="16839"/>
          <w:pgMar w:top="1431" w:right="1248" w:bottom="1156" w:left="1248" w:header="0" w:footer="994" w:gutter="0"/>
          <w:pgNumType w:fmt="decimal"/>
          <w:cols w:space="720" w:num="1"/>
        </w:sectPr>
      </w:pPr>
    </w:p>
    <w:p w14:paraId="7F1F1DD9">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注：上述审查项目中，有一项不符合采购文件要求，该响应文件则作无效投标处理，不再进入符合性审查。2、本表由磋商小组共同商议基础上给出结论，意见不一致时，按照少数服从多数的原则确定。</w:t>
      </w:r>
    </w:p>
    <w:p w14:paraId="4851F85B">
      <w:pPr>
        <w:spacing w:before="24" w:line="228" w:lineRule="auto"/>
        <w:ind w:left="543"/>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2、符合性审查</w:t>
      </w:r>
    </w:p>
    <w:p w14:paraId="13F88BEF">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符合性审查是指依据磋商文件的规定，从响应文件的有效性和完整性对磋商文件的响应程度进行 审查，以确定是否对磋商文件的实质性要求做出响应。供应商应按照《响应文件内容及格式》中的相 应要求，提交符合性证明材料。未通过符合性审查的供应商不能进入下一阶段评审，其响应将被认定 为无效响应；通过符合性审查的供应商数量不足 3 家的，不得做进一步的比较和评价。</w:t>
      </w:r>
    </w:p>
    <w:p w14:paraId="73989BDE">
      <w:pPr>
        <w:spacing w:line="32" w:lineRule="auto"/>
        <w:rPr>
          <w:rFonts w:ascii="Arial"/>
          <w:color w:val="auto"/>
          <w:sz w:val="21"/>
          <w:szCs w:val="21"/>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5"/>
        <w:gridCol w:w="7389"/>
      </w:tblGrid>
      <w:tr w14:paraId="35DA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5" w:type="dxa"/>
            <w:vAlign w:val="top"/>
          </w:tcPr>
          <w:p w14:paraId="73312526">
            <w:pPr>
              <w:pStyle w:val="21"/>
              <w:spacing w:before="68" w:line="228" w:lineRule="auto"/>
              <w:ind w:left="65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评审因素</w:t>
            </w:r>
          </w:p>
        </w:tc>
        <w:tc>
          <w:tcPr>
            <w:tcW w:w="7389" w:type="dxa"/>
            <w:vAlign w:val="top"/>
          </w:tcPr>
          <w:p w14:paraId="651D8F08">
            <w:pPr>
              <w:pStyle w:val="21"/>
              <w:spacing w:before="68" w:line="228" w:lineRule="auto"/>
              <w:ind w:left="3208"/>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评审标准</w:t>
            </w:r>
          </w:p>
        </w:tc>
      </w:tr>
      <w:tr w14:paraId="2534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15" w:type="dxa"/>
            <w:vAlign w:val="center"/>
          </w:tcPr>
          <w:p w14:paraId="0B88209E">
            <w:pPr>
              <w:tabs>
                <w:tab w:val="left" w:pos="200"/>
              </w:tabs>
              <w:spacing w:line="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供应商名称</w:t>
            </w:r>
          </w:p>
        </w:tc>
        <w:tc>
          <w:tcPr>
            <w:tcW w:w="7389" w:type="dxa"/>
            <w:vAlign w:val="center"/>
          </w:tcPr>
          <w:p w14:paraId="363C6FA1">
            <w:pPr>
              <w:autoSpaceDN w:val="0"/>
              <w:adjustRightInd w:val="0"/>
              <w:spacing w:line="0" w:lineRule="atLeast"/>
              <w:jc w:val="left"/>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与营业执照、资质证书、安全生产许可证一致。</w:t>
            </w:r>
          </w:p>
        </w:tc>
      </w:tr>
      <w:tr w14:paraId="04F3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15" w:type="dxa"/>
            <w:vAlign w:val="center"/>
          </w:tcPr>
          <w:p w14:paraId="2FDC6C5D">
            <w:pPr>
              <w:tabs>
                <w:tab w:val="left" w:pos="200"/>
              </w:tabs>
              <w:spacing w:line="0" w:lineRule="atLeast"/>
              <w:jc w:val="center"/>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rPr>
              <w:t>报价函签字盖章</w:t>
            </w:r>
          </w:p>
        </w:tc>
        <w:tc>
          <w:tcPr>
            <w:tcW w:w="7389" w:type="dxa"/>
            <w:vAlign w:val="center"/>
          </w:tcPr>
          <w:p w14:paraId="1A701AF7">
            <w:pPr>
              <w:autoSpaceDN w:val="0"/>
              <w:adjustRightInd w:val="0"/>
              <w:spacing w:line="0" w:lineRule="atLeast"/>
              <w:jc w:val="left"/>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lang w:val="zh-CN"/>
              </w:rPr>
              <w:t>报价函均应加盖投标供应商印章并经法定代表人或其委托代理人签字或盖章。</w:t>
            </w:r>
          </w:p>
        </w:tc>
      </w:tr>
      <w:tr w14:paraId="79EB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15" w:type="dxa"/>
            <w:vAlign w:val="center"/>
          </w:tcPr>
          <w:p w14:paraId="474C2782">
            <w:pPr>
              <w:tabs>
                <w:tab w:val="left" w:pos="200"/>
              </w:tabs>
              <w:spacing w:line="0" w:lineRule="atLeast"/>
              <w:jc w:val="center"/>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rPr>
              <w:t>响应文件格式及编制</w:t>
            </w:r>
          </w:p>
        </w:tc>
        <w:tc>
          <w:tcPr>
            <w:tcW w:w="7389" w:type="dxa"/>
            <w:vAlign w:val="center"/>
          </w:tcPr>
          <w:p w14:paraId="06CD26B8">
            <w:pPr>
              <w:autoSpaceDN w:val="0"/>
              <w:adjustRightInd w:val="0"/>
              <w:spacing w:line="0" w:lineRule="atLeast"/>
              <w:jc w:val="left"/>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lang w:val="zh-CN"/>
              </w:rPr>
              <w:t>符合磋商文件中 “响应文件格式”的要求，按磋商文件的要求盖章、签署及编制。</w:t>
            </w:r>
          </w:p>
        </w:tc>
      </w:tr>
      <w:tr w14:paraId="5991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15" w:type="dxa"/>
            <w:vAlign w:val="center"/>
          </w:tcPr>
          <w:p w14:paraId="3E854032">
            <w:pPr>
              <w:tabs>
                <w:tab w:val="left" w:pos="200"/>
              </w:tabs>
              <w:spacing w:line="0" w:lineRule="atLeast"/>
              <w:jc w:val="center"/>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rPr>
              <w:t>响应文件签字盖章</w:t>
            </w:r>
          </w:p>
        </w:tc>
        <w:tc>
          <w:tcPr>
            <w:tcW w:w="7389" w:type="dxa"/>
            <w:vAlign w:val="center"/>
          </w:tcPr>
          <w:p w14:paraId="76E8AB76">
            <w:pPr>
              <w:autoSpaceDN w:val="0"/>
              <w:adjustRightInd w:val="0"/>
              <w:spacing w:line="0" w:lineRule="atLeast"/>
              <w:jc w:val="left"/>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lang w:val="zh-CN"/>
              </w:rPr>
              <w:t>响应文件的签字盖章须符合磋商文件中的规定要求。</w:t>
            </w:r>
          </w:p>
        </w:tc>
      </w:tr>
      <w:tr w14:paraId="1D4F0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15" w:type="dxa"/>
            <w:vAlign w:val="center"/>
          </w:tcPr>
          <w:p w14:paraId="5CB0AD73">
            <w:pPr>
              <w:tabs>
                <w:tab w:val="left" w:pos="200"/>
              </w:tabs>
              <w:spacing w:line="0" w:lineRule="atLeast"/>
              <w:jc w:val="center"/>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rPr>
              <w:t>报价</w:t>
            </w:r>
          </w:p>
        </w:tc>
        <w:tc>
          <w:tcPr>
            <w:tcW w:w="7389" w:type="dxa"/>
            <w:vAlign w:val="center"/>
          </w:tcPr>
          <w:p w14:paraId="3ED0C437">
            <w:pPr>
              <w:autoSpaceDN w:val="0"/>
              <w:adjustRightInd w:val="0"/>
              <w:spacing w:line="0" w:lineRule="atLeast"/>
              <w:jc w:val="left"/>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lang w:val="zh-CN"/>
              </w:rPr>
              <w:t>只能有一个有效报价且不超过采购预算（最高投标限价）。</w:t>
            </w:r>
          </w:p>
        </w:tc>
      </w:tr>
      <w:tr w14:paraId="2F86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15" w:type="dxa"/>
            <w:vAlign w:val="center"/>
          </w:tcPr>
          <w:p w14:paraId="26263F26">
            <w:pPr>
              <w:tabs>
                <w:tab w:val="left" w:pos="200"/>
              </w:tabs>
              <w:spacing w:line="0" w:lineRule="atLeas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计划工期</w:t>
            </w:r>
          </w:p>
          <w:p w14:paraId="4D1849D1">
            <w:pPr>
              <w:tabs>
                <w:tab w:val="left" w:pos="200"/>
              </w:tabs>
              <w:spacing w:line="0" w:lineRule="atLeast"/>
              <w:jc w:val="center"/>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rPr>
              <w:t>（合同履行期限）</w:t>
            </w:r>
          </w:p>
        </w:tc>
        <w:tc>
          <w:tcPr>
            <w:tcW w:w="7389" w:type="dxa"/>
            <w:vAlign w:val="center"/>
          </w:tcPr>
          <w:p w14:paraId="0150641B">
            <w:pPr>
              <w:autoSpaceDN w:val="0"/>
              <w:adjustRightInd w:val="0"/>
              <w:spacing w:line="0" w:lineRule="atLeast"/>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en-US"/>
              </w:rPr>
              <w:t>采购合同签订之日起 35 天</w:t>
            </w:r>
            <w:r>
              <w:rPr>
                <w:rFonts w:hint="eastAsia" w:ascii="宋体" w:hAnsi="宋体" w:eastAsia="宋体" w:cs="宋体"/>
                <w:color w:val="auto"/>
                <w:sz w:val="20"/>
                <w:szCs w:val="20"/>
                <w:highlight w:val="none"/>
                <w:lang w:val="en-US" w:eastAsia="zh-CN"/>
              </w:rPr>
              <w:t>内。</w:t>
            </w:r>
          </w:p>
        </w:tc>
      </w:tr>
      <w:tr w14:paraId="5B7E3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15" w:type="dxa"/>
            <w:vAlign w:val="center"/>
          </w:tcPr>
          <w:p w14:paraId="57FF2BD9">
            <w:pPr>
              <w:tabs>
                <w:tab w:val="left" w:pos="200"/>
              </w:tabs>
              <w:spacing w:line="0" w:lineRule="atLeast"/>
              <w:jc w:val="center"/>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lang w:val="en-US" w:eastAsia="en-US"/>
              </w:rPr>
              <w:t>质量标准</w:t>
            </w:r>
          </w:p>
        </w:tc>
        <w:tc>
          <w:tcPr>
            <w:tcW w:w="7389" w:type="dxa"/>
            <w:vAlign w:val="center"/>
          </w:tcPr>
          <w:p w14:paraId="6DADE3A4">
            <w:pPr>
              <w:autoSpaceDN w:val="0"/>
              <w:adjustRightInd w:val="0"/>
              <w:spacing w:line="0" w:lineRule="atLeast"/>
              <w:jc w:val="left"/>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lang w:val="zh-CN"/>
              </w:rPr>
              <w:t>符合国家现行工程施工质量验收统一标准及相关标准的合格工程。</w:t>
            </w:r>
          </w:p>
        </w:tc>
      </w:tr>
      <w:tr w14:paraId="6FBD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15" w:type="dxa"/>
            <w:vAlign w:val="center"/>
          </w:tcPr>
          <w:p w14:paraId="42AC77D9">
            <w:pPr>
              <w:tabs>
                <w:tab w:val="left" w:pos="200"/>
              </w:tabs>
              <w:spacing w:line="0" w:lineRule="atLeast"/>
              <w:jc w:val="center"/>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rPr>
              <w:t>投标有效期</w:t>
            </w:r>
          </w:p>
        </w:tc>
        <w:tc>
          <w:tcPr>
            <w:tcW w:w="7389" w:type="dxa"/>
            <w:vAlign w:val="center"/>
          </w:tcPr>
          <w:p w14:paraId="57449B43">
            <w:pPr>
              <w:autoSpaceDN w:val="0"/>
              <w:adjustRightInd w:val="0"/>
              <w:spacing w:line="0" w:lineRule="atLeast"/>
              <w:jc w:val="left"/>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lang w:val="zh-CN"/>
              </w:rPr>
              <w:t>响应文件递交截止之日后</w:t>
            </w:r>
            <w:r>
              <w:rPr>
                <w:rFonts w:hint="eastAsia" w:ascii="宋体" w:hAnsi="宋体" w:eastAsia="宋体" w:cs="宋体"/>
                <w:color w:val="auto"/>
                <w:sz w:val="20"/>
                <w:szCs w:val="20"/>
                <w:highlight w:val="none"/>
                <w:lang w:val="en-US" w:eastAsia="zh-CN"/>
              </w:rPr>
              <w:t>90</w:t>
            </w:r>
            <w:r>
              <w:rPr>
                <w:rFonts w:hint="eastAsia" w:ascii="宋体" w:hAnsi="宋体" w:eastAsia="宋体" w:cs="宋体"/>
                <w:color w:val="auto"/>
                <w:sz w:val="20"/>
                <w:szCs w:val="20"/>
                <w:highlight w:val="none"/>
                <w:lang w:val="zh-CN"/>
              </w:rPr>
              <w:t>天（ 日历天）</w:t>
            </w:r>
          </w:p>
        </w:tc>
      </w:tr>
      <w:tr w14:paraId="70E36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15" w:type="dxa"/>
            <w:vAlign w:val="center"/>
          </w:tcPr>
          <w:p w14:paraId="091352BA">
            <w:pPr>
              <w:tabs>
                <w:tab w:val="left" w:pos="200"/>
              </w:tabs>
              <w:spacing w:line="0" w:lineRule="atLeast"/>
              <w:jc w:val="center"/>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rPr>
              <w:t>磋商保证金</w:t>
            </w:r>
          </w:p>
        </w:tc>
        <w:tc>
          <w:tcPr>
            <w:tcW w:w="7389" w:type="dxa"/>
            <w:vAlign w:val="center"/>
          </w:tcPr>
          <w:p w14:paraId="32513F5A">
            <w:pPr>
              <w:autoSpaceDN w:val="0"/>
              <w:adjustRightInd w:val="0"/>
              <w:spacing w:line="0" w:lineRule="atLeast"/>
              <w:jc w:val="left"/>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lang w:val="zh-CN"/>
              </w:rPr>
              <w:t>符合磋商文件要求</w:t>
            </w:r>
          </w:p>
        </w:tc>
      </w:tr>
      <w:tr w14:paraId="21966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2015" w:type="dxa"/>
            <w:vAlign w:val="center"/>
          </w:tcPr>
          <w:p w14:paraId="10F5BC69">
            <w:pPr>
              <w:tabs>
                <w:tab w:val="left" w:pos="200"/>
              </w:tabs>
              <w:spacing w:line="0" w:lineRule="atLeast"/>
              <w:jc w:val="center"/>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rPr>
              <w:t>已标价工程量清单</w:t>
            </w:r>
          </w:p>
        </w:tc>
        <w:tc>
          <w:tcPr>
            <w:tcW w:w="7389" w:type="dxa"/>
            <w:vAlign w:val="top"/>
          </w:tcPr>
          <w:p w14:paraId="4C8B76A3">
            <w:pPr>
              <w:autoSpaceDN w:val="0"/>
              <w:adjustRightInd w:val="0"/>
              <w:spacing w:line="0" w:lineRule="atLeast"/>
              <w:rPr>
                <w:rFonts w:hint="eastAsia" w:ascii="宋体" w:hAnsi="宋体" w:eastAsia="宋体" w:cs="宋体"/>
                <w:color w:val="auto"/>
                <w:sz w:val="20"/>
                <w:szCs w:val="20"/>
                <w:highlight w:val="none"/>
                <w:lang w:val="en-US" w:eastAsia="en-US"/>
              </w:rPr>
            </w:pPr>
            <w:r>
              <w:rPr>
                <w:rFonts w:hint="eastAsia" w:ascii="宋体" w:hAnsi="宋体" w:eastAsia="宋体" w:cs="宋体"/>
                <w:color w:val="auto"/>
                <w:sz w:val="20"/>
                <w:szCs w:val="20"/>
                <w:highlight w:val="none"/>
                <w:lang w:val="zh-CN"/>
              </w:rPr>
              <w:t>与磋商文件“工程量清单”给出的范围及数量，供应商应按招标工程量清单填报价格。项目编码、项目标段名称、项目特征、计量单位、工程量必须与招标工程量清单一致，投标总价表必须经有资格的注册造价师签字并加盖执业专用章。</w:t>
            </w:r>
            <w:r>
              <w:rPr>
                <w:rFonts w:hint="eastAsia" w:ascii="宋体" w:hAnsi="宋体" w:eastAsia="宋体" w:cs="宋体"/>
                <w:b/>
                <w:bCs/>
                <w:color w:val="auto"/>
                <w:sz w:val="20"/>
                <w:szCs w:val="20"/>
                <w:highlight w:val="none"/>
                <w:lang w:val="zh-CN"/>
              </w:rPr>
              <w:t>如不是本单位造价师编制，则须委托造价咨询单位编制（须提供供应商与造价咨询单位签署的委托书扫描件加盖公章）。同一单位的注册造价师在本招标项目中不能为两个及两个以上的投标单位编制工程量清单，否则按废标处理）</w:t>
            </w:r>
            <w:r>
              <w:rPr>
                <w:rFonts w:hint="eastAsia" w:ascii="宋体" w:hAnsi="宋体" w:eastAsia="宋体" w:cs="宋体"/>
                <w:color w:val="auto"/>
                <w:sz w:val="20"/>
                <w:szCs w:val="20"/>
                <w:highlight w:val="none"/>
                <w:lang w:val="zh-CN"/>
              </w:rPr>
              <w:t>。</w:t>
            </w:r>
          </w:p>
        </w:tc>
      </w:tr>
    </w:tbl>
    <w:p w14:paraId="752F3D5D">
      <w:pPr>
        <w:spacing w:before="32" w:line="227" w:lineRule="auto"/>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注：投标供应商有一项不满足符合性评审标准的</w:t>
      </w:r>
      <w:r>
        <w:rPr>
          <w:rFonts w:ascii="宋体" w:hAnsi="宋体" w:eastAsia="宋体" w:cs="宋体"/>
          <w:color w:val="auto"/>
          <w:spacing w:val="9"/>
          <w:sz w:val="20"/>
          <w:szCs w:val="20"/>
          <w:highlight w:val="none"/>
        </w:rPr>
        <w:t>，其投标将被否决，不再进入后续详细评审。</w:t>
      </w:r>
    </w:p>
    <w:p w14:paraId="699A2CAD">
      <w:pPr>
        <w:spacing w:before="25" w:line="228" w:lineRule="auto"/>
        <w:ind w:left="544"/>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3、磋商</w:t>
      </w:r>
    </w:p>
    <w:p w14:paraId="0E858A8E">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3.1 磋商小组将集中根据磋商文件规定的程序、评定成交的标准等事项与实质性响应磋商文件要 求的供应商分别进行磋商。在磋商中，磋商的任何一方不得透露与磋商有关的其他供应商的技术资料、价格和其他信息。</w:t>
      </w:r>
    </w:p>
    <w:p w14:paraId="7F2E977B">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3.2 在磋商过程中，磋商小组可以根据磋商文件和磋商情况，经采购人代表确认后变动采购需求 中的技术、服务要求以及合同草案条例等实质性内容。</w:t>
      </w:r>
    </w:p>
    <w:p w14:paraId="1343035B">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3.3 对磋商文件作出实质性变动是磋商文件的有效组成部分，磋商小组将以书面形式同时通知所有参加磋商的供应商。</w:t>
      </w:r>
    </w:p>
    <w:p w14:paraId="3281825A">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3.4 供应商应当按照磋商文件的变动情况和磋商小组的要求重新提交响应文件，并由其法定代表 人或授权代表签字或者加盖公章。由授权代表签字的，应当附法定代表人授权书。</w:t>
      </w:r>
    </w:p>
    <w:p w14:paraId="4B9817EA">
      <w:pPr>
        <w:spacing w:before="163" w:line="226" w:lineRule="auto"/>
        <w:ind w:left="539"/>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4、最后报价</w:t>
      </w:r>
    </w:p>
    <w:p w14:paraId="5EE42EEC">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4.1 磋商结束后，磋商小组将要求所有实质性响应的供应商在规定时间内提交最后报价，且提交最后报价的供应商不少于3家。</w:t>
      </w:r>
    </w:p>
    <w:p w14:paraId="6DF604F2">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4.2 最后报价须按已标价工程量清单要求提交，最后报价是供应商响应文件的有效组成部分。</w:t>
      </w:r>
    </w:p>
    <w:p w14:paraId="08CEF5F8">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4.4 已提交响应文件的供应商，在提交最后报价之前，可以根据磋商情况退出磋商，退出磋商不视为撤回响应文件，退出磋商不影响退出磋商的供应商对已经递交的响应文件承担法律、法规和磋商文件中规定的相应责任。采购人，采购代理机构应当退还退出磋商的供应商的保证金。</w:t>
      </w:r>
    </w:p>
    <w:p w14:paraId="5CE795FB">
      <w:pPr>
        <w:spacing w:before="160" w:line="227" w:lineRule="auto"/>
        <w:ind w:left="541"/>
        <w:rPr>
          <w:rFonts w:hint="eastAsia" w:ascii="宋体" w:hAnsi="宋体" w:eastAsia="宋体" w:cs="Times New Roman"/>
          <w:b/>
          <w:bCs w:val="0"/>
          <w:snapToGrid w:val="0"/>
          <w:color w:val="auto"/>
          <w:sz w:val="21"/>
          <w:szCs w:val="21"/>
          <w:highlight w:val="none"/>
          <w:lang w:val="zh-CN" w:eastAsia="zh-CN"/>
        </w:rPr>
      </w:pPr>
      <w:r>
        <w:rPr>
          <w:rFonts w:hint="eastAsia" w:ascii="宋体" w:hAnsi="宋体" w:eastAsia="宋体" w:cs="Times New Roman"/>
          <w:b/>
          <w:bCs w:val="0"/>
          <w:snapToGrid w:val="0"/>
          <w:color w:val="auto"/>
          <w:sz w:val="21"/>
          <w:szCs w:val="21"/>
          <w:highlight w:val="none"/>
          <w:lang w:val="zh-CN" w:eastAsia="zh-CN"/>
        </w:rPr>
        <w:t>5、比较及评价</w:t>
      </w:r>
    </w:p>
    <w:p w14:paraId="198C9B5F">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5.1 磋商小组对通过资格审查、符合性审查的响应文件进行比较和评价。</w:t>
      </w:r>
    </w:p>
    <w:p w14:paraId="50254B6E">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5.2 在磋商期间，磋商小组可以书面要求供应商对其响应文件中含义不明确、同类问题表述不一 致或者有明显文字和计算错误的内容作必要的澄清、说明或补正。供应商的澄清、说明或补正应在磋 商小组规定的时间内以书面方式进行，并不得超出响应文件范围或者改变响应文件的实质性内容。供 应商拒不进行澄清、说明、补正的，或者不能在规定时间内作出书面澄清、说明、补正的，其响应文 件将被作为无效响应处理。</w:t>
      </w:r>
    </w:p>
    <w:p w14:paraId="1D7755CB">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5.2.1 供应商的澄清、说明或者补正应当由法定代表人或其授权代表签字或者加盖公章。供应商 为自然人的，应当由本人签字并附身份证明。</w:t>
      </w:r>
    </w:p>
    <w:p w14:paraId="27DDF9C3">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5.2.2 供应商的澄清、说明或补正将作为响应文件的一部分。</w:t>
      </w:r>
    </w:p>
    <w:p w14:paraId="48B44589">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5.2.3 响应文件报价出现前后不一致的，按照下列规定修正：</w:t>
      </w:r>
    </w:p>
    <w:p w14:paraId="04E90D70">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（1）响应文件中报价一览表内容与响应文件中相应内容不一致的， 以报价一览表为准；</w:t>
      </w:r>
    </w:p>
    <w:p w14:paraId="47110CDB">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（2）大写金额和小写金额不一致的，以大写金额为准；</w:t>
      </w:r>
    </w:p>
    <w:p w14:paraId="2103DC2E">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（3）单价金额小数点或者百分比有明显错位的， 以报价一览表的总价为准，并修改单价；</w:t>
      </w:r>
    </w:p>
    <w:p w14:paraId="66E9C8AB">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（4）总价金额与按单价汇总金额不一致的， 以单价金额计算结果为准。</w:t>
      </w:r>
    </w:p>
    <w:p w14:paraId="5464ED2D">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同时出现两种以上不一致的，按照前款规定的顺序修正。修正后的报价经供应商确认后产生约束 力，供应商不确认的，其响应文件将被认定为无效响应。</w:t>
      </w:r>
    </w:p>
    <w:p w14:paraId="1D5C0E67">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5.3 磋商小组认为供应商的报价明显低于其他通过符合性审查的供应商报价，有可能影响工程质量或者不能诚信履约的，磋商小组应当要求其在评审现场合理的时间（接到通知后 1 个小时）内提供书面说明，并提交相关证明材料，供应商不能证明其报价合理性的，磋商小组应当将其响应作为无效 响应处理。</w:t>
      </w:r>
    </w:p>
    <w:p w14:paraId="4997A8A4">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供应商的书面说明材料包含货物本身成本、人工费用、运输、税收等，以及最后报价不会影响产 品质量或诚信履约能力的说明等。</w:t>
      </w:r>
    </w:p>
    <w:p w14:paraId="085C1EBE">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供应商的书面说明应当签字确认或者加盖公章，否则无效。书面说明的签字确认，由其法定代表 人或者其授权代表签字确认。</w:t>
      </w:r>
    </w:p>
    <w:p w14:paraId="0B80CF09">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供应商提供书面说明后，磋商小组应当结合采购项目采购需求、专业实际情况、供应商财务状况 报告、与其他供应商比较情况等就供应商的书面说明进行审查评价。供应商如有下列情况的，磋商小 组应当将其响应文件作为无效处理：</w:t>
      </w:r>
    </w:p>
    <w:p w14:paraId="321D184C">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（1）拒绝或者变相拒绝提供有效书面说明；</w:t>
      </w:r>
    </w:p>
    <w:p w14:paraId="42FC5242">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（2）书面说明不能证明其报价合理性的；</w:t>
      </w:r>
    </w:p>
    <w:p w14:paraId="51413B75">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（3）未在规定时间内递交有效书面说明书的。</w:t>
      </w:r>
    </w:p>
    <w:p w14:paraId="42773D5E">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
          <w:bCs w:val="0"/>
          <w:snapToGrid w:val="0"/>
          <w:color w:val="auto"/>
          <w:sz w:val="21"/>
          <w:szCs w:val="21"/>
          <w:highlight w:val="none"/>
          <w:lang w:val="zh-CN" w:eastAsia="zh-CN"/>
        </w:rPr>
        <w:t>6、需落实的政府采购政策性规定：本次采购项目属于专门面向中小企业的项目。</w:t>
      </w:r>
    </w:p>
    <w:p w14:paraId="7B2F08A1">
      <w:pPr>
        <w:spacing w:before="160" w:line="227" w:lineRule="auto"/>
        <w:ind w:left="541"/>
        <w:rPr>
          <w:rFonts w:hint="eastAsia" w:ascii="宋体" w:hAnsi="宋体" w:eastAsia="宋体" w:cs="Times New Roman"/>
          <w:bCs/>
          <w:snapToGrid w:val="0"/>
          <w:color w:val="auto"/>
          <w:sz w:val="21"/>
          <w:szCs w:val="21"/>
          <w:highlight w:val="none"/>
          <w:lang w:val="zh-CN" w:eastAsia="zh-CN"/>
        </w:rPr>
        <w:sectPr>
          <w:footerReference r:id="rId46" w:type="default"/>
          <w:pgSz w:w="11906" w:h="16839"/>
          <w:pgMar w:top="1294" w:right="1362" w:bottom="1156" w:left="1367" w:header="0" w:footer="994" w:gutter="0"/>
          <w:pgNumType w:fmt="decimal"/>
          <w:cols w:space="720" w:num="1"/>
        </w:sectPr>
      </w:pPr>
    </w:p>
    <w:p w14:paraId="631662C5">
      <w:pPr>
        <w:spacing w:before="160" w:line="227" w:lineRule="auto"/>
        <w:ind w:left="541"/>
        <w:rPr>
          <w:rFonts w:hint="eastAsia" w:ascii="宋体" w:hAnsi="宋体" w:eastAsia="宋体" w:cs="Times New Roman"/>
          <w:b/>
          <w:bCs w:val="0"/>
          <w:snapToGrid w:val="0"/>
          <w:color w:val="auto"/>
          <w:sz w:val="21"/>
          <w:szCs w:val="21"/>
          <w:highlight w:val="none"/>
          <w:lang w:val="zh-CN" w:eastAsia="zh-CN"/>
        </w:rPr>
      </w:pPr>
      <w:r>
        <w:rPr>
          <w:rFonts w:hint="eastAsia" w:ascii="宋体" w:hAnsi="宋体" w:eastAsia="宋体" w:cs="Times New Roman"/>
          <w:b/>
          <w:bCs w:val="0"/>
          <w:snapToGrid w:val="0"/>
          <w:color w:val="auto"/>
          <w:sz w:val="21"/>
          <w:szCs w:val="21"/>
          <w:highlight w:val="none"/>
          <w:lang w:val="zh-CN" w:eastAsia="zh-CN"/>
        </w:rPr>
        <w:t>7、响应无效</w:t>
      </w:r>
    </w:p>
    <w:p w14:paraId="72CD171B">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7.1 在比较与评价之前，根据本须知的规定，磋商小组将审查每份响应文件是否实质上响应了磋 商文件的要求。如果响应文件没有对磋商文件的实质性要求进行响应，将作为无效响应处理，供应商 不得再对响应文件进行任何修正从而使其响应成为实质上响应。</w:t>
      </w:r>
    </w:p>
    <w:p w14:paraId="41444997">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磋商小组决定是否实质性响应只根据磋商文件要求、响应文件内容及财政主管部门指定媒体发布 的相关信息。</w:t>
      </w:r>
    </w:p>
    <w:p w14:paraId="7AE07480">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7.2  如发现下列情况之一的，其响应文件将被认定为无效响应：</w:t>
      </w:r>
    </w:p>
    <w:p w14:paraId="08F427DB">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（1）未按磋商文件的规定提交磋商保证金的；</w:t>
      </w:r>
    </w:p>
    <w:p w14:paraId="0711B2B3">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（2）未按照磋商文件规定要求签署、盖章的；</w:t>
      </w:r>
    </w:p>
    <w:p w14:paraId="4FD8E853">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（3）供应商的报价超过了磋商文件中规定的预算金额或者最高限价的；</w:t>
      </w:r>
    </w:p>
    <w:p w14:paraId="537505D7">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（4）不具备磋商文件中规定的资格要求的；</w:t>
      </w:r>
    </w:p>
    <w:p w14:paraId="2CB8BCC3">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（5）不符合法律、法规和磋商文件中规定的实质性要求的。</w:t>
      </w:r>
    </w:p>
    <w:p w14:paraId="795CE111">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（6）磋商小组认为供应商的报价明显低于其他通过符合性审查供应商的报价，有可能影响履约 的，且供应商未按照规定证明其报价合理性的；</w:t>
      </w:r>
    </w:p>
    <w:p w14:paraId="481331A6">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（7）响应文件含有采购人不能接受的附加条件的；</w:t>
      </w:r>
    </w:p>
    <w:p w14:paraId="0BCBEEDF">
      <w:pPr>
        <w:spacing w:before="160" w:line="227" w:lineRule="auto"/>
        <w:ind w:left="541"/>
        <w:rPr>
          <w:rFonts w:ascii="宋体" w:hAnsi="宋体" w:eastAsia="宋体" w:cs="宋体"/>
          <w:color w:val="auto"/>
          <w:sz w:val="21"/>
          <w:szCs w:val="21"/>
          <w:highlight w:val="none"/>
        </w:rPr>
      </w:pPr>
      <w:r>
        <w:rPr>
          <w:rFonts w:hint="eastAsia" w:ascii="宋体" w:hAnsi="宋体" w:eastAsia="宋体" w:cs="Times New Roman"/>
          <w:bCs/>
          <w:snapToGrid w:val="0"/>
          <w:color w:val="auto"/>
          <w:sz w:val="21"/>
          <w:szCs w:val="21"/>
          <w:highlight w:val="none"/>
          <w:lang w:val="zh-CN" w:eastAsia="zh-CN"/>
        </w:rPr>
        <w:t>（8）属于法律、法规和磋商文件中规定的其他无效响应情形的。</w:t>
      </w:r>
    </w:p>
    <w:p w14:paraId="331EF802">
      <w:pPr>
        <w:spacing w:before="162" w:line="228" w:lineRule="auto"/>
        <w:ind w:left="544"/>
        <w:rPr>
          <w:rFonts w:ascii="宋体" w:hAnsi="宋体" w:eastAsia="宋体" w:cs="宋体"/>
          <w:b/>
          <w:bCs/>
          <w:color w:val="auto"/>
          <w:spacing w:val="7"/>
          <w:sz w:val="21"/>
          <w:szCs w:val="21"/>
          <w:highlight w:val="none"/>
        </w:rPr>
      </w:pPr>
      <w:r>
        <w:rPr>
          <w:rFonts w:ascii="宋体" w:hAnsi="宋体" w:eastAsia="宋体" w:cs="宋体"/>
          <w:b/>
          <w:bCs/>
          <w:color w:val="auto"/>
          <w:spacing w:val="7"/>
          <w:sz w:val="21"/>
          <w:szCs w:val="21"/>
          <w:highlight w:val="none"/>
        </w:rPr>
        <w:t>三、推荐成交供应商的原则</w:t>
      </w:r>
    </w:p>
    <w:p w14:paraId="28D67711">
      <w:pPr>
        <w:spacing w:before="160" w:line="227" w:lineRule="auto"/>
        <w:ind w:left="541" w:firstLine="420" w:firstLineChars="200"/>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磋商结束后，除了算数修正和落实政府采购政策需进行的价格扣除外，不对供应商的响应价格进行任何调整。评审结果按照得分由高至低的顺序排序。</w:t>
      </w:r>
      <w:r>
        <w:rPr>
          <w:rFonts w:hint="eastAsia" w:ascii="宋体" w:hAnsi="宋体" w:eastAsia="宋体" w:cs="Times New Roman"/>
          <w:bCs/>
          <w:snapToGrid w:val="0"/>
          <w:color w:val="auto"/>
          <w:szCs w:val="21"/>
          <w:highlight w:val="none"/>
          <w:lang w:val="zh-CN" w:eastAsia="zh-CN"/>
        </w:rPr>
        <w:t>综合得分相等时，</w:t>
      </w:r>
      <w:r>
        <w:rPr>
          <w:rFonts w:hint="eastAsia" w:ascii="宋体" w:hAnsi="宋体" w:eastAsia="宋体" w:cs="Times New Roman"/>
          <w:bCs/>
          <w:snapToGrid w:val="0"/>
          <w:color w:val="auto"/>
          <w:sz w:val="21"/>
          <w:szCs w:val="21"/>
          <w:highlight w:val="none"/>
          <w:lang w:val="zh-CN" w:eastAsia="zh-CN"/>
        </w:rPr>
        <w:t>按最后报价由低至高顺序排序；按前款不能区分的，按施工组织设计优劣排序；其他情况，由磋商小组投票处理。</w:t>
      </w:r>
    </w:p>
    <w:p w14:paraId="087F5B8D">
      <w:pPr>
        <w:spacing w:before="32" w:line="227" w:lineRule="auto"/>
        <w:ind w:left="436"/>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四、确定成交供应商</w:t>
      </w:r>
    </w:p>
    <w:p w14:paraId="4CF06E17">
      <w:pPr>
        <w:spacing w:before="160" w:line="227" w:lineRule="auto"/>
        <w:ind w:left="541"/>
        <w:rPr>
          <w:rFonts w:hint="eastAsia" w:ascii="宋体" w:hAnsi="宋体" w:eastAsia="宋体" w:cs="Times New Roman"/>
          <w:bCs/>
          <w:snapToGrid w:val="0"/>
          <w:color w:val="auto"/>
          <w:sz w:val="21"/>
          <w:szCs w:val="21"/>
          <w:highlight w:val="none"/>
          <w:lang w:val="zh-CN" w:eastAsia="zh-CN"/>
        </w:rPr>
      </w:pPr>
      <w:r>
        <w:rPr>
          <w:rFonts w:hint="eastAsia" w:ascii="宋体" w:hAnsi="宋体" w:eastAsia="宋体" w:cs="Times New Roman"/>
          <w:bCs/>
          <w:snapToGrid w:val="0"/>
          <w:color w:val="auto"/>
          <w:sz w:val="21"/>
          <w:szCs w:val="21"/>
          <w:highlight w:val="none"/>
          <w:lang w:val="zh-CN" w:eastAsia="zh-CN"/>
        </w:rPr>
        <w:t>磋商小组根据全体磋商小组成员签字的原始评审记录和评审结果编写评审报告，并向采购人提交 书面评审报告。</w:t>
      </w:r>
    </w:p>
    <w:p w14:paraId="6C0EB920">
      <w:pPr>
        <w:rPr>
          <w:rFonts w:ascii="宋体" w:hAnsi="宋体" w:eastAsia="宋体" w:cs="宋体"/>
          <w:b/>
          <w:bCs/>
          <w:color w:val="auto"/>
          <w:spacing w:val="-17"/>
          <w:sz w:val="24"/>
          <w:szCs w:val="24"/>
          <w:highlight w:val="none"/>
        </w:rPr>
      </w:pPr>
      <w:r>
        <w:rPr>
          <w:rFonts w:ascii="宋体" w:hAnsi="宋体" w:eastAsia="宋体" w:cs="宋体"/>
          <w:b/>
          <w:bCs/>
          <w:color w:val="auto"/>
          <w:spacing w:val="-17"/>
          <w:sz w:val="24"/>
          <w:szCs w:val="24"/>
          <w:highlight w:val="none"/>
        </w:rPr>
        <w:br w:type="page"/>
      </w:r>
    </w:p>
    <w:p w14:paraId="61DC7996">
      <w:pPr>
        <w:spacing w:before="47" w:line="219" w:lineRule="auto"/>
        <w:rPr>
          <w:rFonts w:ascii="宋体" w:hAnsi="宋体" w:eastAsia="宋体" w:cs="宋体"/>
          <w:color w:val="auto"/>
          <w:sz w:val="24"/>
          <w:szCs w:val="24"/>
          <w:highlight w:val="none"/>
        </w:rPr>
      </w:pPr>
      <w:r>
        <w:rPr>
          <w:rFonts w:ascii="宋体" w:hAnsi="宋体" w:eastAsia="宋体" w:cs="宋体"/>
          <w:b/>
          <w:bCs/>
          <w:color w:val="auto"/>
          <w:spacing w:val="-17"/>
          <w:sz w:val="24"/>
          <w:szCs w:val="24"/>
          <w:highlight w:val="none"/>
        </w:rPr>
        <w:t>附：</w:t>
      </w:r>
    </w:p>
    <w:p w14:paraId="2DA4A358">
      <w:pPr>
        <w:spacing w:before="183" w:line="220" w:lineRule="auto"/>
        <w:ind w:left="4236"/>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详细评审</w:t>
      </w:r>
    </w:p>
    <w:p w14:paraId="7F61DF17">
      <w:pPr>
        <w:spacing w:line="145" w:lineRule="exact"/>
        <w:rPr>
          <w:color w:val="auto"/>
          <w:highlight w:val="none"/>
        </w:rPr>
      </w:pPr>
    </w:p>
    <w:tbl>
      <w:tblPr>
        <w:tblStyle w:val="16"/>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88"/>
        <w:gridCol w:w="6911"/>
      </w:tblGrid>
      <w:tr w14:paraId="5149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91" w:type="dxa"/>
            <w:gridSpan w:val="2"/>
            <w:noWrap w:val="0"/>
            <w:vAlign w:val="center"/>
          </w:tcPr>
          <w:p w14:paraId="65A76B16">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评审因素</w:t>
            </w:r>
          </w:p>
        </w:tc>
        <w:tc>
          <w:tcPr>
            <w:tcW w:w="6911" w:type="dxa"/>
            <w:noWrap w:val="0"/>
            <w:vAlign w:val="center"/>
          </w:tcPr>
          <w:p w14:paraId="2793AE6D">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评审标准</w:t>
            </w:r>
          </w:p>
        </w:tc>
      </w:tr>
      <w:tr w14:paraId="5085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291" w:type="dxa"/>
            <w:gridSpan w:val="2"/>
            <w:noWrap w:val="0"/>
            <w:vAlign w:val="center"/>
          </w:tcPr>
          <w:p w14:paraId="6D8D9D73">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分值构成</w:t>
            </w:r>
          </w:p>
          <w:p w14:paraId="5E76DDE2">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rPr>
              <w:t>(总分100分)</w:t>
            </w:r>
          </w:p>
        </w:tc>
        <w:tc>
          <w:tcPr>
            <w:tcW w:w="6911" w:type="dxa"/>
            <w:noWrap w:val="0"/>
            <w:vAlign w:val="center"/>
          </w:tcPr>
          <w:p w14:paraId="46FD1567">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bCs/>
                <w:color w:val="auto"/>
                <w:sz w:val="21"/>
                <w:szCs w:val="21"/>
              </w:rPr>
            </w:pPr>
            <w:r>
              <w:rPr>
                <w:rFonts w:hint="eastAsia" w:ascii="宋体" w:hAnsi="宋体" w:eastAsia="宋体" w:cs="宋体"/>
                <w:bCs/>
                <w:color w:val="auto"/>
                <w:sz w:val="21"/>
                <w:szCs w:val="21"/>
              </w:rPr>
              <w:t>施工组织设计：</w:t>
            </w:r>
            <w:r>
              <w:rPr>
                <w:rFonts w:hint="eastAsia" w:ascii="宋体" w:hAnsi="宋体" w:eastAsia="宋体" w:cs="宋体"/>
                <w:bCs/>
                <w:color w:val="auto"/>
                <w:sz w:val="21"/>
                <w:szCs w:val="21"/>
                <w:lang w:val="en-US" w:eastAsia="zh-CN"/>
              </w:rPr>
              <w:t>42</w:t>
            </w:r>
            <w:r>
              <w:rPr>
                <w:rFonts w:hint="eastAsia" w:ascii="宋体" w:hAnsi="宋体" w:eastAsia="宋体" w:cs="宋体"/>
                <w:bCs/>
                <w:color w:val="auto"/>
                <w:sz w:val="21"/>
                <w:szCs w:val="21"/>
              </w:rPr>
              <w:t>分</w:t>
            </w:r>
            <w:r>
              <w:rPr>
                <w:rFonts w:hint="eastAsia" w:ascii="宋体" w:hAnsi="宋体" w:cs="宋体"/>
                <w:bCs/>
                <w:color w:val="auto"/>
                <w:sz w:val="21"/>
                <w:szCs w:val="21"/>
                <w:lang w:val="en-US" w:eastAsia="zh-CN"/>
              </w:rPr>
              <w:t xml:space="preserve">     </w:t>
            </w:r>
            <w:r>
              <w:rPr>
                <w:rFonts w:hint="eastAsia" w:ascii="宋体" w:hAnsi="宋体" w:eastAsia="宋体" w:cs="宋体"/>
                <w:bCs/>
                <w:color w:val="auto"/>
                <w:sz w:val="21"/>
                <w:szCs w:val="21"/>
              </w:rPr>
              <w:t>磋商报价：30分</w:t>
            </w:r>
          </w:p>
          <w:p w14:paraId="2ACBFA46">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bCs/>
                <w:color w:val="auto"/>
                <w:sz w:val="21"/>
                <w:szCs w:val="21"/>
              </w:rPr>
            </w:pPr>
            <w:r>
              <w:rPr>
                <w:rFonts w:hint="eastAsia" w:ascii="宋体" w:hAnsi="宋体" w:eastAsia="宋体" w:cs="宋体"/>
                <w:bCs/>
                <w:color w:val="auto"/>
                <w:sz w:val="21"/>
                <w:szCs w:val="21"/>
              </w:rPr>
              <w:t>商务部分：</w:t>
            </w:r>
            <w:r>
              <w:rPr>
                <w:rFonts w:hint="eastAsia" w:ascii="宋体" w:hAnsi="宋体" w:eastAsia="宋体" w:cs="宋体"/>
                <w:bCs/>
                <w:color w:val="auto"/>
                <w:sz w:val="21"/>
                <w:szCs w:val="21"/>
                <w:lang w:val="en-US" w:eastAsia="zh-CN"/>
              </w:rPr>
              <w:t>28</w:t>
            </w:r>
            <w:r>
              <w:rPr>
                <w:rFonts w:hint="eastAsia" w:ascii="宋体" w:hAnsi="宋体" w:eastAsia="宋体" w:cs="宋体"/>
                <w:bCs/>
                <w:color w:val="auto"/>
                <w:sz w:val="21"/>
                <w:szCs w:val="21"/>
              </w:rPr>
              <w:t>分</w:t>
            </w:r>
          </w:p>
        </w:tc>
      </w:tr>
      <w:tr w14:paraId="5FF1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291" w:type="dxa"/>
            <w:gridSpan w:val="2"/>
            <w:noWrap w:val="0"/>
            <w:vAlign w:val="center"/>
          </w:tcPr>
          <w:p w14:paraId="42DA6F23">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基准价计算</w:t>
            </w:r>
          </w:p>
          <w:p w14:paraId="095E8F16">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rPr>
              <w:t>方法</w:t>
            </w:r>
          </w:p>
        </w:tc>
        <w:tc>
          <w:tcPr>
            <w:tcW w:w="6911" w:type="dxa"/>
            <w:noWrap w:val="0"/>
            <w:vAlign w:val="center"/>
          </w:tcPr>
          <w:p w14:paraId="358C68C8">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bCs/>
                <w:color w:val="auto"/>
                <w:sz w:val="21"/>
                <w:szCs w:val="21"/>
              </w:rPr>
            </w:pPr>
            <w:r>
              <w:rPr>
                <w:rFonts w:hint="eastAsia" w:ascii="宋体" w:hAnsi="宋体" w:eastAsia="宋体" w:cs="宋体"/>
                <w:bCs/>
                <w:color w:val="auto"/>
                <w:sz w:val="21"/>
                <w:szCs w:val="21"/>
              </w:rPr>
              <w:t>基准价为所有通过初步评审合格的供应商有效最终磋商报价（二次报价）中的最低报价，其价格分为满分</w:t>
            </w:r>
            <w:r>
              <w:rPr>
                <w:rFonts w:hint="eastAsia" w:ascii="宋体" w:hAnsi="宋体" w:eastAsia="宋体" w:cs="宋体"/>
                <w:bCs/>
                <w:color w:val="auto"/>
                <w:sz w:val="21"/>
                <w:szCs w:val="21"/>
                <w:lang w:val="zh-CN"/>
              </w:rPr>
              <w:t>。</w:t>
            </w:r>
          </w:p>
        </w:tc>
      </w:tr>
      <w:tr w14:paraId="4BC8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2291" w:type="dxa"/>
            <w:gridSpan w:val="2"/>
            <w:noWrap w:val="0"/>
            <w:vAlign w:val="center"/>
          </w:tcPr>
          <w:p w14:paraId="7AE52B25">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评审因素</w:t>
            </w:r>
          </w:p>
        </w:tc>
        <w:tc>
          <w:tcPr>
            <w:tcW w:w="6911" w:type="dxa"/>
            <w:noWrap w:val="0"/>
            <w:vAlign w:val="center"/>
          </w:tcPr>
          <w:p w14:paraId="350305FF">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评审标准</w:t>
            </w:r>
          </w:p>
        </w:tc>
      </w:tr>
      <w:tr w14:paraId="346F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003" w:type="dxa"/>
            <w:vMerge w:val="restart"/>
            <w:noWrap w:val="0"/>
            <w:vAlign w:val="center"/>
          </w:tcPr>
          <w:p w14:paraId="18CBEA44">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rPr>
              <w:t>施工组织设计评分标准</w:t>
            </w:r>
            <w:r>
              <w:rPr>
                <w:rFonts w:hint="eastAsia" w:ascii="宋体" w:hAnsi="宋体" w:cs="宋体"/>
                <w:bCs/>
                <w:color w:val="auto"/>
                <w:sz w:val="21"/>
                <w:szCs w:val="21"/>
                <w:lang w:val="en-US" w:eastAsia="zh-CN"/>
              </w:rPr>
              <w:t xml:space="preserve">   </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42</w:t>
            </w:r>
            <w:r>
              <w:rPr>
                <w:rFonts w:hint="eastAsia" w:ascii="宋体" w:hAnsi="宋体" w:eastAsia="宋体" w:cs="宋体"/>
                <w:bCs/>
                <w:color w:val="auto"/>
                <w:sz w:val="21"/>
                <w:szCs w:val="21"/>
              </w:rPr>
              <w:t>分）</w:t>
            </w:r>
          </w:p>
        </w:tc>
        <w:tc>
          <w:tcPr>
            <w:tcW w:w="1288" w:type="dxa"/>
            <w:noWrap w:val="0"/>
            <w:vAlign w:val="center"/>
          </w:tcPr>
          <w:p w14:paraId="35BDEA2C">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highlight w:val="none"/>
              </w:rPr>
              <w:t>施工方案与</w:t>
            </w:r>
            <w:r>
              <w:rPr>
                <w:rFonts w:hint="eastAsia" w:ascii="宋体" w:hAnsi="宋体" w:eastAsia="宋体" w:cs="宋体"/>
                <w:color w:val="auto"/>
                <w:sz w:val="21"/>
                <w:szCs w:val="21"/>
                <w:highlight w:val="none"/>
              </w:rPr>
              <w:t>技术保证措施</w:t>
            </w:r>
            <w:r>
              <w:rPr>
                <w:rFonts w:hint="eastAsia" w:ascii="宋体" w:hAnsi="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c>
          <w:tcPr>
            <w:tcW w:w="6911" w:type="dxa"/>
            <w:noWrap w:val="0"/>
            <w:vAlign w:val="center"/>
          </w:tcPr>
          <w:p w14:paraId="1D869224">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针对本项目提供施工方案与技术</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p>
          <w:p w14:paraId="402EC38F">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1.拆除方案</w:t>
            </w:r>
          </w:p>
          <w:p w14:paraId="33F95AB8">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2.单</w:t>
            </w:r>
            <w:r>
              <w:rPr>
                <w:rFonts w:hint="eastAsia" w:ascii="宋体" w:hAnsi="宋体" w:eastAsia="宋体" w:cs="宋体"/>
                <w:bCs/>
                <w:color w:val="auto"/>
                <w:sz w:val="21"/>
                <w:szCs w:val="21"/>
                <w:highlight w:val="none"/>
                <w:lang w:val="en-US" w:eastAsia="zh-CN"/>
              </w:rPr>
              <w:t>位</w:t>
            </w:r>
            <w:r>
              <w:rPr>
                <w:rFonts w:hint="eastAsia" w:ascii="宋体" w:hAnsi="宋体" w:eastAsia="宋体" w:cs="宋体"/>
                <w:bCs/>
                <w:color w:val="auto"/>
                <w:sz w:val="21"/>
                <w:szCs w:val="21"/>
                <w:highlight w:val="none"/>
              </w:rPr>
              <w:t>工程施工方案</w:t>
            </w:r>
          </w:p>
          <w:p w14:paraId="0FB2BE23">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3.单</w:t>
            </w:r>
            <w:r>
              <w:rPr>
                <w:rFonts w:hint="eastAsia" w:ascii="宋体" w:hAnsi="宋体" w:eastAsia="宋体" w:cs="宋体"/>
                <w:bCs/>
                <w:color w:val="auto"/>
                <w:sz w:val="21"/>
                <w:szCs w:val="21"/>
                <w:highlight w:val="none"/>
                <w:lang w:val="en-US" w:eastAsia="zh-CN"/>
              </w:rPr>
              <w:t>位</w:t>
            </w:r>
            <w:r>
              <w:rPr>
                <w:rFonts w:hint="eastAsia" w:ascii="宋体" w:hAnsi="宋体" w:eastAsia="宋体" w:cs="宋体"/>
                <w:bCs/>
                <w:color w:val="auto"/>
                <w:sz w:val="21"/>
                <w:szCs w:val="21"/>
                <w:highlight w:val="none"/>
              </w:rPr>
              <w:t>工程技术</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p>
          <w:p w14:paraId="4F2A645D">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以上方案、措施每提供一小项内容适用于项目，充分满足采购方要求，且无缺失的方案得2分，方案缺失得1分，未提供的得0分。此项共计满分6分。</w:t>
            </w:r>
          </w:p>
          <w:p w14:paraId="192148EE">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164EBA99">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3731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1003" w:type="dxa"/>
            <w:vMerge w:val="continue"/>
            <w:noWrap w:val="0"/>
            <w:vAlign w:val="center"/>
          </w:tcPr>
          <w:p w14:paraId="1DFE8B19">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p>
        </w:tc>
        <w:tc>
          <w:tcPr>
            <w:tcW w:w="1288" w:type="dxa"/>
            <w:noWrap w:val="0"/>
            <w:vAlign w:val="center"/>
          </w:tcPr>
          <w:p w14:paraId="5A93C24A">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highlight w:val="none"/>
              </w:rPr>
              <w:t>质量管理体系与措施</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（4分）</w:t>
            </w:r>
          </w:p>
        </w:tc>
        <w:tc>
          <w:tcPr>
            <w:tcW w:w="6911" w:type="dxa"/>
            <w:noWrap w:val="0"/>
            <w:vAlign w:val="center"/>
          </w:tcPr>
          <w:p w14:paraId="5D3D5468">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针对本项目提供质量管理体系与措施：</w:t>
            </w:r>
          </w:p>
          <w:p w14:paraId="09F0B4A9">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1.质量管理体系：（至少包含工程质量管理机构、保证制度）</w:t>
            </w:r>
          </w:p>
          <w:p w14:paraId="2745C98C">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2.质量管理措施：（至少包含施工技术标准、施工过程、检验检测、质量通病防治）</w:t>
            </w:r>
          </w:p>
          <w:p w14:paraId="5467323C">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以上方案每提供一小项内容适用于项目，充分满足采购方要求，且无缺失的方案得2分，方案缺失得1分，未提供的得0分。此项共计满分4分。</w:t>
            </w:r>
          </w:p>
          <w:p w14:paraId="697DE3A7">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3DF95E93">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28AE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1003" w:type="dxa"/>
            <w:vMerge w:val="continue"/>
            <w:noWrap w:val="0"/>
            <w:vAlign w:val="center"/>
          </w:tcPr>
          <w:p w14:paraId="0478F849">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1B23C37D">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highlight w:val="none"/>
              </w:rPr>
              <w:t>安全管理体系与措施（4分）</w:t>
            </w:r>
          </w:p>
        </w:tc>
        <w:tc>
          <w:tcPr>
            <w:tcW w:w="6911" w:type="dxa"/>
            <w:noWrap w:val="0"/>
            <w:vAlign w:val="center"/>
          </w:tcPr>
          <w:p w14:paraId="33B11232">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针对本项目提供安全管理体系与措施：</w:t>
            </w:r>
          </w:p>
          <w:p w14:paraId="7935AECD">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1.安全管理体系（至少包含安全生产管理职责划分、安全生产制度）</w:t>
            </w:r>
          </w:p>
          <w:p w14:paraId="0CD56D0C">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2.安全管理措施（至少包含现场的安全部署情况、安全意识宣传、安全教育培训）</w:t>
            </w:r>
          </w:p>
          <w:p w14:paraId="5E6B68B4">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以上方案每提供一小项内容适用于项目，充分满足采购方要求，且无缺失的方案得2分，方案缺失得1分，未提供的得0分。此项共计满分4分。</w:t>
            </w:r>
          </w:p>
          <w:p w14:paraId="62413CC3">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62F85E5A">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237B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03" w:type="dxa"/>
            <w:vMerge w:val="continue"/>
            <w:noWrap w:val="0"/>
            <w:vAlign w:val="center"/>
          </w:tcPr>
          <w:p w14:paraId="3964B838">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p>
        </w:tc>
        <w:tc>
          <w:tcPr>
            <w:tcW w:w="1288" w:type="dxa"/>
            <w:noWrap w:val="0"/>
            <w:vAlign w:val="center"/>
          </w:tcPr>
          <w:p w14:paraId="43ED938F">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highlight w:val="none"/>
              </w:rPr>
              <w:t>环境保护管理体系与措施（4分）</w:t>
            </w:r>
          </w:p>
        </w:tc>
        <w:tc>
          <w:tcPr>
            <w:tcW w:w="6911" w:type="dxa"/>
            <w:noWrap w:val="0"/>
            <w:vAlign w:val="center"/>
          </w:tcPr>
          <w:p w14:paraId="1152CC19">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针对本项目提供环境保护管理体系与措施：</w:t>
            </w:r>
          </w:p>
          <w:p w14:paraId="2F2525C7">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1.环境保护管理体系（至少包含环境保护管理方针、管理目标、环境保护制度）</w:t>
            </w:r>
          </w:p>
          <w:p w14:paraId="386F5169">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2.环境保护措施（至少包含环境措施、能源节约措施、减少扰民噪音措施、降低环境污染技术措施）</w:t>
            </w:r>
          </w:p>
          <w:p w14:paraId="6A7E56E5">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以上方案每提供一小项内容适用于项目，充分满足采购方要求，且无缺失的方案得2分，方案缺失得1分，未提供的得0分。此项共计满分4分。</w:t>
            </w:r>
          </w:p>
          <w:p w14:paraId="35B222D8">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7E4FB0ED">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764D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03" w:type="dxa"/>
            <w:vMerge w:val="continue"/>
            <w:noWrap w:val="0"/>
            <w:vAlign w:val="center"/>
          </w:tcPr>
          <w:p w14:paraId="7A073AA8">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4059B4A1">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highlight w:val="none"/>
              </w:rPr>
              <w:t>工程进度计划与保证措施（</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6911" w:type="dxa"/>
            <w:noWrap w:val="0"/>
            <w:vAlign w:val="center"/>
          </w:tcPr>
          <w:p w14:paraId="6EE4DF5D">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针对本项目提供工程进度计划与措施：</w:t>
            </w:r>
          </w:p>
          <w:p w14:paraId="695FDA4F">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1.工程进度计划：（</w:t>
            </w:r>
            <w:r>
              <w:rPr>
                <w:rFonts w:hint="eastAsia" w:ascii="宋体" w:hAnsi="宋体" w:eastAsia="宋体" w:cs="宋体"/>
                <w:bCs/>
                <w:color w:val="auto"/>
                <w:sz w:val="21"/>
                <w:szCs w:val="21"/>
                <w:highlight w:val="none"/>
                <w:lang w:val="en-US" w:eastAsia="zh-CN"/>
              </w:rPr>
              <w:t>有施工进度计划横道图或网络图，</w:t>
            </w:r>
            <w:r>
              <w:rPr>
                <w:rFonts w:hint="eastAsia" w:ascii="宋体" w:hAnsi="宋体" w:eastAsia="宋体" w:cs="宋体"/>
                <w:bCs/>
                <w:color w:val="auto"/>
                <w:sz w:val="21"/>
                <w:szCs w:val="21"/>
                <w:highlight w:val="none"/>
                <w:lang w:val="zh-CN"/>
              </w:rPr>
              <w:t>工程进度计划符合开竣工日期要求）</w:t>
            </w:r>
          </w:p>
          <w:p w14:paraId="388A8529">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2.进度保证措施：（至少包含最优工期分析、技术组织措施、工期保证措施、工期控制措施）</w:t>
            </w:r>
          </w:p>
          <w:p w14:paraId="66C805BF">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雨季控制及保障措施</w:t>
            </w:r>
          </w:p>
          <w:p w14:paraId="210206A9">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风季控制及保障措施</w:t>
            </w:r>
          </w:p>
          <w:p w14:paraId="3909BA49">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以上方案每提供一小项内容适用于项目，充分满足采购方要求，且无缺失的方案得1分，方案缺失得0.5分，未提供的得0分。此项共计满分4分。</w:t>
            </w:r>
          </w:p>
          <w:p w14:paraId="4A868481">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740F7DFB">
            <w:pPr>
              <w:keepNext w:val="0"/>
              <w:keepLines w:val="0"/>
              <w:widowControl/>
              <w:suppressLineNumbers w:val="0"/>
              <w:autoSpaceDE w:val="0"/>
              <w:autoSpaceDN w:val="0"/>
              <w:adjustRightInd w:val="0"/>
              <w:spacing w:before="0" w:beforeAutospacing="0" w:after="0" w:afterAutospacing="0" w:line="240" w:lineRule="auto"/>
              <w:ind w:left="0" w:right="0" w:firstLine="0"/>
              <w:jc w:val="left"/>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7674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003" w:type="dxa"/>
            <w:vMerge w:val="continue"/>
            <w:noWrap w:val="0"/>
            <w:vAlign w:val="center"/>
          </w:tcPr>
          <w:p w14:paraId="0F770108">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00069349">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劳动力需求计划（</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tc>
        <w:tc>
          <w:tcPr>
            <w:tcW w:w="6911" w:type="dxa"/>
            <w:noWrap w:val="0"/>
            <w:vAlign w:val="center"/>
          </w:tcPr>
          <w:p w14:paraId="3832BD12">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针对本项目提供</w:t>
            </w:r>
            <w:r>
              <w:rPr>
                <w:rFonts w:hint="eastAsia" w:ascii="宋体" w:hAnsi="宋体" w:eastAsia="宋体" w:cs="宋体"/>
                <w:bCs/>
                <w:color w:val="auto"/>
                <w:sz w:val="21"/>
                <w:szCs w:val="21"/>
                <w:highlight w:val="none"/>
                <w:lang w:val="en-US" w:eastAsia="zh-CN"/>
              </w:rPr>
              <w:t>劳动力需求计划</w:t>
            </w:r>
            <w:r>
              <w:rPr>
                <w:rFonts w:hint="eastAsia" w:ascii="宋体" w:hAnsi="宋体" w:eastAsia="宋体" w:cs="宋体"/>
                <w:bCs/>
                <w:color w:val="auto"/>
                <w:sz w:val="21"/>
                <w:szCs w:val="21"/>
                <w:highlight w:val="none"/>
                <w:lang w:val="zh-CN"/>
              </w:rPr>
              <w:t>：</w:t>
            </w:r>
          </w:p>
          <w:p w14:paraId="41D9AEB7">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1.</w:t>
            </w:r>
            <w:r>
              <w:rPr>
                <w:rFonts w:hint="eastAsia" w:ascii="宋体" w:hAnsi="宋体" w:eastAsia="宋体" w:cs="宋体"/>
                <w:bCs/>
                <w:color w:val="auto"/>
                <w:sz w:val="21"/>
                <w:szCs w:val="21"/>
                <w:highlight w:val="none"/>
                <w:lang w:val="en-US" w:eastAsia="zh-CN"/>
              </w:rPr>
              <w:t>有满足项目要求的劳动力需求计划表</w:t>
            </w:r>
          </w:p>
          <w:p w14:paraId="114C761D">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制定劳动力准备及保障措施方案</w:t>
            </w:r>
          </w:p>
          <w:p w14:paraId="218243CD">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以上方案每提供一小项内容适用于项目，充分满足采购方要求，且无缺失的方案得2分，方案缺失得1分，未提供的得0分。此项共计满分4分。</w:t>
            </w:r>
          </w:p>
          <w:p w14:paraId="473AD46C">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0C33CE84">
            <w:pPr>
              <w:keepNext w:val="0"/>
              <w:keepLines w:val="0"/>
              <w:widowControl/>
              <w:suppressLineNumbers w:val="0"/>
              <w:autoSpaceDE w:val="0"/>
              <w:autoSpaceDN w:val="0"/>
              <w:adjustRightInd w:val="0"/>
              <w:spacing w:before="0" w:beforeAutospacing="0" w:after="0" w:afterAutospacing="0" w:line="240" w:lineRule="auto"/>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4107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003" w:type="dxa"/>
            <w:vMerge w:val="continue"/>
            <w:noWrap w:val="0"/>
            <w:vAlign w:val="center"/>
          </w:tcPr>
          <w:p w14:paraId="61A6AA8A">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43037811">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材料设备进场计划 （</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 xml:space="preserve">分）                                                                   </w:t>
            </w:r>
          </w:p>
        </w:tc>
        <w:tc>
          <w:tcPr>
            <w:tcW w:w="6911" w:type="dxa"/>
            <w:noWrap w:val="0"/>
            <w:vAlign w:val="center"/>
          </w:tcPr>
          <w:p w14:paraId="687EDB06">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针对本项目提供</w:t>
            </w:r>
            <w:r>
              <w:rPr>
                <w:rFonts w:hint="eastAsia" w:ascii="宋体" w:hAnsi="宋体" w:eastAsia="宋体" w:cs="宋体"/>
                <w:bCs/>
                <w:color w:val="auto"/>
                <w:sz w:val="21"/>
                <w:szCs w:val="21"/>
                <w:highlight w:val="none"/>
                <w:lang w:val="en-US" w:eastAsia="zh-CN"/>
              </w:rPr>
              <w:t>材料设备进场计划</w:t>
            </w:r>
            <w:r>
              <w:rPr>
                <w:rFonts w:hint="eastAsia" w:ascii="宋体" w:hAnsi="宋体" w:eastAsia="宋体" w:cs="宋体"/>
                <w:bCs/>
                <w:color w:val="auto"/>
                <w:sz w:val="21"/>
                <w:szCs w:val="21"/>
                <w:highlight w:val="none"/>
                <w:lang w:val="zh-CN"/>
              </w:rPr>
              <w:t>：</w:t>
            </w:r>
          </w:p>
          <w:p w14:paraId="7B41ED2E">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1.</w:t>
            </w:r>
            <w:r>
              <w:rPr>
                <w:rFonts w:hint="eastAsia" w:ascii="宋体" w:hAnsi="宋体" w:eastAsia="宋体" w:cs="宋体"/>
                <w:bCs/>
                <w:color w:val="auto"/>
                <w:sz w:val="21"/>
                <w:szCs w:val="21"/>
                <w:highlight w:val="none"/>
                <w:lang w:val="en-US" w:eastAsia="zh-CN"/>
              </w:rPr>
              <w:t>有满足项目要求的材料设备进场计划表</w:t>
            </w:r>
          </w:p>
          <w:p w14:paraId="513866B1">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制定材料准备、材料控制方案</w:t>
            </w:r>
          </w:p>
          <w:p w14:paraId="03329602">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以上方案每提供一小项内容适用于项目，充分满足采购方要求，且无缺失的方案得2分，方案缺失得1分，未提供的得0分。此项共计满分4分。</w:t>
            </w:r>
          </w:p>
          <w:p w14:paraId="6CD382C0">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28A58CA5">
            <w:pPr>
              <w:keepNext w:val="0"/>
              <w:keepLines w:val="0"/>
              <w:widowControl/>
              <w:suppressLineNumbers w:val="0"/>
              <w:autoSpaceDE w:val="0"/>
              <w:autoSpaceDN w:val="0"/>
              <w:adjustRightInd w:val="0"/>
              <w:spacing w:before="0" w:beforeAutospacing="0" w:after="0" w:afterAutospacing="0" w:line="240" w:lineRule="auto"/>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4EE6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003" w:type="dxa"/>
            <w:vMerge w:val="continue"/>
            <w:noWrap w:val="0"/>
            <w:vAlign w:val="center"/>
          </w:tcPr>
          <w:p w14:paraId="7A2CD56A">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1617FD8F">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r>
              <w:rPr>
                <w:rFonts w:hint="eastAsia" w:ascii="宋体" w:hAnsi="宋体" w:eastAsia="宋体" w:cs="宋体"/>
                <w:color w:val="auto"/>
                <w:sz w:val="21"/>
                <w:szCs w:val="21"/>
                <w:highlight w:val="none"/>
              </w:rPr>
              <w:t>机械设备投入计划及保证措施</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6911" w:type="dxa"/>
            <w:noWrap w:val="0"/>
            <w:vAlign w:val="center"/>
          </w:tcPr>
          <w:p w14:paraId="3E2AE212">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针对本项目提供</w:t>
            </w:r>
            <w:r>
              <w:rPr>
                <w:rFonts w:hint="eastAsia" w:ascii="宋体" w:hAnsi="宋体" w:eastAsia="宋体" w:cs="宋体"/>
                <w:color w:val="auto"/>
                <w:sz w:val="21"/>
                <w:szCs w:val="21"/>
                <w:highlight w:val="none"/>
              </w:rPr>
              <w:t>机械设备投入计划及保证措施</w:t>
            </w:r>
            <w:r>
              <w:rPr>
                <w:rFonts w:hint="eastAsia" w:ascii="宋体" w:hAnsi="宋体" w:eastAsia="宋体" w:cs="宋体"/>
                <w:bCs/>
                <w:color w:val="auto"/>
                <w:sz w:val="21"/>
                <w:szCs w:val="21"/>
                <w:highlight w:val="none"/>
                <w:lang w:val="zh-CN"/>
              </w:rPr>
              <w:t>：</w:t>
            </w:r>
          </w:p>
          <w:p w14:paraId="6A4A6363">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1.</w:t>
            </w:r>
            <w:r>
              <w:rPr>
                <w:rFonts w:hint="eastAsia" w:ascii="宋体" w:hAnsi="宋体" w:eastAsia="宋体" w:cs="宋体"/>
                <w:bCs/>
                <w:color w:val="auto"/>
                <w:sz w:val="21"/>
                <w:szCs w:val="21"/>
                <w:highlight w:val="none"/>
                <w:lang w:val="en-US" w:eastAsia="zh-CN"/>
              </w:rPr>
              <w:t>有满足项目要求的机械设备投入计划表</w:t>
            </w:r>
          </w:p>
          <w:p w14:paraId="3D19FA07">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制定设备投入、管理方案</w:t>
            </w:r>
          </w:p>
          <w:p w14:paraId="7C652F65">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以上方案每提供一小项内容适用于项目，充分满足采购方要求，且无缺失的方案得2分，方案缺失得1分，未提供的得0分。此项共计满分4分。</w:t>
            </w:r>
          </w:p>
          <w:p w14:paraId="4C143B2C">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4BEA6338">
            <w:pPr>
              <w:keepNext w:val="0"/>
              <w:keepLines w:val="0"/>
              <w:widowControl/>
              <w:suppressLineNumbers w:val="0"/>
              <w:autoSpaceDE w:val="0"/>
              <w:autoSpaceDN w:val="0"/>
              <w:adjustRightInd w:val="0"/>
              <w:spacing w:before="0" w:beforeAutospacing="0" w:after="0" w:afterAutospacing="0" w:line="240" w:lineRule="auto"/>
              <w:ind w:left="0" w:right="0" w:firstLine="0"/>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7A88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1003" w:type="dxa"/>
            <w:vMerge w:val="continue"/>
            <w:noWrap w:val="0"/>
            <w:vAlign w:val="center"/>
          </w:tcPr>
          <w:p w14:paraId="05C36E3B">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3D391B5F">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r>
              <w:rPr>
                <w:rFonts w:hint="eastAsia" w:ascii="宋体" w:hAnsi="宋体" w:eastAsia="宋体" w:cs="宋体"/>
                <w:color w:val="auto"/>
                <w:sz w:val="21"/>
                <w:szCs w:val="21"/>
                <w:highlight w:val="none"/>
              </w:rPr>
              <w:t>成品保护和工程保修工作的管理措施和承诺（</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911" w:type="dxa"/>
            <w:noWrap w:val="0"/>
            <w:vAlign w:val="center"/>
          </w:tcPr>
          <w:p w14:paraId="38D981BE">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针对</w:t>
            </w:r>
            <w:r>
              <w:rPr>
                <w:rFonts w:hint="eastAsia" w:ascii="宋体" w:hAnsi="宋体" w:eastAsia="宋体" w:cs="宋体"/>
                <w:bCs/>
                <w:color w:val="auto"/>
                <w:sz w:val="21"/>
                <w:szCs w:val="21"/>
                <w:highlight w:val="none"/>
                <w:lang w:val="zh-CN"/>
              </w:rPr>
              <w:t>成品保护和工程保修工作的管理措施和承诺</w:t>
            </w:r>
            <w:r>
              <w:rPr>
                <w:rFonts w:hint="eastAsia" w:ascii="宋体" w:hAnsi="宋体" w:eastAsia="宋体" w:cs="宋体"/>
                <w:bCs/>
                <w:color w:val="auto"/>
                <w:sz w:val="21"/>
                <w:szCs w:val="21"/>
                <w:highlight w:val="none"/>
                <w:lang w:val="en-US" w:eastAsia="zh-CN"/>
              </w:rPr>
              <w:t>：</w:t>
            </w:r>
          </w:p>
          <w:p w14:paraId="1707A1BB">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1.成品保护管理措施：（明确责任主体、保护方案、现场管理、定期检查）</w:t>
            </w:r>
          </w:p>
          <w:p w14:paraId="2E6E1EE7">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2.工程保修的管理措施和承诺：（保修计划、维修记录和跟踪、维修责任分工、定期检查和维护）</w:t>
            </w:r>
          </w:p>
          <w:p w14:paraId="1C85C799">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以上方案每提供一小项内容适用于项目，充分满足采购方要求，且无缺失的方案得2分，方案缺失得1分，未提供的得0分。此项共计满分4分。</w:t>
            </w:r>
          </w:p>
          <w:p w14:paraId="52E38EDA">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75DA2350">
            <w:pPr>
              <w:keepNext w:val="0"/>
              <w:keepLines w:val="0"/>
              <w:widowControl/>
              <w:suppressLineNumbers w:val="0"/>
              <w:autoSpaceDE w:val="0"/>
              <w:autoSpaceDN w:val="0"/>
              <w:adjustRightInd w:val="0"/>
              <w:spacing w:before="0" w:beforeAutospacing="0" w:after="0" w:afterAutospacing="0" w:line="240" w:lineRule="auto"/>
              <w:ind w:left="0" w:right="0" w:firstLine="0"/>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11EB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Merge w:val="continue"/>
            <w:noWrap w:val="0"/>
            <w:vAlign w:val="center"/>
          </w:tcPr>
          <w:p w14:paraId="75BE2D2A">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607A89C2">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bCs/>
                <w:color w:val="auto"/>
                <w:sz w:val="21"/>
                <w:szCs w:val="21"/>
                <w:highlight w:val="none"/>
              </w:rPr>
              <w:t>紧急情况的处理措施、预案以及抵抗风险的措施（</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6911" w:type="dxa"/>
            <w:noWrap w:val="0"/>
            <w:vAlign w:val="center"/>
          </w:tcPr>
          <w:p w14:paraId="195D159C">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针对</w:t>
            </w:r>
            <w:r>
              <w:rPr>
                <w:rFonts w:hint="eastAsia" w:ascii="宋体" w:hAnsi="宋体" w:eastAsia="宋体" w:cs="宋体"/>
                <w:bCs/>
                <w:color w:val="auto"/>
                <w:sz w:val="21"/>
                <w:szCs w:val="21"/>
                <w:highlight w:val="none"/>
              </w:rPr>
              <w:t>紧急情况的处理措施、预案以及抵抗风险的措施</w:t>
            </w:r>
            <w:r>
              <w:rPr>
                <w:rFonts w:hint="eastAsia" w:ascii="宋体" w:hAnsi="宋体" w:eastAsia="宋体" w:cs="宋体"/>
                <w:bCs/>
                <w:color w:val="auto"/>
                <w:sz w:val="21"/>
                <w:szCs w:val="21"/>
                <w:highlight w:val="none"/>
                <w:lang w:val="en-US" w:eastAsia="zh-CN"/>
              </w:rPr>
              <w:t>：</w:t>
            </w:r>
          </w:p>
          <w:p w14:paraId="186737D7">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1.针对本项目提供紧急情况处理措施、</w:t>
            </w:r>
            <w:r>
              <w:rPr>
                <w:rFonts w:hint="eastAsia" w:ascii="宋体" w:hAnsi="宋体" w:eastAsia="宋体" w:cs="宋体"/>
                <w:bCs/>
                <w:color w:val="auto"/>
                <w:sz w:val="21"/>
                <w:szCs w:val="21"/>
                <w:highlight w:val="none"/>
                <w:lang w:val="zh-CN"/>
              </w:rPr>
              <w:t>预案</w:t>
            </w:r>
          </w:p>
          <w:p w14:paraId="66677B60">
            <w:pPr>
              <w:keepNext w:val="0"/>
              <w:keepLines w:val="0"/>
              <w:widowControl/>
              <w:suppressLineNumbers w:val="0"/>
              <w:spacing w:before="0" w:beforeAutospacing="0" w:after="0" w:afterAutospacing="0"/>
              <w:ind w:left="0" w:right="0" w:firstLine="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2.针对本项目提供抵抗风险的措施、现场应急救援预案、建立事故报告与处理制度</w:t>
            </w:r>
          </w:p>
          <w:p w14:paraId="3EF439D6">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以上方案每提供一小项内容适用于项目，充分满足采购方要求，且无缺失的方案得2分，方案缺失得1分，未提供的得0分。此项共计满分4分。</w:t>
            </w:r>
          </w:p>
          <w:p w14:paraId="1C931CCC">
            <w:pPr>
              <w:keepNext w:val="0"/>
              <w:keepLines w:val="0"/>
              <w:widowControl/>
              <w:suppressLineNumbers w:val="0"/>
              <w:spacing w:before="0" w:beforeAutospacing="0" w:after="0" w:afterAutospacing="0" w:line="300" w:lineRule="exact"/>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68E70C11">
            <w:pPr>
              <w:keepNext w:val="0"/>
              <w:keepLines w:val="0"/>
              <w:widowControl/>
              <w:suppressLineNumbers w:val="0"/>
              <w:autoSpaceDE w:val="0"/>
              <w:autoSpaceDN w:val="0"/>
              <w:adjustRightInd w:val="0"/>
              <w:spacing w:before="0" w:beforeAutospacing="0" w:after="0" w:afterAutospacing="0" w:line="240" w:lineRule="auto"/>
              <w:ind w:left="0" w:right="0" w:firstLine="0"/>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方案缺失指：内容缺失有瑕疵、无具体流程细节描述之处</w:t>
            </w:r>
            <w:r>
              <w:rPr>
                <w:rFonts w:hint="eastAsia" w:ascii="宋体" w:hAnsi="宋体" w:eastAsia="宋体" w:cs="宋体"/>
                <w:color w:val="auto"/>
                <w:sz w:val="21"/>
                <w:szCs w:val="21"/>
                <w:highlight w:val="none"/>
              </w:rPr>
              <w:t>等任意一种情形</w:t>
            </w:r>
          </w:p>
        </w:tc>
      </w:tr>
      <w:tr w14:paraId="6DE0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03" w:type="dxa"/>
            <w:noWrap w:val="0"/>
            <w:vAlign w:val="center"/>
          </w:tcPr>
          <w:p w14:paraId="6CE25F1A">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磋商</w:t>
            </w:r>
            <w:r>
              <w:rPr>
                <w:rFonts w:hint="eastAsia" w:ascii="宋体" w:hAnsi="宋体" w:cs="宋体"/>
                <w:bCs/>
                <w:color w:val="auto"/>
                <w:sz w:val="21"/>
                <w:szCs w:val="21"/>
                <w:lang w:val="en-US" w:eastAsia="zh-CN"/>
              </w:rPr>
              <w:t xml:space="preserve">  </w:t>
            </w:r>
            <w:r>
              <w:rPr>
                <w:rFonts w:hint="eastAsia" w:ascii="宋体" w:hAnsi="宋体" w:eastAsia="宋体" w:cs="宋体"/>
                <w:bCs/>
                <w:color w:val="auto"/>
                <w:sz w:val="21"/>
                <w:szCs w:val="21"/>
                <w:lang w:val="zh-CN"/>
              </w:rPr>
              <w:t>报价</w:t>
            </w:r>
          </w:p>
          <w:p w14:paraId="4D17748A">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rPr>
              <w:t>（30</w:t>
            </w:r>
            <w:r>
              <w:rPr>
                <w:rFonts w:hint="eastAsia" w:ascii="宋体" w:hAnsi="宋体" w:eastAsia="宋体" w:cs="宋体"/>
                <w:bCs/>
                <w:color w:val="auto"/>
                <w:sz w:val="21"/>
                <w:szCs w:val="21"/>
                <w:lang w:val="zh-CN"/>
              </w:rPr>
              <w:t>分</w:t>
            </w:r>
            <w:r>
              <w:rPr>
                <w:rFonts w:hint="eastAsia" w:ascii="宋体" w:hAnsi="宋体" w:eastAsia="宋体" w:cs="宋体"/>
                <w:bCs/>
                <w:color w:val="auto"/>
                <w:sz w:val="21"/>
                <w:szCs w:val="21"/>
              </w:rPr>
              <w:t>）</w:t>
            </w:r>
          </w:p>
        </w:tc>
        <w:tc>
          <w:tcPr>
            <w:tcW w:w="1288" w:type="dxa"/>
            <w:noWrap w:val="0"/>
            <w:vAlign w:val="center"/>
          </w:tcPr>
          <w:p w14:paraId="3988CC3F">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磋商报价</w:t>
            </w:r>
          </w:p>
          <w:p w14:paraId="24FAA52A">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得分标准</w:t>
            </w:r>
          </w:p>
        </w:tc>
        <w:tc>
          <w:tcPr>
            <w:tcW w:w="6911" w:type="dxa"/>
            <w:noWrap w:val="0"/>
            <w:vAlign w:val="center"/>
          </w:tcPr>
          <w:p w14:paraId="04BDDE34">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以第二次磋商报价（最后报价）为依据进行计算，通过初步评审的有效磋商报价的最低报价为磋商基准价。</w:t>
            </w:r>
          </w:p>
          <w:p w14:paraId="7385161C">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最终报价得分=（磋商基准价/最后磋商报价）×30%×100</w:t>
            </w:r>
          </w:p>
          <w:p w14:paraId="2961AC0F">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四舍五入保留小数点后两位有效数字。</w:t>
            </w:r>
          </w:p>
          <w:p w14:paraId="14EECBB4">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如果磋商小组发现供应商的报价明显低于其他磋商报价，使得其磋商报价可能低于其个别成本的,有可能影响工程质量和不能诚信履约的，应当要求该供应商在规定的期限内予以解释说明并提供相关证明材料，供应商不能合理解释或提供相关证明材料的，则磋商小组认定其以低于成本价报价，其报价不能作为基准价,不计入报价计算（其报价为0分）</w:t>
            </w:r>
            <w:r>
              <w:rPr>
                <w:rFonts w:hint="eastAsia" w:ascii="宋体" w:hAnsi="宋体" w:eastAsia="宋体" w:cs="宋体"/>
                <w:bCs/>
                <w:color w:val="auto"/>
                <w:sz w:val="21"/>
                <w:szCs w:val="21"/>
                <w:lang w:val="zh-CN"/>
              </w:rPr>
              <w:t>。</w:t>
            </w:r>
          </w:p>
          <w:p w14:paraId="5AC66A10">
            <w:pPr>
              <w:pStyle w:val="8"/>
              <w:keepNext w:val="0"/>
              <w:keepLines w:val="0"/>
              <w:widowControl/>
              <w:suppressLineNumbers w:val="0"/>
              <w:spacing w:before="0" w:beforeAutospacing="0" w:after="0" w:afterAutospacing="0"/>
              <w:ind w:left="0" w:right="0" w:firstLine="0"/>
              <w:rPr>
                <w:rFonts w:hint="eastAsia" w:ascii="宋体" w:hAnsi="宋体" w:eastAsia="宋体" w:cs="宋体"/>
                <w:b w:val="0"/>
                <w:color w:val="auto"/>
                <w:kern w:val="0"/>
                <w:sz w:val="21"/>
                <w:szCs w:val="21"/>
                <w:lang w:val="en-US" w:eastAsia="zh-CN" w:bidi="ar-SA"/>
              </w:rPr>
            </w:pPr>
            <w:r>
              <w:rPr>
                <w:rFonts w:hint="eastAsia" w:ascii="宋体" w:hAnsi="宋体" w:eastAsia="宋体" w:cs="宋体"/>
                <w:b w:val="0"/>
                <w:color w:val="auto"/>
                <w:kern w:val="0"/>
                <w:sz w:val="21"/>
                <w:szCs w:val="21"/>
                <w:lang w:val="en-US" w:eastAsia="zh-CN" w:bidi="ar-SA"/>
              </w:rPr>
              <w:t>本采购项目专门面向中小企业采购，供应商应提供中小企业声明函原件，评审时不再执行价格评审优惠的扶持政策。依据《财政部司法部关于政府采购支持监狱企业发展有关问题的通知》及《关于促进残疾人就业政府采购政策的通知》文件规定，在政府采购活动中，监狱企业、残疾人福利性单视同中小企业。</w:t>
            </w:r>
          </w:p>
          <w:p w14:paraId="72410AA0">
            <w:pPr>
              <w:pStyle w:val="8"/>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b w:val="0"/>
                <w:color w:val="auto"/>
                <w:kern w:val="0"/>
                <w:sz w:val="21"/>
                <w:szCs w:val="21"/>
                <w:lang w:val="en-US" w:eastAsia="zh-CN" w:bidi="ar-SA"/>
              </w:rPr>
              <w:t>中小企业认定标准：国家统计局关于印发《统计上大中小微型企业划分办法（2017）》的通知。</w:t>
            </w:r>
          </w:p>
        </w:tc>
      </w:tr>
      <w:tr w14:paraId="04CC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03" w:type="dxa"/>
            <w:vMerge w:val="restart"/>
            <w:noWrap w:val="0"/>
            <w:vAlign w:val="center"/>
          </w:tcPr>
          <w:p w14:paraId="0B1D57F0">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商务</w:t>
            </w:r>
            <w:r>
              <w:rPr>
                <w:rFonts w:hint="eastAsia" w:ascii="宋体" w:hAnsi="宋体" w:cs="宋体"/>
                <w:bCs/>
                <w:color w:val="auto"/>
                <w:sz w:val="21"/>
                <w:szCs w:val="21"/>
                <w:lang w:val="en-US" w:eastAsia="zh-CN"/>
              </w:rPr>
              <w:t xml:space="preserve">  </w:t>
            </w:r>
            <w:r>
              <w:rPr>
                <w:rFonts w:hint="eastAsia" w:ascii="宋体" w:hAnsi="宋体" w:eastAsia="宋体" w:cs="宋体"/>
                <w:bCs/>
                <w:color w:val="auto"/>
                <w:sz w:val="21"/>
                <w:szCs w:val="21"/>
              </w:rPr>
              <w:t>部分</w:t>
            </w:r>
          </w:p>
          <w:p w14:paraId="269EB3FC">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28</w:t>
            </w:r>
            <w:r>
              <w:rPr>
                <w:rFonts w:hint="eastAsia" w:ascii="宋体" w:hAnsi="宋体" w:eastAsia="宋体" w:cs="宋体"/>
                <w:bCs/>
                <w:color w:val="auto"/>
                <w:sz w:val="21"/>
                <w:szCs w:val="21"/>
              </w:rPr>
              <w:t>分）</w:t>
            </w:r>
          </w:p>
        </w:tc>
        <w:tc>
          <w:tcPr>
            <w:tcW w:w="1288" w:type="dxa"/>
            <w:noWrap w:val="0"/>
            <w:vAlign w:val="center"/>
          </w:tcPr>
          <w:p w14:paraId="6D64FAC5">
            <w:pPr>
              <w:keepNext w:val="0"/>
              <w:keepLines w:val="0"/>
              <w:widowControl/>
              <w:suppressLineNumbers w:val="0"/>
              <w:autoSpaceDE w:val="0"/>
              <w:autoSpaceDN w:val="0"/>
              <w:adjustRightInd w:val="0"/>
              <w:spacing w:before="0" w:beforeAutospacing="0" w:after="0" w:afterAutospacing="0"/>
              <w:ind w:left="0" w:right="0" w:firstLine="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企业业绩</w:t>
            </w:r>
          </w:p>
          <w:p w14:paraId="5AA3DECC">
            <w:pPr>
              <w:keepNext w:val="0"/>
              <w:keepLines w:val="0"/>
              <w:widowControl/>
              <w:suppressLineNumbers w:val="0"/>
              <w:autoSpaceDE w:val="0"/>
              <w:autoSpaceDN w:val="0"/>
              <w:adjustRightInd w:val="0"/>
              <w:spacing w:before="0" w:beforeAutospacing="0" w:after="0" w:afterAutospacing="0"/>
              <w:ind w:left="0" w:right="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tc>
        <w:tc>
          <w:tcPr>
            <w:tcW w:w="6911" w:type="dxa"/>
            <w:noWrap w:val="0"/>
            <w:vAlign w:val="center"/>
          </w:tcPr>
          <w:p w14:paraId="06B9299F">
            <w:pPr>
              <w:keepNext w:val="0"/>
              <w:keepLines w:val="0"/>
              <w:widowControl/>
              <w:suppressLineNumbers w:val="0"/>
              <w:tabs>
                <w:tab w:val="left" w:pos="11160"/>
              </w:tabs>
              <w:spacing w:before="0" w:beforeAutospacing="0" w:after="0" w:afterAutospacing="0"/>
              <w:ind w:left="0" w:right="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供应商近年（20</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年1月1日起至磋商截止时间前）完成过类似项目施工业绩</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以完成时间为准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，每有一项得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提供中标通知书或合同协议书或竣工验收报告，响应文件内附复印件加盖公章，否则不得分</w:t>
            </w:r>
            <w:r>
              <w:rPr>
                <w:rFonts w:hint="eastAsia" w:ascii="宋体" w:hAnsi="宋体" w:eastAsia="宋体" w:cs="宋体"/>
                <w:bCs/>
                <w:color w:val="auto"/>
                <w:sz w:val="21"/>
                <w:szCs w:val="21"/>
                <w:highlight w:val="none"/>
                <w:lang w:eastAsia="zh-CN"/>
              </w:rPr>
              <w:t>）</w:t>
            </w:r>
          </w:p>
        </w:tc>
      </w:tr>
      <w:tr w14:paraId="4670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vMerge w:val="continue"/>
            <w:noWrap w:val="0"/>
            <w:vAlign w:val="center"/>
          </w:tcPr>
          <w:p w14:paraId="69A7EE6F">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655E0785">
            <w:pPr>
              <w:keepNext w:val="0"/>
              <w:keepLines w:val="0"/>
              <w:widowControl/>
              <w:suppressLineNumbers w:val="0"/>
              <w:spacing w:before="0" w:beforeAutospacing="0" w:after="0" w:afterAutospacing="0"/>
              <w:ind w:left="0" w:right="0" w:firstLine="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项目经理</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业绩</w:t>
            </w:r>
          </w:p>
          <w:p w14:paraId="1A1C8EE0">
            <w:pPr>
              <w:keepNext w:val="0"/>
              <w:keepLines w:val="0"/>
              <w:widowControl/>
              <w:suppressLineNumbers w:val="0"/>
              <w:spacing w:before="0" w:beforeAutospacing="0" w:after="0" w:afterAutospacing="0"/>
              <w:ind w:left="0" w:right="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c>
          <w:tcPr>
            <w:tcW w:w="6911" w:type="dxa"/>
            <w:noWrap w:val="0"/>
            <w:vAlign w:val="center"/>
          </w:tcPr>
          <w:p w14:paraId="266AA584">
            <w:pPr>
              <w:keepNext w:val="0"/>
              <w:keepLines w:val="0"/>
              <w:widowControl/>
              <w:suppressLineNumbers w:val="0"/>
              <w:tabs>
                <w:tab w:val="left" w:pos="11160"/>
              </w:tabs>
              <w:spacing w:before="0" w:beforeAutospacing="0" w:after="0" w:afterAutospacing="0"/>
              <w:ind w:left="0" w:right="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项目经理</w:t>
            </w:r>
            <w:r>
              <w:rPr>
                <w:rFonts w:hint="eastAsia" w:ascii="宋体" w:hAnsi="宋体" w:eastAsia="宋体" w:cs="宋体"/>
                <w:bCs/>
                <w:color w:val="auto"/>
                <w:sz w:val="21"/>
                <w:szCs w:val="21"/>
                <w:highlight w:val="none"/>
              </w:rPr>
              <w:t>近年（20</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年1月1日起至磋商截止时间前）</w:t>
            </w:r>
            <w:r>
              <w:rPr>
                <w:rFonts w:hint="eastAsia" w:ascii="宋体" w:hAnsi="宋体" w:eastAsia="宋体" w:cs="宋体"/>
                <w:color w:val="auto"/>
                <w:kern w:val="2"/>
                <w:sz w:val="21"/>
                <w:szCs w:val="21"/>
                <w:highlight w:val="none"/>
              </w:rPr>
              <w:t>以</w:t>
            </w:r>
            <w:r>
              <w:rPr>
                <w:rFonts w:hint="eastAsia" w:ascii="宋体" w:hAnsi="宋体" w:eastAsia="宋体" w:cs="宋体"/>
                <w:color w:val="auto"/>
                <w:kern w:val="2"/>
                <w:sz w:val="21"/>
                <w:szCs w:val="21"/>
                <w:highlight w:val="none"/>
                <w:lang w:val="en-US" w:eastAsia="zh-CN"/>
              </w:rPr>
              <w:t>项目经理</w:t>
            </w:r>
            <w:r>
              <w:rPr>
                <w:rFonts w:hint="eastAsia" w:ascii="宋体" w:hAnsi="宋体" w:eastAsia="宋体" w:cs="宋体"/>
                <w:color w:val="auto"/>
                <w:kern w:val="2"/>
                <w:sz w:val="21"/>
                <w:szCs w:val="21"/>
                <w:highlight w:val="none"/>
              </w:rPr>
              <w:t>身份</w:t>
            </w:r>
            <w:r>
              <w:rPr>
                <w:rFonts w:hint="eastAsia" w:ascii="宋体" w:hAnsi="宋体" w:eastAsia="宋体" w:cs="宋体"/>
                <w:color w:val="auto"/>
                <w:kern w:val="2"/>
                <w:sz w:val="21"/>
                <w:szCs w:val="21"/>
                <w:highlight w:val="none"/>
                <w:lang w:val="en-US" w:eastAsia="zh-CN"/>
              </w:rPr>
              <w:t>主持完成过的类似工程业绩（以完成时间为准）</w:t>
            </w:r>
            <w:r>
              <w:rPr>
                <w:rFonts w:hint="eastAsia" w:ascii="宋体" w:hAnsi="宋体" w:eastAsia="宋体" w:cs="宋体"/>
                <w:bCs/>
                <w:color w:val="auto"/>
                <w:sz w:val="21"/>
                <w:szCs w:val="21"/>
                <w:highlight w:val="none"/>
              </w:rPr>
              <w:t>，每有一项得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分，最多得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提供中标通知书或合同协议书或竣工验收报告，响应文件内附复印件加盖公章；提供的资料中应体现项目经理姓名</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若中标通知书或合同协议书或竣工验收报告未体现姓名须提供相应项目建设单位出</w:t>
            </w:r>
            <w:r>
              <w:rPr>
                <w:rFonts w:hint="eastAsia" w:ascii="宋体" w:hAnsi="宋体" w:eastAsia="宋体" w:cs="宋体"/>
                <w:bCs/>
                <w:color w:val="auto"/>
                <w:sz w:val="21"/>
                <w:szCs w:val="21"/>
                <w:highlight w:val="none"/>
                <w:lang w:eastAsia="zh-CN"/>
              </w:rPr>
              <w:t>具的证明材料</w:t>
            </w:r>
            <w:r>
              <w:rPr>
                <w:rFonts w:hint="eastAsia" w:ascii="宋体" w:hAnsi="宋体" w:eastAsia="宋体" w:cs="宋体"/>
                <w:bCs/>
                <w:color w:val="auto"/>
                <w:sz w:val="21"/>
                <w:szCs w:val="21"/>
                <w:highlight w:val="none"/>
              </w:rPr>
              <w:t>，响应文件内附复印件加盖公章，否则不得分</w:t>
            </w:r>
            <w:r>
              <w:rPr>
                <w:rFonts w:hint="eastAsia" w:ascii="宋体" w:hAnsi="宋体" w:eastAsia="宋体" w:cs="宋体"/>
                <w:bCs/>
                <w:color w:val="auto"/>
                <w:sz w:val="21"/>
                <w:szCs w:val="21"/>
                <w:highlight w:val="none"/>
                <w:lang w:eastAsia="zh-CN"/>
              </w:rPr>
              <w:t>）</w:t>
            </w:r>
          </w:p>
        </w:tc>
      </w:tr>
      <w:tr w14:paraId="70C2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vMerge w:val="continue"/>
            <w:noWrap w:val="0"/>
            <w:vAlign w:val="center"/>
          </w:tcPr>
          <w:p w14:paraId="4F6759D1">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vMerge w:val="restart"/>
            <w:noWrap w:val="0"/>
            <w:vAlign w:val="center"/>
          </w:tcPr>
          <w:p w14:paraId="4865F5B7">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技术负责人</w:t>
            </w:r>
          </w:p>
          <w:p w14:paraId="546CB059">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（2分）</w:t>
            </w:r>
          </w:p>
        </w:tc>
        <w:tc>
          <w:tcPr>
            <w:tcW w:w="6911" w:type="dxa"/>
            <w:noWrap w:val="0"/>
            <w:vAlign w:val="center"/>
          </w:tcPr>
          <w:p w14:paraId="1FA4667A">
            <w:pPr>
              <w:keepNext w:val="0"/>
              <w:keepLines w:val="0"/>
              <w:widowControl/>
              <w:suppressLineNumbers w:val="0"/>
              <w:tabs>
                <w:tab w:val="left" w:pos="11160"/>
              </w:tabs>
              <w:spacing w:before="0" w:beforeAutospacing="0" w:after="0" w:afterAutospacing="0"/>
              <w:ind w:left="0" w:right="0" w:firstLine="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技术负责人具备建筑工程相关专业高级及以上职称得1分。</w:t>
            </w:r>
          </w:p>
          <w:p w14:paraId="2ADF5B55">
            <w:pPr>
              <w:keepNext w:val="0"/>
              <w:keepLines w:val="0"/>
              <w:widowControl/>
              <w:suppressLineNumbers w:val="0"/>
              <w:tabs>
                <w:tab w:val="left" w:pos="11160"/>
              </w:tabs>
              <w:spacing w:before="0" w:beforeAutospacing="0" w:after="0" w:afterAutospacing="0"/>
              <w:ind w:left="0" w:right="0" w:firstLine="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（技术负责人须为本单位在职员工，响应文件内需提供职称证书及</w:t>
            </w:r>
            <w:r>
              <w:rPr>
                <w:rFonts w:hint="eastAsia" w:ascii="宋体" w:hAnsi="宋体" w:eastAsia="宋体" w:cs="宋体"/>
                <w:bCs/>
                <w:color w:val="auto"/>
                <w:sz w:val="21"/>
                <w:szCs w:val="21"/>
                <w:highlight w:val="none"/>
              </w:rPr>
              <w:t>供应商缴纳</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eastAsia="zh-CN"/>
              </w:rPr>
              <w:t>近一年（</w:t>
            </w:r>
            <w:r>
              <w:rPr>
                <w:rFonts w:hint="eastAsia" w:ascii="宋体" w:hAnsi="宋体" w:eastAsia="宋体" w:cs="宋体"/>
                <w:color w:val="auto"/>
                <w:spacing w:val="14"/>
                <w:kern w:val="0"/>
                <w:sz w:val="21"/>
                <w:szCs w:val="21"/>
                <w:highlight w:val="none"/>
                <w:lang w:eastAsia="zh-CN"/>
              </w:rPr>
              <w:t>202</w:t>
            </w:r>
            <w:r>
              <w:rPr>
                <w:rFonts w:hint="eastAsia" w:ascii="宋体" w:hAnsi="宋体" w:eastAsia="宋体" w:cs="宋体"/>
                <w:color w:val="auto"/>
                <w:spacing w:val="14"/>
                <w:kern w:val="0"/>
                <w:sz w:val="21"/>
                <w:szCs w:val="21"/>
                <w:highlight w:val="none"/>
                <w:lang w:val="en-US" w:eastAsia="zh-CN"/>
              </w:rPr>
              <w:t>4</w:t>
            </w:r>
            <w:r>
              <w:rPr>
                <w:rFonts w:hint="eastAsia" w:ascii="宋体" w:hAnsi="宋体" w:eastAsia="宋体" w:cs="宋体"/>
                <w:color w:val="auto"/>
                <w:spacing w:val="14"/>
                <w:kern w:val="0"/>
                <w:sz w:val="21"/>
                <w:szCs w:val="21"/>
                <w:highlight w:val="none"/>
                <w:lang w:eastAsia="zh-CN"/>
              </w:rPr>
              <w:t>年</w:t>
            </w:r>
            <w:r>
              <w:rPr>
                <w:rFonts w:hint="eastAsia" w:ascii="宋体" w:hAnsi="宋体" w:eastAsia="宋体" w:cs="宋体"/>
                <w:color w:val="auto"/>
                <w:spacing w:val="14"/>
                <w:kern w:val="0"/>
                <w:sz w:val="21"/>
                <w:szCs w:val="21"/>
                <w:highlight w:val="none"/>
                <w:lang w:val="en-US" w:eastAsia="zh-CN"/>
              </w:rPr>
              <w:t>7</w:t>
            </w:r>
            <w:r>
              <w:rPr>
                <w:rFonts w:hint="eastAsia" w:ascii="宋体" w:hAnsi="宋体" w:eastAsia="宋体" w:cs="宋体"/>
                <w:color w:val="auto"/>
                <w:spacing w:val="14"/>
                <w:kern w:val="0"/>
                <w:sz w:val="21"/>
                <w:szCs w:val="21"/>
                <w:highlight w:val="none"/>
                <w:lang w:eastAsia="zh-CN"/>
              </w:rPr>
              <w:t>月至202</w:t>
            </w:r>
            <w:r>
              <w:rPr>
                <w:rFonts w:hint="eastAsia" w:ascii="宋体" w:hAnsi="宋体" w:eastAsia="宋体" w:cs="宋体"/>
                <w:color w:val="auto"/>
                <w:spacing w:val="14"/>
                <w:kern w:val="0"/>
                <w:sz w:val="21"/>
                <w:szCs w:val="21"/>
                <w:highlight w:val="none"/>
                <w:lang w:val="en-US" w:eastAsia="zh-CN"/>
              </w:rPr>
              <w:t>5</w:t>
            </w:r>
            <w:r>
              <w:rPr>
                <w:rFonts w:hint="eastAsia" w:ascii="宋体" w:hAnsi="宋体" w:eastAsia="宋体" w:cs="宋体"/>
                <w:color w:val="auto"/>
                <w:spacing w:val="14"/>
                <w:kern w:val="0"/>
                <w:sz w:val="21"/>
                <w:szCs w:val="21"/>
                <w:highlight w:val="none"/>
                <w:lang w:eastAsia="zh-CN"/>
              </w:rPr>
              <w:t>年</w:t>
            </w:r>
            <w:r>
              <w:rPr>
                <w:rFonts w:hint="eastAsia" w:ascii="宋体" w:hAnsi="宋体" w:eastAsia="宋体" w:cs="宋体"/>
                <w:color w:val="auto"/>
                <w:spacing w:val="14"/>
                <w:kern w:val="0"/>
                <w:sz w:val="21"/>
                <w:szCs w:val="21"/>
                <w:highlight w:val="none"/>
                <w:lang w:val="en-US" w:eastAsia="zh-CN"/>
              </w:rPr>
              <w:t>6</w:t>
            </w:r>
            <w:r>
              <w:rPr>
                <w:rFonts w:hint="eastAsia" w:ascii="宋体" w:hAnsi="宋体" w:eastAsia="宋体" w:cs="宋体"/>
                <w:color w:val="auto"/>
                <w:spacing w:val="14"/>
                <w:kern w:val="0"/>
                <w:sz w:val="21"/>
                <w:szCs w:val="21"/>
                <w:highlight w:val="none"/>
                <w:lang w:eastAsia="zh-CN"/>
              </w:rPr>
              <w:t>月</w:t>
            </w:r>
            <w:r>
              <w:rPr>
                <w:rFonts w:hint="eastAsia" w:ascii="宋体" w:hAnsi="宋体" w:eastAsia="宋体" w:cs="宋体"/>
                <w:bCs/>
                <w:color w:val="auto"/>
                <w:sz w:val="21"/>
                <w:szCs w:val="21"/>
                <w:highlight w:val="none"/>
                <w:lang w:eastAsia="zh-CN"/>
              </w:rPr>
              <w:t>）任意连续三个月的社保证明</w:t>
            </w:r>
            <w:r>
              <w:rPr>
                <w:rFonts w:hint="eastAsia" w:ascii="宋体" w:hAnsi="宋体" w:eastAsia="宋体" w:cs="宋体"/>
                <w:bCs/>
                <w:color w:val="auto"/>
                <w:sz w:val="21"/>
                <w:szCs w:val="21"/>
                <w:highlight w:val="none"/>
              </w:rPr>
              <w:t>材料复印件</w:t>
            </w:r>
            <w:r>
              <w:rPr>
                <w:rFonts w:hint="eastAsia" w:ascii="宋体" w:hAnsi="宋体" w:eastAsia="宋体" w:cs="宋体"/>
                <w:bCs/>
                <w:color w:val="auto"/>
                <w:sz w:val="21"/>
                <w:szCs w:val="21"/>
                <w:highlight w:val="none"/>
                <w:lang w:val="zh-CN"/>
              </w:rPr>
              <w:t>并加盖公章，</w:t>
            </w:r>
            <w:r>
              <w:rPr>
                <w:rFonts w:hint="eastAsia" w:ascii="宋体" w:hAnsi="宋体" w:eastAsia="宋体" w:cs="宋体"/>
                <w:bCs/>
                <w:color w:val="auto"/>
                <w:sz w:val="21"/>
                <w:szCs w:val="21"/>
                <w:highlight w:val="none"/>
                <w:lang w:val="en-US" w:eastAsia="zh-CN"/>
              </w:rPr>
              <w:t>否则不得分）</w:t>
            </w:r>
          </w:p>
        </w:tc>
      </w:tr>
      <w:tr w14:paraId="714B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7" w:hRule="atLeast"/>
          <w:jc w:val="center"/>
        </w:trPr>
        <w:tc>
          <w:tcPr>
            <w:tcW w:w="1003" w:type="dxa"/>
            <w:vMerge w:val="continue"/>
            <w:noWrap w:val="0"/>
            <w:vAlign w:val="center"/>
          </w:tcPr>
          <w:p w14:paraId="5B0B6387">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vMerge w:val="continue"/>
            <w:noWrap w:val="0"/>
            <w:vAlign w:val="center"/>
          </w:tcPr>
          <w:p w14:paraId="00979539">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lang w:val="en-US" w:eastAsia="zh-CN"/>
              </w:rPr>
            </w:pPr>
          </w:p>
        </w:tc>
        <w:tc>
          <w:tcPr>
            <w:tcW w:w="6911" w:type="dxa"/>
            <w:noWrap w:val="0"/>
            <w:vAlign w:val="center"/>
          </w:tcPr>
          <w:p w14:paraId="0BC4F0C6">
            <w:pPr>
              <w:keepNext w:val="0"/>
              <w:keepLines w:val="0"/>
              <w:widowControl/>
              <w:suppressLineNumbers w:val="0"/>
              <w:spacing w:before="0" w:beforeAutospacing="0" w:after="0" w:afterAutospacing="0" w:line="240" w:lineRule="auto"/>
              <w:ind w:left="0" w:right="0" w:firstLine="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技术负责人</w:t>
            </w:r>
            <w:r>
              <w:rPr>
                <w:rFonts w:hint="eastAsia" w:ascii="宋体" w:hAnsi="宋体" w:eastAsia="宋体" w:cs="宋体"/>
                <w:bCs/>
                <w:color w:val="auto"/>
                <w:sz w:val="21"/>
                <w:szCs w:val="21"/>
                <w:highlight w:val="none"/>
              </w:rPr>
              <w:t>近年（20</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年1月1日起至磋商截止时间前）</w:t>
            </w:r>
            <w:r>
              <w:rPr>
                <w:rFonts w:hint="eastAsia" w:ascii="宋体" w:hAnsi="宋体" w:eastAsia="宋体" w:cs="宋体"/>
                <w:bCs/>
                <w:color w:val="auto"/>
                <w:sz w:val="21"/>
                <w:szCs w:val="21"/>
                <w:highlight w:val="none"/>
                <w:lang w:val="en-US" w:eastAsia="zh-CN"/>
              </w:rPr>
              <w:t>以技术负责人身份或项目经理身份主持完成过类似工程业绩（以完成时间为准）</w:t>
            </w:r>
            <w:r>
              <w:rPr>
                <w:rFonts w:hint="eastAsia" w:ascii="宋体" w:hAnsi="宋体" w:eastAsia="宋体" w:cs="宋体"/>
                <w:bCs/>
                <w:color w:val="auto"/>
                <w:sz w:val="21"/>
                <w:szCs w:val="21"/>
                <w:highlight w:val="none"/>
              </w:rPr>
              <w:t>，每有一项得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分，最多得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提供中标通知书或合同协议书或竣工验收报告，响应文件内附复印件加盖公章；提供的资料中应体现</w:t>
            </w:r>
            <w:r>
              <w:rPr>
                <w:rFonts w:hint="eastAsia" w:ascii="宋体" w:hAnsi="宋体" w:eastAsia="宋体" w:cs="宋体"/>
                <w:bCs/>
                <w:color w:val="auto"/>
                <w:sz w:val="21"/>
                <w:szCs w:val="21"/>
                <w:highlight w:val="none"/>
                <w:lang w:val="en-US" w:eastAsia="zh-CN"/>
              </w:rPr>
              <w:t>技术负责人或项目经理</w:t>
            </w:r>
            <w:r>
              <w:rPr>
                <w:rFonts w:hint="eastAsia" w:ascii="宋体" w:hAnsi="宋体" w:eastAsia="宋体" w:cs="宋体"/>
                <w:bCs/>
                <w:color w:val="auto"/>
                <w:sz w:val="21"/>
                <w:szCs w:val="21"/>
                <w:highlight w:val="none"/>
              </w:rPr>
              <w:t>姓名</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若中标通知书或合同协议书或竣工验收报告未体现姓名须提供相应项目建设单位出</w:t>
            </w:r>
            <w:r>
              <w:rPr>
                <w:rFonts w:hint="eastAsia" w:ascii="宋体" w:hAnsi="宋体" w:eastAsia="宋体" w:cs="宋体"/>
                <w:bCs/>
                <w:color w:val="auto"/>
                <w:sz w:val="21"/>
                <w:szCs w:val="21"/>
                <w:highlight w:val="none"/>
                <w:lang w:eastAsia="zh-CN"/>
              </w:rPr>
              <w:t>具的证明材料</w:t>
            </w:r>
            <w:r>
              <w:rPr>
                <w:rFonts w:hint="eastAsia" w:ascii="宋体" w:hAnsi="宋体" w:eastAsia="宋体" w:cs="宋体"/>
                <w:bCs/>
                <w:color w:val="auto"/>
                <w:sz w:val="21"/>
                <w:szCs w:val="21"/>
                <w:highlight w:val="none"/>
              </w:rPr>
              <w:t>，响应文件内附复印件加盖公章，否则不得分</w:t>
            </w:r>
            <w:r>
              <w:rPr>
                <w:rFonts w:hint="eastAsia" w:ascii="宋体" w:hAnsi="宋体" w:eastAsia="宋体" w:cs="宋体"/>
                <w:bCs/>
                <w:color w:val="auto"/>
                <w:sz w:val="21"/>
                <w:szCs w:val="21"/>
                <w:highlight w:val="none"/>
                <w:lang w:eastAsia="zh-CN"/>
              </w:rPr>
              <w:t>）</w:t>
            </w:r>
          </w:p>
        </w:tc>
      </w:tr>
      <w:tr w14:paraId="5A10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003" w:type="dxa"/>
            <w:vMerge w:val="continue"/>
            <w:noWrap w:val="0"/>
            <w:vAlign w:val="center"/>
          </w:tcPr>
          <w:p w14:paraId="1BB0D13B">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4427A379">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项目管理</w:t>
            </w:r>
            <w:r>
              <w:rPr>
                <w:rFonts w:hint="eastAsia" w:ascii="宋体" w:hAnsi="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机构</w:t>
            </w:r>
          </w:p>
          <w:p w14:paraId="4ABA9451">
            <w:pPr>
              <w:keepNext w:val="0"/>
              <w:keepLines w:val="0"/>
              <w:widowControl/>
              <w:suppressLineNumbers w:val="0"/>
              <w:autoSpaceDE w:val="0"/>
              <w:autoSpaceDN w:val="0"/>
              <w:adjustRightInd w:val="0"/>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p>
        </w:tc>
        <w:tc>
          <w:tcPr>
            <w:tcW w:w="6911" w:type="dxa"/>
            <w:noWrap w:val="0"/>
            <w:vAlign w:val="center"/>
          </w:tcPr>
          <w:p w14:paraId="7BE9E678">
            <w:pPr>
              <w:keepNext w:val="0"/>
              <w:keepLines w:val="0"/>
              <w:widowControl/>
              <w:suppressLineNumbers w:val="0"/>
              <w:tabs>
                <w:tab w:val="left" w:pos="11160"/>
              </w:tabs>
              <w:spacing w:before="0" w:beforeAutospacing="0" w:after="0" w:afterAutospacing="0" w:line="240" w:lineRule="auto"/>
              <w:ind w:left="0" w:right="0" w:firstLine="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其他主要人员配备齐全，投标人拟派出的项目管理机构人员在满足强制性人员标准的基础上每增加1人加1分，满分2分。</w:t>
            </w:r>
          </w:p>
          <w:p w14:paraId="378CF279">
            <w:pPr>
              <w:keepNext w:val="0"/>
              <w:keepLines w:val="0"/>
              <w:widowControl/>
              <w:suppressLineNumbers w:val="0"/>
              <w:tabs>
                <w:tab w:val="left" w:pos="11160"/>
              </w:tabs>
              <w:spacing w:before="0" w:beforeAutospacing="0" w:after="0" w:afterAutospacing="0" w:line="240" w:lineRule="auto"/>
              <w:ind w:left="0" w:right="0" w:firstLine="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投标文件内附职称证或人员岗位证复印件及社保证明材料加盖公章。</w:t>
            </w:r>
          </w:p>
          <w:p w14:paraId="5B323CA4">
            <w:pPr>
              <w:keepNext w:val="0"/>
              <w:keepLines w:val="0"/>
              <w:widowControl/>
              <w:suppressLineNumbers w:val="0"/>
              <w:tabs>
                <w:tab w:val="left" w:pos="11160"/>
              </w:tabs>
              <w:spacing w:before="0" w:beforeAutospacing="0" w:after="0" w:afterAutospacing="0" w:line="240" w:lineRule="auto"/>
              <w:ind w:left="0" w:right="0" w:firstLine="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项目管理</w:t>
            </w:r>
            <w:r>
              <w:rPr>
                <w:rFonts w:hint="eastAsia" w:ascii="宋体" w:hAnsi="宋体" w:eastAsia="宋体" w:cs="宋体"/>
                <w:bCs/>
                <w:color w:val="auto"/>
                <w:sz w:val="21"/>
                <w:szCs w:val="21"/>
                <w:highlight w:val="none"/>
                <w:lang w:eastAsia="zh-CN"/>
              </w:rPr>
              <w:t>机构</w:t>
            </w:r>
            <w:r>
              <w:rPr>
                <w:rFonts w:hint="eastAsia" w:ascii="宋体" w:hAnsi="宋体" w:eastAsia="宋体" w:cs="宋体"/>
                <w:bCs/>
                <w:color w:val="auto"/>
                <w:sz w:val="21"/>
                <w:szCs w:val="21"/>
                <w:highlight w:val="none"/>
                <w:lang w:val="en-US" w:eastAsia="zh-CN"/>
              </w:rPr>
              <w:t>人员须为本单位在职员工，响应文件内需提供</w:t>
            </w:r>
            <w:r>
              <w:rPr>
                <w:rFonts w:hint="eastAsia" w:ascii="宋体" w:hAnsi="宋体" w:eastAsia="宋体" w:cs="宋体"/>
                <w:bCs/>
                <w:color w:val="auto"/>
                <w:sz w:val="21"/>
                <w:szCs w:val="21"/>
                <w:highlight w:val="none"/>
                <w:lang w:eastAsia="zh-CN"/>
              </w:rPr>
              <w:t>供应商缴纳</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eastAsia="zh-CN"/>
              </w:rPr>
              <w:t>近一年（</w:t>
            </w:r>
            <w:r>
              <w:rPr>
                <w:rFonts w:hint="eastAsia" w:ascii="宋体" w:hAnsi="宋体" w:eastAsia="宋体" w:cs="宋体"/>
                <w:color w:val="auto"/>
                <w:spacing w:val="14"/>
                <w:kern w:val="0"/>
                <w:sz w:val="21"/>
                <w:szCs w:val="21"/>
                <w:highlight w:val="none"/>
                <w:lang w:eastAsia="zh-CN"/>
              </w:rPr>
              <w:t>202</w:t>
            </w:r>
            <w:r>
              <w:rPr>
                <w:rFonts w:hint="eastAsia" w:ascii="宋体" w:hAnsi="宋体" w:eastAsia="宋体" w:cs="宋体"/>
                <w:color w:val="auto"/>
                <w:spacing w:val="14"/>
                <w:kern w:val="0"/>
                <w:sz w:val="21"/>
                <w:szCs w:val="21"/>
                <w:highlight w:val="none"/>
                <w:lang w:val="en-US" w:eastAsia="zh-CN"/>
              </w:rPr>
              <w:t>4</w:t>
            </w:r>
            <w:r>
              <w:rPr>
                <w:rFonts w:hint="eastAsia" w:ascii="宋体" w:hAnsi="宋体" w:eastAsia="宋体" w:cs="宋体"/>
                <w:color w:val="auto"/>
                <w:spacing w:val="14"/>
                <w:kern w:val="0"/>
                <w:sz w:val="21"/>
                <w:szCs w:val="21"/>
                <w:highlight w:val="none"/>
                <w:lang w:eastAsia="zh-CN"/>
              </w:rPr>
              <w:t>年</w:t>
            </w:r>
            <w:r>
              <w:rPr>
                <w:rFonts w:hint="eastAsia" w:ascii="宋体" w:hAnsi="宋体" w:eastAsia="宋体" w:cs="宋体"/>
                <w:color w:val="auto"/>
                <w:spacing w:val="14"/>
                <w:kern w:val="0"/>
                <w:sz w:val="21"/>
                <w:szCs w:val="21"/>
                <w:highlight w:val="none"/>
                <w:lang w:val="en-US" w:eastAsia="zh-CN"/>
              </w:rPr>
              <w:t>7</w:t>
            </w:r>
            <w:r>
              <w:rPr>
                <w:rFonts w:hint="eastAsia" w:ascii="宋体" w:hAnsi="宋体" w:eastAsia="宋体" w:cs="宋体"/>
                <w:color w:val="auto"/>
                <w:spacing w:val="14"/>
                <w:kern w:val="0"/>
                <w:sz w:val="21"/>
                <w:szCs w:val="21"/>
                <w:highlight w:val="none"/>
                <w:lang w:eastAsia="zh-CN"/>
              </w:rPr>
              <w:t>月至202</w:t>
            </w:r>
            <w:r>
              <w:rPr>
                <w:rFonts w:hint="eastAsia" w:ascii="宋体" w:hAnsi="宋体" w:eastAsia="宋体" w:cs="宋体"/>
                <w:color w:val="auto"/>
                <w:spacing w:val="14"/>
                <w:kern w:val="0"/>
                <w:sz w:val="21"/>
                <w:szCs w:val="21"/>
                <w:highlight w:val="none"/>
                <w:lang w:val="en-US" w:eastAsia="zh-CN"/>
              </w:rPr>
              <w:t>5</w:t>
            </w:r>
            <w:r>
              <w:rPr>
                <w:rFonts w:hint="eastAsia" w:ascii="宋体" w:hAnsi="宋体" w:eastAsia="宋体" w:cs="宋体"/>
                <w:color w:val="auto"/>
                <w:spacing w:val="14"/>
                <w:kern w:val="0"/>
                <w:sz w:val="21"/>
                <w:szCs w:val="21"/>
                <w:highlight w:val="none"/>
                <w:lang w:eastAsia="zh-CN"/>
              </w:rPr>
              <w:t>年</w:t>
            </w:r>
            <w:r>
              <w:rPr>
                <w:rFonts w:hint="eastAsia" w:ascii="宋体" w:hAnsi="宋体" w:eastAsia="宋体" w:cs="宋体"/>
                <w:color w:val="auto"/>
                <w:spacing w:val="14"/>
                <w:kern w:val="0"/>
                <w:sz w:val="21"/>
                <w:szCs w:val="21"/>
                <w:highlight w:val="none"/>
                <w:lang w:val="en-US" w:eastAsia="zh-CN"/>
              </w:rPr>
              <w:t>6</w:t>
            </w:r>
            <w:r>
              <w:rPr>
                <w:rFonts w:hint="eastAsia" w:ascii="宋体" w:hAnsi="宋体" w:eastAsia="宋体" w:cs="宋体"/>
                <w:color w:val="auto"/>
                <w:spacing w:val="14"/>
                <w:kern w:val="0"/>
                <w:sz w:val="21"/>
                <w:szCs w:val="21"/>
                <w:highlight w:val="none"/>
                <w:lang w:eastAsia="zh-CN"/>
              </w:rPr>
              <w:t>月</w:t>
            </w:r>
            <w:r>
              <w:rPr>
                <w:rFonts w:hint="eastAsia" w:ascii="宋体" w:hAnsi="宋体" w:eastAsia="宋体" w:cs="宋体"/>
                <w:bCs/>
                <w:color w:val="auto"/>
                <w:sz w:val="21"/>
                <w:szCs w:val="21"/>
                <w:highlight w:val="none"/>
                <w:lang w:eastAsia="zh-CN"/>
              </w:rPr>
              <w:t>）任意连续三个月的社保证明材料复印件</w:t>
            </w:r>
            <w:r>
              <w:rPr>
                <w:rFonts w:hint="eastAsia" w:ascii="宋体" w:hAnsi="宋体" w:eastAsia="宋体" w:cs="宋体"/>
                <w:bCs/>
                <w:color w:val="auto"/>
                <w:sz w:val="21"/>
                <w:szCs w:val="21"/>
                <w:highlight w:val="none"/>
                <w:lang w:val="zh-CN" w:eastAsia="zh-CN"/>
              </w:rPr>
              <w:t>并加盖公章</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lang w:eastAsia="zh-CN"/>
              </w:rPr>
              <w:t>）</w:t>
            </w:r>
          </w:p>
        </w:tc>
      </w:tr>
      <w:tr w14:paraId="7F5C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03" w:type="dxa"/>
            <w:vMerge w:val="continue"/>
            <w:noWrap w:val="0"/>
            <w:vAlign w:val="center"/>
          </w:tcPr>
          <w:p w14:paraId="29A8E518">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7EFF5D53">
            <w:pPr>
              <w:keepNext w:val="0"/>
              <w:keepLines w:val="0"/>
              <w:widowControl/>
              <w:suppressLineNumbers w:val="0"/>
              <w:tabs>
                <w:tab w:val="left" w:pos="11160"/>
              </w:tabs>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优惠条件</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（5分）</w:t>
            </w:r>
          </w:p>
        </w:tc>
        <w:tc>
          <w:tcPr>
            <w:tcW w:w="6911" w:type="dxa"/>
            <w:noWrap w:val="0"/>
            <w:vAlign w:val="center"/>
          </w:tcPr>
          <w:p w14:paraId="30794A05">
            <w:pPr>
              <w:keepNext w:val="0"/>
              <w:keepLines w:val="0"/>
              <w:widowControl/>
              <w:suppressLineNumbers w:val="0"/>
              <w:tabs>
                <w:tab w:val="left" w:pos="11160"/>
              </w:tabs>
              <w:spacing w:before="0" w:beforeAutospacing="0" w:after="0" w:afterAutospacing="0" w:line="240" w:lineRule="auto"/>
              <w:ind w:left="0" w:right="0" w:firstLine="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投标人提供的采购人可接受的实质性优惠条件，有具体量化的实质性内容（</w:t>
            </w:r>
            <w:r>
              <w:rPr>
                <w:rFonts w:hint="eastAsia" w:ascii="宋体" w:hAnsi="宋体" w:eastAsia="宋体" w:cs="宋体"/>
                <w:bCs/>
                <w:color w:val="auto"/>
                <w:kern w:val="0"/>
                <w:sz w:val="21"/>
                <w:szCs w:val="21"/>
                <w:highlight w:val="none"/>
                <w:lang w:val="en-US" w:eastAsia="zh-CN"/>
              </w:rPr>
              <w:t>包括但不限于低于成交价格1%缺陷项目免费施工等有关资金、时间方面的实质性优惠</w:t>
            </w:r>
            <w:r>
              <w:rPr>
                <w:rFonts w:hint="eastAsia" w:ascii="宋体" w:hAnsi="宋体" w:eastAsia="宋体" w:cs="宋体"/>
                <w:bCs/>
                <w:color w:val="auto"/>
                <w:sz w:val="21"/>
                <w:szCs w:val="21"/>
                <w:highlight w:val="none"/>
                <w:lang w:val="en-US" w:eastAsia="zh-CN"/>
              </w:rPr>
              <w:t>），每有一项加1分，加至5分止。（响应文件内附加盖公章的承诺函，否则不得分）</w:t>
            </w:r>
          </w:p>
        </w:tc>
      </w:tr>
      <w:tr w14:paraId="120B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003" w:type="dxa"/>
            <w:vMerge w:val="continue"/>
            <w:noWrap w:val="0"/>
            <w:vAlign w:val="center"/>
          </w:tcPr>
          <w:p w14:paraId="48577F2B">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rPr>
            </w:pPr>
          </w:p>
        </w:tc>
        <w:tc>
          <w:tcPr>
            <w:tcW w:w="1288" w:type="dxa"/>
            <w:noWrap w:val="0"/>
            <w:vAlign w:val="center"/>
          </w:tcPr>
          <w:p w14:paraId="20C37AF7">
            <w:pPr>
              <w:keepNext w:val="0"/>
              <w:keepLines w:val="0"/>
              <w:widowControl/>
              <w:suppressLineNumbers w:val="0"/>
              <w:tabs>
                <w:tab w:val="left" w:pos="11160"/>
              </w:tabs>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质保期</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（3分）</w:t>
            </w:r>
          </w:p>
        </w:tc>
        <w:tc>
          <w:tcPr>
            <w:tcW w:w="6911" w:type="dxa"/>
            <w:noWrap w:val="0"/>
            <w:vAlign w:val="center"/>
          </w:tcPr>
          <w:p w14:paraId="41DCA921">
            <w:pPr>
              <w:keepNext w:val="0"/>
              <w:keepLines w:val="0"/>
              <w:widowControl/>
              <w:suppressLineNumbers w:val="0"/>
              <w:tabs>
                <w:tab w:val="left" w:pos="11160"/>
              </w:tabs>
              <w:spacing w:before="0" w:beforeAutospacing="0" w:after="0" w:afterAutospacing="0" w:line="240" w:lineRule="auto"/>
              <w:ind w:left="0" w:right="0" w:firstLine="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在竞争性磋商要求的基础上（防水5年，其他2年）每增加一年得1分，满分3分 （响应文件内附加盖公章的质保函，否则不得分）</w:t>
            </w:r>
          </w:p>
        </w:tc>
      </w:tr>
      <w:tr w14:paraId="545F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vMerge w:val="continue"/>
            <w:noWrap w:val="0"/>
            <w:vAlign w:val="center"/>
          </w:tcPr>
          <w:p w14:paraId="006ABB98">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p>
        </w:tc>
        <w:tc>
          <w:tcPr>
            <w:tcW w:w="1288" w:type="dxa"/>
            <w:noWrap w:val="0"/>
            <w:vAlign w:val="center"/>
          </w:tcPr>
          <w:p w14:paraId="65AF312E">
            <w:pPr>
              <w:keepNext w:val="0"/>
              <w:keepLines w:val="0"/>
              <w:widowControl/>
              <w:suppressLineNumbers w:val="0"/>
              <w:tabs>
                <w:tab w:val="left" w:pos="11160"/>
              </w:tabs>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服务承诺</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（4分）</w:t>
            </w:r>
          </w:p>
        </w:tc>
        <w:tc>
          <w:tcPr>
            <w:tcW w:w="6911" w:type="dxa"/>
            <w:noWrap w:val="0"/>
            <w:vAlign w:val="center"/>
          </w:tcPr>
          <w:p w14:paraId="29B35356">
            <w:pPr>
              <w:keepNext w:val="0"/>
              <w:keepLines w:val="0"/>
              <w:widowControl/>
              <w:suppressLineNumbers w:val="0"/>
              <w:tabs>
                <w:tab w:val="left" w:pos="11160"/>
              </w:tabs>
              <w:spacing w:before="0" w:beforeAutospacing="0" w:after="0" w:afterAutospacing="0" w:line="240" w:lineRule="auto"/>
              <w:ind w:left="0" w:right="0" w:firstLine="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投标人提供的</w:t>
            </w:r>
            <w:r>
              <w:rPr>
                <w:rFonts w:hint="eastAsia" w:ascii="宋体" w:hAnsi="宋体" w:eastAsia="宋体" w:cs="宋体"/>
                <w:bCs/>
                <w:color w:val="auto"/>
                <w:sz w:val="21"/>
                <w:szCs w:val="21"/>
                <w:highlight w:val="none"/>
                <w:lang w:val="zh-CN"/>
              </w:rPr>
              <w:t>保修、维修服务承诺措施有效、有保障，</w:t>
            </w:r>
            <w:r>
              <w:rPr>
                <w:rFonts w:hint="eastAsia" w:ascii="宋体" w:hAnsi="宋体" w:eastAsia="宋体" w:cs="宋体"/>
                <w:bCs/>
                <w:color w:val="auto"/>
                <w:sz w:val="21"/>
                <w:szCs w:val="21"/>
                <w:highlight w:val="none"/>
                <w:lang w:val="en-US" w:eastAsia="zh-CN"/>
              </w:rPr>
              <w:t>有具体量化的实质性内容（如资金、时间等方面）</w:t>
            </w:r>
            <w:r>
              <w:rPr>
                <w:rFonts w:hint="eastAsia" w:ascii="宋体" w:hAnsi="宋体" w:eastAsia="宋体" w:cs="宋体"/>
                <w:bCs/>
                <w:color w:val="auto"/>
                <w:sz w:val="21"/>
                <w:szCs w:val="21"/>
                <w:highlight w:val="none"/>
              </w:rPr>
              <w:t>，每有一项加1分，加至</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分止</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（响应文件内附加盖公章的承诺函，否则不得分）</w:t>
            </w:r>
          </w:p>
        </w:tc>
      </w:tr>
      <w:tr w14:paraId="6D8C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vMerge w:val="continue"/>
            <w:tcBorders>
              <w:bottom w:val="nil"/>
            </w:tcBorders>
            <w:noWrap w:val="0"/>
            <w:vAlign w:val="center"/>
          </w:tcPr>
          <w:p w14:paraId="668334B7">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p>
        </w:tc>
        <w:tc>
          <w:tcPr>
            <w:tcW w:w="1288" w:type="dxa"/>
            <w:noWrap w:val="0"/>
            <w:vAlign w:val="center"/>
          </w:tcPr>
          <w:p w14:paraId="7DEBE497">
            <w:pPr>
              <w:keepNext w:val="0"/>
              <w:keepLines w:val="0"/>
              <w:widowControl/>
              <w:suppressLineNumbers w:val="0"/>
              <w:tabs>
                <w:tab w:val="left" w:pos="11160"/>
              </w:tabs>
              <w:spacing w:before="0" w:beforeAutospacing="0" w:after="0" w:afterAutospacing="0" w:line="240" w:lineRule="auto"/>
              <w:ind w:left="0" w:right="0" w:firstLine="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工期（5分）</w:t>
            </w:r>
          </w:p>
        </w:tc>
        <w:tc>
          <w:tcPr>
            <w:tcW w:w="6911" w:type="dxa"/>
            <w:noWrap w:val="0"/>
            <w:vAlign w:val="center"/>
          </w:tcPr>
          <w:p w14:paraId="41140155">
            <w:pPr>
              <w:keepNext w:val="0"/>
              <w:keepLines w:val="0"/>
              <w:widowControl/>
              <w:suppressLineNumbers w:val="0"/>
              <w:tabs>
                <w:tab w:val="left" w:pos="11160"/>
              </w:tabs>
              <w:spacing w:before="0" w:beforeAutospacing="0" w:after="0" w:afterAutospacing="0" w:line="240" w:lineRule="auto"/>
              <w:ind w:left="0" w:right="0" w:firstLine="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在竞争性磋商文件要求的基础上提前1天，加1分，满分5分</w:t>
            </w:r>
          </w:p>
        </w:tc>
      </w:tr>
      <w:tr w14:paraId="2EBC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3" w:type="dxa"/>
            <w:tcBorders>
              <w:top w:val="nil"/>
            </w:tcBorders>
            <w:noWrap w:val="0"/>
            <w:vAlign w:val="center"/>
          </w:tcPr>
          <w:p w14:paraId="00A503AA">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Cs/>
                <w:color w:val="auto"/>
                <w:sz w:val="21"/>
                <w:szCs w:val="21"/>
                <w:lang w:val="zh-CN"/>
              </w:rPr>
            </w:pPr>
          </w:p>
        </w:tc>
        <w:tc>
          <w:tcPr>
            <w:tcW w:w="1288" w:type="dxa"/>
            <w:noWrap w:val="0"/>
            <w:vAlign w:val="center"/>
          </w:tcPr>
          <w:p w14:paraId="708EB4EF">
            <w:pPr>
              <w:keepNext w:val="0"/>
              <w:keepLines w:val="0"/>
              <w:widowControl/>
              <w:suppressLineNumbers w:val="0"/>
              <w:autoSpaceDE w:val="0"/>
              <w:autoSpaceDN w:val="0"/>
              <w:adjustRightInd w:val="0"/>
              <w:spacing w:before="0" w:beforeAutospacing="0" w:after="0" w:afterAutospacing="0"/>
              <w:ind w:left="0" w:right="0" w:firstLine="0"/>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环保产品</w:t>
            </w:r>
            <w:r>
              <w:rPr>
                <w:rFonts w:hint="eastAsia" w:ascii="宋体" w:hAnsi="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lang w:eastAsia="zh-CN"/>
              </w:rPr>
              <w:t>得分</w:t>
            </w:r>
          </w:p>
          <w:p w14:paraId="3F71C40B">
            <w:pPr>
              <w:keepNext w:val="0"/>
              <w:keepLines w:val="0"/>
              <w:widowControl/>
              <w:suppressLineNumbers w:val="0"/>
              <w:autoSpaceDE w:val="0"/>
              <w:autoSpaceDN w:val="0"/>
              <w:adjustRightInd w:val="0"/>
              <w:spacing w:before="0" w:beforeAutospacing="0" w:after="0" w:afterAutospacing="0"/>
              <w:ind w:left="0" w:right="0" w:firstLine="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eastAsia="zh-CN"/>
              </w:rPr>
              <w:t>（1分）</w:t>
            </w:r>
          </w:p>
        </w:tc>
        <w:tc>
          <w:tcPr>
            <w:tcW w:w="6911" w:type="dxa"/>
            <w:noWrap w:val="0"/>
            <w:vAlign w:val="center"/>
          </w:tcPr>
          <w:p w14:paraId="43F2D3BC">
            <w:pPr>
              <w:keepNext w:val="0"/>
              <w:keepLines w:val="0"/>
              <w:pageBreakBefore w:val="0"/>
              <w:widowControl/>
              <w:suppressLineNumbers w:val="0"/>
              <w:kinsoku/>
              <w:wordWrap/>
              <w:overflowPunct/>
              <w:topLinePunct w:val="0"/>
              <w:bidi w:val="0"/>
              <w:spacing w:before="0" w:beforeAutospacing="0" w:after="0" w:afterAutospacing="0" w:line="300" w:lineRule="auto"/>
              <w:ind w:left="0" w:right="0" w:firstLine="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对于施工过程中使用的材料属于政府采购环境标志产品实施品目清单范围内的，且材料获得合格认证证书的产品，得</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分。</w:t>
            </w:r>
          </w:p>
          <w:p w14:paraId="5ACB68E3">
            <w:pPr>
              <w:keepNext w:val="0"/>
              <w:keepLines w:val="0"/>
              <w:widowControl/>
              <w:suppressLineNumbers w:val="0"/>
              <w:tabs>
                <w:tab w:val="left" w:pos="11160"/>
              </w:tabs>
              <w:spacing w:before="0" w:beforeAutospacing="0" w:after="0" w:afterAutospacing="0"/>
              <w:ind w:left="0" w:right="0" w:firstLine="0"/>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供应商须在响应文件中提供国家确定的认证机构出具的、处于有效期之内的环境标志产品认证证书及中国政府采购网（www.ccgp.gov.cn）环境标志产品查询截图打印件加盖单位公章。</w:t>
            </w:r>
          </w:p>
        </w:tc>
      </w:tr>
    </w:tbl>
    <w:p w14:paraId="30A54621">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7DB77344">
      <w:pPr>
        <w:jc w:val="center"/>
        <w:rPr>
          <w:rFonts w:hint="eastAsia" w:ascii="宋体" w:hAnsi="宋体" w:eastAsia="宋体" w:cs="宋体"/>
          <w:color w:val="auto"/>
          <w:sz w:val="21"/>
          <w:szCs w:val="21"/>
          <w:lang w:val="zh-CN"/>
        </w:rPr>
      </w:pPr>
      <w:r>
        <w:rPr>
          <w:rFonts w:hint="eastAsia" w:ascii="宋体" w:hAnsi="宋体" w:eastAsia="宋体" w:cs="宋体"/>
          <w:b/>
          <w:bCs/>
          <w:color w:val="auto"/>
          <w:kern w:val="0"/>
          <w:sz w:val="21"/>
          <w:szCs w:val="21"/>
        </w:rPr>
        <w:t>强制性人员标准要求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6274"/>
        <w:gridCol w:w="1440"/>
      </w:tblGrid>
      <w:tr w14:paraId="36A9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47" w:type="dxa"/>
            <w:noWrap w:val="0"/>
            <w:vAlign w:val="center"/>
          </w:tcPr>
          <w:p w14:paraId="63727287">
            <w:pPr>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人员</w:t>
            </w:r>
          </w:p>
        </w:tc>
        <w:tc>
          <w:tcPr>
            <w:tcW w:w="6425" w:type="dxa"/>
            <w:noWrap w:val="0"/>
            <w:vAlign w:val="center"/>
          </w:tcPr>
          <w:p w14:paraId="6528B761">
            <w:pPr>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配备要求</w:t>
            </w:r>
          </w:p>
        </w:tc>
        <w:tc>
          <w:tcPr>
            <w:tcW w:w="1467" w:type="dxa"/>
            <w:noWrap w:val="0"/>
            <w:vAlign w:val="center"/>
          </w:tcPr>
          <w:p w14:paraId="297CE92A">
            <w:pPr>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最低数量</w:t>
            </w:r>
          </w:p>
        </w:tc>
      </w:tr>
      <w:tr w14:paraId="05DB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947" w:type="dxa"/>
            <w:noWrap w:val="0"/>
            <w:vAlign w:val="center"/>
          </w:tcPr>
          <w:p w14:paraId="2FD541F1">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项目经理</w:t>
            </w:r>
          </w:p>
          <w:p w14:paraId="7BC881C7">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（注册建造师）</w:t>
            </w:r>
          </w:p>
        </w:tc>
        <w:tc>
          <w:tcPr>
            <w:tcW w:w="6425" w:type="dxa"/>
            <w:noWrap w:val="0"/>
            <w:vAlign w:val="center"/>
          </w:tcPr>
          <w:p w14:paraId="47C8E0F8">
            <w:pPr>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lang w:val="zh-CN"/>
              </w:rPr>
            </w:pPr>
            <w:r>
              <w:rPr>
                <w:rFonts w:hint="eastAsia" w:ascii="宋体" w:hAnsi="宋体" w:eastAsia="宋体" w:cs="宋体"/>
                <w:bCs/>
                <w:color w:val="auto"/>
                <w:sz w:val="21"/>
                <w:szCs w:val="21"/>
                <w:highlight w:val="none"/>
                <w:lang w:val="zh-CN"/>
              </w:rPr>
              <w:t>具备建设行政主管部门核发的</w:t>
            </w:r>
            <w:r>
              <w:rPr>
                <w:rFonts w:hint="eastAsia" w:ascii="宋体" w:hAnsi="宋体" w:eastAsia="宋体" w:cs="宋体"/>
                <w:bCs/>
                <w:color w:val="auto"/>
                <w:sz w:val="21"/>
                <w:szCs w:val="21"/>
                <w:highlight w:val="none"/>
                <w:lang w:val="zh-CN" w:eastAsia="zh-CN"/>
              </w:rPr>
              <w:t>建筑工程</w:t>
            </w:r>
            <w:r>
              <w:rPr>
                <w:rFonts w:hint="eastAsia" w:ascii="宋体" w:hAnsi="宋体" w:eastAsia="宋体" w:cs="宋体"/>
                <w:bCs/>
                <w:color w:val="auto"/>
                <w:sz w:val="21"/>
                <w:szCs w:val="21"/>
                <w:highlight w:val="none"/>
                <w:lang w:val="zh-CN"/>
              </w:rPr>
              <w:t>专业</w:t>
            </w:r>
            <w:r>
              <w:rPr>
                <w:rFonts w:hint="eastAsia" w:ascii="宋体" w:hAnsi="宋体" w:eastAsia="宋体" w:cs="宋体"/>
                <w:bCs/>
                <w:color w:val="auto"/>
                <w:sz w:val="21"/>
                <w:szCs w:val="21"/>
                <w:highlight w:val="none"/>
                <w:lang w:val="en-US" w:eastAsia="zh-CN"/>
              </w:rPr>
              <w:t>贰</w:t>
            </w:r>
            <w:r>
              <w:rPr>
                <w:rFonts w:hint="eastAsia" w:ascii="宋体" w:hAnsi="宋体" w:eastAsia="宋体" w:cs="宋体"/>
                <w:bCs/>
                <w:color w:val="auto"/>
                <w:sz w:val="21"/>
                <w:szCs w:val="21"/>
                <w:highlight w:val="none"/>
                <w:lang w:val="zh-CN"/>
              </w:rPr>
              <w:t>级及以上注册建造师证书</w:t>
            </w:r>
            <w:r>
              <w:rPr>
                <w:rFonts w:hint="eastAsia" w:ascii="宋体" w:hAnsi="宋体" w:eastAsia="宋体" w:cs="宋体"/>
                <w:color w:val="auto"/>
                <w:kern w:val="0"/>
                <w:sz w:val="21"/>
                <w:szCs w:val="21"/>
              </w:rPr>
              <w:t>，具备有效的安全生产考核合格证书(B类)；须为本单位在职人员且无在建工程。</w:t>
            </w:r>
            <w:r>
              <w:rPr>
                <w:rFonts w:hint="eastAsia" w:ascii="宋体" w:hAnsi="宋体" w:eastAsia="宋体" w:cs="宋体"/>
                <w:b/>
                <w:bCs/>
                <w:color w:val="auto"/>
                <w:kern w:val="0"/>
                <w:sz w:val="21"/>
                <w:szCs w:val="21"/>
              </w:rPr>
              <w:t>投标文件内附相关证书复印件加盖投标单位公章。</w:t>
            </w:r>
          </w:p>
        </w:tc>
        <w:tc>
          <w:tcPr>
            <w:tcW w:w="1467" w:type="dxa"/>
            <w:noWrap w:val="0"/>
            <w:vAlign w:val="center"/>
          </w:tcPr>
          <w:p w14:paraId="115DF496">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1人</w:t>
            </w:r>
          </w:p>
        </w:tc>
      </w:tr>
      <w:tr w14:paraId="649D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47" w:type="dxa"/>
            <w:noWrap w:val="0"/>
            <w:vAlign w:val="center"/>
          </w:tcPr>
          <w:p w14:paraId="362770BF">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技术负责人</w:t>
            </w:r>
          </w:p>
        </w:tc>
        <w:tc>
          <w:tcPr>
            <w:tcW w:w="6425" w:type="dxa"/>
            <w:noWrap w:val="0"/>
            <w:vAlign w:val="center"/>
          </w:tcPr>
          <w:p w14:paraId="31F40E4D">
            <w:pPr>
              <w:keepNext w:val="0"/>
              <w:keepLines w:val="0"/>
              <w:widowControl w:val="0"/>
              <w:suppressLineNumbers w:val="0"/>
              <w:spacing w:before="0" w:beforeAutospacing="0" w:after="0" w:afterAutospacing="0"/>
              <w:ind w:left="0" w:right="0" w:firstLine="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具有相关专业中级及以上职称，</w:t>
            </w:r>
            <w:r>
              <w:rPr>
                <w:rFonts w:hint="eastAsia" w:ascii="宋体" w:hAnsi="宋体" w:eastAsia="宋体" w:cs="宋体"/>
                <w:b/>
                <w:bCs/>
                <w:color w:val="auto"/>
                <w:sz w:val="21"/>
                <w:szCs w:val="21"/>
                <w:lang w:val="zh-CN"/>
              </w:rPr>
              <w:t>投标文件内附复印件并加盖公章</w:t>
            </w:r>
            <w:r>
              <w:rPr>
                <w:rFonts w:hint="eastAsia" w:ascii="宋体" w:hAnsi="宋体" w:eastAsia="宋体" w:cs="宋体"/>
                <w:color w:val="auto"/>
                <w:sz w:val="21"/>
                <w:szCs w:val="21"/>
                <w:lang w:val="zh-CN"/>
              </w:rPr>
              <w:t>。</w:t>
            </w:r>
          </w:p>
        </w:tc>
        <w:tc>
          <w:tcPr>
            <w:tcW w:w="1467" w:type="dxa"/>
            <w:noWrap w:val="0"/>
            <w:vAlign w:val="center"/>
          </w:tcPr>
          <w:p w14:paraId="0CADF952">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1人</w:t>
            </w:r>
          </w:p>
        </w:tc>
      </w:tr>
      <w:tr w14:paraId="3704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47" w:type="dxa"/>
            <w:noWrap w:val="0"/>
            <w:vAlign w:val="center"/>
          </w:tcPr>
          <w:p w14:paraId="4F627961">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施工员</w:t>
            </w:r>
          </w:p>
        </w:tc>
        <w:tc>
          <w:tcPr>
            <w:tcW w:w="6425" w:type="dxa"/>
            <w:noWrap w:val="0"/>
            <w:vAlign w:val="center"/>
          </w:tcPr>
          <w:p w14:paraId="1CCACFDB">
            <w:pPr>
              <w:keepNext w:val="0"/>
              <w:keepLines w:val="0"/>
              <w:widowControl w:val="0"/>
              <w:suppressLineNumbers w:val="0"/>
              <w:spacing w:before="0" w:beforeAutospacing="0" w:after="0" w:afterAutospacing="0"/>
              <w:ind w:left="0" w:right="0" w:firstLine="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具有岗位证书，</w:t>
            </w:r>
            <w:r>
              <w:rPr>
                <w:rFonts w:hint="eastAsia" w:ascii="宋体" w:hAnsi="宋体" w:eastAsia="宋体" w:cs="宋体"/>
                <w:b/>
                <w:bCs/>
                <w:color w:val="auto"/>
                <w:sz w:val="21"/>
                <w:szCs w:val="21"/>
                <w:lang w:val="zh-CN"/>
              </w:rPr>
              <w:t>投标文件内附复印件并加盖公章。</w:t>
            </w:r>
          </w:p>
        </w:tc>
        <w:tc>
          <w:tcPr>
            <w:tcW w:w="1467" w:type="dxa"/>
            <w:noWrap w:val="0"/>
            <w:vAlign w:val="center"/>
          </w:tcPr>
          <w:p w14:paraId="1F32AC86">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1人</w:t>
            </w:r>
          </w:p>
        </w:tc>
      </w:tr>
      <w:tr w14:paraId="2955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47" w:type="dxa"/>
            <w:noWrap w:val="0"/>
            <w:vAlign w:val="center"/>
          </w:tcPr>
          <w:p w14:paraId="6A03E32C">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质量员</w:t>
            </w:r>
          </w:p>
        </w:tc>
        <w:tc>
          <w:tcPr>
            <w:tcW w:w="6425" w:type="dxa"/>
            <w:noWrap w:val="0"/>
            <w:vAlign w:val="center"/>
          </w:tcPr>
          <w:p w14:paraId="7073A332">
            <w:pPr>
              <w:keepNext w:val="0"/>
              <w:keepLines w:val="0"/>
              <w:widowControl w:val="0"/>
              <w:suppressLineNumbers w:val="0"/>
              <w:spacing w:before="0" w:beforeAutospacing="0" w:after="0" w:afterAutospacing="0"/>
              <w:ind w:left="0" w:right="0" w:firstLine="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具有岗位证书，</w:t>
            </w:r>
            <w:r>
              <w:rPr>
                <w:rFonts w:hint="eastAsia" w:ascii="宋体" w:hAnsi="宋体" w:eastAsia="宋体" w:cs="宋体"/>
                <w:b/>
                <w:bCs/>
                <w:color w:val="auto"/>
                <w:sz w:val="21"/>
                <w:szCs w:val="21"/>
                <w:lang w:val="zh-CN"/>
              </w:rPr>
              <w:t>投标文件内附复印件并加盖公章。</w:t>
            </w:r>
          </w:p>
        </w:tc>
        <w:tc>
          <w:tcPr>
            <w:tcW w:w="1467" w:type="dxa"/>
            <w:noWrap w:val="0"/>
            <w:vAlign w:val="center"/>
          </w:tcPr>
          <w:p w14:paraId="05239D3C">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1人</w:t>
            </w:r>
          </w:p>
        </w:tc>
      </w:tr>
      <w:tr w14:paraId="2772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47" w:type="dxa"/>
            <w:noWrap w:val="0"/>
            <w:vAlign w:val="center"/>
          </w:tcPr>
          <w:p w14:paraId="25E7A0AD">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安全员</w:t>
            </w:r>
          </w:p>
        </w:tc>
        <w:tc>
          <w:tcPr>
            <w:tcW w:w="6425" w:type="dxa"/>
            <w:noWrap w:val="0"/>
            <w:vAlign w:val="center"/>
          </w:tcPr>
          <w:p w14:paraId="1DF91274">
            <w:pPr>
              <w:keepNext w:val="0"/>
              <w:keepLines w:val="0"/>
              <w:widowControl w:val="0"/>
              <w:suppressLineNumbers w:val="0"/>
              <w:spacing w:before="0" w:beforeAutospacing="0" w:after="0" w:afterAutospacing="0"/>
              <w:ind w:left="0" w:right="0" w:firstLine="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具有专职安全生产管理人员岗位证，</w:t>
            </w:r>
            <w:r>
              <w:rPr>
                <w:rFonts w:hint="eastAsia" w:ascii="宋体" w:hAnsi="宋体" w:eastAsia="宋体" w:cs="宋体"/>
                <w:b/>
                <w:bCs/>
                <w:color w:val="auto"/>
                <w:sz w:val="21"/>
                <w:szCs w:val="21"/>
                <w:lang w:val="zh-CN"/>
              </w:rPr>
              <w:t>投标文件内附复印件并加盖公章。</w:t>
            </w:r>
          </w:p>
        </w:tc>
        <w:tc>
          <w:tcPr>
            <w:tcW w:w="1467" w:type="dxa"/>
            <w:noWrap w:val="0"/>
            <w:vAlign w:val="center"/>
          </w:tcPr>
          <w:p w14:paraId="408B7AA3">
            <w:pPr>
              <w:keepNext w:val="0"/>
              <w:keepLines w:val="0"/>
              <w:widowControl w:val="0"/>
              <w:suppressLineNumbers w:val="0"/>
              <w:spacing w:before="0" w:beforeAutospacing="0" w:after="0" w:afterAutospacing="0"/>
              <w:ind w:left="0" w:right="0" w:firstLine="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1人</w:t>
            </w:r>
          </w:p>
        </w:tc>
      </w:tr>
    </w:tbl>
    <w:p w14:paraId="0F2348BC">
      <w:pPr>
        <w:widowControl/>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注： </w:t>
      </w:r>
    </w:p>
    <w:p w14:paraId="25743FB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Cs/>
          <w:color w:val="auto"/>
          <w:sz w:val="21"/>
          <w:szCs w:val="21"/>
          <w:highlight w:val="none"/>
          <w:lang w:val="en-US" w:eastAsia="zh-CN"/>
        </w:rPr>
        <w:t>项目管理</w:t>
      </w:r>
      <w:r>
        <w:rPr>
          <w:rFonts w:hint="eastAsia" w:ascii="宋体" w:hAnsi="宋体" w:eastAsia="宋体" w:cs="宋体"/>
          <w:bCs/>
          <w:color w:val="auto"/>
          <w:sz w:val="21"/>
          <w:szCs w:val="21"/>
          <w:highlight w:val="none"/>
          <w:lang w:eastAsia="zh-CN"/>
        </w:rPr>
        <w:t>机构</w:t>
      </w:r>
      <w:r>
        <w:rPr>
          <w:rFonts w:hint="eastAsia" w:ascii="宋体" w:hAnsi="宋体" w:eastAsia="宋体" w:cs="宋体"/>
          <w:bCs/>
          <w:color w:val="auto"/>
          <w:sz w:val="21"/>
          <w:szCs w:val="21"/>
          <w:highlight w:val="none"/>
          <w:lang w:val="en-US" w:eastAsia="zh-CN"/>
        </w:rPr>
        <w:t>人员须为本单位在职员工，响应文件内需提供</w:t>
      </w:r>
      <w:r>
        <w:rPr>
          <w:rFonts w:hint="eastAsia" w:ascii="宋体" w:hAnsi="宋体" w:eastAsia="宋体" w:cs="宋体"/>
          <w:bCs/>
          <w:color w:val="auto"/>
          <w:sz w:val="21"/>
          <w:szCs w:val="21"/>
          <w:highlight w:val="none"/>
          <w:lang w:eastAsia="zh-CN"/>
        </w:rPr>
        <w:t>供应商缴纳</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eastAsia="zh-CN"/>
        </w:rPr>
        <w:t>近一年（</w:t>
      </w:r>
      <w:r>
        <w:rPr>
          <w:rFonts w:hint="eastAsia" w:ascii="宋体" w:hAnsi="宋体" w:eastAsia="宋体" w:cs="宋体"/>
          <w:color w:val="auto"/>
          <w:spacing w:val="14"/>
          <w:kern w:val="0"/>
          <w:sz w:val="21"/>
          <w:szCs w:val="21"/>
          <w:highlight w:val="none"/>
          <w:lang w:eastAsia="zh-CN"/>
        </w:rPr>
        <w:t>202</w:t>
      </w:r>
      <w:r>
        <w:rPr>
          <w:rFonts w:hint="eastAsia" w:ascii="宋体" w:hAnsi="宋体" w:eastAsia="宋体" w:cs="宋体"/>
          <w:color w:val="auto"/>
          <w:spacing w:val="14"/>
          <w:kern w:val="0"/>
          <w:sz w:val="21"/>
          <w:szCs w:val="21"/>
          <w:highlight w:val="none"/>
          <w:lang w:val="en-US" w:eastAsia="zh-CN"/>
        </w:rPr>
        <w:t>4</w:t>
      </w:r>
      <w:r>
        <w:rPr>
          <w:rFonts w:hint="eastAsia" w:ascii="宋体" w:hAnsi="宋体" w:eastAsia="宋体" w:cs="宋体"/>
          <w:color w:val="auto"/>
          <w:spacing w:val="14"/>
          <w:kern w:val="0"/>
          <w:sz w:val="21"/>
          <w:szCs w:val="21"/>
          <w:highlight w:val="none"/>
          <w:lang w:eastAsia="zh-CN"/>
        </w:rPr>
        <w:t>年</w:t>
      </w:r>
      <w:r>
        <w:rPr>
          <w:rFonts w:hint="eastAsia" w:ascii="宋体" w:hAnsi="宋体" w:eastAsia="宋体" w:cs="宋体"/>
          <w:color w:val="auto"/>
          <w:spacing w:val="14"/>
          <w:kern w:val="0"/>
          <w:sz w:val="21"/>
          <w:szCs w:val="21"/>
          <w:highlight w:val="none"/>
          <w:lang w:val="en-US" w:eastAsia="zh-CN"/>
        </w:rPr>
        <w:t>7</w:t>
      </w:r>
      <w:r>
        <w:rPr>
          <w:rFonts w:hint="eastAsia" w:ascii="宋体" w:hAnsi="宋体" w:eastAsia="宋体" w:cs="宋体"/>
          <w:color w:val="auto"/>
          <w:spacing w:val="14"/>
          <w:kern w:val="0"/>
          <w:sz w:val="21"/>
          <w:szCs w:val="21"/>
          <w:highlight w:val="none"/>
          <w:lang w:eastAsia="zh-CN"/>
        </w:rPr>
        <w:t>月至202</w:t>
      </w:r>
      <w:r>
        <w:rPr>
          <w:rFonts w:hint="eastAsia" w:ascii="宋体" w:hAnsi="宋体" w:eastAsia="宋体" w:cs="宋体"/>
          <w:color w:val="auto"/>
          <w:spacing w:val="14"/>
          <w:kern w:val="0"/>
          <w:sz w:val="21"/>
          <w:szCs w:val="21"/>
          <w:highlight w:val="none"/>
          <w:lang w:val="en-US" w:eastAsia="zh-CN"/>
        </w:rPr>
        <w:t>5</w:t>
      </w:r>
      <w:r>
        <w:rPr>
          <w:rFonts w:hint="eastAsia" w:ascii="宋体" w:hAnsi="宋体" w:eastAsia="宋体" w:cs="宋体"/>
          <w:color w:val="auto"/>
          <w:spacing w:val="14"/>
          <w:kern w:val="0"/>
          <w:sz w:val="21"/>
          <w:szCs w:val="21"/>
          <w:highlight w:val="none"/>
          <w:lang w:eastAsia="zh-CN"/>
        </w:rPr>
        <w:t>年</w:t>
      </w:r>
      <w:r>
        <w:rPr>
          <w:rFonts w:hint="eastAsia" w:ascii="宋体" w:hAnsi="宋体" w:eastAsia="宋体" w:cs="宋体"/>
          <w:color w:val="auto"/>
          <w:spacing w:val="14"/>
          <w:kern w:val="0"/>
          <w:sz w:val="21"/>
          <w:szCs w:val="21"/>
          <w:highlight w:val="none"/>
          <w:lang w:val="en-US" w:eastAsia="zh-CN"/>
        </w:rPr>
        <w:t>6</w:t>
      </w:r>
      <w:r>
        <w:rPr>
          <w:rFonts w:hint="eastAsia" w:ascii="宋体" w:hAnsi="宋体" w:eastAsia="宋体" w:cs="宋体"/>
          <w:color w:val="auto"/>
          <w:spacing w:val="14"/>
          <w:kern w:val="0"/>
          <w:sz w:val="21"/>
          <w:szCs w:val="21"/>
          <w:highlight w:val="none"/>
          <w:lang w:eastAsia="zh-CN"/>
        </w:rPr>
        <w:t>月</w:t>
      </w:r>
      <w:r>
        <w:rPr>
          <w:rFonts w:hint="eastAsia" w:ascii="宋体" w:hAnsi="宋体" w:eastAsia="宋体" w:cs="宋体"/>
          <w:bCs/>
          <w:color w:val="auto"/>
          <w:sz w:val="21"/>
          <w:szCs w:val="21"/>
          <w:highlight w:val="none"/>
          <w:lang w:eastAsia="zh-CN"/>
        </w:rPr>
        <w:t>）任意连续三个月的社保证明材料复印件</w:t>
      </w:r>
      <w:r>
        <w:rPr>
          <w:rFonts w:hint="eastAsia" w:ascii="宋体" w:hAnsi="宋体" w:eastAsia="宋体" w:cs="宋体"/>
          <w:bCs/>
          <w:color w:val="auto"/>
          <w:sz w:val="21"/>
          <w:szCs w:val="21"/>
          <w:highlight w:val="none"/>
          <w:lang w:val="zh-CN" w:eastAsia="zh-CN"/>
        </w:rPr>
        <w:t>并加盖公章；</w:t>
      </w:r>
    </w:p>
    <w:p w14:paraId="6A8AA3E0">
      <w:pPr>
        <w:widowControl/>
        <w:jc w:val="left"/>
        <w:rPr>
          <w:rFonts w:hint="eastAsia" w:eastAsia="宋体"/>
          <w:color w:val="auto"/>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要求人员证书内有就职单位的须和投标单位名称一致（职称证除外），否则视为废标</w:t>
      </w:r>
      <w:r>
        <w:rPr>
          <w:rFonts w:hint="eastAsia" w:ascii="宋体" w:hAnsi="宋体" w:eastAsia="宋体" w:cs="宋体"/>
          <w:color w:val="auto"/>
          <w:kern w:val="0"/>
          <w:sz w:val="21"/>
          <w:szCs w:val="21"/>
          <w:lang w:eastAsia="zh-CN"/>
        </w:rPr>
        <w:t>。</w:t>
      </w:r>
    </w:p>
    <w:p w14:paraId="12F931B4">
      <w:pPr>
        <w:autoSpaceDN w:val="0"/>
        <w:adjustRightInd w:val="0"/>
        <w:spacing w:line="0" w:lineRule="atLeast"/>
        <w:jc w:val="left"/>
        <w:rPr>
          <w:rFonts w:hint="eastAsia" w:ascii="宋体" w:hAnsi="宋体" w:eastAsia="宋体" w:cs="宋体"/>
          <w:color w:val="auto"/>
          <w:sz w:val="20"/>
          <w:szCs w:val="20"/>
          <w:highlight w:val="none"/>
          <w:lang w:val="zh-CN"/>
        </w:rPr>
      </w:pPr>
    </w:p>
    <w:p w14:paraId="63D1F6F0">
      <w:pPr>
        <w:rPr>
          <w:rFonts w:hint="eastAsia" w:ascii="宋体" w:hAnsi="宋体" w:eastAsia="宋体" w:cs="宋体"/>
          <w:color w:val="auto"/>
          <w:sz w:val="21"/>
          <w:szCs w:val="21"/>
          <w:highlight w:val="none"/>
        </w:rPr>
        <w:sectPr>
          <w:footerReference r:id="rId47" w:type="default"/>
          <w:pgSz w:w="11906" w:h="16839"/>
          <w:pgMar w:top="1347" w:right="1248" w:bottom="1156" w:left="1248" w:header="0" w:footer="994" w:gutter="0"/>
          <w:pgNumType w:fmt="decimal"/>
          <w:cols w:space="720" w:num="1"/>
        </w:sectPr>
      </w:pPr>
    </w:p>
    <w:p w14:paraId="561507AC">
      <w:pPr>
        <w:pStyle w:val="8"/>
        <w:rPr>
          <w:color w:val="auto"/>
          <w:highlight w:val="none"/>
        </w:rPr>
      </w:pPr>
    </w:p>
    <w:p w14:paraId="05C8B50D">
      <w:pPr>
        <w:spacing w:before="47" w:line="219" w:lineRule="auto"/>
        <w:ind w:left="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附：电子响应文件编制及报送要求</w:t>
      </w:r>
    </w:p>
    <w:p w14:paraId="0AA36DC9">
      <w:pPr>
        <w:pStyle w:val="8"/>
        <w:spacing w:line="267" w:lineRule="auto"/>
        <w:rPr>
          <w:color w:val="auto"/>
          <w:highlight w:val="none"/>
        </w:rPr>
      </w:pPr>
    </w:p>
    <w:p w14:paraId="3075E0F0">
      <w:pPr>
        <w:pStyle w:val="8"/>
        <w:spacing w:line="267" w:lineRule="auto"/>
        <w:rPr>
          <w:color w:val="auto"/>
          <w:highlight w:val="none"/>
        </w:rPr>
      </w:pPr>
    </w:p>
    <w:p w14:paraId="4679993C">
      <w:pPr>
        <w:spacing w:before="78" w:line="219" w:lineRule="auto"/>
        <w:ind w:left="3415"/>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电子响应文件编制要求</w:t>
      </w:r>
    </w:p>
    <w:p w14:paraId="17BCDC04">
      <w:pPr>
        <w:spacing w:before="196" w:line="293" w:lineRule="auto"/>
        <w:ind w:left="1" w:right="73" w:firstLine="421"/>
        <w:rPr>
          <w:rFonts w:ascii="宋体" w:hAnsi="宋体" w:eastAsia="宋体" w:cs="宋体"/>
          <w:color w:val="auto"/>
          <w:sz w:val="20"/>
          <w:szCs w:val="20"/>
          <w:highlight w:val="none"/>
        </w:rPr>
      </w:pPr>
      <w:r>
        <w:rPr>
          <w:rFonts w:ascii="宋体" w:hAnsi="宋体" w:eastAsia="宋体" w:cs="宋体"/>
          <w:color w:val="auto"/>
          <w:spacing w:val="8"/>
          <w:position w:val="2"/>
          <w:sz w:val="20"/>
          <w:szCs w:val="20"/>
          <w:highlight w:val="none"/>
        </w:rPr>
        <w:t>一、</w:t>
      </w:r>
      <w:r>
        <w:rPr>
          <w:rFonts w:ascii="宋体" w:hAnsi="宋体" w:eastAsia="宋体" w:cs="宋体"/>
          <w:color w:val="auto"/>
          <w:spacing w:val="8"/>
          <w:sz w:val="20"/>
          <w:szCs w:val="20"/>
          <w:highlight w:val="none"/>
        </w:rPr>
        <w:t>投标供应商应按磋商文件要求编制响应文件，将所有响应文件内容上传至政采云平台，并持</w:t>
      </w:r>
      <w:r>
        <w:rPr>
          <w:rFonts w:ascii="宋体" w:hAnsi="宋体" w:eastAsia="宋体" w:cs="宋体"/>
          <w:color w:val="auto"/>
          <w:spacing w:val="11"/>
          <w:sz w:val="20"/>
          <w:szCs w:val="20"/>
          <w:highlight w:val="none"/>
        </w:rPr>
        <w:t xml:space="preserve"> </w:t>
      </w:r>
      <w:r>
        <w:rPr>
          <w:rFonts w:ascii="宋体" w:hAnsi="宋体" w:eastAsia="宋体" w:cs="宋体"/>
          <w:color w:val="auto"/>
          <w:spacing w:val="8"/>
          <w:sz w:val="20"/>
          <w:szCs w:val="20"/>
          <w:highlight w:val="none"/>
        </w:rPr>
        <w:t>编制响应文件的供应商企业锁远程解密。</w:t>
      </w:r>
    </w:p>
    <w:p w14:paraId="207D213D">
      <w:pPr>
        <w:spacing w:before="163" w:line="302" w:lineRule="auto"/>
        <w:ind w:left="17" w:right="69" w:firstLine="40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二、投标供应商编制的响应文件应严格执行《建设工程工程量清单计价规范》</w:t>
      </w:r>
      <w:r>
        <w:rPr>
          <w:rFonts w:ascii="宋体" w:hAnsi="宋体" w:eastAsia="宋体" w:cs="宋体"/>
          <w:color w:val="auto"/>
          <w:sz w:val="20"/>
          <w:szCs w:val="20"/>
          <w:highlight w:val="none"/>
        </w:rPr>
        <w:t>GB</w:t>
      </w:r>
      <w:r>
        <w:rPr>
          <w:rFonts w:ascii="宋体" w:hAnsi="宋体" w:eastAsia="宋体" w:cs="宋体"/>
          <w:color w:val="auto"/>
          <w:spacing w:val="12"/>
          <w:sz w:val="20"/>
          <w:szCs w:val="20"/>
          <w:highlight w:val="none"/>
        </w:rPr>
        <w:t>50500—2013</w:t>
      </w:r>
      <w:r>
        <w:rPr>
          <w:rFonts w:ascii="宋体" w:hAnsi="宋体" w:eastAsia="宋体" w:cs="宋体"/>
          <w:color w:val="auto"/>
          <w:spacing w:val="11"/>
          <w:sz w:val="20"/>
          <w:szCs w:val="20"/>
          <w:highlight w:val="none"/>
        </w:rPr>
        <w:t xml:space="preserve"> </w:t>
      </w:r>
      <w:r>
        <w:rPr>
          <w:rFonts w:ascii="宋体" w:hAnsi="宋体" w:eastAsia="宋体" w:cs="宋体"/>
          <w:color w:val="auto"/>
          <w:sz w:val="20"/>
          <w:szCs w:val="20"/>
          <w:highlight w:val="none"/>
        </w:rPr>
        <w:t>的规定。</w:t>
      </w:r>
    </w:p>
    <w:p w14:paraId="1485ADF2">
      <w:pPr>
        <w:spacing w:before="160" w:line="302" w:lineRule="auto"/>
        <w:ind w:left="1" w:right="70" w:firstLine="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三、投标供应商在编制工程量清单报价时，工程项目、单项工程、单位工程的编号必须与招标清</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rPr>
        <w:t>单中工程项目、单项工程、单位工程的编号一致。</w:t>
      </w:r>
    </w:p>
    <w:p w14:paraId="1A736228">
      <w:pPr>
        <w:spacing w:before="165" w:line="302" w:lineRule="auto"/>
        <w:ind w:right="70" w:firstLine="43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四、投标供应商对规费、安全文明施工费、税金不得作为竞争性费用必须按照现行费用定</w:t>
      </w:r>
      <w:r>
        <w:rPr>
          <w:rFonts w:ascii="宋体" w:hAnsi="宋体" w:eastAsia="宋体" w:cs="宋体"/>
          <w:color w:val="auto"/>
          <w:spacing w:val="7"/>
          <w:sz w:val="20"/>
          <w:szCs w:val="20"/>
          <w:highlight w:val="none"/>
        </w:rPr>
        <w:t>额规定</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计算。</w:t>
      </w:r>
    </w:p>
    <w:p w14:paraId="18E309CA">
      <w:pPr>
        <w:spacing w:before="160" w:line="303" w:lineRule="auto"/>
        <w:ind w:left="19" w:right="70" w:firstLine="403"/>
        <w:rPr>
          <w:rFonts w:ascii="宋体" w:hAnsi="宋体" w:eastAsia="宋体" w:cs="宋体"/>
          <w:color w:val="auto"/>
          <w:sz w:val="20"/>
          <w:szCs w:val="20"/>
          <w:highlight w:val="none"/>
        </w:rPr>
      </w:pPr>
      <w:r>
        <w:rPr>
          <w:rFonts w:ascii="宋体" w:hAnsi="宋体" w:eastAsia="宋体" w:cs="宋体"/>
          <w:color w:val="auto"/>
          <w:spacing w:val="8"/>
          <w:position w:val="2"/>
          <w:sz w:val="20"/>
          <w:szCs w:val="20"/>
          <w:highlight w:val="none"/>
        </w:rPr>
        <w:t>五、</w:t>
      </w:r>
      <w:r>
        <w:rPr>
          <w:rFonts w:ascii="宋体" w:hAnsi="宋体" w:eastAsia="宋体" w:cs="宋体"/>
          <w:color w:val="auto"/>
          <w:spacing w:val="8"/>
          <w:sz w:val="20"/>
          <w:szCs w:val="20"/>
          <w:highlight w:val="none"/>
        </w:rPr>
        <w:t>电子响应文件中反应投标供应商资格审查的图片、扫描件、文字描述等，必须清晰可见。其</w:t>
      </w:r>
      <w:r>
        <w:rPr>
          <w:rFonts w:ascii="宋体" w:hAnsi="宋体" w:eastAsia="宋体" w:cs="宋体"/>
          <w:color w:val="auto"/>
          <w:spacing w:val="14"/>
          <w:sz w:val="20"/>
          <w:szCs w:val="20"/>
          <w:highlight w:val="none"/>
        </w:rPr>
        <w:t xml:space="preserve"> </w:t>
      </w:r>
      <w:r>
        <w:rPr>
          <w:rFonts w:ascii="宋体" w:hAnsi="宋体" w:eastAsia="宋体" w:cs="宋体"/>
          <w:color w:val="auto"/>
          <w:spacing w:val="7"/>
          <w:sz w:val="20"/>
          <w:szCs w:val="20"/>
          <w:highlight w:val="none"/>
        </w:rPr>
        <w:t>中所有证书和执照必须为原件扫描。</w:t>
      </w:r>
    </w:p>
    <w:p w14:paraId="24E264CE">
      <w:pPr>
        <w:spacing w:before="162" w:line="302" w:lineRule="auto"/>
        <w:ind w:left="1" w:right="70"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六、若投标供应商上传的电子响应文件因无法解密而对响应文件无法进行评价的，采购人可以拒</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rPr>
        <w:t>绝该投标供应商投标。</w:t>
      </w:r>
    </w:p>
    <w:p w14:paraId="176D06D1">
      <w:pPr>
        <w:spacing w:before="161" w:line="228" w:lineRule="auto"/>
        <w:ind w:left="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七、若出现停电、灾害、系统故障等不可抗力情况，暂停开标。</w:t>
      </w:r>
    </w:p>
    <w:p w14:paraId="096EC8DD">
      <w:pPr>
        <w:spacing w:before="161" w:line="303" w:lineRule="auto"/>
        <w:ind w:firstLine="4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八、本项目将查询电子版响应文件的文件制作机器码（文件制作机器码是以电脑的网卡</w:t>
      </w:r>
      <w:r>
        <w:rPr>
          <w:rFonts w:ascii="宋体" w:hAnsi="宋体" w:eastAsia="宋体" w:cs="宋体"/>
          <w:color w:val="auto"/>
          <w:spacing w:val="-44"/>
          <w:sz w:val="20"/>
          <w:szCs w:val="20"/>
          <w:highlight w:val="none"/>
        </w:rPr>
        <w:t xml:space="preserve"> </w:t>
      </w:r>
      <w:r>
        <w:rPr>
          <w:rFonts w:ascii="宋体" w:hAnsi="宋体" w:eastAsia="宋体" w:cs="宋体"/>
          <w:color w:val="auto"/>
          <w:sz w:val="20"/>
          <w:szCs w:val="20"/>
          <w:highlight w:val="none"/>
        </w:rPr>
        <w:t>MAC</w:t>
      </w:r>
      <w:r>
        <w:rPr>
          <w:rFonts w:ascii="宋体" w:hAnsi="宋体" w:eastAsia="宋体" w:cs="宋体"/>
          <w:color w:val="auto"/>
          <w:spacing w:val="-41"/>
          <w:sz w:val="20"/>
          <w:szCs w:val="20"/>
          <w:highlight w:val="none"/>
        </w:rPr>
        <w:t xml:space="preserve"> </w:t>
      </w:r>
      <w:r>
        <w:rPr>
          <w:rFonts w:ascii="宋体" w:hAnsi="宋体" w:eastAsia="宋体" w:cs="宋体"/>
          <w:color w:val="auto"/>
          <w:spacing w:val="5"/>
          <w:sz w:val="20"/>
          <w:szCs w:val="20"/>
          <w:highlight w:val="none"/>
        </w:rPr>
        <w:t>地址、</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硬盘序列号、</w:t>
      </w:r>
      <w:r>
        <w:rPr>
          <w:rFonts w:ascii="宋体" w:hAnsi="宋体" w:eastAsia="宋体" w:cs="宋体"/>
          <w:color w:val="auto"/>
          <w:sz w:val="20"/>
          <w:szCs w:val="20"/>
          <w:highlight w:val="none"/>
        </w:rPr>
        <w:t>CPU</w:t>
      </w:r>
      <w:r>
        <w:rPr>
          <w:rFonts w:ascii="宋体" w:hAnsi="宋体" w:eastAsia="宋体" w:cs="宋体"/>
          <w:color w:val="auto"/>
          <w:spacing w:val="-40"/>
          <w:sz w:val="20"/>
          <w:szCs w:val="20"/>
          <w:highlight w:val="none"/>
        </w:rPr>
        <w:t xml:space="preserve"> </w:t>
      </w:r>
      <w:r>
        <w:rPr>
          <w:rFonts w:ascii="宋体" w:hAnsi="宋体" w:eastAsia="宋体" w:cs="宋体"/>
          <w:color w:val="auto"/>
          <w:spacing w:val="10"/>
          <w:sz w:val="20"/>
          <w:szCs w:val="20"/>
          <w:highlight w:val="none"/>
        </w:rPr>
        <w:t>序列号、主板序列号、以及工具标识号五大</w:t>
      </w:r>
      <w:r>
        <w:rPr>
          <w:rFonts w:ascii="宋体" w:hAnsi="宋体" w:eastAsia="宋体" w:cs="宋体"/>
          <w:color w:val="auto"/>
          <w:spacing w:val="9"/>
          <w:sz w:val="20"/>
          <w:szCs w:val="20"/>
          <w:highlight w:val="none"/>
        </w:rPr>
        <w:t>特征组成</w:t>
      </w:r>
      <w:r>
        <w:rPr>
          <w:rFonts w:ascii="宋体" w:hAnsi="宋体" w:eastAsia="宋体" w:cs="宋体"/>
          <w:color w:val="auto"/>
          <w:spacing w:val="14"/>
          <w:sz w:val="20"/>
          <w:szCs w:val="20"/>
          <w:highlight w:val="none"/>
        </w:rPr>
        <w:t>），</w:t>
      </w:r>
      <w:r>
        <w:rPr>
          <w:rFonts w:ascii="宋体" w:hAnsi="宋体" w:eastAsia="宋体" w:cs="宋体"/>
          <w:color w:val="auto"/>
          <w:spacing w:val="9"/>
          <w:sz w:val="20"/>
          <w:szCs w:val="20"/>
          <w:highlight w:val="none"/>
        </w:rPr>
        <w:t>若出现不同投标供应商之</w:t>
      </w:r>
    </w:p>
    <w:p w14:paraId="2661616D">
      <w:pPr>
        <w:spacing w:before="163" w:line="227" w:lineRule="auto"/>
        <w:ind w:left="16"/>
        <w:outlineLvl w:val="0"/>
        <w:rPr>
          <w:rFonts w:ascii="宋体" w:hAnsi="宋体" w:eastAsia="宋体" w:cs="宋体"/>
          <w:color w:val="auto"/>
          <w:sz w:val="20"/>
          <w:szCs w:val="20"/>
          <w:highlight w:val="none"/>
        </w:rPr>
      </w:pPr>
      <w:bookmarkStart w:id="392" w:name="_Toc16535"/>
      <w:r>
        <w:rPr>
          <w:rFonts w:ascii="宋体" w:hAnsi="宋体" w:eastAsia="宋体" w:cs="宋体"/>
          <w:color w:val="auto"/>
          <w:spacing w:val="9"/>
          <w:sz w:val="20"/>
          <w:szCs w:val="20"/>
          <w:highlight w:val="none"/>
        </w:rPr>
        <w:t>间文件制作机器码相同的情形，视为投标供应商之间串通投标，予以否决其投标。</w:t>
      </w:r>
      <w:bookmarkEnd w:id="392"/>
    </w:p>
    <w:p w14:paraId="75A58F67">
      <w:pPr>
        <w:spacing w:line="227" w:lineRule="auto"/>
        <w:rPr>
          <w:rFonts w:ascii="宋体" w:hAnsi="宋体" w:eastAsia="宋体" w:cs="宋体"/>
          <w:color w:val="auto"/>
          <w:sz w:val="20"/>
          <w:szCs w:val="20"/>
          <w:highlight w:val="none"/>
        </w:rPr>
        <w:sectPr>
          <w:footerReference r:id="rId48" w:type="default"/>
          <w:pgSz w:w="11906" w:h="16839"/>
          <w:pgMar w:top="1347" w:right="1291" w:bottom="1156" w:left="1368" w:header="0" w:footer="994" w:gutter="0"/>
          <w:pgNumType w:fmt="decimal"/>
          <w:cols w:space="720" w:num="1"/>
        </w:sectPr>
      </w:pPr>
    </w:p>
    <w:p w14:paraId="4764C1CC">
      <w:pPr>
        <w:pStyle w:val="3"/>
        <w:spacing w:line="240" w:lineRule="auto"/>
        <w:jc w:val="left"/>
        <w:rPr>
          <w:rFonts w:hint="eastAsia"/>
          <w:color w:val="auto"/>
          <w:sz w:val="32"/>
          <w:szCs w:val="11"/>
          <w:highlight w:val="none"/>
          <w:lang w:val="zh-CN"/>
        </w:rPr>
      </w:pPr>
      <w:bookmarkStart w:id="393" w:name="bookmark7"/>
      <w:bookmarkEnd w:id="393"/>
      <w:bookmarkStart w:id="394" w:name="_Toc24391"/>
      <w:r>
        <w:rPr>
          <w:rFonts w:hint="eastAsia"/>
          <w:color w:val="auto"/>
          <w:sz w:val="32"/>
          <w:szCs w:val="11"/>
          <w:highlight w:val="none"/>
          <w:lang w:val="zh-CN"/>
        </w:rPr>
        <w:t>附  件：</w:t>
      </w:r>
      <w:bookmarkEnd w:id="394"/>
    </w:p>
    <w:p w14:paraId="20C204DD">
      <w:pPr>
        <w:pStyle w:val="3"/>
        <w:spacing w:line="240" w:lineRule="auto"/>
        <w:jc w:val="left"/>
        <w:rPr>
          <w:rFonts w:ascii="宋体" w:hAnsi="宋体" w:cs="宋体"/>
          <w:b/>
          <w:color w:val="auto"/>
          <w:sz w:val="21"/>
          <w:szCs w:val="21"/>
          <w:highlight w:val="none"/>
          <w:lang w:val="zh-CN"/>
        </w:rPr>
      </w:pPr>
      <w:bookmarkStart w:id="395" w:name="_Toc29933"/>
      <w:r>
        <w:rPr>
          <w:rFonts w:hint="eastAsia" w:ascii="宋体" w:hAnsi="宋体" w:cs="宋体"/>
          <w:b/>
          <w:bCs/>
          <w:color w:val="auto"/>
          <w:sz w:val="21"/>
          <w:szCs w:val="21"/>
          <w:highlight w:val="none"/>
          <w:lang w:val="zh-CN"/>
        </w:rPr>
        <w:t>附件一：</w:t>
      </w:r>
      <w:bookmarkEnd w:id="395"/>
    </w:p>
    <w:p w14:paraId="55CA163C">
      <w:pPr>
        <w:pStyle w:val="4"/>
        <w:spacing w:line="240" w:lineRule="auto"/>
        <w:jc w:val="center"/>
        <w:rPr>
          <w:rFonts w:ascii="宋体" w:hAnsi="宋体" w:cs="宋体"/>
          <w:color w:val="auto"/>
          <w:sz w:val="21"/>
          <w:szCs w:val="21"/>
          <w:highlight w:val="none"/>
        </w:rPr>
      </w:pPr>
      <w:bookmarkStart w:id="396" w:name="_Toc28046"/>
      <w:r>
        <w:rPr>
          <w:rFonts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货物</w:t>
      </w:r>
      <w:r>
        <w:rPr>
          <w:rFonts w:hint="eastAsia" w:ascii="宋体" w:hAnsi="宋体" w:eastAsia="宋体" w:cs="宋体"/>
          <w:color w:val="auto"/>
          <w:sz w:val="21"/>
          <w:szCs w:val="21"/>
          <w:highlight w:val="none"/>
          <w:lang w:eastAsia="zh-CN"/>
        </w:rPr>
        <w:t>）</w:t>
      </w:r>
      <w:bookmarkEnd w:id="396"/>
    </w:p>
    <w:p w14:paraId="642A6158">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本公司（联合体）郑重声明，根据《政府采购促进中小企业发展管理办法》（财库[2020]64号）的规定，本公司（联合体）参加</w:t>
      </w:r>
      <w:r>
        <w:rPr>
          <w:rFonts w:hint="eastAsia" w:ascii="宋体" w:hAnsi="宋体" w:eastAsia="宋体" w:cs="Times New Roman"/>
          <w:bCs/>
          <w:snapToGrid w:val="0"/>
          <w:color w:val="auto"/>
          <w:szCs w:val="21"/>
          <w:highlight w:val="none"/>
          <w:u w:val="single"/>
          <w:lang w:val="zh-CN" w:eastAsia="zh-CN"/>
        </w:rPr>
        <w:t xml:space="preserve"> （单位名称）的（项目名称） </w:t>
      </w:r>
      <w:r>
        <w:rPr>
          <w:rFonts w:hint="eastAsia" w:ascii="宋体" w:hAnsi="宋体" w:eastAsia="宋体" w:cs="Times New Roman"/>
          <w:bCs/>
          <w:snapToGrid w:val="0"/>
          <w:color w:val="auto"/>
          <w:szCs w:val="21"/>
          <w:highlight w:val="none"/>
          <w:lang w:val="zh-CN" w:eastAsia="zh-CN"/>
        </w:rPr>
        <w:t>采购活动，提供的货物全部为符合政策要求的中小企业。相关企业（含联合体中的中小企业、签订分包意向协议的中小企业）的具体情况如下：</w:t>
      </w:r>
    </w:p>
    <w:p w14:paraId="2B72DF5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en-US" w:eastAsia="zh-CN"/>
        </w:rPr>
        <w:t>1.</w:t>
      </w:r>
      <w:r>
        <w:rPr>
          <w:rFonts w:hint="eastAsia" w:ascii="宋体" w:hAnsi="宋体" w:eastAsia="宋体" w:cs="Times New Roman"/>
          <w:bCs/>
          <w:snapToGrid w:val="0"/>
          <w:color w:val="auto"/>
          <w:szCs w:val="21"/>
          <w:highlight w:val="none"/>
          <w:u w:val="single"/>
          <w:lang w:val="zh-CN" w:eastAsia="zh-CN"/>
        </w:rPr>
        <w:t xml:space="preserve"> （标的名称）</w:t>
      </w:r>
      <w:r>
        <w:rPr>
          <w:rFonts w:hint="eastAsia" w:ascii="宋体" w:hAnsi="宋体" w:eastAsia="宋体" w:cs="Times New Roman"/>
          <w:bCs/>
          <w:snapToGrid w:val="0"/>
          <w:color w:val="auto"/>
          <w:szCs w:val="21"/>
          <w:highlight w:val="none"/>
          <w:lang w:val="zh-CN" w:eastAsia="zh-CN"/>
        </w:rPr>
        <w:t>，属于</w:t>
      </w:r>
      <w:r>
        <w:rPr>
          <w:rFonts w:hint="eastAsia" w:ascii="宋体" w:hAnsi="宋体" w:eastAsia="宋体" w:cs="Times New Roman"/>
          <w:bCs/>
          <w:snapToGrid w:val="0"/>
          <w:color w:val="auto"/>
          <w:szCs w:val="21"/>
          <w:highlight w:val="none"/>
          <w:u w:val="single"/>
          <w:lang w:val="zh-CN" w:eastAsia="zh-CN"/>
        </w:rPr>
        <w:t xml:space="preserve"> （采购文件内明确的所属行业）</w:t>
      </w:r>
      <w:r>
        <w:rPr>
          <w:rFonts w:hint="eastAsia" w:ascii="宋体" w:hAnsi="宋体" w:eastAsia="宋体" w:cs="Times New Roman"/>
          <w:bCs/>
          <w:snapToGrid w:val="0"/>
          <w:color w:val="auto"/>
          <w:szCs w:val="21"/>
          <w:highlight w:val="none"/>
          <w:lang w:val="zh-CN" w:eastAsia="zh-CN"/>
        </w:rPr>
        <w:t>；制造商为</w:t>
      </w:r>
      <w:r>
        <w:rPr>
          <w:rFonts w:hint="eastAsia" w:ascii="宋体" w:hAnsi="宋体" w:eastAsia="宋体" w:cs="Times New Roman"/>
          <w:bCs/>
          <w:snapToGrid w:val="0"/>
          <w:color w:val="auto"/>
          <w:szCs w:val="21"/>
          <w:highlight w:val="none"/>
          <w:u w:val="single"/>
          <w:lang w:val="zh-CN" w:eastAsia="zh-CN"/>
        </w:rPr>
        <w:t xml:space="preserve">    （企业名称）</w:t>
      </w:r>
      <w:r>
        <w:rPr>
          <w:rFonts w:hint="eastAsia" w:ascii="宋体" w:hAnsi="宋体" w:eastAsia="宋体" w:cs="Times New Roman"/>
          <w:bCs/>
          <w:snapToGrid w:val="0"/>
          <w:color w:val="auto"/>
          <w:szCs w:val="21"/>
          <w:highlight w:val="none"/>
          <w:lang w:val="zh-CN" w:eastAsia="zh-CN"/>
        </w:rPr>
        <w:t>，从业人员</w:t>
      </w:r>
      <w:r>
        <w:rPr>
          <w:rFonts w:hint="eastAsia" w:ascii="宋体" w:hAnsi="宋体" w:eastAsia="宋体" w:cs="Times New Roman"/>
          <w:bCs/>
          <w:snapToGrid w:val="0"/>
          <w:color w:val="auto"/>
          <w:szCs w:val="21"/>
          <w:highlight w:val="none"/>
          <w:u w:val="single"/>
          <w:lang w:val="zh-CN" w:eastAsia="zh-CN"/>
        </w:rPr>
        <w:t xml:space="preserve">     </w:t>
      </w:r>
      <w:r>
        <w:rPr>
          <w:rFonts w:hint="eastAsia" w:ascii="宋体" w:hAnsi="宋体" w:eastAsia="宋体" w:cs="Times New Roman"/>
          <w:bCs/>
          <w:snapToGrid w:val="0"/>
          <w:color w:val="auto"/>
          <w:szCs w:val="21"/>
          <w:highlight w:val="none"/>
          <w:lang w:val="zh-CN" w:eastAsia="zh-CN"/>
        </w:rPr>
        <w:t>人，营业收入为</w:t>
      </w:r>
      <w:r>
        <w:rPr>
          <w:rFonts w:hint="eastAsia" w:ascii="宋体" w:hAnsi="宋体" w:eastAsia="宋体" w:cs="Times New Roman"/>
          <w:bCs/>
          <w:snapToGrid w:val="0"/>
          <w:color w:val="auto"/>
          <w:szCs w:val="21"/>
          <w:highlight w:val="none"/>
          <w:u w:val="single"/>
          <w:lang w:val="zh-CN" w:eastAsia="zh-CN"/>
        </w:rPr>
        <w:t xml:space="preserve">    </w:t>
      </w:r>
      <w:r>
        <w:rPr>
          <w:rFonts w:hint="eastAsia" w:ascii="宋体" w:hAnsi="宋体" w:eastAsia="宋体" w:cs="Times New Roman"/>
          <w:bCs/>
          <w:snapToGrid w:val="0"/>
          <w:color w:val="auto"/>
          <w:szCs w:val="21"/>
          <w:highlight w:val="none"/>
          <w:lang w:val="zh-CN" w:eastAsia="zh-CN"/>
        </w:rPr>
        <w:t>万元，资产总额为</w:t>
      </w:r>
      <w:r>
        <w:rPr>
          <w:rFonts w:hint="eastAsia" w:ascii="宋体" w:hAnsi="宋体" w:eastAsia="宋体" w:cs="Times New Roman"/>
          <w:bCs/>
          <w:snapToGrid w:val="0"/>
          <w:color w:val="auto"/>
          <w:szCs w:val="21"/>
          <w:highlight w:val="none"/>
          <w:u w:val="single"/>
          <w:lang w:val="zh-CN" w:eastAsia="zh-CN"/>
        </w:rPr>
        <w:t xml:space="preserve">     </w:t>
      </w:r>
      <w:r>
        <w:rPr>
          <w:rFonts w:hint="eastAsia" w:ascii="宋体" w:hAnsi="宋体" w:eastAsia="宋体" w:cs="Times New Roman"/>
          <w:bCs/>
          <w:snapToGrid w:val="0"/>
          <w:color w:val="auto"/>
          <w:szCs w:val="21"/>
          <w:highlight w:val="none"/>
          <w:lang w:val="zh-CN" w:eastAsia="zh-CN"/>
        </w:rPr>
        <w:t>万元，属于</w:t>
      </w:r>
      <w:r>
        <w:rPr>
          <w:rFonts w:hint="eastAsia" w:ascii="宋体" w:hAnsi="宋体" w:eastAsia="宋体" w:cs="Times New Roman"/>
          <w:bCs/>
          <w:snapToGrid w:val="0"/>
          <w:color w:val="auto"/>
          <w:szCs w:val="21"/>
          <w:highlight w:val="none"/>
          <w:u w:val="single"/>
          <w:lang w:val="zh-CN" w:eastAsia="zh-CN"/>
        </w:rPr>
        <w:t>（中型企业、小型企业、微型企业）</w:t>
      </w:r>
      <w:r>
        <w:rPr>
          <w:rFonts w:hint="eastAsia" w:ascii="宋体" w:hAnsi="宋体" w:eastAsia="宋体" w:cs="Times New Roman"/>
          <w:bCs/>
          <w:snapToGrid w:val="0"/>
          <w:color w:val="auto"/>
          <w:szCs w:val="21"/>
          <w:highlight w:val="none"/>
          <w:lang w:val="zh-CN" w:eastAsia="zh-CN"/>
        </w:rPr>
        <w:t>；</w:t>
      </w:r>
    </w:p>
    <w:p w14:paraId="25DACAB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en-US" w:eastAsia="zh-CN"/>
        </w:rPr>
        <w:t>2.</w:t>
      </w:r>
      <w:r>
        <w:rPr>
          <w:rFonts w:hint="eastAsia" w:ascii="宋体" w:hAnsi="宋体" w:eastAsia="宋体" w:cs="Times New Roman"/>
          <w:bCs/>
          <w:snapToGrid w:val="0"/>
          <w:color w:val="auto"/>
          <w:szCs w:val="21"/>
          <w:highlight w:val="none"/>
          <w:u w:val="single"/>
          <w:lang w:val="zh-CN" w:eastAsia="zh-CN"/>
        </w:rPr>
        <w:t>（标的名称）</w:t>
      </w:r>
      <w:r>
        <w:rPr>
          <w:rFonts w:hint="eastAsia" w:ascii="宋体" w:hAnsi="宋体" w:eastAsia="宋体" w:cs="Times New Roman"/>
          <w:bCs/>
          <w:snapToGrid w:val="0"/>
          <w:color w:val="auto"/>
          <w:szCs w:val="21"/>
          <w:highlight w:val="none"/>
          <w:lang w:val="zh-CN" w:eastAsia="zh-CN"/>
        </w:rPr>
        <w:t>，属于</w:t>
      </w:r>
      <w:r>
        <w:rPr>
          <w:rFonts w:hint="eastAsia" w:ascii="宋体" w:hAnsi="宋体" w:eastAsia="宋体" w:cs="Times New Roman"/>
          <w:bCs/>
          <w:snapToGrid w:val="0"/>
          <w:color w:val="auto"/>
          <w:szCs w:val="21"/>
          <w:highlight w:val="none"/>
          <w:u w:val="single"/>
          <w:lang w:val="zh-CN" w:eastAsia="zh-CN"/>
        </w:rPr>
        <w:t xml:space="preserve"> （采购文件内明确的所属行业）</w:t>
      </w:r>
      <w:r>
        <w:rPr>
          <w:rFonts w:hint="eastAsia" w:ascii="宋体" w:hAnsi="宋体" w:eastAsia="宋体" w:cs="Times New Roman"/>
          <w:bCs/>
          <w:snapToGrid w:val="0"/>
          <w:color w:val="auto"/>
          <w:szCs w:val="21"/>
          <w:highlight w:val="none"/>
          <w:lang w:val="zh-CN" w:eastAsia="zh-CN"/>
        </w:rPr>
        <w:t>；承建（承接）企业为</w:t>
      </w:r>
      <w:r>
        <w:rPr>
          <w:rFonts w:hint="eastAsia" w:ascii="宋体" w:hAnsi="宋体" w:eastAsia="宋体" w:cs="Times New Roman"/>
          <w:bCs/>
          <w:snapToGrid w:val="0"/>
          <w:color w:val="auto"/>
          <w:szCs w:val="21"/>
          <w:highlight w:val="none"/>
          <w:u w:val="single"/>
          <w:lang w:val="zh-CN" w:eastAsia="zh-CN"/>
        </w:rPr>
        <w:t xml:space="preserve">    （企业名称）</w:t>
      </w:r>
      <w:r>
        <w:rPr>
          <w:rFonts w:hint="eastAsia" w:ascii="宋体" w:hAnsi="宋体" w:eastAsia="宋体" w:cs="Times New Roman"/>
          <w:bCs/>
          <w:snapToGrid w:val="0"/>
          <w:color w:val="auto"/>
          <w:szCs w:val="21"/>
          <w:highlight w:val="none"/>
          <w:lang w:val="zh-CN" w:eastAsia="zh-CN"/>
        </w:rPr>
        <w:t>，从业人员</w:t>
      </w:r>
      <w:r>
        <w:rPr>
          <w:rFonts w:hint="eastAsia" w:ascii="宋体" w:hAnsi="宋体" w:eastAsia="宋体" w:cs="Times New Roman"/>
          <w:bCs/>
          <w:snapToGrid w:val="0"/>
          <w:color w:val="auto"/>
          <w:szCs w:val="21"/>
          <w:highlight w:val="none"/>
          <w:u w:val="single"/>
          <w:lang w:val="zh-CN" w:eastAsia="zh-CN"/>
        </w:rPr>
        <w:t xml:space="preserve">     </w:t>
      </w:r>
      <w:r>
        <w:rPr>
          <w:rFonts w:hint="eastAsia" w:ascii="宋体" w:hAnsi="宋体" w:eastAsia="宋体" w:cs="Times New Roman"/>
          <w:bCs/>
          <w:snapToGrid w:val="0"/>
          <w:color w:val="auto"/>
          <w:szCs w:val="21"/>
          <w:highlight w:val="none"/>
          <w:lang w:val="zh-CN" w:eastAsia="zh-CN"/>
        </w:rPr>
        <w:t>人，营业收入为</w:t>
      </w:r>
      <w:r>
        <w:rPr>
          <w:rFonts w:hint="eastAsia" w:ascii="宋体" w:hAnsi="宋体" w:eastAsia="宋体" w:cs="Times New Roman"/>
          <w:bCs/>
          <w:snapToGrid w:val="0"/>
          <w:color w:val="auto"/>
          <w:szCs w:val="21"/>
          <w:highlight w:val="none"/>
          <w:u w:val="single"/>
          <w:lang w:val="zh-CN" w:eastAsia="zh-CN"/>
        </w:rPr>
        <w:t xml:space="preserve">    </w:t>
      </w:r>
      <w:r>
        <w:rPr>
          <w:rFonts w:hint="eastAsia" w:ascii="宋体" w:hAnsi="宋体" w:eastAsia="宋体" w:cs="Times New Roman"/>
          <w:bCs/>
          <w:snapToGrid w:val="0"/>
          <w:color w:val="auto"/>
          <w:szCs w:val="21"/>
          <w:highlight w:val="none"/>
          <w:lang w:val="zh-CN" w:eastAsia="zh-CN"/>
        </w:rPr>
        <w:t>万元，资产总额为</w:t>
      </w:r>
      <w:r>
        <w:rPr>
          <w:rFonts w:hint="eastAsia" w:ascii="宋体" w:hAnsi="宋体" w:eastAsia="宋体" w:cs="Times New Roman"/>
          <w:bCs/>
          <w:snapToGrid w:val="0"/>
          <w:color w:val="auto"/>
          <w:szCs w:val="21"/>
          <w:highlight w:val="none"/>
          <w:u w:val="single"/>
          <w:lang w:val="zh-CN" w:eastAsia="zh-CN"/>
        </w:rPr>
        <w:t xml:space="preserve">     </w:t>
      </w:r>
      <w:r>
        <w:rPr>
          <w:rFonts w:hint="eastAsia" w:ascii="宋体" w:hAnsi="宋体" w:eastAsia="宋体" w:cs="Times New Roman"/>
          <w:bCs/>
          <w:snapToGrid w:val="0"/>
          <w:color w:val="auto"/>
          <w:szCs w:val="21"/>
          <w:highlight w:val="none"/>
          <w:lang w:val="zh-CN" w:eastAsia="zh-CN"/>
        </w:rPr>
        <w:t>万元，属于</w:t>
      </w:r>
      <w:r>
        <w:rPr>
          <w:rFonts w:hint="eastAsia" w:ascii="宋体" w:hAnsi="宋体" w:eastAsia="宋体" w:cs="Times New Roman"/>
          <w:bCs/>
          <w:snapToGrid w:val="0"/>
          <w:color w:val="auto"/>
          <w:szCs w:val="21"/>
          <w:highlight w:val="none"/>
          <w:u w:val="single"/>
          <w:lang w:val="zh-CN" w:eastAsia="zh-CN"/>
        </w:rPr>
        <w:t>（中型企业、小型企业、微型企业）</w:t>
      </w:r>
      <w:r>
        <w:rPr>
          <w:rFonts w:hint="eastAsia" w:ascii="宋体" w:hAnsi="宋体" w:eastAsia="宋体" w:cs="Times New Roman"/>
          <w:bCs/>
          <w:snapToGrid w:val="0"/>
          <w:color w:val="auto"/>
          <w:szCs w:val="21"/>
          <w:highlight w:val="none"/>
          <w:lang w:val="zh-CN" w:eastAsia="zh-CN"/>
        </w:rPr>
        <w:t>；</w:t>
      </w:r>
    </w:p>
    <w:p w14:paraId="45F00DA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w:t>
      </w:r>
    </w:p>
    <w:p w14:paraId="2DC1169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以上企业不属于大企业的分支机构，不存在控股股东为大企业的情形，也不存在与大企业责任人为同一人的情形。</w:t>
      </w:r>
    </w:p>
    <w:p w14:paraId="0694E17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本企业对上述声明内容的真实性负责。如有虚假，将依法承担相应责任。</w:t>
      </w:r>
    </w:p>
    <w:p w14:paraId="539B1A5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0A0C0F2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企业名称（加盖公章）：</w:t>
      </w:r>
    </w:p>
    <w:p w14:paraId="0648BB3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日  期：   </w:t>
      </w:r>
    </w:p>
    <w:p w14:paraId="22276EE8">
      <w:pPr>
        <w:spacing w:line="240" w:lineRule="auto"/>
        <w:rPr>
          <w:rFonts w:ascii="宋体" w:hAnsi="宋体" w:cs="宋体"/>
          <w:color w:val="auto"/>
          <w:sz w:val="21"/>
          <w:szCs w:val="21"/>
          <w:highlight w:val="none"/>
        </w:rPr>
      </w:pPr>
    </w:p>
    <w:p w14:paraId="2D417103">
      <w:pPr>
        <w:spacing w:line="240" w:lineRule="auto"/>
        <w:ind w:firstLine="422" w:firstLineChars="200"/>
        <w:jc w:val="left"/>
        <w:rPr>
          <w:rFonts w:hint="eastAsia" w:ascii="宋体" w:hAnsi="宋体" w:eastAsia="宋体" w:cs="Times New Roman"/>
          <w:b/>
          <w:bCs w:val="0"/>
          <w:snapToGrid w:val="0"/>
          <w:color w:val="auto"/>
          <w:szCs w:val="21"/>
          <w:highlight w:val="none"/>
          <w:lang w:val="zh-CN" w:eastAsia="zh-CN"/>
        </w:rPr>
      </w:pPr>
      <w:r>
        <w:rPr>
          <w:rFonts w:hint="eastAsia" w:ascii="宋体" w:hAnsi="宋体" w:eastAsia="宋体" w:cs="Times New Roman"/>
          <w:b/>
          <w:bCs w:val="0"/>
          <w:snapToGrid w:val="0"/>
          <w:color w:val="auto"/>
          <w:szCs w:val="21"/>
          <w:highlight w:val="none"/>
          <w:lang w:val="zh-CN" w:eastAsia="zh-CN"/>
        </w:rPr>
        <w:t>注：</w:t>
      </w:r>
    </w:p>
    <w:p w14:paraId="4FE98097">
      <w:pPr>
        <w:spacing w:line="240" w:lineRule="auto"/>
        <w:ind w:firstLine="422" w:firstLineChars="200"/>
        <w:jc w:val="left"/>
        <w:rPr>
          <w:rFonts w:hint="eastAsia" w:ascii="宋体" w:hAnsi="宋体" w:eastAsia="宋体" w:cs="Times New Roman"/>
          <w:b/>
          <w:bCs w:val="0"/>
          <w:snapToGrid w:val="0"/>
          <w:color w:val="auto"/>
          <w:szCs w:val="21"/>
          <w:highlight w:val="none"/>
          <w:lang w:val="zh-CN" w:eastAsia="zh-CN"/>
        </w:rPr>
      </w:pPr>
      <w:r>
        <w:rPr>
          <w:rFonts w:hint="eastAsia" w:ascii="宋体" w:hAnsi="宋体" w:eastAsia="宋体" w:cs="Times New Roman"/>
          <w:b/>
          <w:bCs w:val="0"/>
          <w:snapToGrid w:val="0"/>
          <w:color w:val="auto"/>
          <w:szCs w:val="21"/>
          <w:highlight w:val="none"/>
          <w:lang w:val="zh-CN" w:eastAsia="zh-CN"/>
        </w:rPr>
        <w:t xml:space="preserve">1、从业人员、营业收入、资产总额填报上一年度数据，无上一年度数据的新成立企业可不填报。 </w:t>
      </w:r>
    </w:p>
    <w:p w14:paraId="150B9AFB">
      <w:pPr>
        <w:spacing w:line="240" w:lineRule="auto"/>
        <w:ind w:firstLine="422" w:firstLineChars="200"/>
        <w:jc w:val="left"/>
        <w:rPr>
          <w:rFonts w:hint="eastAsia" w:ascii="宋体" w:hAnsi="宋体" w:eastAsia="宋体" w:cs="Times New Roman"/>
          <w:b/>
          <w:bCs w:val="0"/>
          <w:snapToGrid w:val="0"/>
          <w:color w:val="auto"/>
          <w:szCs w:val="21"/>
          <w:highlight w:val="none"/>
          <w:lang w:val="zh-CN" w:eastAsia="zh-CN"/>
        </w:rPr>
      </w:pPr>
      <w:r>
        <w:rPr>
          <w:rFonts w:hint="eastAsia" w:ascii="宋体" w:hAnsi="宋体" w:eastAsia="宋体" w:cs="Times New Roman"/>
          <w:b/>
          <w:bCs w:val="0"/>
          <w:snapToGrid w:val="0"/>
          <w:color w:val="auto"/>
          <w:szCs w:val="21"/>
          <w:highlight w:val="none"/>
          <w:lang w:val="zh-CN" w:eastAsia="zh-CN"/>
        </w:rPr>
        <w:t xml:space="preserve">2、填写前请认真阅读《关于印发中小企业划型标准规定的通知》（工信部联企业[2011]300 号）和《关于 印发＜政府采购促进中小企业发展管理办法＞的通知》 （财库﹝2020﹞46 号）相关规定。 </w:t>
      </w:r>
    </w:p>
    <w:p w14:paraId="0FC0A36E">
      <w:pPr>
        <w:spacing w:line="240" w:lineRule="auto"/>
        <w:ind w:firstLine="422" w:firstLineChars="200"/>
        <w:jc w:val="left"/>
        <w:rPr>
          <w:rFonts w:hint="eastAsia" w:ascii="宋体" w:hAnsi="宋体" w:eastAsia="宋体" w:cs="Times New Roman"/>
          <w:b/>
          <w:bCs w:val="0"/>
          <w:snapToGrid w:val="0"/>
          <w:color w:val="auto"/>
          <w:szCs w:val="21"/>
          <w:highlight w:val="none"/>
          <w:lang w:val="zh-CN" w:eastAsia="zh-CN"/>
        </w:rPr>
      </w:pPr>
      <w:r>
        <w:rPr>
          <w:rFonts w:hint="eastAsia" w:ascii="宋体" w:hAnsi="宋体" w:eastAsia="宋体" w:cs="Times New Roman"/>
          <w:b/>
          <w:bCs w:val="0"/>
          <w:snapToGrid w:val="0"/>
          <w:color w:val="auto"/>
          <w:szCs w:val="21"/>
          <w:highlight w:val="none"/>
          <w:lang w:val="zh-CN" w:eastAsia="zh-CN"/>
        </w:rPr>
        <w:t>3、未按上述要求提供、填写的，评审时不予以考虑。</w:t>
      </w:r>
    </w:p>
    <w:p w14:paraId="7F506165">
      <w:pPr>
        <w:spacing w:line="240" w:lineRule="auto"/>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73E4512">
      <w:pPr>
        <w:spacing w:line="240" w:lineRule="auto"/>
        <w:outlineLvl w:val="1"/>
        <w:rPr>
          <w:rFonts w:ascii="宋体" w:hAnsi="宋体" w:cs="宋体"/>
          <w:b/>
          <w:color w:val="auto"/>
          <w:sz w:val="32"/>
          <w:szCs w:val="32"/>
          <w:highlight w:val="none"/>
        </w:rPr>
      </w:pPr>
      <w:bookmarkStart w:id="397" w:name="_Toc27359"/>
      <w:r>
        <w:rPr>
          <w:rFonts w:hint="eastAsia" w:ascii="宋体" w:hAnsi="宋体" w:cs="宋体"/>
          <w:b/>
          <w:bCs/>
          <w:color w:val="auto"/>
          <w:sz w:val="24"/>
          <w:highlight w:val="none"/>
          <w:lang w:val="zh-CN"/>
        </w:rPr>
        <w:t>附件二：</w:t>
      </w:r>
      <w:bookmarkEnd w:id="397"/>
    </w:p>
    <w:p w14:paraId="09C9DC06">
      <w:pPr>
        <w:spacing w:line="240" w:lineRule="auto"/>
        <w:jc w:val="center"/>
        <w:outlineLvl w:val="1"/>
        <w:rPr>
          <w:rFonts w:ascii="宋体" w:hAnsi="宋体" w:cs="宋体"/>
          <w:b/>
          <w:color w:val="auto"/>
          <w:sz w:val="32"/>
          <w:szCs w:val="32"/>
          <w:highlight w:val="none"/>
        </w:rPr>
      </w:pPr>
      <w:bookmarkStart w:id="398" w:name="_Toc16770"/>
      <w:r>
        <w:rPr>
          <w:rFonts w:hint="eastAsia" w:ascii="宋体" w:hAnsi="宋体" w:cs="宋体"/>
          <w:b/>
          <w:color w:val="auto"/>
          <w:sz w:val="32"/>
          <w:szCs w:val="32"/>
          <w:highlight w:val="none"/>
        </w:rPr>
        <w:t>残疾人福利性单位声明函（如是）</w:t>
      </w:r>
      <w:bookmarkEnd w:id="398"/>
      <w:r>
        <w:rPr>
          <w:rFonts w:hint="eastAsia" w:ascii="宋体" w:hAnsi="宋体" w:cs="宋体"/>
          <w:b/>
          <w:color w:val="auto"/>
          <w:sz w:val="32"/>
          <w:szCs w:val="32"/>
          <w:highlight w:val="none"/>
        </w:rPr>
        <w:t xml:space="preserve"> </w:t>
      </w:r>
    </w:p>
    <w:p w14:paraId="051F885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hAnsi="宋体" w:eastAsia="宋体" w:cs="Times New Roman"/>
          <w:bCs/>
          <w:snapToGrid w:val="0"/>
          <w:color w:val="auto"/>
          <w:szCs w:val="21"/>
          <w:highlight w:val="none"/>
          <w:u w:val="single"/>
          <w:lang w:val="zh-CN" w:eastAsia="zh-CN"/>
        </w:rPr>
        <w:t xml:space="preserve">    （采购人名称）      </w:t>
      </w:r>
      <w:r>
        <w:rPr>
          <w:rFonts w:hint="eastAsia" w:ascii="宋体" w:hAnsi="宋体" w:eastAsia="宋体" w:cs="Times New Roman"/>
          <w:bCs/>
          <w:snapToGrid w:val="0"/>
          <w:color w:val="auto"/>
          <w:szCs w:val="21"/>
          <w:highlight w:val="none"/>
          <w:lang w:val="zh-CN" w:eastAsia="zh-CN"/>
        </w:rPr>
        <w:t>单位的</w:t>
      </w:r>
      <w:r>
        <w:rPr>
          <w:rFonts w:hint="eastAsia" w:ascii="宋体" w:hAnsi="宋体" w:eastAsia="宋体" w:cs="Times New Roman"/>
          <w:bCs/>
          <w:snapToGrid w:val="0"/>
          <w:color w:val="auto"/>
          <w:szCs w:val="21"/>
          <w:highlight w:val="none"/>
          <w:u w:val="single"/>
          <w:lang w:val="zh-CN" w:eastAsia="zh-CN"/>
        </w:rPr>
        <w:t xml:space="preserve">   （采购项目名称）    </w:t>
      </w:r>
      <w:r>
        <w:rPr>
          <w:rFonts w:hint="eastAsia" w:ascii="宋体" w:hAnsi="宋体" w:eastAsia="宋体" w:cs="Times New Roman"/>
          <w:bCs/>
          <w:snapToGrid w:val="0"/>
          <w:color w:val="auto"/>
          <w:szCs w:val="21"/>
          <w:highlight w:val="none"/>
          <w:lang w:val="zh-CN" w:eastAsia="zh-CN"/>
        </w:rPr>
        <w:t xml:space="preserve">项目采购活动提供本单位制造的货物（由本单位承担工程/提供服务），或者提供其他残疾人福利性单位制造的货物（不包括使用非残疾人福利性单位注册商标的货物）。 </w:t>
      </w:r>
    </w:p>
    <w:p w14:paraId="6FF4FA9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本单位对上述声明的真实性负责。如有虚假，将依法承担相应责任。 </w:t>
      </w:r>
    </w:p>
    <w:p w14:paraId="278CA778">
      <w:pPr>
        <w:spacing w:line="240" w:lineRule="auto"/>
        <w:ind w:firstLine="420" w:firstLineChars="200"/>
        <w:jc w:val="right"/>
        <w:rPr>
          <w:rFonts w:ascii="宋体" w:hAnsi="宋体" w:cs="宋体"/>
          <w:color w:val="auto"/>
          <w:sz w:val="21"/>
          <w:szCs w:val="21"/>
          <w:highlight w:val="none"/>
        </w:rPr>
      </w:pPr>
    </w:p>
    <w:p w14:paraId="53FD275D">
      <w:pPr>
        <w:spacing w:line="240" w:lineRule="auto"/>
        <w:ind w:firstLine="420" w:firstLineChars="20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单位名称（盖章）： </w:t>
      </w:r>
    </w:p>
    <w:p w14:paraId="47FE5429">
      <w:pPr>
        <w:spacing w:line="240" w:lineRule="auto"/>
        <w:ind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w:t>
      </w:r>
    </w:p>
    <w:p w14:paraId="061B9585">
      <w:pPr>
        <w:pStyle w:val="8"/>
        <w:spacing w:line="240" w:lineRule="auto"/>
        <w:rPr>
          <w:rFonts w:ascii="宋体" w:hAnsi="宋体" w:eastAsia="宋体" w:cs="宋体"/>
          <w:color w:val="auto"/>
          <w:sz w:val="21"/>
          <w:szCs w:val="21"/>
          <w:highlight w:val="none"/>
        </w:rPr>
      </w:pPr>
    </w:p>
    <w:p w14:paraId="128A4EBC">
      <w:pPr>
        <w:spacing w:line="240" w:lineRule="auto"/>
        <w:jc w:val="left"/>
        <w:rPr>
          <w:rFonts w:ascii="宋体" w:hAnsi="宋体" w:cs="宋体"/>
          <w:color w:val="auto"/>
          <w:sz w:val="21"/>
          <w:szCs w:val="21"/>
          <w:highlight w:val="none"/>
        </w:rPr>
      </w:pPr>
    </w:p>
    <w:p w14:paraId="02E85526">
      <w:pPr>
        <w:spacing w:line="240" w:lineRule="auto"/>
        <w:jc w:val="left"/>
        <w:rPr>
          <w:rFonts w:ascii="宋体" w:hAnsi="宋体" w:cs="宋体"/>
          <w:color w:val="auto"/>
          <w:sz w:val="21"/>
          <w:szCs w:val="21"/>
          <w:highlight w:val="none"/>
        </w:rPr>
      </w:pPr>
    </w:p>
    <w:p w14:paraId="0F99EFD6">
      <w:pPr>
        <w:spacing w:line="240" w:lineRule="auto"/>
        <w:ind w:firstLine="422" w:firstLineChars="200"/>
        <w:jc w:val="left"/>
        <w:rPr>
          <w:rFonts w:hint="eastAsia" w:ascii="宋体" w:hAnsi="宋体" w:eastAsia="宋体" w:cs="Times New Roman"/>
          <w:b/>
          <w:bCs w:val="0"/>
          <w:snapToGrid w:val="0"/>
          <w:color w:val="auto"/>
          <w:szCs w:val="21"/>
          <w:highlight w:val="none"/>
          <w:lang w:val="zh-CN" w:eastAsia="zh-CN"/>
        </w:rPr>
      </w:pPr>
      <w:r>
        <w:rPr>
          <w:rFonts w:hint="eastAsia" w:ascii="宋体" w:hAnsi="宋体" w:eastAsia="宋体" w:cs="Times New Roman"/>
          <w:b/>
          <w:bCs w:val="0"/>
          <w:snapToGrid w:val="0"/>
          <w:color w:val="auto"/>
          <w:szCs w:val="21"/>
          <w:highlight w:val="none"/>
          <w:lang w:val="zh-CN" w:eastAsia="zh-CN"/>
        </w:rPr>
        <w:t>注：</w:t>
      </w:r>
    </w:p>
    <w:p w14:paraId="6EE3FB04">
      <w:pPr>
        <w:spacing w:line="240" w:lineRule="auto"/>
        <w:ind w:firstLine="422" w:firstLineChars="200"/>
        <w:jc w:val="left"/>
        <w:rPr>
          <w:rFonts w:hint="eastAsia" w:ascii="宋体" w:hAnsi="宋体" w:eastAsia="宋体" w:cs="Times New Roman"/>
          <w:b/>
          <w:bCs w:val="0"/>
          <w:snapToGrid w:val="0"/>
          <w:color w:val="auto"/>
          <w:szCs w:val="21"/>
          <w:highlight w:val="none"/>
          <w:lang w:val="zh-CN" w:eastAsia="zh-CN"/>
        </w:rPr>
      </w:pPr>
      <w:r>
        <w:rPr>
          <w:rFonts w:hint="eastAsia" w:ascii="宋体" w:hAnsi="宋体" w:eastAsia="宋体" w:cs="Times New Roman"/>
          <w:b/>
          <w:bCs w:val="0"/>
          <w:snapToGrid w:val="0"/>
          <w:color w:val="auto"/>
          <w:szCs w:val="21"/>
          <w:highlight w:val="none"/>
          <w:lang w:val="zh-CN" w:eastAsia="zh-CN"/>
        </w:rPr>
        <w:t>1、残疾人福利性单位视同小型、微型企业，享受预留份额、评审中价格扣除等促进中小企业发展的政府采购政策。残疾人福利性单位属于小型、微型企业的，不重复享受政策。</w:t>
      </w:r>
    </w:p>
    <w:p w14:paraId="085116C5">
      <w:pPr>
        <w:spacing w:line="240" w:lineRule="auto"/>
        <w:ind w:firstLine="422" w:firstLineChars="200"/>
        <w:jc w:val="left"/>
        <w:rPr>
          <w:rFonts w:ascii="宋体" w:hAnsi="宋体" w:cs="宋体"/>
          <w:b/>
          <w:bCs/>
          <w:color w:val="auto"/>
          <w:sz w:val="21"/>
          <w:szCs w:val="21"/>
          <w:highlight w:val="none"/>
        </w:rPr>
      </w:pPr>
      <w:r>
        <w:rPr>
          <w:rFonts w:hint="eastAsia" w:ascii="宋体" w:hAnsi="宋体" w:eastAsia="宋体" w:cs="Times New Roman"/>
          <w:b/>
          <w:bCs w:val="0"/>
          <w:snapToGrid w:val="0"/>
          <w:color w:val="auto"/>
          <w:szCs w:val="21"/>
          <w:highlight w:val="none"/>
          <w:lang w:val="zh-CN" w:eastAsia="zh-CN"/>
        </w:rPr>
        <w:t>2、供应商为非残疾人福利性单位的，可不提供此声明。</w:t>
      </w:r>
    </w:p>
    <w:p w14:paraId="635C0F54">
      <w:pPr>
        <w:spacing w:line="240" w:lineRule="auto"/>
        <w:rPr>
          <w:rFonts w:ascii="宋体" w:hAnsi="宋体" w:cs="宋体"/>
          <w:b/>
          <w:bCs/>
          <w:color w:val="auto"/>
          <w:szCs w:val="21"/>
          <w:highlight w:val="none"/>
        </w:rPr>
      </w:pPr>
      <w:r>
        <w:rPr>
          <w:rFonts w:hint="eastAsia" w:ascii="宋体" w:hAnsi="宋体" w:cs="宋体"/>
          <w:b/>
          <w:bCs/>
          <w:color w:val="auto"/>
          <w:szCs w:val="21"/>
          <w:highlight w:val="none"/>
        </w:rPr>
        <w:br w:type="page"/>
      </w:r>
    </w:p>
    <w:p w14:paraId="233F49E5">
      <w:pPr>
        <w:spacing w:line="240" w:lineRule="auto"/>
        <w:outlineLvl w:val="1"/>
        <w:rPr>
          <w:rFonts w:ascii="宋体" w:hAnsi="宋体" w:cs="宋体"/>
          <w:b/>
          <w:color w:val="auto"/>
          <w:sz w:val="21"/>
          <w:szCs w:val="21"/>
          <w:highlight w:val="none"/>
        </w:rPr>
      </w:pPr>
      <w:bookmarkStart w:id="399" w:name="_Toc1351"/>
      <w:r>
        <w:rPr>
          <w:rFonts w:hint="eastAsia" w:ascii="宋体" w:hAnsi="宋体" w:cs="宋体"/>
          <w:b/>
          <w:bCs/>
          <w:color w:val="auto"/>
          <w:sz w:val="21"/>
          <w:szCs w:val="21"/>
          <w:highlight w:val="none"/>
          <w:lang w:val="zh-CN"/>
        </w:rPr>
        <w:t>附件三：</w:t>
      </w:r>
      <w:bookmarkEnd w:id="399"/>
    </w:p>
    <w:p w14:paraId="458F5F75">
      <w:pPr>
        <w:spacing w:line="240" w:lineRule="auto"/>
        <w:jc w:val="center"/>
        <w:rPr>
          <w:rFonts w:ascii="宋体" w:hAnsi="宋体" w:cs="宋体"/>
          <w:b/>
          <w:color w:val="auto"/>
          <w:sz w:val="21"/>
          <w:szCs w:val="21"/>
          <w:highlight w:val="none"/>
        </w:rPr>
      </w:pPr>
    </w:p>
    <w:p w14:paraId="649C7C60">
      <w:pPr>
        <w:spacing w:line="240" w:lineRule="auto"/>
        <w:jc w:val="center"/>
        <w:outlineLvl w:val="1"/>
        <w:rPr>
          <w:rFonts w:ascii="宋体" w:hAnsi="宋体" w:cs="宋体"/>
          <w:b/>
          <w:color w:val="auto"/>
          <w:sz w:val="21"/>
          <w:szCs w:val="21"/>
          <w:highlight w:val="none"/>
        </w:rPr>
      </w:pPr>
      <w:bookmarkStart w:id="400" w:name="_Toc2206"/>
      <w:r>
        <w:rPr>
          <w:rFonts w:hint="eastAsia" w:ascii="宋体" w:hAnsi="宋体" w:cs="宋体"/>
          <w:b/>
          <w:color w:val="auto"/>
          <w:sz w:val="21"/>
          <w:szCs w:val="21"/>
          <w:highlight w:val="none"/>
        </w:rPr>
        <w:t>监狱企业证明文件（如是）</w:t>
      </w:r>
      <w:bookmarkEnd w:id="400"/>
    </w:p>
    <w:p w14:paraId="2890FA95">
      <w:pPr>
        <w:widowControl/>
        <w:spacing w:line="240" w:lineRule="auto"/>
        <w:jc w:val="left"/>
        <w:rPr>
          <w:rFonts w:ascii="宋体" w:hAnsi="宋体" w:cs="宋体"/>
          <w:color w:val="auto"/>
          <w:kern w:val="0"/>
          <w:sz w:val="21"/>
          <w:szCs w:val="21"/>
          <w:highlight w:val="none"/>
          <w:lang w:bidi="ar"/>
        </w:rPr>
      </w:pPr>
    </w:p>
    <w:p w14:paraId="08C97157">
      <w:pPr>
        <w:widowControl/>
        <w:spacing w:line="240" w:lineRule="auto"/>
        <w:jc w:val="left"/>
        <w:rPr>
          <w:rFonts w:ascii="宋体" w:hAnsi="宋体" w:cs="宋体"/>
          <w:color w:val="auto"/>
          <w:kern w:val="0"/>
          <w:sz w:val="21"/>
          <w:szCs w:val="21"/>
          <w:highlight w:val="none"/>
          <w:lang w:bidi="ar"/>
        </w:rPr>
      </w:pPr>
    </w:p>
    <w:p w14:paraId="27DE5E5B">
      <w:pPr>
        <w:widowControl/>
        <w:spacing w:line="240" w:lineRule="auto"/>
        <w:jc w:val="left"/>
        <w:rPr>
          <w:rFonts w:ascii="宋体" w:hAnsi="宋体" w:cs="宋体"/>
          <w:color w:val="auto"/>
          <w:kern w:val="0"/>
          <w:sz w:val="21"/>
          <w:szCs w:val="21"/>
          <w:highlight w:val="none"/>
          <w:lang w:bidi="ar"/>
        </w:rPr>
      </w:pPr>
    </w:p>
    <w:p w14:paraId="3B0ECB80">
      <w:pPr>
        <w:widowControl/>
        <w:spacing w:line="240" w:lineRule="auto"/>
        <w:jc w:val="left"/>
        <w:rPr>
          <w:color w:val="auto"/>
          <w:sz w:val="21"/>
          <w:szCs w:val="21"/>
          <w:highlight w:val="none"/>
        </w:rPr>
      </w:pPr>
      <w:r>
        <w:rPr>
          <w:rFonts w:hint="eastAsia" w:ascii="宋体" w:hAnsi="宋体" w:eastAsia="宋体" w:cs="Times New Roman"/>
          <w:bCs/>
          <w:snapToGrid w:val="0"/>
          <w:color w:val="auto"/>
          <w:szCs w:val="21"/>
          <w:highlight w:val="none"/>
          <w:lang w:val="zh-CN" w:eastAsia="zh-CN"/>
        </w:rPr>
        <w:t>省级以上监狱管理局、戒毒管理局（含新疆生产建设兵团）出具的属于监狱企业的证明文件。</w:t>
      </w:r>
      <w:r>
        <w:rPr>
          <w:rFonts w:hint="eastAsia" w:ascii="宋体" w:hAnsi="宋体" w:cs="宋体"/>
          <w:color w:val="auto"/>
          <w:kern w:val="0"/>
          <w:sz w:val="21"/>
          <w:szCs w:val="21"/>
          <w:highlight w:val="none"/>
          <w:lang w:bidi="ar"/>
        </w:rPr>
        <w:t xml:space="preserve"> </w:t>
      </w:r>
    </w:p>
    <w:p w14:paraId="1DDD72D7">
      <w:pPr>
        <w:spacing w:line="240" w:lineRule="auto"/>
        <w:rPr>
          <w:rFonts w:ascii="宋体" w:hAnsi="宋体" w:cs="宋体"/>
          <w:b/>
          <w:color w:val="auto"/>
          <w:sz w:val="21"/>
          <w:szCs w:val="21"/>
          <w:highlight w:val="none"/>
        </w:rPr>
      </w:pPr>
    </w:p>
    <w:p w14:paraId="75BE1D2F">
      <w:pPr>
        <w:spacing w:line="240" w:lineRule="auto"/>
        <w:rPr>
          <w:rFonts w:ascii="宋体" w:hAnsi="宋体" w:cs="宋体"/>
          <w:b/>
          <w:color w:val="auto"/>
          <w:sz w:val="21"/>
          <w:szCs w:val="21"/>
          <w:highlight w:val="none"/>
        </w:rPr>
      </w:pPr>
    </w:p>
    <w:p w14:paraId="68DB02B0">
      <w:pPr>
        <w:spacing w:line="240" w:lineRule="auto"/>
        <w:rPr>
          <w:rFonts w:ascii="宋体" w:hAnsi="宋体" w:cs="宋体"/>
          <w:b/>
          <w:color w:val="auto"/>
          <w:sz w:val="21"/>
          <w:szCs w:val="21"/>
          <w:highlight w:val="none"/>
        </w:rPr>
      </w:pPr>
    </w:p>
    <w:p w14:paraId="453F2295">
      <w:pPr>
        <w:spacing w:line="240" w:lineRule="auto"/>
        <w:jc w:val="left"/>
        <w:rPr>
          <w:rFonts w:ascii="宋体" w:hAnsi="宋体" w:cs="宋体"/>
          <w:color w:val="auto"/>
          <w:sz w:val="21"/>
          <w:szCs w:val="21"/>
          <w:highlight w:val="none"/>
        </w:rPr>
      </w:pPr>
    </w:p>
    <w:p w14:paraId="4D2ED1B6">
      <w:pPr>
        <w:spacing w:line="240" w:lineRule="auto"/>
        <w:jc w:val="left"/>
        <w:rPr>
          <w:rFonts w:ascii="宋体" w:hAnsi="宋体" w:cs="宋体"/>
          <w:color w:val="auto"/>
          <w:sz w:val="21"/>
          <w:szCs w:val="21"/>
          <w:highlight w:val="none"/>
        </w:rPr>
      </w:pPr>
    </w:p>
    <w:p w14:paraId="3D334BEE">
      <w:pPr>
        <w:spacing w:line="240" w:lineRule="auto"/>
        <w:jc w:val="left"/>
        <w:rPr>
          <w:rFonts w:ascii="宋体" w:hAnsi="宋体" w:cs="宋体"/>
          <w:color w:val="auto"/>
          <w:sz w:val="21"/>
          <w:szCs w:val="21"/>
          <w:highlight w:val="none"/>
        </w:rPr>
      </w:pPr>
    </w:p>
    <w:p w14:paraId="4EFEE6C6">
      <w:pPr>
        <w:spacing w:line="240" w:lineRule="auto"/>
        <w:ind w:firstLine="422" w:firstLineChars="200"/>
        <w:jc w:val="left"/>
        <w:rPr>
          <w:rFonts w:hint="eastAsia" w:ascii="宋体" w:hAnsi="宋体" w:eastAsia="宋体" w:cs="Times New Roman"/>
          <w:b/>
          <w:bCs w:val="0"/>
          <w:snapToGrid w:val="0"/>
          <w:color w:val="auto"/>
          <w:szCs w:val="21"/>
          <w:highlight w:val="none"/>
          <w:lang w:val="zh-CN" w:eastAsia="zh-CN"/>
        </w:rPr>
      </w:pPr>
      <w:r>
        <w:rPr>
          <w:rFonts w:hint="eastAsia" w:ascii="宋体" w:hAnsi="宋体" w:eastAsia="宋体" w:cs="Times New Roman"/>
          <w:b/>
          <w:bCs w:val="0"/>
          <w:snapToGrid w:val="0"/>
          <w:color w:val="auto"/>
          <w:szCs w:val="21"/>
          <w:highlight w:val="none"/>
          <w:lang w:val="zh-CN" w:eastAsia="zh-CN"/>
        </w:rPr>
        <w:t>注：</w:t>
      </w:r>
    </w:p>
    <w:p w14:paraId="6D28F35C">
      <w:pPr>
        <w:spacing w:line="240" w:lineRule="auto"/>
        <w:ind w:firstLine="422" w:firstLineChars="200"/>
        <w:jc w:val="left"/>
        <w:rPr>
          <w:rFonts w:hint="eastAsia" w:ascii="宋体" w:hAnsi="宋体" w:eastAsia="宋体" w:cs="Times New Roman"/>
          <w:b/>
          <w:bCs w:val="0"/>
          <w:snapToGrid w:val="0"/>
          <w:color w:val="auto"/>
          <w:szCs w:val="21"/>
          <w:highlight w:val="none"/>
          <w:lang w:val="zh-CN" w:eastAsia="zh-CN"/>
        </w:rPr>
      </w:pPr>
      <w:r>
        <w:rPr>
          <w:rFonts w:hint="eastAsia" w:ascii="宋体" w:hAnsi="宋体" w:eastAsia="宋体" w:cs="Times New Roman"/>
          <w:b/>
          <w:bCs w:val="0"/>
          <w:snapToGrid w:val="0"/>
          <w:color w:val="auto"/>
          <w:szCs w:val="21"/>
          <w:highlight w:val="none"/>
          <w:lang w:val="zh-CN" w:eastAsia="zh-CN"/>
        </w:rPr>
        <w:t>1、监狱企业视同小型、微型企业，享受预留份额、评审中价格扣除等促进中小企业发展的政府采购政策。监狱企业属于小型、微型企业的，不重复享受政策。</w:t>
      </w:r>
    </w:p>
    <w:p w14:paraId="1ADEDEED">
      <w:pPr>
        <w:spacing w:line="240" w:lineRule="auto"/>
        <w:ind w:firstLine="422" w:firstLineChars="200"/>
        <w:jc w:val="left"/>
        <w:rPr>
          <w:rFonts w:hint="eastAsia" w:ascii="宋体" w:hAnsi="宋体" w:eastAsia="宋体" w:cs="Times New Roman"/>
          <w:b/>
          <w:bCs w:val="0"/>
          <w:snapToGrid w:val="0"/>
          <w:color w:val="auto"/>
          <w:szCs w:val="21"/>
          <w:highlight w:val="none"/>
          <w:lang w:val="zh-CN" w:eastAsia="zh-CN"/>
        </w:rPr>
      </w:pPr>
      <w:r>
        <w:rPr>
          <w:rFonts w:hint="eastAsia" w:ascii="宋体" w:hAnsi="宋体" w:eastAsia="宋体" w:cs="Times New Roman"/>
          <w:b/>
          <w:bCs w:val="0"/>
          <w:snapToGrid w:val="0"/>
          <w:color w:val="auto"/>
          <w:szCs w:val="21"/>
          <w:highlight w:val="none"/>
          <w:lang w:val="zh-CN" w:eastAsia="zh-CN"/>
        </w:rPr>
        <w:t>2、供应商为非监狱企业的，可不提供此证明。</w:t>
      </w:r>
    </w:p>
    <w:p w14:paraId="22F11E17">
      <w:pPr>
        <w:spacing w:line="24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br w:type="page"/>
      </w:r>
    </w:p>
    <w:p w14:paraId="282BC036">
      <w:pPr>
        <w:spacing w:line="240" w:lineRule="auto"/>
        <w:outlineLvl w:val="1"/>
        <w:rPr>
          <w:rFonts w:ascii="宋体" w:hAnsi="宋体" w:cs="宋体"/>
          <w:b/>
          <w:color w:val="auto"/>
          <w:sz w:val="21"/>
          <w:szCs w:val="21"/>
          <w:highlight w:val="none"/>
        </w:rPr>
      </w:pPr>
      <w:bookmarkStart w:id="401" w:name="_Toc24979"/>
      <w:r>
        <w:rPr>
          <w:rFonts w:hint="eastAsia" w:ascii="宋体" w:hAnsi="宋体" w:cs="宋体"/>
          <w:b/>
          <w:bCs/>
          <w:color w:val="auto"/>
          <w:sz w:val="21"/>
          <w:szCs w:val="21"/>
          <w:highlight w:val="none"/>
          <w:lang w:val="zh-CN"/>
        </w:rPr>
        <w:t>附件四：</w:t>
      </w:r>
      <w:bookmarkEnd w:id="401"/>
    </w:p>
    <w:p w14:paraId="3C9479F0">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政府采购促进中小企业发展管理办法</w:t>
      </w:r>
    </w:p>
    <w:p w14:paraId="04FBE560">
      <w:pPr>
        <w:spacing w:line="240" w:lineRule="auto"/>
        <w:rPr>
          <w:rFonts w:ascii="宋体" w:hAnsi="宋体" w:cs="宋体"/>
          <w:color w:val="auto"/>
          <w:sz w:val="21"/>
          <w:szCs w:val="21"/>
          <w:highlight w:val="none"/>
        </w:rPr>
      </w:pPr>
    </w:p>
    <w:p w14:paraId="64AC619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第一条　为了发挥政府采购的政策功能，促进中小企业健康发展，根据《中华人民共和国政府采购法》、《中华人民共和国中小企业促进法》等有关法律法规，制定本办法。</w:t>
      </w:r>
    </w:p>
    <w:p w14:paraId="52F2E67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981BD8">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符合中小企业划分标准的个体工商户，在政府采购活动中视同中小企业。</w:t>
      </w:r>
    </w:p>
    <w:p w14:paraId="0A721FD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第三条　采购人在政府采购活动中应当通过加强采购需求管理，落实预留采购份额、价格评审优惠、优先采购等措施，提高中小企业在政府采购中的份额，支持中小企业发展。</w:t>
      </w:r>
    </w:p>
    <w:p w14:paraId="353213F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第四条　在政府采购活动中，供应商提供的货物、工程或者服务符合下列情形的，享受本办法规定的中小企业扶持政策：</w:t>
      </w:r>
    </w:p>
    <w:p w14:paraId="17861B0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（一）在货物采购项目中，货物由中小企业制造，即货物由中小企业生产且使用该中小企业商号或者注册商标；</w:t>
      </w:r>
    </w:p>
    <w:p w14:paraId="5EFF3CC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（二）在工程采购项目中，工程由中小企业承建，即工程施工单位为中小企业；</w:t>
      </w:r>
    </w:p>
    <w:p w14:paraId="66E3260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（三）在服务采购项目中，服务由中小企业承接，即提供服务的人员为中小企业依照《中华人民共和国劳动合同法》订立劳动合同的从业人员。</w:t>
      </w:r>
    </w:p>
    <w:p w14:paraId="5B1295D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在货物采购项目中，供应商提供的货物既有中小企业制造货物，也有大型企业制造货物的，不享受本办法规定的中小企业扶持政策。</w:t>
      </w:r>
    </w:p>
    <w:p w14:paraId="348345C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以联合体形式参加政府采购活动，联合体各方均为中小企业的，联合体视同中小企业。其中，联合体各方均为小微企业的，联合体视同小微企业。</w:t>
      </w:r>
    </w:p>
    <w:p w14:paraId="2720ED4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6EE06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DC82AC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符合下列情形之一的，可不专门面向中小企业预留采购份额：</w:t>
      </w:r>
    </w:p>
    <w:p w14:paraId="22AFC71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（一）法律法规和国家有关政策明确规定优先或者应当面向事业单位、社会组织等非企业主体采购的；</w:t>
      </w:r>
    </w:p>
    <w:p w14:paraId="08A7354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（二）因确需使用不可替代的专利、专有技术，基础设施限制，或者提供特定公共服务等原因，只能从中小企业之外的供应商处采购的；</w:t>
      </w:r>
    </w:p>
    <w:p w14:paraId="037896B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（三）按照本办法规定预留采购份额无法确保充分供应、充分竞争，或者存在可能影响政府采购目标实现的情形；</w:t>
      </w:r>
    </w:p>
    <w:p w14:paraId="6CF810F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（四）框架协议采购项目；</w:t>
      </w:r>
    </w:p>
    <w:p w14:paraId="5B93E7D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（五）省级以上人民政府财政部门规定的其他情形。</w:t>
      </w:r>
    </w:p>
    <w:p w14:paraId="2F2F73B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除上述情形外，其他均为适宜由中小企业提供的情形。</w:t>
      </w:r>
    </w:p>
    <w:p w14:paraId="2C18BE5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第七条　采购限额标准以上，200万元以下的货物和服务采购项目、400万元以下的工程采购项目，适宜由中小企业提供的，采购人应当专门面向中小企业采购。</w:t>
      </w:r>
    </w:p>
    <w:p w14:paraId="4A1729C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7E7A666">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（一）将采购项目整体或者设置采购包专门面向中小企业采购；</w:t>
      </w:r>
    </w:p>
    <w:p w14:paraId="76AD147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（二）要求供应商以联合体形式参加采购活动，且联合体中中小企业承担的部分达到一定比例；</w:t>
      </w:r>
    </w:p>
    <w:p w14:paraId="7C5D707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（三）要求获得采购合同的供应商将采购项目中的一定比例分包给一家或者多家中小企业。</w:t>
      </w:r>
    </w:p>
    <w:p w14:paraId="33BB019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组成联合体或者接受分包合同的中小企业与联合体内其他企业、分包企业之间不得存在直接控股、管理关系。</w:t>
      </w:r>
    </w:p>
    <w:p w14:paraId="6E7D68A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439F6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7B65AA">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A6F990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19C4C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5E30AE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第十二条　采购项目涉及中小企业采购的，采购文件应当明确以下内容：</w:t>
      </w:r>
    </w:p>
    <w:p w14:paraId="3EF061FA">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（一）预留份额的采购项目或者采购包，明确该项目或相关采购包专门面向中小企业采购，以及相关标的及预算金额；</w:t>
      </w:r>
    </w:p>
    <w:p w14:paraId="1EC47EF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（二）要求以联合体形式参加或者合同分包的，明确联合协议或者分包意向协议中中小企业合同金额应当达到的比例，并作为供应商资格条件；</w:t>
      </w:r>
    </w:p>
    <w:p w14:paraId="56F490F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（三）非预留份额的采购项目或者采购包，明确有关价格扣除比例或者价格分加分比例；</w:t>
      </w:r>
    </w:p>
    <w:p w14:paraId="0476BDB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（四）规定依据本办法规定享受扶持政策获得政府采购合同的，小微企业不得将合同分包给大中型企业，中型企业不得将合同分包给大型企业；</w:t>
      </w:r>
    </w:p>
    <w:p w14:paraId="3977A4E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（五）采购人认为具备相关条件的，明确对中小企业在资金支付期限、预付款比例等方面的优惠措施；</w:t>
      </w:r>
    </w:p>
    <w:p w14:paraId="7D59A87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（六）明确采购标的对应的中小企业划分标准所属行业；</w:t>
      </w:r>
    </w:p>
    <w:p w14:paraId="6AB8700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（七）法律法规和省级以上人民政府财政部门规定的其他事项。</w:t>
      </w:r>
    </w:p>
    <w:p w14:paraId="1C2B6B9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第十三条　中标、成交供应商享受本办法规定的中小企业扶持政策的，采购人、采购代理机构应当随中标、成交结果公开中标、成交供应商的《中小企业声明函》。</w:t>
      </w:r>
    </w:p>
    <w:p w14:paraId="6C7CBB5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适用招标投标法的政府采购工程建设项目，应当在公示中标候选人时公开中标候选人的《中小企业声明函》。</w:t>
      </w:r>
    </w:p>
    <w:p w14:paraId="07D2BF6A">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915B6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1C237DD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6A17BF0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中小企业主管部门应当在收到财政部门或者有关招标投标行政监督部门关于协助开展中小企业认定函后10个工作日内做出书面答复。</w:t>
      </w:r>
    </w:p>
    <w:p w14:paraId="3DF6AEA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5142A28">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562BB5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9A850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第二十条　供应商按照本办法规定提供声明函内容不实的，属于提供虚假材料谋取中标、成交，依照《中华人民共和国政府采购法》等国家有关规定追究相应责任。</w:t>
      </w:r>
    </w:p>
    <w:p w14:paraId="51E5F8A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适用招标投标法的政府采购工程建设项目，供应商按照本办法规定提供声明函内容不实的，属于弄虚作假骗取中标，依照《中华人民共和国招标投标法》等国家有关规定追究相应责任。</w:t>
      </w:r>
    </w:p>
    <w:p w14:paraId="6509B92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FDB05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第二十二条　对外援助项目、国家相关资格或者资质管理制度另有规定的项目，不适用本办法。</w:t>
      </w:r>
    </w:p>
    <w:p w14:paraId="0A26BA3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第二十三条　关于视同中小企业的其他主体的政府采购扶持政策，由财政部会同有关部门另行规定。</w:t>
      </w:r>
    </w:p>
    <w:p w14:paraId="229ED72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第二十四条　省级财政部门可以会同中小企业主管部门根据本办法的规定制定具体实施办法。</w:t>
      </w:r>
    </w:p>
    <w:p w14:paraId="7D1AC75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第二十五条　本办法自2021年1月1日起施行。《财政部工业和信息化部关于印发〈政府采购促进中小企业发展暂行办法〉的通知》（财库﹝2011﹞181号）同时废止。</w:t>
      </w:r>
    </w:p>
    <w:p w14:paraId="73CC3FD4">
      <w:pPr>
        <w:spacing w:line="240" w:lineRule="auto"/>
        <w:rPr>
          <w:rFonts w:ascii="宋体" w:hAnsi="宋体" w:cs="宋体"/>
          <w:color w:val="auto"/>
          <w:sz w:val="24"/>
          <w:highlight w:val="none"/>
        </w:rPr>
      </w:pPr>
    </w:p>
    <w:p w14:paraId="16632244">
      <w:pPr>
        <w:spacing w:line="240" w:lineRule="auto"/>
        <w:rPr>
          <w:rFonts w:ascii="宋体" w:hAnsi="宋体" w:cs="宋体"/>
          <w:color w:val="auto"/>
          <w:sz w:val="24"/>
          <w:highlight w:val="none"/>
        </w:rPr>
      </w:pPr>
    </w:p>
    <w:p w14:paraId="3DF2A4BB">
      <w:pPr>
        <w:spacing w:line="240" w:lineRule="auto"/>
        <w:rPr>
          <w:rFonts w:ascii="宋体" w:hAnsi="宋体" w:cs="宋体"/>
          <w:color w:val="auto"/>
          <w:sz w:val="24"/>
          <w:highlight w:val="none"/>
        </w:rPr>
      </w:pPr>
      <w:r>
        <w:rPr>
          <w:rFonts w:hint="eastAsia" w:ascii="宋体" w:hAnsi="宋体" w:cs="宋体"/>
          <w:color w:val="auto"/>
          <w:sz w:val="24"/>
          <w:highlight w:val="none"/>
        </w:rPr>
        <w:br w:type="page"/>
      </w:r>
    </w:p>
    <w:p w14:paraId="534ACE94">
      <w:pPr>
        <w:spacing w:line="240" w:lineRule="auto"/>
        <w:outlineLvl w:val="1"/>
        <w:rPr>
          <w:rFonts w:ascii="宋体" w:hAnsi="宋体" w:cs="宋体"/>
          <w:b/>
          <w:color w:val="auto"/>
          <w:sz w:val="21"/>
          <w:szCs w:val="21"/>
          <w:highlight w:val="none"/>
        </w:rPr>
      </w:pPr>
      <w:bookmarkStart w:id="402" w:name="_Toc244"/>
      <w:r>
        <w:rPr>
          <w:rFonts w:hint="eastAsia" w:ascii="宋体" w:hAnsi="宋体" w:cs="宋体"/>
          <w:b/>
          <w:bCs/>
          <w:color w:val="auto"/>
          <w:sz w:val="21"/>
          <w:szCs w:val="21"/>
          <w:highlight w:val="none"/>
          <w:lang w:val="zh-CN"/>
        </w:rPr>
        <w:t>附件</w:t>
      </w:r>
      <w:r>
        <w:rPr>
          <w:rFonts w:hint="eastAsia" w:ascii="宋体" w:hAnsi="宋体" w:cs="宋体"/>
          <w:b/>
          <w:bCs/>
          <w:color w:val="auto"/>
          <w:sz w:val="21"/>
          <w:szCs w:val="21"/>
          <w:highlight w:val="none"/>
        </w:rPr>
        <w:t>五</w:t>
      </w:r>
      <w:r>
        <w:rPr>
          <w:rFonts w:hint="eastAsia" w:ascii="宋体" w:hAnsi="宋体" w:cs="宋体"/>
          <w:b/>
          <w:bCs/>
          <w:color w:val="auto"/>
          <w:sz w:val="21"/>
          <w:szCs w:val="21"/>
          <w:highlight w:val="none"/>
          <w:lang w:val="zh-CN"/>
        </w:rPr>
        <w:t>：</w:t>
      </w:r>
      <w:bookmarkEnd w:id="402"/>
    </w:p>
    <w:p w14:paraId="1F64E870">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关于进一步加大政府采购支持中小企业力度的通知</w:t>
      </w:r>
    </w:p>
    <w:p w14:paraId="4EFAA054">
      <w:pPr>
        <w:spacing w:line="240" w:lineRule="auto"/>
        <w:ind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财库〔2022〕19号</w:t>
      </w:r>
    </w:p>
    <w:p w14:paraId="7F0015B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各中央预算单位，各省、自治区、直辖市、计划单列市财政厅（局），新疆生产建设兵团财政局：</w:t>
      </w:r>
    </w:p>
    <w:p w14:paraId="4EE0FB8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4B0599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FFCA50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3B0921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A22EE8A">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四、认真做好组织实施。各地区、各部门应当加强组织领导，明确工作责任，细化执行要求，强化监督检查，确保国务院部署落实到位，对通知执行中出现的问题要及时向财政部报告。</w:t>
      </w:r>
    </w:p>
    <w:p w14:paraId="5AC72B9D">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本通知自2022年7月1日起执行。</w:t>
      </w:r>
    </w:p>
    <w:p w14:paraId="7836AE2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0BFA21F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465D464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65E05AE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7E0E1B8A">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61D9AF9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09D39D7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31BF1D35">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br w:type="page"/>
      </w:r>
      <w:r>
        <w:rPr>
          <w:rFonts w:hint="eastAsia" w:ascii="宋体" w:hAnsi="宋体" w:eastAsia="宋体" w:cs="Times New Roman"/>
          <w:b/>
          <w:bCs w:val="0"/>
          <w:snapToGrid w:val="0"/>
          <w:color w:val="auto"/>
          <w:szCs w:val="21"/>
          <w:highlight w:val="none"/>
          <w:lang w:val="zh-CN" w:eastAsia="zh-CN"/>
        </w:rPr>
        <w:t>附件六：</w:t>
      </w:r>
    </w:p>
    <w:p w14:paraId="6F89CD58">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01F7C55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国家统计局关于印发《统计上大中小微型企业划分办法（2017）》的通知</w:t>
      </w:r>
    </w:p>
    <w:p w14:paraId="22723EFB">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各省、自治区、直辖市统计局，新疆生产建设兵团统计局，国务院各有关部门，国家统计局</w:t>
      </w:r>
    </w:p>
    <w:p w14:paraId="0428C014">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各调查总队： </w:t>
      </w:r>
    </w:p>
    <w:p w14:paraId="623339A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61A29B1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统计上大中小微型企业划分办法（2017）</w:t>
      </w:r>
    </w:p>
    <w:p w14:paraId="3D378BD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0D1AE20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二、本办法适用对象为在中华人民共和国境内依法设立的各种组织形式的法人企业或单位。个体工商户参照本办法进行划分。 </w:t>
      </w:r>
    </w:p>
    <w:p w14:paraId="1A11134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1EF2E60E">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四、本办法按照行业门类、大类、中类和组合类别，依据从业人员、营业收入、资产总额等指标或替代指标，将我国的企业划分为大型、中型、小型、微型等四种类型。具体划分标准见附表。 </w:t>
      </w:r>
    </w:p>
    <w:p w14:paraId="54032701">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五、企业划分由政府综合统计部门根据统计年报每年确定一次，定报统计原则上不进行调整。</w:t>
      </w:r>
    </w:p>
    <w:p w14:paraId="2AF41952">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六、本办法自印发之日起执行，国家统计局 2011 年印发的《统计上大中小微型企业划分办法》（国统字〔2011〕75 号）同时废止。 </w:t>
      </w:r>
    </w:p>
    <w:p w14:paraId="4C12600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xml:space="preserve">附表：统计上大中小微型企业划分标准 </w:t>
      </w:r>
    </w:p>
    <w:p w14:paraId="7B32AF75">
      <w:pPr>
        <w:widowControl/>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统计上大中小微型企业划分标准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C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41B331">
            <w:pPr>
              <w:keepNext w:val="0"/>
              <w:keepLines w:val="0"/>
              <w:widowControl/>
              <w:suppressLineNumbers w:val="0"/>
              <w:spacing w:before="0" w:beforeAutospacing="0" w:after="0" w:afterAutospacing="0" w:line="240" w:lineRule="auto"/>
              <w:ind w:left="0" w:right="0" w:firstLine="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行业名称</w:t>
            </w:r>
          </w:p>
        </w:tc>
        <w:tc>
          <w:tcPr>
            <w:tcW w:w="1369" w:type="dxa"/>
            <w:noWrap w:val="0"/>
            <w:vAlign w:val="center"/>
          </w:tcPr>
          <w:p w14:paraId="4E3B7A01">
            <w:pPr>
              <w:keepNext w:val="0"/>
              <w:keepLines w:val="0"/>
              <w:widowControl/>
              <w:suppressLineNumbers w:val="0"/>
              <w:spacing w:before="0" w:beforeAutospacing="0" w:after="0" w:afterAutospacing="0" w:line="240" w:lineRule="auto"/>
              <w:ind w:left="0" w:right="0" w:firstLine="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指标名称</w:t>
            </w:r>
          </w:p>
        </w:tc>
        <w:tc>
          <w:tcPr>
            <w:tcW w:w="709" w:type="dxa"/>
            <w:noWrap w:val="0"/>
            <w:vAlign w:val="center"/>
          </w:tcPr>
          <w:p w14:paraId="43757415">
            <w:pPr>
              <w:keepNext w:val="0"/>
              <w:keepLines w:val="0"/>
              <w:widowControl/>
              <w:suppressLineNumbers w:val="0"/>
              <w:spacing w:before="0" w:beforeAutospacing="0" w:after="0" w:afterAutospacing="0" w:line="240" w:lineRule="auto"/>
              <w:ind w:left="0" w:right="0" w:firstLine="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计量</w:t>
            </w:r>
          </w:p>
          <w:p w14:paraId="57C5E8DF">
            <w:pPr>
              <w:keepNext w:val="0"/>
              <w:keepLines w:val="0"/>
              <w:widowControl/>
              <w:suppressLineNumbers w:val="0"/>
              <w:spacing w:before="0" w:beforeAutospacing="0" w:after="0" w:afterAutospacing="0" w:line="240" w:lineRule="auto"/>
              <w:ind w:left="0" w:right="0" w:firstLine="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1125" w:type="dxa"/>
            <w:noWrap w:val="0"/>
            <w:vAlign w:val="center"/>
          </w:tcPr>
          <w:p w14:paraId="55FA12E7">
            <w:pPr>
              <w:keepNext w:val="0"/>
              <w:keepLines w:val="0"/>
              <w:widowControl/>
              <w:suppressLineNumbers w:val="0"/>
              <w:spacing w:before="0" w:beforeAutospacing="0" w:after="0" w:afterAutospacing="0" w:line="240" w:lineRule="auto"/>
              <w:ind w:left="0" w:right="0" w:firstLine="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大型</w:t>
            </w:r>
          </w:p>
        </w:tc>
        <w:tc>
          <w:tcPr>
            <w:tcW w:w="1701" w:type="dxa"/>
            <w:noWrap w:val="0"/>
            <w:vAlign w:val="center"/>
          </w:tcPr>
          <w:p w14:paraId="47DF5BCE">
            <w:pPr>
              <w:keepNext w:val="0"/>
              <w:keepLines w:val="0"/>
              <w:widowControl/>
              <w:suppressLineNumbers w:val="0"/>
              <w:spacing w:before="0" w:beforeAutospacing="0" w:after="0" w:afterAutospacing="0" w:line="240" w:lineRule="auto"/>
              <w:ind w:left="0" w:right="0" w:firstLine="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中型</w:t>
            </w:r>
          </w:p>
        </w:tc>
        <w:tc>
          <w:tcPr>
            <w:tcW w:w="1426" w:type="dxa"/>
            <w:noWrap w:val="0"/>
            <w:vAlign w:val="center"/>
          </w:tcPr>
          <w:p w14:paraId="33905AD8">
            <w:pPr>
              <w:keepNext w:val="0"/>
              <w:keepLines w:val="0"/>
              <w:widowControl/>
              <w:suppressLineNumbers w:val="0"/>
              <w:spacing w:before="0" w:beforeAutospacing="0" w:after="0" w:afterAutospacing="0" w:line="240" w:lineRule="auto"/>
              <w:ind w:left="0" w:right="0" w:firstLine="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小型</w:t>
            </w:r>
          </w:p>
        </w:tc>
        <w:tc>
          <w:tcPr>
            <w:tcW w:w="992" w:type="dxa"/>
            <w:noWrap w:val="0"/>
            <w:vAlign w:val="center"/>
          </w:tcPr>
          <w:p w14:paraId="0BADB77A">
            <w:pPr>
              <w:keepNext w:val="0"/>
              <w:keepLines w:val="0"/>
              <w:widowControl/>
              <w:suppressLineNumbers w:val="0"/>
              <w:spacing w:before="0" w:beforeAutospacing="0" w:after="0" w:afterAutospacing="0" w:line="240" w:lineRule="auto"/>
              <w:ind w:left="0" w:right="0" w:firstLine="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微型</w:t>
            </w:r>
          </w:p>
        </w:tc>
      </w:tr>
      <w:tr w14:paraId="15A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BE3E93">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农、林、牧、渔业</w:t>
            </w:r>
          </w:p>
        </w:tc>
        <w:tc>
          <w:tcPr>
            <w:tcW w:w="1369" w:type="dxa"/>
            <w:noWrap w:val="0"/>
            <w:vAlign w:val="center"/>
          </w:tcPr>
          <w:p w14:paraId="6EE3D23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4A923D9F">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1B45E339">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Y≥20000</w:t>
            </w:r>
          </w:p>
        </w:tc>
        <w:tc>
          <w:tcPr>
            <w:tcW w:w="1701" w:type="dxa"/>
            <w:noWrap w:val="0"/>
            <w:vAlign w:val="center"/>
          </w:tcPr>
          <w:p w14:paraId="2159CFE2">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500≤Y＜20000</w:t>
            </w:r>
          </w:p>
        </w:tc>
        <w:tc>
          <w:tcPr>
            <w:tcW w:w="1426" w:type="dxa"/>
            <w:noWrap w:val="0"/>
            <w:vAlign w:val="center"/>
          </w:tcPr>
          <w:p w14:paraId="70254480">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50≤Y＜500</w:t>
            </w:r>
          </w:p>
        </w:tc>
        <w:tc>
          <w:tcPr>
            <w:tcW w:w="992" w:type="dxa"/>
            <w:noWrap w:val="0"/>
            <w:vAlign w:val="center"/>
          </w:tcPr>
          <w:p w14:paraId="5E17168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Y＜50</w:t>
            </w:r>
          </w:p>
        </w:tc>
      </w:tr>
      <w:tr w14:paraId="51C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F5A136">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工业 *</w:t>
            </w:r>
          </w:p>
        </w:tc>
        <w:tc>
          <w:tcPr>
            <w:tcW w:w="1369" w:type="dxa"/>
            <w:noWrap w:val="0"/>
            <w:vAlign w:val="center"/>
          </w:tcPr>
          <w:p w14:paraId="01201E26">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5412E392">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415FEB0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X≥1000</w:t>
            </w:r>
          </w:p>
        </w:tc>
        <w:tc>
          <w:tcPr>
            <w:tcW w:w="1701" w:type="dxa"/>
            <w:noWrap w:val="0"/>
            <w:vAlign w:val="center"/>
          </w:tcPr>
          <w:p w14:paraId="49C4D900">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300≤X＜1000</w:t>
            </w:r>
          </w:p>
        </w:tc>
        <w:tc>
          <w:tcPr>
            <w:tcW w:w="1426" w:type="dxa"/>
            <w:noWrap w:val="0"/>
            <w:vAlign w:val="center"/>
          </w:tcPr>
          <w:p w14:paraId="7A0FCEF6">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20≤X＜300</w:t>
            </w:r>
          </w:p>
        </w:tc>
        <w:tc>
          <w:tcPr>
            <w:tcW w:w="992" w:type="dxa"/>
            <w:noWrap w:val="0"/>
            <w:vAlign w:val="center"/>
          </w:tcPr>
          <w:p w14:paraId="32DB8AC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X＜20</w:t>
            </w:r>
          </w:p>
        </w:tc>
      </w:tr>
      <w:tr w14:paraId="2A9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459B7A4">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11F5CC7F">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37C5013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4E888DD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Y≥40000</w:t>
            </w:r>
          </w:p>
        </w:tc>
        <w:tc>
          <w:tcPr>
            <w:tcW w:w="1701" w:type="dxa"/>
            <w:noWrap w:val="0"/>
            <w:vAlign w:val="center"/>
          </w:tcPr>
          <w:p w14:paraId="0FDE371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2000≤Y＜40000</w:t>
            </w:r>
          </w:p>
        </w:tc>
        <w:tc>
          <w:tcPr>
            <w:tcW w:w="1426" w:type="dxa"/>
            <w:noWrap w:val="0"/>
            <w:vAlign w:val="center"/>
          </w:tcPr>
          <w:p w14:paraId="76FBF580">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300≤Y＜2000</w:t>
            </w:r>
          </w:p>
        </w:tc>
        <w:tc>
          <w:tcPr>
            <w:tcW w:w="992" w:type="dxa"/>
            <w:noWrap w:val="0"/>
            <w:vAlign w:val="center"/>
          </w:tcPr>
          <w:p w14:paraId="0722B309">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Y＜300</w:t>
            </w:r>
          </w:p>
        </w:tc>
      </w:tr>
      <w:tr w14:paraId="5FB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36D324">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建筑业</w:t>
            </w:r>
          </w:p>
        </w:tc>
        <w:tc>
          <w:tcPr>
            <w:tcW w:w="1369" w:type="dxa"/>
            <w:noWrap w:val="0"/>
            <w:vAlign w:val="center"/>
          </w:tcPr>
          <w:p w14:paraId="48E4B7C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6B0E595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58AC02E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Y≥80000</w:t>
            </w:r>
          </w:p>
        </w:tc>
        <w:tc>
          <w:tcPr>
            <w:tcW w:w="1701" w:type="dxa"/>
            <w:noWrap w:val="0"/>
            <w:vAlign w:val="center"/>
          </w:tcPr>
          <w:p w14:paraId="5249350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6000≤Y＜80000</w:t>
            </w:r>
          </w:p>
        </w:tc>
        <w:tc>
          <w:tcPr>
            <w:tcW w:w="1426" w:type="dxa"/>
            <w:noWrap w:val="0"/>
            <w:vAlign w:val="center"/>
          </w:tcPr>
          <w:p w14:paraId="0FECAAD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300≤Y＜6000</w:t>
            </w:r>
          </w:p>
        </w:tc>
        <w:tc>
          <w:tcPr>
            <w:tcW w:w="992" w:type="dxa"/>
            <w:noWrap w:val="0"/>
            <w:vAlign w:val="center"/>
          </w:tcPr>
          <w:p w14:paraId="068C483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Y＜300</w:t>
            </w:r>
          </w:p>
        </w:tc>
      </w:tr>
      <w:tr w14:paraId="5FE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52651A4">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5D3FDFC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资产总额</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Z)</w:t>
            </w:r>
          </w:p>
        </w:tc>
        <w:tc>
          <w:tcPr>
            <w:tcW w:w="709" w:type="dxa"/>
            <w:noWrap w:val="0"/>
            <w:vAlign w:val="center"/>
          </w:tcPr>
          <w:p w14:paraId="0230981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676BDCEF">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Z≥80000</w:t>
            </w:r>
          </w:p>
        </w:tc>
        <w:tc>
          <w:tcPr>
            <w:tcW w:w="1701" w:type="dxa"/>
            <w:noWrap w:val="0"/>
            <w:vAlign w:val="center"/>
          </w:tcPr>
          <w:p w14:paraId="26088D5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5000≤Z＜80000</w:t>
            </w:r>
          </w:p>
        </w:tc>
        <w:tc>
          <w:tcPr>
            <w:tcW w:w="1426" w:type="dxa"/>
            <w:noWrap w:val="0"/>
            <w:vAlign w:val="center"/>
          </w:tcPr>
          <w:p w14:paraId="4EAB10D8">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300≤Z＜5000</w:t>
            </w:r>
          </w:p>
        </w:tc>
        <w:tc>
          <w:tcPr>
            <w:tcW w:w="992" w:type="dxa"/>
            <w:noWrap w:val="0"/>
            <w:vAlign w:val="center"/>
          </w:tcPr>
          <w:p w14:paraId="2217610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Z＜300</w:t>
            </w:r>
          </w:p>
        </w:tc>
      </w:tr>
      <w:tr w14:paraId="63B5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827368">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批发业</w:t>
            </w:r>
          </w:p>
        </w:tc>
        <w:tc>
          <w:tcPr>
            <w:tcW w:w="1369" w:type="dxa"/>
            <w:noWrap w:val="0"/>
            <w:vAlign w:val="center"/>
          </w:tcPr>
          <w:p w14:paraId="7CA0569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06DF9AB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7791AB1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X≥200</w:t>
            </w:r>
          </w:p>
        </w:tc>
        <w:tc>
          <w:tcPr>
            <w:tcW w:w="1701" w:type="dxa"/>
            <w:noWrap w:val="0"/>
            <w:vAlign w:val="center"/>
          </w:tcPr>
          <w:p w14:paraId="634B358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20≤X＜200</w:t>
            </w:r>
          </w:p>
        </w:tc>
        <w:tc>
          <w:tcPr>
            <w:tcW w:w="1426" w:type="dxa"/>
            <w:noWrap w:val="0"/>
            <w:vAlign w:val="center"/>
          </w:tcPr>
          <w:p w14:paraId="77BC436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5≤X＜20</w:t>
            </w:r>
          </w:p>
        </w:tc>
        <w:tc>
          <w:tcPr>
            <w:tcW w:w="992" w:type="dxa"/>
            <w:noWrap w:val="0"/>
            <w:vAlign w:val="center"/>
          </w:tcPr>
          <w:p w14:paraId="7975845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X＜5</w:t>
            </w:r>
          </w:p>
        </w:tc>
      </w:tr>
      <w:tr w14:paraId="697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C471B6">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0D222F7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04D4F56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365FFF4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Y≥40000</w:t>
            </w:r>
          </w:p>
        </w:tc>
        <w:tc>
          <w:tcPr>
            <w:tcW w:w="1701" w:type="dxa"/>
            <w:noWrap w:val="0"/>
            <w:vAlign w:val="center"/>
          </w:tcPr>
          <w:p w14:paraId="67FFA2C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5000≤Y＜40000</w:t>
            </w:r>
          </w:p>
        </w:tc>
        <w:tc>
          <w:tcPr>
            <w:tcW w:w="1426" w:type="dxa"/>
            <w:noWrap w:val="0"/>
            <w:vAlign w:val="center"/>
          </w:tcPr>
          <w:p w14:paraId="21A07DE4">
            <w:pPr>
              <w:keepNext w:val="0"/>
              <w:keepLines w:val="0"/>
              <w:widowControl/>
              <w:suppressLineNumbers w:val="0"/>
              <w:spacing w:before="0" w:beforeAutospacing="0" w:after="0" w:afterAutospacing="0" w:line="240" w:lineRule="auto"/>
              <w:ind w:left="-1" w:leftChars="-1" w:right="0" w:hanging="1"/>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1000≤Y＜5000</w:t>
            </w:r>
          </w:p>
        </w:tc>
        <w:tc>
          <w:tcPr>
            <w:tcW w:w="992" w:type="dxa"/>
            <w:noWrap w:val="0"/>
            <w:vAlign w:val="center"/>
          </w:tcPr>
          <w:p w14:paraId="238DB87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Y＜1000</w:t>
            </w:r>
          </w:p>
        </w:tc>
      </w:tr>
      <w:tr w14:paraId="23FC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77939B3">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零售业</w:t>
            </w:r>
          </w:p>
        </w:tc>
        <w:tc>
          <w:tcPr>
            <w:tcW w:w="1369" w:type="dxa"/>
            <w:noWrap w:val="0"/>
            <w:vAlign w:val="center"/>
          </w:tcPr>
          <w:p w14:paraId="60179818">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7884AA5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7509081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X≥300</w:t>
            </w:r>
          </w:p>
        </w:tc>
        <w:tc>
          <w:tcPr>
            <w:tcW w:w="1701" w:type="dxa"/>
            <w:noWrap w:val="0"/>
            <w:vAlign w:val="center"/>
          </w:tcPr>
          <w:p w14:paraId="220BCE9F">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50≤X＜300</w:t>
            </w:r>
          </w:p>
        </w:tc>
        <w:tc>
          <w:tcPr>
            <w:tcW w:w="1426" w:type="dxa"/>
            <w:noWrap w:val="0"/>
            <w:vAlign w:val="center"/>
          </w:tcPr>
          <w:p w14:paraId="27BA5460">
            <w:pPr>
              <w:keepNext w:val="0"/>
              <w:keepLines w:val="0"/>
              <w:widowControl/>
              <w:suppressLineNumbers w:val="0"/>
              <w:spacing w:before="0" w:beforeAutospacing="0" w:after="0" w:afterAutospacing="0" w:line="240" w:lineRule="auto"/>
              <w:ind w:left="-1" w:leftChars="-1" w:right="0" w:hanging="1"/>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10≤X＜50 </w:t>
            </w:r>
          </w:p>
        </w:tc>
        <w:tc>
          <w:tcPr>
            <w:tcW w:w="992" w:type="dxa"/>
            <w:noWrap w:val="0"/>
            <w:vAlign w:val="center"/>
          </w:tcPr>
          <w:p w14:paraId="687ADC1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w:t>
            </w:r>
          </w:p>
        </w:tc>
      </w:tr>
      <w:tr w14:paraId="7EF9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DF351AD">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25F84B50">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73D5B1F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3600C95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Y≥20000</w:t>
            </w:r>
          </w:p>
        </w:tc>
        <w:tc>
          <w:tcPr>
            <w:tcW w:w="1701" w:type="dxa"/>
            <w:noWrap w:val="0"/>
            <w:vAlign w:val="center"/>
          </w:tcPr>
          <w:p w14:paraId="371D2C6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500≤Y＜20000</w:t>
            </w:r>
          </w:p>
        </w:tc>
        <w:tc>
          <w:tcPr>
            <w:tcW w:w="1426" w:type="dxa"/>
            <w:noWrap w:val="0"/>
            <w:vAlign w:val="center"/>
          </w:tcPr>
          <w:p w14:paraId="2CACD467">
            <w:pPr>
              <w:keepNext w:val="0"/>
              <w:keepLines w:val="0"/>
              <w:widowControl/>
              <w:suppressLineNumbers w:val="0"/>
              <w:spacing w:before="0" w:beforeAutospacing="0" w:after="0" w:afterAutospacing="0" w:line="240" w:lineRule="auto"/>
              <w:ind w:left="-1" w:leftChars="-1" w:right="0" w:hanging="1"/>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100≤Y＜500 </w:t>
            </w:r>
          </w:p>
        </w:tc>
        <w:tc>
          <w:tcPr>
            <w:tcW w:w="992" w:type="dxa"/>
            <w:noWrap w:val="0"/>
            <w:vAlign w:val="center"/>
          </w:tcPr>
          <w:p w14:paraId="28F31C38">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w:t>
            </w:r>
          </w:p>
        </w:tc>
      </w:tr>
      <w:tr w14:paraId="2854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6E045D">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交通运输业 *</w:t>
            </w:r>
          </w:p>
        </w:tc>
        <w:tc>
          <w:tcPr>
            <w:tcW w:w="1369" w:type="dxa"/>
            <w:noWrap w:val="0"/>
            <w:vAlign w:val="center"/>
          </w:tcPr>
          <w:p w14:paraId="3252AFE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19A1B6F6">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66DA692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X≥1000</w:t>
            </w:r>
          </w:p>
        </w:tc>
        <w:tc>
          <w:tcPr>
            <w:tcW w:w="1701" w:type="dxa"/>
            <w:noWrap w:val="0"/>
            <w:vAlign w:val="center"/>
          </w:tcPr>
          <w:p w14:paraId="1FAA227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300≤X＜1000</w:t>
            </w:r>
          </w:p>
        </w:tc>
        <w:tc>
          <w:tcPr>
            <w:tcW w:w="1426" w:type="dxa"/>
            <w:noWrap w:val="0"/>
            <w:vAlign w:val="center"/>
          </w:tcPr>
          <w:p w14:paraId="2C24F7D6">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20≤X＜300</w:t>
            </w:r>
          </w:p>
        </w:tc>
        <w:tc>
          <w:tcPr>
            <w:tcW w:w="992" w:type="dxa"/>
            <w:noWrap w:val="0"/>
            <w:vAlign w:val="center"/>
          </w:tcPr>
          <w:p w14:paraId="0E0D769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X＜20</w:t>
            </w:r>
          </w:p>
        </w:tc>
      </w:tr>
      <w:tr w14:paraId="56D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0DE3D63">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6AC7E928">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3F87596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24C22CA2">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Y≥30000</w:t>
            </w:r>
          </w:p>
        </w:tc>
        <w:tc>
          <w:tcPr>
            <w:tcW w:w="1701" w:type="dxa"/>
            <w:noWrap w:val="0"/>
            <w:vAlign w:val="center"/>
          </w:tcPr>
          <w:p w14:paraId="7BF544C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3000≤Y＜30000</w:t>
            </w:r>
          </w:p>
        </w:tc>
        <w:tc>
          <w:tcPr>
            <w:tcW w:w="1426" w:type="dxa"/>
            <w:noWrap w:val="0"/>
            <w:vAlign w:val="center"/>
          </w:tcPr>
          <w:p w14:paraId="087CB860">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200≤Y＜3000</w:t>
            </w:r>
          </w:p>
        </w:tc>
        <w:tc>
          <w:tcPr>
            <w:tcW w:w="992" w:type="dxa"/>
            <w:noWrap w:val="0"/>
            <w:vAlign w:val="center"/>
          </w:tcPr>
          <w:p w14:paraId="3E0E57E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Y＜200</w:t>
            </w:r>
          </w:p>
        </w:tc>
      </w:tr>
      <w:tr w14:paraId="5461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EF2D559">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仓储业*</w:t>
            </w:r>
          </w:p>
        </w:tc>
        <w:tc>
          <w:tcPr>
            <w:tcW w:w="1369" w:type="dxa"/>
            <w:noWrap w:val="0"/>
            <w:vAlign w:val="center"/>
          </w:tcPr>
          <w:p w14:paraId="4A67103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7545523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4438567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X≥200</w:t>
            </w:r>
          </w:p>
        </w:tc>
        <w:tc>
          <w:tcPr>
            <w:tcW w:w="1701" w:type="dxa"/>
            <w:noWrap w:val="0"/>
            <w:vAlign w:val="center"/>
          </w:tcPr>
          <w:p w14:paraId="22A37B47">
            <w:pPr>
              <w:keepNext w:val="0"/>
              <w:keepLines w:val="0"/>
              <w:widowControl/>
              <w:suppressLineNumbers w:val="0"/>
              <w:spacing w:before="0" w:beforeAutospacing="0" w:after="0" w:afterAutospacing="0" w:line="240" w:lineRule="auto"/>
              <w:ind w:left="19" w:leftChars="-51" w:right="0" w:hanging="126" w:hangingChars="6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100≤X＜200</w:t>
            </w:r>
          </w:p>
        </w:tc>
        <w:tc>
          <w:tcPr>
            <w:tcW w:w="1426" w:type="dxa"/>
            <w:noWrap w:val="0"/>
            <w:vAlign w:val="center"/>
          </w:tcPr>
          <w:p w14:paraId="47D3A37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20≤X＜100</w:t>
            </w:r>
          </w:p>
        </w:tc>
        <w:tc>
          <w:tcPr>
            <w:tcW w:w="992" w:type="dxa"/>
            <w:noWrap w:val="0"/>
            <w:vAlign w:val="center"/>
          </w:tcPr>
          <w:p w14:paraId="2BFDC85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X＜20</w:t>
            </w:r>
          </w:p>
        </w:tc>
      </w:tr>
      <w:tr w14:paraId="1C51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4C66B01">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5538B650">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2422037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21D7112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Y≥30000</w:t>
            </w:r>
          </w:p>
        </w:tc>
        <w:tc>
          <w:tcPr>
            <w:tcW w:w="1701" w:type="dxa"/>
            <w:noWrap w:val="0"/>
            <w:vAlign w:val="center"/>
          </w:tcPr>
          <w:p w14:paraId="166B0A0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1000≤Y＜30000</w:t>
            </w:r>
          </w:p>
        </w:tc>
        <w:tc>
          <w:tcPr>
            <w:tcW w:w="1426" w:type="dxa"/>
            <w:noWrap w:val="0"/>
            <w:vAlign w:val="center"/>
          </w:tcPr>
          <w:p w14:paraId="0309307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100≤Y＜1000</w:t>
            </w:r>
          </w:p>
        </w:tc>
        <w:tc>
          <w:tcPr>
            <w:tcW w:w="992" w:type="dxa"/>
            <w:noWrap w:val="0"/>
            <w:vAlign w:val="center"/>
          </w:tcPr>
          <w:p w14:paraId="64F9DC9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w:t>
            </w:r>
          </w:p>
        </w:tc>
      </w:tr>
      <w:tr w14:paraId="4BD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393FD49A">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邮政业</w:t>
            </w:r>
          </w:p>
        </w:tc>
        <w:tc>
          <w:tcPr>
            <w:tcW w:w="1369" w:type="dxa"/>
            <w:noWrap w:val="0"/>
            <w:vAlign w:val="center"/>
          </w:tcPr>
          <w:p w14:paraId="578CB43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39B052C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5CBEFBE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X≥1000</w:t>
            </w:r>
          </w:p>
        </w:tc>
        <w:tc>
          <w:tcPr>
            <w:tcW w:w="1701" w:type="dxa"/>
            <w:noWrap w:val="0"/>
            <w:vAlign w:val="center"/>
          </w:tcPr>
          <w:p w14:paraId="59C71B2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300≤X＜1000</w:t>
            </w:r>
          </w:p>
        </w:tc>
        <w:tc>
          <w:tcPr>
            <w:tcW w:w="1426" w:type="dxa"/>
            <w:noWrap w:val="0"/>
            <w:vAlign w:val="center"/>
          </w:tcPr>
          <w:p w14:paraId="7A46E6F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20≤X＜300</w:t>
            </w:r>
          </w:p>
        </w:tc>
        <w:tc>
          <w:tcPr>
            <w:tcW w:w="992" w:type="dxa"/>
            <w:noWrap w:val="0"/>
            <w:vAlign w:val="center"/>
          </w:tcPr>
          <w:p w14:paraId="3092571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X＜20</w:t>
            </w:r>
          </w:p>
        </w:tc>
      </w:tr>
      <w:tr w14:paraId="26E0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776CC7F">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1999BB60">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78E3BE5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6996C28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Y≥30000</w:t>
            </w:r>
          </w:p>
        </w:tc>
        <w:tc>
          <w:tcPr>
            <w:tcW w:w="1701" w:type="dxa"/>
            <w:noWrap w:val="0"/>
            <w:vAlign w:val="center"/>
          </w:tcPr>
          <w:p w14:paraId="6CEB66D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2000≤Y＜30000</w:t>
            </w:r>
          </w:p>
        </w:tc>
        <w:tc>
          <w:tcPr>
            <w:tcW w:w="1426" w:type="dxa"/>
            <w:noWrap w:val="0"/>
            <w:vAlign w:val="center"/>
          </w:tcPr>
          <w:p w14:paraId="1325BEE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100≤Y＜2000</w:t>
            </w:r>
          </w:p>
        </w:tc>
        <w:tc>
          <w:tcPr>
            <w:tcW w:w="992" w:type="dxa"/>
            <w:noWrap w:val="0"/>
            <w:vAlign w:val="center"/>
          </w:tcPr>
          <w:p w14:paraId="2A7DE986">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w:t>
            </w:r>
          </w:p>
        </w:tc>
      </w:tr>
      <w:tr w14:paraId="70E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55F34714">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住宿业</w:t>
            </w:r>
          </w:p>
        </w:tc>
        <w:tc>
          <w:tcPr>
            <w:tcW w:w="1369" w:type="dxa"/>
            <w:noWrap w:val="0"/>
            <w:vAlign w:val="center"/>
          </w:tcPr>
          <w:p w14:paraId="094915C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4BC3AF8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64E791B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X≥300</w:t>
            </w:r>
          </w:p>
        </w:tc>
        <w:tc>
          <w:tcPr>
            <w:tcW w:w="1701" w:type="dxa"/>
            <w:noWrap w:val="0"/>
            <w:vAlign w:val="center"/>
          </w:tcPr>
          <w:p w14:paraId="00AF506D">
            <w:pPr>
              <w:keepNext w:val="0"/>
              <w:keepLines w:val="0"/>
              <w:widowControl/>
              <w:suppressLineNumbers w:val="0"/>
              <w:spacing w:before="0" w:beforeAutospacing="0" w:after="0" w:afterAutospacing="0" w:line="240" w:lineRule="auto"/>
              <w:ind w:left="19" w:leftChars="-51" w:right="0" w:hanging="126" w:hangingChars="6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100≤X＜300 </w:t>
            </w:r>
          </w:p>
        </w:tc>
        <w:tc>
          <w:tcPr>
            <w:tcW w:w="1426" w:type="dxa"/>
            <w:noWrap w:val="0"/>
            <w:vAlign w:val="center"/>
          </w:tcPr>
          <w:p w14:paraId="06F93282">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10≤X＜100</w:t>
            </w:r>
          </w:p>
        </w:tc>
        <w:tc>
          <w:tcPr>
            <w:tcW w:w="992" w:type="dxa"/>
            <w:noWrap w:val="0"/>
            <w:vAlign w:val="center"/>
          </w:tcPr>
          <w:p w14:paraId="320C0A2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w:t>
            </w:r>
          </w:p>
        </w:tc>
      </w:tr>
      <w:tr w14:paraId="2B5E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8F20D95">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72A7722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160F53DF">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7230CD6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Y≥10000</w:t>
            </w:r>
          </w:p>
        </w:tc>
        <w:tc>
          <w:tcPr>
            <w:tcW w:w="1701" w:type="dxa"/>
            <w:noWrap w:val="0"/>
            <w:vAlign w:val="center"/>
          </w:tcPr>
          <w:p w14:paraId="51CD451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2000≤Y＜10000</w:t>
            </w:r>
          </w:p>
        </w:tc>
        <w:tc>
          <w:tcPr>
            <w:tcW w:w="1426" w:type="dxa"/>
            <w:noWrap w:val="0"/>
            <w:vAlign w:val="center"/>
          </w:tcPr>
          <w:p w14:paraId="5548A41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100≤Y＜2000</w:t>
            </w:r>
          </w:p>
        </w:tc>
        <w:tc>
          <w:tcPr>
            <w:tcW w:w="992" w:type="dxa"/>
            <w:noWrap w:val="0"/>
            <w:vAlign w:val="center"/>
          </w:tcPr>
          <w:p w14:paraId="189AE8C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w:t>
            </w:r>
          </w:p>
        </w:tc>
      </w:tr>
      <w:tr w14:paraId="2FE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9B002BF">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餐饮业</w:t>
            </w:r>
          </w:p>
        </w:tc>
        <w:tc>
          <w:tcPr>
            <w:tcW w:w="1369" w:type="dxa"/>
            <w:noWrap w:val="0"/>
            <w:vAlign w:val="center"/>
          </w:tcPr>
          <w:p w14:paraId="2A7760C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4440DCE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1F70A2F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X≥300</w:t>
            </w:r>
          </w:p>
        </w:tc>
        <w:tc>
          <w:tcPr>
            <w:tcW w:w="1701" w:type="dxa"/>
            <w:noWrap w:val="0"/>
            <w:vAlign w:val="center"/>
          </w:tcPr>
          <w:p w14:paraId="112102EF">
            <w:pPr>
              <w:keepNext w:val="0"/>
              <w:keepLines w:val="0"/>
              <w:widowControl/>
              <w:suppressLineNumbers w:val="0"/>
              <w:spacing w:before="0" w:beforeAutospacing="0" w:after="0" w:afterAutospacing="0" w:line="240" w:lineRule="auto"/>
              <w:ind w:left="19" w:leftChars="-51" w:right="0" w:hanging="126" w:hangingChars="6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100≤X＜300 </w:t>
            </w:r>
          </w:p>
        </w:tc>
        <w:tc>
          <w:tcPr>
            <w:tcW w:w="1426" w:type="dxa"/>
            <w:noWrap w:val="0"/>
            <w:vAlign w:val="center"/>
          </w:tcPr>
          <w:p w14:paraId="6464D13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10≤X＜100</w:t>
            </w:r>
          </w:p>
        </w:tc>
        <w:tc>
          <w:tcPr>
            <w:tcW w:w="992" w:type="dxa"/>
            <w:noWrap w:val="0"/>
            <w:vAlign w:val="center"/>
          </w:tcPr>
          <w:p w14:paraId="074D4F96">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w:t>
            </w:r>
          </w:p>
        </w:tc>
      </w:tr>
      <w:tr w14:paraId="385B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64F61BA">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3D62F1C8">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4D4EF9A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36A0DBD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Y≥10000</w:t>
            </w:r>
          </w:p>
        </w:tc>
        <w:tc>
          <w:tcPr>
            <w:tcW w:w="1701" w:type="dxa"/>
            <w:noWrap w:val="0"/>
            <w:vAlign w:val="center"/>
          </w:tcPr>
          <w:p w14:paraId="719031A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2000≤Y＜10000</w:t>
            </w:r>
          </w:p>
        </w:tc>
        <w:tc>
          <w:tcPr>
            <w:tcW w:w="1426" w:type="dxa"/>
            <w:noWrap w:val="0"/>
            <w:vAlign w:val="center"/>
          </w:tcPr>
          <w:p w14:paraId="137EF0E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100≤Y＜2000</w:t>
            </w:r>
          </w:p>
        </w:tc>
        <w:tc>
          <w:tcPr>
            <w:tcW w:w="992" w:type="dxa"/>
            <w:noWrap w:val="0"/>
            <w:vAlign w:val="center"/>
          </w:tcPr>
          <w:p w14:paraId="5FB7557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w:t>
            </w:r>
          </w:p>
        </w:tc>
      </w:tr>
      <w:tr w14:paraId="79C0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680237B">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信息传输业 *</w:t>
            </w:r>
          </w:p>
        </w:tc>
        <w:tc>
          <w:tcPr>
            <w:tcW w:w="1369" w:type="dxa"/>
            <w:noWrap w:val="0"/>
            <w:vAlign w:val="center"/>
          </w:tcPr>
          <w:p w14:paraId="369D4AC9">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4928AC5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74F1466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X≥2000</w:t>
            </w:r>
          </w:p>
        </w:tc>
        <w:tc>
          <w:tcPr>
            <w:tcW w:w="1701" w:type="dxa"/>
            <w:noWrap w:val="0"/>
            <w:vAlign w:val="center"/>
          </w:tcPr>
          <w:p w14:paraId="11FE5E0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100≤X＜2000</w:t>
            </w:r>
          </w:p>
        </w:tc>
        <w:tc>
          <w:tcPr>
            <w:tcW w:w="1426" w:type="dxa"/>
            <w:noWrap w:val="0"/>
            <w:vAlign w:val="center"/>
          </w:tcPr>
          <w:p w14:paraId="2DCFE03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10≤X＜100</w:t>
            </w:r>
          </w:p>
        </w:tc>
        <w:tc>
          <w:tcPr>
            <w:tcW w:w="992" w:type="dxa"/>
            <w:noWrap w:val="0"/>
            <w:vAlign w:val="center"/>
          </w:tcPr>
          <w:p w14:paraId="57F048F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w:t>
            </w:r>
          </w:p>
        </w:tc>
      </w:tr>
      <w:tr w14:paraId="64B9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6D19F2C0">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69FF7E28">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6119DA3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7705E3E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Y≥100000</w:t>
            </w:r>
          </w:p>
        </w:tc>
        <w:tc>
          <w:tcPr>
            <w:tcW w:w="1701" w:type="dxa"/>
            <w:noWrap w:val="0"/>
            <w:vAlign w:val="center"/>
          </w:tcPr>
          <w:p w14:paraId="04EAC3D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1000≤Y＜100000</w:t>
            </w:r>
          </w:p>
        </w:tc>
        <w:tc>
          <w:tcPr>
            <w:tcW w:w="1426" w:type="dxa"/>
            <w:noWrap w:val="0"/>
            <w:vAlign w:val="center"/>
          </w:tcPr>
          <w:p w14:paraId="426097C6">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100≤Y＜1000</w:t>
            </w:r>
          </w:p>
        </w:tc>
        <w:tc>
          <w:tcPr>
            <w:tcW w:w="992" w:type="dxa"/>
            <w:noWrap w:val="0"/>
            <w:vAlign w:val="center"/>
          </w:tcPr>
          <w:p w14:paraId="6F209072">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w:t>
            </w:r>
          </w:p>
        </w:tc>
      </w:tr>
      <w:tr w14:paraId="1CDC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6B4B5EE">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pacing w:val="-12"/>
                <w:sz w:val="21"/>
                <w:szCs w:val="21"/>
                <w:highlight w:val="none"/>
              </w:rPr>
            </w:pPr>
            <w:r>
              <w:rPr>
                <w:rFonts w:hint="eastAsia" w:ascii="宋体" w:hAnsi="宋体" w:cs="宋体"/>
                <w:color w:val="auto"/>
                <w:spacing w:val="-12"/>
                <w:sz w:val="21"/>
                <w:szCs w:val="21"/>
                <w:highlight w:val="none"/>
              </w:rPr>
              <w:t>软件和信息技术服</w:t>
            </w:r>
            <w:r>
              <w:rPr>
                <w:rFonts w:hint="eastAsia" w:ascii="宋体" w:hAnsi="宋体" w:cs="宋体"/>
                <w:color w:val="auto"/>
                <w:sz w:val="21"/>
                <w:szCs w:val="21"/>
                <w:highlight w:val="none"/>
              </w:rPr>
              <w:t>务业</w:t>
            </w:r>
          </w:p>
        </w:tc>
        <w:tc>
          <w:tcPr>
            <w:tcW w:w="1369" w:type="dxa"/>
            <w:noWrap w:val="0"/>
            <w:vAlign w:val="center"/>
          </w:tcPr>
          <w:p w14:paraId="2DC5C7E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772023F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45FFF496">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X≥300</w:t>
            </w:r>
          </w:p>
        </w:tc>
        <w:tc>
          <w:tcPr>
            <w:tcW w:w="1701" w:type="dxa"/>
            <w:noWrap w:val="0"/>
            <w:vAlign w:val="center"/>
          </w:tcPr>
          <w:p w14:paraId="5AD53F7E">
            <w:pPr>
              <w:keepNext w:val="0"/>
              <w:keepLines w:val="0"/>
              <w:widowControl/>
              <w:suppressLineNumbers w:val="0"/>
              <w:spacing w:before="0" w:beforeAutospacing="0" w:after="0" w:afterAutospacing="0" w:line="240" w:lineRule="auto"/>
              <w:ind w:left="19" w:leftChars="-51" w:right="0" w:hanging="126" w:hangingChars="6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100≤X＜300 </w:t>
            </w:r>
          </w:p>
        </w:tc>
        <w:tc>
          <w:tcPr>
            <w:tcW w:w="1426" w:type="dxa"/>
            <w:noWrap w:val="0"/>
            <w:vAlign w:val="center"/>
          </w:tcPr>
          <w:p w14:paraId="0298220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10≤X＜100</w:t>
            </w:r>
          </w:p>
        </w:tc>
        <w:tc>
          <w:tcPr>
            <w:tcW w:w="992" w:type="dxa"/>
            <w:noWrap w:val="0"/>
            <w:vAlign w:val="center"/>
          </w:tcPr>
          <w:p w14:paraId="725CC6B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w:t>
            </w:r>
          </w:p>
        </w:tc>
      </w:tr>
      <w:tr w14:paraId="2F35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68ECFAA">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pacing w:val="-12"/>
                <w:sz w:val="21"/>
                <w:szCs w:val="21"/>
                <w:highlight w:val="none"/>
              </w:rPr>
            </w:pPr>
          </w:p>
        </w:tc>
        <w:tc>
          <w:tcPr>
            <w:tcW w:w="1369" w:type="dxa"/>
            <w:noWrap w:val="0"/>
            <w:vAlign w:val="center"/>
          </w:tcPr>
          <w:p w14:paraId="2B2861D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52D17A20">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64AF460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Y≥10000</w:t>
            </w:r>
          </w:p>
        </w:tc>
        <w:tc>
          <w:tcPr>
            <w:tcW w:w="1701" w:type="dxa"/>
            <w:noWrap w:val="0"/>
            <w:vAlign w:val="center"/>
          </w:tcPr>
          <w:p w14:paraId="26D40BE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1000≤Y＜10000</w:t>
            </w:r>
          </w:p>
        </w:tc>
        <w:tc>
          <w:tcPr>
            <w:tcW w:w="1426" w:type="dxa"/>
            <w:noWrap w:val="0"/>
            <w:vAlign w:val="center"/>
          </w:tcPr>
          <w:p w14:paraId="7A13D4D9">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50≤Y＜1000</w:t>
            </w:r>
          </w:p>
        </w:tc>
        <w:tc>
          <w:tcPr>
            <w:tcW w:w="992" w:type="dxa"/>
            <w:noWrap w:val="0"/>
            <w:vAlign w:val="center"/>
          </w:tcPr>
          <w:p w14:paraId="3719381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Y＜50</w:t>
            </w:r>
          </w:p>
        </w:tc>
      </w:tr>
      <w:tr w14:paraId="772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19B04C7">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房地产开发经营</w:t>
            </w:r>
          </w:p>
        </w:tc>
        <w:tc>
          <w:tcPr>
            <w:tcW w:w="1369" w:type="dxa"/>
            <w:noWrap w:val="0"/>
            <w:vAlign w:val="center"/>
          </w:tcPr>
          <w:p w14:paraId="1421206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5980507E">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621BFC92">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Y≥200000</w:t>
            </w:r>
          </w:p>
        </w:tc>
        <w:tc>
          <w:tcPr>
            <w:tcW w:w="1701" w:type="dxa"/>
            <w:noWrap w:val="0"/>
            <w:vAlign w:val="center"/>
          </w:tcPr>
          <w:p w14:paraId="2161C14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1000≤Y＜200000</w:t>
            </w:r>
          </w:p>
        </w:tc>
        <w:tc>
          <w:tcPr>
            <w:tcW w:w="1426" w:type="dxa"/>
            <w:noWrap w:val="0"/>
            <w:vAlign w:val="center"/>
          </w:tcPr>
          <w:p w14:paraId="237A921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100≤Y＜1000</w:t>
            </w:r>
          </w:p>
        </w:tc>
        <w:tc>
          <w:tcPr>
            <w:tcW w:w="992" w:type="dxa"/>
            <w:noWrap w:val="0"/>
            <w:vAlign w:val="center"/>
          </w:tcPr>
          <w:p w14:paraId="650C400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Y＜100</w:t>
            </w:r>
          </w:p>
        </w:tc>
      </w:tr>
      <w:tr w14:paraId="30A7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37A2715">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43AEDDC8">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资产总额</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Z)</w:t>
            </w:r>
          </w:p>
        </w:tc>
        <w:tc>
          <w:tcPr>
            <w:tcW w:w="709" w:type="dxa"/>
            <w:noWrap w:val="0"/>
            <w:vAlign w:val="center"/>
          </w:tcPr>
          <w:p w14:paraId="76E9DEA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14F00CB2">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Z≥10000</w:t>
            </w:r>
          </w:p>
        </w:tc>
        <w:tc>
          <w:tcPr>
            <w:tcW w:w="1701" w:type="dxa"/>
            <w:noWrap w:val="0"/>
            <w:vAlign w:val="center"/>
          </w:tcPr>
          <w:p w14:paraId="77C6ADF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5000≤Z＜10000</w:t>
            </w:r>
          </w:p>
        </w:tc>
        <w:tc>
          <w:tcPr>
            <w:tcW w:w="1426" w:type="dxa"/>
            <w:noWrap w:val="0"/>
            <w:vAlign w:val="center"/>
          </w:tcPr>
          <w:p w14:paraId="07CF43C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2000≤Z＜5000   </w:t>
            </w:r>
          </w:p>
        </w:tc>
        <w:tc>
          <w:tcPr>
            <w:tcW w:w="992" w:type="dxa"/>
            <w:noWrap w:val="0"/>
            <w:vAlign w:val="center"/>
          </w:tcPr>
          <w:p w14:paraId="51F2CC1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Z＜2000</w:t>
            </w:r>
          </w:p>
        </w:tc>
      </w:tr>
      <w:tr w14:paraId="3A40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B938B61">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物业管理</w:t>
            </w:r>
          </w:p>
        </w:tc>
        <w:tc>
          <w:tcPr>
            <w:tcW w:w="1369" w:type="dxa"/>
            <w:noWrap w:val="0"/>
            <w:vAlign w:val="center"/>
          </w:tcPr>
          <w:p w14:paraId="2CFFC9C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708E63C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37D1CE7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X≥1000</w:t>
            </w:r>
          </w:p>
        </w:tc>
        <w:tc>
          <w:tcPr>
            <w:tcW w:w="1701" w:type="dxa"/>
            <w:noWrap w:val="0"/>
            <w:vAlign w:val="center"/>
          </w:tcPr>
          <w:p w14:paraId="38D7865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300≤X＜1000</w:t>
            </w:r>
          </w:p>
        </w:tc>
        <w:tc>
          <w:tcPr>
            <w:tcW w:w="1426" w:type="dxa"/>
            <w:noWrap w:val="0"/>
            <w:vAlign w:val="center"/>
          </w:tcPr>
          <w:p w14:paraId="576DDB2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100≤X＜300 </w:t>
            </w:r>
          </w:p>
        </w:tc>
        <w:tc>
          <w:tcPr>
            <w:tcW w:w="992" w:type="dxa"/>
            <w:noWrap w:val="0"/>
            <w:vAlign w:val="center"/>
          </w:tcPr>
          <w:p w14:paraId="4D3261A9">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X＜100</w:t>
            </w:r>
          </w:p>
        </w:tc>
      </w:tr>
      <w:tr w14:paraId="2B01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E168C2">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6B73094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Y)</w:t>
            </w:r>
          </w:p>
        </w:tc>
        <w:tc>
          <w:tcPr>
            <w:tcW w:w="709" w:type="dxa"/>
            <w:noWrap w:val="0"/>
            <w:vAlign w:val="center"/>
          </w:tcPr>
          <w:p w14:paraId="7449763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7DEA759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Y≥5000</w:t>
            </w:r>
          </w:p>
        </w:tc>
        <w:tc>
          <w:tcPr>
            <w:tcW w:w="1701" w:type="dxa"/>
            <w:noWrap w:val="0"/>
            <w:vAlign w:val="center"/>
          </w:tcPr>
          <w:p w14:paraId="5D45C0E2">
            <w:pPr>
              <w:keepNext w:val="0"/>
              <w:keepLines w:val="0"/>
              <w:widowControl/>
              <w:suppressLineNumbers w:val="0"/>
              <w:spacing w:before="0" w:beforeAutospacing="0" w:after="0" w:afterAutospacing="0" w:line="240" w:lineRule="auto"/>
              <w:ind w:left="19" w:leftChars="-51" w:right="0" w:hanging="126" w:hangingChars="6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1000≤Y＜5000 </w:t>
            </w:r>
          </w:p>
        </w:tc>
        <w:tc>
          <w:tcPr>
            <w:tcW w:w="1426" w:type="dxa"/>
            <w:noWrap w:val="0"/>
            <w:vAlign w:val="center"/>
          </w:tcPr>
          <w:p w14:paraId="238A91DD">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500≤Y＜1000</w:t>
            </w:r>
          </w:p>
        </w:tc>
        <w:tc>
          <w:tcPr>
            <w:tcW w:w="992" w:type="dxa"/>
            <w:noWrap w:val="0"/>
            <w:vAlign w:val="center"/>
          </w:tcPr>
          <w:p w14:paraId="5FAFC504">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Y＜500</w:t>
            </w:r>
          </w:p>
        </w:tc>
      </w:tr>
      <w:tr w14:paraId="3F5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C7E184E">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租赁和商务服务业</w:t>
            </w:r>
          </w:p>
        </w:tc>
        <w:tc>
          <w:tcPr>
            <w:tcW w:w="1369" w:type="dxa"/>
            <w:noWrap w:val="0"/>
            <w:vAlign w:val="center"/>
          </w:tcPr>
          <w:p w14:paraId="5D494DB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5B2371F3">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2C657F7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X≥300</w:t>
            </w:r>
          </w:p>
        </w:tc>
        <w:tc>
          <w:tcPr>
            <w:tcW w:w="1701" w:type="dxa"/>
            <w:noWrap w:val="0"/>
            <w:vAlign w:val="center"/>
          </w:tcPr>
          <w:p w14:paraId="08896AAD">
            <w:pPr>
              <w:keepNext w:val="0"/>
              <w:keepLines w:val="0"/>
              <w:widowControl/>
              <w:suppressLineNumbers w:val="0"/>
              <w:spacing w:before="0" w:beforeAutospacing="0" w:after="0" w:afterAutospacing="0" w:line="240" w:lineRule="auto"/>
              <w:ind w:left="19" w:leftChars="-51" w:right="0" w:hanging="126" w:hangingChars="6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100≤X＜300 </w:t>
            </w:r>
          </w:p>
        </w:tc>
        <w:tc>
          <w:tcPr>
            <w:tcW w:w="1426" w:type="dxa"/>
            <w:noWrap w:val="0"/>
            <w:vAlign w:val="center"/>
          </w:tcPr>
          <w:p w14:paraId="4D165E46">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10≤X＜100</w:t>
            </w:r>
          </w:p>
        </w:tc>
        <w:tc>
          <w:tcPr>
            <w:tcW w:w="992" w:type="dxa"/>
            <w:noWrap w:val="0"/>
            <w:vAlign w:val="center"/>
          </w:tcPr>
          <w:p w14:paraId="04C5990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w:t>
            </w:r>
          </w:p>
        </w:tc>
      </w:tr>
      <w:tr w14:paraId="4451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2208C03">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p>
        </w:tc>
        <w:tc>
          <w:tcPr>
            <w:tcW w:w="1369" w:type="dxa"/>
            <w:noWrap w:val="0"/>
            <w:vAlign w:val="center"/>
          </w:tcPr>
          <w:p w14:paraId="1A9A8F5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资产总额</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Z)</w:t>
            </w:r>
          </w:p>
        </w:tc>
        <w:tc>
          <w:tcPr>
            <w:tcW w:w="709" w:type="dxa"/>
            <w:noWrap w:val="0"/>
            <w:vAlign w:val="center"/>
          </w:tcPr>
          <w:p w14:paraId="48A73D01">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万元</w:t>
            </w:r>
          </w:p>
        </w:tc>
        <w:tc>
          <w:tcPr>
            <w:tcW w:w="1125" w:type="dxa"/>
            <w:noWrap w:val="0"/>
            <w:vAlign w:val="center"/>
          </w:tcPr>
          <w:p w14:paraId="2ED3BC28">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Z≥120000</w:t>
            </w:r>
          </w:p>
        </w:tc>
        <w:tc>
          <w:tcPr>
            <w:tcW w:w="1701" w:type="dxa"/>
            <w:noWrap w:val="0"/>
            <w:vAlign w:val="center"/>
          </w:tcPr>
          <w:p w14:paraId="595B31A5">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8000≤Z＜120000</w:t>
            </w:r>
          </w:p>
        </w:tc>
        <w:tc>
          <w:tcPr>
            <w:tcW w:w="1426" w:type="dxa"/>
            <w:noWrap w:val="0"/>
            <w:vAlign w:val="center"/>
          </w:tcPr>
          <w:p w14:paraId="4F57C03B">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100≤Z＜8000</w:t>
            </w:r>
          </w:p>
        </w:tc>
        <w:tc>
          <w:tcPr>
            <w:tcW w:w="992" w:type="dxa"/>
            <w:noWrap w:val="0"/>
            <w:vAlign w:val="center"/>
          </w:tcPr>
          <w:p w14:paraId="1D5F6BA2">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Z＜100</w:t>
            </w:r>
          </w:p>
        </w:tc>
      </w:tr>
      <w:tr w14:paraId="4C7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77D3E445">
            <w:pPr>
              <w:keepNext w:val="0"/>
              <w:keepLines w:val="0"/>
              <w:widowControl/>
              <w:suppressLineNumbers w:val="0"/>
              <w:spacing w:before="0" w:beforeAutospacing="0" w:after="0" w:afterAutospacing="0" w:line="240" w:lineRule="auto"/>
              <w:ind w:left="0" w:right="0" w:firstLine="0"/>
              <w:rPr>
                <w:rFonts w:hint="default" w:ascii="宋体" w:hAnsi="宋体" w:cs="宋体"/>
                <w:color w:val="auto"/>
                <w:sz w:val="21"/>
                <w:szCs w:val="21"/>
                <w:highlight w:val="none"/>
              </w:rPr>
            </w:pPr>
            <w:r>
              <w:rPr>
                <w:rFonts w:hint="eastAsia" w:ascii="宋体" w:hAnsi="宋体" w:cs="宋体"/>
                <w:color w:val="auto"/>
                <w:sz w:val="21"/>
                <w:szCs w:val="21"/>
                <w:highlight w:val="none"/>
              </w:rPr>
              <w:t>其他未列明行业 *</w:t>
            </w:r>
          </w:p>
        </w:tc>
        <w:tc>
          <w:tcPr>
            <w:tcW w:w="1369" w:type="dxa"/>
            <w:noWrap w:val="0"/>
            <w:vAlign w:val="center"/>
          </w:tcPr>
          <w:p w14:paraId="03D856F0">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从业人员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X)</w:t>
            </w:r>
          </w:p>
        </w:tc>
        <w:tc>
          <w:tcPr>
            <w:tcW w:w="709" w:type="dxa"/>
            <w:noWrap w:val="0"/>
            <w:vAlign w:val="center"/>
          </w:tcPr>
          <w:p w14:paraId="5592092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人</w:t>
            </w:r>
          </w:p>
        </w:tc>
        <w:tc>
          <w:tcPr>
            <w:tcW w:w="1125" w:type="dxa"/>
            <w:noWrap w:val="0"/>
            <w:vAlign w:val="center"/>
          </w:tcPr>
          <w:p w14:paraId="3B2A2A9C">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X≥300</w:t>
            </w:r>
          </w:p>
        </w:tc>
        <w:tc>
          <w:tcPr>
            <w:tcW w:w="1701" w:type="dxa"/>
            <w:noWrap w:val="0"/>
            <w:vAlign w:val="center"/>
          </w:tcPr>
          <w:p w14:paraId="6895ADE9">
            <w:pPr>
              <w:keepNext w:val="0"/>
              <w:keepLines w:val="0"/>
              <w:widowControl/>
              <w:suppressLineNumbers w:val="0"/>
              <w:spacing w:before="0" w:beforeAutospacing="0" w:after="0" w:afterAutospacing="0" w:line="240" w:lineRule="auto"/>
              <w:ind w:left="19" w:leftChars="-51" w:right="0" w:hanging="126" w:hangingChars="6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100≤X＜300 </w:t>
            </w:r>
          </w:p>
        </w:tc>
        <w:tc>
          <w:tcPr>
            <w:tcW w:w="1426" w:type="dxa"/>
            <w:noWrap w:val="0"/>
            <w:vAlign w:val="center"/>
          </w:tcPr>
          <w:p w14:paraId="08683137">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 10≤X＜100</w:t>
            </w:r>
          </w:p>
        </w:tc>
        <w:tc>
          <w:tcPr>
            <w:tcW w:w="992" w:type="dxa"/>
            <w:noWrap w:val="0"/>
            <w:vAlign w:val="center"/>
          </w:tcPr>
          <w:p w14:paraId="4332713A">
            <w:pPr>
              <w:keepNext w:val="0"/>
              <w:keepLines w:val="0"/>
              <w:widowControl/>
              <w:suppressLineNumbers w:val="0"/>
              <w:spacing w:before="0" w:beforeAutospacing="0" w:after="0" w:afterAutospacing="0" w:line="240" w:lineRule="auto"/>
              <w:ind w:left="0" w:right="0" w:firstLine="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X＜10</w:t>
            </w:r>
          </w:p>
        </w:tc>
      </w:tr>
    </w:tbl>
    <w:p w14:paraId="17BAE98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说明：</w:t>
      </w:r>
    </w:p>
    <w:p w14:paraId="491895F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1.大型、中型和小型企业须同时满足所列指标的下限，否则下划一档；微型企业只须满足所列指标中的一项即可。</w:t>
      </w:r>
    </w:p>
    <w:p w14:paraId="5C5D34D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D4B9E7">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EF819D">
      <w:pPr>
        <w:widowControl/>
        <w:spacing w:line="240" w:lineRule="auto"/>
        <w:rPr>
          <w:rFonts w:ascii="宋体" w:hAnsi="宋体" w:cs="宋体"/>
          <w:color w:val="auto"/>
          <w:sz w:val="24"/>
          <w:highlight w:val="none"/>
        </w:rPr>
      </w:pPr>
    </w:p>
    <w:p w14:paraId="3F5C50CA">
      <w:pPr>
        <w:spacing w:line="240" w:lineRule="auto"/>
        <w:outlineLvl w:val="1"/>
        <w:rPr>
          <w:rFonts w:ascii="宋体" w:hAnsi="宋体" w:cs="宋体"/>
          <w:b/>
          <w:color w:val="auto"/>
          <w:sz w:val="32"/>
          <w:szCs w:val="32"/>
          <w:highlight w:val="none"/>
        </w:rPr>
      </w:pPr>
      <w:bookmarkStart w:id="403" w:name="_Toc27267"/>
      <w:r>
        <w:rPr>
          <w:rFonts w:hint="eastAsia" w:ascii="宋体" w:hAnsi="宋体" w:cs="宋体"/>
          <w:b/>
          <w:bCs/>
          <w:color w:val="auto"/>
          <w:sz w:val="24"/>
          <w:highlight w:val="none"/>
          <w:lang w:val="zh-CN"/>
        </w:rPr>
        <w:t>附件</w:t>
      </w:r>
      <w:r>
        <w:rPr>
          <w:rFonts w:hint="eastAsia" w:ascii="宋体" w:hAnsi="宋体" w:cs="宋体"/>
          <w:b/>
          <w:bCs/>
          <w:color w:val="auto"/>
          <w:sz w:val="24"/>
          <w:highlight w:val="none"/>
        </w:rPr>
        <w:t>七</w:t>
      </w:r>
      <w:r>
        <w:rPr>
          <w:rFonts w:hint="eastAsia" w:ascii="宋体" w:hAnsi="宋体" w:cs="宋体"/>
          <w:b/>
          <w:bCs/>
          <w:color w:val="auto"/>
          <w:sz w:val="24"/>
          <w:highlight w:val="none"/>
          <w:lang w:val="zh-CN"/>
        </w:rPr>
        <w:t>：</w:t>
      </w:r>
      <w:bookmarkEnd w:id="403"/>
    </w:p>
    <w:p w14:paraId="64324A30">
      <w:pPr>
        <w:spacing w:line="240" w:lineRule="auto"/>
        <w:jc w:val="center"/>
        <w:rPr>
          <w:rFonts w:ascii="宋体" w:hAnsi="宋体" w:cs="宋体"/>
          <w:color w:val="auto"/>
          <w:sz w:val="21"/>
          <w:szCs w:val="21"/>
          <w:highlight w:val="none"/>
        </w:rPr>
      </w:pPr>
    </w:p>
    <w:p w14:paraId="6FD24D04">
      <w:pPr>
        <w:spacing w:line="240" w:lineRule="auto"/>
        <w:ind w:firstLine="420" w:firstLineChars="200"/>
        <w:jc w:val="center"/>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《统计上大中小微型企业划分办法（2017）》修订说明</w:t>
      </w:r>
    </w:p>
    <w:p w14:paraId="080B6B99">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p>
    <w:p w14:paraId="1AF0C2FA">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一、修订背景</w:t>
      </w:r>
    </w:p>
    <w:p w14:paraId="62139FCC">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C80DDBF">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0EAD4A6">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二、修订主要内容</w:t>
      </w:r>
    </w:p>
    <w:p w14:paraId="37BAD903">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D7D7AB0">
      <w:pPr>
        <w:spacing w:line="240" w:lineRule="auto"/>
        <w:ind w:firstLine="420" w:firstLineChars="200"/>
        <w:jc w:val="left"/>
        <w:rPr>
          <w:rFonts w:hint="eastAsia" w:ascii="宋体" w:hAnsi="宋体" w:eastAsia="宋体" w:cs="Times New Roman"/>
          <w:bCs/>
          <w:snapToGrid w:val="0"/>
          <w:color w:val="auto"/>
          <w:szCs w:val="21"/>
          <w:highlight w:val="none"/>
          <w:lang w:val="zh-CN" w:eastAsia="zh-CN"/>
        </w:rPr>
      </w:pPr>
      <w:r>
        <w:rPr>
          <w:rFonts w:hint="eastAsia" w:ascii="宋体" w:hAnsi="宋体" w:eastAsia="宋体" w:cs="Times New Roman"/>
          <w:bCs/>
          <w:snapToGrid w:val="0"/>
          <w:color w:val="auto"/>
          <w:szCs w:val="21"/>
          <w:highlight w:val="none"/>
          <w:lang w:val="zh-CN" w:eastAsia="zh-CN"/>
        </w:rPr>
        <w:t>将交通运输业中包括的“装卸搬运和运输代理业”修改为“多式联运和运输代理业、装卸搬运”。</w:t>
      </w:r>
    </w:p>
    <w:p w14:paraId="32F69DE3">
      <w:pPr>
        <w:spacing w:before="158" w:line="227" w:lineRule="auto"/>
        <w:ind w:left="1"/>
        <w:outlineLvl w:val="0"/>
        <w:rPr>
          <w:rFonts w:ascii="宋体" w:hAnsi="宋体" w:eastAsia="宋体" w:cs="宋体"/>
          <w:color w:val="auto"/>
          <w:sz w:val="20"/>
          <w:szCs w:val="20"/>
          <w:highlight w:val="none"/>
        </w:rPr>
      </w:pPr>
      <w:bookmarkStart w:id="404" w:name="_Toc17261"/>
      <w:r>
        <w:rPr>
          <w:rFonts w:hint="eastAsia" w:ascii="宋体" w:hAnsi="宋体" w:eastAsia="宋体" w:cs="Times New Roman"/>
          <w:bCs/>
          <w:snapToGrid w:val="0"/>
          <w:color w:val="auto"/>
          <w:szCs w:val="21"/>
          <w:highlight w:val="none"/>
          <w:lang w:val="zh-CN" w:eastAsia="zh-CN"/>
        </w:rPr>
        <w:t>仓储业所包括的行业种类，根据《国民经济行业分类》（GB/T 4754—2017）调整为“通用仓储，低温仓储，危险品仓储，谷物、棉花等农产品仓储，中药材仓储和其他仓储业”。</w:t>
      </w:r>
      <w:bookmarkEnd w:id="404"/>
    </w:p>
    <w:sectPr>
      <w:footerReference r:id="rId49" w:type="default"/>
      <w:pgSz w:w="11906" w:h="16839"/>
      <w:pgMar w:top="1347" w:right="1410" w:bottom="1156" w:left="1369"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4E7A">
    <w:pPr>
      <w:spacing w:line="176" w:lineRule="auto"/>
      <w:ind w:left="470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FF7B">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FA857">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9FA857">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F45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3295B">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123295B">
                    <w:pPr>
                      <w:pStyle w:val="10"/>
                    </w:pPr>
                    <w:r>
                      <w:fldChar w:fldCharType="begin"/>
                    </w:r>
                    <w:r>
                      <w:instrText xml:space="preserve"> PAGE  \* MERGEFORMAT </w:instrText>
                    </w:r>
                    <w:r>
                      <w:fldChar w:fldCharType="separate"/>
                    </w:r>
                    <w:r>
                      <w:t>26</w:t>
                    </w:r>
                    <w:r>
                      <w:fldChar w:fldCharType="end"/>
                    </w:r>
                  </w:p>
                </w:txbxContent>
              </v:textbox>
            </v:shape>
          </w:pict>
        </mc:Fallback>
      </mc:AlternateContent>
    </w:r>
    <w:r>
      <w:rPr>
        <w:rFonts w:ascii="Times New Roman" w:hAnsi="Times New Roman" w:eastAsia="Times New Roman" w:cs="Times New Roman"/>
        <w:spacing w:val="-1"/>
        <w:sz w:val="18"/>
        <w:szCs w:val="18"/>
      </w:rPr>
      <w:t>43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BA0B">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916D1">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33916D1">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462F">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02D1B">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B102D1B">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A584">
    <w:pPr>
      <w:spacing w:line="176" w:lineRule="auto"/>
      <w:ind w:left="44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FD065">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65FD065">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2EA3">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07B64">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E07B64">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5B83">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3E041">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983E041">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44BA">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AF21A">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DDAF21A">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D91E">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EAC98">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E1EAC98">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BF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8B343">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3F8B343">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D3BD">
    <w:pPr>
      <w:spacing w:line="176" w:lineRule="auto"/>
      <w:ind w:left="47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4D721">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74D721">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5089">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6C924">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396C924">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10AD">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BD8D0">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0BD8D0">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66F3">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C01F8">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A6C01F8">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A724">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610A5">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67610A5">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51DD">
    <w:pPr>
      <w:spacing w:line="176" w:lineRule="auto"/>
      <w:ind w:left="46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A1BFD">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9FA1BFD">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4767">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B4692">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EAB4692">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42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5D422">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525D422">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EBE5">
    <w:pPr>
      <w:spacing w:line="176" w:lineRule="auto"/>
      <w:ind w:left="45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900BE">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FA900BE">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135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E2757">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44E2757">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8051">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D3DA5">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40D3DA5">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CD76">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F9B52">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AF9B52">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66C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73636">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F873636">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6F1D">
    <w:pPr>
      <w:spacing w:line="176"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72DF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B472DFB">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47F1">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75F85">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75F85">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8ECE">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1A64C">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3D1A64C">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7B5B">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93CF0">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3E93CF0">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4234">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1FD6D">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821FD6D">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8869">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B7CE6">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C0B7CE6">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5A86">
    <w:pPr>
      <w:spacing w:line="176" w:lineRule="auto"/>
      <w:ind w:left="45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DB698">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57DB698">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9CBC">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0D5D3">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A10D5D3">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7E8C">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10E2C">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1610E2C">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61EF">
    <w:pPr>
      <w:spacing w:line="173"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B6FF5">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3B6FF5">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03B9">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A6C4B">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B1A6C4B">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B428">
    <w:pPr>
      <w:spacing w:line="176" w:lineRule="auto"/>
      <w:ind w:left="46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6D0B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886D0B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270">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FE706">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C9FE706">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81C6">
    <w:pPr>
      <w:spacing w:line="176" w:lineRule="auto"/>
      <w:ind w:left="46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97D7F">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4E97D7F">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B406">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1B106">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601B106">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6068">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F8C54">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D2F8C54">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8859">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BDAB3">
    <w:pPr>
      <w:pStyle w:val="10"/>
      <w:framePr w:wrap="around" w:vAnchor="text" w:hAnchor="margin" w:xAlign="center" w:y="1"/>
      <w:ind w:firstLine="360"/>
      <w:rPr>
        <w:rStyle w:val="19"/>
      </w:rPr>
    </w:pPr>
    <w:r>
      <w:fldChar w:fldCharType="begin"/>
    </w:r>
    <w:r>
      <w:rPr>
        <w:rStyle w:val="19"/>
      </w:rPr>
      <w:instrText xml:space="preserve">PAGE  </w:instrText>
    </w:r>
    <w:r>
      <w:fldChar w:fldCharType="end"/>
    </w:r>
  </w:p>
  <w:p w14:paraId="1F5413B0">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D108">
    <w:pPr>
      <w:pStyle w:val="1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9996C1">
                          <w:pPr>
                            <w:pStyle w:val="10"/>
                            <w:ind w:firstLine="360"/>
                            <w:rPr>
                              <w:rStyle w:val="19"/>
                            </w:rPr>
                          </w:pPr>
                          <w:r>
                            <w:fldChar w:fldCharType="begin"/>
                          </w:r>
                          <w:r>
                            <w:rPr>
                              <w:rStyle w:val="19"/>
                            </w:rPr>
                            <w:instrText xml:space="preserve">PAGE  </w:instrText>
                          </w:r>
                          <w:r>
                            <w:fldChar w:fldCharType="separate"/>
                          </w:r>
                          <w:r>
                            <w:rPr>
                              <w:rStyle w:val="19"/>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14:paraId="029996C1">
                    <w:pPr>
                      <w:pStyle w:val="10"/>
                      <w:ind w:firstLine="360"/>
                      <w:rPr>
                        <w:rStyle w:val="19"/>
                      </w:rPr>
                    </w:pPr>
                    <w:r>
                      <w:fldChar w:fldCharType="begin"/>
                    </w:r>
                    <w:r>
                      <w:rPr>
                        <w:rStyle w:val="19"/>
                      </w:rPr>
                      <w:instrText xml:space="preserve">PAGE  </w:instrText>
                    </w:r>
                    <w:r>
                      <w:fldChar w:fldCharType="separate"/>
                    </w:r>
                    <w:r>
                      <w:rPr>
                        <w:rStyle w:val="19"/>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8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C57DE">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8C57DE">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A36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5FF6">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8A5FF6">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798E3"/>
    <w:multiLevelType w:val="singleLevel"/>
    <w:tmpl w:val="7A8798E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AzOTFhNDAxMTRhM2M4Yzg4YmVhOGFkMDBmNzdlN2QifQ=="/>
  </w:docVars>
  <w:rsids>
    <w:rsidRoot w:val="00000000"/>
    <w:rsid w:val="005C6ADC"/>
    <w:rsid w:val="0071020B"/>
    <w:rsid w:val="017E6F26"/>
    <w:rsid w:val="021B2B71"/>
    <w:rsid w:val="02C1752C"/>
    <w:rsid w:val="03B94246"/>
    <w:rsid w:val="03E12F49"/>
    <w:rsid w:val="03F90AE6"/>
    <w:rsid w:val="041201CF"/>
    <w:rsid w:val="043D09D3"/>
    <w:rsid w:val="04846A80"/>
    <w:rsid w:val="04AB0712"/>
    <w:rsid w:val="06F573F1"/>
    <w:rsid w:val="0742172F"/>
    <w:rsid w:val="08422A5C"/>
    <w:rsid w:val="08D505E6"/>
    <w:rsid w:val="0A805070"/>
    <w:rsid w:val="0C14470F"/>
    <w:rsid w:val="0C204E7C"/>
    <w:rsid w:val="0D2C66E8"/>
    <w:rsid w:val="0D8A4A23"/>
    <w:rsid w:val="0DF50570"/>
    <w:rsid w:val="0E3B7B03"/>
    <w:rsid w:val="0E7B00FB"/>
    <w:rsid w:val="0E934402"/>
    <w:rsid w:val="0FA91612"/>
    <w:rsid w:val="10894C2E"/>
    <w:rsid w:val="10BE03C5"/>
    <w:rsid w:val="114B17C9"/>
    <w:rsid w:val="11BA5C2E"/>
    <w:rsid w:val="13037AFF"/>
    <w:rsid w:val="139B1B3C"/>
    <w:rsid w:val="13E7048F"/>
    <w:rsid w:val="14A800EA"/>
    <w:rsid w:val="15842CA4"/>
    <w:rsid w:val="166D135D"/>
    <w:rsid w:val="1673767D"/>
    <w:rsid w:val="1726254C"/>
    <w:rsid w:val="177B159F"/>
    <w:rsid w:val="17E214C0"/>
    <w:rsid w:val="17FF44C5"/>
    <w:rsid w:val="18B20495"/>
    <w:rsid w:val="18F74FD6"/>
    <w:rsid w:val="194B373A"/>
    <w:rsid w:val="1A49035C"/>
    <w:rsid w:val="1A6146E8"/>
    <w:rsid w:val="1A693E78"/>
    <w:rsid w:val="1AF8344E"/>
    <w:rsid w:val="1BD526C2"/>
    <w:rsid w:val="1BFA7804"/>
    <w:rsid w:val="1C80524F"/>
    <w:rsid w:val="1C8F393E"/>
    <w:rsid w:val="1D1B676C"/>
    <w:rsid w:val="1D4B24DF"/>
    <w:rsid w:val="1D577AB5"/>
    <w:rsid w:val="1D8F5720"/>
    <w:rsid w:val="1DA653E3"/>
    <w:rsid w:val="1DD97567"/>
    <w:rsid w:val="1FA1145E"/>
    <w:rsid w:val="1FBE07C2"/>
    <w:rsid w:val="2144654F"/>
    <w:rsid w:val="21E968BD"/>
    <w:rsid w:val="220A087A"/>
    <w:rsid w:val="220F79FB"/>
    <w:rsid w:val="23C2284B"/>
    <w:rsid w:val="24627485"/>
    <w:rsid w:val="25401C79"/>
    <w:rsid w:val="259F40A6"/>
    <w:rsid w:val="25B3069D"/>
    <w:rsid w:val="263E3E76"/>
    <w:rsid w:val="27535D48"/>
    <w:rsid w:val="27A16033"/>
    <w:rsid w:val="281A4A03"/>
    <w:rsid w:val="28A933AF"/>
    <w:rsid w:val="29332221"/>
    <w:rsid w:val="29803BF1"/>
    <w:rsid w:val="2B9F623D"/>
    <w:rsid w:val="2BC730F4"/>
    <w:rsid w:val="2CD23AFF"/>
    <w:rsid w:val="2CDE3F21"/>
    <w:rsid w:val="2D371BB4"/>
    <w:rsid w:val="2D4B3B25"/>
    <w:rsid w:val="2DD13DB6"/>
    <w:rsid w:val="2E12184A"/>
    <w:rsid w:val="2E7E42AC"/>
    <w:rsid w:val="2EE9735C"/>
    <w:rsid w:val="2F6161C3"/>
    <w:rsid w:val="2F631577"/>
    <w:rsid w:val="2FA84FEB"/>
    <w:rsid w:val="3072301E"/>
    <w:rsid w:val="31102C85"/>
    <w:rsid w:val="313E79B5"/>
    <w:rsid w:val="31515E9D"/>
    <w:rsid w:val="318D6246"/>
    <w:rsid w:val="31A93DE0"/>
    <w:rsid w:val="320F03C1"/>
    <w:rsid w:val="32851613"/>
    <w:rsid w:val="32E526AF"/>
    <w:rsid w:val="32E64C05"/>
    <w:rsid w:val="32FA55E0"/>
    <w:rsid w:val="33412AF1"/>
    <w:rsid w:val="33941ABC"/>
    <w:rsid w:val="33B46DD2"/>
    <w:rsid w:val="33F15DA5"/>
    <w:rsid w:val="34C158F2"/>
    <w:rsid w:val="34D36666"/>
    <w:rsid w:val="36213401"/>
    <w:rsid w:val="36BB54E1"/>
    <w:rsid w:val="370143E7"/>
    <w:rsid w:val="37BE4F69"/>
    <w:rsid w:val="37DB7774"/>
    <w:rsid w:val="382C302D"/>
    <w:rsid w:val="38474CC1"/>
    <w:rsid w:val="384A0B59"/>
    <w:rsid w:val="38E3573B"/>
    <w:rsid w:val="39FD796B"/>
    <w:rsid w:val="3A38706E"/>
    <w:rsid w:val="3A6D57BE"/>
    <w:rsid w:val="3BFF2436"/>
    <w:rsid w:val="3C4D31A2"/>
    <w:rsid w:val="3C657A8D"/>
    <w:rsid w:val="3CFC3366"/>
    <w:rsid w:val="3D1C2F74"/>
    <w:rsid w:val="3D3E0D3C"/>
    <w:rsid w:val="3DA063F9"/>
    <w:rsid w:val="3E154DAD"/>
    <w:rsid w:val="3F0B492F"/>
    <w:rsid w:val="3FDC5A4A"/>
    <w:rsid w:val="407A652F"/>
    <w:rsid w:val="40DB1C6C"/>
    <w:rsid w:val="42154762"/>
    <w:rsid w:val="42340478"/>
    <w:rsid w:val="42345589"/>
    <w:rsid w:val="42AC1D79"/>
    <w:rsid w:val="42E243E9"/>
    <w:rsid w:val="431C0A89"/>
    <w:rsid w:val="43EB5803"/>
    <w:rsid w:val="44E664B5"/>
    <w:rsid w:val="45211AC1"/>
    <w:rsid w:val="458E5786"/>
    <w:rsid w:val="46304E6E"/>
    <w:rsid w:val="469E6E1E"/>
    <w:rsid w:val="472D60AA"/>
    <w:rsid w:val="4782435E"/>
    <w:rsid w:val="491D5CAA"/>
    <w:rsid w:val="493354CD"/>
    <w:rsid w:val="4958341F"/>
    <w:rsid w:val="49947C60"/>
    <w:rsid w:val="4B7C13AE"/>
    <w:rsid w:val="4D36480A"/>
    <w:rsid w:val="4DCD30F6"/>
    <w:rsid w:val="4DFB3170"/>
    <w:rsid w:val="4EFB1625"/>
    <w:rsid w:val="4F634FF0"/>
    <w:rsid w:val="4F6A77B6"/>
    <w:rsid w:val="507408A5"/>
    <w:rsid w:val="50AA5B0E"/>
    <w:rsid w:val="50FE0CB7"/>
    <w:rsid w:val="51EE4E78"/>
    <w:rsid w:val="5229133D"/>
    <w:rsid w:val="527B0CFF"/>
    <w:rsid w:val="52BF3883"/>
    <w:rsid w:val="52ED287F"/>
    <w:rsid w:val="5373753A"/>
    <w:rsid w:val="5376227B"/>
    <w:rsid w:val="540E60AE"/>
    <w:rsid w:val="54442C85"/>
    <w:rsid w:val="54FB14A2"/>
    <w:rsid w:val="559D5BD0"/>
    <w:rsid w:val="55E4027B"/>
    <w:rsid w:val="56321E69"/>
    <w:rsid w:val="564156CE"/>
    <w:rsid w:val="56570A4D"/>
    <w:rsid w:val="567D2601"/>
    <w:rsid w:val="56837EA6"/>
    <w:rsid w:val="56986659"/>
    <w:rsid w:val="57543198"/>
    <w:rsid w:val="57547004"/>
    <w:rsid w:val="58340ACF"/>
    <w:rsid w:val="5B38460D"/>
    <w:rsid w:val="5B396675"/>
    <w:rsid w:val="5BD112A2"/>
    <w:rsid w:val="5C2123A3"/>
    <w:rsid w:val="5C3007E1"/>
    <w:rsid w:val="5D1C19D8"/>
    <w:rsid w:val="5D4B7D01"/>
    <w:rsid w:val="5DFB3F5C"/>
    <w:rsid w:val="5E583892"/>
    <w:rsid w:val="5F795ED8"/>
    <w:rsid w:val="61C732C5"/>
    <w:rsid w:val="62FC0898"/>
    <w:rsid w:val="63485496"/>
    <w:rsid w:val="63691FEE"/>
    <w:rsid w:val="644B4371"/>
    <w:rsid w:val="64AD49B4"/>
    <w:rsid w:val="65215860"/>
    <w:rsid w:val="65C303AF"/>
    <w:rsid w:val="66332254"/>
    <w:rsid w:val="67214F17"/>
    <w:rsid w:val="672D7A8A"/>
    <w:rsid w:val="67972599"/>
    <w:rsid w:val="67CE0AC3"/>
    <w:rsid w:val="67E2197B"/>
    <w:rsid w:val="6B1B463A"/>
    <w:rsid w:val="6B6E7FEC"/>
    <w:rsid w:val="6BBE6B05"/>
    <w:rsid w:val="6C172CD8"/>
    <w:rsid w:val="6D9D5BEC"/>
    <w:rsid w:val="6E142EBC"/>
    <w:rsid w:val="6E1B274D"/>
    <w:rsid w:val="6E6E0BD2"/>
    <w:rsid w:val="6E867030"/>
    <w:rsid w:val="6F2F79BF"/>
    <w:rsid w:val="6FAC0EC2"/>
    <w:rsid w:val="6FDB592F"/>
    <w:rsid w:val="70C525FF"/>
    <w:rsid w:val="713307AA"/>
    <w:rsid w:val="719166A9"/>
    <w:rsid w:val="71B049BF"/>
    <w:rsid w:val="71D47469"/>
    <w:rsid w:val="72816D82"/>
    <w:rsid w:val="7399049F"/>
    <w:rsid w:val="73B344DE"/>
    <w:rsid w:val="73E265F9"/>
    <w:rsid w:val="74021350"/>
    <w:rsid w:val="74361CD0"/>
    <w:rsid w:val="7537110F"/>
    <w:rsid w:val="75383CE8"/>
    <w:rsid w:val="75E86FC4"/>
    <w:rsid w:val="76BB222A"/>
    <w:rsid w:val="76FB595A"/>
    <w:rsid w:val="775841CD"/>
    <w:rsid w:val="77647D61"/>
    <w:rsid w:val="77E85551"/>
    <w:rsid w:val="785F0A27"/>
    <w:rsid w:val="78E33F6B"/>
    <w:rsid w:val="7AC540CB"/>
    <w:rsid w:val="7B2935E6"/>
    <w:rsid w:val="7C850C1E"/>
    <w:rsid w:val="7D6C3C01"/>
    <w:rsid w:val="7DFF350C"/>
    <w:rsid w:val="7E4866C0"/>
    <w:rsid w:val="7E7538B7"/>
    <w:rsid w:val="7E857D6E"/>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2" w:semiHidden="0" w:name="heading 1"/>
    <w:lsdException w:qFormat="1" w:unhideWhenUsed="0"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2"/>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2"/>
    <w:pPr>
      <w:keepNext/>
      <w:keepLines/>
      <w:spacing w:before="260" w:after="260" w:line="413" w:lineRule="auto"/>
      <w:outlineLvl w:val="2"/>
    </w:pPr>
    <w:rPr>
      <w:rFonts w:ascii="Calibri" w:hAnsi="Calibri"/>
      <w:b/>
      <w:color w:val="000000"/>
      <w:kern w:val="0"/>
      <w:sz w:val="32"/>
    </w:rPr>
  </w:style>
  <w:style w:type="character" w:default="1" w:styleId="18">
    <w:name w:val="Default Paragraph Font"/>
    <w:semiHidden/>
    <w:qFormat/>
    <w:uiPriority w:val="0"/>
  </w:style>
  <w:style w:type="table" w:default="1" w:styleId="16">
    <w:name w:val="Normal Table"/>
    <w:qFormat/>
    <w:uiPriority w:val="0"/>
    <w:pPr>
      <w:keepNext w:val="0"/>
      <w:keepLines w:val="0"/>
      <w:widowControl/>
      <w:suppressLineNumbers w:val="0"/>
      <w:autoSpaceDE w:val="0"/>
      <w:autoSpaceDN/>
      <w:spacing w:before="0" w:beforeAutospacing="0" w:after="0" w:afterAutospacing="0"/>
      <w:ind w:left="0" w:right="0" w:firstLine="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index 5"/>
    <w:basedOn w:val="1"/>
    <w:next w:val="1"/>
    <w:qFormat/>
    <w:uiPriority w:val="0"/>
    <w:pPr>
      <w:adjustRightInd w:val="0"/>
      <w:snapToGrid w:val="0"/>
      <w:spacing w:line="360" w:lineRule="auto"/>
      <w:jc w:val="center"/>
    </w:pPr>
    <w:rPr>
      <w:rFonts w:ascii="宋体" w:hAnsi="宋体" w:cs="宋体"/>
      <w:bCs/>
      <w:szCs w:val="21"/>
    </w:rPr>
  </w:style>
  <w:style w:type="paragraph" w:styleId="7">
    <w:name w:val="annotation text"/>
    <w:basedOn w:val="1"/>
    <w:next w:val="1"/>
    <w:qFormat/>
    <w:uiPriority w:val="0"/>
    <w:pPr>
      <w:jc w:val="left"/>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Date"/>
    <w:basedOn w:val="1"/>
    <w:next w:val="1"/>
    <w:qFormat/>
    <w:uiPriority w:val="0"/>
    <w:pPr>
      <w:ind w:left="100" w:leftChars="2500"/>
    </w:pPr>
    <w:rPr>
      <w:rFonts w:ascii="宋体" w:hAnsi="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0"/>
    <w:pPr>
      <w:spacing w:before="240" w:beforeLines="0" w:after="60" w:afterLines="0"/>
      <w:jc w:val="center"/>
      <w:outlineLvl w:val="0"/>
    </w:pPr>
    <w:rPr>
      <w:rFonts w:cs="Arial"/>
      <w:b/>
      <w:bCs/>
      <w:sz w:val="36"/>
      <w:szCs w:val="32"/>
    </w:rPr>
  </w:style>
  <w:style w:type="paragraph" w:styleId="15">
    <w:name w:val="Body Text First Indent"/>
    <w:basedOn w:val="8"/>
    <w:qFormat/>
    <w:uiPriority w:val="0"/>
    <w:pPr>
      <w:spacing w:line="312" w:lineRule="auto"/>
      <w:ind w:firstLine="420"/>
    </w:pPr>
    <w:rPr>
      <w:sz w:val="24"/>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Times New Roman" w:hAnsi="Times New Roman" w:eastAsia="宋体" w:cs="Times New Roman"/>
      <w:sz w:val="21"/>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NormalCharacter"/>
    <w:link w:val="24"/>
    <w:qFormat/>
    <w:uiPriority w:val="0"/>
    <w:rPr>
      <w:rFonts w:eastAsia="宋体"/>
    </w:rPr>
  </w:style>
  <w:style w:type="paragraph" w:customStyle="1" w:styleId="24">
    <w:name w:val="UserStyle_0"/>
    <w:basedOn w:val="1"/>
    <w:link w:val="23"/>
    <w:qFormat/>
    <w:uiPriority w:val="0"/>
    <w:pPr>
      <w:widowControl/>
      <w:adjustRightInd/>
      <w:spacing w:after="160" w:line="240" w:lineRule="exact"/>
      <w:jc w:val="left"/>
    </w:pPr>
    <w:rPr>
      <w:rFonts w:eastAsia="宋体"/>
    </w:rPr>
  </w:style>
  <w:style w:type="paragraph" w:customStyle="1" w:styleId="25">
    <w:name w:val="DAS正文"/>
    <w:qFormat/>
    <w:uiPriority w:val="0"/>
    <w:pPr>
      <w:widowControl w:val="0"/>
      <w:spacing w:line="360" w:lineRule="auto"/>
      <w:ind w:right="181" w:firstLine="480"/>
      <w:jc w:val="both"/>
    </w:pPr>
    <w:rPr>
      <w:rFonts w:ascii="Verdana" w:hAnsi="Verdana" w:eastAsia="宋体" w:cs="Times New Roman"/>
      <w:kern w:val="2"/>
      <w:sz w:val="21"/>
      <w:szCs w:val="24"/>
      <w:lang w:val="en-US" w:eastAsia="zh-CN" w:bidi="ar-SA"/>
    </w:rPr>
  </w:style>
  <w:style w:type="paragraph" w:customStyle="1" w:styleId="26">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png"/><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109</Pages>
  <Words>6185</Words>
  <Characters>7402</Characters>
  <TotalTime>2</TotalTime>
  <ScaleCrop>false</ScaleCrop>
  <LinksUpToDate>false</LinksUpToDate>
  <CharactersWithSpaces>7498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2024-06-11T16:09:00Z</dcterms:created>
  <dc:creator>Administrator</dc:creator>
  <cp:lastModifiedBy>Boy^</cp:lastModifiedBy>
  <dcterms:modified xsi:type="dcterms:W3CDTF">2025-06-25T05:51:00Z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2024-06-14T13:18:16Z</vt:filetime>
  </property>
  <property fmtid="{D5CDD505-2E9C-101B-9397-08002B2CF9AE}" pid="4" name="KSOProductBuildVer">
    <vt:lpwstr>2052-12.1.0.21171</vt:lpwstr>
  </property>
  <property fmtid="{D5CDD505-2E9C-101B-9397-08002B2CF9AE}" pid="5" name="ICV">
    <vt:lpwstr>D366AF3FE0394589902FF3A6294F1978_13</vt:lpwstr>
  </property>
  <property fmtid="{D5CDD505-2E9C-101B-9397-08002B2CF9AE}" pid="6" name="KSOTemplateDocerSaveRecord">
    <vt:lpwstr>eyJoZGlkIjoiMzFlMTkwMDQ1ZjM3ZjI3ZjhmNGRiZTczYWVjYmI2NjgiLCJ1c2VySWQiOiI0MzUyMzU3NjMifQ==</vt:lpwstr>
  </property>
</Properties>
</file>