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宋体"/>
          <w:b/>
          <w:sz w:val="48"/>
          <w:szCs w:val="48"/>
        </w:rPr>
      </w:pPr>
      <w:r>
        <w:rPr>
          <w:rFonts w:hint="eastAsia" w:cs="宋体"/>
          <w:b/>
          <w:sz w:val="48"/>
          <w:szCs w:val="48"/>
        </w:rPr>
        <w:t xml:space="preserve"> </w:t>
      </w:r>
      <w:r>
        <w:rPr>
          <w:rFonts w:hint="eastAsia" w:cs="宋体"/>
          <w:b/>
          <w:sz w:val="48"/>
          <w:szCs w:val="48"/>
        </w:rPr>
        <w:drawing>
          <wp:inline distT="0" distB="0" distL="114300" distR="114300">
            <wp:extent cx="2432050" cy="629920"/>
            <wp:effectExtent l="0" t="0" r="6350" b="5080"/>
            <wp:docPr id="26" name="图片 1" descr="校名（透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校名（透明）2"/>
                    <pic:cNvPicPr>
                      <a:picLocks noChangeAspect="1"/>
                    </pic:cNvPicPr>
                  </pic:nvPicPr>
                  <pic:blipFill>
                    <a:blip r:embed="rId14"/>
                    <a:stretch>
                      <a:fillRect/>
                    </a:stretch>
                  </pic:blipFill>
                  <pic:spPr>
                    <a:xfrm>
                      <a:off x="0" y="0"/>
                      <a:ext cx="2432050" cy="629920"/>
                    </a:xfrm>
                    <a:prstGeom prst="rect">
                      <a:avLst/>
                    </a:prstGeom>
                    <a:noFill/>
                    <a:ln>
                      <a:noFill/>
                    </a:ln>
                  </pic:spPr>
                </pic:pic>
              </a:graphicData>
            </a:graphic>
          </wp:inline>
        </w:drawing>
      </w:r>
    </w:p>
    <w:p>
      <w:pPr>
        <w:rPr>
          <w:rFonts w:cs="宋体"/>
          <w:b/>
          <w:sz w:val="48"/>
          <w:szCs w:val="48"/>
        </w:rPr>
      </w:pPr>
    </w:p>
    <w:p>
      <w:pPr>
        <w:spacing w:before="190" w:beforeLines="50"/>
        <w:jc w:val="center"/>
        <w:rPr>
          <w:rFonts w:cs="宋体"/>
          <w:b/>
          <w:sz w:val="72"/>
          <w:szCs w:val="72"/>
        </w:rPr>
      </w:pPr>
      <w:r>
        <w:rPr>
          <w:rFonts w:hint="eastAsia" w:cs="宋体"/>
          <w:b/>
          <w:sz w:val="72"/>
          <w:szCs w:val="72"/>
        </w:rPr>
        <w:t xml:space="preserve"> </w:t>
      </w:r>
    </w:p>
    <w:p>
      <w:pPr>
        <w:spacing w:before="190" w:beforeLines="50"/>
        <w:jc w:val="center"/>
        <w:rPr>
          <w:rFonts w:cs="宋体"/>
          <w:b/>
          <w:sz w:val="84"/>
          <w:szCs w:val="84"/>
        </w:rPr>
      </w:pPr>
      <w:r>
        <w:rPr>
          <w:rFonts w:hint="eastAsia" w:cs="宋体"/>
          <w:b/>
          <w:sz w:val="84"/>
          <w:szCs w:val="84"/>
        </w:rPr>
        <w:t>公开招标采购文件</w:t>
      </w:r>
    </w:p>
    <w:p>
      <w:pPr>
        <w:snapToGrid w:val="0"/>
        <w:spacing w:before="190" w:beforeLines="50" w:line="360" w:lineRule="auto"/>
        <w:rPr>
          <w:rFonts w:cs="宋体"/>
          <w:sz w:val="30"/>
          <w:szCs w:val="72"/>
        </w:rPr>
      </w:pPr>
    </w:p>
    <w:p>
      <w:pPr>
        <w:snapToGrid w:val="0"/>
        <w:spacing w:before="190" w:beforeLines="50" w:line="360" w:lineRule="auto"/>
        <w:jc w:val="center"/>
        <w:rPr>
          <w:rFonts w:cs="宋体"/>
          <w:sz w:val="30"/>
          <w:szCs w:val="72"/>
        </w:rPr>
      </w:pPr>
      <w:r>
        <w:rPr>
          <w:rFonts w:hint="eastAsia" w:cs="宋体"/>
          <w:b/>
          <w:sz w:val="36"/>
          <w:szCs w:val="36"/>
        </w:rPr>
        <w:t>（政府采购电子交易）</w:t>
      </w:r>
    </w:p>
    <w:p>
      <w:pPr>
        <w:snapToGrid w:val="0"/>
        <w:spacing w:before="190" w:beforeLines="50" w:line="360" w:lineRule="auto"/>
        <w:rPr>
          <w:rFonts w:cs="宋体"/>
          <w:sz w:val="30"/>
          <w:szCs w:val="72"/>
        </w:rPr>
      </w:pPr>
    </w:p>
    <w:p>
      <w:pPr>
        <w:snapToGrid w:val="0"/>
        <w:spacing w:before="190" w:beforeLines="50" w:line="360" w:lineRule="auto"/>
        <w:rPr>
          <w:rFonts w:cs="宋体"/>
          <w:sz w:val="30"/>
          <w:szCs w:val="72"/>
        </w:rPr>
      </w:pPr>
    </w:p>
    <w:p>
      <w:pPr>
        <w:snapToGrid w:val="0"/>
        <w:spacing w:before="190" w:beforeLines="50" w:after="190" w:afterLines="50" w:line="360" w:lineRule="auto"/>
        <w:ind w:firstLine="301" w:firstLineChars="100"/>
        <w:rPr>
          <w:rFonts w:cs="宋体"/>
          <w:b/>
          <w:bCs/>
          <w:sz w:val="30"/>
          <w:szCs w:val="30"/>
        </w:rPr>
      </w:pPr>
      <w:r>
        <w:rPr>
          <w:rFonts w:hint="eastAsia" w:cs="宋体"/>
          <w:b/>
          <w:bCs/>
          <w:sz w:val="30"/>
          <w:szCs w:val="30"/>
        </w:rPr>
        <w:t>项目编号：</w:t>
      </w:r>
      <w:r>
        <w:rPr>
          <w:rFonts w:hint="eastAsia" w:cs="宋体"/>
          <w:b/>
          <w:bCs/>
          <w:sz w:val="30"/>
          <w:szCs w:val="30"/>
          <w:u w:val="single"/>
        </w:rPr>
        <w:t xml:space="preserve">                  ZB2025022</w:t>
      </w:r>
      <w:r>
        <w:rPr>
          <w:rFonts w:hint="eastAsia" w:cs="宋体"/>
          <w:b/>
          <w:bCs/>
          <w:sz w:val="30"/>
          <w:szCs w:val="30"/>
          <w:u w:val="single"/>
          <w:lang w:val="en-US" w:eastAsia="zh-CN"/>
        </w:rPr>
        <w:t>a</w:t>
      </w:r>
      <w:r>
        <w:rPr>
          <w:rFonts w:hint="eastAsia" w:cs="宋体"/>
          <w:b/>
          <w:bCs/>
          <w:sz w:val="30"/>
          <w:szCs w:val="30"/>
          <w:u w:val="single"/>
        </w:rPr>
        <w:t xml:space="preserve">                    </w:t>
      </w:r>
    </w:p>
    <w:p>
      <w:pPr>
        <w:snapToGrid w:val="0"/>
        <w:spacing w:before="190" w:beforeLines="50" w:line="360" w:lineRule="auto"/>
        <w:ind w:firstLine="301" w:firstLineChars="100"/>
        <w:rPr>
          <w:rFonts w:cs="宋体"/>
          <w:b/>
          <w:sz w:val="30"/>
          <w:szCs w:val="30"/>
        </w:rPr>
      </w:pPr>
      <w:r>
        <w:rPr>
          <w:rFonts w:hint="eastAsia" w:cs="宋体"/>
          <w:b/>
          <w:sz w:val="30"/>
          <w:szCs w:val="30"/>
        </w:rPr>
        <w:t>项目名称：</w:t>
      </w:r>
      <w:r>
        <w:rPr>
          <w:rFonts w:hint="eastAsia" w:cs="宋体"/>
          <w:b/>
          <w:sz w:val="30"/>
          <w:szCs w:val="30"/>
          <w:u w:val="single"/>
        </w:rPr>
        <w:t xml:space="preserve"> 金华校本部学生公寓寝室床及配套家具更新（一期） </w:t>
      </w:r>
    </w:p>
    <w:p>
      <w:pPr>
        <w:snapToGrid w:val="0"/>
        <w:spacing w:before="190" w:beforeLines="50" w:after="190" w:afterLines="50" w:line="360" w:lineRule="auto"/>
        <w:ind w:firstLine="286" w:firstLineChars="100"/>
        <w:rPr>
          <w:rFonts w:cs="宋体"/>
          <w:b/>
          <w:sz w:val="30"/>
          <w:szCs w:val="30"/>
          <w:u w:val="single"/>
        </w:rPr>
      </w:pPr>
      <w:r>
        <w:rPr>
          <w:rFonts w:hint="eastAsia" w:cs="宋体"/>
          <w:b/>
          <w:bCs/>
          <w:w w:val="95"/>
          <w:sz w:val="30"/>
          <w:szCs w:val="30"/>
        </w:rPr>
        <w:t xml:space="preserve">采购单位： </w:t>
      </w:r>
      <w:r>
        <w:rPr>
          <w:rFonts w:hint="eastAsia" w:cs="宋体"/>
          <w:b/>
          <w:bCs/>
          <w:w w:val="95"/>
          <w:sz w:val="30"/>
          <w:szCs w:val="30"/>
          <w:u w:val="single"/>
        </w:rPr>
        <w:t xml:space="preserve">    </w:t>
      </w:r>
      <w:r>
        <w:rPr>
          <w:rFonts w:hint="eastAsia" w:cs="宋体"/>
          <w:b/>
          <w:sz w:val="30"/>
          <w:szCs w:val="30"/>
          <w:u w:val="single"/>
        </w:rPr>
        <w:t xml:space="preserve">              浙江师范大学                  </w:t>
      </w:r>
    </w:p>
    <w:p>
      <w:pPr>
        <w:snapToGrid w:val="0"/>
        <w:spacing w:before="190" w:beforeLines="50" w:after="190" w:afterLines="50" w:line="360" w:lineRule="auto"/>
        <w:ind w:firstLine="916" w:firstLineChars="400"/>
        <w:rPr>
          <w:rFonts w:cs="宋体"/>
          <w:b/>
          <w:bCs/>
          <w:w w:val="95"/>
          <w:sz w:val="24"/>
          <w:szCs w:val="28"/>
        </w:rPr>
      </w:pPr>
    </w:p>
    <w:p>
      <w:pPr>
        <w:snapToGrid w:val="0"/>
        <w:spacing w:before="190" w:beforeLines="50" w:after="190" w:afterLines="50" w:line="360" w:lineRule="auto"/>
        <w:jc w:val="center"/>
        <w:rPr>
          <w:rFonts w:cs="宋体"/>
          <w:b/>
          <w:bCs/>
          <w:w w:val="95"/>
          <w:sz w:val="24"/>
          <w:szCs w:val="28"/>
        </w:rPr>
      </w:pPr>
    </w:p>
    <w:p>
      <w:pPr>
        <w:snapToGrid w:val="0"/>
        <w:spacing w:before="190" w:beforeLines="50" w:after="190" w:afterLines="50" w:line="360" w:lineRule="auto"/>
        <w:jc w:val="center"/>
        <w:rPr>
          <w:rFonts w:cs="宋体"/>
          <w:b/>
          <w:bCs/>
          <w:w w:val="95"/>
          <w:sz w:val="30"/>
          <w:szCs w:val="30"/>
        </w:rPr>
      </w:pPr>
    </w:p>
    <w:p>
      <w:pPr>
        <w:snapToGrid w:val="0"/>
        <w:spacing w:before="190" w:beforeLines="50" w:after="190" w:afterLines="50" w:line="360" w:lineRule="auto"/>
        <w:jc w:val="center"/>
        <w:rPr>
          <w:rFonts w:cs="宋体"/>
          <w:b/>
          <w:bCs/>
          <w:w w:val="95"/>
          <w:sz w:val="30"/>
          <w:szCs w:val="30"/>
        </w:rPr>
      </w:pPr>
      <w:r>
        <w:rPr>
          <w:rFonts w:hint="eastAsia" w:cs="宋体"/>
          <w:b/>
          <w:bCs/>
          <w:w w:val="95"/>
          <w:sz w:val="30"/>
          <w:szCs w:val="30"/>
        </w:rPr>
        <w:t>2025年 5 月</w:t>
      </w:r>
    </w:p>
    <w:p>
      <w:pPr>
        <w:snapToGrid w:val="0"/>
        <w:spacing w:before="190" w:beforeLines="50" w:after="190" w:afterLines="50" w:line="360" w:lineRule="auto"/>
        <w:jc w:val="center"/>
        <w:rPr>
          <w:rFonts w:cs="宋体"/>
          <w:sz w:val="52"/>
          <w:szCs w:val="52"/>
        </w:rPr>
      </w:pPr>
    </w:p>
    <w:p>
      <w:pPr>
        <w:spacing w:before="190" w:beforeLines="50" w:after="190" w:afterLines="50" w:line="360" w:lineRule="auto"/>
        <w:jc w:val="center"/>
        <w:rPr>
          <w:rFonts w:cs="宋体"/>
          <w:b/>
          <w:bCs/>
          <w:sz w:val="52"/>
          <w:szCs w:val="52"/>
        </w:rPr>
      </w:pPr>
      <w:r>
        <w:rPr>
          <w:rFonts w:hint="eastAsia" w:cs="宋体"/>
          <w:b/>
          <w:bCs/>
          <w:sz w:val="52"/>
          <w:szCs w:val="52"/>
        </w:rPr>
        <w:t>目  录</w:t>
      </w:r>
    </w:p>
    <w:p>
      <w:pPr>
        <w:spacing w:before="190" w:beforeLines="50" w:after="190" w:afterLines="50" w:line="360" w:lineRule="auto"/>
        <w:jc w:val="center"/>
        <w:rPr>
          <w:rFonts w:cs="宋体"/>
          <w:sz w:val="36"/>
          <w:szCs w:val="36"/>
        </w:rPr>
      </w:pPr>
    </w:p>
    <w:p>
      <w:pPr>
        <w:tabs>
          <w:tab w:val="left" w:pos="142"/>
        </w:tabs>
        <w:spacing w:before="190" w:beforeLines="50" w:line="500" w:lineRule="exact"/>
        <w:ind w:left="143" w:leftChars="51" w:firstLine="2379" w:firstLineChars="661"/>
        <w:jc w:val="left"/>
        <w:rPr>
          <w:rFonts w:cs="宋体"/>
          <w:sz w:val="36"/>
          <w:szCs w:val="36"/>
        </w:rPr>
      </w:pPr>
    </w:p>
    <w:p>
      <w:pPr>
        <w:tabs>
          <w:tab w:val="left" w:pos="142"/>
        </w:tabs>
        <w:spacing w:before="190" w:beforeLines="50" w:line="800" w:lineRule="exact"/>
        <w:ind w:left="143" w:leftChars="51" w:firstLine="1983" w:firstLineChars="661"/>
        <w:jc w:val="left"/>
        <w:rPr>
          <w:rFonts w:cs="宋体"/>
          <w:sz w:val="30"/>
          <w:szCs w:val="30"/>
        </w:rPr>
      </w:pPr>
      <w:r>
        <w:rPr>
          <w:rFonts w:hint="eastAsia" w:cs="宋体"/>
          <w:sz w:val="30"/>
          <w:szCs w:val="30"/>
        </w:rPr>
        <w:t>第一章   公开招标采购公告</w:t>
      </w:r>
    </w:p>
    <w:p>
      <w:pPr>
        <w:tabs>
          <w:tab w:val="left" w:pos="142"/>
        </w:tabs>
        <w:spacing w:before="190" w:beforeLines="50" w:line="800" w:lineRule="exact"/>
        <w:ind w:left="143" w:leftChars="51" w:firstLine="1983" w:firstLineChars="661"/>
        <w:jc w:val="left"/>
        <w:rPr>
          <w:rFonts w:cs="宋体"/>
          <w:sz w:val="30"/>
          <w:szCs w:val="30"/>
        </w:rPr>
      </w:pPr>
      <w:r>
        <w:rPr>
          <w:rFonts w:hint="eastAsia" w:cs="宋体"/>
          <w:sz w:val="30"/>
          <w:szCs w:val="30"/>
        </w:rPr>
        <w:t>第二章   项目技术及服务要求</w:t>
      </w:r>
    </w:p>
    <w:p>
      <w:pPr>
        <w:tabs>
          <w:tab w:val="left" w:pos="142"/>
        </w:tabs>
        <w:spacing w:before="190" w:beforeLines="50" w:line="800" w:lineRule="exact"/>
        <w:ind w:left="143" w:leftChars="51" w:firstLine="1983" w:firstLineChars="661"/>
        <w:jc w:val="left"/>
        <w:rPr>
          <w:rFonts w:cs="宋体"/>
          <w:sz w:val="30"/>
          <w:szCs w:val="30"/>
        </w:rPr>
      </w:pPr>
      <w:r>
        <w:rPr>
          <w:rFonts w:hint="eastAsia" w:cs="宋体"/>
          <w:sz w:val="30"/>
          <w:szCs w:val="30"/>
        </w:rPr>
        <w:t>第三章   投标人须知</w:t>
      </w:r>
    </w:p>
    <w:p>
      <w:pPr>
        <w:tabs>
          <w:tab w:val="left" w:pos="142"/>
        </w:tabs>
        <w:spacing w:before="190" w:beforeLines="50" w:line="800" w:lineRule="exact"/>
        <w:ind w:left="143" w:leftChars="51" w:firstLine="1983" w:firstLineChars="661"/>
        <w:jc w:val="left"/>
        <w:rPr>
          <w:rFonts w:cs="宋体"/>
          <w:sz w:val="30"/>
          <w:szCs w:val="30"/>
        </w:rPr>
      </w:pPr>
      <w:r>
        <w:rPr>
          <w:rFonts w:hint="eastAsia" w:cs="宋体"/>
          <w:sz w:val="30"/>
          <w:szCs w:val="30"/>
        </w:rPr>
        <w:t>第四章   评标办法及评分标准</w:t>
      </w:r>
    </w:p>
    <w:p>
      <w:pPr>
        <w:tabs>
          <w:tab w:val="left" w:pos="142"/>
        </w:tabs>
        <w:spacing w:before="190" w:beforeLines="50" w:line="800" w:lineRule="exact"/>
        <w:ind w:left="143" w:leftChars="51" w:firstLine="1983" w:firstLineChars="661"/>
        <w:jc w:val="left"/>
        <w:rPr>
          <w:rFonts w:cs="宋体"/>
          <w:sz w:val="30"/>
          <w:szCs w:val="30"/>
        </w:rPr>
      </w:pPr>
      <w:r>
        <w:rPr>
          <w:rFonts w:hint="eastAsia" w:cs="宋体"/>
          <w:sz w:val="30"/>
          <w:szCs w:val="30"/>
        </w:rPr>
        <w:t>第五章   采购合同主要条款</w:t>
      </w:r>
    </w:p>
    <w:p>
      <w:pPr>
        <w:tabs>
          <w:tab w:val="left" w:pos="142"/>
        </w:tabs>
        <w:spacing w:before="190" w:beforeLines="50" w:line="800" w:lineRule="exact"/>
        <w:ind w:left="143" w:leftChars="51" w:firstLine="1983" w:firstLineChars="661"/>
        <w:jc w:val="left"/>
        <w:rPr>
          <w:rFonts w:cs="宋体"/>
          <w:sz w:val="30"/>
          <w:szCs w:val="30"/>
        </w:rPr>
      </w:pPr>
      <w:r>
        <w:rPr>
          <w:rFonts w:hint="eastAsia" w:cs="宋体"/>
          <w:sz w:val="30"/>
          <w:szCs w:val="30"/>
        </w:rPr>
        <w:t>第六章   投标文件格式附件</w:t>
      </w:r>
    </w:p>
    <w:p>
      <w:pPr>
        <w:snapToGrid w:val="0"/>
        <w:spacing w:before="190" w:beforeLines="50" w:line="800" w:lineRule="exact"/>
        <w:jc w:val="center"/>
        <w:rPr>
          <w:rFonts w:cs="宋体"/>
          <w:b/>
          <w:sz w:val="36"/>
          <w:szCs w:val="36"/>
        </w:rPr>
        <w:sectPr>
          <w:headerReference r:id="rId4" w:type="first"/>
          <w:footerReference r:id="rId6" w:type="first"/>
          <w:headerReference r:id="rId3" w:type="default"/>
          <w:footerReference r:id="rId5" w:type="default"/>
          <w:pgSz w:w="11906" w:h="16838"/>
          <w:pgMar w:top="1247" w:right="1417" w:bottom="1247" w:left="1417" w:header="851" w:footer="850" w:gutter="0"/>
          <w:pgNumType w:start="1"/>
          <w:cols w:space="720" w:num="1"/>
          <w:titlePg/>
          <w:docGrid w:type="lines" w:linePitch="381" w:charSpace="0"/>
        </w:sectPr>
      </w:pPr>
    </w:p>
    <w:p>
      <w:pPr>
        <w:snapToGrid w:val="0"/>
        <w:spacing w:before="191" w:beforeLines="50" w:line="360" w:lineRule="auto"/>
        <w:jc w:val="center"/>
        <w:outlineLvl w:val="0"/>
        <w:rPr>
          <w:rFonts w:cs="宋体"/>
          <w:b/>
          <w:sz w:val="36"/>
          <w:szCs w:val="36"/>
        </w:rPr>
      </w:pPr>
      <w:r>
        <w:rPr>
          <w:rFonts w:hint="eastAsia" w:cs="宋体"/>
          <w:b/>
          <w:sz w:val="36"/>
          <w:szCs w:val="36"/>
        </w:rPr>
        <w:t>第一章  公开招标采购公告</w:t>
      </w:r>
    </w:p>
    <w:p>
      <w:pPr>
        <w:pStyle w:val="40"/>
        <w:widowControl w:val="0"/>
        <w:spacing w:afterLines="0" w:line="400" w:lineRule="exact"/>
        <w:ind w:firstLine="480"/>
        <w:jc w:val="left"/>
        <w:rPr>
          <w:rFonts w:cs="宋体"/>
          <w:szCs w:val="24"/>
        </w:rPr>
      </w:pPr>
      <w:r>
        <w:rPr>
          <w:rFonts w:hint="eastAsia" w:cs="宋体"/>
          <w:szCs w:val="24"/>
        </w:rPr>
        <w:t>根据《中华人民共和国政府采购法》《政府采购货物和服务招标投标管理办法》等规定，经浙江省财政厅</w:t>
      </w:r>
      <w:r>
        <w:rPr>
          <w:rFonts w:hint="eastAsia" w:cs="宋体"/>
          <w:szCs w:val="24"/>
          <w:u w:val="single"/>
        </w:rPr>
        <w:t xml:space="preserve"> 【2025】19671、【2025】19672 </w:t>
      </w:r>
      <w:r>
        <w:rPr>
          <w:rFonts w:hint="eastAsia" w:cs="宋体"/>
          <w:szCs w:val="24"/>
        </w:rPr>
        <w:t xml:space="preserve">号确认书批准，现就我校金华校本部学生公寓寝室床及配套家具更新项目进行公开招标采购。本次招标采用电子交易方式，欢迎符合条件的供应商前来投标。 </w:t>
      </w:r>
    </w:p>
    <w:p>
      <w:pPr>
        <w:pStyle w:val="40"/>
        <w:widowControl w:val="0"/>
        <w:spacing w:after="50" w:afterLines="0" w:line="400" w:lineRule="exact"/>
        <w:ind w:firstLine="482"/>
        <w:jc w:val="left"/>
        <w:rPr>
          <w:rFonts w:hint="eastAsia" w:eastAsia="宋体" w:cs="宋体"/>
          <w:szCs w:val="24"/>
          <w:lang w:val="en-US" w:eastAsia="zh-CN"/>
        </w:rPr>
      </w:pPr>
      <w:r>
        <w:rPr>
          <w:rFonts w:hint="eastAsia" w:cs="宋体"/>
          <w:b/>
          <w:szCs w:val="24"/>
        </w:rPr>
        <w:t>一、项目编号：</w:t>
      </w:r>
      <w:r>
        <w:rPr>
          <w:rFonts w:hint="eastAsia" w:cs="宋体"/>
          <w:szCs w:val="24"/>
        </w:rPr>
        <w:t xml:space="preserve"> ZB2025022</w:t>
      </w:r>
      <w:r>
        <w:rPr>
          <w:rFonts w:hint="eastAsia" w:cs="宋体"/>
          <w:szCs w:val="24"/>
          <w:lang w:val="en-US" w:eastAsia="zh-CN"/>
        </w:rPr>
        <w:t>a</w:t>
      </w:r>
    </w:p>
    <w:p>
      <w:pPr>
        <w:pStyle w:val="40"/>
        <w:widowControl w:val="0"/>
        <w:spacing w:after="50" w:afterLines="0" w:line="400" w:lineRule="exact"/>
        <w:ind w:firstLine="482"/>
        <w:jc w:val="left"/>
        <w:rPr>
          <w:rFonts w:cs="宋体"/>
          <w:szCs w:val="24"/>
        </w:rPr>
      </w:pPr>
      <w:r>
        <w:rPr>
          <w:rFonts w:hint="eastAsia" w:cs="宋体"/>
          <w:b/>
          <w:szCs w:val="24"/>
        </w:rPr>
        <w:t>二、采购组织类型：</w:t>
      </w:r>
      <w:r>
        <w:rPr>
          <w:rFonts w:hint="eastAsia" w:cs="宋体"/>
          <w:szCs w:val="24"/>
        </w:rPr>
        <w:t>分散采购自行组织</w:t>
      </w:r>
    </w:p>
    <w:p>
      <w:pPr>
        <w:pStyle w:val="40"/>
        <w:widowControl w:val="0"/>
        <w:spacing w:after="50" w:afterLines="0" w:line="400" w:lineRule="exact"/>
        <w:ind w:firstLine="482"/>
        <w:jc w:val="left"/>
        <w:rPr>
          <w:rFonts w:cs="宋体"/>
          <w:szCs w:val="24"/>
        </w:rPr>
      </w:pPr>
      <w:r>
        <w:rPr>
          <w:rFonts w:hint="eastAsia" w:cs="宋体"/>
          <w:b/>
          <w:szCs w:val="24"/>
        </w:rPr>
        <w:t>三、采购方式：</w:t>
      </w:r>
      <w:r>
        <w:rPr>
          <w:rFonts w:hint="eastAsia" w:cs="宋体"/>
          <w:bCs/>
          <w:szCs w:val="24"/>
        </w:rPr>
        <w:t>公开招标（政府采购电子交易）</w:t>
      </w:r>
    </w:p>
    <w:p>
      <w:pPr>
        <w:pStyle w:val="40"/>
        <w:widowControl w:val="0"/>
        <w:spacing w:after="50" w:afterLines="0" w:line="400" w:lineRule="exact"/>
        <w:ind w:firstLine="482"/>
        <w:jc w:val="left"/>
        <w:rPr>
          <w:rFonts w:cs="宋体"/>
          <w:b/>
          <w:szCs w:val="24"/>
        </w:rPr>
      </w:pPr>
      <w:r>
        <w:rPr>
          <w:rFonts w:hint="eastAsia" w:cs="宋体"/>
          <w:b/>
          <w:szCs w:val="24"/>
        </w:rPr>
        <w:t>四、采购内容：</w:t>
      </w:r>
    </w:p>
    <w:tbl>
      <w:tblPr>
        <w:tblStyle w:val="29"/>
        <w:tblW w:w="8876" w:type="dxa"/>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2"/>
        <w:gridCol w:w="2948"/>
        <w:gridCol w:w="737"/>
        <w:gridCol w:w="737"/>
        <w:gridCol w:w="35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8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kern w:val="0"/>
                <w:sz w:val="24"/>
              </w:rPr>
              <w:t>标项序号</w:t>
            </w: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kern w:val="0"/>
                <w:sz w:val="24"/>
              </w:rPr>
              <w:t>标项名称</w:t>
            </w:r>
          </w:p>
        </w:tc>
        <w:tc>
          <w:tcPr>
            <w:tcW w:w="7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kern w:val="0"/>
                <w:sz w:val="24"/>
              </w:rPr>
              <w:t>数量</w:t>
            </w:r>
          </w:p>
        </w:tc>
        <w:tc>
          <w:tcPr>
            <w:tcW w:w="7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kern w:val="0"/>
                <w:sz w:val="24"/>
              </w:rPr>
              <w:t>单位</w:t>
            </w:r>
          </w:p>
        </w:tc>
        <w:tc>
          <w:tcPr>
            <w:tcW w:w="35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kern w:val="0"/>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4" w:hRule="atLeast"/>
        </w:trPr>
        <w:tc>
          <w:tcPr>
            <w:tcW w:w="8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kern w:val="0"/>
                <w:sz w:val="24"/>
              </w:rPr>
              <w:t>1</w:t>
            </w: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sz w:val="24"/>
              </w:rPr>
              <w:t>金华校本部学生公寓寝室床及配套家具更新（一期）</w:t>
            </w:r>
          </w:p>
        </w:tc>
        <w:tc>
          <w:tcPr>
            <w:tcW w:w="7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kern w:val="0"/>
                <w:sz w:val="24"/>
              </w:rPr>
              <w:t>1</w:t>
            </w:r>
          </w:p>
        </w:tc>
        <w:tc>
          <w:tcPr>
            <w:tcW w:w="73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宋体"/>
                <w:kern w:val="0"/>
                <w:sz w:val="24"/>
              </w:rPr>
            </w:pPr>
            <w:r>
              <w:rPr>
                <w:rFonts w:hint="eastAsia" w:cs="宋体"/>
                <w:kern w:val="0"/>
                <w:sz w:val="24"/>
              </w:rPr>
              <w:t>批</w:t>
            </w:r>
          </w:p>
        </w:tc>
        <w:tc>
          <w:tcPr>
            <w:tcW w:w="357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cs="宋体"/>
                <w:kern w:val="0"/>
                <w:sz w:val="24"/>
              </w:rPr>
            </w:pPr>
            <w:r>
              <w:rPr>
                <w:rFonts w:hint="eastAsia" w:cs="宋体"/>
                <w:kern w:val="0"/>
                <w:sz w:val="24"/>
              </w:rPr>
              <w:t>1.本项目最高限价：1660.00万</w:t>
            </w:r>
          </w:p>
          <w:p>
            <w:pPr>
              <w:snapToGrid w:val="0"/>
              <w:spacing w:line="400" w:lineRule="exact"/>
              <w:rPr>
                <w:rFonts w:cs="宋体"/>
                <w:kern w:val="0"/>
                <w:sz w:val="24"/>
              </w:rPr>
            </w:pPr>
            <w:r>
              <w:rPr>
                <w:rFonts w:hint="eastAsia" w:cs="宋体"/>
                <w:kern w:val="0"/>
                <w:sz w:val="24"/>
              </w:rPr>
              <w:t>2.详细技术参数见第二章《项目技术及服务要求》</w:t>
            </w:r>
          </w:p>
        </w:tc>
      </w:tr>
    </w:tbl>
    <w:p>
      <w:pPr>
        <w:snapToGrid w:val="0"/>
        <w:spacing w:line="400" w:lineRule="exact"/>
        <w:ind w:firstLine="482" w:firstLineChars="200"/>
        <w:jc w:val="left"/>
        <w:rPr>
          <w:rFonts w:cs="宋体"/>
          <w:b/>
          <w:kern w:val="0"/>
          <w:sz w:val="24"/>
        </w:rPr>
      </w:pPr>
      <w:r>
        <w:rPr>
          <w:rFonts w:hint="eastAsia" w:cs="宋体"/>
          <w:b/>
          <w:kern w:val="0"/>
          <w:sz w:val="24"/>
        </w:rPr>
        <w:t>五、合格投标人的资格要求</w:t>
      </w:r>
    </w:p>
    <w:p>
      <w:pPr>
        <w:snapToGrid w:val="0"/>
        <w:spacing w:line="400" w:lineRule="exact"/>
        <w:ind w:firstLine="480" w:firstLineChars="200"/>
        <w:jc w:val="left"/>
        <w:rPr>
          <w:rFonts w:cs="宋体"/>
          <w:kern w:val="0"/>
          <w:sz w:val="24"/>
        </w:rPr>
      </w:pPr>
      <w:r>
        <w:rPr>
          <w:rFonts w:hint="eastAsia" w:cs="宋体"/>
          <w:kern w:val="0"/>
          <w:sz w:val="24"/>
        </w:rPr>
        <w:t>1.符合《中华人民共和国政府采购法》第二十二条和浙财采监【2013】24号《关于规范政府采购供应商资格设定及资格审查的通知》第六条规定；</w:t>
      </w:r>
    </w:p>
    <w:p>
      <w:pPr>
        <w:snapToGrid w:val="0"/>
        <w:spacing w:line="400" w:lineRule="exact"/>
        <w:ind w:firstLine="480" w:firstLineChars="200"/>
        <w:jc w:val="left"/>
        <w:rPr>
          <w:rFonts w:cs="宋体"/>
          <w:sz w:val="24"/>
        </w:rPr>
      </w:pPr>
      <w:r>
        <w:rPr>
          <w:rFonts w:hint="eastAsia" w:cs="宋体"/>
          <w:kern w:val="0"/>
          <w:sz w:val="24"/>
        </w:rPr>
        <w:t>2.</w:t>
      </w:r>
      <w:r>
        <w:rPr>
          <w:rFonts w:hint="eastAsia" w:cs="宋体"/>
          <w:sz w:val="24"/>
        </w:rPr>
        <w:t>截至投标截止时间，投标人</w:t>
      </w:r>
      <w:r>
        <w:rPr>
          <w:rFonts w:hint="eastAsia" w:cs="宋体"/>
          <w:kern w:val="0"/>
          <w:sz w:val="24"/>
        </w:rPr>
        <w:t>未被信用中国（www.creditchina.gov.cn）、中国政府采购网（www.ccgp.gov.cn）列入失信被执行人、重大税收违法案件当事人名单、政府采购严重违法失信行为记录名单，</w:t>
      </w:r>
      <w:r>
        <w:rPr>
          <w:rFonts w:hint="eastAsia" w:cs="宋体"/>
          <w:sz w:val="24"/>
        </w:rPr>
        <w:t>且尚处于禁止参加政府采购活动期内。</w:t>
      </w:r>
    </w:p>
    <w:p>
      <w:pPr>
        <w:spacing w:line="200" w:lineRule="atLeast"/>
        <w:ind w:firstLine="301"/>
        <w:rPr>
          <w:rFonts w:cs="宋体"/>
          <w:spacing w:val="-4"/>
          <w:sz w:val="24"/>
          <w:szCs w:val="20"/>
        </w:rPr>
      </w:pPr>
      <w:r>
        <w:rPr>
          <w:rFonts w:hint="eastAsia" w:cs="宋体"/>
          <w:spacing w:val="-4"/>
          <w:sz w:val="24"/>
          <w:szCs w:val="20"/>
        </w:rPr>
        <w:t xml:space="preserve">  3.落实政府采购政策需满足的资格要求：本项目为面向中小企业采购的项目。须满足《政府采购促进中小企业发展管理办法》（财库〔2020〕46 号）第二、四条规定。浙财采监〔2019〕8号文件规定，监狱企业、残疾人福利性单位视为小微企业。</w:t>
      </w:r>
    </w:p>
    <w:p>
      <w:pPr>
        <w:snapToGrid w:val="0"/>
        <w:spacing w:line="400" w:lineRule="exact"/>
        <w:ind w:firstLine="480" w:firstLineChars="200"/>
        <w:jc w:val="left"/>
        <w:rPr>
          <w:rFonts w:cs="宋体"/>
          <w:kern w:val="0"/>
          <w:sz w:val="24"/>
        </w:rPr>
      </w:pPr>
      <w:r>
        <w:rPr>
          <w:rFonts w:hint="eastAsia" w:cs="宋体"/>
          <w:kern w:val="0"/>
          <w:sz w:val="24"/>
        </w:rPr>
        <w:t>4.本项目不接受联合体投标。</w:t>
      </w:r>
    </w:p>
    <w:p>
      <w:pPr>
        <w:snapToGrid w:val="0"/>
        <w:spacing w:line="400" w:lineRule="exact"/>
        <w:ind w:firstLine="482" w:firstLineChars="200"/>
        <w:jc w:val="left"/>
        <w:rPr>
          <w:rFonts w:cs="宋体"/>
          <w:b/>
          <w:kern w:val="0"/>
          <w:sz w:val="24"/>
        </w:rPr>
      </w:pPr>
      <w:r>
        <w:rPr>
          <w:rFonts w:hint="eastAsia" w:cs="宋体"/>
          <w:b/>
          <w:kern w:val="0"/>
          <w:sz w:val="24"/>
        </w:rPr>
        <w:t>六、招标文件的获取：</w:t>
      </w:r>
    </w:p>
    <w:p>
      <w:pPr>
        <w:snapToGrid w:val="0"/>
        <w:spacing w:line="400" w:lineRule="exact"/>
        <w:ind w:firstLine="480" w:firstLineChars="200"/>
        <w:jc w:val="left"/>
        <w:rPr>
          <w:rFonts w:cs="宋体"/>
          <w:bCs/>
          <w:sz w:val="24"/>
        </w:rPr>
      </w:pPr>
      <w:r>
        <w:rPr>
          <w:rFonts w:hint="eastAsia" w:cs="宋体"/>
          <w:kern w:val="0"/>
          <w:sz w:val="24"/>
        </w:rPr>
        <w:t>1.</w:t>
      </w:r>
      <w:r>
        <w:rPr>
          <w:rFonts w:hint="eastAsia" w:cs="宋体"/>
          <w:sz w:val="24"/>
        </w:rPr>
        <w:t>获取期限：</w:t>
      </w:r>
      <w:bookmarkStart w:id="0" w:name="B19_招标文件发售起始日期"/>
      <w:bookmarkEnd w:id="0"/>
      <w:r>
        <w:rPr>
          <w:rFonts w:hint="eastAsia" w:cs="宋体"/>
          <w:bCs/>
          <w:sz w:val="24"/>
        </w:rPr>
        <w:t>自本公告发布时间至</w:t>
      </w:r>
      <w:bookmarkStart w:id="1" w:name="B20_招标文件发售截止日期"/>
      <w:bookmarkEnd w:id="1"/>
      <w:r>
        <w:rPr>
          <w:rFonts w:hint="eastAsia" w:cs="宋体"/>
          <w:bCs/>
          <w:sz w:val="24"/>
        </w:rPr>
        <w:t>投标截止时间（以供应商完成获取招标文件申请后下载招标文件的时间为准）。</w:t>
      </w:r>
    </w:p>
    <w:p>
      <w:pPr>
        <w:autoSpaceDE w:val="0"/>
        <w:autoSpaceDN w:val="0"/>
        <w:adjustRightInd w:val="0"/>
        <w:spacing w:line="400" w:lineRule="exact"/>
        <w:ind w:firstLine="480" w:firstLineChars="200"/>
        <w:rPr>
          <w:rFonts w:cs="宋体"/>
          <w:bCs/>
          <w:sz w:val="24"/>
        </w:rPr>
      </w:pPr>
      <w:r>
        <w:rPr>
          <w:rFonts w:hint="eastAsia" w:cs="宋体"/>
          <w:bCs/>
          <w:sz w:val="24"/>
        </w:rPr>
        <w:t>2.获取地点：浙江政府采购网（</w:t>
      </w:r>
      <w:r>
        <w:fldChar w:fldCharType="begin"/>
      </w:r>
      <w:r>
        <w:instrText xml:space="preserve"> HYPERLINK "http://zfcg.czt.zj.gov.cn" </w:instrText>
      </w:r>
      <w:r>
        <w:fldChar w:fldCharType="separate"/>
      </w:r>
      <w:r>
        <w:rPr>
          <w:rStyle w:val="35"/>
          <w:rFonts w:hint="eastAsia" w:cs="宋体"/>
          <w:bCs/>
          <w:color w:val="auto"/>
          <w:sz w:val="24"/>
        </w:rPr>
        <w:t>http://zfcg.czt.zj.gov.cn</w:t>
      </w:r>
      <w:r>
        <w:rPr>
          <w:rStyle w:val="35"/>
          <w:rFonts w:hint="eastAsia" w:cs="宋体"/>
          <w:bCs/>
          <w:color w:val="auto"/>
          <w:sz w:val="24"/>
        </w:rPr>
        <w:fldChar w:fldCharType="end"/>
      </w:r>
      <w:r>
        <w:rPr>
          <w:rFonts w:hint="eastAsia" w:cs="宋体"/>
          <w:bCs/>
          <w:sz w:val="24"/>
        </w:rPr>
        <w:t>）</w:t>
      </w:r>
    </w:p>
    <w:p>
      <w:pPr>
        <w:snapToGrid w:val="0"/>
        <w:spacing w:line="400" w:lineRule="exact"/>
        <w:ind w:firstLine="482" w:firstLineChars="200"/>
        <w:rPr>
          <w:rFonts w:cs="宋体"/>
          <w:b/>
          <w:sz w:val="24"/>
        </w:rPr>
      </w:pPr>
      <w:r>
        <w:rPr>
          <w:rFonts w:hint="eastAsia" w:cs="宋体"/>
          <w:b/>
          <w:kern w:val="0"/>
          <w:sz w:val="24"/>
        </w:rPr>
        <w:t>3.获取招标文件方式：</w:t>
      </w:r>
      <w:r>
        <w:rPr>
          <w:rFonts w:hint="eastAsia" w:cs="宋体"/>
          <w:b/>
          <w:sz w:val="24"/>
        </w:rPr>
        <w:t>“浙江政府采购网”在线获取。</w:t>
      </w:r>
    </w:p>
    <w:p>
      <w:pPr>
        <w:snapToGrid w:val="0"/>
        <w:spacing w:line="400" w:lineRule="exact"/>
        <w:ind w:firstLine="482" w:firstLineChars="200"/>
        <w:rPr>
          <w:rFonts w:cs="宋体"/>
          <w:b/>
          <w:sz w:val="24"/>
        </w:rPr>
      </w:pPr>
      <w:r>
        <w:rPr>
          <w:rFonts w:hint="eastAsia" w:cs="宋体"/>
          <w:b/>
          <w:sz w:val="24"/>
        </w:rPr>
        <w:t>本项目不提供纸制版采购文件，供应商通过“浙江政府采购网”本项目公告下方选取“潜在供应商”处“获取采购文件”；供应商只有在“浙江政府采购网”完成获取采购文件申请并下载了采购文件后才视作依法获取采购文件，否则投标将被拒绝。</w:t>
      </w:r>
    </w:p>
    <w:p>
      <w:pPr>
        <w:snapToGrid w:val="0"/>
        <w:spacing w:line="400" w:lineRule="exact"/>
        <w:ind w:firstLine="480" w:firstLineChars="200"/>
        <w:rPr>
          <w:rFonts w:cs="宋体"/>
          <w:bCs/>
          <w:kern w:val="0"/>
          <w:sz w:val="24"/>
        </w:rPr>
      </w:pPr>
      <w:r>
        <w:rPr>
          <w:rFonts w:hint="eastAsia" w:cs="宋体"/>
          <w:bCs/>
          <w:sz w:val="24"/>
        </w:rPr>
        <w:t>供应商通过“浙江政府采购网”本公告下方“游客，浏览投标文件”下载的招标文件仅供浏览，不视作依法获取招标文件，投标将被拒绝。</w:t>
      </w:r>
    </w:p>
    <w:p>
      <w:pPr>
        <w:numPr>
          <w:ilvl w:val="0"/>
          <w:numId w:val="3"/>
        </w:numPr>
        <w:autoSpaceDE w:val="0"/>
        <w:autoSpaceDN w:val="0"/>
        <w:adjustRightInd w:val="0"/>
        <w:spacing w:line="400" w:lineRule="exact"/>
        <w:ind w:firstLine="482" w:firstLineChars="200"/>
        <w:rPr>
          <w:rFonts w:cs="宋体"/>
          <w:sz w:val="24"/>
        </w:rPr>
      </w:pPr>
      <w:r>
        <w:rPr>
          <w:rFonts w:hint="eastAsia" w:cs="宋体"/>
          <w:b/>
          <w:sz w:val="24"/>
        </w:rPr>
        <w:t>招标文件售价：</w:t>
      </w:r>
      <w:r>
        <w:rPr>
          <w:rFonts w:hint="eastAsia" w:cs="宋体"/>
          <w:sz w:val="24"/>
        </w:rPr>
        <w:t>免费提供</w:t>
      </w:r>
    </w:p>
    <w:p>
      <w:pPr>
        <w:numPr>
          <w:ilvl w:val="0"/>
          <w:numId w:val="3"/>
        </w:numPr>
        <w:autoSpaceDE w:val="0"/>
        <w:autoSpaceDN w:val="0"/>
        <w:adjustRightInd w:val="0"/>
        <w:spacing w:line="400" w:lineRule="exact"/>
        <w:ind w:firstLine="482" w:firstLineChars="200"/>
        <w:rPr>
          <w:rFonts w:cs="宋体"/>
          <w:sz w:val="24"/>
        </w:rPr>
      </w:pPr>
      <w:r>
        <w:rPr>
          <w:rFonts w:hint="eastAsia" w:cs="宋体"/>
          <w:b/>
          <w:bCs/>
          <w:sz w:val="24"/>
        </w:rPr>
        <w:t>投标保证金：</w:t>
      </w:r>
      <w:r>
        <w:rPr>
          <w:rFonts w:hint="eastAsia" w:cs="宋体"/>
          <w:bCs/>
          <w:sz w:val="24"/>
        </w:rPr>
        <w:t>无。</w:t>
      </w:r>
    </w:p>
    <w:p>
      <w:pPr>
        <w:snapToGrid w:val="0"/>
        <w:spacing w:line="400" w:lineRule="exact"/>
        <w:ind w:firstLine="482" w:firstLineChars="200"/>
        <w:jc w:val="left"/>
        <w:rPr>
          <w:rFonts w:cs="宋体"/>
          <w:b/>
          <w:kern w:val="0"/>
          <w:sz w:val="24"/>
        </w:rPr>
      </w:pPr>
      <w:r>
        <w:rPr>
          <w:rFonts w:hint="eastAsia" w:cs="宋体"/>
          <w:b/>
          <w:kern w:val="0"/>
          <w:sz w:val="24"/>
        </w:rPr>
        <w:t>七、投标截止时间：</w:t>
      </w:r>
      <w:r>
        <w:rPr>
          <w:rFonts w:hint="eastAsia" w:cs="宋体"/>
          <w:b/>
          <w:kern w:val="0"/>
          <w:sz w:val="24"/>
          <w:u w:val="single"/>
        </w:rPr>
        <w:t xml:space="preserve"> </w:t>
      </w:r>
      <w:r>
        <w:rPr>
          <w:rFonts w:cs="宋体"/>
          <w:b/>
          <w:kern w:val="0"/>
          <w:sz w:val="24"/>
          <w:u w:val="single"/>
        </w:rPr>
        <w:t>202</w:t>
      </w:r>
      <w:r>
        <w:rPr>
          <w:rFonts w:hint="eastAsia" w:cs="宋体"/>
          <w:b/>
          <w:kern w:val="0"/>
          <w:sz w:val="24"/>
          <w:u w:val="single"/>
        </w:rPr>
        <w:t xml:space="preserve">5 </w:t>
      </w:r>
      <w:r>
        <w:rPr>
          <w:rFonts w:hint="eastAsia" w:cs="宋体"/>
          <w:b/>
          <w:kern w:val="0"/>
          <w:sz w:val="24"/>
        </w:rPr>
        <w:t>年</w:t>
      </w:r>
      <w:r>
        <w:rPr>
          <w:rFonts w:hint="eastAsia" w:cs="宋体"/>
          <w:b/>
          <w:kern w:val="0"/>
          <w:sz w:val="24"/>
          <w:u w:val="single"/>
        </w:rPr>
        <w:t xml:space="preserve">  </w:t>
      </w:r>
      <w:r>
        <w:rPr>
          <w:rFonts w:hint="eastAsia" w:cs="宋体"/>
          <w:b/>
          <w:kern w:val="0"/>
          <w:sz w:val="24"/>
          <w:u w:val="single"/>
          <w:lang w:val="en-US" w:eastAsia="zh-CN"/>
        </w:rPr>
        <w:t>6</w:t>
      </w:r>
      <w:r>
        <w:rPr>
          <w:rFonts w:hint="eastAsia" w:cs="宋体"/>
          <w:b/>
          <w:kern w:val="0"/>
          <w:sz w:val="24"/>
          <w:u w:val="single"/>
        </w:rPr>
        <w:t xml:space="preserve">  </w:t>
      </w:r>
      <w:r>
        <w:rPr>
          <w:rFonts w:hint="eastAsia" w:cs="宋体"/>
          <w:b/>
          <w:kern w:val="0"/>
          <w:sz w:val="24"/>
        </w:rPr>
        <w:t>月</w:t>
      </w:r>
      <w:r>
        <w:rPr>
          <w:rFonts w:hint="eastAsia" w:cs="宋体"/>
          <w:b/>
          <w:kern w:val="0"/>
          <w:sz w:val="24"/>
          <w:u w:val="single"/>
        </w:rPr>
        <w:t xml:space="preserve">  </w:t>
      </w:r>
      <w:r>
        <w:rPr>
          <w:rFonts w:hint="eastAsia" w:cs="宋体"/>
          <w:b/>
          <w:kern w:val="0"/>
          <w:sz w:val="24"/>
          <w:u w:val="single"/>
          <w:lang w:val="en-US" w:eastAsia="zh-CN"/>
        </w:rPr>
        <w:t>19</w:t>
      </w:r>
      <w:r>
        <w:rPr>
          <w:rFonts w:hint="eastAsia" w:cs="宋体"/>
          <w:b/>
          <w:kern w:val="0"/>
          <w:sz w:val="24"/>
          <w:u w:val="single"/>
        </w:rPr>
        <w:t xml:space="preserve">  </w:t>
      </w:r>
      <w:r>
        <w:rPr>
          <w:rFonts w:hint="eastAsia" w:cs="宋体"/>
          <w:b/>
          <w:kern w:val="0"/>
          <w:sz w:val="24"/>
        </w:rPr>
        <w:t>日</w:t>
      </w:r>
      <w:r>
        <w:rPr>
          <w:rFonts w:hint="eastAsia" w:cs="宋体"/>
          <w:b/>
          <w:kern w:val="0"/>
          <w:sz w:val="24"/>
          <w:u w:val="single"/>
        </w:rPr>
        <w:t xml:space="preserve">  </w:t>
      </w:r>
      <w:r>
        <w:rPr>
          <w:rFonts w:hint="eastAsia" w:cs="宋体"/>
          <w:b/>
          <w:kern w:val="0"/>
          <w:sz w:val="24"/>
          <w:u w:val="single"/>
          <w:lang w:val="en-US" w:eastAsia="zh-CN"/>
        </w:rPr>
        <w:t>9:30</w:t>
      </w:r>
      <w:r>
        <w:rPr>
          <w:rFonts w:hint="eastAsia" w:cs="宋体"/>
          <w:b/>
          <w:kern w:val="0"/>
          <w:sz w:val="24"/>
          <w:u w:val="single"/>
        </w:rPr>
        <w:t xml:space="preserve">   </w:t>
      </w:r>
    </w:p>
    <w:p>
      <w:pPr>
        <w:snapToGrid w:val="0"/>
        <w:spacing w:line="400" w:lineRule="exact"/>
        <w:ind w:firstLine="482" w:firstLineChars="200"/>
        <w:jc w:val="left"/>
        <w:rPr>
          <w:rFonts w:cs="宋体"/>
          <w:b/>
          <w:kern w:val="0"/>
          <w:sz w:val="24"/>
        </w:rPr>
      </w:pPr>
      <w:r>
        <w:rPr>
          <w:rFonts w:hint="eastAsia" w:cs="宋体"/>
          <w:b/>
          <w:kern w:val="0"/>
          <w:sz w:val="24"/>
        </w:rPr>
        <w:t xml:space="preserve">八、投标文件递交地点和要求 </w:t>
      </w:r>
    </w:p>
    <w:p>
      <w:pPr>
        <w:snapToGrid w:val="0"/>
        <w:spacing w:line="400" w:lineRule="exact"/>
        <w:ind w:firstLine="480" w:firstLineChars="200"/>
        <w:jc w:val="left"/>
        <w:rPr>
          <w:rFonts w:cs="宋体"/>
          <w:kern w:val="0"/>
          <w:sz w:val="24"/>
        </w:rPr>
      </w:pPr>
      <w:r>
        <w:rPr>
          <w:rFonts w:hint="eastAsia" w:cs="宋体"/>
          <w:kern w:val="0"/>
          <w:sz w:val="24"/>
        </w:rPr>
        <w:t>1.“电子加密投标文件”：政府采购云平台（https://www.zcygov.cn）在线投标。</w:t>
      </w:r>
    </w:p>
    <w:p>
      <w:pPr>
        <w:snapToGrid w:val="0"/>
        <w:spacing w:line="400" w:lineRule="exact"/>
        <w:ind w:firstLine="480" w:firstLineChars="200"/>
        <w:jc w:val="left"/>
        <w:rPr>
          <w:rFonts w:cs="宋体"/>
          <w:kern w:val="0"/>
          <w:sz w:val="24"/>
        </w:rPr>
      </w:pPr>
      <w:r>
        <w:rPr>
          <w:rFonts w:hint="eastAsia" w:cs="宋体"/>
          <w:kern w:val="0"/>
          <w:sz w:val="24"/>
        </w:rPr>
        <w:t>2.“电子备份投标文件”：供应商可以在投标截止时间前递交以介质（U盘）存储的 “备份投标文件”（一份），</w:t>
      </w:r>
      <w:r>
        <w:rPr>
          <w:rFonts w:hint="eastAsia" w:cs="宋体"/>
          <w:sz w:val="24"/>
          <w:lang w:bidi="ar"/>
        </w:rPr>
        <w:t>以EMS、顺丰邮寄递交至</w:t>
      </w:r>
      <w:r>
        <w:rPr>
          <w:rFonts w:hint="eastAsia" w:cs="宋体"/>
          <w:kern w:val="0"/>
          <w:sz w:val="24"/>
        </w:rPr>
        <w:t>浙江省金华市迎宾大道688号浙江师范大学行政北楼109室，王老师收。</w:t>
      </w:r>
    </w:p>
    <w:p>
      <w:pPr>
        <w:snapToGrid w:val="0"/>
        <w:spacing w:line="400" w:lineRule="exact"/>
        <w:ind w:firstLine="480" w:firstLineChars="200"/>
        <w:jc w:val="left"/>
        <w:rPr>
          <w:rFonts w:cs="宋体"/>
          <w:kern w:val="0"/>
          <w:sz w:val="24"/>
        </w:rPr>
      </w:pPr>
      <w:r>
        <w:rPr>
          <w:rFonts w:hint="eastAsia" w:cs="宋体"/>
          <w:kern w:val="0"/>
          <w:sz w:val="24"/>
        </w:rPr>
        <w:t>“电子备份投标文件”应当密封包装并在包装上标注采购项目编号、项目名称、投标单位名称等并加盖公章（详见附件）。没有密封包装或者逾期送达至投标地点的“备份投标文件”将予以拒收。</w:t>
      </w:r>
    </w:p>
    <w:p>
      <w:pPr>
        <w:snapToGrid w:val="0"/>
        <w:spacing w:line="400" w:lineRule="exact"/>
        <w:ind w:firstLine="482" w:firstLineChars="200"/>
        <w:jc w:val="left"/>
        <w:rPr>
          <w:rFonts w:cs="宋体"/>
          <w:b/>
          <w:bCs/>
          <w:kern w:val="0"/>
          <w:sz w:val="24"/>
        </w:rPr>
      </w:pPr>
      <w:r>
        <w:rPr>
          <w:rFonts w:hint="eastAsia" w:cs="宋体"/>
          <w:b/>
          <w:bCs/>
          <w:kern w:val="0"/>
          <w:sz w:val="24"/>
        </w:rPr>
        <w:t>九、开标时间及地点（网址）：</w:t>
      </w:r>
    </w:p>
    <w:p>
      <w:pPr>
        <w:snapToGrid w:val="0"/>
        <w:spacing w:line="400" w:lineRule="exact"/>
        <w:ind w:firstLine="480" w:firstLineChars="200"/>
        <w:jc w:val="left"/>
        <w:rPr>
          <w:rFonts w:cs="宋体"/>
          <w:kern w:val="0"/>
          <w:sz w:val="24"/>
        </w:rPr>
      </w:pPr>
      <w:r>
        <w:rPr>
          <w:rFonts w:hint="eastAsia" w:cs="宋体"/>
          <w:kern w:val="0"/>
          <w:sz w:val="24"/>
        </w:rPr>
        <w:t>本次招标将于</w:t>
      </w:r>
      <w:r>
        <w:rPr>
          <w:rFonts w:cs="宋体"/>
          <w:kern w:val="0"/>
          <w:sz w:val="24"/>
        </w:rPr>
        <w:t>202</w:t>
      </w:r>
      <w:r>
        <w:rPr>
          <w:rFonts w:hint="eastAsia" w:cs="宋体"/>
          <w:kern w:val="0"/>
          <w:sz w:val="24"/>
        </w:rPr>
        <w:t xml:space="preserve">5年 </w:t>
      </w:r>
      <w:r>
        <w:rPr>
          <w:rFonts w:hint="eastAsia" w:cs="宋体"/>
          <w:kern w:val="0"/>
          <w:sz w:val="24"/>
          <w:lang w:val="en-US" w:eastAsia="zh-CN"/>
        </w:rPr>
        <w:t>6</w:t>
      </w:r>
      <w:r>
        <w:rPr>
          <w:rFonts w:hint="eastAsia" w:cs="宋体"/>
          <w:kern w:val="0"/>
          <w:sz w:val="24"/>
        </w:rPr>
        <w:t xml:space="preserve">  月 </w:t>
      </w:r>
      <w:r>
        <w:rPr>
          <w:rFonts w:hint="eastAsia" w:cs="宋体"/>
          <w:kern w:val="0"/>
          <w:sz w:val="24"/>
          <w:lang w:val="en-US" w:eastAsia="zh-CN"/>
        </w:rPr>
        <w:t>19</w:t>
      </w:r>
      <w:r>
        <w:rPr>
          <w:rFonts w:hint="eastAsia" w:cs="宋体"/>
          <w:kern w:val="0"/>
          <w:sz w:val="24"/>
        </w:rPr>
        <w:t xml:space="preserve">  日 </w:t>
      </w:r>
      <w:r>
        <w:rPr>
          <w:rFonts w:hint="eastAsia" w:cs="宋体"/>
          <w:kern w:val="0"/>
          <w:sz w:val="24"/>
          <w:lang w:val="en-US" w:eastAsia="zh-CN"/>
        </w:rPr>
        <w:t>9:30</w:t>
      </w:r>
      <w:r>
        <w:rPr>
          <w:rFonts w:hint="eastAsia" w:cs="宋体"/>
          <w:kern w:val="0"/>
          <w:sz w:val="24"/>
        </w:rPr>
        <w:t xml:space="preserve">  在浙江师范大学行政楼</w:t>
      </w:r>
      <w:r>
        <w:rPr>
          <w:rFonts w:hint="eastAsia" w:cs="宋体"/>
          <w:kern w:val="0"/>
          <w:sz w:val="24"/>
          <w:lang w:val="en-US" w:eastAsia="zh-CN"/>
        </w:rPr>
        <w:t>连廊评标室</w:t>
      </w:r>
      <w:r>
        <w:rPr>
          <w:rFonts w:hint="eastAsia" w:cs="宋体"/>
          <w:kern w:val="0"/>
          <w:sz w:val="24"/>
        </w:rPr>
        <w:t>开标，投标人在线(政府采购云平台https://www.zcygov.cn)参加开标。</w:t>
      </w:r>
    </w:p>
    <w:p>
      <w:pPr>
        <w:snapToGrid w:val="0"/>
        <w:spacing w:line="400" w:lineRule="exact"/>
        <w:ind w:firstLine="482" w:firstLineChars="200"/>
        <w:jc w:val="left"/>
        <w:rPr>
          <w:rFonts w:cs="宋体"/>
          <w:b/>
          <w:bCs/>
          <w:kern w:val="0"/>
          <w:sz w:val="24"/>
        </w:rPr>
      </w:pPr>
      <w:r>
        <w:rPr>
          <w:rFonts w:hint="eastAsia" w:cs="宋体"/>
          <w:b/>
          <w:bCs/>
          <w:kern w:val="0"/>
          <w:sz w:val="24"/>
        </w:rPr>
        <w:t>十、本次招标有关信息发布媒体：</w:t>
      </w:r>
    </w:p>
    <w:p>
      <w:pPr>
        <w:snapToGrid w:val="0"/>
        <w:spacing w:line="400" w:lineRule="exact"/>
        <w:ind w:firstLine="480" w:firstLineChars="200"/>
        <w:jc w:val="left"/>
        <w:rPr>
          <w:rFonts w:cs="宋体"/>
          <w:kern w:val="0"/>
          <w:sz w:val="24"/>
        </w:rPr>
      </w:pPr>
      <w:r>
        <w:rPr>
          <w:rFonts w:hint="eastAsia" w:cs="宋体"/>
          <w:kern w:val="0"/>
          <w:sz w:val="24"/>
        </w:rPr>
        <w:t>浙江省政府采购网 （http://www.zjzfcg.gov.cn）和浙江师范大学采购中心网站（http://cgzx.zjnu.edu.cn/）</w:t>
      </w:r>
    </w:p>
    <w:p>
      <w:pPr>
        <w:snapToGrid w:val="0"/>
        <w:spacing w:line="400" w:lineRule="exact"/>
        <w:ind w:firstLine="482" w:firstLineChars="200"/>
        <w:jc w:val="left"/>
        <w:rPr>
          <w:rFonts w:cs="宋体"/>
          <w:b/>
          <w:bCs/>
          <w:kern w:val="0"/>
          <w:sz w:val="24"/>
        </w:rPr>
      </w:pPr>
      <w:r>
        <w:rPr>
          <w:rFonts w:hint="eastAsia" w:cs="宋体"/>
          <w:b/>
          <w:bCs/>
          <w:kern w:val="0"/>
          <w:sz w:val="24"/>
        </w:rPr>
        <w:t>十一、公告期限：</w:t>
      </w:r>
      <w:r>
        <w:rPr>
          <w:rFonts w:hint="eastAsia" w:cs="宋体"/>
          <w:kern w:val="0"/>
          <w:sz w:val="24"/>
        </w:rPr>
        <w:t>自本公告发布之日起5个工作日。</w:t>
      </w:r>
    </w:p>
    <w:p>
      <w:pPr>
        <w:snapToGrid w:val="0"/>
        <w:spacing w:line="400" w:lineRule="exact"/>
        <w:ind w:firstLine="482" w:firstLineChars="200"/>
        <w:jc w:val="left"/>
        <w:rPr>
          <w:rFonts w:cs="宋体"/>
          <w:b/>
          <w:bCs/>
          <w:kern w:val="0"/>
          <w:sz w:val="24"/>
        </w:rPr>
      </w:pPr>
      <w:r>
        <w:rPr>
          <w:rFonts w:hint="eastAsia" w:cs="宋体"/>
          <w:b/>
          <w:bCs/>
          <w:kern w:val="0"/>
          <w:sz w:val="24"/>
        </w:rPr>
        <w:t>十二、其它补充事项：</w:t>
      </w:r>
    </w:p>
    <w:p>
      <w:pPr>
        <w:snapToGrid w:val="0"/>
        <w:spacing w:line="400" w:lineRule="exact"/>
        <w:ind w:firstLine="480" w:firstLineChars="200"/>
        <w:jc w:val="left"/>
        <w:rPr>
          <w:rFonts w:cs="宋体"/>
          <w:kern w:val="0"/>
          <w:sz w:val="24"/>
        </w:rPr>
      </w:pPr>
      <w:r>
        <w:rPr>
          <w:rFonts w:hint="eastAsia" w:cs="宋体"/>
          <w:kern w:val="0"/>
          <w:sz w:val="24"/>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napToGrid w:val="0"/>
        <w:spacing w:line="400" w:lineRule="exact"/>
        <w:ind w:firstLine="480" w:firstLineChars="200"/>
        <w:jc w:val="left"/>
        <w:rPr>
          <w:rFonts w:cs="宋体"/>
          <w:kern w:val="0"/>
          <w:sz w:val="24"/>
        </w:rPr>
      </w:pPr>
      <w:r>
        <w:rPr>
          <w:rFonts w:hint="eastAsia" w:cs="宋体"/>
          <w:kern w:val="0"/>
          <w:sz w:val="24"/>
        </w:rPr>
        <w:t>2.供应商认为采购文件使自己的权益受到损害的，可以自获取采购文件之日（采购文件公告期限届满之前获取采购文件的，以完成获取采购文件申请后下载采购文件的时间为准）或者采购文件公告期限届满之日（公告发布后的第6个工作日）起7个工作日内，以书面形式或通过政采云平台向我中心提出质疑。质疑供应商对我中心的答复不满意或者未在规定的时间内作出答复的，可以在答复期满后十五个工作日内向学校采购管理办公室或同级政府采购监督管理部门投诉。</w:t>
      </w:r>
    </w:p>
    <w:p>
      <w:pPr>
        <w:snapToGrid w:val="0"/>
        <w:spacing w:line="400" w:lineRule="exact"/>
        <w:ind w:firstLine="480" w:firstLineChars="200"/>
        <w:jc w:val="left"/>
        <w:rPr>
          <w:rFonts w:cs="宋体"/>
          <w:kern w:val="0"/>
          <w:sz w:val="24"/>
        </w:rPr>
      </w:pPr>
      <w:r>
        <w:rPr>
          <w:rFonts w:hint="eastAsia" w:cs="宋体"/>
          <w:kern w:val="0"/>
          <w:sz w:val="24"/>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政采云-项目采购-询问质疑投诉-投诉列表。质疑函范本、投诉书范本请到浙江政府采购网下载专区下载。</w:t>
      </w:r>
    </w:p>
    <w:p>
      <w:pPr>
        <w:snapToGrid w:val="0"/>
        <w:spacing w:line="400" w:lineRule="exact"/>
        <w:ind w:firstLine="480" w:firstLineChars="200"/>
        <w:jc w:val="left"/>
        <w:rPr>
          <w:rFonts w:cs="宋体"/>
          <w:kern w:val="0"/>
          <w:sz w:val="24"/>
        </w:rPr>
      </w:pPr>
      <w:r>
        <w:rPr>
          <w:rFonts w:hint="eastAsia" w:cs="宋体"/>
          <w:kern w:val="0"/>
          <w:sz w:val="24"/>
        </w:rPr>
        <w:t>4.未按招标公告规定依法获取招标文件的潜在投标人不得对招标文件提出质疑、投诉。</w:t>
      </w:r>
    </w:p>
    <w:p>
      <w:pPr>
        <w:snapToGrid w:val="0"/>
        <w:spacing w:line="400" w:lineRule="exact"/>
        <w:ind w:firstLine="480" w:firstLineChars="200"/>
        <w:jc w:val="left"/>
        <w:rPr>
          <w:rFonts w:cs="宋体"/>
          <w:kern w:val="0"/>
          <w:sz w:val="24"/>
        </w:rPr>
      </w:pPr>
      <w:r>
        <w:rPr>
          <w:rFonts w:hint="eastAsia" w:cs="宋体"/>
          <w:kern w:val="0"/>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400" w:lineRule="exact"/>
        <w:ind w:firstLine="480" w:firstLineChars="200"/>
        <w:jc w:val="left"/>
        <w:rPr>
          <w:rFonts w:cs="宋体"/>
          <w:kern w:val="0"/>
          <w:sz w:val="24"/>
        </w:rPr>
      </w:pPr>
      <w:r>
        <w:rPr>
          <w:rFonts w:hint="eastAsia" w:cs="宋体"/>
          <w:kern w:val="0"/>
          <w:sz w:val="24"/>
        </w:rPr>
        <w:t>6.本项目执行节能产品政府强制采购和优先采购政策，执行环境标志产品政府优先采购政策。</w:t>
      </w:r>
    </w:p>
    <w:p>
      <w:pPr>
        <w:autoSpaceDE w:val="0"/>
        <w:autoSpaceDN w:val="0"/>
        <w:adjustRightInd w:val="0"/>
        <w:spacing w:line="400" w:lineRule="exact"/>
        <w:ind w:firstLine="480" w:firstLineChars="200"/>
        <w:rPr>
          <w:rFonts w:cs="宋体"/>
          <w:sz w:val="24"/>
        </w:rPr>
      </w:pPr>
      <w:r>
        <w:rPr>
          <w:rFonts w:hint="eastAsia" w:cs="宋体"/>
          <w:kern w:val="0"/>
          <w:sz w:val="24"/>
        </w:rPr>
        <w:t>7.</w:t>
      </w:r>
      <w:r>
        <w:rPr>
          <w:rFonts w:hint="eastAsia" w:cs="宋体"/>
          <w:sz w:val="24"/>
        </w:rPr>
        <w:t>电子交易说明</w:t>
      </w:r>
    </w:p>
    <w:p>
      <w:pPr>
        <w:snapToGrid w:val="0"/>
        <w:spacing w:line="400" w:lineRule="exact"/>
        <w:ind w:firstLine="480" w:firstLineChars="200"/>
        <w:jc w:val="left"/>
        <w:rPr>
          <w:rFonts w:cs="宋体"/>
          <w:kern w:val="0"/>
          <w:sz w:val="24"/>
        </w:rPr>
      </w:pPr>
      <w:r>
        <w:rPr>
          <w:rFonts w:hint="eastAsia" w:cs="宋体"/>
          <w:kern w:val="0"/>
          <w:sz w:val="24"/>
        </w:rPr>
        <w:t>（1）本次采购采用电子交易方式，电子交易平台为“政府采购云平台（</w:t>
      </w:r>
      <w:r>
        <w:rPr>
          <w:rFonts w:hint="eastAsia" w:cs="宋体"/>
          <w:kern w:val="0"/>
          <w:sz w:val="24"/>
        </w:rPr>
        <w:fldChar w:fldCharType="begin"/>
      </w:r>
      <w:r>
        <w:rPr>
          <w:rFonts w:hint="eastAsia" w:cs="宋体"/>
          <w:kern w:val="0"/>
          <w:sz w:val="24"/>
        </w:rPr>
        <w:instrText xml:space="preserve"> HYPERLINK "http://www.zcygov.cn" </w:instrText>
      </w:r>
      <w:r>
        <w:rPr>
          <w:rFonts w:hint="eastAsia" w:cs="宋体"/>
          <w:kern w:val="0"/>
          <w:sz w:val="24"/>
        </w:rPr>
        <w:fldChar w:fldCharType="separate"/>
      </w:r>
      <w:r>
        <w:rPr>
          <w:rFonts w:hint="eastAsia" w:cs="宋体"/>
          <w:kern w:val="0"/>
          <w:sz w:val="24"/>
        </w:rPr>
        <w:t>www.zcygov.cn</w:t>
      </w:r>
      <w:r>
        <w:rPr>
          <w:rFonts w:hint="eastAsia" w:cs="宋体"/>
          <w:kern w:val="0"/>
          <w:sz w:val="24"/>
        </w:rPr>
        <w:fldChar w:fldCharType="end"/>
      </w:r>
      <w:r>
        <w:rPr>
          <w:rFonts w:hint="eastAsia" w:cs="宋体"/>
          <w:kern w:val="0"/>
          <w:sz w:val="24"/>
        </w:rPr>
        <w:t>）”。供应商参与本项目电子交易活动前，应注册成为政府采购云平台供应商。编制电子投标文件前还需申领CA证书并绑定帐号。供应商应充分考虑完成平台注册、申领CA证书等所需的时间。CA数字证书办理流程详见“浙江政府采购网—下载专区—电子交易客户端”相关版块。</w:t>
      </w:r>
    </w:p>
    <w:p>
      <w:pPr>
        <w:snapToGrid w:val="0"/>
        <w:spacing w:line="400" w:lineRule="exact"/>
        <w:ind w:firstLine="480" w:firstLineChars="200"/>
        <w:jc w:val="left"/>
        <w:rPr>
          <w:rFonts w:cs="宋体"/>
          <w:kern w:val="0"/>
          <w:sz w:val="24"/>
        </w:rPr>
      </w:pPr>
      <w:r>
        <w:rPr>
          <w:rFonts w:hint="eastAsia" w:cs="宋体"/>
          <w:kern w:val="0"/>
          <w:sz w:val="24"/>
        </w:rPr>
        <w:t>（2）供应商编制电子投标文件应安装“电子交易客户端”软件，并按照本采购文件和电子交易平台的要求编制并加密投标文件。未按规定加密的投标文件，将被电子交易平台拒收。“电子交易客户端”请供应商自行前往“浙江政府采购网— 下载专区 — 电子交易客户端”相关版块获取。</w:t>
      </w:r>
    </w:p>
    <w:p>
      <w:pPr>
        <w:snapToGrid w:val="0"/>
        <w:spacing w:line="400" w:lineRule="exact"/>
        <w:ind w:firstLine="480" w:firstLineChars="200"/>
        <w:jc w:val="left"/>
        <w:rPr>
          <w:rFonts w:cs="宋体"/>
          <w:kern w:val="0"/>
          <w:sz w:val="24"/>
        </w:rPr>
      </w:pPr>
      <w:r>
        <w:rPr>
          <w:rFonts w:hint="eastAsia" w:cs="宋体"/>
          <w:kern w:val="0"/>
          <w:sz w:val="24"/>
        </w:rPr>
        <w:t>（3）供应商应当在投标截止时间前，将“电子交易客户端”生成的“电子加密投标文件”上传电子交易平台。</w:t>
      </w:r>
    </w:p>
    <w:p>
      <w:pPr>
        <w:snapToGrid w:val="0"/>
        <w:spacing w:line="400" w:lineRule="exact"/>
        <w:ind w:firstLine="480" w:firstLineChars="200"/>
        <w:jc w:val="left"/>
        <w:rPr>
          <w:rFonts w:cs="宋体"/>
          <w:kern w:val="0"/>
          <w:sz w:val="24"/>
        </w:rPr>
      </w:pPr>
      <w:r>
        <w:rPr>
          <w:rFonts w:hint="eastAsia" w:cs="宋体"/>
          <w:kern w:val="0"/>
          <w:sz w:val="24"/>
        </w:rPr>
        <w:t>（4）“电子备份投标文件”是指与“电子加密投标文件”同时生成的数据电文形式的投标文件。供应商在电子交易平台上传“电子加密投标文件”后，还可以邮寄方式在投标截止时间前提交以介质（U盘）存储的“电子备份投标文件”。“电子备份投标文件”应当密封包装并在包装上标注采购项目编号、项目名称、投标单位名称等并加盖公章。</w:t>
      </w:r>
    </w:p>
    <w:p>
      <w:pPr>
        <w:snapToGrid w:val="0"/>
        <w:spacing w:line="400" w:lineRule="exact"/>
        <w:ind w:firstLine="480" w:firstLineChars="200"/>
        <w:jc w:val="left"/>
        <w:rPr>
          <w:rFonts w:cs="宋体"/>
          <w:kern w:val="0"/>
          <w:sz w:val="24"/>
        </w:rPr>
      </w:pPr>
      <w:r>
        <w:rPr>
          <w:rFonts w:hint="eastAsia" w:cs="宋体"/>
          <w:kern w:val="0"/>
          <w:sz w:val="24"/>
        </w:rPr>
        <w:t>（5）开标时，通过“政府采购云平台”递交的“电子加密投标文件”如无法按时解密，供应商提交了“电子备份投标文件”的，则由我中心按“政府采购云平台”操作规范将“电子备份投标文件”上传至“政府采购云平台”，上传成功后，以“电子备份投标文件”参与评标，“电子加密投标文件”自动失效。供应商未按规定递交“电子备份投标文件”的</w:t>
      </w:r>
      <w:r>
        <w:rPr>
          <w:rFonts w:hint="eastAsia" w:cs="宋体"/>
          <w:sz w:val="24"/>
          <w:lang w:bidi="ar"/>
        </w:rPr>
        <w:t>或</w:t>
      </w:r>
      <w:r>
        <w:rPr>
          <w:rFonts w:hint="eastAsia" w:cs="宋体"/>
          <w:sz w:val="24"/>
        </w:rPr>
        <w:t>非我中心操作原因引起的不能取读U盘“电子备份投标文件”</w:t>
      </w:r>
      <w:r>
        <w:rPr>
          <w:rFonts w:hint="eastAsia" w:cs="宋体"/>
          <w:sz w:val="24"/>
          <w:lang w:bidi="ar"/>
        </w:rPr>
        <w:t>的</w:t>
      </w:r>
      <w:r>
        <w:rPr>
          <w:rFonts w:hint="eastAsia" w:cs="宋体"/>
          <w:kern w:val="0"/>
          <w:sz w:val="24"/>
        </w:rPr>
        <w:t>，视为投标文件撤回。未上传“电子加密投标文件”，仅提交“电子备份投标文件”的，投标无效。</w:t>
      </w:r>
    </w:p>
    <w:p>
      <w:pPr>
        <w:snapToGrid w:val="0"/>
        <w:spacing w:line="400" w:lineRule="exact"/>
        <w:ind w:firstLine="480" w:firstLineChars="200"/>
        <w:rPr>
          <w:rFonts w:cs="宋体"/>
          <w:kern w:val="0"/>
          <w:sz w:val="24"/>
        </w:rPr>
      </w:pPr>
      <w:r>
        <w:rPr>
          <w:rFonts w:hint="eastAsia" w:cs="宋体"/>
          <w:kern w:val="0"/>
          <w:sz w:val="24"/>
        </w:rPr>
        <w:t>（6）供应商在参加电子交易过程中,可登录政采云（https://www.zcygov.cn/）“帮助文档”版面获取《电子交易管理操作指南》，有疑问，可点击右侧咨询小采，获取采小蜜智能服务管家帮助，或拨打政采云服务热线400-881-7190获取热线服务支持。</w:t>
      </w:r>
    </w:p>
    <w:p>
      <w:pPr>
        <w:spacing w:line="200" w:lineRule="atLeast"/>
        <w:ind w:firstLine="939" w:firstLineChars="405"/>
        <w:rPr>
          <w:rFonts w:cs="宋体"/>
          <w:spacing w:val="-4"/>
          <w:kern w:val="0"/>
          <w:sz w:val="24"/>
          <w:szCs w:val="20"/>
        </w:rPr>
      </w:pPr>
      <w:r>
        <w:rPr>
          <w:rFonts w:hint="eastAsia" w:cs="宋体"/>
          <w:spacing w:val="-4"/>
          <w:kern w:val="0"/>
          <w:sz w:val="24"/>
          <w:szCs w:val="20"/>
        </w:rPr>
        <w:t>CA问题联系电话（人工）：汇信CA400-888-4636；天谷CA400-087-8198。</w:t>
      </w:r>
    </w:p>
    <w:p>
      <w:pPr>
        <w:snapToGrid w:val="0"/>
        <w:spacing w:line="400" w:lineRule="exact"/>
        <w:ind w:firstLine="482" w:firstLineChars="200"/>
        <w:jc w:val="left"/>
        <w:rPr>
          <w:rFonts w:cs="宋体"/>
          <w:b/>
          <w:bCs/>
          <w:kern w:val="0"/>
          <w:sz w:val="24"/>
        </w:rPr>
      </w:pPr>
      <w:r>
        <w:rPr>
          <w:rFonts w:hint="eastAsia" w:cs="宋体"/>
          <w:b/>
          <w:bCs/>
          <w:kern w:val="0"/>
          <w:sz w:val="24"/>
        </w:rPr>
        <w:t>十三、联系方式</w:t>
      </w:r>
    </w:p>
    <w:p>
      <w:pPr>
        <w:snapToGrid w:val="0"/>
        <w:spacing w:line="400" w:lineRule="exact"/>
        <w:ind w:firstLine="480" w:firstLineChars="200"/>
        <w:jc w:val="left"/>
        <w:rPr>
          <w:rFonts w:cs="宋体"/>
          <w:kern w:val="0"/>
          <w:sz w:val="24"/>
        </w:rPr>
      </w:pPr>
      <w:r>
        <w:rPr>
          <w:rFonts w:hint="eastAsia" w:cs="宋体"/>
          <w:kern w:val="0"/>
          <w:sz w:val="24"/>
        </w:rPr>
        <w:t>1.书面质疑受理地点：浙江省金华市迎宾大道688号浙江师范大学行政北楼109室</w:t>
      </w:r>
    </w:p>
    <w:p>
      <w:pPr>
        <w:snapToGrid w:val="0"/>
        <w:spacing w:line="400" w:lineRule="exact"/>
        <w:ind w:firstLine="480" w:firstLineChars="200"/>
        <w:jc w:val="left"/>
        <w:rPr>
          <w:rFonts w:cs="宋体"/>
          <w:kern w:val="0"/>
          <w:sz w:val="24"/>
        </w:rPr>
      </w:pPr>
      <w:r>
        <w:rPr>
          <w:rFonts w:hint="eastAsia" w:cs="宋体"/>
          <w:kern w:val="0"/>
          <w:sz w:val="24"/>
        </w:rPr>
        <w:t>联系人：王老师    联系电话：0579-82282703</w:t>
      </w:r>
    </w:p>
    <w:p>
      <w:pPr>
        <w:tabs>
          <w:tab w:val="left" w:pos="800"/>
        </w:tabs>
        <w:snapToGrid w:val="0"/>
        <w:spacing w:line="400" w:lineRule="exact"/>
        <w:ind w:firstLine="480" w:firstLineChars="200"/>
        <w:jc w:val="left"/>
        <w:rPr>
          <w:rFonts w:cs="宋体"/>
          <w:kern w:val="0"/>
          <w:sz w:val="24"/>
        </w:rPr>
      </w:pPr>
      <w:r>
        <w:rPr>
          <w:rFonts w:hint="eastAsia" w:cs="宋体"/>
          <w:kern w:val="0"/>
          <w:sz w:val="24"/>
        </w:rPr>
        <w:t>2.采购人名称：浙江师范大学</w:t>
      </w:r>
    </w:p>
    <w:p>
      <w:pPr>
        <w:snapToGrid w:val="0"/>
        <w:spacing w:line="400" w:lineRule="exact"/>
        <w:ind w:firstLine="480" w:firstLineChars="200"/>
        <w:jc w:val="left"/>
        <w:rPr>
          <w:rFonts w:cs="宋体"/>
          <w:kern w:val="0"/>
          <w:sz w:val="24"/>
        </w:rPr>
      </w:pPr>
      <w:r>
        <w:rPr>
          <w:rFonts w:hint="eastAsia" w:cs="宋体"/>
          <w:kern w:val="0"/>
          <w:sz w:val="24"/>
        </w:rPr>
        <w:t xml:space="preserve">联系人：吴老师    联系电话：13958130672 </w:t>
      </w:r>
    </w:p>
    <w:p>
      <w:pPr>
        <w:snapToGrid w:val="0"/>
        <w:spacing w:line="400" w:lineRule="exact"/>
        <w:ind w:firstLine="480" w:firstLineChars="200"/>
        <w:jc w:val="left"/>
        <w:rPr>
          <w:rFonts w:cs="宋体"/>
          <w:kern w:val="0"/>
          <w:sz w:val="24"/>
        </w:rPr>
      </w:pPr>
      <w:r>
        <w:rPr>
          <w:rFonts w:hint="eastAsia" w:cs="宋体"/>
          <w:kern w:val="0"/>
          <w:sz w:val="24"/>
        </w:rPr>
        <w:t>地址：浙江省金华市迎宾大道688号</w:t>
      </w:r>
    </w:p>
    <w:p>
      <w:pPr>
        <w:snapToGrid w:val="0"/>
        <w:spacing w:line="400" w:lineRule="exact"/>
        <w:ind w:firstLine="480" w:firstLineChars="200"/>
        <w:jc w:val="left"/>
        <w:rPr>
          <w:rFonts w:cs="宋体"/>
          <w:kern w:val="0"/>
          <w:sz w:val="24"/>
        </w:rPr>
      </w:pPr>
      <w:r>
        <w:rPr>
          <w:rFonts w:hint="eastAsia" w:cs="宋体"/>
          <w:kern w:val="0"/>
          <w:sz w:val="24"/>
        </w:rPr>
        <w:t>3.浙江师范大学采购中心</w:t>
      </w:r>
    </w:p>
    <w:p>
      <w:pPr>
        <w:snapToGrid w:val="0"/>
        <w:spacing w:line="400" w:lineRule="exact"/>
        <w:ind w:firstLine="480" w:firstLineChars="200"/>
        <w:jc w:val="left"/>
        <w:rPr>
          <w:rFonts w:cs="宋体"/>
          <w:kern w:val="0"/>
          <w:sz w:val="24"/>
        </w:rPr>
      </w:pPr>
      <w:r>
        <w:rPr>
          <w:rFonts w:hint="eastAsia" w:cs="宋体"/>
          <w:kern w:val="0"/>
          <w:sz w:val="24"/>
        </w:rPr>
        <w:t>联系人：吴老师    联系电话：</w:t>
      </w:r>
      <w:r>
        <w:rPr>
          <w:rFonts w:cs="宋体"/>
          <w:kern w:val="0"/>
          <w:sz w:val="24"/>
        </w:rPr>
        <w:t>0579-82280035</w:t>
      </w:r>
    </w:p>
    <w:p>
      <w:pPr>
        <w:snapToGrid w:val="0"/>
        <w:spacing w:line="400" w:lineRule="exact"/>
        <w:ind w:firstLine="480" w:firstLineChars="200"/>
        <w:jc w:val="left"/>
        <w:rPr>
          <w:rFonts w:cs="宋体"/>
          <w:kern w:val="0"/>
          <w:sz w:val="24"/>
        </w:rPr>
      </w:pPr>
      <w:r>
        <w:rPr>
          <w:rFonts w:hint="eastAsia" w:cs="宋体"/>
          <w:kern w:val="0"/>
          <w:sz w:val="24"/>
        </w:rPr>
        <w:t>地址：浙江省金华市迎宾大道688号</w:t>
      </w:r>
    </w:p>
    <w:p>
      <w:pPr>
        <w:snapToGrid w:val="0"/>
        <w:spacing w:line="400" w:lineRule="exact"/>
        <w:ind w:firstLine="480" w:firstLineChars="200"/>
        <w:jc w:val="left"/>
        <w:rPr>
          <w:rFonts w:cs="宋体"/>
          <w:kern w:val="0"/>
          <w:sz w:val="24"/>
        </w:rPr>
      </w:pPr>
      <w:r>
        <w:rPr>
          <w:rFonts w:hint="eastAsia" w:cs="宋体"/>
          <w:kern w:val="0"/>
          <w:sz w:val="24"/>
        </w:rPr>
        <w:t>4.同级政府采购监督管理部门：浙江省政府采购行政裁决服务中心（杭州市上城区清泰街549号城建综合大楼11楼）</w:t>
      </w:r>
    </w:p>
    <w:p>
      <w:pPr>
        <w:snapToGrid w:val="0"/>
        <w:spacing w:line="400" w:lineRule="exact"/>
        <w:ind w:firstLine="480" w:firstLineChars="200"/>
        <w:jc w:val="left"/>
        <w:rPr>
          <w:rFonts w:cs="宋体"/>
          <w:kern w:val="0"/>
          <w:sz w:val="24"/>
        </w:rPr>
      </w:pPr>
      <w:r>
        <w:rPr>
          <w:rFonts w:hint="eastAsia" w:cs="宋体"/>
          <w:kern w:val="0"/>
          <w:sz w:val="24"/>
        </w:rPr>
        <w:t>地 址：杭州市上城区清泰街549号城建综合大楼11楼</w:t>
      </w:r>
    </w:p>
    <w:p>
      <w:pPr>
        <w:snapToGrid w:val="0"/>
        <w:spacing w:line="400" w:lineRule="exact"/>
        <w:ind w:firstLine="480" w:firstLineChars="200"/>
        <w:jc w:val="left"/>
        <w:rPr>
          <w:rFonts w:cs="宋体"/>
          <w:kern w:val="0"/>
          <w:sz w:val="24"/>
        </w:rPr>
      </w:pPr>
      <w:r>
        <w:rPr>
          <w:rFonts w:hint="eastAsia" w:cs="宋体"/>
          <w:kern w:val="0"/>
          <w:sz w:val="24"/>
        </w:rPr>
        <w:t>联系人：匡老师</w:t>
      </w:r>
    </w:p>
    <w:p>
      <w:pPr>
        <w:snapToGrid w:val="0"/>
        <w:spacing w:line="400" w:lineRule="exact"/>
        <w:ind w:firstLine="480" w:firstLineChars="200"/>
        <w:jc w:val="left"/>
        <w:rPr>
          <w:rFonts w:cs="宋体"/>
          <w:kern w:val="0"/>
          <w:sz w:val="24"/>
        </w:rPr>
      </w:pPr>
      <w:r>
        <w:rPr>
          <w:rFonts w:hint="eastAsia" w:cs="宋体"/>
          <w:kern w:val="0"/>
          <w:sz w:val="24"/>
        </w:rPr>
        <w:t>监督投诉电话：0571-87807798</w:t>
      </w:r>
    </w:p>
    <w:p>
      <w:pPr>
        <w:snapToGrid w:val="0"/>
        <w:spacing w:line="400" w:lineRule="exact"/>
        <w:ind w:firstLine="480" w:firstLineChars="200"/>
        <w:jc w:val="left"/>
        <w:rPr>
          <w:rFonts w:cs="宋体"/>
          <w:kern w:val="0"/>
          <w:sz w:val="24"/>
        </w:rPr>
      </w:pPr>
    </w:p>
    <w:p>
      <w:pPr>
        <w:snapToGrid w:val="0"/>
        <w:spacing w:line="400" w:lineRule="exact"/>
        <w:ind w:firstLine="723" w:firstLineChars="200"/>
        <w:jc w:val="left"/>
        <w:rPr>
          <w:rFonts w:cs="宋体"/>
          <w:b/>
          <w:sz w:val="36"/>
          <w:szCs w:val="36"/>
        </w:rPr>
        <w:sectPr>
          <w:footerReference r:id="rId8" w:type="first"/>
          <w:footerReference r:id="rId7" w:type="default"/>
          <w:pgSz w:w="11906" w:h="16838"/>
          <w:pgMar w:top="1134" w:right="1417" w:bottom="1134" w:left="1417" w:header="851" w:footer="850" w:gutter="0"/>
          <w:pgNumType w:start="1"/>
          <w:cols w:space="720" w:num="1"/>
          <w:titlePg/>
          <w:docGrid w:type="lines" w:linePitch="383" w:charSpace="0"/>
        </w:sectPr>
      </w:pPr>
    </w:p>
    <w:p>
      <w:pPr>
        <w:numPr>
          <w:ilvl w:val="0"/>
          <w:numId w:val="4"/>
        </w:numPr>
        <w:snapToGrid w:val="0"/>
        <w:spacing w:before="197" w:beforeLines="50" w:after="197" w:afterLines="50"/>
        <w:jc w:val="center"/>
        <w:outlineLvl w:val="0"/>
        <w:rPr>
          <w:rFonts w:cs="宋体"/>
          <w:b/>
          <w:sz w:val="36"/>
          <w:szCs w:val="36"/>
        </w:rPr>
      </w:pPr>
      <w:r>
        <w:rPr>
          <w:rFonts w:hint="eastAsia" w:cs="宋体"/>
          <w:b/>
          <w:sz w:val="36"/>
          <w:szCs w:val="36"/>
        </w:rPr>
        <w:t>项目技术及服务要求</w:t>
      </w:r>
    </w:p>
    <w:p>
      <w:pPr>
        <w:snapToGrid w:val="0"/>
        <w:spacing w:line="400" w:lineRule="exact"/>
        <w:outlineLvl w:val="0"/>
        <w:rPr>
          <w:rFonts w:cs="宋体"/>
          <w:b/>
          <w:sz w:val="24"/>
        </w:rPr>
      </w:pPr>
      <w:r>
        <w:rPr>
          <w:rFonts w:hint="eastAsia" w:cs="宋体"/>
          <w:b/>
          <w:sz w:val="24"/>
        </w:rPr>
        <w:t>一、基本要求</w:t>
      </w:r>
    </w:p>
    <w:p>
      <w:pPr>
        <w:snapToGrid w:val="0"/>
        <w:spacing w:line="400" w:lineRule="exact"/>
        <w:ind w:firstLine="480" w:firstLineChars="200"/>
        <w:outlineLvl w:val="0"/>
        <w:rPr>
          <w:rFonts w:cs="宋体"/>
          <w:bCs/>
          <w:sz w:val="24"/>
        </w:rPr>
      </w:pPr>
      <w:r>
        <w:rPr>
          <w:rFonts w:hint="eastAsia" w:cs="宋体"/>
          <w:bCs/>
          <w:sz w:val="24"/>
        </w:rPr>
        <w:t>1.功能要求：学生寝室使用，满足学生日常生活、学习的需要</w:t>
      </w:r>
      <w:r>
        <w:rPr>
          <w:rFonts w:cs="宋体"/>
          <w:bCs/>
          <w:sz w:val="24"/>
        </w:rPr>
        <w:t>。</w:t>
      </w:r>
    </w:p>
    <w:p>
      <w:pPr>
        <w:ind w:firstLine="480" w:firstLineChars="200"/>
        <w:rPr>
          <w:rFonts w:cs="宋体"/>
          <w:bCs/>
          <w:sz w:val="24"/>
        </w:rPr>
      </w:pPr>
      <w:r>
        <w:rPr>
          <w:rFonts w:hint="eastAsia" w:cs="宋体"/>
          <w:bCs/>
          <w:sz w:val="24"/>
        </w:rPr>
        <w:t>2.采购项目需要落实的政府采购政策：《浙江省财政厅关于进一步加大政府采购支持中小企业力度 助力扎实稳住经济的通知》（浙财采监〔2022〕8号）、《政府采购促进中小企业发展管理办法 》（财库〔2020〕46号）、《关于政府采购支持监狱企业发展有关问题的通知 》（财库〔2014〕68号）、《关于促进残疾人就业政府采购政策的通知》（财库〔2017〕141号）、《关于调整优化节能产品 环境标志产品 政府采购执行机制的通知》（财库〔2019〕9号）、《关于运用政府采购政策支持脱贫攻坚的通知 》（财库〔2019〕27号）。</w:t>
      </w:r>
    </w:p>
    <w:p>
      <w:pPr>
        <w:ind w:firstLine="420" w:firstLineChars="200"/>
      </w:pPr>
      <w:r>
        <w:rPr>
          <w:rFonts w:ascii="宋体" w:hAnsi="宋体" w:cs="宋体"/>
          <w:sz w:val="21"/>
          <w:szCs w:val="21"/>
        </w:rPr>
        <w:t>▲</w:t>
      </w:r>
      <w:r>
        <w:rPr>
          <w:rFonts w:hint="eastAsia" w:cs="宋体"/>
          <w:bCs/>
          <w:sz w:val="24"/>
        </w:rPr>
        <w:t>3.交货期要求：</w:t>
      </w:r>
      <w:r>
        <w:rPr>
          <w:rFonts w:hint="eastAsia" w:ascii="宋体" w:hAnsi="宋体"/>
          <w:sz w:val="24"/>
          <w:u w:val="single"/>
        </w:rPr>
        <w:t>本次采购标的分两批实施安装和验收，（1）第一批：</w:t>
      </w:r>
      <w:r>
        <w:rPr>
          <w:rFonts w:hint="eastAsia" w:ascii="宋体" w:hAnsi="宋体" w:cs="宋体"/>
          <w:sz w:val="24"/>
          <w:u w:val="single"/>
        </w:rPr>
        <w:t>二连体中梯公寓床A共808套、</w:t>
      </w:r>
      <w:r>
        <w:rPr>
          <w:rFonts w:hint="eastAsia" w:ascii="宋体" w:hAnsi="宋体" w:cs="宋体"/>
          <w:kern w:val="0"/>
          <w:sz w:val="24"/>
          <w:u w:val="single"/>
          <w:lang w:bidi="ar"/>
        </w:rPr>
        <w:t>中高床公寓组合家具共768套，</w:t>
      </w:r>
      <w:r>
        <w:rPr>
          <w:rFonts w:hint="eastAsia" w:ascii="宋体" w:hAnsi="宋体" w:cs="宋体"/>
          <w:sz w:val="24"/>
          <w:u w:val="single"/>
        </w:rPr>
        <w:t>靠背椅共2384张。根据第一批寝室改造的进度，计划于7月25日左右与改造施工交叉进场安装，要求2025年8月25日前完成全部安装、调试及寝室空气抽样检测。若因寝室改造进度原因导致安装工期缩短，中标方须无条件配合采购方加派人手按时完成安装，如部分房间因改造暂时无法进场安装等情况则双方另行协商进场安装的时间。</w:t>
      </w:r>
    </w:p>
    <w:p/>
    <w:p>
      <w:pPr>
        <w:spacing w:line="360" w:lineRule="auto"/>
        <w:ind w:firstLine="480" w:firstLineChars="200"/>
        <w:jc w:val="left"/>
        <w:rPr>
          <w:rFonts w:hint="eastAsia" w:ascii="宋体" w:hAnsi="宋体" w:cs="仿宋_GB2312"/>
          <w:sz w:val="24"/>
        </w:rPr>
      </w:pPr>
      <w:r>
        <w:rPr>
          <w:rFonts w:hint="eastAsia" w:ascii="宋体" w:hAnsi="宋体" w:cs="宋体"/>
          <w:sz w:val="24"/>
          <w:u w:val="single"/>
        </w:rPr>
        <w:t>（2）第二批：二连体中梯公寓床B共1654套、功能性用房组合家具共9套、储物柜D共1430个、储物柜E共224个、靠背椅共3326张。计划根据第二批寝室改造进度进场安装，原则上于2026年7月20日前完成安装、调试及寝室空气抽样检测。若因寝室内部装修进度导致可提前或需延后的情况，采购方提前一周与中标方协商调整进场安装时间。</w:t>
      </w:r>
    </w:p>
    <w:p>
      <w:pPr>
        <w:spacing w:line="360" w:lineRule="auto"/>
        <w:ind w:left="280" w:leftChars="100"/>
        <w:jc w:val="left"/>
        <w:rPr>
          <w:rFonts w:hint="eastAsia" w:ascii="宋体" w:hAnsi="宋体" w:cs="仿宋_GB2312"/>
          <w:sz w:val="24"/>
        </w:rPr>
      </w:pPr>
    </w:p>
    <w:p>
      <w:pPr>
        <w:snapToGrid w:val="0"/>
        <w:spacing w:line="400" w:lineRule="exact"/>
        <w:ind w:firstLine="420" w:firstLineChars="200"/>
        <w:outlineLvl w:val="0"/>
        <w:rPr>
          <w:rFonts w:cs="宋体"/>
          <w:bCs/>
          <w:sz w:val="24"/>
        </w:rPr>
      </w:pPr>
      <w:r>
        <w:rPr>
          <w:rFonts w:ascii="宋体" w:hAnsi="宋体" w:cs="宋体"/>
          <w:sz w:val="21"/>
          <w:szCs w:val="21"/>
        </w:rPr>
        <w:t>▲</w:t>
      </w:r>
      <w:r>
        <w:rPr>
          <w:rFonts w:hint="eastAsia" w:cs="宋体"/>
          <w:bCs/>
          <w:sz w:val="24"/>
        </w:rPr>
        <w:t>4.检测要求：涉及新家具采购安装的宿舍，采购人聘请第三方具有国家相关资质的检测公司进行全覆盖的空气检测，检测方式为抽检，抽检房间数不少于验收房间总数的5%（第一批空气检测房间数≥40间；第二批空气检测房间数≥42间）。主要检测指标为：甲醛、苯、甲苯、二甲苯、TVOC等，各项指标要求均须符合GB/T18883-2022《室内空气质量标准》的要求。若检测不合格，采购人将聘请第三方具有国家相关资质的治理公司（治理公司和检测公司须为两家不同的公司，且须经采购人认可），针对所有安装家具寝室开展空气治理，之后再次进行检测，直至空气检测（CMA）合格。该空气治理和检测相关费用由中标单位承担。另外，</w:t>
      </w:r>
      <w:r>
        <w:rPr>
          <w:rFonts w:cs="宋体"/>
          <w:bCs/>
          <w:sz w:val="24"/>
        </w:rPr>
        <w:t>到校安装的主材及</w:t>
      </w:r>
      <w:r>
        <w:rPr>
          <w:rFonts w:hint="eastAsia" w:cs="宋体"/>
          <w:bCs/>
          <w:sz w:val="24"/>
        </w:rPr>
        <w:t>配</w:t>
      </w:r>
      <w:r>
        <w:rPr>
          <w:rFonts w:cs="宋体"/>
          <w:bCs/>
          <w:sz w:val="24"/>
        </w:rPr>
        <w:t>件</w:t>
      </w:r>
      <w:r>
        <w:rPr>
          <w:rFonts w:hint="eastAsia" w:cs="宋体"/>
          <w:bCs/>
          <w:sz w:val="24"/>
        </w:rPr>
        <w:t>按</w:t>
      </w:r>
      <w:r>
        <w:rPr>
          <w:rFonts w:cs="宋体"/>
          <w:bCs/>
          <w:sz w:val="24"/>
        </w:rPr>
        <w:t>0.02%</w:t>
      </w:r>
      <w:r>
        <w:rPr>
          <w:rFonts w:hint="eastAsia" w:cs="宋体"/>
          <w:bCs/>
          <w:sz w:val="24"/>
        </w:rPr>
        <w:t>的比例随机抽样进行</w:t>
      </w:r>
      <w:r>
        <w:rPr>
          <w:rFonts w:cs="宋体"/>
          <w:bCs/>
          <w:sz w:val="24"/>
        </w:rPr>
        <w:t>破坏性</w:t>
      </w:r>
      <w:r>
        <w:rPr>
          <w:rFonts w:hint="eastAsia" w:cs="宋体"/>
          <w:bCs/>
          <w:sz w:val="24"/>
        </w:rPr>
        <w:t>预验收，破坏性预验收过程中破坏的主材及配件由中标方免费更换；安装完成后对安装工艺是否到位进行抽样预验收，如柜门不服帖，床体摇晃等，安装不到位的在中标方整改后由采购人组织再次验收。</w:t>
      </w:r>
    </w:p>
    <w:p>
      <w:pPr>
        <w:snapToGrid w:val="0"/>
        <w:spacing w:line="400" w:lineRule="exact"/>
        <w:ind w:firstLine="480" w:firstLineChars="200"/>
        <w:outlineLvl w:val="0"/>
        <w:rPr>
          <w:rFonts w:hint="eastAsia" w:ascii="宋体" w:hAnsi="宋体" w:cs="宋体"/>
          <w:bCs/>
          <w:sz w:val="24"/>
        </w:rPr>
      </w:pPr>
      <w:r>
        <w:rPr>
          <w:rFonts w:hint="eastAsia" w:ascii="宋体" w:hAnsi="宋体" w:cs="宋体"/>
          <w:sz w:val="24"/>
          <w:shd w:val="clear" w:color="auto" w:fill="FDFDFE"/>
        </w:rPr>
        <w:t>若中标方在生产、破坏性预验收或任一批次货物交付验收等过程中，一旦被发现</w:t>
      </w:r>
      <w:r>
        <w:rPr>
          <w:rFonts w:hint="eastAsia" w:ascii="宋体" w:hAnsi="宋体" w:cs="宋体"/>
          <w:sz w:val="24"/>
          <w:shd w:val="clear" w:color="auto" w:fill="FDFDFE"/>
          <w:lang w:val="en-US" w:eastAsia="zh-CN"/>
        </w:rPr>
        <w:t>有</w:t>
      </w:r>
      <w:r>
        <w:rPr>
          <w:rFonts w:hint="eastAsia" w:ascii="宋体" w:hAnsi="宋体" w:cs="宋体"/>
          <w:sz w:val="24"/>
          <w:shd w:val="clear" w:color="auto" w:fill="FDFDFE"/>
        </w:rPr>
        <w:t>不符合招标要求、货不对板、工期滞后或其他明显影响生产质量和进度等问题的，必须限期整改（自收到采购方发出整改通知起5日内），若限期整改仍不到位的，立即终止合同，并扣除全额的履约保证金。</w:t>
      </w:r>
    </w:p>
    <w:p>
      <w:pPr>
        <w:numPr>
          <w:ilvl w:val="0"/>
          <w:numId w:val="0"/>
        </w:numPr>
        <w:tabs>
          <w:tab w:val="left" w:pos="312"/>
        </w:tabs>
        <w:snapToGrid w:val="0"/>
        <w:spacing w:line="400" w:lineRule="exact"/>
        <w:outlineLvl w:val="0"/>
        <w:rPr>
          <w:rFonts w:hint="eastAsia" w:ascii="宋体" w:hAnsi="宋体" w:cs="宋体"/>
          <w:bCs/>
          <w:sz w:val="24"/>
        </w:rPr>
      </w:pPr>
      <w:r>
        <w:rPr>
          <w:rFonts w:hint="eastAsia" w:ascii="宋体" w:hAnsi="宋体" w:cs="宋体"/>
          <w:bCs/>
          <w:sz w:val="24"/>
        </w:rPr>
        <w:t>5.交货地点：浙江省金华市婺城区新狮街道迎宾大道688号浙江师范大学校本部校区学生公寓。</w:t>
      </w:r>
    </w:p>
    <w:p>
      <w:pPr>
        <w:snapToGrid w:val="0"/>
        <w:spacing w:line="400" w:lineRule="exact"/>
        <w:ind w:firstLine="241" w:firstLineChars="100"/>
        <w:outlineLvl w:val="0"/>
        <w:rPr>
          <w:rFonts w:cs="宋体"/>
          <w:b/>
          <w:sz w:val="24"/>
        </w:rPr>
      </w:pPr>
      <w:r>
        <w:rPr>
          <w:rFonts w:hint="eastAsia" w:cs="宋体"/>
          <w:b/>
          <w:sz w:val="24"/>
        </w:rPr>
        <w:t>二、需执行的国家相关标准、行业标准、地方标准或者其他标准、规范：</w:t>
      </w:r>
    </w:p>
    <w:p>
      <w:pPr>
        <w:snapToGrid w:val="0"/>
        <w:spacing w:line="400" w:lineRule="exact"/>
        <w:ind w:firstLine="480" w:firstLineChars="200"/>
        <w:outlineLvl w:val="0"/>
        <w:rPr>
          <w:rFonts w:cs="宋体"/>
          <w:bCs/>
          <w:sz w:val="24"/>
        </w:rPr>
      </w:pPr>
      <w:r>
        <w:rPr>
          <w:rFonts w:hint="eastAsia" w:cs="宋体"/>
          <w:bCs/>
          <w:sz w:val="24"/>
        </w:rPr>
        <w:t>如有未特别注明需执行的国家相关标准 、行业标准、地方标准或者其他标准、规范，则统一执行最新标准、规范。参考标准如下：</w:t>
      </w:r>
    </w:p>
    <w:p>
      <w:pPr>
        <w:snapToGrid w:val="0"/>
        <w:spacing w:line="400" w:lineRule="exact"/>
        <w:ind w:firstLine="480" w:firstLineChars="200"/>
        <w:outlineLvl w:val="0"/>
        <w:rPr>
          <w:rFonts w:cs="宋体"/>
          <w:bCs/>
          <w:sz w:val="24"/>
        </w:rPr>
      </w:pPr>
      <w:r>
        <w:rPr>
          <w:rFonts w:hint="eastAsia" w:cs="宋体"/>
          <w:bCs/>
          <w:sz w:val="24"/>
        </w:rPr>
        <w:t>1.QB/T 3826-1999《轻工产品金属镀层和化学处理层的耐腐蚀试验方法(NSS)法中性盐雾试验》</w:t>
      </w:r>
    </w:p>
    <w:p>
      <w:pPr>
        <w:snapToGrid w:val="0"/>
        <w:spacing w:line="400" w:lineRule="exact"/>
        <w:ind w:firstLine="480" w:firstLineChars="200"/>
        <w:outlineLvl w:val="0"/>
        <w:rPr>
          <w:rFonts w:cs="宋体"/>
          <w:bCs/>
          <w:sz w:val="24"/>
        </w:rPr>
      </w:pPr>
      <w:r>
        <w:rPr>
          <w:rFonts w:hint="eastAsia" w:cs="宋体"/>
          <w:bCs/>
          <w:sz w:val="24"/>
        </w:rPr>
        <w:t>2.QB/T4371—2012《家具抗菌性能的评价》</w:t>
      </w:r>
    </w:p>
    <w:p>
      <w:pPr>
        <w:snapToGrid w:val="0"/>
        <w:spacing w:line="400" w:lineRule="exact"/>
        <w:ind w:firstLine="480" w:firstLineChars="200"/>
        <w:outlineLvl w:val="0"/>
        <w:rPr>
          <w:rFonts w:cs="宋体"/>
          <w:bCs/>
          <w:sz w:val="24"/>
        </w:rPr>
      </w:pPr>
      <w:r>
        <w:rPr>
          <w:rFonts w:hint="eastAsia" w:cs="宋体"/>
          <w:bCs/>
          <w:sz w:val="24"/>
        </w:rPr>
        <w:t>3.GB20286-2006《公共场所阻燃制品及组件燃烧性能要求和标识》</w:t>
      </w:r>
    </w:p>
    <w:p>
      <w:pPr>
        <w:snapToGrid w:val="0"/>
        <w:spacing w:line="400" w:lineRule="exact"/>
        <w:ind w:firstLine="480" w:firstLineChars="200"/>
        <w:outlineLvl w:val="0"/>
        <w:rPr>
          <w:rFonts w:cs="宋体"/>
          <w:bCs/>
          <w:sz w:val="24"/>
        </w:rPr>
      </w:pPr>
      <w:r>
        <w:rPr>
          <w:rFonts w:hint="eastAsia" w:cs="宋体"/>
          <w:bCs/>
          <w:sz w:val="24"/>
        </w:rPr>
        <w:t>4.GB/T 20285—2006《材料产烟毒性危险分级》</w:t>
      </w:r>
    </w:p>
    <w:p>
      <w:pPr>
        <w:snapToGrid w:val="0"/>
        <w:spacing w:line="400" w:lineRule="exact"/>
        <w:ind w:firstLine="480" w:firstLineChars="200"/>
        <w:outlineLvl w:val="0"/>
        <w:rPr>
          <w:rFonts w:cs="宋体"/>
          <w:bCs/>
          <w:sz w:val="24"/>
        </w:rPr>
      </w:pPr>
      <w:r>
        <w:rPr>
          <w:rFonts w:hint="eastAsia" w:cs="宋体"/>
          <w:bCs/>
          <w:sz w:val="24"/>
        </w:rPr>
        <w:t>5.JC/T 2039-2010《抗菌防霉木质装饰板》6.GB/T35607-2024《绿色产品评价 家具》</w:t>
      </w:r>
    </w:p>
    <w:p>
      <w:pPr>
        <w:snapToGrid w:val="0"/>
        <w:spacing w:line="400" w:lineRule="exact"/>
        <w:ind w:firstLine="480" w:firstLineChars="200"/>
        <w:outlineLvl w:val="0"/>
        <w:rPr>
          <w:rFonts w:cs="宋体"/>
          <w:sz w:val="24"/>
        </w:rPr>
      </w:pPr>
      <w:r>
        <w:rPr>
          <w:rFonts w:hint="eastAsia" w:cs="宋体"/>
          <w:sz w:val="24"/>
          <w:lang w:val="en-US" w:eastAsia="zh-CN"/>
        </w:rPr>
        <w:t>6</w:t>
      </w:r>
      <w:bookmarkStart w:id="4" w:name="_GoBack"/>
      <w:bookmarkEnd w:id="4"/>
      <w:r>
        <w:rPr>
          <w:rFonts w:hint="eastAsia" w:cs="宋体"/>
          <w:sz w:val="24"/>
        </w:rPr>
        <w:t>.GB/T 228.1-2021《金属材料 拉伸试验 第1部分:室温试验方法》</w:t>
      </w:r>
    </w:p>
    <w:p>
      <w:pPr>
        <w:snapToGrid w:val="0"/>
        <w:spacing w:line="400" w:lineRule="exact"/>
        <w:ind w:firstLine="480" w:firstLineChars="200"/>
        <w:outlineLvl w:val="0"/>
        <w:rPr>
          <w:rFonts w:cs="宋体"/>
          <w:bCs/>
          <w:sz w:val="24"/>
        </w:rPr>
      </w:pPr>
      <w:r>
        <w:rPr>
          <w:rFonts w:hint="eastAsia" w:cs="宋体"/>
          <w:bCs/>
          <w:sz w:val="24"/>
        </w:rPr>
        <w:t>7.QB/T2741—2013《学生公寓多功能家具》</w:t>
      </w:r>
    </w:p>
    <w:p>
      <w:pPr>
        <w:snapToGrid w:val="0"/>
        <w:spacing w:line="400" w:lineRule="exact"/>
        <w:ind w:firstLine="480" w:firstLineChars="200"/>
        <w:outlineLvl w:val="0"/>
        <w:rPr>
          <w:rFonts w:cs="宋体"/>
          <w:bCs/>
          <w:sz w:val="24"/>
        </w:rPr>
      </w:pPr>
      <w:r>
        <w:rPr>
          <w:rFonts w:hint="eastAsia" w:cs="宋体"/>
          <w:bCs/>
          <w:sz w:val="24"/>
        </w:rPr>
        <w:t>8.GB/T 32487-2016《塑料家具通用技术条件》</w:t>
      </w:r>
    </w:p>
    <w:p>
      <w:pPr>
        <w:snapToGrid w:val="0"/>
        <w:spacing w:line="400" w:lineRule="exact"/>
        <w:ind w:firstLine="480" w:firstLineChars="200"/>
        <w:outlineLvl w:val="0"/>
        <w:rPr>
          <w:rFonts w:cs="宋体"/>
          <w:bCs/>
          <w:sz w:val="24"/>
        </w:rPr>
      </w:pPr>
      <w:r>
        <w:rPr>
          <w:rFonts w:hint="eastAsia" w:cs="宋体"/>
          <w:bCs/>
          <w:sz w:val="24"/>
        </w:rPr>
        <w:t>9.GB8624—2012《建筑材料及制品燃烧性能分级》</w:t>
      </w:r>
    </w:p>
    <w:p>
      <w:pPr>
        <w:snapToGrid w:val="0"/>
        <w:spacing w:line="400" w:lineRule="exact"/>
        <w:ind w:firstLine="480" w:firstLineChars="200"/>
        <w:outlineLvl w:val="0"/>
        <w:rPr>
          <w:rFonts w:cs="宋体"/>
          <w:bCs/>
          <w:sz w:val="24"/>
        </w:rPr>
      </w:pPr>
      <w:r>
        <w:rPr>
          <w:rFonts w:hint="eastAsia" w:cs="宋体"/>
          <w:bCs/>
          <w:sz w:val="24"/>
        </w:rPr>
        <w:t>10.QB/T 4463-2013《家具用封边条技术要求》</w:t>
      </w:r>
    </w:p>
    <w:p>
      <w:pPr>
        <w:snapToGrid w:val="0"/>
        <w:spacing w:line="400" w:lineRule="exact"/>
        <w:ind w:firstLine="480" w:firstLineChars="200"/>
        <w:outlineLvl w:val="0"/>
        <w:rPr>
          <w:rFonts w:cs="宋体"/>
          <w:bCs/>
          <w:sz w:val="24"/>
        </w:rPr>
      </w:pPr>
      <w:r>
        <w:rPr>
          <w:rFonts w:hint="eastAsia" w:cs="宋体"/>
          <w:bCs/>
          <w:sz w:val="24"/>
        </w:rPr>
        <w:t>11.GB 18583-2008《室内装饰装修材料胶粘剂中有害物质限量》要求；</w:t>
      </w:r>
    </w:p>
    <w:p>
      <w:pPr>
        <w:snapToGrid w:val="0"/>
        <w:spacing w:line="400" w:lineRule="exact"/>
        <w:ind w:firstLine="480" w:firstLineChars="200"/>
        <w:outlineLvl w:val="0"/>
        <w:rPr>
          <w:rFonts w:cs="宋体"/>
          <w:bCs/>
          <w:sz w:val="24"/>
        </w:rPr>
      </w:pPr>
      <w:r>
        <w:rPr>
          <w:rFonts w:hint="eastAsia" w:cs="宋体"/>
          <w:bCs/>
          <w:sz w:val="24"/>
        </w:rPr>
        <w:t>12.QB/T 3827-1999 《轻工产品金属镀层和化 学处理层的耐腐蚀试验方法 乙酸盐雾试验(ASS)法》</w:t>
      </w:r>
    </w:p>
    <w:p>
      <w:pPr>
        <w:snapToGrid w:val="0"/>
        <w:spacing w:line="400" w:lineRule="exact"/>
        <w:ind w:firstLine="480" w:firstLineChars="200"/>
        <w:outlineLvl w:val="0"/>
        <w:rPr>
          <w:rFonts w:cs="宋体"/>
          <w:bCs/>
          <w:sz w:val="24"/>
        </w:rPr>
      </w:pPr>
      <w:r>
        <w:rPr>
          <w:rFonts w:hint="eastAsia" w:cs="宋体"/>
          <w:bCs/>
          <w:sz w:val="24"/>
        </w:rPr>
        <w:t>13.QB/T 2189-2013《家具五金 杯状暗铰链》</w:t>
      </w:r>
    </w:p>
    <w:p>
      <w:pPr>
        <w:snapToGrid w:val="0"/>
        <w:spacing w:line="400" w:lineRule="exact"/>
        <w:ind w:firstLine="480" w:firstLineChars="200"/>
        <w:outlineLvl w:val="0"/>
        <w:rPr>
          <w:sz w:val="24"/>
        </w:rPr>
      </w:pPr>
      <w:r>
        <w:rPr>
          <w:rFonts w:hint="eastAsia"/>
          <w:sz w:val="24"/>
        </w:rPr>
        <w:t>14.GB/T3325-2024《金属家具通用技术条件》</w:t>
      </w:r>
    </w:p>
    <w:p>
      <w:pPr>
        <w:snapToGrid w:val="0"/>
        <w:spacing w:line="400" w:lineRule="exact"/>
        <w:ind w:firstLine="480" w:firstLineChars="200"/>
        <w:outlineLvl w:val="0"/>
        <w:rPr>
          <w:sz w:val="24"/>
        </w:rPr>
      </w:pPr>
      <w:r>
        <w:rPr>
          <w:rFonts w:hint="eastAsia"/>
          <w:sz w:val="24"/>
        </w:rPr>
        <w:t>15.QB/T 1951.2-2013《金属家具 质量检验及质量评定》</w:t>
      </w:r>
    </w:p>
    <w:p>
      <w:pPr>
        <w:snapToGrid w:val="0"/>
        <w:spacing w:line="400" w:lineRule="exact"/>
        <w:ind w:firstLine="480" w:firstLineChars="200"/>
        <w:outlineLvl w:val="0"/>
        <w:rPr>
          <w:rFonts w:cs="宋体"/>
          <w:sz w:val="24"/>
        </w:rPr>
      </w:pPr>
      <w:r>
        <w:rPr>
          <w:rFonts w:hint="eastAsia"/>
          <w:sz w:val="24"/>
        </w:rPr>
        <w:t>16.</w:t>
      </w:r>
      <w:r>
        <w:rPr>
          <w:rFonts w:hint="eastAsia" w:cs="宋体"/>
          <w:sz w:val="24"/>
        </w:rPr>
        <w:t>GB18584-20</w:t>
      </w:r>
      <w:r>
        <w:rPr>
          <w:rFonts w:hint="eastAsia" w:cs="宋体"/>
          <w:sz w:val="24"/>
          <w:lang w:val="en-US" w:eastAsia="zh-CN"/>
        </w:rPr>
        <w:t>24</w:t>
      </w:r>
      <w:r>
        <w:rPr>
          <w:rFonts w:hint="eastAsia" w:cs="宋体"/>
          <w:sz w:val="24"/>
        </w:rPr>
        <w:t>《室内装饰装修材料木家具中有害物质限量》</w:t>
      </w:r>
    </w:p>
    <w:p>
      <w:pPr>
        <w:snapToGrid w:val="0"/>
        <w:spacing w:line="400" w:lineRule="exact"/>
        <w:ind w:firstLine="480" w:firstLineChars="200"/>
        <w:outlineLvl w:val="0"/>
        <w:rPr>
          <w:rFonts w:cs="宋体"/>
          <w:sz w:val="24"/>
        </w:rPr>
      </w:pPr>
      <w:r>
        <w:rPr>
          <w:rFonts w:hint="eastAsia" w:cs="宋体"/>
          <w:sz w:val="24"/>
        </w:rPr>
        <w:t>17.GB/T35601-2017《绿色产品评价 人造板和木质地板》</w:t>
      </w:r>
    </w:p>
    <w:p>
      <w:pPr>
        <w:snapToGrid w:val="0"/>
        <w:spacing w:line="400" w:lineRule="exact"/>
        <w:ind w:firstLine="480" w:firstLineChars="200"/>
        <w:outlineLvl w:val="0"/>
        <w:rPr>
          <w:rFonts w:cs="宋体"/>
          <w:sz w:val="24"/>
        </w:rPr>
      </w:pPr>
      <w:r>
        <w:rPr>
          <w:rFonts w:hint="eastAsia" w:cs="宋体"/>
          <w:sz w:val="24"/>
        </w:rPr>
        <w:t>18.GB/T 34722-2017《浸渍胶膜纸饰面胶合板和细木工板》</w:t>
      </w:r>
    </w:p>
    <w:p>
      <w:pPr>
        <w:snapToGrid w:val="0"/>
        <w:spacing w:line="400" w:lineRule="exact"/>
        <w:ind w:firstLine="480" w:firstLineChars="200"/>
        <w:outlineLvl w:val="0"/>
        <w:rPr>
          <w:rFonts w:cs="宋体"/>
          <w:sz w:val="24"/>
        </w:rPr>
      </w:pPr>
      <w:r>
        <w:rPr>
          <w:rFonts w:hint="eastAsia" w:cs="宋体"/>
          <w:sz w:val="24"/>
        </w:rPr>
        <w:t>19.GB/T1927.4-2021《无疵小试样木材物理力学性质试验方法 第4部分：含水率测定》</w:t>
      </w:r>
    </w:p>
    <w:p>
      <w:pPr>
        <w:snapToGrid w:val="0"/>
        <w:spacing w:line="400" w:lineRule="exact"/>
        <w:ind w:firstLine="480" w:firstLineChars="200"/>
        <w:outlineLvl w:val="0"/>
        <w:rPr>
          <w:rFonts w:cs="宋体"/>
          <w:sz w:val="24"/>
        </w:rPr>
      </w:pPr>
      <w:r>
        <w:rPr>
          <w:rFonts w:hint="eastAsia" w:cs="宋体"/>
          <w:sz w:val="24"/>
        </w:rPr>
        <w:t>20.GB/T18101-2024《难燃胶合板》</w:t>
      </w:r>
    </w:p>
    <w:p>
      <w:pPr>
        <w:snapToGrid w:val="0"/>
        <w:spacing w:line="400" w:lineRule="exact"/>
        <w:ind w:firstLine="480" w:firstLineChars="200"/>
        <w:outlineLvl w:val="0"/>
        <w:rPr>
          <w:rFonts w:cs="宋体"/>
          <w:bCs/>
          <w:sz w:val="24"/>
        </w:rPr>
      </w:pPr>
      <w:r>
        <w:rPr>
          <w:rFonts w:hint="eastAsia" w:cs="宋体"/>
          <w:sz w:val="24"/>
        </w:rPr>
        <w:br w:type="page"/>
      </w:r>
    </w:p>
    <w:p>
      <w:pPr>
        <w:numPr>
          <w:ilvl w:val="0"/>
          <w:numId w:val="5"/>
        </w:numPr>
        <w:snapToGrid w:val="0"/>
        <w:spacing w:before="197" w:beforeLines="50" w:after="197" w:afterLines="50" w:line="300" w:lineRule="exact"/>
        <w:outlineLvl w:val="0"/>
        <w:rPr>
          <w:rFonts w:cs="宋体"/>
          <w:b/>
          <w:sz w:val="24"/>
        </w:rPr>
      </w:pPr>
      <w:r>
        <w:rPr>
          <w:rFonts w:hint="eastAsia" w:cs="宋体"/>
          <w:b/>
          <w:sz w:val="24"/>
        </w:rPr>
        <w:t>采购标的的数量与规格</w:t>
      </w:r>
    </w:p>
    <w:tbl>
      <w:tblPr>
        <w:tblStyle w:val="29"/>
        <w:tblW w:w="13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710"/>
        <w:gridCol w:w="7134"/>
        <w:gridCol w:w="1191"/>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07" w:type="dxa"/>
            <w:vAlign w:val="center"/>
          </w:tcPr>
          <w:p>
            <w:pPr>
              <w:pStyle w:val="15"/>
              <w:snapToGrid w:val="0"/>
              <w:spacing w:before="197" w:after="197" w:line="300" w:lineRule="exact"/>
              <w:jc w:val="center"/>
              <w:outlineLvl w:val="0"/>
              <w:rPr>
                <w:rFonts w:ascii="Times New Roman" w:hAnsi="Times New Roman" w:cs="宋体"/>
                <w:b/>
                <w:bCs/>
              </w:rPr>
            </w:pPr>
            <w:r>
              <w:rPr>
                <w:rFonts w:hint="eastAsia" w:ascii="Times New Roman" w:hAnsi="Times New Roman" w:cs="宋体"/>
                <w:b/>
                <w:bCs/>
              </w:rPr>
              <w:t>序号</w:t>
            </w:r>
          </w:p>
        </w:tc>
        <w:tc>
          <w:tcPr>
            <w:tcW w:w="8844" w:type="dxa"/>
            <w:gridSpan w:val="2"/>
            <w:vAlign w:val="center"/>
          </w:tcPr>
          <w:p>
            <w:pPr>
              <w:pStyle w:val="15"/>
              <w:snapToGrid w:val="0"/>
              <w:spacing w:before="197" w:after="197" w:line="300" w:lineRule="exact"/>
              <w:jc w:val="center"/>
              <w:outlineLvl w:val="0"/>
              <w:rPr>
                <w:rFonts w:ascii="Times New Roman" w:hAnsi="Times New Roman" w:cs="宋体"/>
                <w:b/>
                <w:bCs/>
              </w:rPr>
            </w:pPr>
            <w:r>
              <w:rPr>
                <w:rFonts w:hint="eastAsia" w:ascii="Times New Roman" w:hAnsi="Times New Roman" w:cs="宋体"/>
                <w:b/>
                <w:bCs/>
              </w:rPr>
              <w:t>产品名称</w:t>
            </w:r>
          </w:p>
        </w:tc>
        <w:tc>
          <w:tcPr>
            <w:tcW w:w="1191" w:type="dxa"/>
            <w:vAlign w:val="center"/>
          </w:tcPr>
          <w:p>
            <w:pPr>
              <w:pStyle w:val="15"/>
              <w:snapToGrid w:val="0"/>
              <w:spacing w:before="197" w:after="197" w:line="300" w:lineRule="exact"/>
              <w:jc w:val="center"/>
              <w:outlineLvl w:val="0"/>
              <w:rPr>
                <w:rFonts w:ascii="Times New Roman" w:hAnsi="Times New Roman" w:cs="宋体"/>
                <w:b/>
                <w:bCs/>
              </w:rPr>
            </w:pPr>
            <w:r>
              <w:rPr>
                <w:rFonts w:hint="eastAsia" w:ascii="Times New Roman" w:hAnsi="Times New Roman" w:cs="宋体"/>
                <w:b/>
                <w:bCs/>
              </w:rPr>
              <w:t>单位</w:t>
            </w:r>
          </w:p>
        </w:tc>
        <w:tc>
          <w:tcPr>
            <w:tcW w:w="1191" w:type="dxa"/>
            <w:vAlign w:val="center"/>
          </w:tcPr>
          <w:p>
            <w:pPr>
              <w:pStyle w:val="15"/>
              <w:snapToGrid w:val="0"/>
              <w:spacing w:before="197" w:after="197" w:line="300" w:lineRule="exact"/>
              <w:jc w:val="center"/>
              <w:outlineLvl w:val="0"/>
              <w:rPr>
                <w:rFonts w:ascii="Times New Roman" w:hAnsi="Times New Roman" w:cs="宋体"/>
                <w:b/>
                <w:bCs/>
              </w:rPr>
            </w:pPr>
            <w:r>
              <w:rPr>
                <w:rFonts w:hint="eastAsia" w:ascii="Times New Roman" w:hAnsi="Times New Roman" w:cs="宋体"/>
                <w:b/>
                <w:bCs/>
              </w:rPr>
              <w:t>数量</w:t>
            </w:r>
          </w:p>
        </w:tc>
        <w:tc>
          <w:tcPr>
            <w:tcW w:w="1191" w:type="dxa"/>
            <w:vAlign w:val="center"/>
          </w:tcPr>
          <w:p>
            <w:pPr>
              <w:pStyle w:val="15"/>
              <w:snapToGrid w:val="0"/>
              <w:spacing w:before="197" w:after="197" w:line="300" w:lineRule="exact"/>
              <w:jc w:val="center"/>
              <w:outlineLvl w:val="0"/>
              <w:rPr>
                <w:rFonts w:ascii="Times New Roman" w:hAnsi="Times New Roman" w:cs="宋体"/>
                <w:b/>
                <w:bCs/>
              </w:rPr>
            </w:pPr>
            <w:r>
              <w:rPr>
                <w:rFonts w:hint="eastAsia" w:ascii="Times New Roman" w:hAnsi="Times New Roman"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907" w:type="dxa"/>
            <w:vMerge w:val="restart"/>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1</w:t>
            </w:r>
          </w:p>
        </w:tc>
        <w:tc>
          <w:tcPr>
            <w:tcW w:w="1710" w:type="dxa"/>
            <w:vMerge w:val="restart"/>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二连体中梯公寓床</w:t>
            </w:r>
          </w:p>
        </w:tc>
        <w:tc>
          <w:tcPr>
            <w:tcW w:w="7134" w:type="dxa"/>
            <w:vAlign w:val="center"/>
          </w:tcPr>
          <w:p>
            <w:pPr>
              <w:pStyle w:val="15"/>
              <w:overflowPunct w:val="0"/>
              <w:snapToGrid w:val="0"/>
              <w:spacing w:beforeLines="0" w:afterLines="0" w:line="360" w:lineRule="exact"/>
              <w:jc w:val="center"/>
              <w:rPr>
                <w:rFonts w:hint="eastAsia" w:hAnsi="宋体" w:cs="宋体"/>
                <w:sz w:val="21"/>
                <w:szCs w:val="21"/>
              </w:rPr>
            </w:pPr>
            <w:r>
              <w:rPr>
                <w:rFonts w:hint="eastAsia" w:hAnsi="宋体" w:cs="宋体"/>
                <w:sz w:val="21"/>
                <w:szCs w:val="21"/>
              </w:rPr>
              <w:t>二连体中梯公寓床A：长4600mm*宽900mm*高3000mm（中梯宽600mm）</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套</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808</w:t>
            </w:r>
          </w:p>
        </w:tc>
        <w:tc>
          <w:tcPr>
            <w:tcW w:w="1191" w:type="dxa"/>
            <w:vMerge w:val="restart"/>
            <w:vAlign w:val="center"/>
          </w:tcPr>
          <w:p>
            <w:pPr>
              <w:pStyle w:val="15"/>
              <w:snapToGrid w:val="0"/>
              <w:spacing w:beforeLines="0" w:afterLines="0" w:line="360" w:lineRule="exact"/>
              <w:outlineLvl w:val="0"/>
              <w:rPr>
                <w:rFonts w:hint="eastAsia" w:hAnsi="宋体" w:cs="宋体"/>
                <w:b/>
                <w:bCs/>
                <w:sz w:val="21"/>
                <w:szCs w:val="21"/>
              </w:rPr>
            </w:pPr>
            <w:r>
              <w:rPr>
                <w:rFonts w:hint="eastAsia" w:hAnsi="宋体" w:cs="宋体"/>
                <w:b/>
                <w:bCs/>
                <w:sz w:val="21"/>
                <w:szCs w:val="21"/>
                <w:lang w:eastAsia="zh-Hans"/>
              </w:rPr>
              <w:t>核心</w:t>
            </w:r>
            <w:r>
              <w:rPr>
                <w:rFonts w:hint="eastAsia" w:hAnsi="宋体" w:cs="宋体"/>
                <w:b/>
                <w:bCs/>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907" w:type="dxa"/>
            <w:vMerge w:val="continue"/>
            <w:vAlign w:val="center"/>
          </w:tcPr>
          <w:p>
            <w:pPr>
              <w:pStyle w:val="15"/>
              <w:snapToGrid w:val="0"/>
              <w:spacing w:before="197" w:after="197" w:line="300" w:lineRule="exact"/>
              <w:jc w:val="center"/>
              <w:outlineLvl w:val="0"/>
              <w:rPr>
                <w:rFonts w:hint="eastAsia" w:hAnsi="宋体" w:cs="宋体"/>
                <w:sz w:val="21"/>
                <w:szCs w:val="21"/>
              </w:rPr>
            </w:pPr>
          </w:p>
        </w:tc>
        <w:tc>
          <w:tcPr>
            <w:tcW w:w="1710" w:type="dxa"/>
            <w:vMerge w:val="continue"/>
            <w:vAlign w:val="center"/>
          </w:tcPr>
          <w:p>
            <w:pPr>
              <w:pStyle w:val="15"/>
              <w:snapToGrid w:val="0"/>
              <w:spacing w:before="197" w:after="197" w:line="300" w:lineRule="exact"/>
              <w:jc w:val="center"/>
              <w:outlineLvl w:val="0"/>
              <w:rPr>
                <w:rFonts w:hint="eastAsia" w:hAnsi="宋体" w:cs="宋体"/>
                <w:sz w:val="21"/>
                <w:szCs w:val="21"/>
              </w:rPr>
            </w:pPr>
          </w:p>
        </w:tc>
        <w:tc>
          <w:tcPr>
            <w:tcW w:w="7134" w:type="dxa"/>
            <w:vAlign w:val="center"/>
          </w:tcPr>
          <w:p>
            <w:pPr>
              <w:pStyle w:val="15"/>
              <w:overflowPunct w:val="0"/>
              <w:snapToGrid w:val="0"/>
              <w:spacing w:beforeLines="0" w:afterLines="0" w:line="360" w:lineRule="exact"/>
              <w:jc w:val="center"/>
              <w:rPr>
                <w:rFonts w:hint="eastAsia" w:hAnsi="宋体" w:cs="宋体"/>
                <w:sz w:val="21"/>
                <w:szCs w:val="21"/>
              </w:rPr>
            </w:pPr>
            <w:r>
              <w:rPr>
                <w:rFonts w:hint="eastAsia" w:hAnsi="宋体" w:cs="宋体"/>
                <w:sz w:val="21"/>
                <w:szCs w:val="21"/>
              </w:rPr>
              <w:t>二连体中梯公寓床B：长4550mm*宽900mm*高3100mm（中梯宽550mm）</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套</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1654</w:t>
            </w:r>
          </w:p>
        </w:tc>
        <w:tc>
          <w:tcPr>
            <w:tcW w:w="1191" w:type="dxa"/>
            <w:vMerge w:val="continue"/>
            <w:vAlign w:val="center"/>
          </w:tcPr>
          <w:p>
            <w:pPr>
              <w:pStyle w:val="15"/>
              <w:snapToGrid w:val="0"/>
              <w:spacing w:beforeLines="0" w:afterLines="0" w:line="360" w:lineRule="exact"/>
              <w:jc w:val="center"/>
              <w:outlineLvl w:val="0"/>
              <w:rPr>
                <w:rFonts w:hint="eastAsia"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07" w:type="dxa"/>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2</w:t>
            </w:r>
          </w:p>
        </w:tc>
        <w:tc>
          <w:tcPr>
            <w:tcW w:w="8844" w:type="dxa"/>
            <w:gridSpan w:val="2"/>
            <w:vAlign w:val="center"/>
          </w:tcPr>
          <w:p>
            <w:pPr>
              <w:pStyle w:val="15"/>
              <w:overflowPunct w:val="0"/>
              <w:snapToGrid w:val="0"/>
              <w:spacing w:beforeLines="0" w:afterLines="0" w:line="360" w:lineRule="exact"/>
              <w:jc w:val="center"/>
              <w:rPr>
                <w:rFonts w:hint="eastAsia" w:hAnsi="宋体" w:cs="宋体"/>
                <w:kern w:val="0"/>
                <w:sz w:val="21"/>
                <w:szCs w:val="21"/>
                <w:lang w:bidi="ar"/>
              </w:rPr>
            </w:pPr>
            <w:r>
              <w:rPr>
                <w:rFonts w:hint="eastAsia" w:hAnsi="宋体" w:cs="宋体"/>
                <w:kern w:val="0"/>
                <w:sz w:val="21"/>
                <w:szCs w:val="21"/>
                <w:lang w:bidi="ar"/>
              </w:rPr>
              <w:t>中高床公寓组合家具(单人中高公寓床+书桌A)</w:t>
            </w:r>
          </w:p>
          <w:p>
            <w:pPr>
              <w:pStyle w:val="15"/>
              <w:overflowPunct w:val="0"/>
              <w:snapToGrid w:val="0"/>
              <w:spacing w:beforeLines="0" w:afterLines="0" w:line="360" w:lineRule="exact"/>
              <w:jc w:val="center"/>
              <w:rPr>
                <w:rFonts w:hint="eastAsia" w:hAnsi="宋体" w:cs="宋体"/>
                <w:kern w:val="0"/>
                <w:sz w:val="21"/>
                <w:szCs w:val="21"/>
                <w:lang w:bidi="ar"/>
              </w:rPr>
            </w:pPr>
            <w:r>
              <w:rPr>
                <w:rFonts w:hint="eastAsia" w:hAnsi="宋体" w:cs="宋体"/>
                <w:kern w:val="0"/>
                <w:sz w:val="21"/>
                <w:szCs w:val="21"/>
                <w:lang w:bidi="ar"/>
              </w:rPr>
              <w:t>单人中高公寓床：长2000mm*宽900mm*高2200mm</w:t>
            </w:r>
          </w:p>
          <w:p>
            <w:pPr>
              <w:pStyle w:val="15"/>
              <w:overflowPunct w:val="0"/>
              <w:snapToGrid w:val="0"/>
              <w:spacing w:beforeLines="0" w:afterLines="0" w:line="360" w:lineRule="exact"/>
              <w:jc w:val="center"/>
              <w:rPr>
                <w:rFonts w:hint="eastAsia" w:hAnsi="宋体" w:cs="宋体"/>
                <w:kern w:val="0"/>
                <w:sz w:val="21"/>
                <w:szCs w:val="21"/>
                <w:lang w:bidi="ar"/>
              </w:rPr>
            </w:pPr>
            <w:r>
              <w:rPr>
                <w:rFonts w:hint="eastAsia" w:hAnsi="宋体" w:cs="宋体"/>
                <w:kern w:val="0"/>
                <w:sz w:val="21"/>
                <w:szCs w:val="21"/>
                <w:lang w:bidi="ar"/>
              </w:rPr>
              <w:t>书桌A：长1000mm*宽600mm*高1800mm</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套</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768</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b/>
                <w:bCs/>
                <w:sz w:val="21"/>
                <w:szCs w:val="21"/>
                <w:lang w:eastAsia="zh-Hans"/>
              </w:rPr>
              <w:t>核心</w:t>
            </w:r>
            <w:r>
              <w:rPr>
                <w:rFonts w:hint="eastAsia" w:hAnsi="宋体" w:cs="宋体"/>
                <w:b/>
                <w:bCs/>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07" w:type="dxa"/>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3</w:t>
            </w:r>
          </w:p>
        </w:tc>
        <w:tc>
          <w:tcPr>
            <w:tcW w:w="8844" w:type="dxa"/>
            <w:gridSpan w:val="2"/>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功能性用房组合家具(单人床*2、双人衣柜*1、书桌B*2)</w:t>
            </w:r>
          </w:p>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单人床：长</w:t>
            </w:r>
            <w:r>
              <w:rPr>
                <w:rFonts w:hint="eastAsia" w:hAnsi="宋体" w:cs="宋体"/>
                <w:kern w:val="0"/>
                <w:sz w:val="21"/>
                <w:szCs w:val="21"/>
                <w:lang w:bidi="ar"/>
              </w:rPr>
              <w:t>2000mm*宽1000mm*高900mm</w:t>
            </w:r>
          </w:p>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双人衣柜：长</w:t>
            </w:r>
            <w:r>
              <w:rPr>
                <w:rFonts w:hint="eastAsia" w:hAnsi="宋体" w:cs="宋体"/>
                <w:kern w:val="0"/>
                <w:sz w:val="21"/>
                <w:szCs w:val="21"/>
                <w:lang w:bidi="ar"/>
              </w:rPr>
              <w:t>800mm*宽800mm*高1800mm</w:t>
            </w:r>
          </w:p>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书桌B：长</w:t>
            </w:r>
            <w:r>
              <w:rPr>
                <w:rFonts w:hint="eastAsia" w:hAnsi="宋体" w:cs="宋体"/>
                <w:kern w:val="0"/>
                <w:sz w:val="21"/>
                <w:szCs w:val="21"/>
                <w:lang w:bidi="ar"/>
              </w:rPr>
              <w:t>1200mm*宽600mm*高1800mm</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套</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9</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07" w:type="dxa"/>
            <w:vMerge w:val="restart"/>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4</w:t>
            </w:r>
          </w:p>
        </w:tc>
        <w:tc>
          <w:tcPr>
            <w:tcW w:w="1710" w:type="dxa"/>
            <w:vMerge w:val="restart"/>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储物柜</w:t>
            </w:r>
          </w:p>
        </w:tc>
        <w:tc>
          <w:tcPr>
            <w:tcW w:w="7134" w:type="dxa"/>
            <w:vAlign w:val="center"/>
          </w:tcPr>
          <w:p>
            <w:pPr>
              <w:pStyle w:val="15"/>
              <w:snapToGrid w:val="0"/>
              <w:spacing w:beforeLines="0" w:afterLines="0" w:line="360" w:lineRule="exact"/>
              <w:outlineLvl w:val="0"/>
              <w:rPr>
                <w:rFonts w:hint="eastAsia" w:hAnsi="宋体" w:cs="宋体"/>
                <w:bCs/>
                <w:sz w:val="21"/>
                <w:szCs w:val="21"/>
              </w:rPr>
            </w:pPr>
            <w:r>
              <w:rPr>
                <w:rFonts w:hint="eastAsia" w:hAnsi="宋体" w:cs="宋体"/>
                <w:bCs/>
                <w:sz w:val="21"/>
                <w:szCs w:val="21"/>
              </w:rPr>
              <w:t xml:space="preserve">储物柜D：高1740mm*深550mm*宽350mm </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个</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1430</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07" w:type="dxa"/>
            <w:vMerge w:val="continue"/>
            <w:vAlign w:val="center"/>
          </w:tcPr>
          <w:p>
            <w:pPr>
              <w:pStyle w:val="15"/>
              <w:snapToGrid w:val="0"/>
              <w:spacing w:before="197" w:after="197" w:line="300" w:lineRule="exact"/>
              <w:jc w:val="center"/>
              <w:outlineLvl w:val="0"/>
              <w:rPr>
                <w:rFonts w:hint="eastAsia" w:hAnsi="宋体" w:cs="宋体"/>
                <w:sz w:val="21"/>
                <w:szCs w:val="21"/>
              </w:rPr>
            </w:pPr>
          </w:p>
        </w:tc>
        <w:tc>
          <w:tcPr>
            <w:tcW w:w="1710" w:type="dxa"/>
            <w:vMerge w:val="continue"/>
            <w:vAlign w:val="center"/>
          </w:tcPr>
          <w:p>
            <w:pPr>
              <w:pStyle w:val="15"/>
              <w:snapToGrid w:val="0"/>
              <w:spacing w:before="197" w:after="197" w:line="300" w:lineRule="exact"/>
              <w:jc w:val="center"/>
              <w:outlineLvl w:val="0"/>
              <w:rPr>
                <w:rFonts w:hint="eastAsia" w:hAnsi="宋体" w:cs="宋体"/>
                <w:sz w:val="21"/>
                <w:szCs w:val="21"/>
              </w:rPr>
            </w:pPr>
          </w:p>
        </w:tc>
        <w:tc>
          <w:tcPr>
            <w:tcW w:w="7134" w:type="dxa"/>
            <w:vAlign w:val="center"/>
          </w:tcPr>
          <w:p>
            <w:pPr>
              <w:pStyle w:val="15"/>
              <w:snapToGrid w:val="0"/>
              <w:spacing w:beforeLines="0" w:afterLines="0" w:line="360" w:lineRule="exact"/>
              <w:outlineLvl w:val="0"/>
              <w:rPr>
                <w:rFonts w:hint="eastAsia" w:hAnsi="宋体" w:cs="宋体"/>
                <w:bCs/>
                <w:sz w:val="21"/>
                <w:szCs w:val="21"/>
              </w:rPr>
            </w:pPr>
            <w:r>
              <w:rPr>
                <w:rFonts w:hint="eastAsia" w:hAnsi="宋体" w:cs="宋体"/>
                <w:bCs/>
                <w:sz w:val="21"/>
                <w:szCs w:val="21"/>
              </w:rPr>
              <w:t xml:space="preserve">储物柜E：高1740mm*深550mm*宽350mm </w:t>
            </w:r>
            <w:r>
              <w:rPr>
                <w:rFonts w:hint="eastAsia" w:hAnsi="宋体" w:cs="宋体"/>
                <w:kern w:val="0"/>
                <w:sz w:val="21"/>
                <w:szCs w:val="21"/>
                <w:lang w:bidi="ar"/>
              </w:rPr>
              <w:t>顶板后侧增加约长250mm*宽100mm左右的挡板，用于遮挡柜体和消防水管之间的缝隙</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个</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224</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07" w:type="dxa"/>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5</w:t>
            </w:r>
          </w:p>
        </w:tc>
        <w:tc>
          <w:tcPr>
            <w:tcW w:w="8844" w:type="dxa"/>
            <w:gridSpan w:val="2"/>
            <w:vAlign w:val="center"/>
          </w:tcPr>
          <w:p>
            <w:pPr>
              <w:pStyle w:val="15"/>
              <w:snapToGrid w:val="0"/>
              <w:spacing w:beforeLines="0" w:afterLines="0" w:line="360" w:lineRule="exact"/>
              <w:jc w:val="center"/>
              <w:outlineLvl w:val="0"/>
              <w:rPr>
                <w:rFonts w:hint="eastAsia" w:hAnsi="宋体" w:cs="宋体"/>
                <w:bCs/>
                <w:sz w:val="21"/>
                <w:szCs w:val="21"/>
              </w:rPr>
            </w:pPr>
            <w:r>
              <w:rPr>
                <w:rFonts w:hint="eastAsia" w:hAnsi="宋体" w:cs="宋体"/>
                <w:sz w:val="21"/>
                <w:szCs w:val="21"/>
              </w:rPr>
              <w:t xml:space="preserve">靠背椅 </w:t>
            </w:r>
            <w:r>
              <w:rPr>
                <w:rFonts w:hint="eastAsia" w:hAnsi="宋体" w:cs="宋体"/>
                <w:kern w:val="0"/>
                <w:sz w:val="21"/>
                <w:szCs w:val="21"/>
                <w:lang w:bidi="ar"/>
              </w:rPr>
              <w:t>520mm*540mm*860mm，±20mm(长*宽*高)</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张</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r>
              <w:rPr>
                <w:rFonts w:hint="eastAsia" w:hAnsi="宋体" w:cs="宋体"/>
                <w:sz w:val="21"/>
                <w:szCs w:val="21"/>
              </w:rPr>
              <w:t>5710</w:t>
            </w:r>
          </w:p>
        </w:tc>
        <w:tc>
          <w:tcPr>
            <w:tcW w:w="1191" w:type="dxa"/>
            <w:vAlign w:val="center"/>
          </w:tcPr>
          <w:p>
            <w:pPr>
              <w:pStyle w:val="15"/>
              <w:snapToGrid w:val="0"/>
              <w:spacing w:beforeLines="0" w:afterLines="0" w:line="360" w:lineRule="exact"/>
              <w:jc w:val="center"/>
              <w:outlineLvl w:val="0"/>
              <w:rPr>
                <w:rFonts w:hint="eastAsia" w:hAnsi="宋体" w:cs="宋体"/>
                <w:sz w:val="21"/>
                <w:szCs w:val="21"/>
              </w:rPr>
            </w:pPr>
          </w:p>
        </w:tc>
      </w:tr>
    </w:tbl>
    <w:p>
      <w:pPr>
        <w:snapToGrid w:val="0"/>
        <w:spacing w:before="197" w:beforeLines="50" w:after="197" w:afterLines="50" w:line="300" w:lineRule="exact"/>
        <w:outlineLvl w:val="0"/>
        <w:rPr>
          <w:rFonts w:hint="eastAsia" w:hAnsi="宋体" w:cs="宋体"/>
          <w:sz w:val="21"/>
          <w:szCs w:val="21"/>
        </w:rPr>
      </w:pPr>
      <w:r>
        <w:rPr>
          <w:rFonts w:hint="eastAsia" w:cs="宋体"/>
          <w:bCs/>
          <w:sz w:val="24"/>
        </w:rPr>
        <w:t>注：</w:t>
      </w:r>
      <w:r>
        <w:rPr>
          <w:rFonts w:hint="eastAsia" w:hAnsi="宋体" w:cs="宋体"/>
          <w:sz w:val="21"/>
          <w:szCs w:val="21"/>
        </w:rPr>
        <w:t>1.针对部分特殊房型，以现场实际测量为准，即根据现场情况做合理化调整。</w:t>
      </w:r>
    </w:p>
    <w:p>
      <w:pPr>
        <w:snapToGrid w:val="0"/>
        <w:spacing w:before="197" w:beforeLines="50" w:after="197" w:afterLines="50" w:line="300" w:lineRule="exact"/>
        <w:ind w:firstLine="420" w:firstLineChars="200"/>
        <w:outlineLvl w:val="0"/>
        <w:rPr>
          <w:rFonts w:hint="eastAsia" w:hAnsi="宋体" w:cs="宋体"/>
          <w:sz w:val="21"/>
          <w:szCs w:val="21"/>
        </w:rPr>
      </w:pPr>
      <w:r>
        <w:rPr>
          <w:rFonts w:hint="eastAsia" w:hAnsi="宋体" w:cs="宋体"/>
          <w:sz w:val="21"/>
          <w:szCs w:val="21"/>
        </w:rPr>
        <w:t>2.所有家具的大货整体单个尺寸，根据现场测量情况做合理化调整，允许±50mm的偏差范围，在此偏差范围内的单价维持不变。</w:t>
      </w:r>
    </w:p>
    <w:p>
      <w:pPr>
        <w:numPr>
          <w:ilvl w:val="0"/>
          <w:numId w:val="5"/>
        </w:numPr>
        <w:snapToGrid w:val="0"/>
        <w:spacing w:before="197" w:beforeLines="50" w:after="197" w:afterLines="50" w:line="300" w:lineRule="exact"/>
        <w:outlineLvl w:val="0"/>
        <w:rPr>
          <w:rFonts w:cs="宋体"/>
          <w:b/>
          <w:sz w:val="24"/>
        </w:rPr>
      </w:pPr>
      <w:r>
        <w:rPr>
          <w:rFonts w:hint="eastAsia" w:cs="宋体"/>
          <w:b/>
          <w:sz w:val="24"/>
        </w:rPr>
        <w:t>质量、安全、技术规格、物理特性等要求</w:t>
      </w:r>
    </w:p>
    <w:p>
      <w:pPr>
        <w:pStyle w:val="9"/>
        <w:ind w:firstLine="480" w:firstLineChars="200"/>
      </w:pPr>
      <w:r>
        <w:rPr>
          <w:rFonts w:hint="eastAsia" w:cs="宋体"/>
          <w:bCs/>
          <w:sz w:val="24"/>
        </w:rPr>
        <w:t>1.功能及技术参数要求</w:t>
      </w:r>
    </w:p>
    <w:tbl>
      <w:tblPr>
        <w:tblStyle w:val="29"/>
        <w:tblW w:w="14616" w:type="dxa"/>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2439"/>
        <w:gridCol w:w="4077"/>
        <w:gridCol w:w="7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37" w:type="dxa"/>
            <w:vAlign w:val="center"/>
          </w:tcPr>
          <w:p>
            <w:pPr>
              <w:pStyle w:val="15"/>
              <w:snapToGrid w:val="0"/>
              <w:spacing w:before="197" w:after="197" w:line="300" w:lineRule="exact"/>
              <w:jc w:val="center"/>
              <w:outlineLvl w:val="0"/>
              <w:rPr>
                <w:rFonts w:ascii="Times New Roman" w:hAnsi="Times New Roman" w:cs="宋体"/>
              </w:rPr>
            </w:pPr>
            <w:r>
              <w:rPr>
                <w:rFonts w:hint="eastAsia" w:ascii="Times New Roman" w:hAnsi="Times New Roman" w:cs="宋体"/>
              </w:rPr>
              <w:t>序号</w:t>
            </w:r>
          </w:p>
        </w:tc>
        <w:tc>
          <w:tcPr>
            <w:tcW w:w="2440" w:type="dxa"/>
            <w:vAlign w:val="center"/>
          </w:tcPr>
          <w:p>
            <w:pPr>
              <w:pStyle w:val="15"/>
              <w:snapToGrid w:val="0"/>
              <w:spacing w:before="197" w:after="197" w:line="300" w:lineRule="exact"/>
              <w:jc w:val="center"/>
              <w:outlineLvl w:val="0"/>
              <w:rPr>
                <w:rFonts w:ascii="Times New Roman" w:hAnsi="Times New Roman" w:cs="宋体"/>
              </w:rPr>
            </w:pPr>
            <w:r>
              <w:rPr>
                <w:rFonts w:hint="eastAsia" w:ascii="Times New Roman" w:hAnsi="Times New Roman" w:cs="宋体"/>
              </w:rPr>
              <w:t>名称</w:t>
            </w:r>
          </w:p>
        </w:tc>
        <w:tc>
          <w:tcPr>
            <w:tcW w:w="4074" w:type="dxa"/>
            <w:vAlign w:val="center"/>
          </w:tcPr>
          <w:p>
            <w:pPr>
              <w:pStyle w:val="15"/>
              <w:snapToGrid w:val="0"/>
              <w:spacing w:before="197" w:after="197" w:line="300" w:lineRule="exact"/>
              <w:jc w:val="center"/>
              <w:outlineLvl w:val="0"/>
              <w:rPr>
                <w:rFonts w:ascii="Times New Roman" w:hAnsi="Times New Roman" w:cs="宋体"/>
              </w:rPr>
            </w:pPr>
            <w:r>
              <w:rPr>
                <w:rFonts w:hint="eastAsia" w:ascii="Times New Roman" w:hAnsi="Times New Roman" w:cs="宋体"/>
              </w:rPr>
              <w:t>参考款式图</w:t>
            </w:r>
          </w:p>
        </w:tc>
        <w:tc>
          <w:tcPr>
            <w:tcW w:w="7265" w:type="dxa"/>
            <w:vAlign w:val="center"/>
          </w:tcPr>
          <w:p>
            <w:pPr>
              <w:pStyle w:val="15"/>
              <w:snapToGrid w:val="0"/>
              <w:spacing w:before="197" w:after="197" w:line="300" w:lineRule="exact"/>
              <w:jc w:val="center"/>
              <w:outlineLvl w:val="0"/>
              <w:rPr>
                <w:rFonts w:ascii="Times New Roman" w:hAnsi="Times New Roman" w:cs="宋体"/>
              </w:rPr>
            </w:pPr>
            <w:r>
              <w:rPr>
                <w:rFonts w:hint="eastAsia" w:ascii="Times New Roman" w:hAnsi="Times New Roman" w:cs="宋体"/>
              </w:rPr>
              <w:t>功能及技术参数要求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837" w:type="dxa"/>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1</w:t>
            </w:r>
          </w:p>
        </w:tc>
        <w:tc>
          <w:tcPr>
            <w:tcW w:w="2440" w:type="dxa"/>
            <w:vAlign w:val="center"/>
          </w:tcPr>
          <w:p>
            <w:pPr>
              <w:pStyle w:val="15"/>
              <w:overflowPunct w:val="0"/>
              <w:snapToGrid w:val="0"/>
              <w:spacing w:beforeLines="0" w:afterLines="0" w:line="360" w:lineRule="exact"/>
              <w:rPr>
                <w:rFonts w:hint="eastAsia" w:hAnsi="宋体" w:cs="宋体"/>
                <w:sz w:val="21"/>
                <w:szCs w:val="21"/>
              </w:rPr>
            </w:pPr>
            <w:r>
              <w:rPr>
                <w:rFonts w:hint="eastAsia" w:hAnsi="宋体" w:cs="宋体"/>
                <w:sz w:val="21"/>
                <w:szCs w:val="21"/>
              </w:rPr>
              <w:t>二连体中梯公寓床A</w:t>
            </w:r>
          </w:p>
          <w:p>
            <w:pPr>
              <w:pStyle w:val="9"/>
              <w:rPr>
                <w:rFonts w:hint="eastAsia" w:ascii="宋体" w:hAnsi="宋体" w:cs="宋体"/>
                <w:sz w:val="21"/>
                <w:szCs w:val="21"/>
              </w:rPr>
            </w:pPr>
            <w:r>
              <w:rPr>
                <w:rFonts w:hint="eastAsia" w:ascii="宋体" w:hAnsi="宋体" w:cs="宋体"/>
                <w:sz w:val="21"/>
                <w:szCs w:val="21"/>
              </w:rPr>
              <w:t>二连体中梯公寓床B</w:t>
            </w:r>
          </w:p>
          <w:p>
            <w:pPr>
              <w:pStyle w:val="9"/>
              <w:rPr>
                <w:rFonts w:hint="eastAsia" w:ascii="宋体" w:hAnsi="宋体" w:cs="宋体"/>
                <w:sz w:val="21"/>
                <w:szCs w:val="21"/>
              </w:rPr>
            </w:pPr>
            <w:r>
              <w:rPr>
                <w:rFonts w:hint="eastAsia" w:ascii="宋体" w:hAnsi="宋体" w:cs="宋体"/>
                <w:sz w:val="21"/>
                <w:szCs w:val="21"/>
              </w:rPr>
              <w:t>（具体尺寸以现场实际测量为准，如遇部分特殊房型，则规格根据现场测量情况做合理化调整）</w:t>
            </w:r>
          </w:p>
          <w:p>
            <w:pPr>
              <w:pStyle w:val="27"/>
            </w:pPr>
          </w:p>
        </w:tc>
        <w:tc>
          <w:tcPr>
            <w:tcW w:w="4074" w:type="dxa"/>
            <w:vAlign w:val="center"/>
          </w:tcPr>
          <w:p>
            <w:pPr>
              <w:widowControl/>
              <w:jc w:val="left"/>
              <w:textAlignment w:val="center"/>
              <w:rPr>
                <w:rFonts w:cs="宋体"/>
              </w:rPr>
            </w:pPr>
            <w:r>
              <w:rPr>
                <w:rFonts w:hint="eastAsia" w:cs="宋体"/>
              </w:rPr>
              <w:t xml:space="preserve">    </w:t>
            </w:r>
            <w:r>
              <w:rPr>
                <w:rFonts w:hint="eastAsia" w:cs="宋体"/>
              </w:rPr>
              <w:drawing>
                <wp:inline distT="0" distB="0" distL="114300" distR="114300">
                  <wp:extent cx="1833880" cy="1731645"/>
                  <wp:effectExtent l="0" t="0" r="7620" b="8255"/>
                  <wp:docPr id="27" name="图片 37" descr="2d998f3309330e24571abefe369a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descr="2d998f3309330e24571abefe369a6c8"/>
                          <pic:cNvPicPr>
                            <a:picLocks noChangeAspect="1"/>
                          </pic:cNvPicPr>
                        </pic:nvPicPr>
                        <pic:blipFill>
                          <a:blip r:embed="rId15"/>
                          <a:stretch>
                            <a:fillRect/>
                          </a:stretch>
                        </pic:blipFill>
                        <pic:spPr>
                          <a:xfrm>
                            <a:off x="0" y="0"/>
                            <a:ext cx="1833880" cy="1731645"/>
                          </a:xfrm>
                          <a:prstGeom prst="rect">
                            <a:avLst/>
                          </a:prstGeom>
                          <a:noFill/>
                          <a:ln>
                            <a:noFill/>
                          </a:ln>
                        </pic:spPr>
                      </pic:pic>
                    </a:graphicData>
                  </a:graphic>
                </wp:inline>
              </w:drawing>
            </w:r>
            <w:r>
              <w:rPr>
                <w:rFonts w:hint="eastAsia" w:cs="宋体"/>
              </w:rPr>
              <w:t xml:space="preserve">     </w:t>
            </w:r>
          </w:p>
          <w:p>
            <w:pPr>
              <w:pStyle w:val="11"/>
              <w:rPr>
                <w:rFonts w:hint="default" w:cs="宋体"/>
              </w:rPr>
            </w:pPr>
          </w:p>
          <w:p>
            <w:pPr>
              <w:pStyle w:val="28"/>
              <w:ind w:firstLine="808" w:firstLineChars="400"/>
              <w:rPr>
                <w:rFonts w:hint="default"/>
              </w:rPr>
            </w:pPr>
            <w:r>
              <w:rPr>
                <w:rFonts w:ascii="宋体" w:hAnsi="宋体" w:cs="宋体"/>
                <w:sz w:val="21"/>
                <w:szCs w:val="21"/>
              </w:rPr>
              <w:t>二连体中梯公寓床</w:t>
            </w:r>
          </w:p>
          <w:p>
            <w:pPr>
              <w:pStyle w:val="11"/>
              <w:rPr>
                <w:rFonts w:hint="default"/>
              </w:rPr>
            </w:pPr>
            <w:r>
              <w:drawing>
                <wp:inline distT="0" distB="0" distL="114300" distR="114300">
                  <wp:extent cx="1835785" cy="1783715"/>
                  <wp:effectExtent l="0" t="0" r="5715" b="6985"/>
                  <wp:docPr id="28" name="图片 20" descr="93793e8574c5fcc66d2b878637c5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93793e8574c5fcc66d2b878637c5fea"/>
                          <pic:cNvPicPr>
                            <a:picLocks noChangeAspect="1"/>
                          </pic:cNvPicPr>
                        </pic:nvPicPr>
                        <pic:blipFill>
                          <a:blip r:embed="rId16"/>
                          <a:stretch>
                            <a:fillRect/>
                          </a:stretch>
                        </pic:blipFill>
                        <pic:spPr>
                          <a:xfrm>
                            <a:off x="0" y="0"/>
                            <a:ext cx="1835785" cy="1783715"/>
                          </a:xfrm>
                          <a:prstGeom prst="rect">
                            <a:avLst/>
                          </a:prstGeom>
                          <a:noFill/>
                          <a:ln>
                            <a:noFill/>
                          </a:ln>
                        </pic:spPr>
                      </pic:pic>
                    </a:graphicData>
                  </a:graphic>
                </wp:inline>
              </w:drawing>
            </w:r>
          </w:p>
          <w:p>
            <w:pPr>
              <w:pStyle w:val="28"/>
              <w:ind w:firstLine="344"/>
              <w:rPr>
                <w:rFonts w:hint="default"/>
                <w:sz w:val="21"/>
                <w:szCs w:val="21"/>
              </w:rPr>
            </w:pPr>
            <w:r>
              <w:t xml:space="preserve">       </w:t>
            </w:r>
            <w:r>
              <w:rPr>
                <w:sz w:val="21"/>
                <w:szCs w:val="21"/>
              </w:rPr>
              <w:t xml:space="preserve">     床下桌柜</w:t>
            </w:r>
          </w:p>
          <w:p>
            <w:pPr>
              <w:rPr>
                <w:sz w:val="21"/>
                <w:szCs w:val="21"/>
              </w:rPr>
            </w:pPr>
          </w:p>
          <w:p>
            <w:pPr>
              <w:pStyle w:val="11"/>
              <w:rPr>
                <w:rFonts w:hint="default"/>
              </w:rPr>
            </w:pPr>
            <w:r>
              <w:drawing>
                <wp:anchor distT="0" distB="0" distL="114300" distR="114300" simplePos="0" relativeHeight="251671552" behindDoc="1" locked="0" layoutInCell="1" allowOverlap="1">
                  <wp:simplePos x="0" y="0"/>
                  <wp:positionH relativeFrom="column">
                    <wp:posOffset>56515</wp:posOffset>
                  </wp:positionH>
                  <wp:positionV relativeFrom="paragraph">
                    <wp:posOffset>5080</wp:posOffset>
                  </wp:positionV>
                  <wp:extent cx="2314575" cy="1205230"/>
                  <wp:effectExtent l="0" t="0" r="9525" b="1270"/>
                  <wp:wrapThrough wrapText="bothSides">
                    <wp:wrapPolygon>
                      <wp:start x="21592" y="-2"/>
                      <wp:lineTo x="0" y="0"/>
                      <wp:lineTo x="0" y="21600"/>
                      <wp:lineTo x="21592" y="21602"/>
                      <wp:lineTo x="8" y="21602"/>
                      <wp:lineTo x="21600" y="21600"/>
                      <wp:lineTo x="21600" y="0"/>
                      <wp:lineTo x="8" y="-2"/>
                      <wp:lineTo x="21592" y="-2"/>
                    </wp:wrapPolygon>
                  </wp:wrapThrough>
                  <wp:docPr id="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8"/>
                          <pic:cNvPicPr>
                            <a:picLocks noChangeAspect="1"/>
                          </pic:cNvPicPr>
                        </pic:nvPicPr>
                        <pic:blipFill>
                          <a:blip r:embed="rId17"/>
                          <a:stretch>
                            <a:fillRect/>
                          </a:stretch>
                        </pic:blipFill>
                        <pic:spPr>
                          <a:xfrm>
                            <a:off x="0" y="0"/>
                            <a:ext cx="2314575" cy="1205230"/>
                          </a:xfrm>
                          <a:prstGeom prst="rect">
                            <a:avLst/>
                          </a:prstGeom>
                          <a:noFill/>
                          <a:ln>
                            <a:noFill/>
                          </a:ln>
                        </pic:spPr>
                      </pic:pic>
                    </a:graphicData>
                  </a:graphic>
                </wp:anchor>
              </w:drawing>
            </w:r>
            <w:r>
              <w:t xml:space="preserve">             衣柜内部结构图</w:t>
            </w:r>
          </w:p>
        </w:tc>
        <w:tc>
          <w:tcPr>
            <w:tcW w:w="7265" w:type="dxa"/>
          </w:tcPr>
          <w:p>
            <w:pPr>
              <w:pStyle w:val="15"/>
              <w:snapToGrid w:val="0"/>
              <w:spacing w:beforeLines="0" w:afterLines="0" w:line="360" w:lineRule="exact"/>
              <w:outlineLvl w:val="0"/>
              <w:rPr>
                <w:rFonts w:hint="eastAsia" w:hAnsi="宋体" w:cs="宋体"/>
                <w:sz w:val="21"/>
                <w:szCs w:val="21"/>
              </w:rPr>
            </w:pPr>
            <w:r>
              <w:rPr>
                <w:rFonts w:hint="eastAsia" w:hAnsi="宋体" w:cs="宋体"/>
                <w:sz w:val="21"/>
                <w:szCs w:val="21"/>
              </w:rPr>
              <w:t>二连体中梯公寓床A：长4600mm*宽900mm*高3000mm（中梯宽600mm）二连体中梯公寓床B：长4550mm*宽900mm*高3100mm（中梯宽550mm）</w:t>
            </w:r>
          </w:p>
          <w:p>
            <w:pPr>
              <w:pStyle w:val="28"/>
              <w:spacing w:line="360" w:lineRule="exact"/>
              <w:ind w:firstLine="0" w:firstLineChars="0"/>
              <w:rPr>
                <w:rFonts w:ascii="宋体" w:hAnsi="宋体" w:cs="宋体"/>
                <w:sz w:val="21"/>
                <w:szCs w:val="21"/>
              </w:rPr>
            </w:pPr>
            <w:bookmarkStart w:id="2" w:name="OLE_LINK1"/>
            <w:r>
              <w:rPr>
                <w:rFonts w:ascii="宋体" w:hAnsi="宋体" w:cs="宋体"/>
                <w:sz w:val="21"/>
                <w:szCs w:val="21"/>
              </w:rPr>
              <w:t>▲</w:t>
            </w:r>
            <w:bookmarkEnd w:id="2"/>
            <w:r>
              <w:rPr>
                <w:rFonts w:ascii="宋体" w:hAnsi="宋体" w:cs="宋体"/>
                <w:sz w:val="21"/>
                <w:szCs w:val="21"/>
              </w:rPr>
              <w:t>1.立柱：采用壁厚≥1.2mm异型闭口冷轧钢管钢管周长≥230mm，立柱正面一侧设圆弧勾角，要求组合柜与床立柱之间合缝、平整，使整体更美观。侧面设有整体安全圆弧。</w:t>
            </w:r>
          </w:p>
          <w:p>
            <w:pPr>
              <w:pStyle w:val="28"/>
              <w:spacing w:line="360" w:lineRule="exact"/>
              <w:ind w:firstLine="0" w:firstLineChars="0"/>
              <w:rPr>
                <w:rFonts w:ascii="宋体" w:hAnsi="宋体" w:cs="宋体"/>
                <w:sz w:val="21"/>
                <w:szCs w:val="21"/>
              </w:rPr>
            </w:pPr>
            <w:r>
              <w:rPr>
                <w:rFonts w:ascii="宋体" w:hAnsi="宋体" w:cs="宋体"/>
                <w:sz w:val="21"/>
                <w:szCs w:val="21"/>
              </w:rPr>
              <w:t>2.床挺：</w:t>
            </w:r>
          </w:p>
          <w:p>
            <w:pPr>
              <w:pStyle w:val="28"/>
              <w:spacing w:line="360" w:lineRule="exact"/>
              <w:ind w:firstLine="404"/>
              <w:rPr>
                <w:rFonts w:ascii="宋体" w:hAnsi="宋体" w:cs="宋体"/>
                <w:sz w:val="21"/>
                <w:szCs w:val="21"/>
              </w:rPr>
            </w:pPr>
            <w:r>
              <w:rPr>
                <w:rFonts w:ascii="宋体" w:hAnsi="宋体" w:cs="宋体"/>
                <w:sz w:val="21"/>
                <w:szCs w:val="21"/>
              </w:rPr>
              <w:t>▲（1）壁厚≥1.2mm异型闭口冷轧钢管，钢管周长≥250mm，异型管材底部设有整体安全圆弧，钢管上端两侧设有≥45mm*20mm台阶，一侧放置前护栏封板，另一侧放置床板。</w:t>
            </w:r>
          </w:p>
          <w:p>
            <w:pPr>
              <w:pStyle w:val="28"/>
              <w:spacing w:line="360" w:lineRule="exact"/>
              <w:ind w:firstLine="404"/>
              <w:rPr>
                <w:rFonts w:ascii="宋体" w:hAnsi="宋体" w:cs="宋体"/>
                <w:sz w:val="21"/>
                <w:szCs w:val="21"/>
              </w:rPr>
            </w:pPr>
            <w:r>
              <w:rPr>
                <w:rFonts w:ascii="宋体" w:hAnsi="宋体" w:cs="宋体"/>
                <w:sz w:val="21"/>
                <w:szCs w:val="21"/>
              </w:rPr>
              <w:t>（2）每铺增加3根长25mm*宽25mm*厚1.0mm方形冷轧钢管横档连接加固，床挺底部到地面距离1750mm。</w:t>
            </w:r>
          </w:p>
          <w:p>
            <w:pPr>
              <w:pStyle w:val="28"/>
              <w:spacing w:line="360" w:lineRule="exact"/>
              <w:ind w:firstLine="0" w:firstLineChars="0"/>
              <w:rPr>
                <w:rFonts w:ascii="宋体" w:hAnsi="宋体" w:cs="宋体"/>
                <w:sz w:val="21"/>
                <w:szCs w:val="21"/>
              </w:rPr>
            </w:pPr>
            <w:r>
              <w:rPr>
                <w:rFonts w:ascii="宋体" w:hAnsi="宋体" w:cs="宋体"/>
                <w:sz w:val="21"/>
                <w:szCs w:val="21"/>
              </w:rPr>
              <w:t>3.床架：横管采用25mm*50mm*1.0mm方形冷轧钢管和长25mm*宽25mm*厚1.0mm方形冷轧钢管制作，床头嵌入一块16mm优质三聚氰胺饰面实木多层板。床尾扶手采用长25mm*宽25mm*厚1.0mm方形冷轧钢管滚压制作。中间竖档采用φ19*厚1.0mm圆形冷轧钢管制作。床尾缺口尺寸：450mm-500mm。</w:t>
            </w:r>
          </w:p>
          <w:p>
            <w:pPr>
              <w:pStyle w:val="28"/>
              <w:spacing w:line="360" w:lineRule="exact"/>
              <w:ind w:firstLine="0" w:firstLineChars="0"/>
              <w:rPr>
                <w:rFonts w:ascii="宋体" w:hAnsi="宋体" w:cs="宋体"/>
                <w:sz w:val="21"/>
                <w:szCs w:val="21"/>
              </w:rPr>
            </w:pPr>
            <w:r>
              <w:rPr>
                <w:rFonts w:hAnsi="宋体"/>
                <w:b/>
                <w:bCs/>
                <w:sz w:val="24"/>
              </w:rPr>
              <w:t>★</w:t>
            </w:r>
            <w:r>
              <w:rPr>
                <w:rFonts w:ascii="宋体" w:hAnsi="宋体" w:cs="宋体"/>
                <w:sz w:val="21"/>
                <w:szCs w:val="21"/>
              </w:rPr>
              <w:t>4.前后护栏：采用长25mm*宽25mm*厚1.0mm方形冷轧钢管，前护栏高度要求床板离护栏上沿高350mm，护栏内部镶嵌一块18mm厚的优质三聚氰胺饰面实木多层板，带四个长腰形塑料观察口。护栏与立柱采用隐形卡件连接，外部看不到卡件孔与接缝。前护栏居中位置设有丝网印透明底校徽logo。前护栏靠床头右下角设学生信息卡槽。后护栏采用长20mm*宽20mm*厚1.0mm方形冷轧钢管制作，床板离护栏上沿高度≥170mm,护栏内部镶嵌一块16mm厚的优质三聚氰胺饰面实木多层板。应在护栏内侧相应位置标上床褥的最大厚度的永久性标记线，显示床褥上表面最大高度。</w:t>
            </w:r>
          </w:p>
          <w:p>
            <w:pPr>
              <w:pStyle w:val="28"/>
              <w:spacing w:line="360" w:lineRule="exact"/>
              <w:ind w:firstLine="0" w:firstLineChars="0"/>
              <w:rPr>
                <w:rFonts w:ascii="宋体" w:hAnsi="宋体" w:cs="宋体"/>
                <w:sz w:val="21"/>
                <w:szCs w:val="21"/>
              </w:rPr>
            </w:pPr>
            <w:r>
              <w:rPr>
                <w:rFonts w:ascii="宋体" w:hAnsi="宋体" w:cs="宋体"/>
                <w:sz w:val="21"/>
                <w:szCs w:val="21"/>
              </w:rPr>
              <w:t>5.实木床板：采用≥80mm宽*15mm厚的优质杉木条板，缝隙≤10mm，木板面平整，不变形，上下面抛光，板材应结巴少、无毛刺、无霉烂、含水量符合</w:t>
            </w:r>
            <w:r>
              <w:rPr>
                <w:rFonts w:cs="宋体"/>
                <w:sz w:val="21"/>
                <w:szCs w:val="21"/>
              </w:rPr>
              <w:t>GB18584-2024《室内装饰装修材料木家具中有害物质限量》、GB/T35601-2017《绿色产品评价 人造板和木质地板》、GB/T1927.4-2021《无小试样木材物理力学性质试验方法第4部分:含水率测定》</w:t>
            </w:r>
            <w:r>
              <w:rPr>
                <w:rFonts w:hint="default" w:ascii="Arial" w:hAnsi="Arial" w:cs="Arial"/>
                <w:sz w:val="21"/>
                <w:szCs w:val="21"/>
              </w:rPr>
              <w:t>≤</w:t>
            </w:r>
            <w:r>
              <w:rPr>
                <w:rFonts w:cs="宋体"/>
                <w:sz w:val="21"/>
                <w:szCs w:val="21"/>
              </w:rPr>
              <w:t>8%的</w:t>
            </w:r>
            <w:r>
              <w:rPr>
                <w:rFonts w:ascii="宋体" w:hAnsi="宋体" w:cs="宋体"/>
                <w:sz w:val="21"/>
                <w:szCs w:val="21"/>
              </w:rPr>
              <w:t>国家标准；床板平铺钉在四根≥高30mm*宽40mm的木档上。</w:t>
            </w:r>
          </w:p>
          <w:p>
            <w:pPr>
              <w:pStyle w:val="28"/>
              <w:spacing w:line="360" w:lineRule="exact"/>
              <w:ind w:firstLine="0" w:firstLineChars="0"/>
              <w:rPr>
                <w:rFonts w:ascii="宋体" w:hAnsi="宋体" w:cs="宋体"/>
                <w:sz w:val="21"/>
                <w:szCs w:val="21"/>
              </w:rPr>
            </w:pPr>
            <w:r>
              <w:rPr>
                <w:rFonts w:ascii="宋体" w:hAnsi="宋体" w:cs="宋体"/>
                <w:sz w:val="21"/>
                <w:szCs w:val="21"/>
              </w:rPr>
              <w:t>6.楼梯柜：</w:t>
            </w:r>
          </w:p>
          <w:p>
            <w:pPr>
              <w:pStyle w:val="28"/>
              <w:spacing w:line="360" w:lineRule="exact"/>
              <w:ind w:firstLine="404"/>
              <w:rPr>
                <w:rFonts w:ascii="宋体" w:hAnsi="宋体" w:cs="宋体"/>
                <w:sz w:val="21"/>
                <w:szCs w:val="21"/>
              </w:rPr>
            </w:pPr>
            <w:r>
              <w:rPr>
                <w:rFonts w:ascii="宋体" w:hAnsi="宋体" w:cs="宋体"/>
                <w:sz w:val="21"/>
                <w:szCs w:val="21"/>
              </w:rPr>
              <w:t>▲（1）采用16mm三聚氰胺饰面实木多层板制作，踏脚深度≥230mm，要求尺寸设计合理、兼顾储物功能且上下楼舒适，楼梯踏板前端装有铝合金装饰条，内嵌橡胶防滑条。内部加固框采用≥长20mm*宽20mm*厚1.0mm方形冷轧钢管制作，防潮底架采用≥宽20*高50*厚1.0mm的方形冷轧钢管制作，要求防潮架外延和床挺外延平齐。</w:t>
            </w:r>
          </w:p>
          <w:p>
            <w:pPr>
              <w:pStyle w:val="28"/>
              <w:spacing w:line="360" w:lineRule="exact"/>
              <w:ind w:firstLine="404"/>
              <w:rPr>
                <w:rFonts w:ascii="宋体" w:hAnsi="宋体" w:cs="宋体"/>
                <w:sz w:val="21"/>
                <w:szCs w:val="21"/>
              </w:rPr>
            </w:pPr>
            <w:r>
              <w:rPr>
                <w:rFonts w:ascii="宋体" w:hAnsi="宋体" w:cs="宋体"/>
                <w:sz w:val="21"/>
                <w:szCs w:val="21"/>
              </w:rPr>
              <w:t>（2）楼梯柜门采用侧开门设计，带有四个储物格，拉手选用≥3mm厚全铝合金材质打造，并采用复合环形内嵌式结构设计，拉手分上下盖两个部分。整体规格≥长120mm*宽45mm*厚20mm。</w:t>
            </w:r>
          </w:p>
          <w:p>
            <w:pPr>
              <w:pStyle w:val="28"/>
              <w:spacing w:line="360" w:lineRule="exact"/>
              <w:ind w:firstLine="0" w:firstLineChars="0"/>
              <w:rPr>
                <w:rFonts w:ascii="宋体" w:hAnsi="宋体" w:cs="宋体"/>
                <w:sz w:val="21"/>
                <w:szCs w:val="21"/>
              </w:rPr>
            </w:pPr>
            <w:r>
              <w:rPr>
                <w:rFonts w:ascii="宋体" w:hAnsi="宋体" w:cs="宋体"/>
                <w:sz w:val="21"/>
                <w:szCs w:val="21"/>
              </w:rPr>
              <w:t>7.蚊帐架：采用φ19*厚1.0mm圆形冷轧钢管制作，采用全新PP塑料件连接，塑料尺寸≥88mm*88mm*88mm。</w:t>
            </w:r>
          </w:p>
          <w:p>
            <w:pPr>
              <w:pStyle w:val="28"/>
              <w:spacing w:line="360" w:lineRule="exact"/>
              <w:ind w:firstLine="0" w:firstLineChars="0"/>
              <w:rPr>
                <w:rFonts w:ascii="宋体" w:hAnsi="宋体" w:cs="宋体"/>
                <w:sz w:val="21"/>
                <w:szCs w:val="21"/>
              </w:rPr>
            </w:pPr>
            <w:r>
              <w:rPr>
                <w:rFonts w:ascii="宋体" w:hAnsi="宋体" w:cs="宋体"/>
                <w:sz w:val="21"/>
                <w:szCs w:val="21"/>
              </w:rPr>
              <w:t>8.床下组合柜</w:t>
            </w:r>
          </w:p>
          <w:p>
            <w:pPr>
              <w:pStyle w:val="28"/>
              <w:spacing w:line="360" w:lineRule="exact"/>
              <w:ind w:firstLine="466"/>
              <w:rPr>
                <w:rFonts w:ascii="宋体" w:hAnsi="宋体" w:cs="宋体"/>
                <w:sz w:val="21"/>
                <w:szCs w:val="21"/>
              </w:rPr>
            </w:pPr>
            <w:r>
              <w:rPr>
                <w:rFonts w:hAnsi="宋体"/>
                <w:b/>
                <w:bCs/>
                <w:sz w:val="24"/>
              </w:rPr>
              <w:t>★</w:t>
            </w:r>
            <w:r>
              <w:rPr>
                <w:rFonts w:ascii="宋体" w:hAnsi="宋体" w:cs="宋体"/>
                <w:sz w:val="21"/>
                <w:szCs w:val="21"/>
              </w:rPr>
              <w:t>（1）衣柜：规格：≥宽730mm*深795mm*高1740mm.衣柜均采用16mm厚的优质三聚氰胺饰面实木多层板,露边处采用同色PVC封边条封边。要求衣柜柜门有防止变形的加固措施，衣柜防潮底架采用≥宽20mm*高50mm*厚1.0mm的方形冷轧钢管制作；衣柜内部分上下两部分，上部可堆叠衣物或棉被，下层靠后侧设有一层深≥300mm的层板，内设挂衣杆采用φ22mm*厚1.0mm不锈钢圆管制作。拉手采用采用铝塑复合材质制作，长条形握把式设计。柜门带有隐藏式锁扣，支持学生自行加装挂锁。要求拉手颜色搭配合理，尺寸与柜子协调。锁舌可设计成伸缩结构，有效避免碰撞风险，充分兼顾使用安全性与操作便利性。衣柜防潮底架采用≥宽20mm*高50mm*厚1.0mm的方形冷轧钢管制作。</w:t>
            </w:r>
          </w:p>
          <w:p>
            <w:pPr>
              <w:pStyle w:val="28"/>
              <w:spacing w:line="360" w:lineRule="exact"/>
              <w:ind w:firstLine="404"/>
              <w:rPr>
                <w:rFonts w:ascii="宋体" w:hAnsi="宋体" w:cs="宋体"/>
                <w:sz w:val="21"/>
                <w:szCs w:val="21"/>
              </w:rPr>
            </w:pPr>
            <w:r>
              <w:rPr>
                <w:rFonts w:ascii="宋体" w:hAnsi="宋体" w:cs="宋体"/>
                <w:sz w:val="21"/>
                <w:szCs w:val="21"/>
              </w:rPr>
              <w:t>（2）床下家具L形书桌整体规格：≥长1200mm*宽795mm*高1740mm，L形桌面采用25mm厚的优质三聚氰胺饰面实木多层板,其他板材采用16mm厚的优质三聚氰胺饰面实木多层板制作,露边处采用同色PVC封边条封边；桌面一侧带有一个储物格，层板采用长20mm*宽20mm*厚1.0mm方形冷轧钢管制作，底部可放鞋，上方可放行李箱；桌面上方为单层书架，书架下方带有加固钢管，采用长25mm*宽25mm*厚1.0mm方形冷轧钢管制作；书架下方靠墙一侧带有冲孔网板，采用240mm高*壁厚0.8mm冷轧钢板折弯而成。书桌面板靠墙一侧安装一个多媒体穿线孔（含盖）。书桌防潮底架采用≥宽20mm*高50mm*厚1.0mm的方形冷轧钢管制作。</w:t>
            </w:r>
          </w:p>
          <w:p>
            <w:pPr>
              <w:pStyle w:val="28"/>
              <w:spacing w:line="360" w:lineRule="exact"/>
              <w:ind w:firstLine="0" w:firstLineChars="0"/>
              <w:rPr>
                <w:rFonts w:ascii="宋体" w:hAnsi="宋体" w:cs="宋体"/>
                <w:sz w:val="21"/>
                <w:szCs w:val="21"/>
              </w:rPr>
            </w:pPr>
            <w:r>
              <w:rPr>
                <w:rFonts w:ascii="宋体" w:hAnsi="宋体" w:cs="宋体"/>
                <w:sz w:val="21"/>
                <w:szCs w:val="21"/>
              </w:rPr>
              <w:t>9.家具板材、冷轧钢材、五金件：</w:t>
            </w:r>
          </w:p>
          <w:p>
            <w:pPr>
              <w:pStyle w:val="28"/>
              <w:spacing w:line="360" w:lineRule="exact"/>
              <w:ind w:firstLine="404"/>
              <w:rPr>
                <w:rFonts w:ascii="宋体" w:hAnsi="宋体" w:cs="宋体"/>
                <w:sz w:val="21"/>
                <w:szCs w:val="21"/>
              </w:rPr>
            </w:pPr>
            <w:r>
              <w:rPr>
                <w:rFonts w:ascii="宋体" w:hAnsi="宋体" w:cs="宋体"/>
                <w:kern w:val="0"/>
                <w:sz w:val="21"/>
                <w:szCs w:val="21"/>
                <w:lang w:bidi="ar"/>
              </w:rPr>
              <w:t>★</w:t>
            </w:r>
            <w:r>
              <w:rPr>
                <w:rFonts w:ascii="宋体" w:hAnsi="宋体" w:cs="宋体"/>
                <w:sz w:val="21"/>
                <w:szCs w:val="21"/>
              </w:rPr>
              <w:t>（1）家具板材均采用优质三聚氰胺饰面实木多层板，要求符合GB/T 34722-2017《浸渍胶膜纸饰面胶合板和细木工板》：板材甲醛释放量≤0.05mg/m³，理化性能-胶合强度胶合板基材≥0.70；表面胶合强度 （MPa） ≥0.60MPa；耐龟裂达到 5级以上；所有三聚氰胺饰面实木多层板厚度偏差不得超过±1.0mm。品牌参照“优之树”“兔宝宝”“千年舟”“森鹿”等同类品牌。</w:t>
            </w:r>
          </w:p>
          <w:p>
            <w:pPr>
              <w:pStyle w:val="28"/>
              <w:spacing w:line="360" w:lineRule="exact"/>
              <w:ind w:firstLine="404"/>
              <w:rPr>
                <w:rFonts w:ascii="宋体" w:hAnsi="宋体" w:cs="宋体"/>
                <w:sz w:val="21"/>
                <w:szCs w:val="21"/>
              </w:rPr>
            </w:pPr>
            <w:r>
              <w:rPr>
                <w:rFonts w:ascii="宋体" w:hAnsi="宋体" w:cs="宋体"/>
                <w:kern w:val="0"/>
                <w:sz w:val="21"/>
                <w:szCs w:val="21"/>
                <w:lang w:bidi="ar"/>
              </w:rPr>
              <w:t>★</w:t>
            </w:r>
            <w:r>
              <w:rPr>
                <w:rFonts w:ascii="宋体" w:hAnsi="宋体" w:cs="宋体"/>
                <w:sz w:val="21"/>
                <w:szCs w:val="21"/>
              </w:rPr>
              <w:t>（2）所用钢材均采用优质冷轧钢材,依据GB/T 228.1-2021《金属材料 拉伸试验 第1部分:室温试验方法》拉伸试验：屈服强度≥300MPa；抗拉强度抗拉强度Rm≥400MPa；依据QB/T 3826-1999抗盐雾≥380h，GB/T3325-2024《金属家具通用技术条件》判定依据；QB/T 1951.2-2013《金属家具 质量检验及质量评定》金属喷涂层硬度≥H；冲击强度、冲击高度 400mm，应无剥落、裂纹、皱纹；附着力不应低于 2 级。</w:t>
            </w:r>
          </w:p>
          <w:p>
            <w:pPr>
              <w:pStyle w:val="28"/>
              <w:spacing w:line="360" w:lineRule="exact"/>
              <w:ind w:firstLine="404"/>
              <w:rPr>
                <w:rFonts w:ascii="宋体" w:hAnsi="宋体" w:cs="宋体"/>
                <w:sz w:val="21"/>
                <w:szCs w:val="21"/>
              </w:rPr>
            </w:pPr>
            <w:r>
              <w:rPr>
                <w:rFonts w:ascii="宋体" w:hAnsi="宋体" w:cs="宋体"/>
                <w:sz w:val="21"/>
                <w:szCs w:val="21"/>
              </w:rPr>
              <w:t xml:space="preserve">（3）所用五金件品牌参照“DTC”“美顿”“德昌”“东悍”等同类品质品牌。铰链、轨道带有阻尼功能。          </w:t>
            </w:r>
          </w:p>
          <w:p>
            <w:pPr>
              <w:pStyle w:val="28"/>
              <w:spacing w:line="360" w:lineRule="exact"/>
              <w:ind w:firstLine="0" w:firstLineChars="0"/>
              <w:rPr>
                <w:rFonts w:ascii="宋体" w:hAnsi="宋体" w:cs="宋体"/>
                <w:sz w:val="21"/>
                <w:szCs w:val="21"/>
              </w:rPr>
            </w:pPr>
            <w:r>
              <w:rPr>
                <w:rFonts w:ascii="宋体" w:hAnsi="宋体" w:cs="宋体"/>
                <w:sz w:val="21"/>
                <w:szCs w:val="21"/>
              </w:rPr>
              <w:t>10.工艺要求：封边条厚度≥1.2 mm，封边处应无脱胶、鼓泡、透胶、露底；整件产品色泽应相似，涂层不得有皱皮、发粘和漏漆现象。正视面（包括面板）应平整光滑、清晰，应无明显木孔沉陷，其他部位表面手感应光滑，无明显粒子、涨边和不平整；所有冷轧钢管必须做到焊接平整、无虚焊、无明显焊疤、焊接处需打磨光滑；所有冷轧钢管必须做到酸洗磷化或硅烷或抛丸等处理，静电喷塑、高温烘烤。</w:t>
            </w:r>
          </w:p>
          <w:p>
            <w:pPr>
              <w:wordWrap w:val="0"/>
              <w:spacing w:line="360" w:lineRule="exact"/>
              <w:jc w:val="left"/>
              <w:rPr>
                <w:rFonts w:hint="eastAsia" w:ascii="宋体" w:hAnsi="宋体" w:cs="宋体"/>
                <w:sz w:val="21"/>
                <w:szCs w:val="21"/>
              </w:rPr>
            </w:pPr>
            <w:r>
              <w:rPr>
                <w:rFonts w:hint="eastAsia" w:ascii="宋体" w:hAnsi="宋体" w:cs="宋体"/>
                <w:sz w:val="21"/>
                <w:szCs w:val="21"/>
              </w:rPr>
              <w:t>11.检测报告：所有材料均符合国家标准要求，并须提供以下检测报告（提供带有CMA标志的有效期内的检测报告复印件并加盖公章，原件备查）：</w:t>
            </w:r>
          </w:p>
          <w:p>
            <w:pPr>
              <w:widowControl/>
              <w:ind w:firstLine="420" w:firstLineChars="200"/>
              <w:jc w:val="left"/>
              <w:rPr>
                <w:rFonts w:hint="eastAsia" w:ascii="宋体" w:hAnsi="宋体" w:cs="宋体"/>
                <w:sz w:val="21"/>
                <w:szCs w:val="21"/>
              </w:rPr>
            </w:pPr>
            <w:r>
              <w:rPr>
                <w:rFonts w:hint="eastAsia" w:ascii="宋体" w:hAnsi="宋体" w:cs="宋体"/>
                <w:kern w:val="0"/>
                <w:sz w:val="21"/>
                <w:szCs w:val="21"/>
                <w:lang w:bidi="ar"/>
              </w:rPr>
              <w:t>★</w:t>
            </w:r>
            <w:r>
              <w:rPr>
                <w:rFonts w:hint="eastAsia" w:ascii="宋体" w:hAnsi="宋体" w:cs="宋体"/>
                <w:sz w:val="21"/>
                <w:szCs w:val="21"/>
              </w:rPr>
              <w:t>（1）钢管：依据相关检测标准，检测报告需符合①QB/T 3826-1999抗盐雾≥380h；②QB/T4371-2012的抑菌率不小于99%；③</w:t>
            </w:r>
            <w:r>
              <w:rPr>
                <w:rFonts w:hint="eastAsia" w:ascii="宋体" w:hAnsi="宋体" w:cs="宋体"/>
                <w:kern w:val="0"/>
                <w:sz w:val="21"/>
                <w:szCs w:val="21"/>
                <w:lang w:bidi="ar"/>
              </w:rPr>
              <w:t>QB/T 1951.2-2013《金属家具 质量检验及质量评定》涂层硬度≥H</w:t>
            </w:r>
            <w:r>
              <w:rPr>
                <w:rFonts w:hint="eastAsia" w:ascii="宋体" w:hAnsi="宋体" w:cs="宋体"/>
                <w:sz w:val="21"/>
                <w:szCs w:val="21"/>
              </w:rPr>
              <w:t>，</w:t>
            </w:r>
            <w:r>
              <w:rPr>
                <w:rFonts w:hint="eastAsia" w:ascii="宋体" w:hAnsi="宋体" w:cs="宋体"/>
                <w:kern w:val="0"/>
                <w:sz w:val="21"/>
                <w:szCs w:val="21"/>
                <w:lang w:bidi="ar"/>
              </w:rPr>
              <w:t>冲击强度、 冲击高度 400mm，应无剥落、裂纹、皱</w:t>
            </w:r>
            <w:r>
              <w:rPr>
                <w:rFonts w:hint="eastAsia" w:ascii="宋体" w:hAnsi="宋体" w:cs="宋体"/>
                <w:sz w:val="21"/>
                <w:szCs w:val="21"/>
              </w:rPr>
              <w:t>，</w:t>
            </w:r>
            <w:r>
              <w:rPr>
                <w:rFonts w:hint="eastAsia" w:ascii="宋体" w:hAnsi="宋体" w:cs="宋体"/>
                <w:kern w:val="0"/>
                <w:sz w:val="21"/>
                <w:szCs w:val="21"/>
                <w:lang w:bidi="ar"/>
              </w:rPr>
              <w:t>附着力 （级）不应低于 2 级</w:t>
            </w:r>
            <w:r>
              <w:rPr>
                <w:rFonts w:hint="eastAsia" w:ascii="宋体" w:hAnsi="宋体" w:cs="宋体"/>
                <w:sz w:val="21"/>
                <w:szCs w:val="21"/>
              </w:rPr>
              <w:t>；④</w:t>
            </w:r>
            <w:r>
              <w:rPr>
                <w:rFonts w:hint="eastAsia" w:ascii="宋体" w:hAnsi="宋体" w:cs="宋体"/>
                <w:kern w:val="0"/>
                <w:sz w:val="21"/>
                <w:szCs w:val="21"/>
                <w:lang w:bidi="ar"/>
              </w:rPr>
              <w:t>GB 20286-2006《公共场所阻燃制品及组件燃烧性能要求和标识》阻燃1级</w:t>
            </w:r>
            <w:r>
              <w:rPr>
                <w:rFonts w:hint="eastAsia" w:ascii="宋体" w:hAnsi="宋体" w:cs="宋体"/>
                <w:sz w:val="21"/>
                <w:szCs w:val="21"/>
              </w:rPr>
              <w:t>；⑤</w:t>
            </w:r>
            <w:r>
              <w:rPr>
                <w:rFonts w:hint="eastAsia" w:ascii="宋体" w:hAnsi="宋体" w:cs="宋体"/>
                <w:kern w:val="0"/>
                <w:sz w:val="21"/>
                <w:szCs w:val="21"/>
                <w:lang w:bidi="ar"/>
              </w:rPr>
              <w:t>GB 8624-2012《建筑材料及制品燃烧性能分级》B1级</w:t>
            </w:r>
            <w:r>
              <w:rPr>
                <w:rFonts w:hint="eastAsia" w:ascii="宋体" w:hAnsi="宋体" w:cs="宋体"/>
                <w:sz w:val="21"/>
                <w:szCs w:val="21"/>
              </w:rPr>
              <w:t>；⑥</w:t>
            </w:r>
            <w:r>
              <w:rPr>
                <w:rFonts w:hint="eastAsia" w:ascii="宋体" w:hAnsi="宋体" w:cs="宋体"/>
                <w:kern w:val="0"/>
                <w:sz w:val="21"/>
                <w:szCs w:val="21"/>
                <w:lang w:bidi="ar"/>
              </w:rPr>
              <w:t>4371-2012《家具抗菌性能的评价》抑菌率不小于 99%</w:t>
            </w:r>
            <w:r>
              <w:rPr>
                <w:rFonts w:hint="eastAsia" w:ascii="宋体" w:hAnsi="宋体" w:cs="宋体"/>
                <w:sz w:val="21"/>
                <w:szCs w:val="21"/>
              </w:rPr>
              <w:t>；⑦产烟毒性危险分级达到GB/T 20285—2006中的ZA2级或更优级别；⑧JC/T 2039-2010防霉等级达到1级或更优级别。检测报告和检测标准满足4项及以上且没有分包检测的为有效检测报告。</w:t>
            </w:r>
          </w:p>
          <w:p>
            <w:pPr>
              <w:wordWrap w:val="0"/>
              <w:spacing w:line="360" w:lineRule="exact"/>
              <w:ind w:firstLine="420" w:firstLineChars="200"/>
              <w:jc w:val="left"/>
              <w:rPr>
                <w:rFonts w:hint="eastAsia" w:ascii="宋体" w:hAnsi="宋体" w:cs="宋体"/>
                <w:sz w:val="21"/>
                <w:szCs w:val="21"/>
              </w:rPr>
            </w:pPr>
            <w:r>
              <w:rPr>
                <w:rFonts w:hint="eastAsia" w:ascii="宋体" w:hAnsi="宋体" w:cs="宋体"/>
                <w:kern w:val="0"/>
                <w:sz w:val="21"/>
                <w:szCs w:val="21"/>
                <w:lang w:bidi="ar"/>
              </w:rPr>
              <w:t>★</w:t>
            </w:r>
            <w:r>
              <w:rPr>
                <w:rFonts w:hint="eastAsia" w:ascii="宋体" w:hAnsi="宋体" w:cs="宋体"/>
                <w:sz w:val="21"/>
                <w:szCs w:val="21"/>
              </w:rPr>
              <w:t>（2）公寓床:依据相关检测标准，检测报告需符合①GB/T35607-2024《绿色产品评价 家具》全项；②QB/T2741—2013《学生公寓多功能家具》全项；③QB/T 3826-1999《轻工产品金属镀层和化学处理层的耐腐蚀试验方法中性盐雾试验(NSS)法》抗盐雾≥380h；④GB/T 32487-2016《塑料家具通用技术条件》有害物质，塑料件耐老化380h；⑤GB20286—2006《公共场所阻燃制品及组件燃烧性能要求和标识》阻燃1级；⑥GB8624—2012《建筑材料及制品燃烧性能分级》B1级；⑦QB/T4371—2012《家具抗菌性能的评价》抑菌不小于99%；⑧产烟毒性危险分级达到GB/T 20285—2006《材料产烟毒性危险分级》中的ZA2级或更优级别；⑨JC/T 2039-2010《抗菌防霉木质装饰板》 防霉等级达到1级或更优级别。检测报告和检测标准满足5个及以上项目且没有分包检测的为有效检测报告。</w:t>
            </w:r>
          </w:p>
          <w:p>
            <w:pPr>
              <w:wordWrap w:val="0"/>
              <w:spacing w:line="360" w:lineRule="exact"/>
              <w:ind w:firstLine="420" w:firstLineChars="200"/>
              <w:jc w:val="left"/>
              <w:rPr>
                <w:rFonts w:hint="eastAsia" w:ascii="宋体" w:hAnsi="宋体" w:cs="宋体"/>
                <w:sz w:val="21"/>
                <w:szCs w:val="21"/>
              </w:rPr>
            </w:pPr>
            <w:r>
              <w:rPr>
                <w:rFonts w:hint="eastAsia" w:ascii="宋体" w:hAnsi="宋体" w:cs="宋体"/>
                <w:kern w:val="0"/>
                <w:sz w:val="21"/>
                <w:szCs w:val="21"/>
                <w:lang w:bidi="ar"/>
              </w:rPr>
              <w:t>★</w:t>
            </w:r>
            <w:r>
              <w:rPr>
                <w:rFonts w:hint="eastAsia" w:ascii="宋体" w:hAnsi="宋体" w:cs="宋体"/>
                <w:sz w:val="21"/>
                <w:szCs w:val="21"/>
              </w:rPr>
              <w:t>（3）三聚氰胺饰面实木多层板：依据相关检测标准，检测报告需符合①GB/T 18101-2024阻燃B1-C级；②QB/T4371-2012抑菌率不小于99%；③GB20285-2006产烟毒性危险分级达到ZA2级或更优级别；④GB/T 34722-2017理化性能-胶合强度胶合板基材≥0.70，表面胶合强度 （MPa） ≥0.60MPa，耐龟裂达到5 级，甲醛释放限量≤0.050mg/m³；⑤JC/T 2039-2010防霉等级达到1级或更优级别。检测报告和检测标准满足3个以及上项目且没有分包检测的为有效检测报告。</w:t>
            </w:r>
          </w:p>
          <w:p>
            <w:pPr>
              <w:spacing w:line="360" w:lineRule="exact"/>
              <w:rPr>
                <w:rFonts w:cs="宋体"/>
              </w:rPr>
            </w:pPr>
            <w:r>
              <w:rPr>
                <w:rFonts w:hint="eastAsia" w:ascii="宋体" w:hAnsi="宋体" w:cs="宋体"/>
                <w:sz w:val="21"/>
                <w:szCs w:val="21"/>
              </w:rPr>
              <w:t>12.家具颜色： 主色：原木纹色，配色：抹茶绿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837" w:type="dxa"/>
            <w:vAlign w:val="center"/>
          </w:tcPr>
          <w:p>
            <w:pPr>
              <w:pStyle w:val="15"/>
              <w:snapToGrid w:val="0"/>
              <w:spacing w:before="197" w:after="197" w:line="300" w:lineRule="exact"/>
              <w:jc w:val="center"/>
              <w:outlineLvl w:val="0"/>
              <w:rPr>
                <w:rFonts w:ascii="Times New Roman" w:hAnsi="Times New Roman" w:cs="宋体"/>
              </w:rPr>
            </w:pPr>
            <w:r>
              <w:rPr>
                <w:rFonts w:hint="eastAsia" w:hAnsi="宋体" w:cs="宋体"/>
              </w:rPr>
              <w:t>2</w:t>
            </w:r>
          </w:p>
        </w:tc>
        <w:tc>
          <w:tcPr>
            <w:tcW w:w="2440" w:type="dxa"/>
            <w:vAlign w:val="center"/>
          </w:tcPr>
          <w:p>
            <w:pPr>
              <w:pStyle w:val="9"/>
              <w:rPr>
                <w:rFonts w:cs="宋体"/>
              </w:rPr>
            </w:pPr>
            <w:r>
              <w:rPr>
                <w:rFonts w:hint="eastAsia" w:ascii="宋体" w:hAnsi="宋体" w:cs="宋体"/>
                <w:kern w:val="0"/>
                <w:sz w:val="21"/>
                <w:szCs w:val="21"/>
                <w:lang w:bidi="ar"/>
              </w:rPr>
              <w:t>中高床公寓组合家具(单人中高公寓床+书桌A)</w:t>
            </w:r>
            <w:r>
              <w:rPr>
                <w:rFonts w:hint="eastAsia" w:ascii="宋体" w:hAnsi="宋体" w:cs="宋体"/>
                <w:sz w:val="21"/>
                <w:szCs w:val="21"/>
              </w:rPr>
              <w:t>具体尺寸以现场实际测量为准，如遇部分特殊房型，则规格根据现场测量情况做合理化调整</w:t>
            </w:r>
          </w:p>
        </w:tc>
        <w:tc>
          <w:tcPr>
            <w:tcW w:w="4074" w:type="dxa"/>
            <w:vAlign w:val="center"/>
          </w:tcPr>
          <w:p>
            <w:pPr>
              <w:widowControl/>
              <w:jc w:val="center"/>
              <w:textAlignment w:val="center"/>
            </w:pPr>
            <w:r>
              <w:drawing>
                <wp:inline distT="0" distB="0" distL="114300" distR="114300">
                  <wp:extent cx="2076450" cy="2462530"/>
                  <wp:effectExtent l="0" t="0" r="6350" b="1270"/>
                  <wp:docPr id="29" name="图片 21" descr="4a040584d9b48bc632c1bd83923b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4a040584d9b48bc632c1bd83923b38b"/>
                          <pic:cNvPicPr>
                            <a:picLocks noChangeAspect="1"/>
                          </pic:cNvPicPr>
                        </pic:nvPicPr>
                        <pic:blipFill>
                          <a:blip r:embed="rId18"/>
                          <a:stretch>
                            <a:fillRect/>
                          </a:stretch>
                        </pic:blipFill>
                        <pic:spPr>
                          <a:xfrm>
                            <a:off x="0" y="0"/>
                            <a:ext cx="2076450" cy="2462530"/>
                          </a:xfrm>
                          <a:prstGeom prst="rect">
                            <a:avLst/>
                          </a:prstGeom>
                          <a:noFill/>
                          <a:ln>
                            <a:noFill/>
                          </a:ln>
                        </pic:spPr>
                      </pic:pic>
                    </a:graphicData>
                  </a:graphic>
                </wp:inline>
              </w:drawing>
            </w:r>
          </w:p>
          <w:p>
            <w:pPr>
              <w:pStyle w:val="11"/>
              <w:ind w:firstLine="1222" w:firstLineChars="605"/>
              <w:rPr>
                <w:rFonts w:hint="default"/>
              </w:rPr>
            </w:pPr>
            <w:r>
              <w:rPr>
                <w:rFonts w:hAnsi="宋体" w:cs="宋体"/>
                <w:kern w:val="0"/>
                <w:sz w:val="21"/>
                <w:szCs w:val="21"/>
                <w:lang w:bidi="ar"/>
              </w:rPr>
              <w:t>单人中高公寓床</w:t>
            </w:r>
          </w:p>
          <w:p>
            <w:pPr>
              <w:pStyle w:val="11"/>
              <w:rPr>
                <w:rFonts w:hint="default"/>
              </w:rPr>
            </w:pPr>
            <w:r>
              <w:rPr>
                <w:rFonts w:hAnsi="宋体" w:cs="宋体"/>
              </w:rPr>
              <w:drawing>
                <wp:inline distT="0" distB="0" distL="114300" distR="114300">
                  <wp:extent cx="1869440" cy="2598420"/>
                  <wp:effectExtent l="0" t="0" r="10160" b="5080"/>
                  <wp:docPr id="30" name="图片 31" descr="书桌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书桌A B"/>
                          <pic:cNvPicPr>
                            <a:picLocks noChangeAspect="1"/>
                          </pic:cNvPicPr>
                        </pic:nvPicPr>
                        <pic:blipFill>
                          <a:blip r:embed="rId19"/>
                          <a:stretch>
                            <a:fillRect/>
                          </a:stretch>
                        </pic:blipFill>
                        <pic:spPr>
                          <a:xfrm>
                            <a:off x="0" y="0"/>
                            <a:ext cx="1869440" cy="2598420"/>
                          </a:xfrm>
                          <a:prstGeom prst="rect">
                            <a:avLst/>
                          </a:prstGeom>
                          <a:noFill/>
                          <a:ln>
                            <a:noFill/>
                          </a:ln>
                        </pic:spPr>
                      </pic:pic>
                    </a:graphicData>
                  </a:graphic>
                </wp:inline>
              </w:drawing>
            </w:r>
          </w:p>
          <w:p>
            <w:pPr>
              <w:pStyle w:val="28"/>
              <w:ind w:firstLine="1616" w:firstLineChars="800"/>
              <w:rPr>
                <w:rFonts w:hint="default"/>
              </w:rPr>
            </w:pPr>
            <w:r>
              <w:rPr>
                <w:rFonts w:ascii="宋体" w:hAnsi="宋体" w:cs="宋体"/>
                <w:kern w:val="0"/>
                <w:sz w:val="21"/>
                <w:szCs w:val="21"/>
                <w:lang w:bidi="ar"/>
              </w:rPr>
              <w:t>书桌A</w:t>
            </w:r>
          </w:p>
        </w:tc>
        <w:tc>
          <w:tcPr>
            <w:tcW w:w="7265" w:type="dxa"/>
            <w:vAlign w:val="center"/>
          </w:tcPr>
          <w:p>
            <w:pPr>
              <w:pStyle w:val="15"/>
              <w:numPr>
                <w:ilvl w:val="0"/>
                <w:numId w:val="6"/>
              </w:numPr>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单人中高公寓床：</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整体尺寸：长2000mm*宽900mm*高2200mm</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▲1.立柱：壁厚≥1.2mm异型闭口冷轧钢管。钢管周长≥230mm，立柱正面一侧设圆弧勾角，要求组合柜与床立柱之间合缝、平整，使整体更美观。侧面设有整体安全圆弧。</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2.床挺：</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▲（1）壁厚≥1.2mm异型闭口冷轧钢管，钢管周长≥250mm，管材底部设有整体安全圆弧，钢管上端两侧设有≥45mm*20mm台阶，一侧放置前护栏封板，另一侧放置床板。</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（2）每铺增加3根长25mm*宽25mm*厚1.0mm方形冷轧钢管横档连接加固。</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3.床架：横管采用≥高25mm*宽50mm*厚1.0mm方形冷轧钢管和长25*宽25*厚1.0mm方形冷轧钢管制作，床头嵌入一块厚16mm优质三聚氰胺饰面实木多层板。</w:t>
            </w:r>
          </w:p>
          <w:p>
            <w:pPr>
              <w:pStyle w:val="28"/>
              <w:spacing w:line="360" w:lineRule="exact"/>
              <w:ind w:firstLine="0" w:firstLineChars="0"/>
              <w:rPr>
                <w:rFonts w:hAnsi="宋体" w:cs="宋体"/>
                <w:kern w:val="0"/>
                <w:sz w:val="21"/>
                <w:szCs w:val="21"/>
                <w:lang w:bidi="ar"/>
              </w:rPr>
            </w:pPr>
            <w:r>
              <w:rPr>
                <w:rFonts w:hAnsi="宋体"/>
                <w:b/>
                <w:bCs/>
                <w:sz w:val="24"/>
              </w:rPr>
              <w:t>★</w:t>
            </w:r>
            <w:r>
              <w:rPr>
                <w:rFonts w:hAnsi="宋体" w:cs="宋体"/>
                <w:kern w:val="0"/>
                <w:sz w:val="21"/>
                <w:szCs w:val="21"/>
                <w:lang w:bidi="ar"/>
              </w:rPr>
              <w:t>4.前后护栏：前护栏采用长25mm*宽25mm*1.0mm方形冷轧钢管，前护栏高度要求床板离前护栏上沿高350mm，护栏内部镶嵌两块颜色不同的16mm厚的优质三聚氰胺饰实木多层板，上下形成拼色，两板之间带有一个观察口。护栏与立柱采用隐形卡件连接，外部看不到卡件孔与接缝。前护栏靠爬梯位置设有丝网印透明底校徽logo。前护栏靠床头右下角设有学生信息卡槽。后护栏采用长20mm*宽20mm*厚1.0mm方形冷轧钢管制作，床板离护栏上沿高度≥170mm,护栏内部镶嵌一块16mm厚的优质三聚氰胺饰面实木多层板。</w:t>
            </w:r>
            <w:r>
              <w:rPr>
                <w:rFonts w:ascii="宋体" w:hAnsi="宋体" w:cs="宋体"/>
                <w:sz w:val="21"/>
                <w:szCs w:val="21"/>
              </w:rPr>
              <w:t>应在护栏内侧相应位置标上床褥的最大厚度的永久性标记线，显示床褥上表面最大高度。</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5.实木床板：采用≥80mm宽*15mm厚的优质杉木条板，缝隙≤10mm，木板面平整，不变形，上下面抛光，板材应结巴少、无霉烂、含水量符合</w:t>
            </w:r>
            <w:r>
              <w:rPr>
                <w:rFonts w:hint="eastAsia" w:ascii="Times New Roman" w:hAnsi="Times New Roman" w:cs="宋体"/>
                <w:sz w:val="21"/>
                <w:szCs w:val="21"/>
              </w:rPr>
              <w:t>GB18584-2024《室内装饰装修材料木家具中有害物质限量》、GB/T35601-2017《绿色产品评价 人造板和木质地板》、GB/T1927.4-2021《无小试样木材物理力学性质试验方法第4部分:含水率测定》</w:t>
            </w:r>
            <w:r>
              <w:rPr>
                <w:rFonts w:ascii="Arial" w:hAnsi="Arial" w:cs="Arial"/>
                <w:sz w:val="21"/>
                <w:szCs w:val="21"/>
              </w:rPr>
              <w:t>≤</w:t>
            </w:r>
            <w:r>
              <w:rPr>
                <w:rFonts w:hint="eastAsia" w:cs="宋体"/>
                <w:sz w:val="21"/>
                <w:szCs w:val="21"/>
              </w:rPr>
              <w:t>8%的</w:t>
            </w:r>
            <w:r>
              <w:rPr>
                <w:rFonts w:hAnsi="宋体" w:cs="宋体"/>
                <w:sz w:val="21"/>
                <w:szCs w:val="21"/>
              </w:rPr>
              <w:t>国家标准</w:t>
            </w:r>
            <w:r>
              <w:rPr>
                <w:rFonts w:hint="eastAsia" w:hAnsi="宋体" w:cs="宋体"/>
                <w:kern w:val="0"/>
                <w:sz w:val="21"/>
                <w:szCs w:val="21"/>
                <w:lang w:bidi="ar"/>
              </w:rPr>
              <w:t xml:space="preserve">；床板平铺钉在四根≥高30mm*宽40mm的木档上。                       </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6.蚊帐架：采用φ19*1.0mm圆形冷轧钢管制作，采用全新PP塑料件连接，塑料尺寸≥88mm*88mm*88mm。</w:t>
            </w:r>
          </w:p>
          <w:p>
            <w:pPr>
              <w:pStyle w:val="15"/>
              <w:snapToGrid w:val="0"/>
              <w:spacing w:beforeLines="0" w:afterLines="0" w:line="360" w:lineRule="exact"/>
              <w:outlineLvl w:val="0"/>
              <w:rPr>
                <w:rFonts w:hint="eastAsia" w:hAnsi="宋体" w:cs="宋体"/>
                <w:kern w:val="0"/>
                <w:sz w:val="21"/>
                <w:szCs w:val="21"/>
                <w:lang w:bidi="ar"/>
              </w:rPr>
            </w:pPr>
            <w:r>
              <w:rPr>
                <w:rFonts w:hAnsi="宋体"/>
                <w:b/>
                <w:bCs/>
              </w:rPr>
              <w:t>★</w:t>
            </w:r>
            <w:r>
              <w:rPr>
                <w:rFonts w:hint="eastAsia" w:hAnsi="宋体" w:cs="宋体"/>
                <w:kern w:val="0"/>
                <w:sz w:val="21"/>
                <w:szCs w:val="21"/>
                <w:lang w:bidi="ar"/>
              </w:rPr>
              <w:t>7.爬梯：主管采用≥宽25*长40*厚1.0mm 异型闭口管材制作，爬梯踏板规格：≥长360mm*135宽mm*厚35mm。爬梯踏板采用全新PP塑料制作，踏板上方带有斜坡凹槽，凹槽内部设有多条凸起的防滑条。并在踏板上镶嵌宽度≥14mm的夜光条，便于夜间使用。爬梯缺口宽度需符合国家标准：500mm-600mm。所有单人中高床爬梯均设计在靠阳台门一侧。</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8.床下储物柜：储物柜均采用16mm厚的优质三聚氰胺饰面实木多层板制作,露边处采用同色PVC封边条封边，储物柜防潮底架采用≥宽20mm*高50mm*厚1.0mm方形冷轧钢管制作；柜门拉手选用厚≥3mm全铝合金材质打造，并采用复合环形内嵌式结构设计，拉手分上下盖两个部分。整体规格≥长120mm*宽45mm*厚20mm。一侧柜门可内置挂锁，支持学生自行加装挂锁，锁舌材质厚2mm冷轧钢板。</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9.家具板材、冷轧钢材、五金件：</w:t>
            </w:r>
          </w:p>
          <w:p>
            <w:pPr>
              <w:pStyle w:val="15"/>
              <w:snapToGrid w:val="0"/>
              <w:spacing w:beforeLines="0" w:afterLines="0" w:line="360" w:lineRule="exact"/>
              <w:ind w:firstLine="482" w:firstLineChars="200"/>
              <w:outlineLvl w:val="0"/>
              <w:rPr>
                <w:rFonts w:hint="eastAsia" w:hAnsi="宋体" w:cs="宋体"/>
                <w:kern w:val="2"/>
                <w:sz w:val="21"/>
                <w:szCs w:val="21"/>
                <w:lang w:bidi="ar-SA"/>
              </w:rPr>
            </w:pPr>
            <w:r>
              <w:rPr>
                <w:rFonts w:hAnsi="宋体"/>
                <w:b/>
                <w:bCs/>
              </w:rPr>
              <w:t>★</w:t>
            </w:r>
            <w:r>
              <w:rPr>
                <w:rFonts w:hint="eastAsia" w:hAnsi="宋体" w:cs="宋体"/>
                <w:kern w:val="0"/>
                <w:sz w:val="21"/>
                <w:szCs w:val="21"/>
                <w:lang w:bidi="ar"/>
              </w:rPr>
              <w:t>（1）</w:t>
            </w:r>
            <w:r>
              <w:rPr>
                <w:rFonts w:hint="eastAsia" w:hAnsi="宋体" w:cs="宋体"/>
                <w:sz w:val="21"/>
                <w:szCs w:val="21"/>
              </w:rPr>
              <w:t>家具板材均采用优质三聚氰胺饰面实木多层板，要求符合GB/T 34722-2017《浸渍胶膜纸饰面胶合板和细木工板》：板材甲醛释放量≤0.05mg/m³，理化性能-胶合强度胶合板基材≥0.70；表面胶合强度 （MPa） ≥0.60MPa；耐龟裂达到 5 级以上；所有三聚氰胺饰面实木多层板厚度偏差不得超过±1.0mm。品牌参照“优之树”“兔宝宝”“千年舟”“森鹿”等同类品牌。</w:t>
            </w:r>
          </w:p>
          <w:p>
            <w:pPr>
              <w:pStyle w:val="28"/>
              <w:spacing w:line="360" w:lineRule="exact"/>
              <w:ind w:firstLine="404"/>
              <w:rPr>
                <w:rFonts w:ascii="宋体" w:hAnsi="宋体" w:cs="宋体"/>
                <w:sz w:val="21"/>
                <w:szCs w:val="21"/>
              </w:rPr>
            </w:pPr>
            <w:r>
              <w:rPr>
                <w:rFonts w:ascii="宋体" w:hAnsi="宋体" w:cs="宋体"/>
                <w:kern w:val="0"/>
                <w:sz w:val="21"/>
                <w:szCs w:val="21"/>
                <w:lang w:bidi="ar"/>
              </w:rPr>
              <w:t>★</w:t>
            </w:r>
            <w:r>
              <w:rPr>
                <w:rFonts w:ascii="宋体" w:hAnsi="宋体" w:cs="宋体"/>
                <w:sz w:val="21"/>
                <w:szCs w:val="21"/>
              </w:rPr>
              <w:t>（2）所用钢材均采用优质冷轧钢材,依据GB/T 228.1-2021《金属材料 拉伸试验 第1部分:室温试验方法》拉伸试验：屈服强度≥300MPa；抗拉强度抗拉强度Rm≥400MPa；依据QB/T 3826-1999抗盐雾≥380h，GB/T3325-2024《金属家具通用技术条件》判定依据；QB/T 1951.2-2013《金属家具 质量检验及质量评定》金属喷涂层硬度≥H；冲击强度、冲击高度 400mm，应无剥落、裂纹、皱纹；附着力不应低于 2 级。</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（3）所用五金件品牌参照“DTC”“美顿”“德昌”“东悍”等同类品质品牌。铰链、轨道带有阻尼功能。</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10.工艺要求：</w:t>
            </w:r>
            <w:r>
              <w:rPr>
                <w:rFonts w:hint="eastAsia" w:hAnsi="宋体" w:cs="宋体"/>
                <w:sz w:val="21"/>
                <w:szCs w:val="21"/>
              </w:rPr>
              <w:t>封边条厚度≥1.2 mm，</w:t>
            </w:r>
            <w:r>
              <w:rPr>
                <w:rFonts w:hint="eastAsia" w:hAnsi="宋体" w:cs="宋体"/>
                <w:kern w:val="0"/>
                <w:sz w:val="21"/>
                <w:szCs w:val="21"/>
                <w:lang w:bidi="ar"/>
              </w:rPr>
              <w:t>封边处应无脱胶、鼓泡、透胶、露底；整件产品色泽应相似，涂层不得有皱皮、发粘和漏漆现象。正视面（包括面板）应平整光滑、清晰，应无明显木孔沉陷，其他部位表面手感应光滑，无明显粒子、涨边和不平整；所有</w:t>
            </w:r>
            <w:r>
              <w:rPr>
                <w:rFonts w:hint="eastAsia" w:hAnsi="宋体" w:cs="宋体"/>
                <w:sz w:val="21"/>
                <w:szCs w:val="21"/>
              </w:rPr>
              <w:t>冷轧钢管</w:t>
            </w:r>
            <w:r>
              <w:rPr>
                <w:rFonts w:hint="eastAsia" w:hAnsi="宋体" w:cs="宋体"/>
                <w:kern w:val="0"/>
                <w:sz w:val="21"/>
                <w:szCs w:val="21"/>
                <w:lang w:bidi="ar"/>
              </w:rPr>
              <w:t>必须做到焊接平整、无虚焊、无明显焊疤、焊接处需打磨光滑；所有</w:t>
            </w:r>
            <w:r>
              <w:rPr>
                <w:rFonts w:hint="eastAsia" w:hAnsi="宋体" w:cs="宋体"/>
                <w:sz w:val="21"/>
                <w:szCs w:val="21"/>
              </w:rPr>
              <w:t>冷轧钢管</w:t>
            </w:r>
            <w:r>
              <w:rPr>
                <w:rFonts w:hint="eastAsia" w:hAnsi="宋体" w:cs="宋体"/>
                <w:kern w:val="0"/>
                <w:sz w:val="21"/>
                <w:szCs w:val="21"/>
                <w:lang w:bidi="ar"/>
              </w:rPr>
              <w:t>必须做到酸洗磷化或硅烷或抛丸等处理，静电喷塑、高温烘烤。</w:t>
            </w:r>
          </w:p>
          <w:p>
            <w:pPr>
              <w:wordWrap w:val="0"/>
              <w:spacing w:line="360" w:lineRule="exact"/>
              <w:jc w:val="left"/>
              <w:rPr>
                <w:rFonts w:hint="eastAsia" w:ascii="宋体" w:hAnsi="宋体" w:cs="宋体"/>
                <w:kern w:val="0"/>
                <w:sz w:val="21"/>
                <w:szCs w:val="21"/>
                <w:lang w:bidi="ar"/>
              </w:rPr>
            </w:pPr>
            <w:r>
              <w:rPr>
                <w:rFonts w:hint="eastAsia" w:ascii="宋体" w:hAnsi="宋体" w:cs="宋体"/>
                <w:kern w:val="0"/>
                <w:sz w:val="21"/>
                <w:szCs w:val="21"/>
                <w:lang w:bidi="ar"/>
              </w:rPr>
              <w:t>11.检测报告：所有材料均符合国家标准要求，须提供以下检测报告（提供带有CMA标志的有效期内的检测报告复印件并加盖公章，原件备查）：</w:t>
            </w:r>
          </w:p>
          <w:p>
            <w:pPr>
              <w:wordWrap w:val="0"/>
              <w:spacing w:line="360" w:lineRule="exact"/>
              <w:ind w:firstLine="420" w:firstLineChars="200"/>
              <w:jc w:val="left"/>
              <w:rPr>
                <w:rFonts w:hint="eastAsia" w:ascii="宋体" w:hAnsi="宋体" w:cs="宋体"/>
                <w:kern w:val="0"/>
                <w:sz w:val="21"/>
                <w:szCs w:val="21"/>
                <w:lang w:bidi="ar"/>
              </w:rPr>
            </w:pPr>
            <w:r>
              <w:rPr>
                <w:rFonts w:hint="eastAsia" w:ascii="宋体" w:hAnsi="宋体" w:cs="宋体"/>
                <w:kern w:val="0"/>
                <w:sz w:val="21"/>
                <w:szCs w:val="21"/>
                <w:lang w:bidi="ar"/>
              </w:rPr>
              <w:t>★（1）拉手：依据相关检测标准，检测报告需符合①QB/T 3826-1999 抗盐雾</w:t>
            </w:r>
            <w:r>
              <w:rPr>
                <w:rFonts w:hint="eastAsia" w:ascii="宋体" w:hAnsi="宋体" w:cs="宋体"/>
                <w:sz w:val="21"/>
                <w:szCs w:val="21"/>
              </w:rPr>
              <w:t>≥</w:t>
            </w:r>
            <w:r>
              <w:rPr>
                <w:rFonts w:hint="eastAsia" w:ascii="宋体" w:hAnsi="宋体" w:cs="宋体"/>
                <w:kern w:val="0"/>
                <w:sz w:val="21"/>
                <w:szCs w:val="21"/>
                <w:lang w:bidi="ar"/>
              </w:rPr>
              <w:t>380h；②QB/T4371-2012抑菌率不小于99%；③产烟毒性危险分级达到GB/T 20285—2006中的ZA2级或更优级别；④JC/T 2039-2010防霉等级达到1级或更优级别；⑤GB/T 32487-2016塑料件耐老化达到380h。检测报告和检测标准满足3个及以上项目且没有分包检测的为有效检测报告。</w:t>
            </w:r>
          </w:p>
          <w:p>
            <w:pPr>
              <w:pStyle w:val="15"/>
              <w:wordWrap w:val="0"/>
              <w:snapToGrid w:val="0"/>
              <w:spacing w:beforeLines="0" w:afterLines="0"/>
              <w:ind w:firstLine="420" w:firstLineChars="200"/>
              <w:jc w:val="left"/>
              <w:outlineLvl w:val="0"/>
              <w:rPr>
                <w:rFonts w:hint="eastAsia" w:hAnsi="宋体" w:cs="宋体"/>
                <w:kern w:val="0"/>
                <w:sz w:val="21"/>
                <w:szCs w:val="21"/>
                <w:lang w:bidi="ar"/>
              </w:rPr>
            </w:pPr>
            <w:r>
              <w:rPr>
                <w:rFonts w:hint="eastAsia" w:hAnsi="宋体" w:cs="宋体"/>
                <w:kern w:val="0"/>
                <w:sz w:val="21"/>
                <w:szCs w:val="21"/>
                <w:lang w:bidi="ar"/>
              </w:rPr>
              <w:t xml:space="preserve"> ★（2）实木</w:t>
            </w:r>
            <w:r>
              <w:rPr>
                <w:rFonts w:hint="eastAsia" w:ascii="Times New Roman" w:hAnsi="Times New Roman" w:cs="宋体"/>
                <w:sz w:val="21"/>
                <w:szCs w:val="21"/>
              </w:rPr>
              <w:t>床板：</w:t>
            </w:r>
            <w:r>
              <w:rPr>
                <w:rFonts w:hint="eastAsia" w:ascii="Times New Roman" w:hAnsi="Times New Roman" w:cs="宋体"/>
                <w:kern w:val="0"/>
                <w:sz w:val="21"/>
                <w:szCs w:val="21"/>
                <w:lang w:bidi="ar"/>
              </w:rPr>
              <w:t>依据相关检测标准，检测报告需符合①</w:t>
            </w:r>
            <w:r>
              <w:rPr>
                <w:rFonts w:hint="eastAsia" w:ascii="Times New Roman" w:hAnsi="Times New Roman" w:cs="宋体"/>
                <w:sz w:val="21"/>
                <w:szCs w:val="21"/>
              </w:rPr>
              <w:t>GB18584-20</w:t>
            </w:r>
            <w:r>
              <w:rPr>
                <w:rFonts w:hint="eastAsia" w:ascii="Times New Roman" w:hAnsi="Times New Roman" w:cs="宋体"/>
                <w:sz w:val="21"/>
                <w:szCs w:val="21"/>
                <w:lang w:val="en-US" w:eastAsia="zh-CN"/>
              </w:rPr>
              <w:t>24</w:t>
            </w:r>
            <w:r>
              <w:rPr>
                <w:rFonts w:hint="eastAsia" w:ascii="Times New Roman" w:hAnsi="Times New Roman" w:cs="宋体"/>
                <w:sz w:val="21"/>
                <w:szCs w:val="21"/>
              </w:rPr>
              <w:t>《室内装饰装修材料木家具中有害物质限量》；②GB/T35601-2017《绿色产品评价 人造板和木质地板》；③GB/T1927.4-2021《无小试样木材物理力学性质试验方法第4部分:含水率测定》</w:t>
            </w:r>
            <w:r>
              <w:rPr>
                <w:rFonts w:ascii="Arial" w:hAnsi="Arial" w:cs="Arial"/>
                <w:sz w:val="21"/>
                <w:szCs w:val="21"/>
              </w:rPr>
              <w:t>≤</w:t>
            </w:r>
            <w:r>
              <w:rPr>
                <w:rFonts w:hint="eastAsia" w:cs="宋体"/>
                <w:sz w:val="21"/>
                <w:szCs w:val="21"/>
              </w:rPr>
              <w:t>8%</w:t>
            </w:r>
            <w:r>
              <w:rPr>
                <w:rFonts w:hint="eastAsia" w:ascii="Times New Roman" w:hAnsi="Times New Roman" w:cs="宋体"/>
                <w:kern w:val="0"/>
                <w:sz w:val="21"/>
                <w:szCs w:val="21"/>
                <w:lang w:bidi="ar"/>
              </w:rPr>
              <w:t>。检测报告和检测标准满足2个及以上项且没有分包检测的为有效检测报告。</w:t>
            </w:r>
          </w:p>
          <w:p>
            <w:pPr>
              <w:pStyle w:val="15"/>
              <w:numPr>
                <w:ilvl w:val="0"/>
                <w:numId w:val="7"/>
              </w:numPr>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主色：原木纹色，配色：抹茶绿。</w:t>
            </w:r>
          </w:p>
          <w:p>
            <w:pPr>
              <w:pStyle w:val="15"/>
              <w:numPr>
                <w:ilvl w:val="0"/>
                <w:numId w:val="6"/>
              </w:numPr>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书桌A：</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 xml:space="preserve">整体尺寸：长1000mm*宽600mm*高1800mm </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b/>
                <w:bCs/>
                <w:sz w:val="21"/>
                <w:szCs w:val="21"/>
              </w:rPr>
              <w:t>★</w:t>
            </w:r>
            <w:r>
              <w:rPr>
                <w:rFonts w:hint="eastAsia" w:hAnsi="宋体" w:cs="宋体"/>
                <w:kern w:val="0"/>
                <w:sz w:val="21"/>
                <w:szCs w:val="21"/>
                <w:lang w:bidi="ar"/>
              </w:rPr>
              <w:t>1.桌面：采用25mm厚的优质三聚氰胺饰面实木多层板,其他均采用16mm厚的优质三聚氰胺饰面实木多层板制作,露边处采用同色PVC封边条封边，桌面下方设有加固档,采用高20mm*宽30mm*厚1.0mm的方形冷轧钢管横档连接加固。桌面右上角安装一个多媒体穿线孔（含盖）。</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2.书架：分两层，每层带一块中隔板。书架下方带有加固钢管采用长</w:t>
            </w:r>
            <w:r>
              <w:rPr>
                <w:rFonts w:cs="宋体"/>
                <w:kern w:val="0"/>
                <w:sz w:val="22"/>
                <w:szCs w:val="22"/>
                <w:lang w:bidi="ar"/>
              </w:rPr>
              <w:t>25</w:t>
            </w:r>
            <w:r>
              <w:rPr>
                <w:rFonts w:hint="eastAsia" w:cs="宋体"/>
                <w:kern w:val="0"/>
                <w:sz w:val="22"/>
                <w:szCs w:val="22"/>
                <w:lang w:bidi="ar"/>
              </w:rPr>
              <w:t>mm</w:t>
            </w:r>
            <w:r>
              <w:rPr>
                <w:rFonts w:cs="宋体"/>
                <w:kern w:val="0"/>
                <w:sz w:val="22"/>
                <w:szCs w:val="22"/>
                <w:lang w:bidi="ar"/>
              </w:rPr>
              <w:t>*</w:t>
            </w:r>
            <w:r>
              <w:rPr>
                <w:rFonts w:hint="eastAsia" w:hAnsi="宋体" w:cs="宋体"/>
                <w:kern w:val="0"/>
                <w:sz w:val="21"/>
                <w:szCs w:val="21"/>
                <w:lang w:bidi="ar"/>
              </w:rPr>
              <w:t>宽25mm*厚1.0mm方形冷轧钢管制作；书架下方靠墙一侧带有冲孔网板，采用240mm高*壁厚0.8mm冷轧钢板折弯而成。书桌防潮底架采用≥宽20mm*高50mm*厚1.0mm的方形冷轧钢管制作。</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3.家具板材、冷轧钢材、五金件：</w:t>
            </w:r>
          </w:p>
          <w:p>
            <w:pPr>
              <w:pStyle w:val="15"/>
              <w:snapToGrid w:val="0"/>
              <w:spacing w:beforeLines="0" w:afterLines="0" w:line="360" w:lineRule="exact"/>
              <w:ind w:firstLine="422" w:firstLineChars="200"/>
              <w:outlineLvl w:val="0"/>
              <w:rPr>
                <w:rFonts w:hint="eastAsia" w:hAnsi="宋体" w:cs="宋体"/>
                <w:kern w:val="0"/>
                <w:sz w:val="21"/>
                <w:szCs w:val="21"/>
                <w:lang w:bidi="ar"/>
              </w:rPr>
            </w:pPr>
            <w:r>
              <w:rPr>
                <w:rFonts w:hint="eastAsia" w:hAnsi="宋体" w:cs="宋体"/>
                <w:b/>
                <w:bCs/>
                <w:sz w:val="21"/>
                <w:szCs w:val="21"/>
              </w:rPr>
              <w:t>★</w:t>
            </w:r>
            <w:r>
              <w:rPr>
                <w:rFonts w:hint="eastAsia" w:hAnsi="宋体" w:cs="宋体"/>
                <w:kern w:val="0"/>
                <w:sz w:val="21"/>
                <w:szCs w:val="21"/>
                <w:lang w:bidi="ar"/>
              </w:rPr>
              <w:t>（1）</w:t>
            </w:r>
            <w:r>
              <w:rPr>
                <w:rFonts w:hint="eastAsia" w:hAnsi="宋体" w:cs="宋体"/>
                <w:sz w:val="21"/>
                <w:szCs w:val="21"/>
              </w:rPr>
              <w:t>家具板材均采用优质三聚氰胺饰面实木多层板，要求符合GB/T 34722-2017《浸渍胶膜纸饰面胶合板和细木工板》：板材甲醛释放量≤0.05mg/m³，理化性能-胶合强度胶合板基材≥0.70；表面胶合强度 （MPa） ≥0.60MPa；耐龟裂达到 5 级以上；所有三聚氰胺饰面实木多层板厚度偏差不得超过±1.0mm。品牌参照“优之树”“兔宝宝”“千年舟”“森鹿”等同类品牌。</w:t>
            </w:r>
          </w:p>
          <w:p>
            <w:pPr>
              <w:pStyle w:val="28"/>
              <w:spacing w:line="360" w:lineRule="exact"/>
              <w:ind w:firstLine="406"/>
              <w:rPr>
                <w:rFonts w:hAnsi="宋体" w:cs="宋体"/>
                <w:kern w:val="0"/>
                <w:sz w:val="21"/>
                <w:szCs w:val="21"/>
                <w:lang w:bidi="ar"/>
              </w:rPr>
            </w:pPr>
            <w:r>
              <w:rPr>
                <w:rFonts w:hAnsi="宋体" w:cs="宋体"/>
                <w:b/>
                <w:bCs/>
                <w:sz w:val="21"/>
                <w:szCs w:val="21"/>
              </w:rPr>
              <w:t>★</w:t>
            </w:r>
            <w:r>
              <w:rPr>
                <w:rFonts w:hAnsi="宋体" w:cs="宋体"/>
                <w:kern w:val="0"/>
                <w:sz w:val="21"/>
                <w:szCs w:val="21"/>
                <w:lang w:bidi="ar"/>
              </w:rPr>
              <w:t>（2）</w:t>
            </w:r>
            <w:r>
              <w:rPr>
                <w:rFonts w:ascii="宋体" w:hAnsi="宋体" w:cs="宋体"/>
                <w:sz w:val="21"/>
                <w:szCs w:val="21"/>
              </w:rPr>
              <w:t>所用钢材均采用优质冷轧钢材,依据GB/T 228.1-2021《金属材料 拉伸试验 第1部分:室温试验方法》拉伸试验：屈服强度≥300MPa；抗拉强度抗拉强度Rm≥400MPa；依据QB/T 3826-1999抗盐雾≥380h，GB/T3325-2024《金属家具通用技术条件》判定依据；QB/T 1951.2-2013《金属家具 质量检验及质量评定》金属喷涂层硬度≥H；冲击强度、冲击高度 400mm，应无剥落、裂纹、皱纹；附着力不应低于 2 级。</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（3）所用五金件品牌参照“DTC”“美顿”“德昌”“东悍”等同类品质品牌。铰链、轨道带有阻尼功能。</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4.工艺要求：</w:t>
            </w:r>
            <w:r>
              <w:rPr>
                <w:rFonts w:hint="eastAsia" w:hAnsi="宋体" w:cs="宋体"/>
                <w:sz w:val="21"/>
                <w:szCs w:val="21"/>
              </w:rPr>
              <w:t>封边条厚度≥1.2 mm，</w:t>
            </w:r>
            <w:r>
              <w:rPr>
                <w:rFonts w:hint="eastAsia" w:hAnsi="宋体" w:cs="宋体"/>
                <w:kern w:val="0"/>
                <w:sz w:val="21"/>
                <w:szCs w:val="21"/>
                <w:lang w:bidi="ar"/>
              </w:rPr>
              <w:t>封边处应无脱胶、鼓泡、透胶、露底；整件产品色泽应相似，涂层不得有皱皮、发粘和漏漆现象。正视面（包括面板）应平整光滑、清晰，应无明显木孔沉陷，其他部位表面手感应光滑，无明显粒子、涨边和不平整；所有</w:t>
            </w:r>
            <w:r>
              <w:rPr>
                <w:rFonts w:hint="eastAsia" w:hAnsi="宋体" w:cs="宋体"/>
                <w:sz w:val="21"/>
                <w:szCs w:val="21"/>
              </w:rPr>
              <w:t>冷轧钢管</w:t>
            </w:r>
            <w:r>
              <w:rPr>
                <w:rFonts w:hint="eastAsia" w:hAnsi="宋体" w:cs="宋体"/>
                <w:kern w:val="0"/>
                <w:sz w:val="21"/>
                <w:szCs w:val="21"/>
                <w:lang w:bidi="ar"/>
              </w:rPr>
              <w:t>必须做到焊接平整、无虚焊、无明显焊疤、焊接处需打磨光滑；所有</w:t>
            </w:r>
            <w:r>
              <w:rPr>
                <w:rFonts w:hint="eastAsia" w:hAnsi="宋体" w:cs="宋体"/>
                <w:sz w:val="21"/>
                <w:szCs w:val="21"/>
              </w:rPr>
              <w:t>冷轧钢管</w:t>
            </w:r>
            <w:r>
              <w:rPr>
                <w:rFonts w:hint="eastAsia" w:hAnsi="宋体" w:cs="宋体"/>
                <w:kern w:val="0"/>
                <w:sz w:val="21"/>
                <w:szCs w:val="21"/>
                <w:lang w:bidi="ar"/>
              </w:rPr>
              <w:t>必须做到酸洗磷化或硅烷或抛丸等处理，静电喷塑、高温烘烤。</w:t>
            </w:r>
          </w:p>
          <w:p>
            <w:pPr>
              <w:spacing w:line="360" w:lineRule="exact"/>
              <w:rPr>
                <w:rFonts w:hint="eastAsia" w:ascii="宋体" w:hAnsi="宋体" w:cs="宋体"/>
                <w:kern w:val="0"/>
                <w:sz w:val="21"/>
                <w:szCs w:val="21"/>
                <w:lang w:bidi="ar"/>
              </w:rPr>
            </w:pPr>
            <w:r>
              <w:rPr>
                <w:rFonts w:hint="eastAsia" w:ascii="宋体" w:hAnsi="宋体" w:cs="宋体"/>
                <w:kern w:val="0"/>
                <w:sz w:val="21"/>
                <w:szCs w:val="21"/>
                <w:lang w:bidi="ar"/>
              </w:rPr>
              <w:t>5.检测报告：所有材料均符合国家标准要求，须提供以下检测报告（提供带有CMA标志的有效期内的检测报告复印件并加盖公章，原件备查）：</w:t>
            </w:r>
          </w:p>
          <w:p>
            <w:pPr>
              <w:pStyle w:val="15"/>
              <w:widowControl/>
              <w:snapToGrid w:val="0"/>
              <w:spacing w:beforeLines="0" w:afterLines="0"/>
              <w:jc w:val="left"/>
              <w:outlineLvl w:val="0"/>
              <w:rPr>
                <w:rFonts w:hint="eastAsia" w:hAnsi="宋体" w:cs="宋体"/>
                <w:kern w:val="0"/>
                <w:sz w:val="21"/>
                <w:szCs w:val="21"/>
                <w:lang w:bidi="ar"/>
              </w:rPr>
            </w:pPr>
            <w:r>
              <w:rPr>
                <w:rFonts w:ascii="Times New Roman" w:hAnsi="Times New Roman"/>
                <w:b/>
                <w:bCs/>
                <w:sz w:val="21"/>
                <w:szCs w:val="21"/>
              </w:rPr>
              <w:t>★</w:t>
            </w:r>
            <w:r>
              <w:rPr>
                <w:rFonts w:hint="eastAsia" w:ascii="Times New Roman" w:hAnsi="Times New Roman"/>
                <w:sz w:val="21"/>
                <w:szCs w:val="21"/>
              </w:rPr>
              <w:t>冷轧</w:t>
            </w:r>
            <w:r>
              <w:rPr>
                <w:rFonts w:hint="eastAsia" w:hAnsi="宋体" w:cs="宋体"/>
                <w:kern w:val="0"/>
                <w:sz w:val="21"/>
                <w:szCs w:val="21"/>
                <w:lang w:bidi="ar"/>
              </w:rPr>
              <w:t>钢板：依据相关检测标准，检测报告需符合GB/T 228.1-2021《金属材料 拉伸试验 第1部分:室温试验方法》拉伸试验：屈服强度≥300MPa；抗拉强度Rm≥400MP。检测报告和检测标准全满足且没有分包检测的为有效检测报告。</w:t>
            </w:r>
          </w:p>
          <w:p>
            <w:pPr>
              <w:pStyle w:val="15"/>
              <w:snapToGrid w:val="0"/>
              <w:spacing w:beforeLines="0" w:afterLines="0" w:line="360" w:lineRule="exact"/>
              <w:outlineLvl w:val="0"/>
              <w:rPr>
                <w:rFonts w:cs="宋体"/>
              </w:rPr>
            </w:pPr>
            <w:r>
              <w:rPr>
                <w:rFonts w:hint="eastAsia" w:hAnsi="宋体" w:cs="宋体"/>
                <w:kern w:val="0"/>
                <w:sz w:val="21"/>
                <w:szCs w:val="21"/>
                <w:lang w:bidi="ar"/>
              </w:rPr>
              <w:t>6.主色：原木纹色，配色：抹茶绿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837" w:type="dxa"/>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3</w:t>
            </w:r>
          </w:p>
        </w:tc>
        <w:tc>
          <w:tcPr>
            <w:tcW w:w="2440" w:type="dxa"/>
            <w:vAlign w:val="center"/>
          </w:tcPr>
          <w:p>
            <w:pPr>
              <w:pStyle w:val="9"/>
              <w:rPr>
                <w:rFonts w:hint="eastAsia" w:ascii="宋体" w:hAnsi="宋体" w:cs="宋体"/>
                <w:kern w:val="0"/>
                <w:sz w:val="21"/>
                <w:szCs w:val="21"/>
                <w:lang w:bidi="ar"/>
              </w:rPr>
            </w:pPr>
            <w:r>
              <w:rPr>
                <w:rFonts w:hint="eastAsia" w:ascii="宋体" w:hAnsi="宋体" w:cs="宋体"/>
                <w:sz w:val="21"/>
                <w:szCs w:val="21"/>
              </w:rPr>
              <w:t>功能性用房组合家具(单人床*2、双人衣柜*1、书桌B*2)具体尺寸以现场实际测量为准，如遇部分特殊房型，则规格根据现场测量情况做合理化调整</w:t>
            </w:r>
          </w:p>
        </w:tc>
        <w:tc>
          <w:tcPr>
            <w:tcW w:w="4074" w:type="dxa"/>
            <w:vAlign w:val="center"/>
          </w:tcPr>
          <w:p>
            <w:pPr>
              <w:pStyle w:val="11"/>
              <w:rPr>
                <w:rFonts w:hAnsi="宋体" w:cs="宋体"/>
                <w:sz w:val="21"/>
                <w:szCs w:val="21"/>
              </w:rPr>
            </w:pPr>
            <w:r>
              <w:rPr>
                <w:rFonts w:hAnsi="宋体" w:cs="宋体"/>
                <w:sz w:val="21"/>
                <w:szCs w:val="21"/>
              </w:rPr>
              <w:drawing>
                <wp:inline distT="0" distB="0" distL="114300" distR="114300">
                  <wp:extent cx="2258695" cy="1447165"/>
                  <wp:effectExtent l="0" t="0" r="1905" b="635"/>
                  <wp:docPr id="31" name="图片 23" descr="单人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单人床"/>
                          <pic:cNvPicPr>
                            <a:picLocks noChangeAspect="1"/>
                          </pic:cNvPicPr>
                        </pic:nvPicPr>
                        <pic:blipFill>
                          <a:blip r:embed="rId20"/>
                          <a:stretch>
                            <a:fillRect/>
                          </a:stretch>
                        </pic:blipFill>
                        <pic:spPr>
                          <a:xfrm>
                            <a:off x="0" y="0"/>
                            <a:ext cx="2258695" cy="1447165"/>
                          </a:xfrm>
                          <a:prstGeom prst="rect">
                            <a:avLst/>
                          </a:prstGeom>
                          <a:noFill/>
                          <a:ln>
                            <a:noFill/>
                          </a:ln>
                        </pic:spPr>
                      </pic:pic>
                    </a:graphicData>
                  </a:graphic>
                </wp:inline>
              </w:drawing>
            </w:r>
          </w:p>
          <w:p>
            <w:pPr>
              <w:pStyle w:val="28"/>
              <w:ind w:firstLine="2020" w:firstLineChars="1000"/>
              <w:rPr>
                <w:rFonts w:ascii="宋体" w:hAnsi="宋体" w:cs="宋体"/>
                <w:sz w:val="21"/>
                <w:szCs w:val="21"/>
              </w:rPr>
            </w:pPr>
            <w:r>
              <w:rPr>
                <w:rFonts w:ascii="宋体" w:hAnsi="宋体" w:cs="宋体"/>
                <w:sz w:val="21"/>
                <w:szCs w:val="21"/>
              </w:rPr>
              <w:t>单人床</w:t>
            </w:r>
          </w:p>
          <w:p>
            <w:r>
              <w:drawing>
                <wp:inline distT="0" distB="0" distL="114300" distR="114300">
                  <wp:extent cx="2447925" cy="3411220"/>
                  <wp:effectExtent l="0" t="0" r="3175" b="5080"/>
                  <wp:docPr id="32" name="图片 24" descr="双人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双人衣柜"/>
                          <pic:cNvPicPr>
                            <a:picLocks noChangeAspect="1"/>
                          </pic:cNvPicPr>
                        </pic:nvPicPr>
                        <pic:blipFill>
                          <a:blip r:embed="rId21"/>
                          <a:stretch>
                            <a:fillRect/>
                          </a:stretch>
                        </pic:blipFill>
                        <pic:spPr>
                          <a:xfrm>
                            <a:off x="0" y="0"/>
                            <a:ext cx="2447925" cy="3411220"/>
                          </a:xfrm>
                          <a:prstGeom prst="rect">
                            <a:avLst/>
                          </a:prstGeom>
                          <a:noFill/>
                          <a:ln>
                            <a:noFill/>
                          </a:ln>
                        </pic:spPr>
                      </pic:pic>
                    </a:graphicData>
                  </a:graphic>
                </wp:inline>
              </w:drawing>
            </w:r>
            <w:r>
              <w:rPr>
                <w:rFonts w:hint="eastAsia"/>
              </w:rPr>
              <w:t xml:space="preserve">  </w:t>
            </w:r>
          </w:p>
          <w:p>
            <w:pPr>
              <w:pStyle w:val="11"/>
              <w:rPr>
                <w:rFonts w:hint="default"/>
                <w:sz w:val="21"/>
                <w:szCs w:val="21"/>
              </w:rPr>
            </w:pPr>
            <w:r>
              <w:t xml:space="preserve">        </w:t>
            </w:r>
            <w:r>
              <w:rPr>
                <w:sz w:val="21"/>
                <w:szCs w:val="21"/>
              </w:rPr>
              <w:t xml:space="preserve">      双人衣柜</w:t>
            </w:r>
          </w:p>
          <w:p>
            <w:pPr>
              <w:pStyle w:val="11"/>
              <w:rPr>
                <w:rFonts w:hint="default"/>
              </w:rPr>
            </w:pPr>
            <w:r>
              <w:t xml:space="preserve">         </w:t>
            </w:r>
          </w:p>
          <w:p>
            <w:pPr>
              <w:pStyle w:val="11"/>
              <w:rPr>
                <w:rFonts w:hint="default"/>
              </w:rPr>
            </w:pPr>
          </w:p>
          <w:p>
            <w:pPr>
              <w:pStyle w:val="11"/>
              <w:rPr>
                <w:rFonts w:hint="default"/>
              </w:rPr>
            </w:pPr>
          </w:p>
          <w:p>
            <w:pPr>
              <w:pStyle w:val="11"/>
              <w:rPr>
                <w:rFonts w:hint="default"/>
              </w:rPr>
            </w:pPr>
            <w:r>
              <w:t xml:space="preserve">          </w:t>
            </w:r>
            <w:r>
              <w:drawing>
                <wp:inline distT="0" distB="0" distL="114300" distR="114300">
                  <wp:extent cx="1104900" cy="2381250"/>
                  <wp:effectExtent l="0" t="0" r="0" b="635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22"/>
                          <a:stretch>
                            <a:fillRect/>
                          </a:stretch>
                        </pic:blipFill>
                        <pic:spPr>
                          <a:xfrm>
                            <a:off x="0" y="0"/>
                            <a:ext cx="1104900" cy="2381250"/>
                          </a:xfrm>
                          <a:prstGeom prst="rect">
                            <a:avLst/>
                          </a:prstGeom>
                          <a:noFill/>
                          <a:ln>
                            <a:noFill/>
                          </a:ln>
                        </pic:spPr>
                      </pic:pic>
                    </a:graphicData>
                  </a:graphic>
                </wp:inline>
              </w:drawing>
            </w:r>
          </w:p>
          <w:p>
            <w:pPr>
              <w:pStyle w:val="11"/>
              <w:ind w:firstLine="1494" w:firstLineChars="705"/>
              <w:rPr>
                <w:rFonts w:hAnsi="宋体" w:cs="宋体"/>
                <w:sz w:val="22"/>
                <w:szCs w:val="22"/>
              </w:rPr>
            </w:pPr>
            <w:r>
              <w:rPr>
                <w:rFonts w:hAnsi="宋体" w:cs="宋体"/>
                <w:sz w:val="22"/>
                <w:szCs w:val="22"/>
              </w:rPr>
              <w:t>双人衣柜内部结构</w:t>
            </w:r>
          </w:p>
          <w:p>
            <w:pPr>
              <w:pStyle w:val="28"/>
              <w:ind w:firstLine="344"/>
              <w:rPr>
                <w:rFonts w:hint="default"/>
              </w:rPr>
            </w:pPr>
          </w:p>
          <w:p>
            <w:pPr>
              <w:pStyle w:val="28"/>
              <w:ind w:firstLine="360"/>
              <w:jc w:val="left"/>
              <w:rPr>
                <w:rFonts w:ascii="宋体" w:hAnsi="宋体" w:cs="宋体"/>
              </w:rPr>
            </w:pPr>
            <w:r>
              <w:rPr>
                <w:rFonts w:ascii="宋体" w:hAnsi="宋体" w:cs="宋体"/>
              </w:rPr>
              <w:drawing>
                <wp:inline distT="0" distB="0" distL="114300" distR="114300">
                  <wp:extent cx="1869440" cy="2598420"/>
                  <wp:effectExtent l="0" t="0" r="10160" b="5080"/>
                  <wp:docPr id="34" name="图片 30" descr="书桌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书桌A B"/>
                          <pic:cNvPicPr>
                            <a:picLocks noChangeAspect="1"/>
                          </pic:cNvPicPr>
                        </pic:nvPicPr>
                        <pic:blipFill>
                          <a:blip r:embed="rId19"/>
                          <a:stretch>
                            <a:fillRect/>
                          </a:stretch>
                        </pic:blipFill>
                        <pic:spPr>
                          <a:xfrm>
                            <a:off x="0" y="0"/>
                            <a:ext cx="1869440" cy="2598420"/>
                          </a:xfrm>
                          <a:prstGeom prst="rect">
                            <a:avLst/>
                          </a:prstGeom>
                          <a:noFill/>
                          <a:ln>
                            <a:noFill/>
                          </a:ln>
                        </pic:spPr>
                      </pic:pic>
                    </a:graphicData>
                  </a:graphic>
                </wp:inline>
              </w:drawing>
            </w:r>
          </w:p>
          <w:p>
            <w:pPr>
              <w:pStyle w:val="28"/>
              <w:ind w:firstLine="1376" w:firstLineChars="800"/>
              <w:jc w:val="left"/>
              <w:rPr>
                <w:rFonts w:ascii="宋体" w:hAnsi="宋体" w:cs="宋体"/>
              </w:rPr>
            </w:pPr>
            <w:r>
              <w:rPr>
                <w:rFonts w:ascii="宋体" w:hAnsi="宋体" w:cs="宋体"/>
              </w:rPr>
              <w:t>书桌B</w:t>
            </w:r>
          </w:p>
          <w:p>
            <w:pPr>
              <w:pStyle w:val="28"/>
              <w:ind w:firstLine="344"/>
              <w:rPr>
                <w:rFonts w:hint="default"/>
              </w:rPr>
            </w:pPr>
          </w:p>
        </w:tc>
        <w:tc>
          <w:tcPr>
            <w:tcW w:w="7265" w:type="dxa"/>
            <w:vAlign w:val="center"/>
          </w:tcPr>
          <w:p>
            <w:pPr>
              <w:pStyle w:val="15"/>
              <w:numPr>
                <w:ilvl w:val="0"/>
                <w:numId w:val="8"/>
              </w:numPr>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单人床：</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 xml:space="preserve">整体尺寸：长2000mm*宽1000mm*高900mm </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1.立柱：</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（1）采用壁厚≥1.2mm异型闭口冷轧钢管。钢管周长≥200mm，立柱侧面设有整体安全圆弧。</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（2）立柱下脚采用优质全新PP塑料内塞装饰。</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2.床挺：</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（1）采用壁厚≥1.2mm异型闭口冷轧钢管。钢管周长≥205mm，管子底部带有圆弧倒角，确保使用的安全性。</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（2）每铺增加3根长25mm*宽25mm*厚1.0mm方形冷轧钢管横档连接加固，床挺上沿到床立柱底部450mm。</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3.床架：横管采用宽25mm*高50mm*厚1.0mm方形冷轧钢管和长25mm*宽25mm*厚1.0mm方形冷轧钢管制作，顶管采用壁厚≥1.0mm异型闭口冷轧钢管制作，要求钢管有整体安全圆弧，床头嵌入16mm优质三聚氰胺饰面实木多层板。</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4.实木床板：采用≥80mm宽*15mm厚的优质杉木条板，缝隙≤10mm，木板面平整，不变形，上下面抛光，板材应结巴少、无毛刺、无霉烂、含水量符合</w:t>
            </w:r>
            <w:r>
              <w:rPr>
                <w:rFonts w:hint="eastAsia" w:ascii="Times New Roman" w:hAnsi="Times New Roman" w:cs="宋体"/>
                <w:sz w:val="21"/>
                <w:szCs w:val="21"/>
              </w:rPr>
              <w:t>GB18584-2024《室内装饰装修材料木家具中有害物质限量》、GB/T35601-2017《绿色产品评价 人造板和木质地板》、GB/T1927.4-2021《无小试样木材物理力学性质试验方法第4部分:含水率测定》</w:t>
            </w:r>
            <w:r>
              <w:rPr>
                <w:rFonts w:ascii="Arial" w:hAnsi="Arial" w:cs="Arial"/>
                <w:sz w:val="21"/>
                <w:szCs w:val="21"/>
              </w:rPr>
              <w:t>≤</w:t>
            </w:r>
            <w:r>
              <w:rPr>
                <w:rFonts w:hint="eastAsia" w:cs="宋体"/>
                <w:sz w:val="21"/>
                <w:szCs w:val="21"/>
              </w:rPr>
              <w:t>8%的</w:t>
            </w:r>
            <w:r>
              <w:rPr>
                <w:rFonts w:hAnsi="宋体" w:cs="宋体"/>
                <w:sz w:val="21"/>
                <w:szCs w:val="21"/>
              </w:rPr>
              <w:t>国家标准</w:t>
            </w:r>
            <w:r>
              <w:rPr>
                <w:rFonts w:hint="eastAsia" w:hAnsi="宋体" w:cs="宋体"/>
                <w:kern w:val="0"/>
                <w:sz w:val="21"/>
                <w:szCs w:val="21"/>
                <w:lang w:bidi="ar"/>
              </w:rPr>
              <w:t>；床板平铺钉在四根≥高30mm*宽40mm的木档上。</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5.家具板材、冷轧钢材、五金件：</w:t>
            </w:r>
          </w:p>
          <w:p>
            <w:pPr>
              <w:pStyle w:val="15"/>
              <w:spacing w:before="197" w:after="197"/>
              <w:ind w:firstLine="420" w:firstLineChars="200"/>
              <w:rPr>
                <w:rFonts w:hint="eastAsia" w:hAnsi="宋体" w:cs="宋体"/>
                <w:kern w:val="0"/>
                <w:sz w:val="21"/>
                <w:szCs w:val="21"/>
                <w:lang w:bidi="ar"/>
              </w:rPr>
            </w:pPr>
            <w:r>
              <w:rPr>
                <w:rFonts w:hint="eastAsia" w:hAnsi="宋体" w:cs="宋体"/>
                <w:kern w:val="0"/>
                <w:sz w:val="21"/>
                <w:szCs w:val="21"/>
                <w:lang w:bidi="ar"/>
              </w:rPr>
              <w:t>（1）</w:t>
            </w:r>
            <w:r>
              <w:rPr>
                <w:rFonts w:hint="eastAsia" w:hAnsi="宋体" w:cs="宋体"/>
                <w:sz w:val="21"/>
                <w:szCs w:val="21"/>
              </w:rPr>
              <w:t>家具板材均采用优质三聚氰胺饰面实木多层板，要求符合GB/T 34722-2017《浸渍胶膜纸饰面胶合板和细木工板》：板材甲醛释放量≤0.05mg/m³，理化性能-胶合强度胶合板基材≥0.70；表面胶合强度 （MPa） ≥0.60MPa；耐龟裂达到 5级以上；所有三聚氰胺饰面实木多层板厚度偏差不得超过±1.0mm。品牌参照“优之树”“兔宝宝”“千年舟”“森鹿”等同类品牌。</w:t>
            </w:r>
          </w:p>
          <w:p>
            <w:pPr>
              <w:pStyle w:val="28"/>
              <w:ind w:firstLine="404"/>
              <w:rPr>
                <w:rFonts w:hAnsi="宋体" w:cs="宋体"/>
                <w:kern w:val="0"/>
                <w:sz w:val="21"/>
                <w:szCs w:val="21"/>
                <w:lang w:bidi="ar"/>
              </w:rPr>
            </w:pPr>
            <w:r>
              <w:rPr>
                <w:rFonts w:ascii="宋体" w:hAnsi="宋体" w:cs="宋体"/>
                <w:sz w:val="21"/>
                <w:szCs w:val="21"/>
              </w:rPr>
              <w:t>（2）所用钢材均采用优质冷轧钢材,依据GB/T 228.1-2021《金属材料 拉伸试验 第1部分:室温试验方法》拉伸试验：屈服强度≥300MPa；抗拉强度抗拉强度Rm≥400MPa；依据QB/T 3826-1999抗盐雾≥380h，GB/T3325-2024《金属家具通用技术条件》判定依据；QB/T 1951.2-2013《金属家具 质量检验及质量评定》金属喷涂层硬度≥H；冲击强度、冲击高度 400mm，应无剥落、裂纹、皱纹；附着力不应低于 2 级。</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（3）所用五金件品牌参照“DTC”“美顿”“德昌”“东悍”等同类品质品牌。铰链、轨道带有阻尼功能。</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6.工艺要求：</w:t>
            </w:r>
            <w:r>
              <w:rPr>
                <w:rFonts w:hint="eastAsia" w:hAnsi="宋体" w:cs="宋体"/>
                <w:sz w:val="21"/>
                <w:szCs w:val="21"/>
              </w:rPr>
              <w:t>封边条厚度≥1.2 mm，</w:t>
            </w:r>
            <w:r>
              <w:rPr>
                <w:rFonts w:hint="eastAsia" w:hAnsi="宋体" w:cs="宋体"/>
                <w:kern w:val="0"/>
                <w:sz w:val="21"/>
                <w:szCs w:val="21"/>
                <w:lang w:bidi="ar"/>
              </w:rPr>
              <w:t>封边处应无脱胶、鼓泡、透胶、露底；整件产品色泽应相似，涂层不得有皱皮、发粘和漏漆现象。正视面（包括面板）应平整光滑、清晰，应无明显木孔沉陷，其他部位表面手感应光滑，无明显粒子、涨边和不平整；所有</w:t>
            </w:r>
            <w:r>
              <w:rPr>
                <w:rFonts w:hint="eastAsia" w:hAnsi="宋体" w:cs="宋体"/>
                <w:sz w:val="21"/>
                <w:szCs w:val="21"/>
              </w:rPr>
              <w:t>冷轧钢管</w:t>
            </w:r>
            <w:r>
              <w:rPr>
                <w:rFonts w:hint="eastAsia" w:hAnsi="宋体" w:cs="宋体"/>
                <w:kern w:val="0"/>
                <w:sz w:val="21"/>
                <w:szCs w:val="21"/>
                <w:lang w:bidi="ar"/>
              </w:rPr>
              <w:t>必须做到焊接平整、无虚焊、无明显焊疤、焊接处需打磨光滑；所有</w:t>
            </w:r>
            <w:r>
              <w:rPr>
                <w:rFonts w:hint="eastAsia" w:hAnsi="宋体" w:cs="宋体"/>
                <w:sz w:val="21"/>
                <w:szCs w:val="21"/>
              </w:rPr>
              <w:t>冷轧钢管</w:t>
            </w:r>
            <w:r>
              <w:rPr>
                <w:rFonts w:hint="eastAsia" w:hAnsi="宋体" w:cs="宋体"/>
                <w:kern w:val="0"/>
                <w:sz w:val="21"/>
                <w:szCs w:val="21"/>
                <w:lang w:bidi="ar"/>
              </w:rPr>
              <w:t>必须做到酸洗磷化或硅烷或抛丸等处理，静电喷塑、高温烘烤。</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7.家具颜色：主色：原木纹色</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二、双人衣柜：</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 xml:space="preserve">整体尺寸：长800mm*宽800mm*高1800mm </w:t>
            </w:r>
            <w:r>
              <w:rPr>
                <w:rFonts w:hint="eastAsia" w:hAnsi="宋体" w:cs="宋体"/>
                <w:sz w:val="21"/>
                <w:szCs w:val="21"/>
              </w:rPr>
              <w:t>（针对部分特殊房型，以现场实际测量为准，即根据现场情况做合理化调整。）</w:t>
            </w:r>
            <w:r>
              <w:rPr>
                <w:rFonts w:hint="eastAsia" w:hAnsi="宋体" w:cs="宋体"/>
                <w:kern w:val="0"/>
                <w:sz w:val="21"/>
                <w:szCs w:val="21"/>
                <w:lang w:bidi="ar"/>
              </w:rPr>
              <w:t xml:space="preserve">  </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1.板材采用16mm厚的优质三聚氰胺饰面实木多层板,露边处采用同色PVC封边条封边。衣柜内部设有中立板，分左右两部分，可供两人使用。每列上部分为衣物叠放区，下部分为挂衣区。挂衣杆采用φ22mm*厚1.0mm不锈钢圆管制作。挂衣区下部设置一层层板。防潮底架采用≥宽20*高50*厚1.0mm方形冷轧钢管制作，</w:t>
            </w:r>
            <w:r>
              <w:rPr>
                <w:rFonts w:hAnsi="宋体" w:cs="宋体"/>
                <w:sz w:val="21"/>
                <w:szCs w:val="21"/>
              </w:rPr>
              <w:t>要求衣柜柜门有防止变形的加固措施，</w:t>
            </w:r>
            <w:r>
              <w:rPr>
                <w:rFonts w:hint="eastAsia" w:hAnsi="宋体" w:cs="宋体"/>
                <w:kern w:val="0"/>
                <w:sz w:val="21"/>
                <w:szCs w:val="21"/>
                <w:lang w:bidi="ar"/>
              </w:rPr>
              <w:t xml:space="preserve">柜门采用环形内嵌拉手，拉手采用厚≥3mm铝合金材质复合环形几何体，整体规格≥120mm*45*20mm，拉手安装方式为内嵌式拉手；拉手分上下盖两个部分。两个拉手均加装锁舌，支持学生自行加装挂锁。锁舌材质厚2mm冷轧钢板。拉手表面进行除油工艺处理、电泳、静电喷塑，涂层与金属表面的附着力强，不易腐蚀和脱落。涂装无明显的气泡、流痕、漏底、皱皮和其它损伤。塑粉要求用环保聚氨酯塑粉（户外型抗紫外线II级）。                              </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2.家具板材、冷轧钢材、五金件：</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（1）</w:t>
            </w:r>
            <w:r>
              <w:rPr>
                <w:rFonts w:hint="eastAsia" w:hAnsi="宋体" w:cs="宋体"/>
                <w:sz w:val="21"/>
                <w:szCs w:val="21"/>
              </w:rPr>
              <w:t>家具板材均采用优质三聚氰胺饰面实木多层板，要求符合GB/T 34722-2017《浸渍胶膜纸饰面胶合板和细木工板》：板材甲醛释放量≤0.05mg/m³，理化性能-胶合强度胶合板基材≥0.70；表面胶合强度 （MPa） ≥0.60MPa；耐龟裂达到5 级以上；所有三聚氰胺饰面实木多层板厚度偏差不得超过±1.0mm。品牌参照“优之树”“兔宝宝”“千年舟”“森鹿”等同类品牌。</w:t>
            </w:r>
          </w:p>
          <w:p>
            <w:pPr>
              <w:pStyle w:val="28"/>
              <w:snapToGrid w:val="0"/>
              <w:spacing w:line="400" w:lineRule="atLeast"/>
              <w:ind w:firstLine="404"/>
              <w:outlineLvl w:val="0"/>
              <w:rPr>
                <w:rFonts w:hAnsi="宋体" w:cs="宋体"/>
                <w:kern w:val="0"/>
                <w:sz w:val="21"/>
                <w:szCs w:val="21"/>
                <w:lang w:bidi="ar"/>
              </w:rPr>
            </w:pPr>
            <w:r>
              <w:rPr>
                <w:rFonts w:ascii="宋体" w:hAnsi="宋体" w:cs="宋体"/>
                <w:sz w:val="21"/>
                <w:szCs w:val="21"/>
              </w:rPr>
              <w:t>（2）所用钢材均采用优质冷轧钢材,依据GB/T 228.1-2021《金属材料 拉伸试验 第1部分:室温试验方法》拉伸试验：屈服强度≥300MPa；抗拉强度抗拉强度Rm≥400MPa；依据QB/T 3826-1999抗盐雾≥380h，GB/T3325-2024《金属家具通用技术条件》判定依据；QB/T 1951.2-2013《金属家具 质量检验及质量评定》金属喷涂层硬度≥H；冲击强度 、冲击高度 400mm，应无剥落、裂纹、皱纹；附着力不应低于 2 级。</w:t>
            </w:r>
          </w:p>
          <w:p>
            <w:pPr>
              <w:pStyle w:val="15"/>
              <w:snapToGrid w:val="0"/>
              <w:spacing w:beforeLines="0" w:afterLines="0" w:line="360" w:lineRule="exact"/>
              <w:ind w:firstLine="420" w:firstLineChars="200"/>
              <w:outlineLvl w:val="0"/>
              <w:rPr>
                <w:rFonts w:hint="eastAsia" w:hAnsi="宋体" w:cs="宋体"/>
                <w:kern w:val="0"/>
                <w:sz w:val="21"/>
                <w:szCs w:val="21"/>
                <w:lang w:bidi="ar"/>
              </w:rPr>
            </w:pPr>
            <w:r>
              <w:rPr>
                <w:rFonts w:hint="eastAsia" w:hAnsi="宋体" w:cs="宋体"/>
                <w:kern w:val="0"/>
                <w:sz w:val="21"/>
                <w:szCs w:val="21"/>
                <w:lang w:bidi="ar"/>
              </w:rPr>
              <w:t>（3）所用五金件品牌参照“DTC”“美顿”“德昌”“东悍”等同类品质品牌。铰链、轨道带有阻尼功能。</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3.工艺要求：</w:t>
            </w:r>
            <w:r>
              <w:rPr>
                <w:rFonts w:hint="eastAsia" w:hAnsi="宋体" w:cs="宋体"/>
                <w:sz w:val="21"/>
                <w:szCs w:val="21"/>
              </w:rPr>
              <w:t>封边条厚度≥1.2 mm，</w:t>
            </w:r>
            <w:r>
              <w:rPr>
                <w:rFonts w:hint="eastAsia" w:hAnsi="宋体" w:cs="宋体"/>
                <w:kern w:val="0"/>
                <w:sz w:val="21"/>
                <w:szCs w:val="21"/>
                <w:lang w:bidi="ar"/>
              </w:rPr>
              <w:t>封边处应无脱胶、鼓泡、透胶、露底；整件产品色泽应相似，涂层不得有皱皮、发粘和漏漆现象。正视面（包括面板）应平整光滑、清晰，应无明显木孔沉陷，其他部位表面手感应光滑，无明显粒子、涨边和不平整；所有</w:t>
            </w:r>
            <w:r>
              <w:rPr>
                <w:rFonts w:hint="eastAsia" w:hAnsi="宋体" w:cs="宋体"/>
                <w:sz w:val="21"/>
                <w:szCs w:val="21"/>
              </w:rPr>
              <w:t>冷轧钢管</w:t>
            </w:r>
            <w:r>
              <w:rPr>
                <w:rFonts w:hint="eastAsia" w:hAnsi="宋体" w:cs="宋体"/>
                <w:kern w:val="0"/>
                <w:sz w:val="21"/>
                <w:szCs w:val="21"/>
                <w:lang w:bidi="ar"/>
              </w:rPr>
              <w:t>必须做到焊接平整、无虚焊、无明显焊疤、焊接处需打磨光滑；所有</w:t>
            </w:r>
            <w:r>
              <w:rPr>
                <w:rFonts w:hint="eastAsia" w:hAnsi="宋体" w:cs="宋体"/>
                <w:sz w:val="21"/>
                <w:szCs w:val="21"/>
              </w:rPr>
              <w:t>冷轧钢管</w:t>
            </w:r>
            <w:r>
              <w:rPr>
                <w:rFonts w:hint="eastAsia" w:hAnsi="宋体" w:cs="宋体"/>
                <w:kern w:val="0"/>
                <w:sz w:val="21"/>
                <w:szCs w:val="21"/>
                <w:lang w:bidi="ar"/>
              </w:rPr>
              <w:t xml:space="preserve">必须做到酸洗磷化或硅烷或抛丸等处理，静电喷塑、高温烘烤，双人衣柜需固定在墙上。 </w:t>
            </w:r>
          </w:p>
          <w:p>
            <w:pPr>
              <w:widowControl/>
              <w:spacing w:line="360" w:lineRule="exact"/>
              <w:jc w:val="left"/>
              <w:rPr>
                <w:rFonts w:hint="eastAsia" w:ascii="宋体" w:hAnsi="宋体" w:cs="宋体"/>
                <w:kern w:val="0"/>
                <w:sz w:val="21"/>
                <w:szCs w:val="21"/>
                <w:lang w:bidi="ar"/>
              </w:rPr>
            </w:pPr>
            <w:r>
              <w:rPr>
                <w:rFonts w:hint="eastAsia" w:ascii="宋体" w:hAnsi="宋体" w:cs="宋体"/>
                <w:kern w:val="0"/>
                <w:sz w:val="21"/>
                <w:szCs w:val="21"/>
                <w:lang w:bidi="ar"/>
              </w:rPr>
              <w:t>4.检测报告:所有材料均符合国家标准要求。须提供以下检测报告（提供带有CMA标志的有效期内的检测报告复印件并加盖公章，原件备查）:</w:t>
            </w:r>
          </w:p>
          <w:p>
            <w:pPr>
              <w:widowControl/>
              <w:spacing w:line="360" w:lineRule="exact"/>
              <w:ind w:firstLine="420" w:firstLineChars="200"/>
              <w:jc w:val="left"/>
              <w:rPr>
                <w:rFonts w:hint="eastAsia" w:ascii="宋体" w:hAnsi="宋体" w:cs="宋体"/>
                <w:kern w:val="0"/>
                <w:sz w:val="21"/>
                <w:szCs w:val="21"/>
                <w:lang w:bidi="ar"/>
              </w:rPr>
            </w:pPr>
            <w:r>
              <w:rPr>
                <w:rFonts w:hint="eastAsia" w:ascii="宋体" w:hAnsi="宋体" w:cs="宋体"/>
                <w:kern w:val="0"/>
                <w:sz w:val="21"/>
                <w:szCs w:val="21"/>
                <w:lang w:bidi="ar"/>
              </w:rPr>
              <w:t>★铰链：依据相关检测标准，检测报告需符合①QB/T 2189-2013《家具五金 杯状暗铰链》功能耐久性测试</w:t>
            </w:r>
            <w:r>
              <w:rPr>
                <w:rFonts w:hint="eastAsia" w:cs="宋体"/>
                <w:kern w:val="0"/>
                <w:sz w:val="21"/>
                <w:szCs w:val="21"/>
                <w:lang w:bidi="ar"/>
              </w:rPr>
              <w:t>80000次，所有组件不应有影响正常运作的变形和磨损，结合处无断裂；②</w:t>
            </w:r>
            <w:r>
              <w:rPr>
                <w:rFonts w:hint="eastAsia" w:ascii="宋体" w:hAnsi="宋体" w:cs="宋体"/>
                <w:kern w:val="0"/>
                <w:sz w:val="21"/>
                <w:szCs w:val="21"/>
                <w:lang w:bidi="ar"/>
              </w:rPr>
              <w:t>QB/T 3827-1999 《轻工产品金属镀层和 化学处理层的耐腐蚀试验方法 乙酸盐雾试验(ASS)法》，乙酸盐雾试验（100h），镀层的耐蚀等级：10 级</w:t>
            </w:r>
            <w:r>
              <w:rPr>
                <w:rFonts w:hint="eastAsia" w:ascii="宋体" w:hAnsi="宋体" w:cs="宋体"/>
                <w:spacing w:val="-4"/>
                <w:sz w:val="21"/>
                <w:szCs w:val="21"/>
              </w:rPr>
              <w:t>，镀</w:t>
            </w:r>
            <w:r>
              <w:rPr>
                <w:rFonts w:hint="eastAsia" w:ascii="宋体" w:hAnsi="宋体" w:cs="宋体"/>
                <w:kern w:val="0"/>
                <w:sz w:val="21"/>
                <w:szCs w:val="21"/>
                <w:lang w:bidi="ar"/>
              </w:rPr>
              <w:t>层对基体的保护等级：10 级。检测报告和检测标准满足1个及以上项目且没有分包检测的为有效检测报告。</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5.主色：原木纹色，配色：抹茶绿</w:t>
            </w:r>
          </w:p>
          <w:p>
            <w:pPr>
              <w:pStyle w:val="15"/>
              <w:snapToGrid w:val="0"/>
              <w:spacing w:beforeLines="0" w:afterLines="0" w:line="360" w:lineRule="exact"/>
              <w:outlineLvl w:val="0"/>
              <w:rPr>
                <w:rFonts w:hint="eastAsia" w:hAnsi="宋体" w:cs="宋体"/>
                <w:sz w:val="21"/>
                <w:szCs w:val="21"/>
              </w:rPr>
            </w:pPr>
            <w:r>
              <w:rPr>
                <w:rFonts w:hint="eastAsia" w:hAnsi="宋体" w:cs="宋体"/>
                <w:kern w:val="0"/>
                <w:sz w:val="21"/>
                <w:szCs w:val="21"/>
                <w:lang w:bidi="ar"/>
              </w:rPr>
              <w:t>三、</w:t>
            </w:r>
            <w:r>
              <w:rPr>
                <w:rFonts w:hint="eastAsia" w:hAnsi="宋体" w:cs="宋体"/>
                <w:sz w:val="21"/>
                <w:szCs w:val="21"/>
              </w:rPr>
              <w:t>书桌B</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 xml:space="preserve">整体尺寸：1200mm*600mm*1800mm </w:t>
            </w:r>
          </w:p>
          <w:p>
            <w:pPr>
              <w:widowControl/>
              <w:spacing w:line="360" w:lineRule="exact"/>
              <w:rPr>
                <w:rFonts w:hint="eastAsia" w:ascii="宋体" w:hAnsi="宋体" w:cs="宋体"/>
                <w:sz w:val="21"/>
                <w:szCs w:val="21"/>
              </w:rPr>
            </w:pPr>
            <w:r>
              <w:rPr>
                <w:rFonts w:hint="eastAsia" w:ascii="宋体" w:hAnsi="宋体" w:cs="宋体"/>
                <w:sz w:val="21"/>
                <w:szCs w:val="21"/>
              </w:rPr>
              <w:t>其他技术参数同书桌A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837" w:type="dxa"/>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4</w:t>
            </w:r>
          </w:p>
        </w:tc>
        <w:tc>
          <w:tcPr>
            <w:tcW w:w="2440" w:type="dxa"/>
            <w:vAlign w:val="center"/>
          </w:tcPr>
          <w:p>
            <w:pPr>
              <w:pStyle w:val="9"/>
              <w:rPr>
                <w:rFonts w:hint="eastAsia" w:ascii="宋体" w:hAnsi="宋体" w:cs="宋体"/>
                <w:kern w:val="0"/>
                <w:sz w:val="21"/>
                <w:szCs w:val="21"/>
                <w:lang w:bidi="ar"/>
              </w:rPr>
            </w:pPr>
            <w:r>
              <w:rPr>
                <w:rFonts w:ascii="宋体" w:hAnsi="宋体" w:cs="宋体"/>
                <w:kern w:val="0"/>
                <w:sz w:val="21"/>
                <w:szCs w:val="21"/>
                <w:lang w:bidi="ar"/>
              </w:rPr>
              <w:t>储物柜D</w:t>
            </w:r>
          </w:p>
          <w:p>
            <w:pPr>
              <w:pStyle w:val="9"/>
              <w:rPr>
                <w:rFonts w:hint="eastAsia" w:ascii="宋体" w:hAnsi="宋体" w:cs="宋体"/>
                <w:kern w:val="0"/>
                <w:sz w:val="21"/>
                <w:szCs w:val="21"/>
                <w:lang w:bidi="ar"/>
              </w:rPr>
            </w:pPr>
            <w:r>
              <w:rPr>
                <w:rFonts w:ascii="宋体" w:hAnsi="宋体" w:cs="宋体"/>
                <w:kern w:val="0"/>
                <w:sz w:val="21"/>
                <w:szCs w:val="21"/>
                <w:lang w:bidi="ar"/>
              </w:rPr>
              <w:t>储物柜E</w:t>
            </w:r>
          </w:p>
          <w:p>
            <w:pPr>
              <w:pStyle w:val="9"/>
              <w:rPr>
                <w:rFonts w:hint="eastAsia" w:ascii="宋体" w:hAnsi="宋体" w:cs="宋体"/>
                <w:kern w:val="0"/>
                <w:sz w:val="21"/>
                <w:szCs w:val="21"/>
                <w:lang w:bidi="ar"/>
              </w:rPr>
            </w:pPr>
            <w:r>
              <w:rPr>
                <w:rFonts w:ascii="宋体" w:hAnsi="宋体" w:cs="宋体"/>
                <w:kern w:val="0"/>
                <w:sz w:val="21"/>
                <w:szCs w:val="21"/>
                <w:lang w:bidi="ar"/>
              </w:rPr>
              <w:t>（具体尺寸以现场实际测量为准，如遇部分特殊房型，则根据现场测量情况做合理化调整）</w:t>
            </w:r>
          </w:p>
        </w:tc>
        <w:tc>
          <w:tcPr>
            <w:tcW w:w="4074" w:type="dxa"/>
            <w:vAlign w:val="center"/>
          </w:tcPr>
          <w:p>
            <w:pPr>
              <w:pStyle w:val="11"/>
              <w:rPr>
                <w:rFonts w:hAnsi="宋体" w:cs="宋体"/>
                <w:sz w:val="21"/>
                <w:szCs w:val="21"/>
              </w:rPr>
            </w:pPr>
            <w:r>
              <w:rPr>
                <w:rFonts w:ascii="仿宋_GB2312" w:hAnsi="仿宋_GB2312" w:eastAsia="仿宋_GB2312" w:cs="仿宋_GB2312"/>
                <w:sz w:val="30"/>
                <w:szCs w:val="30"/>
              </w:rPr>
              <w:drawing>
                <wp:anchor distT="0" distB="0" distL="114300" distR="114300" simplePos="0" relativeHeight="251670528" behindDoc="1" locked="0" layoutInCell="1" allowOverlap="1">
                  <wp:simplePos x="0" y="0"/>
                  <wp:positionH relativeFrom="column">
                    <wp:posOffset>338455</wp:posOffset>
                  </wp:positionH>
                  <wp:positionV relativeFrom="paragraph">
                    <wp:posOffset>495300</wp:posOffset>
                  </wp:positionV>
                  <wp:extent cx="1556385" cy="2868930"/>
                  <wp:effectExtent l="0" t="0" r="5715" b="1270"/>
                  <wp:wrapTight wrapText="bothSides">
                    <wp:wrapPolygon>
                      <wp:start x="21592" y="-2"/>
                      <wp:lineTo x="0" y="0"/>
                      <wp:lineTo x="0" y="21600"/>
                      <wp:lineTo x="21592" y="21602"/>
                      <wp:lineTo x="8" y="21602"/>
                      <wp:lineTo x="21600" y="21600"/>
                      <wp:lineTo x="21600" y="0"/>
                      <wp:lineTo x="8" y="-2"/>
                      <wp:lineTo x="21592" y="-2"/>
                    </wp:wrapPolygon>
                  </wp:wrapTight>
                  <wp:docPr id="24" name="图片 37" descr="9e974d590997d04b5407a0112352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descr="9e974d590997d04b5407a0112352d7e"/>
                          <pic:cNvPicPr>
                            <a:picLocks noChangeAspect="1"/>
                          </pic:cNvPicPr>
                        </pic:nvPicPr>
                        <pic:blipFill>
                          <a:blip r:embed="rId23"/>
                          <a:stretch>
                            <a:fillRect/>
                          </a:stretch>
                        </pic:blipFill>
                        <pic:spPr>
                          <a:xfrm>
                            <a:off x="0" y="0"/>
                            <a:ext cx="1556385" cy="2868930"/>
                          </a:xfrm>
                          <a:prstGeom prst="rect">
                            <a:avLst/>
                          </a:prstGeom>
                          <a:noFill/>
                          <a:ln>
                            <a:noFill/>
                          </a:ln>
                        </pic:spPr>
                      </pic:pic>
                    </a:graphicData>
                  </a:graphic>
                </wp:anchor>
              </w:drawing>
            </w:r>
          </w:p>
        </w:tc>
        <w:tc>
          <w:tcPr>
            <w:tcW w:w="7265" w:type="dxa"/>
            <w:vAlign w:val="center"/>
          </w:tcPr>
          <w:p>
            <w:pPr>
              <w:widowControl/>
              <w:spacing w:line="360" w:lineRule="exact"/>
              <w:rPr>
                <w:rFonts w:hint="eastAsia" w:ascii="宋体" w:hAnsi="宋体" w:cs="宋体"/>
                <w:sz w:val="21"/>
                <w:szCs w:val="21"/>
              </w:rPr>
            </w:pPr>
            <w:r>
              <w:rPr>
                <w:rFonts w:hint="eastAsia" w:ascii="宋体" w:hAnsi="宋体" w:cs="宋体"/>
                <w:sz w:val="21"/>
                <w:szCs w:val="21"/>
              </w:rPr>
              <w:t xml:space="preserve">储物柜D：整体尺寸：高1740mm*深550mm*宽350mm  </w:t>
            </w:r>
          </w:p>
          <w:p>
            <w:pPr>
              <w:widowControl/>
              <w:spacing w:line="360" w:lineRule="exact"/>
              <w:rPr>
                <w:rFonts w:hint="eastAsia" w:ascii="宋体" w:hAnsi="宋体" w:cs="宋体"/>
                <w:sz w:val="21"/>
                <w:szCs w:val="21"/>
              </w:rPr>
            </w:pPr>
            <w:r>
              <w:rPr>
                <w:rFonts w:hint="eastAsia" w:ascii="宋体" w:hAnsi="宋体" w:cs="宋体"/>
                <w:sz w:val="21"/>
                <w:szCs w:val="21"/>
              </w:rPr>
              <w:t>储物柜E：整体尺寸：高1740mm*深550mm*宽350mm，顶板后侧增加约长250mm*宽100mm左右的挡板，用于遮挡柜体和消防水管之间的缝隙</w:t>
            </w:r>
            <w:r>
              <w:rPr>
                <w:rFonts w:hint="eastAsia" w:hAnsi="宋体" w:cs="宋体"/>
                <w:sz w:val="21"/>
                <w:szCs w:val="21"/>
              </w:rPr>
              <w:t>（针对部分特殊房型，以现场实际测量为准，即根据现场情况做合理化调整。）</w:t>
            </w:r>
          </w:p>
          <w:p>
            <w:pPr>
              <w:widowControl/>
              <w:spacing w:line="360" w:lineRule="exact"/>
              <w:rPr>
                <w:rFonts w:hint="eastAsia" w:ascii="宋体" w:hAnsi="宋体" w:cs="宋体"/>
                <w:sz w:val="21"/>
                <w:szCs w:val="21"/>
              </w:rPr>
            </w:pPr>
            <w:r>
              <w:rPr>
                <w:rFonts w:hint="eastAsia" w:ascii="宋体" w:hAnsi="宋体" w:cs="宋体"/>
                <w:b/>
                <w:bCs/>
                <w:sz w:val="21"/>
                <w:szCs w:val="21"/>
              </w:rPr>
              <w:t>★</w:t>
            </w:r>
            <w:r>
              <w:rPr>
                <w:rFonts w:hint="eastAsia" w:ascii="宋体" w:hAnsi="宋体" w:cs="宋体"/>
                <w:sz w:val="21"/>
                <w:szCs w:val="21"/>
              </w:rPr>
              <w:t>1.板材采用16mm厚的优质三聚氰胺饰面实木多层板,露边处采用同色PVC封边条封边。防潮底架采用≥宽20mm*高50mm*厚1.0mm方形</w:t>
            </w:r>
            <w:r>
              <w:rPr>
                <w:rFonts w:hint="eastAsia" w:ascii="宋体" w:hAnsi="宋体" w:cs="宋体"/>
                <w:kern w:val="0"/>
                <w:sz w:val="21"/>
                <w:szCs w:val="21"/>
                <w:lang w:bidi="ar"/>
              </w:rPr>
              <w:t>冷轧</w:t>
            </w:r>
            <w:r>
              <w:rPr>
                <w:rFonts w:hint="eastAsia" w:ascii="宋体" w:hAnsi="宋体" w:cs="宋体"/>
                <w:sz w:val="21"/>
                <w:szCs w:val="21"/>
              </w:rPr>
              <w:t>钢管制作；柜门采用环形内嵌拉手，拉手采用</w:t>
            </w:r>
            <w:r>
              <w:rPr>
                <w:rFonts w:hint="eastAsia" w:ascii="宋体" w:hAnsi="宋体" w:cs="宋体"/>
                <w:kern w:val="0"/>
                <w:sz w:val="21"/>
                <w:szCs w:val="21"/>
                <w:lang w:bidi="ar"/>
              </w:rPr>
              <w:t>厚≥3mm</w:t>
            </w:r>
            <w:r>
              <w:rPr>
                <w:rFonts w:hint="eastAsia" w:ascii="宋体" w:hAnsi="宋体" w:cs="宋体"/>
                <w:sz w:val="21"/>
                <w:szCs w:val="21"/>
              </w:rPr>
              <w:t xml:space="preserve">铝合金材质复合环形几何体，整体规格≥120mm*45*20mm，拉手安装方式为内嵌式拉手；拉手分上下盖两个部分。拉手加装锁舌，支持学生自行加装挂锁。锁舌材质厚2mm冷轧钢板。拉手表面进行除油工艺处理、电泳、静电喷塑，涂层与金属表面的附着力强，不易腐蚀和脱落。涂装无明显的气泡、流痕、漏底、皱皮和其它损伤。塑粉要求用环保聚氨酯塑粉（户外型抗紫外线II级）。                                  </w:t>
            </w:r>
          </w:p>
          <w:p>
            <w:pPr>
              <w:widowControl/>
              <w:spacing w:line="360" w:lineRule="exact"/>
              <w:rPr>
                <w:rFonts w:hint="eastAsia" w:ascii="宋体" w:hAnsi="宋体" w:cs="宋体"/>
                <w:sz w:val="21"/>
                <w:szCs w:val="21"/>
              </w:rPr>
            </w:pPr>
            <w:r>
              <w:rPr>
                <w:rFonts w:hint="eastAsia" w:ascii="宋体" w:hAnsi="宋体" w:cs="宋体"/>
                <w:sz w:val="21"/>
                <w:szCs w:val="21"/>
              </w:rPr>
              <w:t>2.家具板材、冷轧钢材、五金件：</w:t>
            </w:r>
          </w:p>
          <w:p>
            <w:pPr>
              <w:widowControl/>
              <w:spacing w:line="360" w:lineRule="exact"/>
              <w:ind w:firstLine="422" w:firstLineChars="200"/>
              <w:rPr>
                <w:rFonts w:hint="eastAsia" w:ascii="宋体" w:hAnsi="宋体" w:cs="宋体"/>
                <w:sz w:val="21"/>
                <w:szCs w:val="21"/>
              </w:rPr>
            </w:pPr>
            <w:r>
              <w:rPr>
                <w:rFonts w:hint="eastAsia" w:ascii="宋体" w:hAnsi="宋体" w:cs="宋体"/>
                <w:b/>
                <w:bCs/>
                <w:sz w:val="21"/>
                <w:szCs w:val="21"/>
              </w:rPr>
              <w:t>★</w:t>
            </w:r>
            <w:r>
              <w:rPr>
                <w:rFonts w:hint="eastAsia" w:ascii="宋体" w:hAnsi="宋体" w:cs="宋体"/>
                <w:sz w:val="21"/>
                <w:szCs w:val="21"/>
              </w:rPr>
              <w:t>（1）家具板材均采用优质三聚氰胺饰面实木多层板，要求符合GB/T 34722-2017《浸渍胶膜纸饰面胶合板和细木工板》：板材甲醛释放量≤0.05mg/m³，理化性能-胶合强度胶合板基材≥0.70；表面胶合强度 （MPa） ≥0.60MPa；耐龟裂达到 5级以上；所有三聚氰胺饰面实木多层板厚度偏差不得超过±1.0mm。品牌参照“优之树”“兔宝宝”“千年舟”“森鹿”等同类品牌。</w:t>
            </w:r>
          </w:p>
          <w:p>
            <w:pPr>
              <w:pStyle w:val="28"/>
              <w:snapToGrid w:val="0"/>
              <w:spacing w:line="360" w:lineRule="exact"/>
              <w:ind w:firstLine="404"/>
              <w:outlineLvl w:val="0"/>
              <w:rPr>
                <w:rFonts w:ascii="宋体" w:hAnsi="宋体" w:cs="宋体"/>
                <w:kern w:val="0"/>
                <w:sz w:val="21"/>
                <w:szCs w:val="21"/>
                <w:lang w:bidi="ar"/>
              </w:rPr>
            </w:pPr>
            <w:r>
              <w:rPr>
                <w:rFonts w:ascii="宋体" w:hAnsi="宋体" w:cs="宋体"/>
                <w:kern w:val="0"/>
                <w:sz w:val="21"/>
                <w:szCs w:val="21"/>
                <w:lang w:bidi="ar"/>
              </w:rPr>
              <w:t>★</w:t>
            </w:r>
            <w:r>
              <w:rPr>
                <w:rFonts w:ascii="宋体" w:hAnsi="宋体" w:cs="宋体"/>
                <w:sz w:val="21"/>
                <w:szCs w:val="21"/>
              </w:rPr>
              <w:t>（2）所用钢材均采用优质冷轧钢材,依据GB/T 228.1-2021《金属材料 拉伸试验 第1部分:室温试验方法》拉伸试验：屈服强度≥300MPa；抗拉强度抗拉强度Rm≥400MPa；依据QB/T 3826-1999抗盐雾≥380h，GB/T3325-2024《金属家具通用技术条件》判定依据；QB/T 1951.2-2013《金属家具 质量检验及质量评定》金属喷涂层硬度≥H；冲击强度 、冲击高度 400mm，应无剥落、裂纹、皱纹；附着力不应低于 2 级。</w:t>
            </w:r>
          </w:p>
          <w:p>
            <w:pPr>
              <w:widowControl/>
              <w:spacing w:line="360" w:lineRule="exact"/>
              <w:ind w:firstLine="420" w:firstLineChars="200"/>
              <w:rPr>
                <w:rFonts w:hint="eastAsia" w:ascii="宋体" w:hAnsi="宋体" w:cs="宋体"/>
                <w:sz w:val="21"/>
                <w:szCs w:val="21"/>
              </w:rPr>
            </w:pPr>
            <w:r>
              <w:rPr>
                <w:rFonts w:hint="eastAsia" w:ascii="宋体" w:hAnsi="宋体" w:cs="宋体"/>
                <w:sz w:val="21"/>
                <w:szCs w:val="21"/>
              </w:rPr>
              <w:t>（3）所用五金件品牌参照“DTC”“美顿”“德昌”“东悍”等同类</w:t>
            </w:r>
            <w:r>
              <w:rPr>
                <w:rFonts w:hint="eastAsia" w:ascii="宋体" w:hAnsi="宋体" w:cs="宋体"/>
                <w:kern w:val="0"/>
                <w:sz w:val="21"/>
                <w:szCs w:val="21"/>
                <w:lang w:bidi="ar"/>
              </w:rPr>
              <w:t>品质</w:t>
            </w:r>
            <w:r>
              <w:rPr>
                <w:rFonts w:hint="eastAsia" w:ascii="宋体" w:hAnsi="宋体" w:cs="宋体"/>
                <w:sz w:val="21"/>
                <w:szCs w:val="21"/>
              </w:rPr>
              <w:t>品牌。铰链、轨道带有阻尼功能。</w:t>
            </w:r>
          </w:p>
          <w:p>
            <w:pPr>
              <w:widowControl/>
              <w:spacing w:line="360" w:lineRule="exact"/>
              <w:rPr>
                <w:rFonts w:hint="eastAsia" w:ascii="宋体" w:hAnsi="宋体" w:cs="宋体"/>
                <w:sz w:val="21"/>
                <w:szCs w:val="21"/>
              </w:rPr>
            </w:pPr>
            <w:r>
              <w:rPr>
                <w:rFonts w:hint="eastAsia" w:ascii="宋体" w:hAnsi="宋体" w:cs="宋体"/>
                <w:sz w:val="21"/>
                <w:szCs w:val="21"/>
              </w:rPr>
              <w:t>3.工艺要求：封边条厚度≥1.2 mm，封边处应无脱胶、鼓泡、透胶、露底；整件产品色泽应相似，涂层不得有皱皮、发粘和漏漆现象。正视面（包括面板）应平整光滑、清晰，应无明显木孔沉陷，其他部位表面手感应光滑，无明显粒子、涨边和不平整；所有冷轧钢管必须做到焊接平整、无虚焊、无明显焊疤、焊接处需打磨光滑；所有冷轧钢管必须做到酸洗磷化或硅烷或抛丸等处理，静电喷塑、高温烘烤。储物柜需固定在墙上。</w:t>
            </w:r>
          </w:p>
          <w:p>
            <w:pPr>
              <w:pStyle w:val="28"/>
              <w:spacing w:line="360" w:lineRule="exact"/>
              <w:ind w:firstLine="0" w:firstLineChars="0"/>
              <w:rPr>
                <w:rFonts w:ascii="宋体" w:hAnsi="宋体" w:cs="宋体"/>
                <w:sz w:val="21"/>
                <w:szCs w:val="21"/>
              </w:rPr>
            </w:pPr>
            <w:r>
              <w:rPr>
                <w:rFonts w:ascii="宋体" w:hAnsi="宋体" w:cs="宋体"/>
                <w:sz w:val="21"/>
                <w:szCs w:val="21"/>
              </w:rPr>
              <w:t>4.检测报告：所有材料均符合国家标准要求，须提供以下检测报告（提供带有CMA标志的有效期检测报告复印件并加盖公章，原件备查）：</w:t>
            </w:r>
          </w:p>
          <w:p>
            <w:pPr>
              <w:widowControl/>
              <w:ind w:firstLine="420" w:firstLineChars="200"/>
              <w:jc w:val="left"/>
              <w:rPr>
                <w:rFonts w:hint="eastAsia" w:ascii="宋体" w:hAnsi="宋体" w:cs="宋体"/>
                <w:sz w:val="21"/>
                <w:szCs w:val="21"/>
              </w:rPr>
            </w:pPr>
            <w:r>
              <w:rPr>
                <w:rFonts w:hint="eastAsia" w:ascii="宋体" w:hAnsi="宋体" w:cs="宋体"/>
                <w:kern w:val="0"/>
                <w:sz w:val="21"/>
                <w:szCs w:val="21"/>
                <w:lang w:bidi="ar"/>
              </w:rPr>
              <w:t>★</w:t>
            </w:r>
            <w:r>
              <w:rPr>
                <w:rFonts w:hint="eastAsia" w:ascii="宋体" w:hAnsi="宋体" w:cs="宋体"/>
                <w:sz w:val="21"/>
                <w:szCs w:val="21"/>
              </w:rPr>
              <w:t>(1)封边条：依据相关检测标准，检测报告需符合①QB/T 4463-2013</w:t>
            </w:r>
            <w:r>
              <w:rPr>
                <w:rFonts w:hint="eastAsia" w:cs="宋体"/>
                <w:sz w:val="21"/>
                <w:szCs w:val="21"/>
              </w:rPr>
              <w:t>理化性能要求，耐磨性磨 30r 后应无露底现象，耐开裂性(耐龟裂性)≥2级，耐色牢度≥4级</w:t>
            </w:r>
            <w:r>
              <w:rPr>
                <w:rFonts w:cs="宋体"/>
                <w:sz w:val="21"/>
                <w:szCs w:val="21"/>
              </w:rPr>
              <w:t>；</w:t>
            </w:r>
            <w:r>
              <w:rPr>
                <w:rFonts w:hint="eastAsia" w:ascii="宋体" w:hAnsi="宋体" w:cs="宋体"/>
                <w:sz w:val="21"/>
                <w:szCs w:val="21"/>
              </w:rPr>
              <w:t>②QB/T4371-2012抑菌率不小于99%；③GB/T 8626-2007、GB/T 20285-2006、</w:t>
            </w:r>
            <w:r>
              <w:rPr>
                <w:rFonts w:hint="eastAsia" w:ascii="宋体" w:hAnsi="宋体" w:cs="宋体"/>
                <w:sz w:val="21"/>
                <w:szCs w:val="21"/>
                <w:lang w:bidi="ar"/>
              </w:rPr>
              <w:t>GB/T 20284-2006阻燃1级</w:t>
            </w:r>
            <w:r>
              <w:rPr>
                <w:rFonts w:hint="eastAsia" w:ascii="宋体" w:hAnsi="宋体" w:cs="宋体"/>
                <w:sz w:val="21"/>
                <w:szCs w:val="21"/>
              </w:rPr>
              <w:t>；④GB8624-2012《建筑材料及制品燃烧性能分级</w:t>
            </w:r>
            <w:r>
              <w:rPr>
                <w:rFonts w:hint="eastAsia" w:ascii="宋体" w:hAnsi="宋体" w:cs="宋体"/>
                <w:sz w:val="21"/>
                <w:szCs w:val="21"/>
                <w:lang w:bidi="ar"/>
              </w:rPr>
              <w:t>》</w:t>
            </w:r>
            <w:r>
              <w:rPr>
                <w:rFonts w:hint="eastAsia" w:ascii="宋体" w:hAnsi="宋体" w:cs="宋体"/>
                <w:sz w:val="21"/>
                <w:szCs w:val="21"/>
              </w:rPr>
              <w:t>B1-C级或更优级别；⑤GB/T32487-2016《塑料家具通用技术条件》全项除力学，塑料件耐老化380h；⑥GB/T20285-2006产烟毒性危险分级达到ZA2级或更优级别；⑦JC/T 2039-2010防霉等级达到1级或更优级别。检测报告和检测标准满足4个及以上项目且没有分包检测的为有效检测报告。</w:t>
            </w:r>
          </w:p>
          <w:p>
            <w:pPr>
              <w:pStyle w:val="28"/>
              <w:spacing w:line="360" w:lineRule="exact"/>
              <w:ind w:firstLine="404"/>
              <w:rPr>
                <w:rFonts w:ascii="宋体" w:hAnsi="宋体" w:cs="宋体"/>
                <w:sz w:val="21"/>
                <w:szCs w:val="21"/>
              </w:rPr>
            </w:pPr>
            <w:r>
              <w:rPr>
                <w:rFonts w:ascii="宋体" w:hAnsi="宋体" w:cs="宋体"/>
                <w:kern w:val="0"/>
                <w:sz w:val="21"/>
                <w:szCs w:val="21"/>
                <w:lang w:bidi="ar"/>
              </w:rPr>
              <w:t>★</w:t>
            </w:r>
            <w:r>
              <w:rPr>
                <w:rFonts w:ascii="宋体" w:hAnsi="宋体" w:cs="宋体"/>
                <w:sz w:val="21"/>
                <w:szCs w:val="21"/>
              </w:rPr>
              <w:t>(2)热熔胶：依据相关检测标准，检测报告需符合①GB 18583-2008《室内装饰装修材料胶粘剂中有害物质限量》要求；②产烟毒性危险分级达到GB/T 20285—2006《材料产烟毒性危险分级》中的ZA2级或更优级别。检测报告和检测标准满足1个及以上项目且没有分包检测的为有效检测报告。</w:t>
            </w:r>
          </w:p>
          <w:p>
            <w:pPr>
              <w:widowControl/>
              <w:spacing w:line="360" w:lineRule="exact"/>
              <w:rPr>
                <w:rFonts w:hint="eastAsia" w:ascii="宋体" w:hAnsi="宋体" w:cs="宋体"/>
                <w:sz w:val="21"/>
                <w:szCs w:val="21"/>
              </w:rPr>
            </w:pPr>
            <w:r>
              <w:rPr>
                <w:rFonts w:hint="eastAsia" w:ascii="宋体" w:hAnsi="宋体" w:cs="宋体"/>
                <w:sz w:val="21"/>
                <w:szCs w:val="21"/>
              </w:rPr>
              <w:t>5.主色：原木纹色，配色：抹茶绿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837" w:type="dxa"/>
            <w:vAlign w:val="center"/>
          </w:tcPr>
          <w:p>
            <w:pPr>
              <w:pStyle w:val="15"/>
              <w:snapToGrid w:val="0"/>
              <w:spacing w:before="197" w:after="197" w:line="300" w:lineRule="exact"/>
              <w:jc w:val="center"/>
              <w:outlineLvl w:val="0"/>
              <w:rPr>
                <w:rFonts w:hint="eastAsia" w:hAnsi="宋体" w:cs="宋体"/>
                <w:sz w:val="21"/>
                <w:szCs w:val="21"/>
              </w:rPr>
            </w:pPr>
            <w:r>
              <w:rPr>
                <w:rFonts w:hint="eastAsia" w:hAnsi="宋体" w:cs="宋体"/>
                <w:sz w:val="21"/>
                <w:szCs w:val="21"/>
              </w:rPr>
              <w:t>5</w:t>
            </w:r>
          </w:p>
        </w:tc>
        <w:tc>
          <w:tcPr>
            <w:tcW w:w="2440" w:type="dxa"/>
            <w:vAlign w:val="center"/>
          </w:tcPr>
          <w:p>
            <w:pPr>
              <w:pStyle w:val="9"/>
              <w:jc w:val="center"/>
              <w:rPr>
                <w:rFonts w:hint="eastAsia" w:ascii="宋体" w:hAnsi="宋体" w:cs="宋体"/>
                <w:kern w:val="0"/>
                <w:sz w:val="21"/>
                <w:szCs w:val="21"/>
                <w:lang w:bidi="ar"/>
              </w:rPr>
            </w:pPr>
            <w:r>
              <w:rPr>
                <w:rFonts w:hint="eastAsia" w:ascii="宋体" w:hAnsi="宋体" w:cs="仿宋_GB2312"/>
                <w:sz w:val="21"/>
                <w:szCs w:val="21"/>
              </w:rPr>
              <w:t>靠背椅</w:t>
            </w:r>
          </w:p>
        </w:tc>
        <w:tc>
          <w:tcPr>
            <w:tcW w:w="4074" w:type="dxa"/>
            <w:vAlign w:val="center"/>
          </w:tcPr>
          <w:p/>
          <w:p/>
          <w:p>
            <w:pPr>
              <w:pStyle w:val="11"/>
              <w:rPr>
                <w:rFonts w:hAnsi="宋体" w:cs="宋体"/>
                <w:sz w:val="21"/>
                <w:szCs w:val="21"/>
              </w:rPr>
            </w:pPr>
          </w:p>
        </w:tc>
        <w:tc>
          <w:tcPr>
            <w:tcW w:w="7265" w:type="dxa"/>
          </w:tcPr>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1.规格:520*540*860mm，±20mm(长*宽*高);</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b/>
                <w:bCs/>
                <w:sz w:val="21"/>
                <w:szCs w:val="21"/>
              </w:rPr>
              <w:t>★</w:t>
            </w:r>
            <w:r>
              <w:rPr>
                <w:rFonts w:hint="eastAsia" w:hAnsi="宋体" w:cs="宋体"/>
                <w:kern w:val="0"/>
                <w:sz w:val="21"/>
                <w:szCs w:val="21"/>
                <w:lang w:bidi="ar"/>
              </w:rPr>
              <w:t>2.椅座:采用聚丙烯加玻璃纤维全新材料一体成型制作，坐宽≥445mm，坐深≥420mm,厚度≥9mm，座面安装高度≥440mm;</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b/>
                <w:bCs/>
                <w:sz w:val="21"/>
                <w:szCs w:val="21"/>
              </w:rPr>
              <w:t>★</w:t>
            </w:r>
            <w:r>
              <w:rPr>
                <w:rFonts w:hint="eastAsia" w:hAnsi="宋体" w:cs="宋体"/>
                <w:kern w:val="0"/>
                <w:sz w:val="21"/>
                <w:szCs w:val="21"/>
                <w:lang w:bidi="ar"/>
              </w:rPr>
              <w:t>3.椅背:采用聚丙烯加玻璃纤维全新材料一体成型制作，背宽≥415mm，背高≥440mm，厚度≥7mm;根据实际使用状态进行椅背角度调节，调节角度7-10度。</w:t>
            </w:r>
          </w:p>
          <w:p>
            <w:pPr>
              <w:pStyle w:val="28"/>
              <w:ind w:firstLine="0" w:firstLineChars="0"/>
              <w:rPr>
                <w:rFonts w:hAnsi="宋体" w:cs="宋体"/>
                <w:kern w:val="0"/>
                <w:sz w:val="21"/>
                <w:szCs w:val="21"/>
                <w:lang w:bidi="ar"/>
              </w:rPr>
            </w:pPr>
            <w:r>
              <w:rPr>
                <w:rFonts w:hAnsi="宋体" w:cs="宋体"/>
                <w:kern w:val="0"/>
                <w:sz w:val="21"/>
                <w:szCs w:val="21"/>
                <w:lang w:bidi="ar"/>
              </w:rPr>
              <w:t>4.椅脚:采用优质冷轧圆形钢管≥φ16mm*1.5mm(厚);(喷涂架)，金属件表面工艺:冷轧钢管经酸洗磷化或硅烷或抛丸等工艺处理后，通过粉沫喷涂设备进行静电喷塑，防锈防腐蚀。（</w:t>
            </w:r>
            <w:r>
              <w:rPr>
                <w:rFonts w:ascii="宋体" w:hAnsi="宋体" w:cs="宋体"/>
                <w:sz w:val="21"/>
                <w:szCs w:val="21"/>
              </w:rPr>
              <w:t>所用钢材均采用优质冷轧钢材,依据GB/T 228.1-2021《金属材料 拉伸试验 第1部分:室温试验方法》拉伸试验：屈服强度≥300MPa；抗拉强度抗拉强度Rm≥400MPa；依据QB/T 3826-1999抗盐雾≥380h，GB/T3325-2024《金属家具通用技术条件》判定依据；QB/T 1951.2-2013《金属家具 质量检验及质量评定》金属喷涂层硬度≥H；冲击强度 、冲击高度 400mm，应无剥落、裂纹、皱纹；附着力不应低于 2 级。）</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5.地脚:4个PP静音耐磨脚套，并做固定处理。</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6.塑料件:外观应无裂纹、明显变形、缩水、针孔;应无凹陷、飞边、杂质、伤痕、白印;表面应光洁，应无划痕、毛刺、拉毛、污渍;应无明显色差。</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7.检测报告：所有材料均符合国家标准要求，须提供以下检测报告（提供带有CMA标志的有效期内的检测报告复印件并加盖公章，原件备查）：</w:t>
            </w:r>
          </w:p>
          <w:p>
            <w:pPr>
              <w:wordWrap w:val="0"/>
              <w:spacing w:line="360" w:lineRule="exact"/>
              <w:ind w:firstLine="420" w:firstLineChars="200"/>
              <w:jc w:val="left"/>
              <w:rPr>
                <w:rFonts w:hint="eastAsia" w:ascii="宋体" w:hAnsi="宋体" w:cs="宋体"/>
                <w:kern w:val="0"/>
                <w:sz w:val="21"/>
                <w:szCs w:val="21"/>
                <w:lang w:bidi="ar"/>
              </w:rPr>
            </w:pPr>
            <w:r>
              <w:rPr>
                <w:rFonts w:hint="eastAsia" w:ascii="宋体" w:hAnsi="宋体" w:cs="宋体"/>
                <w:kern w:val="0"/>
                <w:sz w:val="21"/>
                <w:szCs w:val="21"/>
                <w:lang w:bidi="ar"/>
              </w:rPr>
              <w:t>★（1）</w:t>
            </w:r>
            <w:r>
              <w:rPr>
                <w:rFonts w:hint="eastAsia" w:ascii="宋体" w:hAnsi="宋体" w:cs="宋体"/>
                <w:sz w:val="21"/>
                <w:szCs w:val="21"/>
              </w:rPr>
              <w:t xml:space="preserve"> </w:t>
            </w:r>
            <w:r>
              <w:rPr>
                <w:rFonts w:hint="eastAsia" w:ascii="宋体" w:hAnsi="宋体" w:cs="宋体"/>
                <w:kern w:val="0"/>
                <w:sz w:val="21"/>
                <w:szCs w:val="21"/>
                <w:lang w:bidi="ar"/>
              </w:rPr>
              <w:t>PP塑料板：依据相关检测标准，检测报告需符合①QB/T4371-2012抑菌率不小于99%；②</w:t>
            </w:r>
            <w:r>
              <w:rPr>
                <w:rFonts w:hint="eastAsia" w:ascii="宋体" w:hAnsi="宋体" w:cs="宋体"/>
                <w:sz w:val="21"/>
                <w:szCs w:val="21"/>
                <w:lang w:bidi="ar"/>
              </w:rPr>
              <w:t>GB8624-2012《建筑材料及制品燃烧性能分级》B1级；</w:t>
            </w:r>
            <w:r>
              <w:rPr>
                <w:rFonts w:hint="eastAsia" w:ascii="宋体" w:hAnsi="宋体" w:cs="宋体"/>
                <w:kern w:val="0"/>
                <w:sz w:val="21"/>
                <w:szCs w:val="21"/>
                <w:lang w:bidi="ar"/>
              </w:rPr>
              <w:t>；③GB/T32487-2016塑料件耐老化满足380h，</w:t>
            </w:r>
            <w:r>
              <w:rPr>
                <w:rFonts w:hint="eastAsia" w:cs="宋体"/>
                <w:kern w:val="0"/>
                <w:sz w:val="21"/>
                <w:szCs w:val="21"/>
                <w:lang w:bidi="ar"/>
              </w:rPr>
              <w:t>冲击强度(J/m)≥10，翘曲度(mm )700≤面板、正视面板件对角线长度&lt;1400≤2.0，硬度邵氏 D 硬度≥HD63；④</w:t>
            </w:r>
            <w:r>
              <w:rPr>
                <w:rFonts w:hint="eastAsia" w:ascii="宋体" w:hAnsi="宋体" w:cs="宋体"/>
                <w:kern w:val="0"/>
                <w:sz w:val="21"/>
                <w:szCs w:val="21"/>
                <w:lang w:bidi="ar"/>
              </w:rPr>
              <w:t>产烟毒性危险分级达到GB/T 20285—2006中的ZA2级或更优级别；⑤JC/T 2039-2010 防霉等级达到1级或更优级别。检测报告和检测标准满足3个及以上项目且没有分包检测的为有效检测报告。</w:t>
            </w:r>
          </w:p>
          <w:p>
            <w:pPr>
              <w:widowControl/>
              <w:spacing w:line="360" w:lineRule="exact"/>
              <w:ind w:firstLine="420" w:firstLineChars="200"/>
              <w:jc w:val="left"/>
              <w:rPr>
                <w:rFonts w:hint="eastAsia" w:ascii="宋体" w:hAnsi="宋体" w:cs="宋体"/>
                <w:kern w:val="0"/>
                <w:sz w:val="21"/>
                <w:szCs w:val="21"/>
                <w:lang w:bidi="ar"/>
              </w:rPr>
            </w:pPr>
            <w:r>
              <w:rPr>
                <w:rFonts w:hint="eastAsia" w:ascii="宋体" w:hAnsi="宋体" w:cs="宋体"/>
                <w:kern w:val="0"/>
                <w:sz w:val="21"/>
                <w:szCs w:val="21"/>
                <w:lang w:bidi="ar"/>
              </w:rPr>
              <w:t>★（2）椅子：检测报告需符合①GB/T 32487-2016《塑料家具通用技术条件》塑料件耐老化380h外观颜色变色评级≥3级 ；②GB 20286-2006《公共场所阻燃制品及组件燃烧性能要求和标识》阻燃2级或更优级别；③产烟毒性危险分级达到GB/T 20285—2006《材料产烟毒性危险分级》中的ZA2级或更优级别；④QB/T 3826-1999《轻工产品金属镀层和化学处理层的耐腐蚀试验方法 中性盐雾试验(NSS)法》抗盐雾≥380h；⑤QB/T4371-2012《家具抗菌性能的评价》抑菌率不小于99%；⑥JC/T 2039-2010《抗菌防霉木质装饰板》防霉等级达到1级或更优级别。检测报告和检测标准满足3个及以上项目且没有分包检测的为有效检测报告。</w:t>
            </w:r>
          </w:p>
          <w:p>
            <w:pPr>
              <w:pStyle w:val="15"/>
              <w:snapToGrid w:val="0"/>
              <w:spacing w:beforeLines="0" w:afterLines="0" w:line="360" w:lineRule="exact"/>
              <w:outlineLvl w:val="0"/>
              <w:rPr>
                <w:rFonts w:hint="eastAsia" w:hAnsi="宋体" w:cs="宋体"/>
                <w:kern w:val="0"/>
                <w:sz w:val="21"/>
                <w:szCs w:val="21"/>
                <w:lang w:bidi="ar"/>
              </w:rPr>
            </w:pPr>
            <w:r>
              <w:rPr>
                <w:rFonts w:hint="eastAsia" w:hAnsi="宋体" w:cs="宋体"/>
                <w:kern w:val="0"/>
                <w:sz w:val="21"/>
                <w:szCs w:val="21"/>
                <w:lang w:bidi="ar"/>
              </w:rPr>
              <w:t>8.颜色：白色+抹茶绿</w:t>
            </w:r>
          </w:p>
        </w:tc>
      </w:tr>
    </w:tbl>
    <w:p>
      <w:pPr>
        <w:widowControl/>
        <w:jc w:val="left"/>
        <w:rPr>
          <w:rFonts w:cs="宋体"/>
          <w:b/>
          <w:kern w:val="0"/>
          <w:sz w:val="21"/>
          <w:szCs w:val="21"/>
        </w:rPr>
      </w:pPr>
      <w:r>
        <w:rPr>
          <w:rFonts w:hint="eastAsia" w:cs="宋体"/>
          <w:b/>
          <w:kern w:val="0"/>
          <w:sz w:val="21"/>
          <w:szCs w:val="21"/>
        </w:rPr>
        <w:t>注：1.上述技术参数为本次招标的基本要求。考虑到品牌间的差异，个别专业术语的命名不一致，允许各投标单位以各自的专业术语响应。</w:t>
      </w:r>
    </w:p>
    <w:p>
      <w:pPr>
        <w:widowControl/>
        <w:ind w:firstLine="422" w:firstLineChars="200"/>
        <w:jc w:val="left"/>
        <w:rPr>
          <w:rFonts w:cs="宋体"/>
          <w:b/>
          <w:kern w:val="0"/>
          <w:sz w:val="21"/>
          <w:szCs w:val="21"/>
        </w:rPr>
      </w:pPr>
      <w:r>
        <w:rPr>
          <w:rFonts w:hint="eastAsia" w:cs="宋体"/>
          <w:b/>
          <w:kern w:val="0"/>
          <w:sz w:val="21"/>
          <w:szCs w:val="21"/>
        </w:rPr>
        <w:t>▲2.投标人参加投标的核心产品为相同品牌产品且通过资格审查、符合性审查的，按一家投标人计算。</w:t>
      </w:r>
    </w:p>
    <w:p>
      <w:pPr>
        <w:widowControl/>
        <w:numPr>
          <w:ilvl w:val="0"/>
          <w:numId w:val="9"/>
        </w:numPr>
        <w:ind w:firstLine="422" w:firstLineChars="200"/>
        <w:jc w:val="left"/>
        <w:rPr>
          <w:rFonts w:cs="宋体"/>
          <w:b/>
          <w:kern w:val="0"/>
          <w:sz w:val="24"/>
        </w:rPr>
      </w:pPr>
      <w:r>
        <w:rPr>
          <w:rFonts w:hint="eastAsia" w:cs="宋体"/>
          <w:b/>
          <w:kern w:val="0"/>
          <w:sz w:val="21"/>
          <w:szCs w:val="21"/>
        </w:rPr>
        <w:t>投标人须提供核心产品生产厂商的出厂技术参数配置表彩页（或中文技术参数说明书，或设备生产厂商有关技术参数的说明）。</w:t>
      </w:r>
      <w:r>
        <w:rPr>
          <w:rFonts w:hint="eastAsia" w:cs="宋体"/>
          <w:b/>
          <w:kern w:val="0"/>
          <w:sz w:val="24"/>
        </w:rPr>
        <w:t xml:space="preserve"> </w:t>
      </w:r>
    </w:p>
    <w:p>
      <w:pPr>
        <w:widowControl/>
        <w:numPr>
          <w:ilvl w:val="255"/>
          <w:numId w:val="0"/>
        </w:numPr>
        <w:ind w:firstLine="482" w:firstLineChars="200"/>
        <w:jc w:val="left"/>
        <w:rPr>
          <w:rFonts w:cs="宋体"/>
          <w:b/>
          <w:kern w:val="0"/>
          <w:sz w:val="24"/>
        </w:rPr>
      </w:pPr>
      <w:r>
        <w:rPr>
          <w:rFonts w:hint="eastAsia" w:cs="宋体"/>
          <w:b/>
          <w:kern w:val="0"/>
          <w:sz w:val="24"/>
        </w:rPr>
        <w:t>4. 同类的技术参数视为同一项，不重复计算正、负偏离或缺漏项。</w:t>
      </w:r>
    </w:p>
    <w:p>
      <w:pPr>
        <w:pStyle w:val="9"/>
        <w:spacing w:after="0"/>
        <w:rPr>
          <w:rFonts w:hint="eastAsia" w:ascii="宋体" w:hAnsi="宋体" w:cs="宋体"/>
          <w:sz w:val="24"/>
        </w:rPr>
      </w:pPr>
      <w:r>
        <w:rPr>
          <w:rFonts w:hint="eastAsia" w:cs="宋体"/>
          <w:b/>
          <w:kern w:val="0"/>
          <w:sz w:val="24"/>
        </w:rPr>
        <w:br w:type="page"/>
      </w:r>
      <w:r>
        <w:rPr>
          <w:rFonts w:hint="eastAsia" w:ascii="宋体" w:hAnsi="宋体" w:cs="宋体"/>
          <w:bCs/>
          <w:kern w:val="0"/>
          <w:sz w:val="24"/>
        </w:rPr>
        <w:t>2.尺寸参考图</w:t>
      </w:r>
    </w:p>
    <w:p>
      <w:pPr>
        <w:pStyle w:val="15"/>
        <w:overflowPunct w:val="0"/>
        <w:snapToGrid w:val="0"/>
        <w:spacing w:beforeLines="0" w:afterLines="0" w:line="360" w:lineRule="exact"/>
        <w:rPr>
          <w:rFonts w:hint="eastAsia" w:hAnsi="宋体" w:cs="宋体"/>
          <w:sz w:val="21"/>
          <w:szCs w:val="21"/>
        </w:rPr>
      </w:pPr>
      <w:r>
        <w:rPr>
          <w:rFonts w:hint="eastAsia" w:hAnsi="宋体" w:cs="宋体"/>
          <w:sz w:val="21"/>
          <w:szCs w:val="21"/>
        </w:rPr>
        <w:t>（1）二连体中梯公寓床A：</w:t>
      </w:r>
    </w:p>
    <w:p>
      <w:pPr>
        <w:pStyle w:val="15"/>
        <w:overflowPunct w:val="0"/>
        <w:snapToGrid w:val="0"/>
        <w:spacing w:beforeLines="0" w:afterLines="0" w:line="360" w:lineRule="exact"/>
        <w:rPr>
          <w:rFonts w:hint="eastAsia" w:hAnsi="宋体" w:cs="宋体"/>
          <w:sz w:val="21"/>
          <w:szCs w:val="21"/>
        </w:rPr>
      </w:pPr>
      <w:r>
        <w:drawing>
          <wp:anchor distT="0" distB="0" distL="114300" distR="114300" simplePos="0" relativeHeight="251659264" behindDoc="1" locked="0" layoutInCell="1" allowOverlap="1">
            <wp:simplePos x="0" y="0"/>
            <wp:positionH relativeFrom="column">
              <wp:posOffset>-173990</wp:posOffset>
            </wp:positionH>
            <wp:positionV relativeFrom="paragraph">
              <wp:posOffset>150495</wp:posOffset>
            </wp:positionV>
            <wp:extent cx="6957695" cy="5073015"/>
            <wp:effectExtent l="0" t="0" r="1905" b="6985"/>
            <wp:wrapNone/>
            <wp:docPr id="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3"/>
                    <pic:cNvPicPr>
                      <a:picLocks noChangeAspect="1"/>
                    </pic:cNvPicPr>
                  </pic:nvPicPr>
                  <pic:blipFill>
                    <a:blip r:embed="rId24"/>
                    <a:stretch>
                      <a:fillRect/>
                    </a:stretch>
                  </pic:blipFill>
                  <pic:spPr>
                    <a:xfrm>
                      <a:off x="0" y="0"/>
                      <a:ext cx="6957695" cy="5073015"/>
                    </a:xfrm>
                    <a:prstGeom prst="rect">
                      <a:avLst/>
                    </a:prstGeom>
                    <a:noFill/>
                    <a:ln>
                      <a:noFill/>
                    </a:ln>
                  </pic:spPr>
                </pic:pic>
              </a:graphicData>
            </a:graphic>
          </wp:anchor>
        </w:drawing>
      </w: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r>
        <w:rPr>
          <w:rFonts w:hint="eastAsia" w:hAnsi="宋体" w:cs="宋体"/>
          <w:sz w:val="21"/>
          <w:szCs w:val="21"/>
        </w:rPr>
        <w:drawing>
          <wp:anchor distT="0" distB="0" distL="114300" distR="114300" simplePos="0" relativeHeight="251662336" behindDoc="1" locked="0" layoutInCell="1" allowOverlap="1">
            <wp:simplePos x="0" y="0"/>
            <wp:positionH relativeFrom="column">
              <wp:posOffset>-320675</wp:posOffset>
            </wp:positionH>
            <wp:positionV relativeFrom="paragraph">
              <wp:posOffset>-44450</wp:posOffset>
            </wp:positionV>
            <wp:extent cx="8181975" cy="6523355"/>
            <wp:effectExtent l="0" t="0" r="9525" b="4445"/>
            <wp:wrapNone/>
            <wp:docPr id="4" name="图片 47" descr="feb9ef7117f36d3effbe1745e4bd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7" descr="feb9ef7117f36d3effbe1745e4bdc47"/>
                    <pic:cNvPicPr>
                      <a:picLocks noChangeAspect="1"/>
                    </pic:cNvPicPr>
                  </pic:nvPicPr>
                  <pic:blipFill>
                    <a:blip r:embed="rId25"/>
                    <a:stretch>
                      <a:fillRect/>
                    </a:stretch>
                  </pic:blipFill>
                  <pic:spPr>
                    <a:xfrm>
                      <a:off x="0" y="0"/>
                      <a:ext cx="8181975" cy="6523355"/>
                    </a:xfrm>
                    <a:prstGeom prst="rect">
                      <a:avLst/>
                    </a:prstGeom>
                    <a:noFill/>
                    <a:ln>
                      <a:noFill/>
                    </a:ln>
                  </pic:spPr>
                </pic:pic>
              </a:graphicData>
            </a:graphic>
          </wp:anchor>
        </w:drawing>
      </w: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r>
        <w:drawing>
          <wp:anchor distT="0" distB="0" distL="114300" distR="114300" simplePos="0" relativeHeight="251660288" behindDoc="1" locked="0" layoutInCell="1" allowOverlap="1">
            <wp:simplePos x="0" y="0"/>
            <wp:positionH relativeFrom="column">
              <wp:posOffset>277495</wp:posOffset>
            </wp:positionH>
            <wp:positionV relativeFrom="paragraph">
              <wp:posOffset>147955</wp:posOffset>
            </wp:positionV>
            <wp:extent cx="4358005" cy="5264785"/>
            <wp:effectExtent l="0" t="0" r="10795" b="5715"/>
            <wp:wrapNone/>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pic:cNvPicPr>
                      <a:picLocks noChangeAspect="1"/>
                    </pic:cNvPicPr>
                  </pic:nvPicPr>
                  <pic:blipFill>
                    <a:blip r:embed="rId26"/>
                    <a:stretch>
                      <a:fillRect/>
                    </a:stretch>
                  </pic:blipFill>
                  <pic:spPr>
                    <a:xfrm>
                      <a:off x="0" y="0"/>
                      <a:ext cx="4358005" cy="5264785"/>
                    </a:xfrm>
                    <a:prstGeom prst="rect">
                      <a:avLst/>
                    </a:prstGeom>
                    <a:noFill/>
                    <a:ln>
                      <a:noFill/>
                    </a:ln>
                  </pic:spPr>
                </pic:pic>
              </a:graphicData>
            </a:graphic>
          </wp:anchor>
        </w:drawing>
      </w: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p>
    <w:p>
      <w:pPr>
        <w:pStyle w:val="15"/>
        <w:overflowPunct w:val="0"/>
        <w:snapToGrid w:val="0"/>
        <w:spacing w:beforeLines="0" w:afterLines="0" w:line="360" w:lineRule="exact"/>
        <w:rPr>
          <w:rFonts w:hint="eastAsia" w:hAnsi="宋体" w:cs="宋体"/>
          <w:sz w:val="21"/>
          <w:szCs w:val="21"/>
        </w:rPr>
      </w:pPr>
      <w:r>
        <w:drawing>
          <wp:anchor distT="0" distB="0" distL="114300" distR="114300" simplePos="0" relativeHeight="251661312" behindDoc="1" locked="0" layoutInCell="1" allowOverlap="1">
            <wp:simplePos x="0" y="0"/>
            <wp:positionH relativeFrom="column">
              <wp:posOffset>85090</wp:posOffset>
            </wp:positionH>
            <wp:positionV relativeFrom="paragraph">
              <wp:posOffset>156210</wp:posOffset>
            </wp:positionV>
            <wp:extent cx="7663815" cy="5751830"/>
            <wp:effectExtent l="0" t="0" r="6985" b="1270"/>
            <wp:wrapNone/>
            <wp:docPr id="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pic:cNvPicPr>
                      <a:picLocks noChangeAspect="1"/>
                    </pic:cNvPicPr>
                  </pic:nvPicPr>
                  <pic:blipFill>
                    <a:blip r:embed="rId27"/>
                    <a:stretch>
                      <a:fillRect/>
                    </a:stretch>
                  </pic:blipFill>
                  <pic:spPr>
                    <a:xfrm>
                      <a:off x="0" y="0"/>
                      <a:ext cx="7663815" cy="5751830"/>
                    </a:xfrm>
                    <a:prstGeom prst="rect">
                      <a:avLst/>
                    </a:prstGeom>
                    <a:noFill/>
                    <a:ln>
                      <a:noFill/>
                    </a:ln>
                  </pic:spPr>
                </pic:pic>
              </a:graphicData>
            </a:graphic>
          </wp:anchor>
        </w:drawing>
      </w:r>
      <w:r>
        <w:rPr>
          <w:rFonts w:hint="eastAsia" w:hAnsi="宋体" w:cs="宋体"/>
          <w:sz w:val="21"/>
          <w:szCs w:val="21"/>
        </w:rPr>
        <w:t>（2）二连体中梯公寓床B：</w:t>
      </w:r>
    </w:p>
    <w:p>
      <w:pPr>
        <w:pStyle w:val="27"/>
      </w:pPr>
    </w:p>
    <w:p>
      <w:pPr>
        <w:rPr>
          <w:rFonts w:hint="eastAsia" w:ascii="宋体" w:hAnsi="宋体" w:cs="宋体"/>
          <w:sz w:val="24"/>
        </w:rPr>
      </w:pPr>
    </w:p>
    <w:p>
      <w:pPr>
        <w:pStyle w:val="9"/>
        <w:rPr>
          <w:rFonts w:hint="eastAsia" w:ascii="宋体" w:hAnsi="宋体" w:cs="宋体"/>
          <w:sz w:val="24"/>
        </w:rPr>
      </w:pPr>
    </w:p>
    <w:p>
      <w:pPr>
        <w:pStyle w:val="9"/>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widowControl/>
        <w:textAlignment w:val="center"/>
        <w:rPr>
          <w:rFonts w:hint="eastAsia" w:ascii="宋体" w:hAnsi="宋体" w:cs="宋体"/>
          <w:sz w:val="24"/>
        </w:rPr>
      </w:pPr>
    </w:p>
    <w:p>
      <w:pPr>
        <w:rPr>
          <w:rFonts w:hint="eastAsia" w:ascii="宋体" w:hAnsi="宋体" w:cs="宋体"/>
          <w:sz w:val="24"/>
        </w:rPr>
      </w:pPr>
      <w:r>
        <w:rPr>
          <w:rFonts w:hint="eastAsia" w:ascii="宋体" w:hAnsi="宋体" w:cs="宋体"/>
          <w:sz w:val="24"/>
        </w:rPr>
        <w:drawing>
          <wp:inline distT="0" distB="0" distL="114300" distR="114300">
            <wp:extent cx="7731125" cy="6163945"/>
            <wp:effectExtent l="0" t="0" r="3175" b="8255"/>
            <wp:docPr id="35" name="图片 66" descr="feb9ef7117f36d3effbe1745e4bd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6" descr="feb9ef7117f36d3effbe1745e4bdc47"/>
                    <pic:cNvPicPr>
                      <a:picLocks noChangeAspect="1"/>
                    </pic:cNvPicPr>
                  </pic:nvPicPr>
                  <pic:blipFill>
                    <a:blip r:embed="rId25"/>
                    <a:stretch>
                      <a:fillRect/>
                    </a:stretch>
                  </pic:blipFill>
                  <pic:spPr>
                    <a:xfrm>
                      <a:off x="0" y="0"/>
                      <a:ext cx="7731125" cy="6163945"/>
                    </a:xfrm>
                    <a:prstGeom prst="rect">
                      <a:avLst/>
                    </a:prstGeom>
                    <a:noFill/>
                    <a:ln>
                      <a:noFill/>
                    </a:ln>
                  </pic:spPr>
                </pic:pic>
              </a:graphicData>
            </a:graphic>
          </wp:inline>
        </w:drawing>
      </w:r>
    </w:p>
    <w:p>
      <w:pPr>
        <w:pStyle w:val="27"/>
        <w:ind w:firstLine="0"/>
      </w:pPr>
      <w:r>
        <w:drawing>
          <wp:inline distT="0" distB="0" distL="114300" distR="114300">
            <wp:extent cx="3916680" cy="5229860"/>
            <wp:effectExtent l="0" t="0" r="7620" b="2540"/>
            <wp:docPr id="3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2"/>
                    <pic:cNvPicPr>
                      <a:picLocks noChangeAspect="1"/>
                    </pic:cNvPicPr>
                  </pic:nvPicPr>
                  <pic:blipFill>
                    <a:blip r:embed="rId28"/>
                    <a:stretch>
                      <a:fillRect/>
                    </a:stretch>
                  </pic:blipFill>
                  <pic:spPr>
                    <a:xfrm>
                      <a:off x="0" y="0"/>
                      <a:ext cx="3916680" cy="5229860"/>
                    </a:xfrm>
                    <a:prstGeom prst="rect">
                      <a:avLst/>
                    </a:prstGeom>
                    <a:noFill/>
                    <a:ln>
                      <a:noFill/>
                    </a:ln>
                  </pic:spPr>
                </pic:pic>
              </a:graphicData>
            </a:graphic>
          </wp:inline>
        </w:drawing>
      </w:r>
    </w:p>
    <w:p>
      <w:pPr>
        <w:widowControl/>
        <w:textAlignment w:val="center"/>
        <w:rPr>
          <w:rFonts w:hint="eastAsia" w:ascii="宋体" w:hAnsi="宋体" w:cs="宋体"/>
          <w:kern w:val="0"/>
          <w:sz w:val="21"/>
          <w:szCs w:val="21"/>
          <w:lang w:bidi="ar"/>
        </w:rPr>
      </w:pPr>
      <w:r>
        <w:rPr>
          <w:rFonts w:hint="eastAsia" w:ascii="宋体" w:hAnsi="宋体" w:cs="宋体"/>
          <w:kern w:val="0"/>
          <w:sz w:val="21"/>
          <w:szCs w:val="21"/>
          <w:lang w:bidi="ar"/>
        </w:rPr>
        <w:t>（3）单人中高公寓床:</w:t>
      </w:r>
    </w:p>
    <w:p>
      <w:r>
        <w:drawing>
          <wp:inline distT="0" distB="0" distL="114300" distR="114300">
            <wp:extent cx="6993890" cy="4844415"/>
            <wp:effectExtent l="0" t="0" r="3810" b="6985"/>
            <wp:docPr id="3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4"/>
                    <pic:cNvPicPr>
                      <a:picLocks noChangeAspect="1"/>
                    </pic:cNvPicPr>
                  </pic:nvPicPr>
                  <pic:blipFill>
                    <a:blip r:embed="rId29"/>
                    <a:stretch>
                      <a:fillRect/>
                    </a:stretch>
                  </pic:blipFill>
                  <pic:spPr>
                    <a:xfrm>
                      <a:off x="0" y="0"/>
                      <a:ext cx="6993890" cy="4844415"/>
                    </a:xfrm>
                    <a:prstGeom prst="rect">
                      <a:avLst/>
                    </a:prstGeom>
                    <a:noFill/>
                    <a:ln>
                      <a:noFill/>
                    </a:ln>
                  </pic:spPr>
                </pic:pic>
              </a:graphicData>
            </a:graphic>
          </wp:inline>
        </w:drawing>
      </w:r>
    </w:p>
    <w:p>
      <w:pPr>
        <w:pStyle w:val="11"/>
        <w:ind w:firstLine="0"/>
        <w:rPr>
          <w:rFonts w:hAnsi="宋体" w:cs="宋体"/>
          <w:kern w:val="0"/>
          <w:sz w:val="21"/>
          <w:szCs w:val="21"/>
          <w:lang w:bidi="ar"/>
        </w:rPr>
      </w:pPr>
      <w:r>
        <w:rPr>
          <w:rFonts w:hAnsi="宋体" w:cs="宋体"/>
          <w:kern w:val="0"/>
          <w:sz w:val="21"/>
          <w:szCs w:val="21"/>
          <w:lang w:bidi="ar"/>
        </w:rPr>
        <w:t>（4）书桌A:</w:t>
      </w:r>
    </w:p>
    <w:p>
      <w:pPr>
        <w:pStyle w:val="9"/>
        <w:rPr>
          <w:rFonts w:hint="eastAsia" w:ascii="宋体" w:hAnsi="宋体" w:cs="宋体"/>
          <w:kern w:val="0"/>
          <w:sz w:val="21"/>
          <w:szCs w:val="21"/>
          <w:lang w:bidi="ar"/>
        </w:rPr>
      </w:pPr>
      <w:r>
        <w:rPr>
          <w:rFonts w:hint="eastAsia"/>
        </w:rPr>
        <w:drawing>
          <wp:inline distT="0" distB="0" distL="114300" distR="114300">
            <wp:extent cx="7016750" cy="4960620"/>
            <wp:effectExtent l="0" t="0" r="6350" b="5080"/>
            <wp:docPr id="38" name="图片 68" descr="c7f0cb461b0132c09084d23476b1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8" descr="c7f0cb461b0132c09084d23476b13c0"/>
                    <pic:cNvPicPr>
                      <a:picLocks noChangeAspect="1"/>
                    </pic:cNvPicPr>
                  </pic:nvPicPr>
                  <pic:blipFill>
                    <a:blip r:embed="rId30"/>
                    <a:stretch>
                      <a:fillRect/>
                    </a:stretch>
                  </pic:blipFill>
                  <pic:spPr>
                    <a:xfrm>
                      <a:off x="0" y="0"/>
                      <a:ext cx="7016750" cy="4960620"/>
                    </a:xfrm>
                    <a:prstGeom prst="rect">
                      <a:avLst/>
                    </a:prstGeom>
                    <a:noFill/>
                    <a:ln>
                      <a:noFill/>
                    </a:ln>
                  </pic:spPr>
                </pic:pic>
              </a:graphicData>
            </a:graphic>
          </wp:inline>
        </w:drawing>
      </w:r>
    </w:p>
    <w:p>
      <w:pPr>
        <w:pStyle w:val="9"/>
        <w:rPr>
          <w:rFonts w:hint="eastAsia" w:ascii="宋体" w:hAnsi="宋体" w:cs="宋体"/>
          <w:kern w:val="0"/>
          <w:sz w:val="21"/>
          <w:szCs w:val="21"/>
          <w:lang w:bidi="ar"/>
        </w:rPr>
      </w:pPr>
      <w:r>
        <w:rPr>
          <w:rFonts w:hint="eastAsia" w:ascii="宋体" w:hAnsi="宋体" w:cs="宋体"/>
          <w:kern w:val="0"/>
          <w:sz w:val="21"/>
          <w:szCs w:val="21"/>
          <w:lang w:bidi="ar"/>
        </w:rPr>
        <w:t>（5）书桌B：</w:t>
      </w:r>
    </w:p>
    <w:p>
      <w:pPr>
        <w:pStyle w:val="9"/>
        <w:rPr>
          <w:rFonts w:hint="eastAsia" w:ascii="宋体" w:hAnsi="宋体" w:cs="宋体"/>
          <w:sz w:val="21"/>
          <w:szCs w:val="21"/>
        </w:rPr>
      </w:pPr>
      <w:r>
        <w:drawing>
          <wp:inline distT="0" distB="0" distL="114300" distR="114300">
            <wp:extent cx="7092315" cy="4808855"/>
            <wp:effectExtent l="0" t="0" r="6985" b="4445"/>
            <wp:docPr id="3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7"/>
                    <pic:cNvPicPr>
                      <a:picLocks noChangeAspect="1"/>
                    </pic:cNvPicPr>
                  </pic:nvPicPr>
                  <pic:blipFill>
                    <a:blip r:embed="rId31"/>
                    <a:stretch>
                      <a:fillRect/>
                    </a:stretch>
                  </pic:blipFill>
                  <pic:spPr>
                    <a:xfrm>
                      <a:off x="0" y="0"/>
                      <a:ext cx="7092315" cy="4808855"/>
                    </a:xfrm>
                    <a:prstGeom prst="rect">
                      <a:avLst/>
                    </a:prstGeom>
                    <a:noFill/>
                    <a:ln>
                      <a:noFill/>
                    </a:ln>
                  </pic:spPr>
                </pic:pic>
              </a:graphicData>
            </a:graphic>
          </wp:inline>
        </w:drawing>
      </w:r>
    </w:p>
    <w:p>
      <w:pPr>
        <w:widowControl/>
        <w:numPr>
          <w:ilvl w:val="0"/>
          <w:numId w:val="10"/>
        </w:numPr>
        <w:textAlignment w:val="center"/>
        <w:rPr>
          <w:rFonts w:hint="eastAsia" w:ascii="宋体" w:hAnsi="宋体" w:cs="宋体"/>
          <w:kern w:val="0"/>
          <w:sz w:val="21"/>
          <w:szCs w:val="21"/>
          <w:lang w:bidi="ar"/>
        </w:rPr>
      </w:pPr>
      <w:r>
        <w:rPr>
          <w:rFonts w:hint="eastAsia" w:ascii="宋体" w:hAnsi="宋体" w:cs="宋体"/>
          <w:kern w:val="0"/>
          <w:sz w:val="21"/>
          <w:szCs w:val="21"/>
          <w:lang w:bidi="ar"/>
        </w:rPr>
        <w:t>单人床：</w:t>
      </w:r>
    </w:p>
    <w:p>
      <w:pPr>
        <w:pStyle w:val="11"/>
        <w:ind w:firstLine="0"/>
        <w:rPr>
          <w:rFonts w:hAnsi="宋体" w:cs="宋体"/>
          <w:sz w:val="21"/>
          <w:szCs w:val="21"/>
        </w:rPr>
      </w:pPr>
      <w:r>
        <w:drawing>
          <wp:inline distT="0" distB="0" distL="114300" distR="114300">
            <wp:extent cx="7415530" cy="4848860"/>
            <wp:effectExtent l="0" t="0" r="1270" b="2540"/>
            <wp:docPr id="4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0"/>
                    <pic:cNvPicPr>
                      <a:picLocks noChangeAspect="1"/>
                    </pic:cNvPicPr>
                  </pic:nvPicPr>
                  <pic:blipFill>
                    <a:blip r:embed="rId32"/>
                    <a:stretch>
                      <a:fillRect/>
                    </a:stretch>
                  </pic:blipFill>
                  <pic:spPr>
                    <a:xfrm>
                      <a:off x="0" y="0"/>
                      <a:ext cx="7415530" cy="4848860"/>
                    </a:xfrm>
                    <a:prstGeom prst="rect">
                      <a:avLst/>
                    </a:prstGeom>
                    <a:noFill/>
                    <a:ln>
                      <a:noFill/>
                    </a:ln>
                  </pic:spPr>
                </pic:pic>
              </a:graphicData>
            </a:graphic>
          </wp:inline>
        </w:drawing>
      </w:r>
    </w:p>
    <w:p>
      <w:pPr>
        <w:ind w:firstLine="210" w:firstLineChars="100"/>
      </w:pPr>
      <w:r>
        <w:rPr>
          <w:rFonts w:hint="eastAsia" w:ascii="宋体" w:hAnsi="宋体" w:cs="宋体"/>
          <w:sz w:val="21"/>
          <w:szCs w:val="21"/>
        </w:rPr>
        <w:t>（7）双人衣柜：</w:t>
      </w:r>
    </w:p>
    <w:p>
      <w:pPr>
        <w:pStyle w:val="28"/>
        <w:ind w:firstLine="360"/>
        <w:rPr>
          <w:rFonts w:hint="default"/>
        </w:rPr>
      </w:pPr>
      <w:r>
        <w:drawing>
          <wp:inline distT="0" distB="0" distL="114300" distR="114300">
            <wp:extent cx="6269355" cy="4928235"/>
            <wp:effectExtent l="0" t="0" r="4445" b="12065"/>
            <wp:docPr id="4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2"/>
                    <pic:cNvPicPr>
                      <a:picLocks noChangeAspect="1"/>
                    </pic:cNvPicPr>
                  </pic:nvPicPr>
                  <pic:blipFill>
                    <a:blip r:embed="rId33"/>
                    <a:stretch>
                      <a:fillRect/>
                    </a:stretch>
                  </pic:blipFill>
                  <pic:spPr>
                    <a:xfrm>
                      <a:off x="0" y="0"/>
                      <a:ext cx="6269355" cy="4928235"/>
                    </a:xfrm>
                    <a:prstGeom prst="rect">
                      <a:avLst/>
                    </a:prstGeom>
                    <a:noFill/>
                    <a:ln>
                      <a:noFill/>
                    </a:ln>
                  </pic:spPr>
                </pic:pic>
              </a:graphicData>
            </a:graphic>
          </wp:inline>
        </w:drawing>
      </w:r>
    </w:p>
    <w:p>
      <w:pPr>
        <w:pStyle w:val="11"/>
        <w:ind w:firstLine="0"/>
        <w:rPr>
          <w:rFonts w:hint="default"/>
          <w:sz w:val="21"/>
          <w:szCs w:val="21"/>
        </w:rPr>
      </w:pPr>
      <w:r>
        <w:rPr>
          <w:sz w:val="21"/>
          <w:szCs w:val="21"/>
        </w:rPr>
        <w:t>（8）储物柜D、储物柜E：（</w:t>
      </w:r>
      <w:r>
        <w:rPr>
          <w:rFonts w:hAnsi="宋体" w:cs="宋体"/>
          <w:sz w:val="21"/>
          <w:szCs w:val="21"/>
        </w:rPr>
        <w:t>储物柜E：顶板后侧增加约长250mm*宽100mm左右的挡板，用于遮挡柜体和消防水管之间的缝隙，具体尺寸以现场实际测量为准</w:t>
      </w:r>
      <w:r>
        <w:rPr>
          <w:sz w:val="21"/>
          <w:szCs w:val="21"/>
        </w:rPr>
        <w:t>）</w:t>
      </w:r>
    </w:p>
    <w:p>
      <w:pPr>
        <w:pStyle w:val="28"/>
        <w:ind w:firstLine="0" w:firstLineChars="0"/>
        <w:rPr>
          <w:rFonts w:hint="default"/>
        </w:rPr>
      </w:pPr>
    </w:p>
    <w:p>
      <w:r>
        <w:drawing>
          <wp:inline distT="0" distB="0" distL="114300" distR="114300">
            <wp:extent cx="4856480" cy="4304665"/>
            <wp:effectExtent l="0" t="0" r="7620" b="635"/>
            <wp:docPr id="4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3"/>
                    <pic:cNvPicPr>
                      <a:picLocks noChangeAspect="1"/>
                    </pic:cNvPicPr>
                  </pic:nvPicPr>
                  <pic:blipFill>
                    <a:blip r:embed="rId34"/>
                    <a:stretch>
                      <a:fillRect/>
                    </a:stretch>
                  </pic:blipFill>
                  <pic:spPr>
                    <a:xfrm>
                      <a:off x="0" y="0"/>
                      <a:ext cx="4856480" cy="4304665"/>
                    </a:xfrm>
                    <a:prstGeom prst="rect">
                      <a:avLst/>
                    </a:prstGeom>
                    <a:noFill/>
                    <a:ln>
                      <a:noFill/>
                    </a:ln>
                  </pic:spPr>
                </pic:pic>
              </a:graphicData>
            </a:graphic>
          </wp:inline>
        </w:drawing>
      </w:r>
    </w:p>
    <w:p>
      <w:pPr>
        <w:pStyle w:val="28"/>
        <w:numPr>
          <w:ilvl w:val="0"/>
          <w:numId w:val="11"/>
        </w:numPr>
        <w:ind w:firstLine="404"/>
        <w:rPr>
          <w:rFonts w:ascii="宋体" w:hAnsi="宋体" w:cs="宋体"/>
          <w:sz w:val="21"/>
          <w:szCs w:val="21"/>
        </w:rPr>
      </w:pPr>
      <w:r>
        <w:rPr>
          <w:rFonts w:ascii="宋体" w:hAnsi="宋体" w:cs="宋体"/>
          <w:sz w:val="21"/>
          <w:szCs w:val="21"/>
        </w:rPr>
        <w:t>靠背椅：</w:t>
      </w:r>
    </w:p>
    <w:p>
      <w:r>
        <w:drawing>
          <wp:inline distT="0" distB="0" distL="114300" distR="114300">
            <wp:extent cx="3453130" cy="3707130"/>
            <wp:effectExtent l="0" t="0" r="1270" b="1270"/>
            <wp:docPr id="4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4"/>
                    <pic:cNvPicPr>
                      <a:picLocks noChangeAspect="1"/>
                    </pic:cNvPicPr>
                  </pic:nvPicPr>
                  <pic:blipFill>
                    <a:blip r:embed="rId35"/>
                    <a:stretch>
                      <a:fillRect/>
                    </a:stretch>
                  </pic:blipFill>
                  <pic:spPr>
                    <a:xfrm>
                      <a:off x="0" y="0"/>
                      <a:ext cx="3453130" cy="3707130"/>
                    </a:xfrm>
                    <a:prstGeom prst="rect">
                      <a:avLst/>
                    </a:prstGeom>
                    <a:noFill/>
                    <a:ln>
                      <a:noFill/>
                    </a:ln>
                  </pic:spPr>
                </pic:pic>
              </a:graphicData>
            </a:graphic>
          </wp:inline>
        </w:drawing>
      </w:r>
      <w:r>
        <w:drawing>
          <wp:inline distT="0" distB="0" distL="114300" distR="114300">
            <wp:extent cx="3667760" cy="3199130"/>
            <wp:effectExtent l="0" t="0" r="2540" b="1270"/>
            <wp:docPr id="4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5"/>
                    <pic:cNvPicPr>
                      <a:picLocks noChangeAspect="1"/>
                    </pic:cNvPicPr>
                  </pic:nvPicPr>
                  <pic:blipFill>
                    <a:blip r:embed="rId36"/>
                    <a:stretch>
                      <a:fillRect/>
                    </a:stretch>
                  </pic:blipFill>
                  <pic:spPr>
                    <a:xfrm>
                      <a:off x="0" y="0"/>
                      <a:ext cx="3667760" cy="3199130"/>
                    </a:xfrm>
                    <a:prstGeom prst="rect">
                      <a:avLst/>
                    </a:prstGeom>
                    <a:noFill/>
                    <a:ln>
                      <a:noFill/>
                    </a:ln>
                  </pic:spPr>
                </pic:pic>
              </a:graphicData>
            </a:graphic>
          </wp:inline>
        </w:drawing>
      </w:r>
    </w:p>
    <w:p/>
    <w:p/>
    <w:p>
      <w:pPr>
        <w:pStyle w:val="11"/>
        <w:rPr>
          <w:rFonts w:hint="default"/>
        </w:rPr>
        <w:sectPr>
          <w:headerReference r:id="rId9" w:type="default"/>
          <w:footerReference r:id="rId10" w:type="default"/>
          <w:pgSz w:w="16838" w:h="11906" w:orient="landscape"/>
          <w:pgMar w:top="1803" w:right="1440" w:bottom="1803" w:left="1440" w:header="851" w:footer="992" w:gutter="0"/>
          <w:cols w:space="720" w:num="1"/>
          <w:docGrid w:type="lines" w:linePitch="395" w:charSpace="0"/>
        </w:sectPr>
      </w:pPr>
    </w:p>
    <w:p>
      <w:pPr>
        <w:snapToGrid w:val="0"/>
        <w:spacing w:line="400" w:lineRule="exact"/>
        <w:outlineLvl w:val="0"/>
        <w:rPr>
          <w:rFonts w:cs="宋体"/>
          <w:b/>
          <w:sz w:val="24"/>
        </w:rPr>
      </w:pPr>
      <w:r>
        <w:rPr>
          <w:rFonts w:hint="eastAsia" w:cs="宋体"/>
          <w:b/>
          <w:sz w:val="24"/>
        </w:rPr>
        <w:t>五、服务标准、期限、效率等要求</w:t>
      </w:r>
    </w:p>
    <w:p>
      <w:pPr>
        <w:snapToGrid w:val="0"/>
        <w:spacing w:line="400" w:lineRule="exact"/>
        <w:ind w:firstLine="480" w:firstLineChars="200"/>
        <w:outlineLvl w:val="0"/>
        <w:rPr>
          <w:rFonts w:cs="宋体"/>
          <w:bCs/>
          <w:sz w:val="24"/>
        </w:rPr>
      </w:pPr>
      <w:r>
        <w:rPr>
          <w:rFonts w:hint="eastAsia" w:cs="宋体"/>
          <w:bCs/>
          <w:sz w:val="24"/>
        </w:rPr>
        <w:t>1.供应商需要提供合理的项目整体实施方案，能按照项目分解节点并可跟踪实施。</w:t>
      </w:r>
    </w:p>
    <w:p>
      <w:pPr>
        <w:snapToGrid w:val="0"/>
        <w:spacing w:line="400" w:lineRule="exact"/>
        <w:ind w:firstLine="480" w:firstLineChars="200"/>
        <w:outlineLvl w:val="0"/>
        <w:rPr>
          <w:rFonts w:cs="宋体"/>
          <w:bCs/>
          <w:sz w:val="24"/>
        </w:rPr>
      </w:pPr>
      <w:r>
        <w:rPr>
          <w:rFonts w:hint="eastAsia" w:cs="宋体"/>
          <w:bCs/>
          <w:sz w:val="24"/>
        </w:rPr>
        <w:t>2.供应商需要提供生产实施方案，包括原材料采购、加工制作等各个环节的实施方案，在规定的时间内有计划的完成项目需求产品的生产和装配。</w:t>
      </w:r>
    </w:p>
    <w:p>
      <w:pPr>
        <w:snapToGrid w:val="0"/>
        <w:spacing w:line="400" w:lineRule="exact"/>
        <w:ind w:firstLine="480" w:firstLineChars="200"/>
        <w:outlineLvl w:val="0"/>
        <w:rPr>
          <w:rFonts w:cs="宋体"/>
          <w:bCs/>
          <w:sz w:val="24"/>
        </w:rPr>
      </w:pPr>
      <w:r>
        <w:rPr>
          <w:rFonts w:hint="eastAsia" w:cs="宋体"/>
          <w:bCs/>
          <w:sz w:val="24"/>
        </w:rPr>
        <w:t>3.供应商需要提供品控管理方案，对产品品质有管理管控过程，有独立品管部门和专门品管人员，确保产品生产过程中的质量控制完善。</w:t>
      </w:r>
    </w:p>
    <w:p>
      <w:pPr>
        <w:snapToGrid w:val="0"/>
        <w:spacing w:line="400" w:lineRule="exact"/>
        <w:ind w:firstLine="480" w:firstLineChars="200"/>
        <w:outlineLvl w:val="0"/>
        <w:rPr>
          <w:rFonts w:cs="宋体"/>
          <w:bCs/>
          <w:sz w:val="24"/>
        </w:rPr>
      </w:pPr>
      <w:r>
        <w:rPr>
          <w:rFonts w:hint="eastAsia" w:cs="宋体"/>
          <w:bCs/>
          <w:sz w:val="24"/>
        </w:rPr>
        <w:t>4.供应商中标后，应到现场实地仔细勘察，若存在特殊情况，影响产品安装的，经甲方同意后，根据实际情况予以妥善处理。</w:t>
      </w:r>
    </w:p>
    <w:p>
      <w:pPr>
        <w:snapToGrid w:val="0"/>
        <w:spacing w:line="400" w:lineRule="exact"/>
        <w:ind w:firstLine="480" w:firstLineChars="200"/>
        <w:outlineLvl w:val="0"/>
        <w:rPr>
          <w:rFonts w:cs="宋体"/>
          <w:bCs/>
          <w:sz w:val="24"/>
        </w:rPr>
      </w:pPr>
      <w:r>
        <w:rPr>
          <w:rFonts w:hint="eastAsia" w:cs="宋体"/>
          <w:bCs/>
          <w:sz w:val="24"/>
        </w:rPr>
        <w:t>5.供应商需要提供安装服务实施方案 ，根据货物交付时间节点，落实送货安装时间和人员安排，确保按期交付使用。</w:t>
      </w:r>
    </w:p>
    <w:p>
      <w:pPr>
        <w:snapToGrid w:val="0"/>
        <w:spacing w:line="400" w:lineRule="exact"/>
        <w:ind w:firstLine="480" w:firstLineChars="200"/>
        <w:outlineLvl w:val="0"/>
        <w:rPr>
          <w:rFonts w:cs="宋体"/>
          <w:bCs/>
          <w:sz w:val="24"/>
        </w:rPr>
      </w:pPr>
      <w:r>
        <w:rPr>
          <w:rFonts w:hint="eastAsia" w:cs="宋体"/>
          <w:bCs/>
          <w:sz w:val="24"/>
        </w:rPr>
        <w:t>6.售后服务要求：</w:t>
      </w:r>
    </w:p>
    <w:p>
      <w:pPr>
        <w:snapToGrid w:val="0"/>
        <w:spacing w:line="400" w:lineRule="exact"/>
        <w:ind w:firstLine="480" w:firstLineChars="200"/>
        <w:outlineLvl w:val="0"/>
        <w:rPr>
          <w:rFonts w:cs="宋体"/>
          <w:bCs/>
          <w:sz w:val="24"/>
        </w:rPr>
      </w:pPr>
      <w:r>
        <w:rPr>
          <w:rFonts w:hint="eastAsia" w:cs="宋体"/>
          <w:bCs/>
          <w:sz w:val="24"/>
        </w:rPr>
        <w:t>（1）供应商提供的售后服务应符合GB/T 37652-2019《家具售后服务要求》。</w:t>
      </w:r>
    </w:p>
    <w:p>
      <w:pPr>
        <w:snapToGrid w:val="0"/>
        <w:spacing w:line="400" w:lineRule="exact"/>
        <w:ind w:firstLine="480" w:firstLineChars="200"/>
        <w:outlineLvl w:val="0"/>
        <w:rPr>
          <w:rFonts w:cs="宋体"/>
          <w:bCs/>
          <w:sz w:val="24"/>
        </w:rPr>
      </w:pPr>
      <w:r>
        <w:rPr>
          <w:rFonts w:hint="eastAsia" w:cs="宋体"/>
          <w:bCs/>
          <w:sz w:val="24"/>
        </w:rPr>
        <w:t>（2）质量保证期：所有家具的质量保证期不少于6年，在此保证期内，如在正常使用过程中出现的质量问题 ，供应商须负责免费维修或调换。</w:t>
      </w:r>
    </w:p>
    <w:p>
      <w:pPr>
        <w:snapToGrid w:val="0"/>
        <w:spacing w:line="400" w:lineRule="exact"/>
        <w:ind w:firstLine="480" w:firstLineChars="200"/>
        <w:outlineLvl w:val="0"/>
        <w:rPr>
          <w:rFonts w:cs="宋体"/>
          <w:bCs/>
          <w:sz w:val="24"/>
        </w:rPr>
      </w:pPr>
      <w:r>
        <w:rPr>
          <w:rFonts w:hint="eastAsia" w:cs="宋体"/>
          <w:bCs/>
          <w:sz w:val="24"/>
        </w:rPr>
        <w:t>（3）需在浙江省内设有维修点或是安排专门的维修人员，提供24小时报修服务，维修人员在接到报修后24小时内须赶到现场，一般性维修原则上当天完成，因备件不足或维修较为复杂需较长时间的，需免费提供替代产品供学生暂时使用，并提供不间断的服务直到修复完成。维修点一般情况下需备有足够的备件以适应学校维修需要。</w:t>
      </w:r>
    </w:p>
    <w:p>
      <w:pPr>
        <w:snapToGrid w:val="0"/>
        <w:spacing w:line="400" w:lineRule="exact"/>
        <w:ind w:firstLine="480" w:firstLineChars="200"/>
        <w:outlineLvl w:val="0"/>
        <w:rPr>
          <w:rFonts w:cs="宋体"/>
          <w:bCs/>
          <w:sz w:val="24"/>
        </w:rPr>
      </w:pPr>
      <w:r>
        <w:rPr>
          <w:rFonts w:hint="eastAsia" w:cs="宋体"/>
          <w:bCs/>
          <w:sz w:val="24"/>
        </w:rPr>
        <w:t>（4）质保期内，中标方须负责对其提供的所有产品进行全面维修，因非人为故意破坏等造成的破损不再收取任何维修费用，对于因人为故意造成的损坏仅收取相应材料费（需提供基本备件的材料费清单）。</w:t>
      </w:r>
    </w:p>
    <w:p>
      <w:pPr>
        <w:snapToGrid w:val="0"/>
        <w:spacing w:line="400" w:lineRule="exact"/>
        <w:ind w:firstLine="480" w:firstLineChars="200"/>
        <w:outlineLvl w:val="0"/>
        <w:rPr>
          <w:rFonts w:cs="宋体"/>
          <w:bCs/>
          <w:sz w:val="24"/>
        </w:rPr>
      </w:pPr>
      <w:r>
        <w:rPr>
          <w:rFonts w:hint="eastAsia" w:cs="宋体"/>
          <w:bCs/>
          <w:sz w:val="24"/>
        </w:rPr>
        <w:t>（5）质保期内，学生因产品质量原因发生意外事件的，乙方协助通过产品责任险、产品质量险、公众责任险进行相应的赔偿。</w:t>
      </w:r>
    </w:p>
    <w:p>
      <w:pPr>
        <w:snapToGrid w:val="0"/>
        <w:spacing w:line="400" w:lineRule="exact"/>
        <w:ind w:firstLine="480" w:firstLineChars="200"/>
        <w:outlineLvl w:val="0"/>
        <w:rPr>
          <w:rFonts w:cs="宋体"/>
          <w:bCs/>
          <w:sz w:val="24"/>
        </w:rPr>
      </w:pPr>
      <w:r>
        <w:rPr>
          <w:rFonts w:hint="eastAsia" w:cs="宋体"/>
          <w:bCs/>
          <w:sz w:val="24"/>
        </w:rPr>
        <w:t>（6）质保期内，提供的货物因本身的质量问题发生故障，应负责免费更换。对达不到技术要求者，根据实际情况，按以下办法处理：①更换：承担所发生的全部费用。②退货处理：应退还已支付的合同款，同时应承担该货物的直接费用(运输、保险、检验、货款利息及银行手续费等)。</w:t>
      </w:r>
    </w:p>
    <w:p>
      <w:pPr>
        <w:snapToGrid w:val="0"/>
        <w:spacing w:line="400" w:lineRule="exact"/>
        <w:ind w:firstLine="480" w:firstLineChars="200"/>
        <w:outlineLvl w:val="0"/>
        <w:rPr>
          <w:rFonts w:cs="宋体"/>
          <w:bCs/>
          <w:sz w:val="24"/>
        </w:rPr>
      </w:pPr>
      <w:r>
        <w:rPr>
          <w:rFonts w:hint="eastAsia" w:cs="宋体"/>
          <w:bCs/>
          <w:sz w:val="24"/>
        </w:rPr>
        <w:t>7.项目团队要求：供应商需要提供项目技术团队及其能力说明，提供人员清单、履历、专业技术能力等资料。</w:t>
      </w:r>
    </w:p>
    <w:p>
      <w:pPr>
        <w:pStyle w:val="11"/>
        <w:ind w:firstLine="480" w:firstLineChars="207"/>
        <w:rPr>
          <w:rFonts w:hAnsi="宋体" w:cs="宋体"/>
          <w:sz w:val="24"/>
          <w:szCs w:val="24"/>
        </w:rPr>
      </w:pPr>
      <w:r>
        <w:rPr>
          <w:rFonts w:hAnsi="宋体" w:cs="宋体"/>
          <w:sz w:val="24"/>
          <w:szCs w:val="24"/>
        </w:rPr>
        <w:t>8.其他商务要求（包装和运输、保险等）</w:t>
      </w:r>
    </w:p>
    <w:p>
      <w:pPr>
        <w:snapToGrid w:val="0"/>
        <w:spacing w:line="400" w:lineRule="exact"/>
        <w:ind w:firstLine="480" w:firstLineChars="200"/>
        <w:outlineLvl w:val="0"/>
        <w:rPr>
          <w:rFonts w:cs="宋体"/>
          <w:bCs/>
          <w:sz w:val="24"/>
        </w:rPr>
      </w:pPr>
      <w:r>
        <w:rPr>
          <w:rFonts w:cs="宋体"/>
          <w:bCs/>
          <w:sz w:val="24"/>
        </w:rPr>
        <w:t>（1）在货物发运前对所有主材及配件进行满足运输距离、防雨、防潮、防震、防锈和防破损装卸等要求的包装，以保证货物安全运达指定地点。</w:t>
      </w:r>
    </w:p>
    <w:p>
      <w:pPr>
        <w:snapToGrid w:val="0"/>
        <w:spacing w:line="400" w:lineRule="exact"/>
        <w:ind w:firstLine="480" w:firstLineChars="200"/>
        <w:outlineLvl w:val="0"/>
        <w:rPr>
          <w:rFonts w:cs="宋体"/>
          <w:bCs/>
          <w:sz w:val="24"/>
        </w:rPr>
      </w:pPr>
      <w:r>
        <w:rPr>
          <w:rFonts w:cs="宋体"/>
          <w:bCs/>
          <w:sz w:val="24"/>
        </w:rPr>
        <w:t>（2）所有主材及配件都需在校方要求的时间期限内送达指定的位置，在初验合格后进行安装，安装结束经校方验收合格并办理相关手续后视为交付。</w:t>
      </w:r>
    </w:p>
    <w:p>
      <w:pPr>
        <w:snapToGrid w:val="0"/>
        <w:spacing w:line="400" w:lineRule="exact"/>
        <w:ind w:firstLine="480" w:firstLineChars="200"/>
        <w:outlineLvl w:val="0"/>
        <w:rPr>
          <w:rFonts w:cs="宋体"/>
          <w:bCs/>
          <w:sz w:val="24"/>
        </w:rPr>
      </w:pPr>
      <w:r>
        <w:rPr>
          <w:rFonts w:cs="宋体"/>
          <w:bCs/>
          <w:sz w:val="24"/>
        </w:rPr>
        <w:t>（3）需保证交付的所有货物是全新、未使用过的、进货渠道合法的原装合格正品，并完全符合合同规定的质量、规格和性能的要求。</w:t>
      </w:r>
    </w:p>
    <w:p>
      <w:pPr>
        <w:snapToGrid w:val="0"/>
        <w:spacing w:line="400" w:lineRule="exact"/>
        <w:ind w:firstLine="480" w:firstLineChars="200"/>
        <w:outlineLvl w:val="0"/>
        <w:rPr>
          <w:rFonts w:cs="宋体"/>
          <w:bCs/>
          <w:sz w:val="24"/>
        </w:rPr>
      </w:pPr>
      <w:r>
        <w:rPr>
          <w:rFonts w:cs="宋体"/>
          <w:bCs/>
          <w:sz w:val="24"/>
        </w:rPr>
        <w:t>（4）货物在交付前发生的一切风险(包括运输、安装、调试等过程中发生的人身、货物安全问题)均由乙方负责。</w:t>
      </w:r>
    </w:p>
    <w:p>
      <w:pPr>
        <w:snapToGrid w:val="0"/>
        <w:spacing w:line="400" w:lineRule="exact"/>
        <w:ind w:firstLine="480" w:firstLineChars="200"/>
        <w:outlineLvl w:val="0"/>
        <w:rPr>
          <w:rFonts w:cs="宋体"/>
          <w:bCs/>
          <w:sz w:val="24"/>
        </w:rPr>
      </w:pPr>
      <w:r>
        <w:rPr>
          <w:rFonts w:cs="宋体"/>
          <w:bCs/>
          <w:sz w:val="24"/>
        </w:rPr>
        <w:t>（5）根据招投标文件规定免费安装完成并及时清理好货物包装废弃物及其他垃圾：安装过程中如对学校建筑物及设备、设施造成损坏的，须按校方的要求进行免费修复，如无法按时按要求进行修复的，需负责赔偿，由学校安排人员进行修复。</w:t>
      </w:r>
    </w:p>
    <w:p>
      <w:pPr>
        <w:snapToGrid w:val="0"/>
        <w:spacing w:line="400" w:lineRule="exact"/>
        <w:ind w:firstLine="480" w:firstLineChars="200"/>
        <w:outlineLvl w:val="0"/>
        <w:rPr>
          <w:rFonts w:cs="宋体"/>
          <w:bCs/>
          <w:sz w:val="24"/>
        </w:rPr>
      </w:pPr>
      <w:r>
        <w:rPr>
          <w:rFonts w:cs="宋体"/>
          <w:bCs/>
          <w:sz w:val="24"/>
        </w:rPr>
        <w:t>9.采购项目的其他要求</w:t>
      </w:r>
    </w:p>
    <w:p>
      <w:pPr>
        <w:snapToGrid w:val="0"/>
        <w:spacing w:line="400" w:lineRule="exact"/>
        <w:ind w:firstLine="480" w:firstLineChars="200"/>
        <w:outlineLvl w:val="0"/>
        <w:rPr>
          <w:rFonts w:cs="宋体"/>
          <w:bCs/>
          <w:sz w:val="24"/>
        </w:rPr>
      </w:pPr>
      <w:r>
        <w:rPr>
          <w:rFonts w:cs="宋体"/>
          <w:bCs/>
          <w:sz w:val="24"/>
        </w:rPr>
        <w:t>中标方要对每个寝室重新复核安装尺寸参数，保证产品安装后与现场预留空间适配。并且，按采购方要求免费提供相关技术服务。另外，寝室床及配套家具的最终尺寸参数，以户型尺寸为准。</w:t>
      </w:r>
    </w:p>
    <w:p>
      <w:pPr>
        <w:snapToGrid w:val="0"/>
        <w:spacing w:line="400" w:lineRule="exact"/>
        <w:ind w:firstLine="482" w:firstLineChars="200"/>
        <w:outlineLvl w:val="0"/>
        <w:rPr>
          <w:rFonts w:cs="宋体"/>
          <w:b/>
          <w:sz w:val="24"/>
        </w:rPr>
      </w:pPr>
      <w:r>
        <w:rPr>
          <w:rFonts w:hint="eastAsia" w:cs="宋体"/>
          <w:b/>
          <w:sz w:val="24"/>
        </w:rPr>
        <w:t>六、验收标准：</w:t>
      </w:r>
    </w:p>
    <w:p>
      <w:pPr>
        <w:snapToGrid w:val="0"/>
        <w:spacing w:line="400" w:lineRule="exact"/>
        <w:ind w:firstLine="480" w:firstLineChars="200"/>
        <w:outlineLvl w:val="0"/>
        <w:rPr>
          <w:rFonts w:cs="宋体"/>
          <w:bCs/>
          <w:sz w:val="24"/>
        </w:rPr>
      </w:pPr>
      <w:r>
        <w:rPr>
          <w:rFonts w:hint="eastAsia" w:cs="宋体"/>
          <w:bCs/>
          <w:sz w:val="24"/>
        </w:rPr>
        <w:t>1.所有产品均已运输至指定地点后，并安装调试完毕，由采购人严格按照样品及招标文件等内容进行验收。</w:t>
      </w:r>
    </w:p>
    <w:p>
      <w:pPr>
        <w:snapToGrid w:val="0"/>
        <w:spacing w:line="400" w:lineRule="exact"/>
        <w:ind w:firstLine="482" w:firstLineChars="200"/>
        <w:outlineLvl w:val="0"/>
        <w:rPr>
          <w:rFonts w:cs="宋体"/>
          <w:b/>
          <w:sz w:val="24"/>
        </w:rPr>
      </w:pPr>
      <w:r>
        <w:rPr>
          <w:rFonts w:hint="eastAsia" w:cs="宋体"/>
          <w:b/>
          <w:sz w:val="24"/>
        </w:rPr>
        <w:t>验收过程中若产生争议，采购人可随机每样抽取一件送至国家认可的具备CMA认证的第三方检测机构进行检测，对板材甲醛含量、冷轧钢管涂层附着力及耐腐蚀性、冷轧钢管耐冲击强度、PP塑料有害物质含量等进行检测，费用由中标供应商承担。</w:t>
      </w:r>
    </w:p>
    <w:p>
      <w:pPr>
        <w:snapToGrid w:val="0"/>
        <w:spacing w:line="400" w:lineRule="exact"/>
        <w:ind w:firstLine="480" w:firstLineChars="200"/>
        <w:outlineLvl w:val="0"/>
        <w:rPr>
          <w:rFonts w:cs="宋体"/>
          <w:bCs/>
          <w:sz w:val="24"/>
        </w:rPr>
      </w:pPr>
      <w:r>
        <w:rPr>
          <w:rFonts w:hint="eastAsia" w:cs="宋体"/>
          <w:bCs/>
          <w:sz w:val="24"/>
        </w:rPr>
        <w:t>2.验收依据：合同、招标文件、投标响应文件；中标人提供的技术规格、经采购人认可的合同货物的有效检验文件；中标人投标文件中提供的经采购人认可的合同货物的验收标准（符合中国有关的国家、地方、行业标准）和检测办法及相应检测手段；有需要时能联系中标人到场共同验收。</w:t>
      </w:r>
    </w:p>
    <w:p>
      <w:pPr>
        <w:snapToGrid w:val="0"/>
        <w:spacing w:line="400" w:lineRule="exact"/>
        <w:ind w:firstLine="480" w:firstLineChars="200"/>
        <w:outlineLvl w:val="0"/>
        <w:rPr>
          <w:rFonts w:cs="宋体"/>
          <w:bCs/>
          <w:sz w:val="24"/>
        </w:rPr>
      </w:pPr>
      <w:r>
        <w:rPr>
          <w:rFonts w:hint="eastAsia" w:cs="宋体"/>
          <w:bCs/>
          <w:sz w:val="24"/>
        </w:rPr>
        <w:t>3.验收合格的条件：所供货物符合产品标准及合同的要求；进行测试和验收过程中发现的问题已被解决并得到采购人的认可；合同中规定的所有产品均已交付并得到接受。</w:t>
      </w:r>
    </w:p>
    <w:p>
      <w:pPr>
        <w:spacing w:line="400" w:lineRule="exact"/>
        <w:ind w:firstLine="420"/>
        <w:jc w:val="left"/>
      </w:pPr>
      <w:r>
        <w:rPr>
          <w:rFonts w:hint="eastAsia" w:cs="宋体"/>
          <w:bCs/>
          <w:sz w:val="24"/>
        </w:rPr>
        <w:t>▲ 4.甲方可在货物生产全过程中进行监督检查，由甲方聘请具备资质的第三方检测机构全程跟踪检测，并出具检测报告，包括三次厂家现场抽检（初期原材料检测，中期半成品跟踪检测和后期成品检测）、到校安装的主材及备件破坏性检测以及安装完成后寝室空气检测。检测结果应符合招标文件供应商投标承诺及采购合同约定的要求，检测费用由乙方承担。</w:t>
      </w:r>
    </w:p>
    <w:p>
      <w:pPr>
        <w:snapToGrid w:val="0"/>
        <w:spacing w:line="400" w:lineRule="exact"/>
        <w:ind w:firstLine="480" w:firstLineChars="200"/>
        <w:outlineLvl w:val="0"/>
        <w:rPr>
          <w:rFonts w:cs="宋体"/>
          <w:bCs/>
          <w:sz w:val="24"/>
        </w:rPr>
      </w:pPr>
      <w:r>
        <w:rPr>
          <w:rFonts w:hint="eastAsia" w:cs="宋体"/>
          <w:bCs/>
          <w:sz w:val="24"/>
        </w:rPr>
        <w:t>▲5.若发现任何损坏及质量问题，采购人提出更换时中标人应在十五日内更换至符合标准，由此产生的费用由中标人承担。验收不合格且中标人在十五日后仍未整改至符合标准，则视为中标人自动放弃合同。</w:t>
      </w:r>
    </w:p>
    <w:p>
      <w:pPr>
        <w:pStyle w:val="11"/>
        <w:spacing w:line="400" w:lineRule="atLeast"/>
        <w:ind w:firstLine="480" w:firstLineChars="207"/>
        <w:rPr>
          <w:rFonts w:hint="default"/>
        </w:rPr>
      </w:pPr>
      <w:r>
        <w:rPr>
          <w:rFonts w:cs="宋体"/>
          <w:bCs/>
          <w:sz w:val="24"/>
        </w:rPr>
        <w:t>▲6.如到校安装的主材及配件的破坏性检测（破坏性验收后的主材及配件由乙方免费更换）不符合招标文件供应商投标承诺、样品及采购合同约定的要求，校方有权扣除履约保证金、不支付剩余货款并追讨已支付货款，并追究相应的违约责任。</w:t>
      </w:r>
    </w:p>
    <w:p>
      <w:pPr>
        <w:snapToGrid w:val="0"/>
        <w:spacing w:line="400" w:lineRule="exact"/>
        <w:ind w:firstLine="723" w:firstLineChars="300"/>
        <w:outlineLvl w:val="0"/>
        <w:rPr>
          <w:rFonts w:cs="宋体"/>
          <w:b/>
          <w:sz w:val="24"/>
        </w:rPr>
      </w:pPr>
      <w:r>
        <w:rPr>
          <w:rFonts w:hint="eastAsia" w:cs="宋体"/>
          <w:b/>
          <w:sz w:val="24"/>
        </w:rPr>
        <w:t>七、履约保证金</w:t>
      </w:r>
    </w:p>
    <w:p>
      <w:pPr>
        <w:pStyle w:val="11"/>
        <w:spacing w:line="400" w:lineRule="atLeast"/>
        <w:ind w:firstLine="480" w:firstLineChars="207"/>
        <w:rPr>
          <w:rFonts w:hint="default" w:cs="宋体"/>
          <w:bCs/>
          <w:sz w:val="24"/>
        </w:rPr>
      </w:pPr>
      <w:r>
        <w:rPr>
          <w:rFonts w:cs="宋体"/>
          <w:bCs/>
          <w:sz w:val="24"/>
        </w:rPr>
        <w:t>采购人向中标单位收取</w:t>
      </w:r>
      <w:r>
        <w:rPr>
          <w:rFonts w:hint="default" w:cs="宋体"/>
          <w:bCs/>
          <w:sz w:val="24"/>
        </w:rPr>
        <w:t>合同总额的1%作为</w:t>
      </w:r>
      <w:r>
        <w:rPr>
          <w:rFonts w:cs="宋体"/>
          <w:bCs/>
          <w:sz w:val="24"/>
        </w:rPr>
        <w:t>履约保证金。鼓励和支持供应商以银行、保险公司出具的保函形式提供履约保证金。</w:t>
      </w:r>
    </w:p>
    <w:p>
      <w:pPr>
        <w:pStyle w:val="11"/>
        <w:spacing w:line="400" w:lineRule="atLeast"/>
        <w:ind w:firstLine="480" w:firstLineChars="207"/>
        <w:rPr>
          <w:rFonts w:hint="default" w:cs="宋体"/>
          <w:bCs/>
          <w:sz w:val="24"/>
        </w:rPr>
      </w:pPr>
      <w:r>
        <w:rPr>
          <w:rFonts w:cs="宋体"/>
          <w:bCs/>
          <w:sz w:val="24"/>
        </w:rPr>
        <w:t>项目全部批次交付且最终验收合格后7个工作日内，</w:t>
      </w:r>
      <w:r>
        <w:rPr>
          <w:rFonts w:hAnsi="宋体" w:cs="仿宋_GB2312"/>
          <w:sz w:val="24"/>
        </w:rPr>
        <w:t>在提供其他符合采购方付款流程所需材料的前提下，</w:t>
      </w:r>
      <w:r>
        <w:rPr>
          <w:rFonts w:cs="宋体"/>
          <w:bCs/>
          <w:sz w:val="24"/>
        </w:rPr>
        <w:t>退还全部保证金。</w:t>
      </w:r>
    </w:p>
    <w:p>
      <w:pPr>
        <w:snapToGrid w:val="0"/>
        <w:spacing w:line="400" w:lineRule="exact"/>
        <w:ind w:firstLine="723" w:firstLineChars="300"/>
        <w:outlineLvl w:val="0"/>
        <w:rPr>
          <w:rFonts w:cs="宋体"/>
          <w:b/>
          <w:sz w:val="24"/>
        </w:rPr>
      </w:pPr>
      <w:r>
        <w:rPr>
          <w:rFonts w:hint="eastAsia" w:cs="宋体"/>
          <w:b/>
          <w:sz w:val="24"/>
        </w:rPr>
        <w:t>八、付款方式</w:t>
      </w:r>
    </w:p>
    <w:p>
      <w:pPr>
        <w:spacing w:line="360" w:lineRule="auto"/>
        <w:ind w:firstLine="720" w:firstLineChars="300"/>
        <w:jc w:val="left"/>
      </w:pPr>
      <w:r>
        <w:rPr>
          <w:rFonts w:hint="eastAsia" w:ascii="宋体" w:hAnsi="宋体"/>
          <w:iCs/>
          <w:sz w:val="24"/>
        </w:rPr>
        <w:t>乙方向甲方出具付款项的全额增值税普通发票，分四次支付。</w:t>
      </w:r>
    </w:p>
    <w:tbl>
      <w:tblPr>
        <w:tblStyle w:val="29"/>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891"/>
        <w:gridCol w:w="1701"/>
        <w:gridCol w:w="572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891" w:type="dxa"/>
            <w:vAlign w:val="center"/>
          </w:tcPr>
          <w:p>
            <w:pPr>
              <w:spacing w:line="360" w:lineRule="auto"/>
              <w:jc w:val="center"/>
              <w:rPr>
                <w:rFonts w:hint="eastAsia" w:ascii="宋体" w:hAnsi="宋体" w:cs="仿宋_GB2312"/>
                <w:sz w:val="24"/>
              </w:rPr>
            </w:pPr>
            <w:r>
              <w:rPr>
                <w:rFonts w:hint="eastAsia" w:ascii="宋体" w:hAnsi="宋体" w:cs="仿宋_GB2312"/>
                <w:sz w:val="24"/>
              </w:rPr>
              <w:t>序号</w:t>
            </w:r>
          </w:p>
        </w:tc>
        <w:tc>
          <w:tcPr>
            <w:tcW w:w="1701" w:type="dxa"/>
            <w:vAlign w:val="center"/>
          </w:tcPr>
          <w:p>
            <w:pPr>
              <w:spacing w:line="360" w:lineRule="auto"/>
              <w:jc w:val="center"/>
              <w:rPr>
                <w:rFonts w:hint="eastAsia" w:ascii="宋体" w:hAnsi="宋体" w:cs="仿宋_GB2312"/>
                <w:sz w:val="24"/>
              </w:rPr>
            </w:pPr>
            <w:r>
              <w:rPr>
                <w:rFonts w:hint="eastAsia" w:ascii="宋体" w:hAnsi="宋体" w:cs="仿宋_GB2312"/>
                <w:sz w:val="24"/>
              </w:rPr>
              <w:t>付款比例（%）</w:t>
            </w:r>
          </w:p>
        </w:tc>
        <w:tc>
          <w:tcPr>
            <w:tcW w:w="5720" w:type="dxa"/>
            <w:vAlign w:val="center"/>
          </w:tcPr>
          <w:p>
            <w:pPr>
              <w:spacing w:line="360" w:lineRule="auto"/>
              <w:jc w:val="center"/>
              <w:rPr>
                <w:rFonts w:hint="eastAsia" w:ascii="宋体" w:hAnsi="宋体" w:cs="仿宋_GB2312"/>
                <w:sz w:val="24"/>
              </w:rPr>
            </w:pPr>
            <w:r>
              <w:rPr>
                <w:rFonts w:hint="eastAsia" w:ascii="宋体" w:hAnsi="宋体" w:cs="仿宋_GB2312"/>
                <w:sz w:val="24"/>
              </w:rPr>
              <w:t>进度说明</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vAlign w:val="center"/>
          </w:tcPr>
          <w:p>
            <w:pPr>
              <w:spacing w:line="280" w:lineRule="exact"/>
              <w:jc w:val="center"/>
              <w:rPr>
                <w:rFonts w:hint="eastAsia" w:ascii="宋体" w:hAnsi="宋体" w:cs="仿宋_GB2312"/>
                <w:sz w:val="24"/>
              </w:rPr>
            </w:pPr>
            <w:r>
              <w:rPr>
                <w:rFonts w:hint="eastAsia" w:ascii="宋体" w:hAnsi="宋体" w:cs="仿宋_GB2312"/>
                <w:sz w:val="24"/>
              </w:rPr>
              <w:t>1</w:t>
            </w:r>
          </w:p>
        </w:tc>
        <w:tc>
          <w:tcPr>
            <w:tcW w:w="1701" w:type="dxa"/>
            <w:vAlign w:val="center"/>
          </w:tcPr>
          <w:p>
            <w:pPr>
              <w:spacing w:line="280" w:lineRule="exact"/>
              <w:jc w:val="center"/>
              <w:rPr>
                <w:rFonts w:hint="eastAsia" w:ascii="宋体" w:hAnsi="宋体" w:cs="仿宋_GB2312"/>
                <w:sz w:val="24"/>
              </w:rPr>
            </w:pPr>
            <w:r>
              <w:rPr>
                <w:rFonts w:hint="eastAsia" w:ascii="宋体" w:hAnsi="宋体" w:cs="仿宋_GB2312"/>
                <w:sz w:val="24"/>
              </w:rPr>
              <w:t>15%</w:t>
            </w:r>
          </w:p>
        </w:tc>
        <w:tc>
          <w:tcPr>
            <w:tcW w:w="5720" w:type="dxa"/>
            <w:vAlign w:val="center"/>
          </w:tcPr>
          <w:p>
            <w:pPr>
              <w:spacing w:line="360" w:lineRule="exact"/>
              <w:jc w:val="left"/>
              <w:rPr>
                <w:rFonts w:hint="eastAsia" w:ascii="宋体" w:hAnsi="宋体" w:cs="仿宋_GB2312"/>
                <w:sz w:val="24"/>
              </w:rPr>
            </w:pPr>
            <w:r>
              <w:rPr>
                <w:rFonts w:hint="eastAsia" w:ascii="宋体" w:hAnsi="宋体" w:cs="仿宋_GB2312"/>
                <w:sz w:val="24"/>
              </w:rPr>
              <w:t>在</w:t>
            </w:r>
            <w:r>
              <w:rPr>
                <w:rFonts w:ascii="宋体" w:hAnsi="宋体" w:cs="仿宋_GB2312"/>
                <w:sz w:val="24"/>
              </w:rPr>
              <w:t>合同生效以及</w:t>
            </w:r>
            <w:r>
              <w:rPr>
                <w:rFonts w:hint="eastAsia" w:ascii="宋体" w:hAnsi="宋体" w:cs="仿宋_GB2312"/>
                <w:sz w:val="24"/>
              </w:rPr>
              <w:t>第一批货物</w:t>
            </w:r>
            <w:r>
              <w:rPr>
                <w:rFonts w:ascii="宋体" w:hAnsi="宋体" w:cs="仿宋_GB2312"/>
                <w:sz w:val="24"/>
              </w:rPr>
              <w:t>具备实施条件后且乙方已向甲方提交银行、保险公司等金融机构出具的预付款保函的，甲方向乙方支付</w:t>
            </w:r>
            <w:r>
              <w:rPr>
                <w:rFonts w:hint="eastAsia" w:ascii="宋体" w:hAnsi="宋体" w:cs="仿宋_GB2312"/>
                <w:sz w:val="24"/>
              </w:rPr>
              <w:t>合同总金额</w:t>
            </w:r>
            <w:r>
              <w:rPr>
                <w:rFonts w:ascii="宋体" w:hAnsi="宋体" w:cs="仿宋_GB2312"/>
                <w:sz w:val="24"/>
              </w:rPr>
              <w:t>的</w:t>
            </w:r>
            <w:r>
              <w:rPr>
                <w:rFonts w:hint="eastAsia" w:ascii="宋体" w:hAnsi="宋体" w:cs="仿宋_GB2312"/>
                <w:sz w:val="24"/>
              </w:rPr>
              <w:t>15</w:t>
            </w:r>
            <w:r>
              <w:rPr>
                <w:rFonts w:ascii="宋体" w:hAnsi="宋体" w:cs="仿宋_GB2312"/>
                <w:sz w:val="24"/>
              </w:rPr>
              <w:t>%</w:t>
            </w:r>
            <w:r>
              <w:rPr>
                <w:rFonts w:hint="eastAsia" w:ascii="宋体" w:hAnsi="宋体" w:cs="仿宋_GB2312"/>
                <w:sz w:val="24"/>
              </w:rPr>
              <w:t>，主要用于第一批货物生产。</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vAlign w:val="center"/>
          </w:tcPr>
          <w:p>
            <w:pPr>
              <w:spacing w:line="280" w:lineRule="exact"/>
              <w:jc w:val="center"/>
              <w:rPr>
                <w:rFonts w:hint="eastAsia" w:ascii="宋体" w:hAnsi="宋体" w:cs="仿宋_GB2312"/>
                <w:sz w:val="24"/>
              </w:rPr>
            </w:pPr>
            <w:r>
              <w:rPr>
                <w:rFonts w:hint="eastAsia" w:ascii="宋体" w:hAnsi="宋体" w:cs="仿宋_GB2312"/>
                <w:sz w:val="24"/>
              </w:rPr>
              <w:t>2</w:t>
            </w:r>
          </w:p>
        </w:tc>
        <w:tc>
          <w:tcPr>
            <w:tcW w:w="1701" w:type="dxa"/>
            <w:vAlign w:val="center"/>
          </w:tcPr>
          <w:p>
            <w:pPr>
              <w:spacing w:line="280" w:lineRule="exact"/>
              <w:jc w:val="center"/>
              <w:rPr>
                <w:rFonts w:hint="eastAsia" w:ascii="宋体" w:hAnsi="宋体" w:cs="仿宋_GB2312"/>
                <w:sz w:val="24"/>
              </w:rPr>
            </w:pPr>
            <w:r>
              <w:rPr>
                <w:rFonts w:hint="eastAsia" w:ascii="宋体" w:hAnsi="宋体" w:cs="仿宋_GB2312"/>
                <w:sz w:val="24"/>
              </w:rPr>
              <w:t>25%</w:t>
            </w:r>
          </w:p>
        </w:tc>
        <w:tc>
          <w:tcPr>
            <w:tcW w:w="5720" w:type="dxa"/>
            <w:vAlign w:val="center"/>
          </w:tcPr>
          <w:p>
            <w:pPr>
              <w:spacing w:line="360" w:lineRule="exact"/>
              <w:jc w:val="left"/>
              <w:rPr>
                <w:rFonts w:hint="eastAsia" w:ascii="宋体" w:hAnsi="宋体" w:cs="仿宋_GB2312"/>
                <w:sz w:val="24"/>
              </w:rPr>
            </w:pPr>
            <w:r>
              <w:rPr>
                <w:rFonts w:hint="eastAsia" w:ascii="宋体" w:hAnsi="宋体" w:cs="仿宋_GB2312"/>
                <w:sz w:val="24"/>
              </w:rPr>
              <w:t>第一批货物在安装调试完毕且验收合格后，在提供其他符合采购方付款流程所需材料的前提下，甲方在七个工作日内向乙方支付合同总金额</w:t>
            </w:r>
            <w:r>
              <w:rPr>
                <w:rFonts w:ascii="宋体" w:hAnsi="宋体" w:cs="仿宋_GB2312"/>
                <w:sz w:val="24"/>
              </w:rPr>
              <w:t>的</w:t>
            </w:r>
            <w:r>
              <w:rPr>
                <w:rFonts w:hint="eastAsia" w:ascii="宋体" w:hAnsi="宋体" w:cs="仿宋_GB2312"/>
                <w:sz w:val="24"/>
              </w:rPr>
              <w:t>25%。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vAlign w:val="center"/>
          </w:tcPr>
          <w:p>
            <w:pPr>
              <w:spacing w:line="280" w:lineRule="exact"/>
              <w:jc w:val="center"/>
              <w:rPr>
                <w:rFonts w:hint="eastAsia" w:ascii="宋体" w:hAnsi="宋体" w:cs="仿宋_GB2312"/>
                <w:sz w:val="24"/>
              </w:rPr>
            </w:pPr>
            <w:r>
              <w:rPr>
                <w:rFonts w:hint="eastAsia" w:ascii="宋体" w:hAnsi="宋体" w:cs="仿宋_GB2312"/>
                <w:sz w:val="24"/>
              </w:rPr>
              <w:t>3</w:t>
            </w:r>
          </w:p>
          <w:p>
            <w:pPr>
              <w:spacing w:line="280" w:lineRule="exact"/>
              <w:jc w:val="center"/>
              <w:rPr>
                <w:rFonts w:hint="eastAsia" w:ascii="宋体" w:hAnsi="宋体" w:cs="仿宋_GB2312"/>
                <w:sz w:val="24"/>
              </w:rPr>
            </w:pPr>
          </w:p>
        </w:tc>
        <w:tc>
          <w:tcPr>
            <w:tcW w:w="1701" w:type="dxa"/>
            <w:vAlign w:val="center"/>
          </w:tcPr>
          <w:p>
            <w:pPr>
              <w:spacing w:line="280" w:lineRule="exact"/>
              <w:jc w:val="center"/>
              <w:rPr>
                <w:rFonts w:hint="eastAsia" w:ascii="宋体" w:hAnsi="宋体" w:cs="仿宋_GB2312"/>
                <w:sz w:val="24"/>
              </w:rPr>
            </w:pPr>
            <w:r>
              <w:rPr>
                <w:rFonts w:hint="eastAsia" w:ascii="宋体" w:hAnsi="宋体" w:cs="仿宋_GB2312"/>
                <w:sz w:val="24"/>
              </w:rPr>
              <w:t>25%</w:t>
            </w:r>
          </w:p>
        </w:tc>
        <w:tc>
          <w:tcPr>
            <w:tcW w:w="5720" w:type="dxa"/>
            <w:vAlign w:val="center"/>
          </w:tcPr>
          <w:p>
            <w:pPr>
              <w:spacing w:line="360" w:lineRule="exact"/>
              <w:jc w:val="left"/>
              <w:rPr>
                <w:rFonts w:hint="eastAsia" w:ascii="宋体" w:hAnsi="宋体" w:cs="仿宋_GB2312"/>
                <w:sz w:val="24"/>
              </w:rPr>
            </w:pPr>
            <w:r>
              <w:rPr>
                <w:rFonts w:hint="eastAsia" w:ascii="宋体" w:hAnsi="宋体" w:cs="仿宋_GB2312"/>
                <w:sz w:val="24"/>
              </w:rPr>
              <w:t>在第二批货物</w:t>
            </w:r>
            <w:r>
              <w:rPr>
                <w:rFonts w:ascii="宋体" w:hAnsi="宋体" w:cs="仿宋_GB2312"/>
                <w:sz w:val="24"/>
              </w:rPr>
              <w:t>具备实施条件后且乙方已向甲方提交银行、保险公司等金融机构出具的预付款保函的，甲方向乙方支付</w:t>
            </w:r>
            <w:r>
              <w:rPr>
                <w:rFonts w:hint="eastAsia" w:ascii="宋体" w:hAnsi="宋体" w:cs="仿宋_GB2312"/>
                <w:sz w:val="24"/>
              </w:rPr>
              <w:t>合同总金额</w:t>
            </w:r>
            <w:r>
              <w:rPr>
                <w:rFonts w:ascii="宋体" w:hAnsi="宋体" w:cs="仿宋_GB2312"/>
                <w:sz w:val="24"/>
              </w:rPr>
              <w:t>的</w:t>
            </w:r>
            <w:r>
              <w:rPr>
                <w:rFonts w:hint="eastAsia" w:ascii="宋体" w:hAnsi="宋体" w:cs="仿宋_GB2312"/>
                <w:sz w:val="24"/>
              </w:rPr>
              <w:t>25</w:t>
            </w:r>
            <w:r>
              <w:rPr>
                <w:rFonts w:ascii="宋体" w:hAnsi="宋体" w:cs="仿宋_GB2312"/>
                <w:sz w:val="24"/>
              </w:rPr>
              <w:t>%</w:t>
            </w:r>
            <w:r>
              <w:rPr>
                <w:rFonts w:hint="eastAsia" w:ascii="宋体" w:hAnsi="宋体" w:cs="仿宋_GB2312"/>
                <w:sz w:val="24"/>
              </w:rPr>
              <w:t>，主要用于第二批货物生产。</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vAlign w:val="center"/>
          </w:tcPr>
          <w:p>
            <w:pPr>
              <w:spacing w:line="280" w:lineRule="exact"/>
              <w:jc w:val="center"/>
              <w:rPr>
                <w:rFonts w:hint="eastAsia" w:ascii="宋体" w:hAnsi="宋体" w:cs="仿宋_GB2312"/>
                <w:sz w:val="24"/>
              </w:rPr>
            </w:pPr>
            <w:r>
              <w:rPr>
                <w:rFonts w:hint="eastAsia" w:ascii="宋体" w:hAnsi="宋体" w:cs="仿宋_GB2312"/>
                <w:sz w:val="24"/>
              </w:rPr>
              <w:t>4</w:t>
            </w:r>
          </w:p>
        </w:tc>
        <w:tc>
          <w:tcPr>
            <w:tcW w:w="1701" w:type="dxa"/>
            <w:vAlign w:val="center"/>
          </w:tcPr>
          <w:p>
            <w:pPr>
              <w:spacing w:line="280" w:lineRule="exact"/>
              <w:jc w:val="center"/>
              <w:rPr>
                <w:rFonts w:hint="eastAsia" w:ascii="宋体" w:hAnsi="宋体" w:cs="仿宋_GB2312"/>
                <w:sz w:val="24"/>
              </w:rPr>
            </w:pPr>
            <w:r>
              <w:rPr>
                <w:rFonts w:hint="eastAsia" w:ascii="宋体" w:hAnsi="宋体" w:cs="仿宋_GB2312"/>
                <w:sz w:val="24"/>
              </w:rPr>
              <w:t>35%</w:t>
            </w:r>
          </w:p>
        </w:tc>
        <w:tc>
          <w:tcPr>
            <w:tcW w:w="5720" w:type="dxa"/>
            <w:vAlign w:val="center"/>
          </w:tcPr>
          <w:p>
            <w:pPr>
              <w:spacing w:line="360" w:lineRule="exact"/>
              <w:jc w:val="left"/>
              <w:rPr>
                <w:rFonts w:hint="eastAsia" w:ascii="宋体" w:hAnsi="宋体" w:cs="仿宋_GB2312"/>
                <w:sz w:val="24"/>
              </w:rPr>
            </w:pPr>
            <w:r>
              <w:rPr>
                <w:rFonts w:hint="eastAsia" w:ascii="宋体" w:hAnsi="宋体" w:cs="仿宋_GB2312"/>
                <w:sz w:val="24"/>
              </w:rPr>
              <w:t>第二批货物在安装调试完毕且验收合格后，在提供其他符合采购方付款流程所需材料的前提下，甲方在七个工作日内向乙方支付合同总金额</w:t>
            </w:r>
            <w:r>
              <w:rPr>
                <w:rFonts w:ascii="宋体" w:hAnsi="宋体" w:cs="仿宋_GB2312"/>
                <w:sz w:val="24"/>
              </w:rPr>
              <w:t>的</w:t>
            </w:r>
            <w:r>
              <w:rPr>
                <w:rFonts w:hint="eastAsia" w:ascii="宋体" w:hAnsi="宋体" w:cs="仿宋_GB2312"/>
                <w:sz w:val="24"/>
              </w:rPr>
              <w:t>35%。</w:t>
            </w:r>
          </w:p>
        </w:tc>
      </w:tr>
    </w:tbl>
    <w:p>
      <w:pPr>
        <w:spacing w:line="400" w:lineRule="exact"/>
        <w:ind w:firstLine="480" w:firstLineChars="200"/>
        <w:jc w:val="left"/>
        <w:rPr>
          <w:rFonts w:cs="宋体"/>
          <w:kern w:val="0"/>
          <w:sz w:val="24"/>
        </w:rPr>
      </w:pPr>
      <w:r>
        <w:rPr>
          <w:rFonts w:hint="eastAsia" w:cs="宋体"/>
          <w:kern w:val="0"/>
          <w:sz w:val="24"/>
        </w:rPr>
        <w:t>如在签订合同时，中标方明确表示无需预付款或者主动要求降低预付款比例的，可降低预付款比例（预付款保函同步调整）。</w:t>
      </w:r>
    </w:p>
    <w:p>
      <w:pPr>
        <w:snapToGrid w:val="0"/>
        <w:spacing w:line="400" w:lineRule="exact"/>
        <w:ind w:firstLine="482" w:firstLineChars="200"/>
        <w:rPr>
          <w:rFonts w:cs="宋体"/>
          <w:b/>
          <w:sz w:val="24"/>
        </w:rPr>
      </w:pPr>
      <w:r>
        <w:rPr>
          <w:rFonts w:hint="eastAsia" w:cs="宋体"/>
          <w:b/>
          <w:sz w:val="24"/>
        </w:rPr>
        <w:t>八、投标样品要求</w:t>
      </w:r>
    </w:p>
    <w:p>
      <w:pPr>
        <w:pStyle w:val="9"/>
        <w:ind w:firstLine="480" w:firstLineChars="200"/>
        <w:rPr>
          <w:rFonts w:cs="宋体"/>
          <w:sz w:val="24"/>
        </w:rPr>
      </w:pPr>
      <w:r>
        <w:rPr>
          <w:rFonts w:hint="eastAsia" w:cs="宋体"/>
          <w:sz w:val="24"/>
        </w:rPr>
        <w:t>1.需要提供的样品名称、规格、数量：按照本章第四条的相应质量、规格、技术等要求，提供:</w:t>
      </w:r>
    </w:p>
    <w:p>
      <w:pPr>
        <w:pStyle w:val="9"/>
        <w:ind w:firstLine="480" w:firstLineChars="200"/>
        <w:rPr>
          <w:rFonts w:cs="宋体"/>
          <w:sz w:val="24"/>
        </w:rPr>
      </w:pPr>
      <w:r>
        <w:rPr>
          <w:rFonts w:hint="eastAsia" w:cs="宋体"/>
          <w:sz w:val="24"/>
        </w:rPr>
        <w:t>(1)大样清单（技术参数要求具体见产品明细清单）</w:t>
      </w:r>
    </w:p>
    <w:p>
      <w:pPr>
        <w:pStyle w:val="9"/>
        <w:ind w:firstLine="480" w:firstLineChars="200"/>
        <w:rPr>
          <w:rFonts w:cs="宋体"/>
          <w:sz w:val="24"/>
        </w:rPr>
      </w:pPr>
      <w:r>
        <w:rPr>
          <w:rFonts w:hint="eastAsia" w:cs="宋体"/>
          <w:sz w:val="24"/>
        </w:rPr>
        <w:t>①二连体中梯公寓床B 1套（产品序号1）</w:t>
      </w:r>
    </w:p>
    <w:p>
      <w:pPr>
        <w:pStyle w:val="10"/>
        <w:rPr>
          <w:color w:val="auto"/>
        </w:rPr>
      </w:pPr>
      <w:r>
        <w:rPr>
          <w:rFonts w:hint="eastAsia" w:ascii="Times New Roman" w:hAnsi="Times New Roman"/>
          <w:color w:val="auto"/>
          <w:kern w:val="2"/>
        </w:rPr>
        <w:t xml:space="preserve">    ②</w:t>
      </w:r>
      <w:r>
        <w:rPr>
          <w:rFonts w:hint="eastAsia" w:hAnsi="宋体"/>
          <w:color w:val="auto"/>
          <w:sz w:val="21"/>
          <w:szCs w:val="21"/>
          <w:lang w:bidi="ar"/>
        </w:rPr>
        <w:t>单人中高公寓床1张（产品序号2）</w:t>
      </w:r>
    </w:p>
    <w:p>
      <w:pPr>
        <w:pStyle w:val="9"/>
        <w:ind w:firstLine="480" w:firstLineChars="200"/>
        <w:rPr>
          <w:rFonts w:cs="宋体"/>
          <w:sz w:val="24"/>
        </w:rPr>
      </w:pPr>
      <w:r>
        <w:rPr>
          <w:rFonts w:hint="eastAsia" w:cs="宋体"/>
          <w:sz w:val="24"/>
        </w:rPr>
        <w:t>③靠背椅 1把（产品序号5）</w:t>
      </w:r>
    </w:p>
    <w:p>
      <w:pPr>
        <w:pStyle w:val="9"/>
        <w:ind w:firstLine="480" w:firstLineChars="200"/>
        <w:rPr>
          <w:rFonts w:cs="宋体"/>
          <w:sz w:val="24"/>
        </w:rPr>
      </w:pPr>
      <w:r>
        <w:rPr>
          <w:rFonts w:hint="eastAsia" w:cs="宋体"/>
          <w:sz w:val="24"/>
        </w:rPr>
        <w:t>（2）小样清单（技术参数要求具体见产品明细清单）</w:t>
      </w:r>
    </w:p>
    <w:p>
      <w:pPr>
        <w:pStyle w:val="9"/>
        <w:ind w:firstLine="480" w:firstLineChars="200"/>
        <w:rPr>
          <w:rFonts w:cs="宋体"/>
          <w:sz w:val="24"/>
        </w:rPr>
      </w:pPr>
      <w:r>
        <w:rPr>
          <w:rFonts w:hint="eastAsia" w:cs="宋体"/>
          <w:sz w:val="24"/>
        </w:rPr>
        <w:t>①冷轧钢管：二联体中梯公寓床床立柱、床挺闭口冷轧钢管，每种冷轧钢管分别提供原管小样、钢管经表面处理后小样、以及喷塑后小样各1段，长度200mm，共6段。</w:t>
      </w:r>
    </w:p>
    <w:p>
      <w:pPr>
        <w:pStyle w:val="9"/>
        <w:ind w:firstLine="560" w:firstLineChars="200"/>
        <w:rPr>
          <w:rFonts w:cs="宋体"/>
          <w:sz w:val="24"/>
        </w:rPr>
      </w:pPr>
      <w:r>
        <w:rPr>
          <w:rFonts w:hint="eastAsia"/>
        </w:rPr>
        <w:t>②</w:t>
      </w:r>
      <w:r>
        <w:rPr>
          <w:rFonts w:cs="宋体"/>
          <w:sz w:val="24"/>
        </w:rPr>
        <w:t>三聚氰胺饰面实木多层板</w:t>
      </w:r>
      <w:r>
        <w:rPr>
          <w:rFonts w:hint="eastAsia" w:cs="宋体"/>
          <w:sz w:val="24"/>
        </w:rPr>
        <w:t>：</w:t>
      </w:r>
      <w:r>
        <w:rPr>
          <w:rFonts w:cs="宋体"/>
          <w:sz w:val="24"/>
        </w:rPr>
        <w:t>1块</w:t>
      </w:r>
      <w:r>
        <w:rPr>
          <w:rFonts w:hint="eastAsia" w:cs="宋体"/>
          <w:sz w:val="24"/>
        </w:rPr>
        <w:t>（</w:t>
      </w:r>
      <w:r>
        <w:rPr>
          <w:rFonts w:cs="宋体"/>
          <w:sz w:val="24"/>
        </w:rPr>
        <w:t>厚度</w:t>
      </w:r>
      <w:r>
        <w:rPr>
          <w:rFonts w:hint="eastAsia" w:cs="宋体"/>
          <w:sz w:val="24"/>
        </w:rPr>
        <w:t>16</w:t>
      </w:r>
      <w:r>
        <w:rPr>
          <w:rFonts w:cs="宋体"/>
          <w:sz w:val="24"/>
        </w:rPr>
        <w:t>mm，尺寸200*200mm，两侧封边，两侧不封边，可见里面的材质结构</w:t>
      </w:r>
      <w:r>
        <w:rPr>
          <w:rFonts w:hint="eastAsia" w:cs="宋体"/>
          <w:sz w:val="24"/>
        </w:rPr>
        <w:t>）。</w:t>
      </w:r>
    </w:p>
    <w:p>
      <w:pPr>
        <w:pStyle w:val="9"/>
        <w:ind w:firstLine="480" w:firstLineChars="200"/>
        <w:rPr>
          <w:rFonts w:cs="宋体"/>
          <w:sz w:val="24"/>
        </w:rPr>
      </w:pPr>
      <w:r>
        <w:rPr>
          <w:rFonts w:hint="eastAsia" w:cs="宋体"/>
          <w:sz w:val="24"/>
        </w:rPr>
        <w:t>③五金件：二联体中梯公寓床阻尼铰链一对、床下衣柜拉手一幅、和产品相关的螺丝每个品种不少于10颗</w:t>
      </w:r>
    </w:p>
    <w:p>
      <w:pPr>
        <w:pStyle w:val="9"/>
        <w:ind w:firstLine="480" w:firstLineChars="200"/>
        <w:rPr>
          <w:rFonts w:cs="宋体"/>
          <w:sz w:val="24"/>
        </w:rPr>
      </w:pPr>
      <w:r>
        <w:rPr>
          <w:rFonts w:hint="eastAsia" w:cs="宋体"/>
          <w:sz w:val="24"/>
        </w:rPr>
        <w:t>2.所提供的样品不得含有投标单位名称及暗示出投标单位的文字、图案、符号、记号、参数、型号等商标和标识。如发现有，样品分按零分处理。</w:t>
      </w:r>
    </w:p>
    <w:p>
      <w:pPr>
        <w:pStyle w:val="9"/>
        <w:ind w:firstLine="480" w:firstLineChars="200"/>
        <w:rPr>
          <w:rFonts w:cs="宋体"/>
          <w:sz w:val="24"/>
        </w:rPr>
      </w:pPr>
      <w:r>
        <w:rPr>
          <w:rFonts w:hint="eastAsia" w:cs="宋体"/>
          <w:sz w:val="24"/>
        </w:rPr>
        <w:t xml:space="preserve">3.样品的递交方式：自行送达并安装到位；2025 年 </w:t>
      </w:r>
      <w:r>
        <w:rPr>
          <w:rFonts w:hint="eastAsia" w:cs="宋体"/>
          <w:sz w:val="24"/>
          <w:lang w:val="en-US" w:eastAsia="zh-CN"/>
        </w:rPr>
        <w:t>6</w:t>
      </w:r>
      <w:r>
        <w:rPr>
          <w:rFonts w:hint="eastAsia" w:cs="宋体"/>
          <w:sz w:val="24"/>
        </w:rPr>
        <w:t xml:space="preserve"> 月 </w:t>
      </w:r>
      <w:r>
        <w:rPr>
          <w:rFonts w:hint="eastAsia" w:cs="宋体"/>
          <w:sz w:val="24"/>
          <w:lang w:val="en-US" w:eastAsia="zh-CN"/>
        </w:rPr>
        <w:t>18</w:t>
      </w:r>
      <w:r>
        <w:rPr>
          <w:rFonts w:hint="eastAsia" w:cs="宋体"/>
          <w:sz w:val="24"/>
        </w:rPr>
        <w:t xml:space="preserve">  日9:00-11:30；14:00-16:</w:t>
      </w:r>
      <w:r>
        <w:rPr>
          <w:rFonts w:hint="eastAsia" w:cs="宋体"/>
          <w:sz w:val="24"/>
          <w:lang w:val="en-US" w:eastAsia="zh-CN"/>
        </w:rPr>
        <w:t>3</w:t>
      </w:r>
      <w:r>
        <w:rPr>
          <w:rFonts w:hint="eastAsia" w:cs="宋体"/>
          <w:sz w:val="24"/>
        </w:rPr>
        <w:t>0，金华市婺城区迎宾大道688号浙江师范大学指定位置，未在此时间段内送达并安装到位的供应商视为无效投标处理，提供样品不全或不符合样品制作标准和要求的样品分不得分。</w:t>
      </w:r>
    </w:p>
    <w:p>
      <w:pPr>
        <w:pStyle w:val="9"/>
        <w:ind w:firstLine="480" w:firstLineChars="200"/>
        <w:rPr>
          <w:rFonts w:cs="宋体"/>
          <w:sz w:val="24"/>
        </w:rPr>
      </w:pPr>
      <w:r>
        <w:rPr>
          <w:rFonts w:hint="eastAsia" w:cs="宋体"/>
          <w:sz w:val="24"/>
        </w:rPr>
        <w:t>送样联系人：王老师   联系电话：0579-82282703</w:t>
      </w:r>
    </w:p>
    <w:p>
      <w:pPr>
        <w:pStyle w:val="9"/>
        <w:ind w:firstLine="480" w:firstLineChars="200"/>
        <w:rPr>
          <w:rFonts w:cs="宋体"/>
          <w:sz w:val="24"/>
        </w:rPr>
      </w:pPr>
      <w:r>
        <w:rPr>
          <w:rFonts w:hint="eastAsia" w:cs="宋体"/>
          <w:sz w:val="24"/>
        </w:rPr>
        <w:t>项目联系人：吴老师   联系电话：13958130672</w:t>
      </w:r>
    </w:p>
    <w:p>
      <w:pPr>
        <w:pStyle w:val="9"/>
        <w:ind w:firstLine="480" w:firstLineChars="200"/>
        <w:rPr>
          <w:rFonts w:cs="宋体"/>
          <w:sz w:val="24"/>
        </w:rPr>
      </w:pPr>
      <w:r>
        <w:rPr>
          <w:rFonts w:hint="eastAsia" w:cs="宋体"/>
          <w:sz w:val="24"/>
        </w:rPr>
        <w:t>投标截止前没有提交样品的供应商视为无效投标处理。</w:t>
      </w:r>
    </w:p>
    <w:p>
      <w:pPr>
        <w:pStyle w:val="9"/>
        <w:ind w:firstLine="480" w:firstLineChars="200"/>
        <w:rPr>
          <w:rFonts w:cs="宋体"/>
          <w:sz w:val="24"/>
        </w:rPr>
      </w:pPr>
      <w:r>
        <w:rPr>
          <w:rFonts w:hint="eastAsia" w:cs="宋体"/>
          <w:sz w:val="24"/>
        </w:rPr>
        <w:t xml:space="preserve">4.未中标人样品的退还处理方式：由投标人在评标结束当日内取回。送样品一切费用，由投标方自行承担。 </w:t>
      </w:r>
    </w:p>
    <w:p>
      <w:pPr>
        <w:pStyle w:val="9"/>
        <w:ind w:firstLine="480" w:firstLineChars="200"/>
        <w:rPr>
          <w:rFonts w:cs="宋体"/>
          <w:sz w:val="24"/>
        </w:rPr>
      </w:pPr>
      <w:r>
        <w:rPr>
          <w:rFonts w:hint="eastAsia" w:cs="宋体"/>
          <w:sz w:val="24"/>
        </w:rPr>
        <w:t xml:space="preserve">5.中标人的样品应当由招标人进行保管、封存，作为履约验收的参考。 </w:t>
      </w:r>
    </w:p>
    <w:p>
      <w:pPr>
        <w:pStyle w:val="9"/>
        <w:ind w:firstLine="480" w:firstLineChars="200"/>
        <w:rPr>
          <w:rFonts w:cs="宋体"/>
          <w:sz w:val="24"/>
        </w:rPr>
      </w:pPr>
      <w:r>
        <w:rPr>
          <w:rFonts w:hint="eastAsia" w:cs="宋体"/>
          <w:sz w:val="24"/>
        </w:rPr>
        <w:t>6.样品的评审办法及评审标准，详见第四章。</w:t>
      </w:r>
    </w:p>
    <w:p>
      <w:pPr>
        <w:snapToGrid w:val="0"/>
        <w:spacing w:line="400" w:lineRule="exact"/>
        <w:ind w:firstLine="482" w:firstLineChars="200"/>
        <w:rPr>
          <w:rFonts w:cs="宋体"/>
          <w:b/>
          <w:sz w:val="24"/>
        </w:rPr>
      </w:pPr>
      <w:r>
        <w:rPr>
          <w:rFonts w:hint="eastAsia" w:cs="宋体"/>
          <w:b/>
          <w:sz w:val="24"/>
        </w:rPr>
        <w:t>九、知识产权</w:t>
      </w:r>
    </w:p>
    <w:p>
      <w:pPr>
        <w:pStyle w:val="9"/>
        <w:spacing w:line="400" w:lineRule="exact"/>
        <w:ind w:firstLine="480" w:firstLineChars="200"/>
        <w:rPr>
          <w:rFonts w:cs="宋体"/>
          <w:sz w:val="24"/>
        </w:rPr>
      </w:pPr>
      <w:r>
        <w:rPr>
          <w:rFonts w:hint="eastAsia" w:cs="宋体"/>
          <w:sz w:val="24"/>
        </w:rPr>
        <w:t>中标人应对投标内容所涉及的知识产权承担责任，并负责保护采购人的利益不受任何损害。一切由于文字、商标、专利等引起的任何纠纷、诉讼和费用均由投标人承担全部责任，与采购人无关。如因此给采购人造成损失的，投标人一切由于文字、商标、专利等引起的任何纠纷、诉讼和费用均由投标人承担全部责任，与采购人无关。如因此给采购人造成损失的，投标人应向采购人承担全额赔偿责任。</w:t>
      </w:r>
    </w:p>
    <w:p>
      <w:pPr>
        <w:pStyle w:val="9"/>
        <w:jc w:val="center"/>
        <w:rPr>
          <w:rFonts w:cs="宋体"/>
          <w:b/>
          <w:sz w:val="30"/>
          <w:szCs w:val="30"/>
        </w:rPr>
      </w:pPr>
      <w:r>
        <w:rPr>
          <w:rFonts w:hint="eastAsia" w:cs="宋体"/>
          <w:sz w:val="24"/>
        </w:rPr>
        <w:br w:type="page"/>
      </w:r>
      <w:r>
        <w:rPr>
          <w:rFonts w:hint="eastAsia" w:cs="宋体"/>
          <w:b/>
          <w:sz w:val="36"/>
          <w:szCs w:val="36"/>
        </w:rPr>
        <w:t>第三章  投标人须知</w:t>
      </w:r>
    </w:p>
    <w:p>
      <w:pPr>
        <w:snapToGrid w:val="0"/>
        <w:spacing w:before="156" w:beforeLines="50" w:after="156" w:afterLines="50" w:line="360" w:lineRule="auto"/>
        <w:ind w:left="238"/>
        <w:jc w:val="center"/>
        <w:outlineLvl w:val="1"/>
        <w:rPr>
          <w:rFonts w:cs="宋体"/>
          <w:b/>
          <w:sz w:val="30"/>
          <w:szCs w:val="30"/>
        </w:rPr>
      </w:pPr>
      <w:r>
        <w:rPr>
          <w:rFonts w:hint="eastAsia" w:cs="宋体"/>
          <w:b/>
          <w:sz w:val="30"/>
          <w:szCs w:val="30"/>
        </w:rPr>
        <w:t>前附表</w:t>
      </w:r>
    </w:p>
    <w:tbl>
      <w:tblPr>
        <w:tblStyle w:val="29"/>
        <w:tblW w:w="98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69"/>
        <w:gridCol w:w="1504"/>
        <w:gridCol w:w="75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b/>
                <w:bCs/>
                <w:kern w:val="0"/>
                <w:sz w:val="24"/>
              </w:rPr>
            </w:pPr>
            <w:r>
              <w:rPr>
                <w:rFonts w:hint="eastAsia" w:cs="宋体"/>
                <w:b/>
                <w:bCs/>
                <w:kern w:val="0"/>
                <w:sz w:val="24"/>
              </w:rPr>
              <w:t>序号</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b/>
                <w:bCs/>
                <w:kern w:val="0"/>
                <w:sz w:val="24"/>
              </w:rPr>
            </w:pPr>
            <w:r>
              <w:rPr>
                <w:rFonts w:hint="eastAsia" w:cs="宋体"/>
                <w:b/>
                <w:bCs/>
                <w:kern w:val="0"/>
                <w:sz w:val="24"/>
              </w:rPr>
              <w:t>项目</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b/>
                <w:bCs/>
                <w:kern w:val="0"/>
                <w:sz w:val="24"/>
              </w:rPr>
            </w:pPr>
            <w:r>
              <w:rPr>
                <w:rFonts w:hint="eastAsia" w:cs="宋体"/>
                <w:b/>
                <w:bCs/>
                <w:kern w:val="0"/>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1</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项目名称</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rPr>
              <w:t>金华校本部学生公寓寝室床及配套家具更新（一期）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2</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采购内容</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lang w:bidi="ar"/>
              </w:rPr>
              <w:t>详见第一章 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3</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最高限价</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cs="宋体"/>
                <w:kern w:val="0"/>
                <w:sz w:val="24"/>
              </w:rPr>
            </w:pPr>
            <w:r>
              <w:rPr>
                <w:rFonts w:hint="eastAsia" w:cs="宋体"/>
                <w:kern w:val="0"/>
                <w:sz w:val="24"/>
              </w:rPr>
              <w:t>详见第一章 采购公告。超过此报价将作无效标处理。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4</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公告媒体</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cs="宋体"/>
                <w:kern w:val="0"/>
                <w:sz w:val="24"/>
              </w:rPr>
            </w:pPr>
            <w:r>
              <w:rPr>
                <w:rFonts w:hint="eastAsia" w:cs="宋体"/>
                <w:kern w:val="0"/>
                <w:sz w:val="24"/>
              </w:rPr>
              <w:t>浙江政府采购网（</w:t>
            </w:r>
            <w:r>
              <w:rPr>
                <w:rFonts w:hint="eastAsia" w:cs="宋体"/>
                <w:kern w:val="0"/>
                <w:sz w:val="24"/>
              </w:rPr>
              <w:fldChar w:fldCharType="begin"/>
            </w:r>
            <w:r>
              <w:rPr>
                <w:rFonts w:hint="eastAsia" w:cs="宋体"/>
                <w:kern w:val="0"/>
                <w:sz w:val="24"/>
              </w:rPr>
              <w:instrText xml:space="preserve"> HYPERLINK "http://www.zjzfcg.gov.cn/" </w:instrText>
            </w:r>
            <w:r>
              <w:rPr>
                <w:rFonts w:hint="eastAsia" w:cs="宋体"/>
                <w:kern w:val="0"/>
                <w:sz w:val="24"/>
              </w:rPr>
              <w:fldChar w:fldCharType="separate"/>
            </w:r>
            <w:r>
              <w:rPr>
                <w:rFonts w:hint="eastAsia" w:cs="宋体"/>
                <w:kern w:val="0"/>
                <w:sz w:val="24"/>
              </w:rPr>
              <w:t>http://zfcg.czt.zj.gov.cn/</w:t>
            </w:r>
            <w:r>
              <w:rPr>
                <w:rFonts w:hint="eastAsia" w:cs="宋体"/>
                <w:kern w:val="0"/>
                <w:sz w:val="24"/>
              </w:rPr>
              <w:fldChar w:fldCharType="end"/>
            </w:r>
            <w:r>
              <w:rPr>
                <w:rFonts w:hint="eastAsia" w:cs="宋体"/>
                <w:kern w:val="0"/>
                <w:sz w:val="24"/>
              </w:rPr>
              <w:t>）和浙江师范大学采购中心网站（http://cgzx.zjnu.edu.cn/）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5</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电子交易</w:t>
            </w:r>
          </w:p>
          <w:p>
            <w:pPr>
              <w:spacing w:line="360" w:lineRule="exact"/>
              <w:jc w:val="center"/>
              <w:rPr>
                <w:rFonts w:cs="宋体"/>
                <w:kern w:val="0"/>
                <w:sz w:val="24"/>
              </w:rPr>
            </w:pPr>
            <w:r>
              <w:rPr>
                <w:rFonts w:hint="eastAsia" w:cs="宋体"/>
                <w:kern w:val="0"/>
                <w:sz w:val="24"/>
              </w:rPr>
              <w:t>平台</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rPr>
              <w:t>浙江省政府采购云平台（www.zcygov.cn）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1"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6</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kern w:val="0"/>
                <w:sz w:val="24"/>
              </w:rPr>
            </w:pPr>
            <w:r>
              <w:rPr>
                <w:rFonts w:hint="eastAsia" w:cs="宋体"/>
                <w:kern w:val="0"/>
                <w:sz w:val="24"/>
              </w:rPr>
              <w:t>是否允许进口产品投标</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cs="宋体"/>
                <w:kern w:val="0"/>
                <w:sz w:val="24"/>
                <w:lang w:val="zh-CN"/>
              </w:rPr>
            </w:pPr>
            <w:r>
              <w:rPr>
                <w:rFonts w:hint="eastAsia" w:cs="宋体"/>
                <w:sz w:val="24"/>
              </w:rPr>
              <w:sym w:font="Wingdings" w:char="00FE"/>
            </w:r>
            <w:r>
              <w:rPr>
                <w:rFonts w:hint="eastAsia" w:cs="宋体"/>
                <w:kern w:val="0"/>
                <w:sz w:val="24"/>
                <w:lang w:val="zh-CN"/>
              </w:rPr>
              <w:t>不允许。</w:t>
            </w:r>
          </w:p>
          <w:p>
            <w:pPr>
              <w:spacing w:line="360" w:lineRule="exact"/>
              <w:jc w:val="left"/>
              <w:rPr>
                <w:rFonts w:cs="宋体"/>
                <w:kern w:val="0"/>
                <w:sz w:val="24"/>
              </w:rPr>
            </w:pPr>
            <w:r>
              <w:rPr>
                <w:rFonts w:hint="eastAsia" w:cs="宋体"/>
                <w:kern w:val="0"/>
                <w:sz w:val="24"/>
              </w:rPr>
              <w:t>□允许，详见招标文件第二章 项目技术及服务要求。</w:t>
            </w:r>
          </w:p>
          <w:p>
            <w:pPr>
              <w:spacing w:line="360" w:lineRule="exact"/>
              <w:jc w:val="left"/>
              <w:rPr>
                <w:rFonts w:cs="宋体"/>
                <w:sz w:val="24"/>
              </w:rPr>
            </w:pPr>
            <w:r>
              <w:rPr>
                <w:rFonts w:hint="eastAsia" w:cs="宋体"/>
                <w:kern w:val="0"/>
                <w:sz w:val="24"/>
              </w:rPr>
              <w:t>□部分允许，详见招标文件第二章 项目技术及服务要求。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7</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节能产品</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rPr>
              <w:t>□ 强制采购节能产品</w:t>
            </w:r>
          </w:p>
          <w:p>
            <w:pPr>
              <w:snapToGrid w:val="0"/>
              <w:spacing w:line="360" w:lineRule="exact"/>
              <w:rPr>
                <w:rFonts w:cs="宋体"/>
                <w:sz w:val="24"/>
              </w:rPr>
            </w:pPr>
            <w:r>
              <w:rPr>
                <w:rFonts w:hint="eastAsia" w:cs="宋体"/>
                <w:sz w:val="24"/>
              </w:rPr>
              <w:sym w:font="Wingdings" w:char="00FE"/>
            </w:r>
            <w:r>
              <w:rPr>
                <w:rFonts w:hint="eastAsia" w:cs="宋体"/>
                <w:sz w:val="24"/>
              </w:rPr>
              <w:t xml:space="preserve"> 优先采购节能产品</w:t>
            </w:r>
          </w:p>
          <w:p>
            <w:pPr>
              <w:snapToGrid w:val="0"/>
              <w:spacing w:line="360" w:lineRule="exact"/>
              <w:rPr>
                <w:rFonts w:cs="宋体"/>
                <w:sz w:val="24"/>
              </w:rPr>
            </w:pPr>
            <w:r>
              <w:rPr>
                <w:rFonts w:hint="eastAsia" w:cs="宋体"/>
                <w:sz w:val="24"/>
              </w:rPr>
              <w:t>□ 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8</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环境标</w:t>
            </w:r>
          </w:p>
          <w:p>
            <w:pPr>
              <w:snapToGrid w:val="0"/>
              <w:spacing w:line="360" w:lineRule="exact"/>
              <w:jc w:val="center"/>
              <w:rPr>
                <w:rFonts w:cs="宋体"/>
                <w:sz w:val="24"/>
              </w:rPr>
            </w:pPr>
            <w:r>
              <w:rPr>
                <w:rFonts w:hint="eastAsia" w:cs="宋体"/>
                <w:sz w:val="24"/>
              </w:rPr>
              <w:t>志产品</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rPr>
              <w:sym w:font="Wingdings" w:char="00FE"/>
            </w:r>
            <w:r>
              <w:rPr>
                <w:rFonts w:hint="eastAsia" w:cs="宋体"/>
                <w:sz w:val="24"/>
              </w:rPr>
              <w:t xml:space="preserve"> 优先采购环境标志产品</w:t>
            </w:r>
          </w:p>
          <w:p>
            <w:pPr>
              <w:snapToGrid w:val="0"/>
              <w:spacing w:line="360" w:lineRule="exact"/>
              <w:rPr>
                <w:rFonts w:cs="宋体"/>
                <w:sz w:val="24"/>
              </w:rPr>
            </w:pPr>
            <w:r>
              <w:rPr>
                <w:rFonts w:hint="eastAsia" w:cs="宋体"/>
                <w:sz w:val="24"/>
              </w:rPr>
              <w:t>□ 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9</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促进中小</w:t>
            </w:r>
          </w:p>
          <w:p>
            <w:pPr>
              <w:snapToGrid w:val="0"/>
              <w:spacing w:line="360" w:lineRule="exact"/>
              <w:jc w:val="center"/>
              <w:rPr>
                <w:rFonts w:cs="宋体"/>
                <w:sz w:val="24"/>
              </w:rPr>
            </w:pPr>
            <w:r>
              <w:rPr>
                <w:rFonts w:hint="eastAsia" w:cs="宋体"/>
                <w:sz w:val="24"/>
              </w:rPr>
              <w:t>企业发展</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cs="宋体"/>
                <w:b/>
                <w:bCs/>
                <w:kern w:val="0"/>
                <w:sz w:val="24"/>
              </w:rPr>
            </w:pPr>
            <w:r>
              <w:rPr>
                <w:rFonts w:hint="eastAsia" w:cs="宋体"/>
                <w:b/>
                <w:bCs/>
                <w:kern w:val="0"/>
                <w:sz w:val="24"/>
              </w:rPr>
              <w:t>本项目为面向中小企业采购的项目。</w:t>
            </w:r>
          </w:p>
          <w:p>
            <w:pPr>
              <w:pStyle w:val="11"/>
              <w:ind w:firstLine="0"/>
              <w:rPr>
                <w:rFonts w:hint="default" w:ascii="Times New Roman" w:hAnsi="Times New Roman" w:cs="宋体"/>
                <w:b/>
                <w:bCs/>
                <w:sz w:val="24"/>
                <w:szCs w:val="24"/>
              </w:rPr>
            </w:pPr>
            <w:r>
              <w:rPr>
                <w:rFonts w:ascii="Times New Roman" w:hAnsi="Times New Roman" w:cs="宋体"/>
                <w:b/>
                <w:bCs/>
                <w:sz w:val="24"/>
                <w:szCs w:val="24"/>
              </w:rPr>
              <w:t>本项目采购标的为：货物，采购标的对应的中小企业划分标准所属行业：工业</w:t>
            </w:r>
          </w:p>
          <w:p>
            <w:pPr>
              <w:pStyle w:val="11"/>
              <w:ind w:firstLine="0"/>
              <w:rPr>
                <w:rFonts w:hint="default" w:ascii="Times New Roman" w:hAnsi="Times New Roman" w:cs="宋体"/>
              </w:rPr>
            </w:pPr>
            <w:r>
              <w:rPr>
                <w:rFonts w:ascii="Times New Roman" w:hAnsi="Times New Roman" w:cs="宋体"/>
                <w:sz w:val="21"/>
                <w:szCs w:val="21"/>
              </w:rPr>
              <w:t>中小企业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10</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投标报价</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rPr>
              <w:t>1.本项目投标以人民币报价。</w:t>
            </w:r>
          </w:p>
          <w:p>
            <w:pPr>
              <w:snapToGrid w:val="0"/>
              <w:spacing w:line="360" w:lineRule="exact"/>
              <w:rPr>
                <w:rFonts w:cs="宋体"/>
                <w:sz w:val="24"/>
              </w:rPr>
            </w:pPr>
            <w:r>
              <w:rPr>
                <w:rFonts w:hint="eastAsia" w:cs="宋体"/>
                <w:sz w:val="24"/>
              </w:rPr>
              <w:t>2.投标文件只允许有一个报价，有选择的报价将不予接受。</w:t>
            </w:r>
          </w:p>
          <w:p>
            <w:pPr>
              <w:snapToGrid w:val="0"/>
              <w:spacing w:line="360" w:lineRule="exact"/>
              <w:rPr>
                <w:rFonts w:cs="宋体"/>
                <w:sz w:val="24"/>
              </w:rPr>
            </w:pPr>
            <w:r>
              <w:rPr>
                <w:rFonts w:hint="eastAsia" w:cs="宋体"/>
                <w:sz w:val="24"/>
              </w:rPr>
              <w:t>3.采购人将以合同形式有偿取得货物或服务，不接受投标人给予的赠品或者与采购无关的其他货物、服务。</w:t>
            </w:r>
          </w:p>
          <w:p>
            <w:pPr>
              <w:snapToGrid w:val="0"/>
              <w:spacing w:line="360" w:lineRule="exact"/>
              <w:rPr>
                <w:rFonts w:cs="宋体"/>
                <w:sz w:val="24"/>
              </w:rPr>
            </w:pPr>
            <w:r>
              <w:rPr>
                <w:rFonts w:hint="eastAsia" w:cs="宋体"/>
                <w:sz w:val="24"/>
              </w:rPr>
              <w:t>4.不论投标结果如何，投标人均应自行承担所有与投标有关的全部费用。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11</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cs="宋体"/>
                <w:sz w:val="24"/>
              </w:rPr>
            </w:pPr>
            <w:r>
              <w:rPr>
                <w:rFonts w:hint="eastAsia" w:cs="宋体"/>
                <w:spacing w:val="-2"/>
                <w:kern w:val="0"/>
                <w:position w:val="-3"/>
                <w:sz w:val="24"/>
              </w:rPr>
              <w:t>踏勘现场</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cs="宋体"/>
                <w:spacing w:val="-2"/>
                <w:kern w:val="0"/>
                <w:position w:val="-3"/>
                <w:sz w:val="24"/>
              </w:rPr>
            </w:pPr>
            <w:r>
              <w:rPr>
                <w:rFonts w:hint="eastAsia" w:cs="宋体"/>
                <w:spacing w:val="-2"/>
                <w:kern w:val="0"/>
                <w:position w:val="-3"/>
                <w:sz w:val="24"/>
              </w:rPr>
              <w:sym w:font="Wingdings" w:char="F0FE"/>
            </w:r>
            <w:r>
              <w:rPr>
                <w:rFonts w:hint="eastAsia" w:cs="宋体"/>
                <w:spacing w:val="-2"/>
                <w:kern w:val="0"/>
                <w:position w:val="-3"/>
                <w:sz w:val="24"/>
              </w:rPr>
              <w:t>不组织    供应商如有需要可自行前往踏勘，联系方式见招标公告。</w:t>
            </w:r>
          </w:p>
          <w:p>
            <w:pPr>
              <w:spacing w:line="360" w:lineRule="exact"/>
              <w:rPr>
                <w:rFonts w:cs="宋体"/>
                <w:sz w:val="24"/>
              </w:rPr>
            </w:pPr>
            <w:r>
              <w:rPr>
                <w:rFonts w:hint="eastAsia" w:cs="宋体"/>
                <w:spacing w:val="-2"/>
                <w:kern w:val="0"/>
                <w:position w:val="-3"/>
                <w:sz w:val="24"/>
              </w:rPr>
              <w:t xml:space="preserve">□统一组织  踏勘时间：      踏勘集中地点：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12</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样品</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ind w:right="-20"/>
              <w:rPr>
                <w:rFonts w:cs="宋体"/>
                <w:sz w:val="24"/>
                <w:lang w:val="zh-CN"/>
              </w:rPr>
            </w:pPr>
            <w:r>
              <w:rPr>
                <w:rFonts w:hint="eastAsia" w:cs="宋体"/>
                <w:snapToGrid w:val="0"/>
                <w:kern w:val="10"/>
                <w:sz w:val="24"/>
              </w:rPr>
              <w:t>1.本项目是否需要样品：</w:t>
            </w:r>
            <w:r>
              <w:rPr>
                <w:rFonts w:hint="eastAsia" w:cs="宋体"/>
                <w:sz w:val="24"/>
              </w:rPr>
              <w:sym w:font="Wingdings" w:char="00A8"/>
            </w:r>
            <w:r>
              <w:rPr>
                <w:rFonts w:hint="eastAsia" w:cs="宋体"/>
                <w:sz w:val="24"/>
                <w:lang w:val="zh-CN"/>
              </w:rPr>
              <w:t>否；</w:t>
            </w:r>
            <w:r>
              <w:rPr>
                <w:rFonts w:hint="eastAsia" w:cs="宋体"/>
                <w:sz w:val="24"/>
              </w:rPr>
              <w:t>☑是，详见本章第三部分要求。</w:t>
            </w:r>
          </w:p>
          <w:p>
            <w:pPr>
              <w:spacing w:line="360" w:lineRule="exact"/>
              <w:ind w:right="-20"/>
              <w:rPr>
                <w:rFonts w:cs="宋体"/>
                <w:snapToGrid w:val="0"/>
                <w:kern w:val="10"/>
                <w:sz w:val="24"/>
              </w:rPr>
            </w:pPr>
            <w:r>
              <w:rPr>
                <w:rFonts w:hint="eastAsia" w:cs="宋体"/>
                <w:snapToGrid w:val="0"/>
                <w:kern w:val="10"/>
                <w:sz w:val="24"/>
              </w:rPr>
              <w:t>2.样品送至地点：自行送达，金华市婺城区迎宾大道688号浙江师范大学指定位置。</w:t>
            </w:r>
          </w:p>
          <w:p>
            <w:pPr>
              <w:spacing w:line="360" w:lineRule="exact"/>
              <w:ind w:right="-20"/>
              <w:rPr>
                <w:rFonts w:cs="宋体"/>
                <w:sz w:val="24"/>
              </w:rPr>
            </w:pPr>
            <w:r>
              <w:rPr>
                <w:rFonts w:hint="eastAsia" w:cs="宋体"/>
                <w:snapToGrid w:val="0"/>
                <w:kern w:val="10"/>
                <w:sz w:val="24"/>
              </w:rPr>
              <w:t>3.中标人样品处理：□退还；☑封存至验收；□抵扣采购数量。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13</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演示</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ind w:right="-20"/>
              <w:rPr>
                <w:rFonts w:cs="宋体"/>
              </w:rPr>
            </w:pPr>
            <w:r>
              <w:rPr>
                <w:rFonts w:hint="eastAsia" w:cs="宋体"/>
                <w:snapToGrid w:val="0"/>
                <w:kern w:val="10"/>
                <w:sz w:val="24"/>
              </w:rPr>
              <w:sym w:font="Wingdings 2" w:char="00A3"/>
            </w:r>
            <w:r>
              <w:rPr>
                <w:rFonts w:hint="eastAsia" w:cs="宋体"/>
                <w:snapToGrid w:val="0"/>
                <w:kern w:val="10"/>
                <w:sz w:val="24"/>
              </w:rPr>
              <w:t xml:space="preserve"> 要求   </w:t>
            </w:r>
            <w:r>
              <w:rPr>
                <w:rFonts w:hint="eastAsia" w:cs="宋体"/>
                <w:snapToGrid w:val="0"/>
                <w:kern w:val="10"/>
                <w:sz w:val="24"/>
              </w:rPr>
              <w:sym w:font="Wingdings 2" w:char="0052"/>
            </w:r>
            <w:r>
              <w:rPr>
                <w:rFonts w:hint="eastAsia" w:cs="宋体"/>
                <w:snapToGrid w:val="0"/>
                <w:kern w:val="10"/>
                <w:sz w:val="24"/>
              </w:rPr>
              <w:t>不要求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14</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招标文</w:t>
            </w:r>
          </w:p>
          <w:p>
            <w:pPr>
              <w:snapToGrid w:val="0"/>
              <w:spacing w:line="360" w:lineRule="exact"/>
              <w:jc w:val="center"/>
              <w:rPr>
                <w:rFonts w:cs="宋体"/>
                <w:sz w:val="24"/>
              </w:rPr>
            </w:pPr>
            <w:r>
              <w:rPr>
                <w:rFonts w:hint="eastAsia" w:cs="宋体"/>
                <w:sz w:val="24"/>
              </w:rPr>
              <w:t>件澄清</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rPr>
              <w:t>投标人如认为招标文件表述不清晰、存在前后矛盾等内容的，应当在投标截止日</w:t>
            </w:r>
            <w:r>
              <w:rPr>
                <w:rFonts w:hint="eastAsia" w:cs="宋体"/>
                <w:sz w:val="24"/>
                <w:u w:val="single"/>
              </w:rPr>
              <w:t>5</w:t>
            </w:r>
            <w:r>
              <w:rPr>
                <w:rFonts w:hint="eastAsia" w:cs="宋体"/>
                <w:sz w:val="24"/>
              </w:rPr>
              <w:t>天前以书面形式（纸质）要求招标采购单位作出书面（纸质）澄清。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15</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投标文件</w:t>
            </w:r>
          </w:p>
          <w:p>
            <w:pPr>
              <w:snapToGrid w:val="0"/>
              <w:spacing w:line="360" w:lineRule="exact"/>
              <w:jc w:val="center"/>
              <w:rPr>
                <w:rFonts w:cs="宋体"/>
                <w:sz w:val="24"/>
              </w:rPr>
            </w:pPr>
            <w:r>
              <w:rPr>
                <w:rFonts w:hint="eastAsia" w:cs="宋体"/>
                <w:sz w:val="24"/>
              </w:rPr>
              <w:t>的组成</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rPr>
              <w:t>投标文件由资格证明文件、商务技术文件、报价文件三部分组成。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16</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投标文件</w:t>
            </w:r>
          </w:p>
          <w:p>
            <w:pPr>
              <w:snapToGrid w:val="0"/>
              <w:spacing w:line="360" w:lineRule="exact"/>
              <w:jc w:val="center"/>
              <w:rPr>
                <w:rFonts w:cs="宋体"/>
                <w:sz w:val="24"/>
              </w:rPr>
            </w:pPr>
            <w:r>
              <w:rPr>
                <w:rFonts w:hint="eastAsia" w:cs="宋体"/>
                <w:sz w:val="24"/>
              </w:rPr>
              <w:t>的编制</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cs="宋体"/>
                <w:sz w:val="24"/>
                <w:lang w:bidi="ar"/>
              </w:rPr>
            </w:pPr>
            <w:r>
              <w:rPr>
                <w:rFonts w:hint="eastAsia" w:cs="宋体"/>
                <w:sz w:val="24"/>
                <w:lang w:bidi="ar"/>
              </w:rPr>
              <w:t>1.“电子加密投标文件”（后缀格式为jmbs）：</w:t>
            </w:r>
          </w:p>
          <w:p>
            <w:pPr>
              <w:spacing w:line="360" w:lineRule="exact"/>
              <w:rPr>
                <w:rFonts w:cs="宋体"/>
                <w:sz w:val="24"/>
                <w:lang w:bidi="ar"/>
              </w:rPr>
            </w:pPr>
            <w:r>
              <w:rPr>
                <w:rFonts w:hint="eastAsia" w:cs="宋体"/>
                <w:sz w:val="24"/>
                <w:lang w:bidi="ar"/>
              </w:rPr>
              <w:t xml:space="preserve">（1）“电子加密投标文件”是指通过“政采云电子交易客户端”完成投标文件编制后生成并加密的数据电文形式的投标文件。 </w:t>
            </w:r>
          </w:p>
          <w:p>
            <w:pPr>
              <w:spacing w:line="360" w:lineRule="exact"/>
              <w:rPr>
                <w:rFonts w:cs="宋体"/>
                <w:sz w:val="24"/>
                <w:lang w:bidi="ar"/>
              </w:rPr>
            </w:pPr>
            <w:r>
              <w:rPr>
                <w:rFonts w:hint="eastAsia" w:cs="宋体"/>
                <w:sz w:val="24"/>
                <w:lang w:bidi="ar"/>
              </w:rPr>
              <w:t>（2）供应商应先安装“政采云电子交易客户端”，并按照本招标文件和“政府采购云平台”的要求，通过“政采云电子交易客户端”编制并加密投标文件。</w:t>
            </w:r>
          </w:p>
          <w:p>
            <w:pPr>
              <w:spacing w:line="360" w:lineRule="exact"/>
              <w:rPr>
                <w:rFonts w:cs="宋体"/>
                <w:sz w:val="21"/>
                <w:szCs w:val="21"/>
              </w:rPr>
            </w:pPr>
            <w:r>
              <w:rPr>
                <w:rFonts w:hint="eastAsia" w:cs="宋体"/>
                <w:sz w:val="24"/>
                <w:lang w:bidi="ar"/>
              </w:rPr>
              <w:t>2.“电子备份投标文件”（后缀格式为</w:t>
            </w:r>
            <w:r>
              <w:rPr>
                <w:rFonts w:hint="eastAsia" w:cs="宋体"/>
                <w:sz w:val="24"/>
              </w:rPr>
              <w:t>bfbs</w:t>
            </w:r>
            <w:r>
              <w:rPr>
                <w:rFonts w:hint="eastAsia" w:cs="宋体"/>
                <w:sz w:val="24"/>
                <w:lang w:bidi="ar"/>
              </w:rPr>
              <w:t>）：</w:t>
            </w:r>
          </w:p>
          <w:p>
            <w:pPr>
              <w:spacing w:line="360" w:lineRule="exact"/>
              <w:rPr>
                <w:rFonts w:cs="宋体"/>
                <w:sz w:val="24"/>
                <w:lang w:bidi="ar"/>
              </w:rPr>
            </w:pPr>
            <w:r>
              <w:rPr>
                <w:rFonts w:hint="eastAsia" w:cs="宋体"/>
                <w:sz w:val="24"/>
                <w:lang w:bidi="ar"/>
              </w:rPr>
              <w:t>（1）“电子备份投标文件”是指与“电子加密投标文件”同时生成的数据电文形式的电子文件。</w:t>
            </w:r>
          </w:p>
          <w:p>
            <w:pPr>
              <w:spacing w:line="360" w:lineRule="exact"/>
              <w:rPr>
                <w:rFonts w:cs="宋体"/>
                <w:sz w:val="24"/>
                <w:lang w:bidi="ar"/>
              </w:rPr>
            </w:pPr>
            <w:r>
              <w:rPr>
                <w:rFonts w:hint="eastAsia" w:cs="宋体"/>
                <w:sz w:val="24"/>
                <w:lang w:bidi="ar"/>
              </w:rPr>
              <w:t>（2）供应商可自主选择是否编制“电子备份投标文件”。</w:t>
            </w:r>
          </w:p>
          <w:p>
            <w:pPr>
              <w:spacing w:line="360" w:lineRule="exact"/>
              <w:rPr>
                <w:rFonts w:cs="宋体"/>
                <w:sz w:val="24"/>
                <w:lang w:bidi="ar"/>
              </w:rPr>
            </w:pPr>
            <w:r>
              <w:rPr>
                <w:rFonts w:hint="eastAsia" w:cs="宋体"/>
                <w:sz w:val="24"/>
                <w:lang w:bidi="ar"/>
              </w:rPr>
              <w:t>（3）其他方式编制的备份投标文件视为无效备份投标文件。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17</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投标文件</w:t>
            </w:r>
          </w:p>
          <w:p>
            <w:pPr>
              <w:snapToGrid w:val="0"/>
              <w:spacing w:line="360" w:lineRule="exact"/>
              <w:jc w:val="center"/>
              <w:rPr>
                <w:rFonts w:cs="宋体"/>
                <w:sz w:val="24"/>
              </w:rPr>
            </w:pPr>
            <w:r>
              <w:rPr>
                <w:rFonts w:hint="eastAsia" w:cs="宋体"/>
                <w:sz w:val="24"/>
              </w:rPr>
              <w:t>的签章</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cs="宋体"/>
                <w:sz w:val="24"/>
              </w:rPr>
            </w:pPr>
            <w:r>
              <w:rPr>
                <w:rFonts w:hint="eastAsia" w:cs="宋体"/>
                <w:sz w:val="24"/>
                <w:lang w:bidi="ar"/>
              </w:rPr>
              <w:t>除特殊说明外系指政采云电子交易客户端（政采云投标客户端）中投标人的电子签章。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18</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投标文件</w:t>
            </w:r>
          </w:p>
          <w:p>
            <w:pPr>
              <w:snapToGrid w:val="0"/>
              <w:spacing w:line="360" w:lineRule="exact"/>
              <w:jc w:val="center"/>
              <w:rPr>
                <w:rFonts w:cs="宋体"/>
                <w:sz w:val="24"/>
              </w:rPr>
            </w:pPr>
            <w:r>
              <w:rPr>
                <w:rFonts w:hint="eastAsia" w:cs="宋体"/>
                <w:sz w:val="24"/>
              </w:rPr>
              <w:t>的包装、密封和递交</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cs="宋体"/>
                <w:sz w:val="24"/>
                <w:lang w:bidi="ar"/>
              </w:rPr>
            </w:pPr>
            <w:r>
              <w:rPr>
                <w:rFonts w:hint="eastAsia" w:cs="宋体"/>
                <w:sz w:val="24"/>
                <w:lang w:bidi="ar"/>
              </w:rPr>
              <w:t>1.“电子加密投标文件”的递交：在线上传递交。</w:t>
            </w:r>
          </w:p>
          <w:p>
            <w:pPr>
              <w:spacing w:line="360" w:lineRule="exact"/>
              <w:jc w:val="left"/>
              <w:rPr>
                <w:rFonts w:cs="宋体"/>
                <w:sz w:val="24"/>
                <w:lang w:bidi="ar"/>
              </w:rPr>
            </w:pPr>
            <w:r>
              <w:rPr>
                <w:rFonts w:hint="eastAsia" w:cs="宋体"/>
                <w:sz w:val="24"/>
                <w:lang w:bidi="ar"/>
              </w:rPr>
              <w:t>（1）供应商应在投标截止时间前将“电子加密投标文件”成功上传递交至“政府采购云平台”，否则投标无效。</w:t>
            </w:r>
          </w:p>
          <w:p>
            <w:pPr>
              <w:spacing w:line="360" w:lineRule="exact"/>
              <w:jc w:val="left"/>
              <w:rPr>
                <w:rFonts w:cs="宋体"/>
                <w:sz w:val="24"/>
                <w:lang w:bidi="ar"/>
              </w:rPr>
            </w:pPr>
            <w:r>
              <w:rPr>
                <w:rFonts w:hint="eastAsia" w:cs="宋体"/>
                <w:sz w:val="24"/>
                <w:lang w:bidi="ar"/>
              </w:rPr>
              <w:t>（2）“电子加密投标文件”成功上传递交后，供应商可自行打印投标文件接收回执。</w:t>
            </w:r>
          </w:p>
          <w:p>
            <w:pPr>
              <w:spacing w:line="360" w:lineRule="exact"/>
              <w:jc w:val="left"/>
              <w:rPr>
                <w:rFonts w:cs="宋体"/>
                <w:sz w:val="24"/>
                <w:lang w:bidi="ar"/>
              </w:rPr>
            </w:pPr>
            <w:r>
              <w:rPr>
                <w:rFonts w:hint="eastAsia" w:cs="宋体"/>
                <w:sz w:val="24"/>
                <w:lang w:bidi="ar"/>
              </w:rPr>
              <w:t>2.“电子备份投标文件”的密封、包装和递交：</w:t>
            </w:r>
          </w:p>
          <w:p>
            <w:pPr>
              <w:spacing w:line="360" w:lineRule="exact"/>
              <w:jc w:val="left"/>
              <w:rPr>
                <w:rFonts w:cs="宋体"/>
                <w:sz w:val="24"/>
                <w:lang w:bidi="ar"/>
              </w:rPr>
            </w:pPr>
            <w:r>
              <w:rPr>
                <w:rFonts w:hint="eastAsia" w:cs="宋体"/>
                <w:sz w:val="24"/>
                <w:lang w:bidi="ar"/>
              </w:rPr>
              <w:t>（1）供应商可自主选择是否递交“电子备份投标文件”。</w:t>
            </w:r>
          </w:p>
          <w:p>
            <w:pPr>
              <w:spacing w:line="360" w:lineRule="exact"/>
              <w:jc w:val="left"/>
              <w:rPr>
                <w:rFonts w:cs="宋体"/>
                <w:sz w:val="24"/>
                <w:lang w:bidi="ar"/>
              </w:rPr>
            </w:pPr>
            <w:r>
              <w:rPr>
                <w:rFonts w:hint="eastAsia" w:cs="宋体"/>
                <w:sz w:val="24"/>
                <w:lang w:bidi="ar"/>
              </w:rPr>
              <w:t>（2）如递交，“电子备份投标文件”存入U盘（一份），应当密封包装，并在包装上标注投标项目编号、项目名称、投标单位名称等并加盖公章（详见第六章投标文件格式）。</w:t>
            </w:r>
          </w:p>
          <w:p>
            <w:pPr>
              <w:spacing w:line="360" w:lineRule="exact"/>
              <w:jc w:val="left"/>
              <w:rPr>
                <w:rFonts w:cs="宋体"/>
                <w:sz w:val="24"/>
                <w:lang w:bidi="ar"/>
              </w:rPr>
            </w:pPr>
            <w:r>
              <w:rPr>
                <w:rFonts w:hint="eastAsia" w:cs="宋体"/>
                <w:sz w:val="24"/>
                <w:lang w:bidi="ar"/>
              </w:rPr>
              <w:t>（3）“电子备份投标文件” 应在投标截止时间前以EMS、顺丰邮寄的方式递交至“浙江省金华市迎宾大道688号浙江师范大学行政北楼109室”，王老师收。没有密封包装或者逾期送达将不予接收。</w:t>
            </w:r>
          </w:p>
          <w:p>
            <w:pPr>
              <w:spacing w:line="360" w:lineRule="exact"/>
              <w:jc w:val="left"/>
              <w:rPr>
                <w:rFonts w:cs="宋体"/>
                <w:sz w:val="24"/>
                <w:lang w:bidi="ar"/>
              </w:rPr>
            </w:pPr>
            <w:r>
              <w:rPr>
                <w:rFonts w:hint="eastAsia" w:cs="宋体"/>
                <w:sz w:val="24"/>
                <w:lang w:bidi="ar"/>
              </w:rPr>
              <w:t xml:space="preserve">（4）电子备份投标文件快递寄出同时，法定代表人或授权代表须以邮件形式将快递单号、项目名称、公司名称、联系人及联系方式等内容发送至邮箱 </w:t>
            </w:r>
            <w:r>
              <w:fldChar w:fldCharType="begin"/>
            </w:r>
            <w:r>
              <w:instrText xml:space="preserve"> HYPERLINK "mailto:cgzx@zjnu.cn，以便工作人员查收快递；快递费用由投标人承担，如投标人选择快递费到付，本kh" </w:instrText>
            </w:r>
            <w:r>
              <w:fldChar w:fldCharType="separate"/>
            </w:r>
            <w:r>
              <w:rPr>
                <w:rFonts w:hint="eastAsia" w:cs="宋体"/>
                <w:sz w:val="24"/>
                <w:lang w:bidi="ar"/>
              </w:rPr>
              <w:t>cgzx@zjnu.cn，以便工作人员查收快递；快递费用由投标人承担，如投标人选择快递费到付，本</w:t>
            </w:r>
            <w:r>
              <w:rPr>
                <w:rFonts w:hint="eastAsia" w:cs="宋体"/>
                <w:sz w:val="24"/>
                <w:lang w:bidi="ar"/>
              </w:rPr>
              <w:fldChar w:fldCharType="end"/>
            </w:r>
            <w:r>
              <w:rPr>
                <w:rFonts w:hint="eastAsia" w:cs="宋体"/>
                <w:sz w:val="24"/>
                <w:lang w:bidi="ar"/>
              </w:rPr>
              <w:t>中心将拒绝签收。</w:t>
            </w:r>
          </w:p>
          <w:p>
            <w:pPr>
              <w:spacing w:line="360" w:lineRule="exact"/>
              <w:jc w:val="left"/>
              <w:rPr>
                <w:rFonts w:cs="宋体"/>
                <w:sz w:val="24"/>
                <w:lang w:bidi="ar"/>
              </w:rPr>
            </w:pPr>
            <w:r>
              <w:rPr>
                <w:rFonts w:hint="eastAsia" w:cs="宋体"/>
                <w:b/>
                <w:bCs/>
                <w:sz w:val="24"/>
                <w:lang w:bidi="ar"/>
              </w:rPr>
              <w:t>特别说明：双休日和法定节假日不收件，投标人自行承担邮寄风险。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19</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开标时间</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cs="宋体"/>
                <w:sz w:val="24"/>
              </w:rPr>
            </w:pPr>
            <w:r>
              <w:rPr>
                <w:rFonts w:hint="eastAsia" w:cs="宋体"/>
                <w:sz w:val="24"/>
                <w:lang w:bidi="ar"/>
              </w:rPr>
              <w:t>详见第一章 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20</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开标程序</w:t>
            </w:r>
          </w:p>
        </w:tc>
        <w:tc>
          <w:tcPr>
            <w:tcW w:w="7586" w:type="dxa"/>
            <w:tcBorders>
              <w:top w:val="single" w:color="auto" w:sz="4" w:space="0"/>
              <w:left w:val="single" w:color="auto" w:sz="4" w:space="0"/>
              <w:bottom w:val="single" w:color="auto" w:sz="4" w:space="0"/>
              <w:right w:val="single" w:color="auto" w:sz="4" w:space="0"/>
            </w:tcBorders>
            <w:vAlign w:val="center"/>
          </w:tcPr>
          <w:p>
            <w:pPr>
              <w:numPr>
                <w:ilvl w:val="0"/>
                <w:numId w:val="12"/>
              </w:numPr>
              <w:spacing w:line="360" w:lineRule="exact"/>
              <w:rPr>
                <w:rFonts w:cs="宋体"/>
                <w:sz w:val="24"/>
                <w:lang w:bidi="ar"/>
              </w:rPr>
            </w:pPr>
            <w:r>
              <w:rPr>
                <w:rFonts w:hint="eastAsia" w:cs="宋体"/>
                <w:sz w:val="24"/>
                <w:lang w:bidi="ar"/>
              </w:rPr>
              <w:t>开标后，我中心点击【开始解密】向投标供应商发出解密通知，供应间应当在接到解密通知后</w:t>
            </w:r>
            <w:r>
              <w:rPr>
                <w:rFonts w:hint="eastAsia" w:cs="宋体"/>
                <w:b/>
                <w:bCs/>
                <w:sz w:val="24"/>
                <w:u w:val="single"/>
                <w:lang w:bidi="ar"/>
              </w:rPr>
              <w:t>30</w:t>
            </w:r>
            <w:r>
              <w:rPr>
                <w:rFonts w:hint="eastAsia" w:cs="宋体"/>
                <w:sz w:val="24"/>
                <w:lang w:bidi="ar"/>
              </w:rPr>
              <w:t>分钟内自行完成“电子加密投标文件”的在线解密。</w:t>
            </w:r>
          </w:p>
          <w:p>
            <w:pPr>
              <w:spacing w:line="360" w:lineRule="exact"/>
              <w:rPr>
                <w:rFonts w:cs="宋体"/>
                <w:sz w:val="24"/>
                <w:lang w:bidi="ar"/>
              </w:rPr>
            </w:pPr>
            <w:r>
              <w:rPr>
                <w:rFonts w:hint="eastAsia" w:cs="宋体"/>
                <w:sz w:val="24"/>
                <w:lang w:bidi="ar"/>
              </w:rPr>
              <w:t>2.供应商“电子加密投标文件”按时成功解密的，“电子备份投标文件”自动失效。解密不成功时，如投标供应商已按规定递交了“备份投标文件”的，我中心按“政府采购云平台”操作规范，通过【异常处理】端口上传备份投标文件，</w:t>
            </w:r>
            <w:r>
              <w:rPr>
                <w:rFonts w:hint="eastAsia" w:cs="宋体"/>
                <w:kern w:val="0"/>
                <w:sz w:val="24"/>
              </w:rPr>
              <w:t>以“电子备份投标文件”参与评标</w:t>
            </w:r>
            <w:r>
              <w:rPr>
                <w:rFonts w:hint="eastAsia" w:cs="宋体"/>
                <w:sz w:val="24"/>
                <w:lang w:bidi="ar"/>
              </w:rPr>
              <w:t>；如投标供应商未按规定递交或</w:t>
            </w:r>
            <w:r>
              <w:rPr>
                <w:rFonts w:hint="eastAsia" w:cs="宋体"/>
                <w:sz w:val="24"/>
              </w:rPr>
              <w:t>非我中心操作原因引起的不能取读U盘“电子备份投标文件”</w:t>
            </w:r>
            <w:r>
              <w:rPr>
                <w:rFonts w:hint="eastAsia" w:cs="宋体"/>
                <w:sz w:val="24"/>
                <w:lang w:bidi="ar"/>
              </w:rPr>
              <w:t>的，视为投标文件撤回。</w:t>
            </w:r>
          </w:p>
          <w:p>
            <w:pPr>
              <w:spacing w:line="360" w:lineRule="exact"/>
              <w:rPr>
                <w:rFonts w:cs="宋体"/>
                <w:sz w:val="24"/>
                <w:lang w:bidi="ar"/>
              </w:rPr>
            </w:pPr>
            <w:r>
              <w:rPr>
                <w:rFonts w:hint="eastAsia" w:cs="宋体"/>
                <w:sz w:val="24"/>
                <w:lang w:bidi="ar"/>
              </w:rPr>
              <w:t>3.我中心点击【开启标书信息】，开启标书成功后进入开标流程。</w:t>
            </w:r>
          </w:p>
          <w:p>
            <w:pPr>
              <w:spacing w:line="360" w:lineRule="exact"/>
              <w:rPr>
                <w:rFonts w:cs="宋体"/>
                <w:sz w:val="24"/>
              </w:rPr>
            </w:pPr>
            <w:r>
              <w:rPr>
                <w:rFonts w:hint="eastAsia" w:cs="宋体"/>
                <w:sz w:val="24"/>
                <w:lang w:bidi="ar"/>
              </w:rPr>
              <w:t>4.政采云采购云平台有新的操作流程的，按其规定。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21</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评标办法</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cs="宋体"/>
                <w:sz w:val="24"/>
              </w:rPr>
            </w:pPr>
            <w:r>
              <w:rPr>
                <w:rFonts w:hint="eastAsia" w:cs="宋体"/>
                <w:sz w:val="24"/>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22</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投标文件</w:t>
            </w:r>
          </w:p>
          <w:p>
            <w:pPr>
              <w:snapToGrid w:val="0"/>
              <w:spacing w:line="360" w:lineRule="exact"/>
              <w:jc w:val="center"/>
              <w:rPr>
                <w:rFonts w:cs="宋体"/>
                <w:sz w:val="24"/>
              </w:rPr>
            </w:pPr>
            <w:r>
              <w:rPr>
                <w:rFonts w:hint="eastAsia" w:cs="宋体"/>
                <w:sz w:val="24"/>
              </w:rPr>
              <w:t>有效期</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kern w:val="0"/>
                <w:position w:val="-2"/>
                <w:sz w:val="24"/>
              </w:rPr>
              <w:t>自投</w:t>
            </w:r>
            <w:r>
              <w:rPr>
                <w:rFonts w:hint="eastAsia" w:cs="宋体"/>
                <w:spacing w:val="-2"/>
                <w:kern w:val="0"/>
                <w:position w:val="-2"/>
                <w:sz w:val="24"/>
              </w:rPr>
              <w:t>标</w:t>
            </w:r>
            <w:r>
              <w:rPr>
                <w:rFonts w:hint="eastAsia" w:cs="宋体"/>
                <w:kern w:val="0"/>
                <w:position w:val="-2"/>
                <w:sz w:val="24"/>
              </w:rPr>
              <w:t>截</w:t>
            </w:r>
            <w:r>
              <w:rPr>
                <w:rFonts w:hint="eastAsia" w:cs="宋体"/>
                <w:spacing w:val="-2"/>
                <w:kern w:val="0"/>
                <w:position w:val="-2"/>
                <w:sz w:val="24"/>
              </w:rPr>
              <w:t>止</w:t>
            </w:r>
            <w:r>
              <w:rPr>
                <w:rFonts w:hint="eastAsia" w:cs="宋体"/>
                <w:kern w:val="0"/>
                <w:position w:val="-2"/>
                <w:sz w:val="24"/>
              </w:rPr>
              <w:t>时</w:t>
            </w:r>
            <w:r>
              <w:rPr>
                <w:rFonts w:hint="eastAsia" w:cs="宋体"/>
                <w:spacing w:val="-2"/>
                <w:kern w:val="0"/>
                <w:position w:val="-2"/>
                <w:sz w:val="24"/>
              </w:rPr>
              <w:t>间</w:t>
            </w:r>
            <w:r>
              <w:rPr>
                <w:rFonts w:hint="eastAsia" w:cs="宋体"/>
                <w:kern w:val="0"/>
                <w:position w:val="-2"/>
                <w:sz w:val="24"/>
              </w:rPr>
              <w:t>起不少于</w:t>
            </w:r>
            <w:r>
              <w:rPr>
                <w:rFonts w:hint="eastAsia" w:cs="宋体"/>
                <w:spacing w:val="-2"/>
                <w:kern w:val="0"/>
                <w:position w:val="-2"/>
                <w:sz w:val="24"/>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23</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rPr>
                <w:rFonts w:cs="宋体"/>
                <w:sz w:val="24"/>
                <w:lang w:bidi="ar"/>
              </w:rPr>
            </w:pPr>
            <w:r>
              <w:rPr>
                <w:rFonts w:hint="eastAsia" w:cs="宋体"/>
                <w:sz w:val="24"/>
                <w:lang w:bidi="ar"/>
              </w:rPr>
              <w:t>签订合同</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cs="宋体"/>
                <w:sz w:val="24"/>
                <w:lang w:bidi="ar"/>
              </w:rPr>
            </w:pPr>
            <w:r>
              <w:rPr>
                <w:rFonts w:hint="eastAsia" w:cs="宋体"/>
                <w:sz w:val="24"/>
                <w:lang w:bidi="ar"/>
              </w:rPr>
              <w:t>中标通知书发出之日起30日内。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24</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解释权</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cs="宋体"/>
                <w:sz w:val="24"/>
              </w:rPr>
            </w:pPr>
            <w:r>
              <w:rPr>
                <w:rFonts w:hint="eastAsia" w:cs="宋体"/>
                <w:sz w:val="24"/>
              </w:rPr>
              <w:t>本招标文件的解释权属于浙江师范大学采购中心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25</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cs="宋体"/>
                <w:sz w:val="24"/>
              </w:rPr>
            </w:pPr>
            <w:r>
              <w:rPr>
                <w:rFonts w:hint="eastAsia" w:cs="宋体"/>
                <w:sz w:val="24"/>
              </w:rPr>
              <w:t>其他</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cs="宋体"/>
                <w:sz w:val="24"/>
              </w:rPr>
            </w:pPr>
            <w:r>
              <w:rPr>
                <w:rFonts w:hint="eastAsia" w:cs="宋体"/>
                <w:sz w:val="24"/>
              </w:rPr>
              <w:t>无</w:t>
            </w:r>
          </w:p>
        </w:tc>
      </w:tr>
    </w:tbl>
    <w:p>
      <w:pPr>
        <w:pStyle w:val="15"/>
        <w:snapToGrid w:val="0"/>
        <w:spacing w:before="156" w:after="156" w:line="360" w:lineRule="auto"/>
        <w:ind w:left="238"/>
        <w:jc w:val="center"/>
        <w:outlineLvl w:val="1"/>
        <w:rPr>
          <w:rFonts w:hint="eastAsia" w:hAnsi="宋体" w:cs="宋体"/>
          <w:b/>
          <w:sz w:val="30"/>
          <w:szCs w:val="30"/>
        </w:rPr>
      </w:pPr>
      <w:r>
        <w:rPr>
          <w:rFonts w:hint="eastAsia" w:ascii="Times New Roman" w:hAnsi="Times New Roman" w:cs="宋体"/>
          <w:b/>
          <w:sz w:val="30"/>
          <w:szCs w:val="30"/>
        </w:rPr>
        <w:br w:type="page"/>
      </w:r>
      <w:r>
        <w:rPr>
          <w:rFonts w:hint="eastAsia" w:hAnsi="宋体" w:cs="宋体"/>
          <w:b/>
          <w:sz w:val="30"/>
          <w:szCs w:val="30"/>
        </w:rPr>
        <w:t>一、总  则</w:t>
      </w:r>
    </w:p>
    <w:p>
      <w:pPr>
        <w:snapToGrid w:val="0"/>
        <w:spacing w:line="400" w:lineRule="exact"/>
        <w:ind w:firstLine="480" w:firstLineChars="200"/>
        <w:jc w:val="left"/>
        <w:rPr>
          <w:rFonts w:hint="eastAsia" w:ascii="宋体" w:hAnsi="宋体" w:cs="宋体"/>
          <w:sz w:val="24"/>
        </w:rPr>
      </w:pPr>
      <w:bookmarkStart w:id="3" w:name="_Hlk94018326"/>
      <w:r>
        <w:rPr>
          <w:rFonts w:hint="eastAsia" w:ascii="宋体" w:hAnsi="宋体" w:cs="宋体"/>
          <w:sz w:val="24"/>
        </w:rPr>
        <w:t>投标人应仔细阅读招标文件的所有内容，按照招标文件的要求提交投标文件，并对所提供的全部资料的真实性承担法律责任。</w:t>
      </w:r>
    </w:p>
    <w:bookmarkEnd w:id="3"/>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（一） 适用范围</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本招标文件适用于</w:t>
      </w:r>
      <w:r>
        <w:rPr>
          <w:rFonts w:hint="eastAsia" w:ascii="宋体" w:hAnsi="宋体" w:cs="宋体"/>
          <w:bCs/>
          <w:sz w:val="24"/>
        </w:rPr>
        <w:t>本</w:t>
      </w:r>
      <w:r>
        <w:rPr>
          <w:rFonts w:hint="eastAsia" w:ascii="宋体" w:hAnsi="宋体" w:cs="宋体"/>
          <w:sz w:val="24"/>
        </w:rPr>
        <w:t>项目的招标、评标、定标、验收、合同履约、付款等行为（法律、法规另有规定的，从其规定）。</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（二）定义</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1.招标采购单位系指组织本次招标的机构和采购单位。</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2.“投标人”系指向招标采购单位提交投标文件的单位或个人。</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3.“产品”系指供方按招标文件规定，须向采购单位提供的一切设备、保险、税金、备品备件、工具、手册及其它有关技术资料和材料。</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4.“服务”系指招标文件规定投标人须承担的安装、调试、技术协助、校准、培训、技术指导、售后保证以及其他类似的义务。</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5.“项目”系指投标人按招标文件规定向采购单位提供的产品和服务。</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6.“书面形式”包括合同、信函、数据电文(包括电报、电传、传真、电子数据交换和电子邮件)等。</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7.“▲”系指实质性要求条款，投标人必须响应，否则将做无效标处理。</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（三）招标方式</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本次招标采用公开招标方式（政府采购电子交易）进行。</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（四）投标费用</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不论投标结果如何，投标人均应自行承担所有与投标有关的全部费用。</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（五）联合体投标</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本项目不接受联合体投标。</w:t>
      </w:r>
    </w:p>
    <w:p>
      <w:pPr>
        <w:snapToGrid w:val="0"/>
        <w:spacing w:line="400" w:lineRule="exact"/>
        <w:ind w:firstLine="482" w:firstLineChars="200"/>
        <w:jc w:val="left"/>
        <w:rPr>
          <w:rFonts w:hint="eastAsia" w:ascii="宋体" w:hAnsi="宋体" w:cs="宋体"/>
          <w:b/>
          <w:kern w:val="0"/>
          <w:sz w:val="24"/>
        </w:rPr>
      </w:pPr>
      <w:r>
        <w:rPr>
          <w:rFonts w:hint="eastAsia" w:ascii="宋体" w:hAnsi="宋体" w:cs="宋体"/>
          <w:b/>
          <w:sz w:val="24"/>
        </w:rPr>
        <w:t>（六）</w:t>
      </w:r>
      <w:r>
        <w:rPr>
          <w:rFonts w:hint="eastAsia" w:ascii="宋体" w:hAnsi="宋体" w:cs="宋体"/>
          <w:b/>
          <w:kern w:val="0"/>
          <w:sz w:val="24"/>
        </w:rPr>
        <w:t>转包与分包</w:t>
      </w:r>
    </w:p>
    <w:p>
      <w:pPr>
        <w:snapToGrid w:val="0"/>
        <w:spacing w:line="360" w:lineRule="exact"/>
        <w:ind w:firstLine="480" w:firstLineChars="200"/>
        <w:jc w:val="left"/>
        <w:rPr>
          <w:rFonts w:hint="eastAsia" w:ascii="宋体" w:hAnsi="宋体" w:cs="宋体"/>
          <w:kern w:val="0"/>
          <w:sz w:val="24"/>
        </w:rPr>
      </w:pPr>
      <w:r>
        <w:rPr>
          <w:rFonts w:hint="eastAsia" w:ascii="宋体" w:hAnsi="宋体" w:cs="宋体"/>
          <w:kern w:val="0"/>
          <w:sz w:val="24"/>
        </w:rPr>
        <w:t>1.本项目不允许转包。</w:t>
      </w:r>
    </w:p>
    <w:p>
      <w:pPr>
        <w:spacing w:line="360" w:lineRule="exact"/>
        <w:ind w:firstLine="496" w:firstLineChars="207"/>
        <w:rPr>
          <w:rFonts w:hint="eastAsia" w:ascii="宋体" w:hAnsi="宋体" w:cs="宋体"/>
          <w:kern w:val="0"/>
          <w:sz w:val="24"/>
        </w:rPr>
      </w:pPr>
      <w:r>
        <w:rPr>
          <w:rFonts w:hint="eastAsia" w:ascii="宋体" w:hAnsi="宋体" w:cs="宋体"/>
          <w:kern w:val="0"/>
          <w:sz w:val="24"/>
        </w:rPr>
        <w:t>2.投标人根据招标文件的规定和采购项目的实际情况，拟在中标后将中标项目的非主体、非关键性工作分包的，应当在投标文件中载明分包承担主体，分包承担主体应当具备相应资质条件且不得再次分包。</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（七）特别说明：</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1.本次招标采用电子交易方式。</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本招标文件规定的方式（第三章第六节“定标”）确定一个投标人获得中标人推荐资格，招标文件未规定的采取随机抽取方式确定，其他同品牌投标人不作为中标候选人。</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非单一产品采购项目，多家投标人提供的核心产品品牌相同的，按前款规定处理。</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sz w:val="24"/>
        </w:rPr>
        <w:t>▲</w:t>
      </w:r>
      <w:r>
        <w:rPr>
          <w:rFonts w:hint="eastAsia" w:ascii="宋体" w:hAnsi="宋体" w:cs="宋体"/>
          <w:kern w:val="0"/>
          <w:sz w:val="24"/>
        </w:rPr>
        <w:t>3.投标人投标所使用的资格、信誉、荣誉、业绩与企业认证必须为本法人所拥有。投标人投标所使用的采购项目实施人员必须为本法人员工。</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sz w:val="24"/>
        </w:rPr>
        <w:t>▲</w:t>
      </w:r>
      <w:r>
        <w:rPr>
          <w:rFonts w:hint="eastAsia" w:ascii="宋体" w:hAnsi="宋体" w:cs="宋体"/>
          <w:kern w:val="0"/>
          <w:sz w:val="24"/>
        </w:rPr>
        <w:t>4.投标人应仔细阅读招标文件的所有内容，按照招标文件的要求提交投标文件，并对所提供的全部资料的真实性承担相应责任。</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sz w:val="24"/>
        </w:rPr>
        <w:t>▲</w:t>
      </w:r>
      <w:r>
        <w:rPr>
          <w:rFonts w:hint="eastAsia" w:ascii="宋体" w:hAnsi="宋体" w:cs="宋体"/>
          <w:kern w:val="0"/>
          <w:sz w:val="24"/>
        </w:rPr>
        <w:t>5.投标人在投标活动中提供任何虚假材料，其投标无效，并报监管部门查处；中标后发现的，中标人须依照</w:t>
      </w:r>
      <w:r>
        <w:rPr>
          <w:rFonts w:hint="eastAsia" w:ascii="宋体" w:hAnsi="宋体" w:cs="宋体"/>
          <w:color w:val="000000"/>
          <w:kern w:val="0"/>
          <w:sz w:val="24"/>
        </w:rPr>
        <w:t>《中华人民共和国消费者权益保护法》第</w:t>
      </w:r>
      <w:r>
        <w:rPr>
          <w:rFonts w:hint="eastAsia" w:ascii="宋体" w:hAnsi="宋体" w:cs="宋体"/>
          <w:color w:val="4F81BD"/>
          <w:kern w:val="0"/>
          <w:sz w:val="24"/>
        </w:rPr>
        <w:t>55</w:t>
      </w:r>
      <w:r>
        <w:rPr>
          <w:rFonts w:hint="eastAsia" w:ascii="宋体" w:hAnsi="宋体" w:cs="宋体"/>
          <w:color w:val="000000"/>
          <w:kern w:val="0"/>
          <w:sz w:val="24"/>
        </w:rPr>
        <w:t>条</w:t>
      </w:r>
      <w:r>
        <w:rPr>
          <w:rFonts w:hint="eastAsia" w:ascii="宋体" w:hAnsi="宋体" w:cs="宋体"/>
          <w:kern w:val="0"/>
          <w:sz w:val="24"/>
        </w:rPr>
        <w:t>之规定三倍赔偿采购单位，且民事赔偿并不免除违法投标人的行政与刑事责任。</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6.采购过程中出现以下情形，导致电子交易平台无法正常运行，或者无法保证电子交易的公平、公正和安全时，我中心可中止电子交易活动：</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 xml:space="preserve">（1）电子交易平台发生故障而无法登录访问的； </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（2）电子交易平台应用或数据库出现错误，不能进行正常操作的；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（3）电子交易平台发现严重安全漏洞，有潜在泄密危险的；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（4）病毒发作导致不能进行正常操作的；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（5）其他无法保证电子交易的公平、公正和安全的情况。</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sz w:val="24"/>
        </w:rPr>
        <w:t>出现上述规定情形，不影响采购公平、公正性的，我中心可以待上述情形消除后继续组织电子交易活动，也可以决定某些环节以纸质形式进行。</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（九）质疑和投诉</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投标人认为采购文件使自己的权益受到损害的，可以自获取采购文件之日（采购文件公告期限届满之前获取采购文件的，以完成获取采购文件申请后下载采购文件的时间为准）或者采购文件公告期限届满之日（公告发布后的第6个工作日）起7个工作日内，以书面形式或通过政采云平台向我中心提出质疑。</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sz w:val="24"/>
        </w:rPr>
        <w:t>投标人认为采购过程、中标结果使自己的权益受到损害的，可以在知道或者应知其权益受到损害之日起7个工作日内，以书面形式或通过政采云平台向我中心提出质疑。供应商提出质疑应当提交质疑函和必要的证明材料，如证明材料来源的合法性存在明显</w:t>
      </w:r>
      <w:r>
        <w:rPr>
          <w:rFonts w:hint="eastAsia" w:ascii="宋体" w:hAnsi="宋体" w:cs="宋体"/>
          <w:kern w:val="0"/>
          <w:sz w:val="24"/>
        </w:rPr>
        <w:t>疑问的，质疑人又无法证明其取得方式合法的，视为以非法手段取得证明材料。</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kern w:val="0"/>
          <w:sz w:val="24"/>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kern w:val="0"/>
          <w:sz w:val="24"/>
        </w:rPr>
        <w:t>2.提出质疑的投标人须在法定质疑期内一次性提出针对同一采购程序环节的质疑。多次提出针对同一采购程序环节质疑的，或者超过规定期限提出质疑的，我中心有权不予受理和答复。</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kern w:val="0"/>
          <w:sz w:val="24"/>
        </w:rPr>
        <w:t>3.投标人不得进行虚假、恶意质疑，不得以质疑为手段获取不当利益或实现其他非法目的。任何单位和个人不得指使、教唆供应商进行虚假、恶意质疑。属于虚假、恶意投诉，由财政部门列入不良行为记录名单。</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kern w:val="0"/>
          <w:sz w:val="24"/>
        </w:rPr>
        <w:t>4.质疑供应商对我中心答复不满意的，可在答复期满后十五个工作日内向学校采购管理办公室或同级政府采购监管部门投诉。投诉书范本请到浙江政府采购网下载专区下载。</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kern w:val="0"/>
          <w:sz w:val="24"/>
        </w:rPr>
        <w:t>5.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政采云-项目采购-询问质疑投诉-投诉列表。质疑函范本、投诉书范本请到浙江政府采购网下载专区下载。</w:t>
      </w:r>
    </w:p>
    <w:p>
      <w:pPr>
        <w:snapToGrid w:val="0"/>
        <w:spacing w:line="400" w:lineRule="exact"/>
        <w:ind w:firstLine="482" w:firstLineChars="200"/>
        <w:jc w:val="left"/>
        <w:rPr>
          <w:rFonts w:hint="eastAsia" w:ascii="宋体" w:hAnsi="宋体" w:cs="宋体"/>
          <w:b/>
          <w:bCs/>
          <w:color w:val="000000"/>
          <w:kern w:val="0"/>
          <w:sz w:val="24"/>
        </w:rPr>
      </w:pPr>
      <w:r>
        <w:rPr>
          <w:rFonts w:hint="eastAsia" w:ascii="宋体" w:hAnsi="宋体" w:cs="宋体"/>
          <w:b/>
          <w:bCs/>
          <w:color w:val="000000"/>
          <w:kern w:val="0"/>
          <w:sz w:val="24"/>
        </w:rPr>
        <w:t>（十）采购项目需要落实的政府采购政策</w:t>
      </w:r>
    </w:p>
    <w:p>
      <w:pPr>
        <w:snapToGrid w:val="0"/>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1.支持绿色发展</w:t>
      </w:r>
    </w:p>
    <w:p>
      <w:pPr>
        <w:snapToGrid w:val="0"/>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采购人拟采购的产品</w:t>
      </w:r>
      <w:r>
        <w:rPr>
          <w:rFonts w:hint="eastAsia" w:ascii="宋体" w:hAnsi="宋体" w:cs="宋体"/>
          <w:kern w:val="0"/>
          <w:sz w:val="24"/>
        </w:rPr>
        <w:t>属于品目清单范围的，采购人及其委托的采购代理机构应</w:t>
      </w:r>
      <w:r>
        <w:rPr>
          <w:rFonts w:ascii="宋体" w:hAnsi="宋体" w:cs="宋体"/>
          <w:kern w:val="0"/>
          <w:sz w:val="24"/>
        </w:rPr>
        <w:t>当</w:t>
      </w:r>
      <w:r>
        <w:rPr>
          <w:rFonts w:hint="eastAsia" w:ascii="宋体" w:hAnsi="宋体" w:cs="宋体"/>
          <w:kern w:val="0"/>
          <w:sz w:val="24"/>
        </w:rPr>
        <w:t>依据国家确定的认证机构出具的、处于有效期之</w:t>
      </w:r>
      <w:r>
        <w:rPr>
          <w:rFonts w:ascii="宋体" w:hAnsi="宋体" w:cs="宋体"/>
          <w:kern w:val="0"/>
          <w:sz w:val="24"/>
        </w:rPr>
        <w:t>内</w:t>
      </w:r>
      <w:r>
        <w:rPr>
          <w:rFonts w:hint="eastAsia" w:ascii="宋体" w:hAnsi="宋体" w:cs="宋体"/>
          <w:kern w:val="0"/>
          <w:sz w:val="24"/>
        </w:rPr>
        <w:t>的节能产品、环</w:t>
      </w:r>
      <w:r>
        <w:rPr>
          <w:rFonts w:hint="eastAsia" w:ascii="宋体" w:hAnsi="宋体" w:cs="宋体"/>
          <w:color w:val="000000"/>
          <w:kern w:val="0"/>
          <w:sz w:val="24"/>
        </w:rPr>
        <w:t>境标志产品认证证书，对获得证书的产品实施政府优先采购或强制采购。投标人须按招标文件要求提供相关产品认证证书。</w:t>
      </w:r>
    </w:p>
    <w:p>
      <w:pPr>
        <w:snapToGrid w:val="0"/>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▲采购人拟采购的产品属于政府强制采购的节能产品品目清单范围的，投标人未按招标文件要求提供国家确定的认证机构出具的、有效的节能产品认证证书的，投标无效。</w:t>
      </w:r>
    </w:p>
    <w:p>
      <w:pPr>
        <w:snapToGrid w:val="0"/>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修缮、装修类项目采购建材的，采购人应将绿色建筑和绿色建材性能、指标等作为实质性条件纳入招标文件和合同。</w:t>
      </w:r>
    </w:p>
    <w:p>
      <w:pPr>
        <w:snapToGrid w:val="0"/>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napToGrid w:val="0"/>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2.支持中小企业发展</w:t>
      </w:r>
    </w:p>
    <w:p>
      <w:pPr>
        <w:snapToGrid w:val="0"/>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执行《政府采购促进中小企业发展管理办法》（财库〔2020〕46号）、《关于促进残疾人就业政府采购政策的通知》（财库〔2017〕141号）、《关于政府采购支持监狱企业发展有关问题的通知》（财库[2014]68号）等相关文件的规定。</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kern w:val="0"/>
          <w:sz w:val="24"/>
        </w:rPr>
        <w:t>3.支持创新发展</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kern w:val="0"/>
          <w:sz w:val="24"/>
        </w:rPr>
        <w:t>3.1 采购人优先采购被认定为首台套产品和“制造精品”的自主创新产品。</w:t>
      </w:r>
    </w:p>
    <w:p>
      <w:pPr>
        <w:snapToGrid w:val="0"/>
        <w:spacing w:line="400" w:lineRule="exact"/>
        <w:ind w:firstLine="480" w:firstLineChars="200"/>
        <w:jc w:val="left"/>
        <w:rPr>
          <w:rFonts w:hint="eastAsia" w:ascii="宋体" w:hAnsi="宋体" w:cs="宋体"/>
          <w:kern w:val="0"/>
          <w:sz w:val="24"/>
        </w:rPr>
      </w:pPr>
      <w:r>
        <w:rPr>
          <w:rFonts w:hint="eastAsia" w:ascii="宋体" w:hAnsi="宋体" w:cs="宋体"/>
          <w:kern w:val="0"/>
          <w:sz w:val="24"/>
        </w:rPr>
        <w:t>3.2 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napToGrid w:val="0"/>
        <w:spacing w:line="400" w:lineRule="exact"/>
        <w:ind w:firstLine="480" w:firstLineChars="200"/>
        <w:jc w:val="left"/>
        <w:rPr>
          <w:rFonts w:hint="eastAsia" w:ascii="宋体" w:hAnsi="宋体" w:cs="宋体"/>
          <w:color w:val="000000"/>
          <w:kern w:val="0"/>
          <w:sz w:val="24"/>
        </w:rPr>
      </w:pPr>
      <w:r>
        <w:rPr>
          <w:rFonts w:hint="eastAsia" w:ascii="宋体" w:hAnsi="宋体" w:cs="宋体"/>
          <w:kern w:val="0"/>
          <w:sz w:val="24"/>
        </w:rPr>
        <w:t>4.中小企业信用融资：为支持和促进中小企业发展，进一步发挥政府采购政策功能，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的中小企业信用融资栏目了解相关信息。 供应商可以通过浙江政府采购网（https://zfcg.czt.zj.gov.cn/）首页的“浙江政采贷”模块进入申请，还可以通过政府采购云平台（https://www.zcygov.cn/）首页的“金融服务”模块进入申请。</w:t>
      </w:r>
    </w:p>
    <w:p>
      <w:pPr>
        <w:snapToGrid w:val="0"/>
        <w:spacing w:before="156" w:beforeLines="50" w:after="156" w:afterLines="50" w:line="360" w:lineRule="auto"/>
        <w:ind w:left="238"/>
        <w:jc w:val="center"/>
        <w:outlineLvl w:val="1"/>
        <w:rPr>
          <w:rFonts w:hint="eastAsia" w:ascii="宋体" w:hAnsi="宋体" w:cs="宋体"/>
          <w:b/>
          <w:szCs w:val="28"/>
        </w:rPr>
      </w:pPr>
      <w:r>
        <w:rPr>
          <w:rFonts w:hint="eastAsia" w:ascii="宋体" w:hAnsi="宋体" w:cs="宋体"/>
          <w:b/>
          <w:sz w:val="30"/>
          <w:szCs w:val="30"/>
        </w:rPr>
        <w:t>二、招标文件</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（一）招标文件的组成</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1.招标公告</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2.招标需求</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3.投标人须知</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4.评标办法及标准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5.合同主要条款</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6.投标文件格式</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7.本项目招标文件的澄清、答复、修改、补充的所有内容</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（二）投标人的风险</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投标截止时间前，投标供应商仅递交了“电子备份投标文件”而未将“电子加密投标文件”成功上传至“政府采购云平台”的，投标无效；通过“政府采购云平台”上传递交的“电子加密投标文件”无法按时解密的，如投标供应商未按规定递交“电子备份投标文件”的</w:t>
      </w:r>
      <w:r>
        <w:rPr>
          <w:rFonts w:hint="eastAsia" w:ascii="宋体" w:hAnsi="宋体" w:cs="宋体"/>
          <w:sz w:val="24"/>
          <w:lang w:bidi="ar"/>
        </w:rPr>
        <w:t>或</w:t>
      </w:r>
      <w:r>
        <w:rPr>
          <w:rFonts w:hint="eastAsia" w:ascii="宋体" w:hAnsi="宋体" w:cs="宋体"/>
          <w:sz w:val="24"/>
        </w:rPr>
        <w:t>非我中心操作原因引起的不能取读U盘“电子备份投标文件”</w:t>
      </w:r>
      <w:r>
        <w:rPr>
          <w:rFonts w:hint="eastAsia" w:ascii="宋体" w:hAnsi="宋体" w:cs="宋体"/>
          <w:sz w:val="24"/>
          <w:lang w:bidi="ar"/>
        </w:rPr>
        <w:t>的</w:t>
      </w:r>
      <w:r>
        <w:rPr>
          <w:rFonts w:hint="eastAsia" w:ascii="宋体" w:hAnsi="宋体" w:cs="宋体"/>
          <w:sz w:val="24"/>
        </w:rPr>
        <w:t>，视为投标文件撤回。</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2.投标人没有按照招标文件要求提供全部资料，或者投标人没有对招标文件作出实质性响应是投标人的风险，并可能导致其投标被拒绝。</w:t>
      </w:r>
    </w:p>
    <w:p>
      <w:pPr>
        <w:snapToGrid w:val="0"/>
        <w:spacing w:line="400" w:lineRule="exact"/>
        <w:ind w:left="454" w:firstLine="482" w:firstLineChars="200"/>
        <w:jc w:val="left"/>
        <w:rPr>
          <w:rFonts w:hint="eastAsia" w:ascii="宋体" w:hAnsi="宋体" w:cs="宋体"/>
          <w:b/>
          <w:sz w:val="24"/>
        </w:rPr>
      </w:pPr>
      <w:r>
        <w:rPr>
          <w:rFonts w:hint="eastAsia" w:ascii="宋体" w:hAnsi="宋体" w:cs="宋体"/>
          <w:b/>
          <w:sz w:val="24"/>
        </w:rPr>
        <w:t xml:space="preserve">（三）招标文件的澄清与修改 </w:t>
      </w:r>
    </w:p>
    <w:p>
      <w:pPr>
        <w:snapToGrid w:val="0"/>
        <w:spacing w:line="400" w:lineRule="exact"/>
        <w:ind w:firstLine="480" w:firstLineChars="200"/>
        <w:jc w:val="left"/>
        <w:rPr>
          <w:rFonts w:hint="eastAsia" w:ascii="宋体" w:hAnsi="宋体" w:cs="宋体"/>
          <w:b/>
          <w:bCs/>
          <w:sz w:val="24"/>
        </w:rPr>
      </w:pPr>
      <w:r>
        <w:rPr>
          <w:rFonts w:hint="eastAsia" w:ascii="宋体" w:hAnsi="宋体" w:cs="宋体"/>
          <w:sz w:val="24"/>
        </w:rPr>
        <w:t>1.投标人应认真阅读本招标文件，发现其中有误或有不合理要求的，投标人应当于公告发布之日起至公告期限满第7个工作日内以书面形式或通过政采云平台向招标方提出。招标方将在规定的时间内，在财政部门指定的政府采购信息发布媒体上发布更正公告，投标人请自行关注后续本项目在政采云平台上的相关信息，否则后果自负。</w:t>
      </w:r>
      <w:r>
        <w:rPr>
          <w:rFonts w:hint="eastAsia" w:ascii="宋体" w:hAnsi="宋体" w:cs="宋体"/>
          <w:b/>
          <w:bCs/>
          <w:sz w:val="24"/>
        </w:rPr>
        <w:t>逾期提出招标方将不予受理。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2.招标方主动进行的澄清、修改：招标方无论出于何种原因，均可主动对招标文件中的相关事项，用补充文件等方式进行澄清和修改。</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招标文件澄清、答复、修改、补充的内容为招标文件的组成部分，对所有投标人有约束力。当招标文件与招标文件的答复、澄清、修改、补充通知就同一内容的表述不一致时，以本中心在浙江省财政厅指定的媒体上发布的采购文件为准，非本中心发布的澄清、答复、修改或补充招标文件无效。</w:t>
      </w:r>
    </w:p>
    <w:p>
      <w:pPr>
        <w:snapToGrid w:val="0"/>
        <w:spacing w:before="156" w:beforeLines="50" w:after="156" w:afterLines="50" w:line="360" w:lineRule="auto"/>
        <w:ind w:left="238"/>
        <w:jc w:val="center"/>
        <w:outlineLvl w:val="1"/>
        <w:rPr>
          <w:rFonts w:hint="eastAsia" w:ascii="宋体" w:hAnsi="宋体" w:cs="宋体"/>
          <w:b/>
          <w:sz w:val="30"/>
          <w:szCs w:val="30"/>
        </w:rPr>
      </w:pPr>
      <w:r>
        <w:rPr>
          <w:rFonts w:hint="eastAsia" w:ascii="宋体" w:hAnsi="宋体" w:cs="宋体"/>
          <w:b/>
          <w:sz w:val="30"/>
          <w:szCs w:val="30"/>
        </w:rPr>
        <w:t>三、投标文件的编制</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（一）投标文件的组成</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投标文件（电子加密投标文件）由资格证明文件、商务技术文件、报价文件三部分组成。投标人应将投标文件各部分分别上传至政府采购云平台指定位置。</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1.资格证明文件：</w:t>
      </w:r>
    </w:p>
    <w:p>
      <w:pPr>
        <w:snapToGrid w:val="0"/>
        <w:spacing w:line="400" w:lineRule="exact"/>
        <w:ind w:firstLine="470" w:firstLineChars="196"/>
        <w:jc w:val="left"/>
        <w:rPr>
          <w:rFonts w:hint="eastAsia" w:ascii="宋体" w:hAnsi="宋体" w:cs="宋体"/>
          <w:b/>
          <w:color w:val="000000"/>
          <w:szCs w:val="21"/>
        </w:rPr>
      </w:pPr>
      <w:r>
        <w:rPr>
          <w:rFonts w:hint="eastAsia" w:ascii="宋体" w:hAnsi="宋体" w:cs="宋体"/>
          <w:sz w:val="24"/>
        </w:rPr>
        <w:t>资格审查材料（详见第六章投标响应格式中的“资格审查材料 ”）</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2.商务技术文件：</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（1）法定代表人身份证明、法定代表人授权委托书和投标声明书(格式见第六章)；</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（2）节能产品的相关证明材料：</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 xml:space="preserve">投标产品列入财政部、发展改革委发布的节能产品品目清单的，提供国家市场监督管理总局公布的《参与实施政府采购节能产品认证机构名录》内的认证机构出具的、处于有效期之内的节能标志产品认证证书； </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（3）环境标志产品的相关证明材料：</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（4）投标人情况介绍；</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（5）商务响应表（格式见第六章）</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（6）设备配置方案一览表（均不含报价, 格式见第六章）</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（7）技术参数对照表（格式见第六章）</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（8）类似案例的业绩证明（投标人同类项目实施情况一览表、合同电子扫描件等）</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（9）针对本项目的具体措施、方案。包括：功能说明、性能指标及设备选型说明（质量、性能、价格、外观、体积等方面进行比较和选择的理由及过程，安装、调试、验收方法或方案）</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（10）核心设备技术参数彩页（中文说明书）、官方介绍网址</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（11）投标人认为可以证明其能力的材料（如自主品牌投标人的信誉、荣誉证书或文件、投标人质量管理和质量保证体系等方面的认证证书等）</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（12）售后服务主要技术人员情况表（格式见第六章）</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（13）主要从业人员及其技术资格一览表（格式见第六章）</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（14）售后服务情况表（含技术服务、技术培训、售后服务的内容和措施）（格式见附件）</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（15）优惠条件：投标人承诺给予招标人的各种优惠条件，包括售后服务、备品备件、专用耗材等方面的优惠</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（16）投标人认为需要提供的其他文件和资料（包括评标细则涉及的相关资料）</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（17）自评文件</w:t>
      </w:r>
    </w:p>
    <w:p>
      <w:pPr>
        <w:snapToGrid w:val="0"/>
        <w:spacing w:line="400" w:lineRule="exact"/>
        <w:ind w:firstLine="723" w:firstLineChars="300"/>
        <w:jc w:val="left"/>
        <w:rPr>
          <w:rFonts w:hint="eastAsia" w:ascii="宋体" w:hAnsi="宋体" w:cs="宋体"/>
          <w:b/>
          <w:sz w:val="24"/>
        </w:rPr>
      </w:pPr>
      <w:r>
        <w:rPr>
          <w:rFonts w:hint="eastAsia" w:ascii="宋体" w:hAnsi="宋体" w:cs="宋体"/>
          <w:b/>
          <w:sz w:val="24"/>
        </w:rPr>
        <w:t>3.投标报价文件：</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（1）开标一览表（格式见第六章）；</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（2）投标报价明细表（格式见第六章）；</w:t>
      </w:r>
    </w:p>
    <w:p>
      <w:pPr>
        <w:snapToGrid w:val="0"/>
        <w:spacing w:line="400" w:lineRule="exact"/>
        <w:ind w:firstLine="480" w:firstLineChars="200"/>
        <w:jc w:val="left"/>
        <w:rPr>
          <w:rFonts w:hint="eastAsia" w:ascii="宋体" w:hAnsi="宋体" w:cs="宋体"/>
          <w:color w:val="000000"/>
          <w:sz w:val="24"/>
        </w:rPr>
      </w:pPr>
      <w:r>
        <w:rPr>
          <w:rFonts w:hint="eastAsia" w:ascii="宋体" w:hAnsi="宋体" w:cs="宋体"/>
          <w:color w:val="000000"/>
          <w:sz w:val="24"/>
        </w:rPr>
        <w:t>（3）针对报价需要说明的其他材料。</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（二）投标文件的语言及计量</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1.投标文件以及投标人与招标采购单位就有关投标事宜的所有来往函电，除签名、盖章、专用名称等特殊情形外，均应以中文汉语书写。</w:t>
      </w:r>
    </w:p>
    <w:p>
      <w:pPr>
        <w:snapToGrid w:val="0"/>
        <w:spacing w:line="400" w:lineRule="exact"/>
        <w:ind w:firstLine="480" w:firstLineChars="200"/>
        <w:jc w:val="left"/>
        <w:rPr>
          <w:rFonts w:hint="eastAsia" w:ascii="宋体" w:hAnsi="宋体" w:cs="宋体"/>
          <w:b/>
          <w:bCs/>
          <w:sz w:val="24"/>
        </w:rPr>
      </w:pPr>
      <w:r>
        <w:rPr>
          <w:rFonts w:hint="eastAsia" w:ascii="宋体" w:hAnsi="宋体" w:cs="宋体"/>
          <w:sz w:val="24"/>
        </w:rPr>
        <w:t>2.投标计量单位，招标文件已有明确规定的，使用招标文件规定的计量单位；招标文件没有规定的，应采用中华人民共和国法定计量单位</w:t>
      </w:r>
      <w:r>
        <w:rPr>
          <w:rFonts w:hint="eastAsia" w:ascii="宋体" w:hAnsi="宋体" w:cs="宋体"/>
          <w:b/>
          <w:bCs/>
          <w:sz w:val="24"/>
        </w:rPr>
        <w:t>（货币单位：人民币元），否则将作无效标处理。</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（三）投标报价</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1.投标报价应按电子交易平台有关格式及招标文件中相关附表格式填写。</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▲2.投标报价是履行合同的最终价格，应包括货款、标准附件、备品备件、专用工具、包装、运输、装卸、保险、税金、货到就位以及安装、调试、培训、保修等一切税金和费用。</w:t>
      </w:r>
    </w:p>
    <w:p>
      <w:pPr>
        <w:tabs>
          <w:tab w:val="left" w:pos="525"/>
        </w:tabs>
        <w:snapToGrid w:val="0"/>
        <w:spacing w:line="400" w:lineRule="exact"/>
        <w:ind w:firstLine="480" w:firstLineChars="200"/>
        <w:jc w:val="left"/>
        <w:rPr>
          <w:rFonts w:hint="eastAsia" w:ascii="宋体" w:hAnsi="宋体" w:cs="宋体"/>
          <w:sz w:val="24"/>
        </w:rPr>
      </w:pPr>
      <w:r>
        <w:rPr>
          <w:rFonts w:hint="eastAsia" w:ascii="宋体" w:hAnsi="宋体" w:cs="宋体"/>
          <w:sz w:val="24"/>
        </w:rPr>
        <w:t>▲3.投标文件只允许有一个报价，有选择的报价将不予接受。</w:t>
      </w:r>
    </w:p>
    <w:p>
      <w:pPr>
        <w:spacing w:line="400" w:lineRule="exact"/>
        <w:ind w:firstLine="480" w:firstLineChars="200"/>
        <w:jc w:val="left"/>
        <w:rPr>
          <w:rFonts w:hint="eastAsia" w:ascii="宋体" w:hAnsi="宋体" w:cs="宋体"/>
          <w:b/>
          <w:sz w:val="24"/>
        </w:rPr>
      </w:pPr>
      <w:r>
        <w:rPr>
          <w:rFonts w:hint="eastAsia" w:ascii="宋体" w:hAnsi="宋体" w:cs="宋体"/>
          <w:sz w:val="24"/>
        </w:rPr>
        <w:t>▲4.投标报价形式：国内产品用人民币填报，国外产品以高校免税人民币价格填报（报价含进口代理费用，并在投标价格明细表中特别注明代理费用）。</w:t>
      </w:r>
    </w:p>
    <w:p>
      <w:pPr>
        <w:spacing w:line="400" w:lineRule="exact"/>
        <w:ind w:firstLine="480" w:firstLineChars="200"/>
        <w:jc w:val="left"/>
        <w:rPr>
          <w:rFonts w:hint="eastAsia" w:ascii="宋体" w:hAnsi="宋体" w:cs="宋体"/>
          <w:sz w:val="24"/>
        </w:rPr>
      </w:pPr>
      <w:r>
        <w:rPr>
          <w:rFonts w:hint="eastAsia" w:ascii="宋体" w:hAnsi="宋体" w:cs="宋体"/>
          <w:sz w:val="24"/>
        </w:rPr>
        <w:t>▲5.采购人将以合同形式有偿取得货物或服务，不接受投标人给予的赠品或者与采购无关的其他货物、服务。</w:t>
      </w:r>
    </w:p>
    <w:p>
      <w:pPr>
        <w:spacing w:line="400" w:lineRule="exact"/>
        <w:ind w:firstLine="480" w:firstLineChars="200"/>
        <w:jc w:val="left"/>
        <w:rPr>
          <w:rFonts w:hint="eastAsia" w:ascii="宋体" w:hAnsi="宋体" w:cs="宋体"/>
          <w:sz w:val="24"/>
        </w:rPr>
      </w:pPr>
      <w:r>
        <w:rPr>
          <w:rFonts w:hint="eastAsia" w:ascii="宋体" w:hAnsi="宋体" w:cs="宋体"/>
          <w:sz w:val="24"/>
        </w:rPr>
        <w:t>投标人拟投产品是进口产品的，其进口代理公司由招标采购单位指定，进口代理定点单位联系方式及代理费用见附件。</w:t>
      </w:r>
    </w:p>
    <w:p>
      <w:pPr>
        <w:tabs>
          <w:tab w:val="left" w:pos="525"/>
        </w:tabs>
        <w:snapToGrid w:val="0"/>
        <w:spacing w:line="400" w:lineRule="exact"/>
        <w:ind w:firstLine="480" w:firstLineChars="200"/>
        <w:jc w:val="left"/>
        <w:rPr>
          <w:rFonts w:hint="eastAsia" w:ascii="宋体" w:hAnsi="宋体" w:cs="宋体"/>
          <w:sz w:val="24"/>
        </w:rPr>
      </w:pPr>
      <w:r>
        <w:rPr>
          <w:rFonts w:hint="eastAsia" w:ascii="宋体" w:hAnsi="宋体" w:cs="宋体"/>
          <w:sz w:val="24"/>
        </w:rPr>
        <w:t>6.最低报价不能作为中标的保证。</w:t>
      </w:r>
    </w:p>
    <w:p>
      <w:pPr>
        <w:snapToGrid w:val="0"/>
        <w:spacing w:line="400" w:lineRule="exact"/>
        <w:ind w:left="454" w:firstLine="482" w:firstLineChars="200"/>
        <w:jc w:val="left"/>
        <w:rPr>
          <w:rFonts w:hint="eastAsia" w:ascii="宋体" w:hAnsi="宋体" w:cs="宋体"/>
          <w:b/>
          <w:sz w:val="24"/>
        </w:rPr>
      </w:pPr>
      <w:r>
        <w:rPr>
          <w:rFonts w:hint="eastAsia" w:ascii="宋体" w:hAnsi="宋体" w:cs="宋体"/>
          <w:b/>
          <w:sz w:val="24"/>
        </w:rPr>
        <w:t>（四）投标文件的有效期</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▲1.自投标截止日起</w:t>
      </w:r>
      <w:r>
        <w:rPr>
          <w:rFonts w:hint="eastAsia" w:ascii="宋体" w:hAnsi="宋体" w:cs="宋体"/>
          <w:sz w:val="24"/>
          <w:u w:val="single"/>
        </w:rPr>
        <w:t xml:space="preserve"> 90 </w:t>
      </w:r>
      <w:r>
        <w:rPr>
          <w:rFonts w:hint="eastAsia" w:ascii="宋体" w:hAnsi="宋体" w:cs="宋体"/>
          <w:sz w:val="24"/>
        </w:rPr>
        <w:t>日历天投标书应保持有效。有效期不足的投标文件将作无效标处理。</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2.在特殊情况下，招标采购单位可与投标人协商延长投标书的有效期，这种要求和答复均以书面形式进行。</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3.投标人可拒绝接受延期要求；延长的有效期间，投标人不能修改投标文件。</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4.中标人的投标文件自开标之日起至合同履行完毕止均应保持有效。</w:t>
      </w:r>
    </w:p>
    <w:p>
      <w:pPr>
        <w:snapToGrid w:val="0"/>
        <w:spacing w:line="400" w:lineRule="exact"/>
        <w:ind w:firstLine="472" w:firstLineChars="196"/>
        <w:jc w:val="left"/>
        <w:rPr>
          <w:rFonts w:hint="eastAsia" w:ascii="宋体" w:hAnsi="宋体" w:cs="宋体"/>
          <w:b/>
          <w:sz w:val="24"/>
          <w:szCs w:val="20"/>
        </w:rPr>
      </w:pPr>
      <w:r>
        <w:rPr>
          <w:rFonts w:hint="eastAsia" w:ascii="宋体" w:hAnsi="宋体" w:cs="宋体"/>
          <w:b/>
          <w:sz w:val="24"/>
        </w:rPr>
        <w:t>（五）投标文件的编制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1.“电子加密投标文件”：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（1）“电子加密投标文件”是指通过“政采云电子交易客户端”完成投标文件编制后生成并加密的数据电文形式的投标文件。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（2）供应商应先安装“政采云电子交易客户端”，并按照本招标文件和“政</w:t>
      </w:r>
    </w:p>
    <w:p>
      <w:pPr>
        <w:snapToGrid w:val="0"/>
        <w:spacing w:line="400" w:lineRule="exact"/>
        <w:ind w:left="454" w:hanging="284"/>
        <w:jc w:val="left"/>
        <w:rPr>
          <w:rFonts w:hint="eastAsia" w:ascii="宋体" w:hAnsi="宋体" w:cs="宋体"/>
          <w:sz w:val="24"/>
        </w:rPr>
      </w:pPr>
      <w:r>
        <w:rPr>
          <w:rFonts w:hint="eastAsia" w:ascii="宋体" w:hAnsi="宋体" w:cs="宋体"/>
          <w:sz w:val="24"/>
        </w:rPr>
        <w:t>府采购云平台”的要求，通过“政采云电子交易客户端”编制并加密投标文件。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2.“电子备份投标文件”：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（1）“电子备份投标文件”是指与“电子加密投标文件”同时生成的数据电文形式的电子文件。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（2）供应商可自主选择是否编制“电子备份投标文件”。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（3）其他方式编制的备份投标文件视为无效备份投标文件。</w:t>
      </w:r>
    </w:p>
    <w:p>
      <w:pPr>
        <w:snapToGrid w:val="0"/>
        <w:spacing w:line="400" w:lineRule="exact"/>
        <w:ind w:firstLine="354" w:firstLineChars="147"/>
        <w:jc w:val="left"/>
        <w:rPr>
          <w:rFonts w:hint="eastAsia" w:ascii="宋体" w:hAnsi="宋体" w:cs="宋体"/>
          <w:b/>
          <w:sz w:val="24"/>
        </w:rPr>
      </w:pPr>
      <w:r>
        <w:rPr>
          <w:rFonts w:hint="eastAsia" w:ascii="宋体" w:hAnsi="宋体" w:cs="宋体"/>
          <w:b/>
          <w:sz w:val="24"/>
        </w:rPr>
        <w:t>（六）投标文件的签章</w:t>
      </w:r>
    </w:p>
    <w:p>
      <w:pPr>
        <w:snapToGrid w:val="0"/>
        <w:spacing w:line="400" w:lineRule="exact"/>
        <w:ind w:firstLine="352" w:firstLineChars="147"/>
        <w:jc w:val="left"/>
        <w:rPr>
          <w:rFonts w:hint="eastAsia" w:ascii="宋体" w:hAnsi="宋体" w:cs="宋体"/>
          <w:sz w:val="24"/>
        </w:rPr>
      </w:pPr>
      <w:r>
        <w:rPr>
          <w:rFonts w:hint="eastAsia" w:ascii="宋体" w:hAnsi="宋体" w:cs="宋体"/>
          <w:sz w:val="24"/>
        </w:rPr>
        <w:t>除特殊说明外系指政采云电子交易客户端（政采云投标客户端）中投标人的电子签章。</w:t>
      </w:r>
    </w:p>
    <w:p>
      <w:pPr>
        <w:snapToGrid w:val="0"/>
        <w:spacing w:line="400" w:lineRule="exact"/>
        <w:ind w:firstLine="354" w:firstLineChars="147"/>
        <w:jc w:val="left"/>
        <w:rPr>
          <w:rFonts w:hint="eastAsia" w:ascii="宋体" w:hAnsi="宋体" w:cs="宋体"/>
          <w:b/>
          <w:sz w:val="24"/>
        </w:rPr>
      </w:pPr>
      <w:r>
        <w:rPr>
          <w:rFonts w:hint="eastAsia" w:ascii="宋体" w:hAnsi="宋体" w:cs="宋体"/>
          <w:b/>
          <w:sz w:val="24"/>
        </w:rPr>
        <w:t>（七）投标文件的包装、密封和递交</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1.“电子加密投标文件”的递交：投标人应按照招标文件和政府采购云平台的要求，根据投标文件的组成规定的内容及顺序通过政府采购云电子交易客户端编制和在线上传递交加密投标文件。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投标文件内容不完整、编排混乱导致投标文件被误读、漏读或者查找不到相关内容的，是投标人的责任。</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（1）供应商应在投标截止时间前将“电子加密投标文件”成功上传递交至“政府采购云平台”，否则投标无效。</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（2）“电子加密投标文件”成功上传递交后，供应商可自行打印投标文件接收回执。</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2.“电子备份投标文件”的密封、包装和递交：</w:t>
      </w:r>
    </w:p>
    <w:p>
      <w:pPr>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（1）供应商可自主选择是否递交“电子备份投标文件”。</w:t>
      </w:r>
    </w:p>
    <w:p>
      <w:pPr>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（2）如递交，“电子备份投标文件”存入U盘（一份），应当密封包装，并在包装上标注投标项目编号、项目名称、投标单位名称等并加盖公章（详见第六章投标文件格式）。</w:t>
      </w:r>
    </w:p>
    <w:p>
      <w:pPr>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（3）“电子备份投标文件” 应在投标截止时间前以以EMS、顺丰邮寄方式递交：浙江省金华市迎宾大道688号浙江师范大学行政北楼109室，王老师收。没有密封包装或者逾期送达将不予接收。</w:t>
      </w:r>
    </w:p>
    <w:p>
      <w:pPr>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特别说明：双休日和法定节假日不收件，投标人自行承担邮寄风险。</w:t>
      </w:r>
    </w:p>
    <w:p>
      <w:pPr>
        <w:numPr>
          <w:ilvl w:val="0"/>
          <w:numId w:val="13"/>
        </w:numPr>
        <w:snapToGrid w:val="0"/>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 xml:space="preserve">电子备份投标文件快递寄出同时，法定代表人或授权代表须以邮件形式将快递单号、项目名称、公司名称、联系人及联系方式等内容发送至邮箱 </w:t>
      </w:r>
      <w:r>
        <w:fldChar w:fldCharType="begin"/>
      </w:r>
      <w:r>
        <w:instrText xml:space="preserve"> HYPERLINK "mailto:cgzx@zjnu.cn，以便工作人员查收快递；快递费用由投标人承担，如投标人选择快递费到付，本kh" </w:instrText>
      </w:r>
      <w:r>
        <w:fldChar w:fldCharType="separate"/>
      </w:r>
      <w:r>
        <w:rPr>
          <w:rFonts w:hint="eastAsia" w:ascii="宋体" w:hAnsi="宋体" w:cs="宋体"/>
          <w:sz w:val="24"/>
          <w:lang w:bidi="ar"/>
        </w:rPr>
        <w:t>cgzx@zjnu.cn，以便工作人员查收快递；快递费用由投标人承担，如投标人选择快递费到付，本</w:t>
      </w:r>
      <w:r>
        <w:rPr>
          <w:rFonts w:hint="eastAsia" w:ascii="宋体" w:hAnsi="宋体" w:cs="宋体"/>
          <w:sz w:val="24"/>
          <w:lang w:bidi="ar"/>
        </w:rPr>
        <w:fldChar w:fldCharType="end"/>
      </w:r>
      <w:r>
        <w:rPr>
          <w:rFonts w:hint="eastAsia" w:ascii="宋体" w:hAnsi="宋体" w:cs="宋体"/>
          <w:sz w:val="24"/>
          <w:lang w:bidi="ar"/>
        </w:rPr>
        <w:t>中心将拒绝签收。</w:t>
      </w:r>
    </w:p>
    <w:p>
      <w:pPr>
        <w:spacing w:line="400" w:lineRule="exact"/>
        <w:ind w:firstLine="480" w:firstLineChars="200"/>
        <w:jc w:val="left"/>
        <w:rPr>
          <w:rFonts w:hint="eastAsia" w:ascii="宋体" w:hAnsi="宋体" w:cs="宋体"/>
          <w:sz w:val="24"/>
          <w:lang w:bidi="ar"/>
        </w:rPr>
      </w:pPr>
      <w:r>
        <w:rPr>
          <w:rFonts w:hint="eastAsia" w:ascii="宋体" w:hAnsi="宋体" w:cs="宋体"/>
          <w:sz w:val="24"/>
          <w:lang w:bidi="ar"/>
        </w:rPr>
        <w:t>（5）通过政府采购云平台成功上传的电子加密投标文件已按时解密的，备份投标文件自动失效。</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（八）投标文件的修改和撤回</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1.供应商应当在投标截止时间前补充、修改或者撤回投标文件。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2.补充或者修改投标文件的，应当先行撤回原投标文件，补充、修改后重新上传、递交。</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3.投标截止时间前未完成上传、递交的，视为撤回投标文件，补充、修改后重新上传、递交。</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4.投标文件不得涂改，若有修改错漏处，须由投标人加盖公章，或者由法定代表人或其授权的代表签名。投标文件因字迹潦草或表达不清所引起的后果由投标人负责。</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5.投标截止时间前未完成上传、递交的，视为撤回投标文件。投标截止时间后上传、递交的投标文件，政府采购云平台及本中心将予以拒收。</w:t>
      </w:r>
    </w:p>
    <w:p>
      <w:pPr>
        <w:snapToGrid w:val="0"/>
        <w:spacing w:line="400" w:lineRule="exact"/>
        <w:ind w:left="454" w:firstLine="480" w:firstLineChars="200"/>
        <w:jc w:val="left"/>
        <w:rPr>
          <w:rFonts w:hint="eastAsia" w:ascii="宋体" w:hAnsi="宋体" w:cs="宋体"/>
          <w:sz w:val="24"/>
        </w:rPr>
      </w:pPr>
      <w:r>
        <w:rPr>
          <w:rFonts w:hint="eastAsia" w:ascii="宋体" w:hAnsi="宋体" w:cs="宋体"/>
          <w:sz w:val="24"/>
        </w:rPr>
        <w:t>6.投标人因未在线参加开标而导致电子加密投标文件无法按时解密等一切后果由投标人自行承担。</w:t>
      </w:r>
    </w:p>
    <w:p>
      <w:pPr>
        <w:snapToGrid w:val="0"/>
        <w:spacing w:line="400" w:lineRule="exact"/>
        <w:ind w:firstLine="482" w:firstLineChars="200"/>
        <w:jc w:val="left"/>
        <w:rPr>
          <w:rFonts w:hint="eastAsia" w:ascii="宋体" w:hAnsi="宋体" w:cs="宋体"/>
          <w:b/>
          <w:sz w:val="24"/>
        </w:rPr>
      </w:pPr>
      <w:r>
        <w:rPr>
          <w:rFonts w:hint="eastAsia" w:ascii="宋体" w:hAnsi="宋体" w:cs="宋体"/>
          <w:b/>
          <w:sz w:val="24"/>
        </w:rPr>
        <w:t>（九）投标无效的情形</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在政采云平台上进行，限期内不补正或经补正后仍不符合招标文件要求的，应认定其投标无效。</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1.在资格审查时，如发现下列情形之一的，投标人将被视为资格审查不通过：</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（1）资格证明文件不全的，或者不符合招标文件要求的；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（2）投标人不具备招标文件标明的资格要求的；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（3）未提供或不按要求提供投标声明书或者填写项目不齐全的；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（4）投标代表人与法定代表人授权委托人身份不符的；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（5）资格文件未按要求签署、盖章的；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6）不同供应商的电子投标（响应）文件上传计算机的网卡MAC地址或硬盘序列号等硬件信息相同的；上传的电子投标（响应）文件若出现使用本项目其他投标（响应）供应商的数字证书加密的，或者加盖本项目其他投标（响应）供应商的电子印章的；不同供应商联系人为同一人或不同联系人的联系电话一致的。</w:t>
      </w:r>
    </w:p>
    <w:p>
      <w:pPr>
        <w:snapToGrid w:val="0"/>
        <w:spacing w:line="400" w:lineRule="exact"/>
        <w:ind w:firstLine="482" w:firstLineChars="200"/>
        <w:jc w:val="left"/>
        <w:rPr>
          <w:rFonts w:hint="eastAsia" w:ascii="宋体" w:hAnsi="宋体" w:cs="宋体"/>
          <w:sz w:val="24"/>
        </w:rPr>
      </w:pPr>
      <w:r>
        <w:rPr>
          <w:rFonts w:hint="eastAsia" w:ascii="宋体" w:hAnsi="宋体" w:cs="宋体"/>
          <w:b/>
          <w:bCs/>
          <w:sz w:val="24"/>
        </w:rPr>
        <w:t>2.在</w:t>
      </w:r>
      <w:r>
        <w:rPr>
          <w:rFonts w:hint="eastAsia" w:ascii="宋体" w:hAnsi="宋体" w:cs="宋体"/>
          <w:b/>
          <w:bCs/>
          <w:spacing w:val="-6"/>
          <w:sz w:val="24"/>
          <w:szCs w:val="21"/>
        </w:rPr>
        <w:t>符合性审查、商务和技术</w:t>
      </w:r>
      <w:r>
        <w:rPr>
          <w:rFonts w:hint="eastAsia" w:ascii="宋体" w:hAnsi="宋体" w:cs="宋体"/>
          <w:b/>
          <w:bCs/>
          <w:sz w:val="24"/>
        </w:rPr>
        <w:t>评审时，如发现下列情形之一的，投标文件将被视为无效：</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（1）商务和技术文件未按要求签署、盖章的；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（2）投标文件格式不规范、项目不齐全经评标委员会认定需废标的，或者提供虚假内容的；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（3）投标文件的实质性内容未使用中文表述、意思表述不明确、前后矛盾或者使用计量单位不符合招标文件要求的（经评标委员会认定允许其当场更正的除外）</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（4）投标有效期、质保期、付款方式等商务条款不能满足招标文件要求的；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（5）未实质性响应招标文件要求或者投标文件有招标采购单位不能接受的附加条件的；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（6）投标截止时间前，投标人仅递交备份投标文件而未将电子加密投标文件成功上传、递交至政府采购云平台的。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（7）未提供或未如实提供投标货物的技术参数，或者投标文件标明的响应或偏离与事实不符或虚假投标的；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（8）明显不符合招标文件标明的质量标准，或者招标文件中标“▲”的功能、技术指标被评标委员会认定有实质性偏离(负偏离)的，或者经评标委员会一致认定属于实质性偏离并影响使用效果的；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（9）投标技术方案不明确，存在一个或一个以上备选（替代）投标方案的；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（10）不同供应商的投标（响应）文件的内容存在3处（含）以上错误一致的；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（11）法律法规规章等规定的其他情形。</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3.在报价评审时，如发现下列情形之一的，投标文件将被视为无效：</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（1）报价文件未按要求签署、盖章的；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（2）未按照招标文件标明的币种报价的；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（3）报价超出采购预算金额或最高限价的；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（4）投标报价具有选择性，或者开标价格与投标文件承诺的优惠（折扣）价格不一致的；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（5）评标委员会认为投标人的报价明显低于其他通过符合性审查投标人的报价，有可能影响产品质量或者不能诚信履约的，且不能证明其报价合理性的。</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4.对关键条文的偏离、保留或反对（例如关于“▲”条款、特别说明等），将被认为是实质上的偏离，投标无效。</w:t>
      </w:r>
    </w:p>
    <w:p>
      <w:pPr>
        <w:widowControl/>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5.有下列情形之一的，视为投标人串通投标，其投标无效：</w:t>
      </w:r>
    </w:p>
    <w:p>
      <w:pPr>
        <w:widowControl/>
        <w:snapToGrid w:val="0"/>
        <w:spacing w:line="400" w:lineRule="exact"/>
        <w:ind w:firstLine="480" w:firstLineChars="200"/>
        <w:jc w:val="left"/>
        <w:rPr>
          <w:rFonts w:hint="eastAsia" w:ascii="宋体" w:hAnsi="宋体" w:cs="宋体"/>
          <w:sz w:val="24"/>
        </w:rPr>
      </w:pPr>
      <w:r>
        <w:rPr>
          <w:rFonts w:hint="eastAsia" w:ascii="宋体" w:hAnsi="宋体" w:cs="宋体"/>
          <w:sz w:val="24"/>
        </w:rPr>
        <w:t>（1）不同投标人的投标文件由同一单位或者个人编制；</w:t>
      </w:r>
    </w:p>
    <w:p>
      <w:pPr>
        <w:widowControl/>
        <w:snapToGrid w:val="0"/>
        <w:spacing w:line="400" w:lineRule="exact"/>
        <w:ind w:firstLine="480" w:firstLineChars="200"/>
        <w:jc w:val="left"/>
        <w:rPr>
          <w:rFonts w:hint="eastAsia" w:ascii="宋体" w:hAnsi="宋体" w:cs="宋体"/>
          <w:sz w:val="24"/>
        </w:rPr>
      </w:pPr>
      <w:r>
        <w:rPr>
          <w:rFonts w:hint="eastAsia" w:ascii="宋体" w:hAnsi="宋体" w:cs="宋体"/>
          <w:sz w:val="24"/>
        </w:rPr>
        <w:t>（2）不同投标人委托同一单位或者个人办理投标事宜；</w:t>
      </w:r>
    </w:p>
    <w:p>
      <w:pPr>
        <w:widowControl/>
        <w:snapToGrid w:val="0"/>
        <w:spacing w:line="400" w:lineRule="exact"/>
        <w:ind w:firstLine="480" w:firstLineChars="200"/>
        <w:jc w:val="left"/>
        <w:rPr>
          <w:rFonts w:hint="eastAsia" w:ascii="宋体" w:hAnsi="宋体" w:cs="宋体"/>
          <w:sz w:val="24"/>
        </w:rPr>
      </w:pPr>
      <w:r>
        <w:rPr>
          <w:rFonts w:hint="eastAsia" w:ascii="宋体" w:hAnsi="宋体" w:cs="宋体"/>
          <w:sz w:val="24"/>
        </w:rPr>
        <w:t>（3）不同投标人的投标文件载明的项目管理成员或者联系人员为同一人；</w:t>
      </w:r>
    </w:p>
    <w:p>
      <w:pPr>
        <w:widowControl/>
        <w:snapToGrid w:val="0"/>
        <w:spacing w:line="400" w:lineRule="exact"/>
        <w:ind w:firstLine="480" w:firstLineChars="200"/>
        <w:jc w:val="left"/>
        <w:rPr>
          <w:rFonts w:hint="eastAsia" w:ascii="宋体" w:hAnsi="宋体" w:cs="宋体"/>
          <w:sz w:val="24"/>
        </w:rPr>
      </w:pPr>
      <w:r>
        <w:rPr>
          <w:rFonts w:hint="eastAsia" w:ascii="宋体" w:hAnsi="宋体" w:cs="宋体"/>
          <w:sz w:val="24"/>
        </w:rPr>
        <w:t>（4）不同投标人的投标文件异常一致或者投标报价呈规律性差异；</w:t>
      </w:r>
    </w:p>
    <w:p>
      <w:pPr>
        <w:widowControl/>
        <w:snapToGrid w:val="0"/>
        <w:spacing w:line="400" w:lineRule="exact"/>
        <w:ind w:firstLine="480" w:firstLineChars="200"/>
        <w:jc w:val="left"/>
        <w:rPr>
          <w:rFonts w:hint="eastAsia" w:ascii="宋体" w:hAnsi="宋体" w:cs="宋体"/>
          <w:b/>
          <w:sz w:val="30"/>
          <w:szCs w:val="30"/>
        </w:rPr>
      </w:pPr>
      <w:r>
        <w:rPr>
          <w:rFonts w:hint="eastAsia" w:ascii="宋体" w:hAnsi="宋体" w:cs="宋体"/>
          <w:sz w:val="24"/>
        </w:rPr>
        <w:t>（5）不同投标人的投标文件相互混装。</w:t>
      </w:r>
    </w:p>
    <w:p>
      <w:pPr>
        <w:snapToGrid w:val="0"/>
        <w:spacing w:before="156" w:beforeLines="50" w:after="156" w:afterLines="50" w:line="360" w:lineRule="auto"/>
        <w:ind w:left="238"/>
        <w:jc w:val="center"/>
        <w:outlineLvl w:val="1"/>
        <w:rPr>
          <w:rFonts w:hint="eastAsia" w:ascii="宋体" w:hAnsi="宋体" w:cs="宋体"/>
          <w:b/>
          <w:sz w:val="30"/>
          <w:szCs w:val="30"/>
        </w:rPr>
      </w:pPr>
      <w:r>
        <w:rPr>
          <w:rFonts w:hint="eastAsia" w:ascii="宋体" w:hAnsi="宋体" w:cs="宋体"/>
          <w:b/>
          <w:sz w:val="30"/>
          <w:szCs w:val="30"/>
        </w:rPr>
        <w:t>四、开  标</w:t>
      </w:r>
    </w:p>
    <w:p>
      <w:pPr>
        <w:snapToGrid w:val="0"/>
        <w:spacing w:line="400" w:lineRule="exact"/>
        <w:ind w:firstLine="354" w:firstLineChars="147"/>
        <w:jc w:val="left"/>
        <w:rPr>
          <w:rFonts w:hint="eastAsia" w:ascii="宋体" w:hAnsi="宋体" w:cs="宋体"/>
          <w:b/>
          <w:sz w:val="24"/>
        </w:rPr>
      </w:pPr>
      <w:r>
        <w:rPr>
          <w:rFonts w:hint="eastAsia" w:ascii="宋体" w:hAnsi="宋体" w:cs="宋体"/>
          <w:b/>
          <w:sz w:val="24"/>
        </w:rPr>
        <w:t>（一）开标形式</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1.我中心将按照招标文件规定的时间通过“政府采购云平台”组织在线开标，所有供应商均应当准时在线参加。投标人不足3家时，不得开标。</w:t>
      </w:r>
    </w:p>
    <w:p>
      <w:pPr>
        <w:snapToGrid w:val="0"/>
        <w:spacing w:line="400" w:lineRule="exact"/>
        <w:ind w:firstLine="354" w:firstLineChars="147"/>
        <w:jc w:val="left"/>
        <w:rPr>
          <w:rFonts w:hint="eastAsia" w:ascii="宋体" w:hAnsi="宋体" w:cs="宋体"/>
          <w:b/>
          <w:sz w:val="24"/>
        </w:rPr>
      </w:pPr>
      <w:r>
        <w:rPr>
          <w:rFonts w:hint="eastAsia" w:ascii="宋体" w:hAnsi="宋体" w:cs="宋体"/>
          <w:b/>
          <w:sz w:val="24"/>
        </w:rPr>
        <w:t>（二）开标准备</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1.开标的准备工作由本中心负责落实。</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2.本中心将按照招标文件规定的时间通过“政府采购云平台”组织开标，所有供应商均应当准时在线参加。供应商自行承担因不参加在线开标而产生的不利后果。</w:t>
      </w:r>
    </w:p>
    <w:p>
      <w:pPr>
        <w:snapToGrid w:val="0"/>
        <w:spacing w:line="400" w:lineRule="exact"/>
        <w:ind w:firstLine="354" w:firstLineChars="147"/>
        <w:jc w:val="left"/>
        <w:rPr>
          <w:rFonts w:hint="eastAsia" w:ascii="宋体" w:hAnsi="宋体" w:cs="宋体"/>
          <w:b/>
          <w:sz w:val="24"/>
        </w:rPr>
      </w:pPr>
      <w:r>
        <w:rPr>
          <w:rFonts w:hint="eastAsia" w:ascii="宋体" w:hAnsi="宋体" w:cs="宋体"/>
          <w:b/>
          <w:sz w:val="24"/>
        </w:rPr>
        <w:t>（三）开标流程</w:t>
      </w:r>
    </w:p>
    <w:p>
      <w:pPr>
        <w:spacing w:line="400" w:lineRule="exact"/>
        <w:ind w:firstLine="426" w:firstLineChars="177"/>
        <w:jc w:val="left"/>
        <w:rPr>
          <w:rFonts w:hint="eastAsia" w:ascii="宋体" w:hAnsi="宋体" w:cs="宋体"/>
          <w:b/>
          <w:kern w:val="0"/>
          <w:sz w:val="24"/>
        </w:rPr>
      </w:pPr>
      <w:r>
        <w:rPr>
          <w:rFonts w:hint="eastAsia" w:ascii="宋体" w:hAnsi="宋体" w:cs="宋体"/>
          <w:b/>
          <w:kern w:val="0"/>
          <w:sz w:val="24"/>
        </w:rPr>
        <w:t>1.开标第一阶段</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（1）向各投标供应商发出电子加密投标文件【开始解密】通知，各投标供应商代表应当在接到解密通知后</w:t>
      </w:r>
      <w:r>
        <w:rPr>
          <w:rFonts w:hint="eastAsia" w:ascii="宋体" w:hAnsi="宋体" w:cs="宋体"/>
          <w:sz w:val="24"/>
          <w:u w:val="single"/>
        </w:rPr>
        <w:t>30</w:t>
      </w:r>
      <w:r>
        <w:rPr>
          <w:rFonts w:hint="eastAsia" w:ascii="宋体" w:hAnsi="宋体" w:cs="宋体"/>
          <w:sz w:val="24"/>
        </w:rPr>
        <w:t>分钟内自行完成“电子加密投标文件”的在线解密。投标供应商在规定的时间内无法完成“电子加密投标文件”解密的，如投标供应商按规定递交 “电子备份投标文件”的，则由我中心按“政府采购云平台”操作规范将“电子备份投标文件”上传至“政府采购云平台”。上传成功后，以“电子备份投标文件”参与评标，“电子加密投标文件”自动失效。如投标供应商未按规定递交或非我中心操作原因引起的不能取读U盘“电子备份投标文件”的，视为投标文件撤回。</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（2）开启资格证明文件、商务技术文件。</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（3）进行资格审查，对通过资格审查的投标供应商进行符合性审查、商务技术评审；</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（4）通过资格审查的投标人不足3家的，不再评标。</w:t>
      </w:r>
    </w:p>
    <w:p>
      <w:pPr>
        <w:snapToGrid w:val="0"/>
        <w:spacing w:line="400" w:lineRule="exact"/>
        <w:ind w:firstLine="482" w:firstLineChars="200"/>
        <w:jc w:val="left"/>
        <w:rPr>
          <w:rFonts w:hint="eastAsia" w:ascii="宋体" w:hAnsi="宋体" w:cs="宋体"/>
          <w:b/>
          <w:kern w:val="0"/>
          <w:sz w:val="24"/>
        </w:rPr>
      </w:pPr>
      <w:r>
        <w:rPr>
          <w:rFonts w:hint="eastAsia" w:ascii="宋体" w:hAnsi="宋体" w:cs="宋体"/>
          <w:b/>
          <w:kern w:val="0"/>
          <w:sz w:val="24"/>
        </w:rPr>
        <w:t>2.开标第二阶段</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（1）资格审查、符合性审查、商务技术评审结束后，进入开标第二阶段。</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（2）通过电子交易平台公布无效供应商名单及导致无效的原因；公布有效供应商的名单及其商务技术得分。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（3）开启有效供应商的《报价文件》，系统形成开标记录。</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（4）价格评审。价格评审结束后，通过电子交易平台公布中标候选供应商名单。</w:t>
      </w:r>
    </w:p>
    <w:p>
      <w:pPr>
        <w:snapToGrid w:val="0"/>
        <w:spacing w:before="156" w:beforeLines="50" w:after="156" w:afterLines="50" w:line="360" w:lineRule="auto"/>
        <w:ind w:left="238"/>
        <w:jc w:val="center"/>
        <w:outlineLvl w:val="1"/>
        <w:rPr>
          <w:rFonts w:hint="eastAsia" w:ascii="宋体" w:hAnsi="宋体" w:cs="宋体"/>
          <w:b/>
          <w:sz w:val="30"/>
          <w:szCs w:val="30"/>
        </w:rPr>
      </w:pPr>
      <w:r>
        <w:rPr>
          <w:rFonts w:hint="eastAsia" w:ascii="宋体" w:hAnsi="宋体" w:cs="宋体"/>
          <w:b/>
          <w:sz w:val="30"/>
          <w:szCs w:val="30"/>
        </w:rPr>
        <w:t>五、评  标</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（一）组建评标委员会</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招标采购单位将根据本次采购的特点，按照《中华人民共和国政府采购法》规定成立评标委员会。评标委员会负责对投标文件进行审查、澄清、评估和比较。</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（二）评标方式</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本项目采用不公开方式评标，评标的依据为招标文件和投标文件，不采纳招标文件、投标文件以外的任何证据。</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（三）评标程序</w:t>
      </w:r>
    </w:p>
    <w:p>
      <w:pPr>
        <w:snapToGrid w:val="0"/>
        <w:spacing w:line="400" w:lineRule="exact"/>
        <w:ind w:firstLine="480" w:firstLineChars="200"/>
        <w:rPr>
          <w:rFonts w:hint="eastAsia" w:ascii="宋体" w:hAnsi="宋体" w:cs="宋体"/>
          <w:sz w:val="24"/>
        </w:rPr>
      </w:pPr>
      <w:r>
        <w:rPr>
          <w:rFonts w:hint="eastAsia" w:ascii="宋体" w:hAnsi="宋体" w:cs="宋体"/>
          <w:sz w:val="24"/>
        </w:rPr>
        <w:t>1.资格检查。依据法律法规和招标文件的规定，对投标文件中的资格证明等进行审查，以确定投标供应商是否具备投标资格。资格审查按通过和不通过两种方式进行评定，投标人的资格等方面的要求作为资格审查通过的强制性资格条件，经核实有一项不符合要求，则投标人的资格为不通过，不通过的投标人对其投标文件不进行后续评审。</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2.符合性检查。依据招标文件的规定，从投标文件的有效性、完整性和对投标文件的响应程度进行审查，以确定是否对投标文件的实质性要求作出完全响应。</w:t>
      </w:r>
    </w:p>
    <w:p>
      <w:pPr>
        <w:snapToGrid w:val="0"/>
        <w:spacing w:line="400" w:lineRule="exact"/>
        <w:ind w:firstLine="480" w:firstLineChars="200"/>
        <w:jc w:val="left"/>
        <w:rPr>
          <w:rFonts w:hint="eastAsia" w:ascii="宋体" w:hAnsi="宋体" w:cs="宋体"/>
          <w:color w:val="0000FF"/>
          <w:sz w:val="24"/>
        </w:rPr>
      </w:pPr>
      <w:r>
        <w:rPr>
          <w:rFonts w:hint="eastAsia" w:ascii="宋体" w:hAnsi="宋体" w:cs="宋体"/>
          <w:sz w:val="24"/>
        </w:rPr>
        <w:t>3.澄清有关问题。对投标文件中含义不明确、同类问题表述不一致或者有明显文字和计算错误的内容，评标委员会通过电子交易平台交换数据电文形式要求投标人作必要的澄清、说明或者纠正。投标人的澄清、说明或者补正应在政采云上的规定的时间内提交澄清说明或补正，由其授权代表签字或盖章确认，并不得超出投标文件的范围或者改变投标文件的实质性内容。</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4.比较与评价。按投标文件中规定的评标方法和标准，对资格性检查和符合性检查合格的投标文件进行商务和技术评估，综合比较与评价。</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5.评标委员会完成评标后,按评标原则推荐中标候选人同时起草评标报告。</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6.评标委员会判断“投标文件”的响应性，仅基于“投标文件”本身而不靠外部证据。评标委员会有权拒绝被确定为非实质性响应的投标文件。投标人不能通过修正或撤销不符之处，而使其投标成为实质性响应的投标。</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（四）澄清问题的形式</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 xml:space="preserve">对投标文件中含义不明确、同类问题表述不一致或者有明显文字和计算错误的内容，评标委员会可要求投标人作出必要的澄清、说明或者补正。评标委员会的澄清内容及投标人的澄清、说明或者补正均通过电子交易平台交换数据电文。  </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评标委员会发出澄清内容后，供应商应当在政采云上的规定的时间内提交澄清说明或补正，否则视为供应商放弃答复，并自行承担因此而产生的不利后果。澄清、说明或者补正不得超出投标文件的范围或者改变投标文件的实质性内容。</w:t>
      </w:r>
    </w:p>
    <w:p>
      <w:pPr>
        <w:snapToGrid w:val="0"/>
        <w:spacing w:line="400" w:lineRule="exact"/>
        <w:ind w:firstLine="482" w:firstLineChars="200"/>
        <w:jc w:val="left"/>
        <w:rPr>
          <w:rFonts w:hint="eastAsia" w:ascii="宋体" w:hAnsi="宋体" w:cs="宋体"/>
          <w:sz w:val="24"/>
        </w:rPr>
      </w:pPr>
      <w:r>
        <w:rPr>
          <w:rFonts w:hint="eastAsia" w:ascii="宋体" w:hAnsi="宋体" w:cs="宋体"/>
          <w:b/>
          <w:bCs/>
          <w:sz w:val="24"/>
        </w:rPr>
        <w:t>（五）错误修正</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投标文件报价出现前后不一致的，除招标文件另有规定外，按照下列规定修正：</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1.开标一览表总价与投标报价明细表汇总数不一致的，以开标一览表为准；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2.投标文件的大写金额和小写金额不一致的，以大写金额为准；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3.总价金额与按单价汇总金额不一致的，以单价金额计算结果为准。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4.对不同文字文本投标文件的解释发生异议的，以中文文本为准。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同时出现两种以上不一致的，按照前款规定的顺序修正。评标委员会应当通过电子交易平台要求投标人对修正后的报价予以确认并对投标人产生约束力。投标人未在规定时间内确认的，其投标无效。</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（六）投标供应商瑕疵滞后的处理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无论基于何种原因，各项本应作扣分或无效标处理的情形即便未被及时发现而使该投标供应商进入后续评标程序，包括定标后已经签订合同等情形，一旦在任何时间被发现存在上述情形，则我中心均有权随时视情形决定是否取消该投标供应商的此前评议结果，并有权决定采取相应的补救或纠正措施。一旦该投标供应商被取消该投标供应商的此前评议结果，其现有的位置将被其他投标供应商依序替代或者此项目做废标处理。</w:t>
      </w:r>
    </w:p>
    <w:p>
      <w:pPr>
        <w:snapToGrid w:val="0"/>
        <w:spacing w:line="400" w:lineRule="exact"/>
        <w:ind w:firstLine="482" w:firstLineChars="200"/>
        <w:jc w:val="left"/>
        <w:rPr>
          <w:rFonts w:hint="eastAsia" w:ascii="宋体" w:hAnsi="宋体" w:cs="宋体"/>
          <w:b/>
          <w:bCs/>
          <w:sz w:val="24"/>
        </w:rPr>
      </w:pPr>
      <w:r>
        <w:rPr>
          <w:rFonts w:hint="eastAsia" w:ascii="宋体" w:hAnsi="宋体" w:cs="宋体"/>
          <w:b/>
          <w:bCs/>
          <w:sz w:val="24"/>
        </w:rPr>
        <w:t>（七）评标原则和评标办法</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2.评标办法。本项目评标办法是</w:t>
      </w:r>
      <w:r>
        <w:rPr>
          <w:rFonts w:hint="eastAsia" w:ascii="宋体" w:hAnsi="宋体" w:cs="宋体"/>
          <w:sz w:val="24"/>
          <w:u w:val="single"/>
        </w:rPr>
        <w:t xml:space="preserve"> 综合评分法 </w:t>
      </w:r>
      <w:r>
        <w:rPr>
          <w:rFonts w:hint="eastAsia" w:ascii="宋体" w:hAnsi="宋体" w:cs="宋体"/>
          <w:sz w:val="24"/>
        </w:rPr>
        <w:t>，具体评标内容及评分标准等详见《第四章：评标办法及评分标准》。</w:t>
      </w:r>
    </w:p>
    <w:p>
      <w:pPr>
        <w:snapToGrid w:val="0"/>
        <w:spacing w:before="156" w:beforeLines="50" w:after="156" w:afterLines="50" w:line="360" w:lineRule="auto"/>
        <w:ind w:left="238"/>
        <w:jc w:val="center"/>
        <w:outlineLvl w:val="1"/>
        <w:rPr>
          <w:rFonts w:hint="eastAsia" w:ascii="宋体" w:hAnsi="宋体" w:cs="宋体"/>
          <w:b/>
          <w:sz w:val="30"/>
          <w:szCs w:val="30"/>
        </w:rPr>
      </w:pPr>
      <w:r>
        <w:rPr>
          <w:rFonts w:hint="eastAsia" w:ascii="宋体" w:hAnsi="宋体" w:cs="宋体"/>
          <w:b/>
          <w:sz w:val="30"/>
          <w:szCs w:val="30"/>
        </w:rPr>
        <w:t>六、定  标</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（一）本项目由采购单位事先授权评标委员会确定中标人。</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（二）评标委员会根据采购需要，按综合得分由高到低顺序排列，推荐中标供应商（如得分相同的，按投标报价由低到高顺序排列）。</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（三）我中心在评标结束后3日内在发布招标公告的网站上公示中标候选人。</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（四）在公示结束后，如无投标人质疑或有投标人质疑在质疑处理完毕后我中心将在政采云平台或书面形式发出中标通知书。中标通知书对采购单位和中标供应商具有同等法律效力。</w:t>
      </w:r>
    </w:p>
    <w:p>
      <w:pPr>
        <w:snapToGrid w:val="0"/>
        <w:spacing w:line="400" w:lineRule="exact"/>
        <w:ind w:firstLine="480" w:firstLineChars="200"/>
        <w:jc w:val="left"/>
        <w:rPr>
          <w:rFonts w:hint="eastAsia" w:ascii="宋体" w:hAnsi="宋体" w:cs="宋体"/>
          <w:b/>
          <w:sz w:val="30"/>
          <w:szCs w:val="30"/>
        </w:rPr>
      </w:pPr>
      <w:r>
        <w:rPr>
          <w:rFonts w:hint="eastAsia" w:ascii="宋体" w:hAnsi="宋体" w:cs="宋体"/>
          <w:sz w:val="24"/>
        </w:rPr>
        <w:t>（五）中标通知书发出后，采购单位改变中标结果，或者中标供应商放弃中标，应当承担相应的法律责任。</w:t>
      </w:r>
    </w:p>
    <w:p>
      <w:pPr>
        <w:snapToGrid w:val="0"/>
        <w:spacing w:before="156" w:beforeLines="50" w:after="156" w:afterLines="50" w:line="360" w:lineRule="auto"/>
        <w:ind w:left="238"/>
        <w:jc w:val="center"/>
        <w:outlineLvl w:val="1"/>
        <w:rPr>
          <w:rFonts w:hint="eastAsia" w:ascii="宋体" w:hAnsi="宋体" w:cs="宋体"/>
          <w:b/>
          <w:sz w:val="30"/>
          <w:szCs w:val="30"/>
        </w:rPr>
      </w:pPr>
      <w:r>
        <w:rPr>
          <w:rFonts w:hint="eastAsia" w:ascii="宋体" w:hAnsi="宋体" w:cs="宋体"/>
          <w:b/>
          <w:sz w:val="30"/>
          <w:szCs w:val="30"/>
        </w:rPr>
        <w:t>七、合同授予</w:t>
      </w:r>
    </w:p>
    <w:p>
      <w:pPr>
        <w:snapToGrid w:val="0"/>
        <w:ind w:firstLine="482" w:firstLineChars="200"/>
        <w:rPr>
          <w:rFonts w:hint="eastAsia" w:ascii="宋体" w:hAnsi="宋体" w:cs="宋体"/>
          <w:b/>
          <w:sz w:val="24"/>
        </w:rPr>
      </w:pPr>
      <w:r>
        <w:rPr>
          <w:rFonts w:hint="eastAsia" w:ascii="宋体" w:hAnsi="宋体" w:cs="宋体"/>
          <w:b/>
          <w:sz w:val="24"/>
        </w:rPr>
        <w:t>（一）签订合同</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1.中标人应在中标通知书发出之日起30日内，按照招标文件和中标人投标文件的规定，与采购人签订书面合同。</w:t>
      </w:r>
    </w:p>
    <w:p>
      <w:pPr>
        <w:snapToGrid w:val="0"/>
        <w:spacing w:line="460" w:lineRule="exact"/>
        <w:ind w:firstLine="480" w:firstLineChars="200"/>
        <w:rPr>
          <w:rFonts w:hint="eastAsia" w:ascii="宋体" w:hAnsi="宋体" w:cs="宋体"/>
          <w:sz w:val="24"/>
        </w:rPr>
      </w:pPr>
      <w:r>
        <w:rPr>
          <w:rFonts w:hint="eastAsia" w:ascii="宋体" w:hAnsi="宋体" w:cs="宋体"/>
          <w:sz w:val="24"/>
        </w:rPr>
        <w:t>2.中标人拖延、拒签合同的，将被取消中标资格并按照政府采购法律法规进行处罚。</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3.招标文件、中标人的投标文件、招标文件的澄清、修改及评标过程中有关澄清、承诺文件均作为合同的组成部分。</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4.中标供应商因不可抗力或者自身原因不能履行政府采购合同的，由采购单位决定是否与排列在中标供应商之后第一位的中标候选供应商签订政府采购合同。</w:t>
      </w:r>
    </w:p>
    <w:p>
      <w:pPr>
        <w:snapToGrid w:val="0"/>
        <w:spacing w:line="400" w:lineRule="exact"/>
        <w:jc w:val="left"/>
        <w:rPr>
          <w:rFonts w:hint="eastAsia" w:ascii="宋体" w:hAnsi="宋体" w:cs="宋体"/>
          <w:b/>
          <w:bCs/>
          <w:sz w:val="24"/>
        </w:rPr>
      </w:pPr>
      <w:r>
        <w:rPr>
          <w:rFonts w:hint="eastAsia" w:ascii="宋体" w:hAnsi="宋体" w:cs="宋体"/>
          <w:b/>
          <w:bCs/>
          <w:sz w:val="24"/>
        </w:rPr>
        <w:t>▲（二）特别说明</w:t>
      </w:r>
    </w:p>
    <w:p>
      <w:pPr>
        <w:snapToGrid w:val="0"/>
        <w:spacing w:line="400" w:lineRule="exact"/>
        <w:ind w:firstLine="480" w:firstLineChars="200"/>
        <w:jc w:val="left"/>
        <w:rPr>
          <w:rFonts w:hint="eastAsia" w:ascii="宋体" w:hAnsi="宋体" w:cs="宋体"/>
          <w:sz w:val="24"/>
        </w:rPr>
      </w:pPr>
      <w:r>
        <w:rPr>
          <w:rFonts w:hint="eastAsia" w:ascii="宋体" w:hAnsi="宋体" w:cs="宋体"/>
          <w:sz w:val="24"/>
        </w:rPr>
        <w:t>在确定中标供应商后，如招标采购单位要求中标供应商必须提供相关产品的厂家授权书的，中标供应商应在合同签订之前提供，如未能提供的，招标采购单位有权取消其中标资格，由此造成的所有后果由中标供应商自行承担。</w:t>
      </w:r>
    </w:p>
    <w:p>
      <w:pPr>
        <w:snapToGrid w:val="0"/>
        <w:spacing w:line="400" w:lineRule="exact"/>
        <w:ind w:firstLine="480" w:firstLineChars="200"/>
        <w:jc w:val="left"/>
        <w:rPr>
          <w:rFonts w:cs="宋体"/>
          <w:sz w:val="24"/>
        </w:rPr>
      </w:pPr>
    </w:p>
    <w:p>
      <w:pPr>
        <w:snapToGrid w:val="0"/>
        <w:spacing w:line="400" w:lineRule="exact"/>
        <w:ind w:firstLine="480" w:firstLineChars="200"/>
        <w:jc w:val="left"/>
        <w:rPr>
          <w:rFonts w:cs="宋体"/>
          <w:sz w:val="24"/>
        </w:rPr>
      </w:pPr>
    </w:p>
    <w:p>
      <w:pPr>
        <w:snapToGrid w:val="0"/>
        <w:spacing w:after="156" w:afterLines="50" w:line="400" w:lineRule="exact"/>
        <w:ind w:firstLine="480" w:firstLineChars="200"/>
        <w:jc w:val="center"/>
        <w:outlineLvl w:val="0"/>
        <w:rPr>
          <w:rFonts w:cs="宋体"/>
          <w:b/>
          <w:sz w:val="36"/>
          <w:szCs w:val="36"/>
        </w:rPr>
      </w:pPr>
      <w:r>
        <w:rPr>
          <w:rFonts w:hint="eastAsia" w:cs="宋体"/>
          <w:sz w:val="24"/>
        </w:rPr>
        <w:br w:type="page"/>
      </w:r>
      <w:r>
        <w:rPr>
          <w:rFonts w:hint="eastAsia" w:cs="宋体"/>
          <w:b/>
          <w:sz w:val="36"/>
          <w:szCs w:val="36"/>
        </w:rPr>
        <w:t>第四章 评标办法及评分标准</w:t>
      </w:r>
    </w:p>
    <w:p>
      <w:pPr>
        <w:spacing w:line="400" w:lineRule="exact"/>
        <w:ind w:firstLine="480" w:firstLineChars="200"/>
        <w:jc w:val="left"/>
        <w:rPr>
          <w:rFonts w:cs="宋体"/>
          <w:sz w:val="24"/>
        </w:rPr>
      </w:pPr>
      <w:r>
        <w:rPr>
          <w:rFonts w:hint="eastAsia" w:cs="宋体"/>
          <w:sz w:val="24"/>
        </w:rPr>
        <w:t>为公正、公平、科学地选择中标人，根据《中华人民共和国政府采购法》等有关法律法规的规定，并结合本项目的实际，制定本办法。</w:t>
      </w:r>
    </w:p>
    <w:p>
      <w:pPr>
        <w:spacing w:line="400" w:lineRule="exact"/>
        <w:ind w:firstLine="482" w:firstLineChars="200"/>
        <w:jc w:val="left"/>
        <w:rPr>
          <w:rFonts w:cs="宋体"/>
          <w:b/>
          <w:sz w:val="24"/>
        </w:rPr>
      </w:pPr>
      <w:r>
        <w:rPr>
          <w:rFonts w:hint="eastAsia" w:cs="宋体"/>
          <w:b/>
          <w:sz w:val="24"/>
        </w:rPr>
        <w:t>一、评标办法</w:t>
      </w:r>
    </w:p>
    <w:p>
      <w:pPr>
        <w:pStyle w:val="15"/>
        <w:snapToGrid w:val="0"/>
        <w:spacing w:beforeLines="0" w:afterLines="0" w:line="400" w:lineRule="exact"/>
        <w:ind w:firstLine="480" w:firstLineChars="200"/>
        <w:jc w:val="left"/>
        <w:rPr>
          <w:rFonts w:ascii="Times New Roman" w:hAnsi="Times New Roman" w:cs="宋体"/>
        </w:rPr>
      </w:pPr>
      <w:r>
        <w:rPr>
          <w:rFonts w:hint="eastAsia" w:ascii="Times New Roman" w:hAnsi="Times New Roman" w:cs="宋体"/>
        </w:rPr>
        <w:t>本次评标采用综合评分法。合格投标人的评标综合得分为商务技术分、价格分两项汇总得分（投标人评标综合得分=商务技术分+价格分）。评标委员会根据评分标准，对各投标单位的商务技术文件、投标报价文件进行审核和评审后，由各专家独立酌情打分，每人一份评分表，并签名。投标人商务技术文件评审的最终得分为评标专家组成员的有效评分的算术平均值。评分过程中所有得分均采用四舍五入法，并保留小数2位。</w:t>
      </w:r>
    </w:p>
    <w:p>
      <w:pPr>
        <w:pStyle w:val="15"/>
        <w:snapToGrid w:val="0"/>
        <w:spacing w:beforeLines="0" w:afterLines="0" w:line="400" w:lineRule="exact"/>
        <w:ind w:firstLine="480" w:firstLineChars="200"/>
        <w:jc w:val="left"/>
        <w:rPr>
          <w:rFonts w:ascii="Times New Roman" w:hAnsi="Times New Roman" w:cs="宋体"/>
        </w:rPr>
      </w:pPr>
      <w:r>
        <w:rPr>
          <w:rFonts w:hint="eastAsia" w:ascii="Times New Roman" w:hAnsi="Times New Roman" w:cs="宋体"/>
        </w:rPr>
        <w:t>评标方式：先评商务技术文件，后评价格文件。</w:t>
      </w:r>
    </w:p>
    <w:p>
      <w:pPr>
        <w:spacing w:line="400" w:lineRule="exact"/>
        <w:ind w:firstLine="482" w:firstLineChars="200"/>
        <w:jc w:val="left"/>
        <w:rPr>
          <w:rFonts w:cs="宋体"/>
          <w:b/>
          <w:sz w:val="24"/>
        </w:rPr>
      </w:pPr>
      <w:r>
        <w:rPr>
          <w:rFonts w:hint="eastAsia" w:cs="宋体"/>
          <w:b/>
          <w:sz w:val="24"/>
        </w:rPr>
        <w:t>二、评分内容及标准</w:t>
      </w:r>
    </w:p>
    <w:p>
      <w:pPr>
        <w:pStyle w:val="15"/>
        <w:snapToGrid w:val="0"/>
        <w:spacing w:beforeLines="0" w:afterLines="0" w:line="400" w:lineRule="exact"/>
        <w:ind w:firstLine="480" w:firstLineChars="200"/>
        <w:jc w:val="left"/>
        <w:rPr>
          <w:rFonts w:ascii="Times New Roman" w:hAnsi="Times New Roman" w:cs="宋体"/>
        </w:rPr>
      </w:pPr>
      <w:r>
        <w:rPr>
          <w:rFonts w:hint="eastAsia" w:ascii="Times New Roman" w:hAnsi="Times New Roman" w:cs="宋体"/>
        </w:rPr>
        <w:t>（一）评标分值组成</w:t>
      </w:r>
    </w:p>
    <w:p>
      <w:pPr>
        <w:pStyle w:val="15"/>
        <w:snapToGrid w:val="0"/>
        <w:spacing w:beforeLines="0" w:afterLines="0" w:line="400" w:lineRule="exact"/>
        <w:ind w:firstLine="480" w:firstLineChars="200"/>
        <w:jc w:val="left"/>
        <w:rPr>
          <w:rFonts w:ascii="Times New Roman" w:hAnsi="Times New Roman" w:cs="宋体"/>
        </w:rPr>
      </w:pPr>
      <w:r>
        <w:rPr>
          <w:rFonts w:hint="eastAsia" w:ascii="Times New Roman" w:hAnsi="Times New Roman" w:cs="宋体"/>
        </w:rPr>
        <w:t>本次评标总评定分值为100分，其中商务技术分值为70分，价格文件分值为30分。</w:t>
      </w:r>
    </w:p>
    <w:p>
      <w:pPr>
        <w:pStyle w:val="15"/>
        <w:snapToGrid w:val="0"/>
        <w:spacing w:beforeLines="0" w:afterLines="0" w:line="400" w:lineRule="exact"/>
        <w:ind w:firstLine="480" w:firstLineChars="200"/>
        <w:jc w:val="left"/>
        <w:rPr>
          <w:rFonts w:ascii="Times New Roman" w:hAnsi="Times New Roman" w:cs="宋体"/>
        </w:rPr>
      </w:pPr>
      <w:r>
        <w:rPr>
          <w:rFonts w:hint="eastAsia" w:ascii="Times New Roman" w:hAnsi="Times New Roman" w:cs="宋体"/>
        </w:rPr>
        <w:t>（二）价格分值评定：价格分采用低价优先法计算，即满足招标文件要求且评审价格最低的为评审基准价，其价格分为满分。其他各投标人的价格分统一按照下列公式计算：</w:t>
      </w:r>
    </w:p>
    <w:p>
      <w:pPr>
        <w:pStyle w:val="15"/>
        <w:snapToGrid w:val="0"/>
        <w:spacing w:beforeLines="0" w:afterLines="0" w:line="400" w:lineRule="exact"/>
        <w:ind w:firstLine="480" w:firstLineChars="200"/>
        <w:jc w:val="left"/>
        <w:rPr>
          <w:rFonts w:ascii="Times New Roman" w:hAnsi="Times New Roman" w:cs="宋体"/>
        </w:rPr>
      </w:pPr>
      <w:r>
        <w:rPr>
          <w:rFonts w:hint="eastAsia" w:ascii="Times New Roman" w:hAnsi="Times New Roman" w:cs="宋体"/>
        </w:rPr>
        <w:t>价格分=（评审基准价/投标报价）×30%×100</w:t>
      </w:r>
    </w:p>
    <w:p>
      <w:pPr>
        <w:pStyle w:val="15"/>
        <w:snapToGrid w:val="0"/>
        <w:spacing w:beforeLines="0" w:afterLines="0" w:line="400" w:lineRule="exact"/>
        <w:ind w:firstLine="480" w:firstLineChars="200"/>
        <w:jc w:val="left"/>
        <w:rPr>
          <w:rFonts w:ascii="Times New Roman" w:hAnsi="Times New Roman" w:cs="宋体"/>
        </w:rPr>
      </w:pPr>
      <w:r>
        <w:rPr>
          <w:rFonts w:hint="eastAsia" w:ascii="Times New Roman" w:hAnsi="Times New Roman" w:cs="宋体"/>
        </w:rPr>
        <w:t>（三）商务技术分值评定</w:t>
      </w:r>
    </w:p>
    <w:p>
      <w:pPr>
        <w:pStyle w:val="15"/>
        <w:snapToGrid w:val="0"/>
        <w:spacing w:beforeLines="0" w:afterLines="0" w:line="400" w:lineRule="exact"/>
        <w:ind w:firstLine="480" w:firstLineChars="200"/>
        <w:jc w:val="left"/>
        <w:rPr>
          <w:rFonts w:ascii="Times New Roman" w:hAnsi="Times New Roman" w:cs="宋体"/>
        </w:rPr>
      </w:pPr>
      <w:r>
        <w:rPr>
          <w:rFonts w:hint="eastAsia" w:ascii="Times New Roman" w:hAnsi="Times New Roman" w:cs="宋体"/>
        </w:rPr>
        <w:t>商务技术分=评标委员会所有成员评分合计数 /评标委员会成员人数。</w:t>
      </w:r>
    </w:p>
    <w:p>
      <w:pPr>
        <w:numPr>
          <w:ilvl w:val="0"/>
          <w:numId w:val="14"/>
        </w:numPr>
        <w:spacing w:line="400" w:lineRule="exact"/>
        <w:ind w:firstLine="480" w:firstLineChars="200"/>
        <w:jc w:val="left"/>
        <w:rPr>
          <w:rFonts w:cs="宋体"/>
          <w:sz w:val="24"/>
        </w:rPr>
      </w:pPr>
      <w:r>
        <w:rPr>
          <w:rFonts w:hint="eastAsia" w:cs="宋体"/>
          <w:sz w:val="24"/>
        </w:rPr>
        <w:t>商务技术文件评分标准（70分）</w:t>
      </w:r>
    </w:p>
    <w:p>
      <w:pPr>
        <w:rPr>
          <w:vanish/>
        </w:rPr>
      </w:pPr>
    </w:p>
    <w:tbl>
      <w:tblPr>
        <w:tblStyle w:val="29"/>
        <w:tblW w:w="9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98"/>
        <w:gridCol w:w="24"/>
        <w:gridCol w:w="773"/>
        <w:gridCol w:w="886"/>
        <w:gridCol w:w="6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序号</w:t>
            </w:r>
          </w:p>
        </w:tc>
        <w:tc>
          <w:tcPr>
            <w:tcW w:w="1595" w:type="dxa"/>
            <w:gridSpan w:val="3"/>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评分项目</w:t>
            </w:r>
          </w:p>
        </w:tc>
        <w:tc>
          <w:tcPr>
            <w:tcW w:w="886" w:type="dxa"/>
            <w:vAlign w:val="center"/>
          </w:tcPr>
          <w:p>
            <w:pPr>
              <w:pStyle w:val="28"/>
              <w:spacing w:line="360" w:lineRule="exact"/>
              <w:ind w:firstLine="0" w:firstLineChars="0"/>
              <w:rPr>
                <w:rFonts w:ascii="宋体" w:hAnsi="宋体" w:cs="宋体"/>
                <w:sz w:val="21"/>
                <w:szCs w:val="21"/>
              </w:rPr>
            </w:pPr>
            <w:r>
              <w:rPr>
                <w:rFonts w:ascii="宋体" w:hAnsi="宋体" w:cs="宋体"/>
                <w:sz w:val="21"/>
                <w:szCs w:val="21"/>
              </w:rPr>
              <w:t>分值</w:t>
            </w:r>
          </w:p>
        </w:tc>
        <w:tc>
          <w:tcPr>
            <w:tcW w:w="6477" w:type="dxa"/>
            <w:vAlign w:val="center"/>
          </w:tcPr>
          <w:p>
            <w:pPr>
              <w:pStyle w:val="28"/>
              <w:spacing w:line="360" w:lineRule="exact"/>
              <w:ind w:firstLine="404"/>
              <w:jc w:val="center"/>
              <w:rPr>
                <w:rFonts w:ascii="宋体" w:hAnsi="宋体" w:cs="宋体"/>
                <w:sz w:val="21"/>
                <w:szCs w:val="21"/>
              </w:rPr>
            </w:pPr>
            <w:r>
              <w:rPr>
                <w:rFonts w:ascii="宋体" w:hAnsi="宋体" w:cs="宋体"/>
                <w:sz w:val="21"/>
                <w:szCs w:val="21"/>
              </w:rPr>
              <w:t>评分基本规则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7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1</w:t>
            </w:r>
          </w:p>
        </w:tc>
        <w:tc>
          <w:tcPr>
            <w:tcW w:w="1595" w:type="dxa"/>
            <w:gridSpan w:val="3"/>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政策分</w:t>
            </w:r>
          </w:p>
        </w:tc>
        <w:tc>
          <w:tcPr>
            <w:tcW w:w="8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1</w:t>
            </w:r>
          </w:p>
        </w:tc>
        <w:tc>
          <w:tcPr>
            <w:tcW w:w="6477" w:type="dxa"/>
            <w:vAlign w:val="center"/>
          </w:tcPr>
          <w:p>
            <w:pPr>
              <w:pStyle w:val="28"/>
              <w:spacing w:line="360" w:lineRule="exact"/>
              <w:ind w:firstLine="0" w:firstLineChars="0"/>
              <w:jc w:val="left"/>
              <w:rPr>
                <w:rFonts w:ascii="宋体" w:hAnsi="宋体" w:cs="宋体"/>
                <w:sz w:val="21"/>
                <w:szCs w:val="21"/>
              </w:rPr>
            </w:pPr>
            <w:r>
              <w:rPr>
                <w:rFonts w:ascii="宋体" w:hAnsi="宋体" w:cs="宋体"/>
                <w:sz w:val="21"/>
                <w:szCs w:val="21"/>
              </w:rPr>
              <w:t>提供市场监管总局关于发布参与实施政府采购环保产品、环境标志 产品认证机构名录的公告（2019 第 16 号）通过《参与实施政府采购节能产品认证机构名录》认证机构认证的环境标志产品认证证书 或者证书的查询网址及截图的，得 0.5 分，环保产品认证证书或者证书的查询网址及截图的，得 0.5 分。（如属于非单一产品采购项目的，以招标文件中确定的核心产品为准）本项最高得 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786" w:type="dxa"/>
            <w:vMerge w:val="restart"/>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2</w:t>
            </w:r>
          </w:p>
        </w:tc>
        <w:tc>
          <w:tcPr>
            <w:tcW w:w="822" w:type="dxa"/>
            <w:gridSpan w:val="2"/>
            <w:vMerge w:val="restart"/>
            <w:vAlign w:val="center"/>
          </w:tcPr>
          <w:p>
            <w:pPr>
              <w:pStyle w:val="57"/>
              <w:autoSpaceDE/>
              <w:autoSpaceDN/>
              <w:spacing w:before="65" w:line="360" w:lineRule="exact"/>
              <w:ind w:right="156"/>
              <w:jc w:val="center"/>
              <w:rPr>
                <w:rFonts w:hint="eastAsia" w:ascii="宋体" w:hAnsi="宋体" w:eastAsia="宋体" w:cs="宋体"/>
                <w:sz w:val="21"/>
                <w:szCs w:val="21"/>
                <w:lang w:val="en-US"/>
              </w:rPr>
            </w:pPr>
            <w:r>
              <w:rPr>
                <w:rFonts w:hint="eastAsia" w:ascii="宋体" w:hAnsi="宋体" w:eastAsia="宋体" w:cs="宋体"/>
                <w:sz w:val="21"/>
                <w:szCs w:val="21"/>
                <w:lang w:val="en-US"/>
              </w:rPr>
              <w:t>投标综合技术能力</w:t>
            </w:r>
          </w:p>
        </w:tc>
        <w:tc>
          <w:tcPr>
            <w:tcW w:w="773" w:type="dxa"/>
            <w:vAlign w:val="center"/>
          </w:tcPr>
          <w:p>
            <w:pPr>
              <w:pStyle w:val="57"/>
              <w:autoSpaceDE/>
              <w:autoSpaceDN/>
              <w:spacing w:line="360" w:lineRule="exact"/>
              <w:jc w:val="center"/>
              <w:rPr>
                <w:rFonts w:hint="eastAsia" w:ascii="宋体" w:hAnsi="宋体" w:eastAsia="宋体" w:cs="宋体"/>
                <w:sz w:val="21"/>
                <w:szCs w:val="21"/>
                <w:lang w:val="en-US"/>
              </w:rPr>
            </w:pPr>
            <w:r>
              <w:rPr>
                <w:rFonts w:hint="eastAsia" w:ascii="宋体" w:hAnsi="宋体" w:eastAsia="宋体" w:cs="宋体"/>
                <w:sz w:val="21"/>
                <w:szCs w:val="21"/>
                <w:lang w:val="en-US"/>
              </w:rPr>
              <w:t>案例及业绩</w:t>
            </w:r>
          </w:p>
        </w:tc>
        <w:tc>
          <w:tcPr>
            <w:tcW w:w="886" w:type="dxa"/>
            <w:vAlign w:val="center"/>
          </w:tcPr>
          <w:p>
            <w:pPr>
              <w:pStyle w:val="57"/>
              <w:autoSpaceDE/>
              <w:autoSpaceDN/>
              <w:spacing w:line="360" w:lineRule="exact"/>
              <w:jc w:val="center"/>
              <w:rPr>
                <w:rFonts w:hint="eastAsia" w:ascii="宋体" w:hAnsi="宋体" w:eastAsia="宋体" w:cs="宋体"/>
                <w:sz w:val="21"/>
                <w:szCs w:val="21"/>
                <w:lang w:val="en-US"/>
              </w:rPr>
            </w:pPr>
            <w:r>
              <w:rPr>
                <w:rFonts w:hint="eastAsia" w:ascii="宋体" w:hAnsi="宋体" w:eastAsia="宋体" w:cs="宋体"/>
                <w:sz w:val="21"/>
                <w:szCs w:val="21"/>
                <w:lang w:val="en-US"/>
              </w:rPr>
              <w:t>3</w:t>
            </w:r>
          </w:p>
        </w:tc>
        <w:tc>
          <w:tcPr>
            <w:tcW w:w="6477" w:type="dxa"/>
          </w:tcPr>
          <w:p>
            <w:pPr>
              <w:pStyle w:val="57"/>
              <w:autoSpaceDE/>
              <w:autoSpaceDN/>
              <w:spacing w:before="62" w:line="360" w:lineRule="exact"/>
              <w:ind w:left="107"/>
              <w:rPr>
                <w:rFonts w:hint="eastAsia" w:ascii="宋体" w:hAnsi="宋体" w:eastAsia="宋体" w:cs="宋体"/>
                <w:sz w:val="21"/>
                <w:szCs w:val="21"/>
              </w:rPr>
            </w:pPr>
            <w:r>
              <w:rPr>
                <w:rFonts w:hint="eastAsia" w:ascii="宋体" w:hAnsi="宋体" w:eastAsia="宋体" w:cs="宋体"/>
                <w:sz w:val="21"/>
                <w:szCs w:val="21"/>
              </w:rPr>
              <w:t>投标人在投标截止日前</w:t>
            </w:r>
            <w:r>
              <w:rPr>
                <w:rFonts w:hint="eastAsia" w:ascii="宋体" w:hAnsi="宋体" w:eastAsia="宋体" w:cs="宋体"/>
                <w:sz w:val="21"/>
                <w:szCs w:val="21"/>
                <w:lang w:val="en-US"/>
              </w:rPr>
              <w:t>3</w:t>
            </w:r>
            <w:r>
              <w:rPr>
                <w:rFonts w:hint="eastAsia" w:ascii="宋体" w:hAnsi="宋体" w:eastAsia="宋体" w:cs="宋体"/>
                <w:sz w:val="21"/>
                <w:szCs w:val="21"/>
              </w:rPr>
              <w:t>年内签订的（</w:t>
            </w:r>
            <w:r>
              <w:rPr>
                <w:rFonts w:ascii="宋体" w:hAnsi="宋体" w:eastAsia="宋体" w:cs="宋体"/>
                <w:sz w:val="21"/>
                <w:szCs w:val="21"/>
                <w:lang w:val="en-US"/>
              </w:rPr>
              <w:t>2022</w:t>
            </w:r>
            <w:r>
              <w:rPr>
                <w:rFonts w:hint="eastAsia" w:ascii="宋体" w:hAnsi="宋体" w:eastAsia="宋体" w:cs="宋体"/>
                <w:sz w:val="21"/>
                <w:szCs w:val="21"/>
                <w:lang w:val="en-US"/>
              </w:rPr>
              <w:t>年</w:t>
            </w:r>
            <w:r>
              <w:rPr>
                <w:rFonts w:ascii="宋体" w:hAnsi="宋体" w:eastAsia="宋体" w:cs="宋体"/>
                <w:sz w:val="21"/>
                <w:szCs w:val="21"/>
                <w:lang w:val="en-US"/>
              </w:rPr>
              <w:t>1</w:t>
            </w:r>
            <w:r>
              <w:rPr>
                <w:rFonts w:hint="eastAsia" w:ascii="宋体" w:hAnsi="宋体" w:eastAsia="宋体" w:cs="宋体"/>
                <w:sz w:val="21"/>
                <w:szCs w:val="21"/>
                <w:lang w:val="en-US"/>
              </w:rPr>
              <w:t>月</w:t>
            </w:r>
            <w:r>
              <w:rPr>
                <w:rFonts w:ascii="宋体" w:hAnsi="宋体" w:eastAsia="宋体" w:cs="宋体"/>
                <w:sz w:val="21"/>
                <w:szCs w:val="21"/>
                <w:lang w:val="en-US"/>
              </w:rPr>
              <w:t>1</w:t>
            </w:r>
            <w:r>
              <w:rPr>
                <w:rFonts w:hint="eastAsia" w:ascii="宋体" w:hAnsi="宋体" w:eastAsia="宋体" w:cs="宋体"/>
                <w:sz w:val="21"/>
                <w:szCs w:val="21"/>
                <w:lang w:val="en-US"/>
              </w:rPr>
              <w:t>日以来</w:t>
            </w:r>
            <w:r>
              <w:rPr>
                <w:rFonts w:hint="eastAsia" w:ascii="宋体" w:hAnsi="宋体" w:eastAsia="宋体" w:cs="宋体"/>
                <w:sz w:val="21"/>
                <w:szCs w:val="21"/>
              </w:rPr>
              <w:t>），同类项目成功案例合同电子扫描件并加盖公章，经评标委员会认定为有效业绩合同的，每份按 0.</w:t>
            </w: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分计算，最高得 3 分。</w:t>
            </w:r>
          </w:p>
          <w:p>
            <w:pPr>
              <w:pStyle w:val="57"/>
              <w:autoSpaceDE/>
              <w:autoSpaceDN/>
              <w:spacing w:before="34" w:line="360" w:lineRule="exact"/>
              <w:ind w:left="107"/>
              <w:rPr>
                <w:rFonts w:hint="eastAsia" w:ascii="宋体" w:hAnsi="宋体" w:eastAsia="宋体" w:cs="宋体"/>
                <w:sz w:val="21"/>
                <w:szCs w:val="21"/>
                <w:lang w:val="en-US"/>
              </w:rPr>
            </w:pPr>
            <w:r>
              <w:rPr>
                <w:rFonts w:hint="eastAsia" w:ascii="宋体" w:hAnsi="宋体" w:eastAsia="宋体" w:cs="宋体"/>
                <w:sz w:val="21"/>
                <w:szCs w:val="21"/>
              </w:rPr>
              <w:t>注：1.投标人提供的合同属于无效业绩，或未按要求提供合同电子扫描件，或提供的合同电子扫描件字迹模糊无法辨识的、金额不明确的，该笔业绩均不予计分。2.是否属于同类业绩合同和有效业绩以评标委员会集体判定为准。3.凭完整合同电子扫描件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8"/>
              <w:spacing w:line="360" w:lineRule="exact"/>
              <w:ind w:firstLine="0" w:firstLineChars="0"/>
              <w:jc w:val="center"/>
              <w:rPr>
                <w:rFonts w:ascii="宋体" w:hAnsi="宋体" w:cs="宋体"/>
                <w:sz w:val="21"/>
                <w:szCs w:val="21"/>
              </w:rPr>
            </w:pPr>
          </w:p>
        </w:tc>
        <w:tc>
          <w:tcPr>
            <w:tcW w:w="822" w:type="dxa"/>
            <w:gridSpan w:val="2"/>
            <w:vMerge w:val="continue"/>
            <w:vAlign w:val="center"/>
          </w:tcPr>
          <w:p>
            <w:pPr>
              <w:pStyle w:val="28"/>
              <w:spacing w:line="360" w:lineRule="exact"/>
              <w:ind w:firstLine="0" w:firstLineChars="0"/>
              <w:jc w:val="center"/>
              <w:rPr>
                <w:rFonts w:ascii="宋体" w:hAnsi="宋体" w:cs="宋体"/>
                <w:sz w:val="21"/>
                <w:szCs w:val="21"/>
              </w:rPr>
            </w:pPr>
          </w:p>
        </w:tc>
        <w:tc>
          <w:tcPr>
            <w:tcW w:w="773" w:type="dxa"/>
            <w:vAlign w:val="center"/>
          </w:tcPr>
          <w:p>
            <w:pPr>
              <w:pStyle w:val="28"/>
              <w:spacing w:line="360" w:lineRule="exact"/>
              <w:ind w:firstLine="0" w:firstLineChars="0"/>
              <w:jc w:val="center"/>
              <w:rPr>
                <w:rFonts w:ascii="宋体" w:hAnsi="宋体" w:cs="宋体"/>
                <w:sz w:val="21"/>
                <w:szCs w:val="21"/>
              </w:rPr>
            </w:pPr>
            <w:r>
              <w:rPr>
                <w:rFonts w:ascii="宋体" w:hAnsi="宋体" w:cs="宋体"/>
                <w:spacing w:val="-9"/>
                <w:sz w:val="21"/>
                <w:szCs w:val="21"/>
              </w:rPr>
              <w:t>权威认证</w:t>
            </w:r>
          </w:p>
        </w:tc>
        <w:tc>
          <w:tcPr>
            <w:tcW w:w="8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3</w:t>
            </w:r>
          </w:p>
        </w:tc>
        <w:tc>
          <w:tcPr>
            <w:tcW w:w="6477" w:type="dxa"/>
          </w:tcPr>
          <w:p>
            <w:pPr>
              <w:pStyle w:val="57"/>
              <w:autoSpaceDE/>
              <w:autoSpaceDN/>
              <w:spacing w:before="29"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1.投标人具有有效期内的学生公寓家具相关类别的①ISO9001质量管理体系认证证书、②ISO14001环境管理体系认证证书、③ISO45001职业健康安全管理体系认证证书；</w:t>
            </w:r>
          </w:p>
          <w:p>
            <w:pPr>
              <w:pStyle w:val="57"/>
              <w:autoSpaceDE/>
              <w:autoSpaceDN/>
              <w:spacing w:before="29"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2.投标人具有有效期内的学生公寓家具相关类别的产品安全认证证书；</w:t>
            </w:r>
          </w:p>
          <w:p>
            <w:pPr>
              <w:pStyle w:val="57"/>
              <w:autoSpaceDE/>
              <w:autoSpaceDN/>
              <w:spacing w:before="29"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3.投标人具有有效期内的学生公寓家具相关类别的家具防火阻燃产品认证；</w:t>
            </w:r>
          </w:p>
          <w:p>
            <w:pPr>
              <w:pStyle w:val="57"/>
              <w:autoSpaceDE/>
              <w:autoSpaceDN/>
              <w:spacing w:before="29"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4.投标人具有有效期内的学生公寓家具相关类别的低VOCs家具产品认证证书；</w:t>
            </w:r>
          </w:p>
          <w:p>
            <w:pPr>
              <w:pStyle w:val="57"/>
              <w:autoSpaceDE/>
              <w:autoSpaceDN/>
              <w:spacing w:before="29"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以上证书每张证书符合得0.5分，最高得3分，缺项或名称不符不得分。</w:t>
            </w:r>
          </w:p>
          <w:p>
            <w:pPr>
              <w:pStyle w:val="57"/>
              <w:autoSpaceDE/>
              <w:autoSpaceDN/>
              <w:spacing w:before="29"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注：提供有效期内认证证书证明材料及“全国认证认可信息公共服务平台对认证证书的信息查询截图。已失效或撤销或暂停的认证证书不得分。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8"/>
              <w:spacing w:line="360" w:lineRule="exact"/>
              <w:ind w:firstLine="0" w:firstLineChars="0"/>
              <w:jc w:val="center"/>
              <w:rPr>
                <w:rFonts w:ascii="宋体" w:hAnsi="宋体" w:cs="宋体"/>
                <w:sz w:val="21"/>
                <w:szCs w:val="21"/>
              </w:rPr>
            </w:pPr>
          </w:p>
        </w:tc>
        <w:tc>
          <w:tcPr>
            <w:tcW w:w="822" w:type="dxa"/>
            <w:gridSpan w:val="2"/>
            <w:vMerge w:val="continue"/>
            <w:vAlign w:val="center"/>
          </w:tcPr>
          <w:p>
            <w:pPr>
              <w:pStyle w:val="28"/>
              <w:spacing w:line="360" w:lineRule="exact"/>
              <w:ind w:firstLine="0" w:firstLineChars="0"/>
              <w:jc w:val="center"/>
              <w:rPr>
                <w:rFonts w:ascii="宋体" w:hAnsi="宋体" w:cs="宋体"/>
                <w:sz w:val="21"/>
                <w:szCs w:val="21"/>
              </w:rPr>
            </w:pPr>
          </w:p>
        </w:tc>
        <w:tc>
          <w:tcPr>
            <w:tcW w:w="773" w:type="dxa"/>
            <w:vAlign w:val="center"/>
          </w:tcPr>
          <w:p>
            <w:pPr>
              <w:pStyle w:val="57"/>
              <w:autoSpaceDE/>
              <w:autoSpaceDN/>
              <w:spacing w:before="62" w:line="360" w:lineRule="exact"/>
              <w:ind w:left="107"/>
              <w:jc w:val="center"/>
              <w:rPr>
                <w:rFonts w:hint="eastAsia" w:ascii="宋体" w:hAnsi="宋体" w:eastAsia="宋体" w:cs="宋体"/>
                <w:spacing w:val="-9"/>
                <w:sz w:val="21"/>
                <w:szCs w:val="21"/>
              </w:rPr>
            </w:pPr>
            <w:r>
              <w:rPr>
                <w:rFonts w:hint="eastAsia" w:ascii="宋体" w:hAnsi="宋体" w:eastAsia="宋体" w:cs="宋体"/>
                <w:spacing w:val="-9"/>
                <w:sz w:val="21"/>
                <w:szCs w:val="21"/>
              </w:rPr>
              <w:t>专业核心生产</w:t>
            </w:r>
          </w:p>
          <w:p>
            <w:pPr>
              <w:pStyle w:val="57"/>
              <w:autoSpaceDE/>
              <w:autoSpaceDN/>
              <w:spacing w:before="62" w:line="360" w:lineRule="exact"/>
              <w:ind w:left="107"/>
              <w:jc w:val="center"/>
              <w:rPr>
                <w:rFonts w:hint="eastAsia" w:ascii="宋体" w:hAnsi="宋体" w:eastAsia="宋体" w:cs="宋体"/>
                <w:sz w:val="21"/>
                <w:szCs w:val="21"/>
                <w:lang w:val="en-US"/>
              </w:rPr>
            </w:pPr>
            <w:r>
              <w:rPr>
                <w:rFonts w:hint="eastAsia" w:ascii="宋体" w:hAnsi="宋体" w:eastAsia="宋体" w:cs="宋体"/>
                <w:spacing w:val="-9"/>
                <w:sz w:val="21"/>
                <w:szCs w:val="21"/>
              </w:rPr>
              <w:t>设备</w:t>
            </w:r>
          </w:p>
        </w:tc>
        <w:tc>
          <w:tcPr>
            <w:tcW w:w="886" w:type="dxa"/>
            <w:vAlign w:val="center"/>
          </w:tcPr>
          <w:p>
            <w:pPr>
              <w:pStyle w:val="57"/>
              <w:autoSpaceDE/>
              <w:autoSpaceDN/>
              <w:spacing w:before="62" w:line="360" w:lineRule="exact"/>
              <w:ind w:left="107"/>
              <w:jc w:val="center"/>
              <w:rPr>
                <w:rFonts w:hint="eastAsia" w:ascii="宋体" w:hAnsi="宋体" w:eastAsia="宋体" w:cs="宋体"/>
                <w:sz w:val="21"/>
                <w:szCs w:val="21"/>
                <w:lang w:val="en-US"/>
              </w:rPr>
            </w:pPr>
            <w:r>
              <w:rPr>
                <w:rFonts w:hint="eastAsia" w:ascii="宋体" w:hAnsi="宋体" w:eastAsia="宋体" w:cs="宋体"/>
                <w:spacing w:val="-9"/>
                <w:sz w:val="21"/>
                <w:szCs w:val="21"/>
                <w:lang w:val="en-US"/>
              </w:rPr>
              <w:t>4</w:t>
            </w:r>
          </w:p>
        </w:tc>
        <w:tc>
          <w:tcPr>
            <w:tcW w:w="6477" w:type="dxa"/>
          </w:tcPr>
          <w:p>
            <w:pPr>
              <w:rPr>
                <w:rFonts w:hint="eastAsia" w:ascii="宋体" w:hAnsi="宋体" w:cs="宋体"/>
                <w:sz w:val="21"/>
                <w:szCs w:val="21"/>
              </w:rPr>
            </w:pPr>
            <w:r>
              <w:rPr>
                <w:rFonts w:hint="eastAsia" w:ascii="宋体" w:hAnsi="宋体" w:cs="宋体"/>
                <w:sz w:val="21"/>
                <w:szCs w:val="21"/>
              </w:rPr>
              <w:t>投标人提供以下与本项目相关的核心生产设备现场图片、购买发票扫描件，专家组成员根据设备完备性、先进性、数量进行综合评分（评分范围：4,3,2,1,0）</w:t>
            </w:r>
          </w:p>
          <w:p>
            <w:pPr>
              <w:rPr>
                <w:rFonts w:hint="eastAsia" w:ascii="宋体" w:hAnsi="宋体" w:cs="宋体"/>
                <w:sz w:val="21"/>
                <w:szCs w:val="21"/>
              </w:rPr>
            </w:pPr>
            <w:r>
              <w:rPr>
                <w:rFonts w:hint="eastAsia" w:ascii="宋体" w:hAnsi="宋体" w:cs="宋体"/>
                <w:sz w:val="21"/>
                <w:szCs w:val="21"/>
              </w:rPr>
              <w:t>1.人造板类：开料锯机、封边机、排钻床、冷压机、热压机、涂装设备、加工中心等；</w:t>
            </w:r>
          </w:p>
          <w:p>
            <w:pPr>
              <w:rPr>
                <w:rFonts w:hint="eastAsia" w:ascii="宋体" w:hAnsi="宋体" w:cs="宋体"/>
                <w:sz w:val="21"/>
                <w:szCs w:val="21"/>
              </w:rPr>
            </w:pPr>
            <w:r>
              <w:rPr>
                <w:rFonts w:hint="eastAsia" w:ascii="宋体" w:hAnsi="宋体" w:cs="宋体"/>
                <w:sz w:val="21"/>
                <w:szCs w:val="21"/>
              </w:rPr>
              <w:t>2.钢制类：切割设备、折弯机、焊接设备、涂装设备、冲床、钻床、加工中心等；</w:t>
            </w:r>
          </w:p>
          <w:p>
            <w:pPr>
              <w:pStyle w:val="57"/>
              <w:autoSpaceDE/>
              <w:autoSpaceDN/>
              <w:spacing w:before="70" w:line="360" w:lineRule="exact"/>
              <w:rPr>
                <w:rFonts w:hint="eastAsia" w:ascii="宋体" w:hAnsi="宋体" w:eastAsia="宋体" w:cs="宋体"/>
                <w:sz w:val="21"/>
                <w:szCs w:val="21"/>
                <w:lang w:val="en-US"/>
              </w:rPr>
            </w:pPr>
            <w:r>
              <w:rPr>
                <w:rFonts w:hint="eastAsia" w:ascii="宋体" w:hAnsi="宋体" w:eastAsia="宋体" w:cs="宋体"/>
                <w:sz w:val="21"/>
                <w:szCs w:val="21"/>
                <w:lang w:val="en-US"/>
              </w:rPr>
              <w:t>3.钢木类：切割设备、弯管机、焊接设备、涂装设备、开料锯机、封边机、排钻床等；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8"/>
              <w:spacing w:line="360" w:lineRule="exact"/>
              <w:ind w:firstLine="0" w:firstLineChars="0"/>
              <w:jc w:val="center"/>
              <w:rPr>
                <w:rFonts w:ascii="宋体" w:hAnsi="宋体" w:cs="宋体"/>
                <w:sz w:val="21"/>
                <w:szCs w:val="21"/>
              </w:rPr>
            </w:pPr>
          </w:p>
        </w:tc>
        <w:tc>
          <w:tcPr>
            <w:tcW w:w="822" w:type="dxa"/>
            <w:gridSpan w:val="2"/>
            <w:vMerge w:val="continue"/>
            <w:vAlign w:val="center"/>
          </w:tcPr>
          <w:p>
            <w:pPr>
              <w:pStyle w:val="28"/>
              <w:spacing w:line="360" w:lineRule="exact"/>
              <w:ind w:firstLine="0" w:firstLineChars="0"/>
              <w:jc w:val="center"/>
              <w:rPr>
                <w:rFonts w:ascii="宋体" w:hAnsi="宋体" w:cs="宋体"/>
                <w:sz w:val="21"/>
                <w:szCs w:val="21"/>
              </w:rPr>
            </w:pPr>
          </w:p>
        </w:tc>
        <w:tc>
          <w:tcPr>
            <w:tcW w:w="773" w:type="dxa"/>
            <w:vAlign w:val="center"/>
          </w:tcPr>
          <w:p>
            <w:pPr>
              <w:pStyle w:val="57"/>
              <w:autoSpaceDE/>
              <w:autoSpaceDN/>
              <w:spacing w:before="62" w:line="360" w:lineRule="exact"/>
              <w:ind w:left="107"/>
              <w:jc w:val="center"/>
              <w:rPr>
                <w:rFonts w:hint="eastAsia" w:ascii="宋体" w:hAnsi="宋体" w:eastAsia="宋体" w:cs="宋体"/>
                <w:sz w:val="21"/>
                <w:szCs w:val="21"/>
                <w:lang w:val="en-US"/>
              </w:rPr>
            </w:pPr>
            <w:r>
              <w:rPr>
                <w:rFonts w:hint="eastAsia" w:ascii="宋体" w:hAnsi="宋体" w:eastAsia="宋体" w:cs="宋体"/>
                <w:spacing w:val="-9"/>
                <w:sz w:val="21"/>
                <w:szCs w:val="21"/>
                <w:lang w:val="en-US"/>
              </w:rPr>
              <w:t>冷轧钢管处理工艺</w:t>
            </w:r>
          </w:p>
        </w:tc>
        <w:tc>
          <w:tcPr>
            <w:tcW w:w="886" w:type="dxa"/>
            <w:vAlign w:val="center"/>
          </w:tcPr>
          <w:p>
            <w:pPr>
              <w:pStyle w:val="57"/>
              <w:autoSpaceDE/>
              <w:autoSpaceDN/>
              <w:spacing w:before="62" w:line="360" w:lineRule="exact"/>
              <w:ind w:left="107"/>
              <w:jc w:val="center"/>
              <w:rPr>
                <w:rFonts w:hint="eastAsia" w:ascii="宋体" w:hAnsi="宋体" w:eastAsia="宋体" w:cs="宋体"/>
                <w:sz w:val="21"/>
                <w:szCs w:val="21"/>
                <w:lang w:val="en-US"/>
              </w:rPr>
            </w:pPr>
            <w:r>
              <w:rPr>
                <w:rFonts w:hint="eastAsia" w:ascii="宋体" w:hAnsi="宋体" w:eastAsia="宋体" w:cs="宋体"/>
                <w:spacing w:val="-9"/>
                <w:sz w:val="21"/>
                <w:szCs w:val="21"/>
                <w:lang w:val="en-US"/>
              </w:rPr>
              <w:t>3</w:t>
            </w:r>
          </w:p>
        </w:tc>
        <w:tc>
          <w:tcPr>
            <w:tcW w:w="6477" w:type="dxa"/>
          </w:tcPr>
          <w:p>
            <w:pPr>
              <w:pStyle w:val="57"/>
              <w:autoSpaceDE/>
              <w:autoSpaceDN/>
              <w:spacing w:before="58" w:line="360" w:lineRule="exact"/>
              <w:ind w:left="107"/>
              <w:rPr>
                <w:rFonts w:hint="eastAsia" w:ascii="宋体" w:hAnsi="宋体" w:eastAsia="宋体" w:cs="宋体"/>
                <w:spacing w:val="-9"/>
                <w:sz w:val="21"/>
                <w:szCs w:val="21"/>
                <w:lang w:val="en-US"/>
              </w:rPr>
            </w:pPr>
            <w:r>
              <w:rPr>
                <w:rFonts w:hint="eastAsia" w:ascii="宋体" w:hAnsi="宋体" w:eastAsia="宋体" w:cs="宋体"/>
                <w:spacing w:val="-9"/>
                <w:sz w:val="21"/>
                <w:szCs w:val="21"/>
                <w:lang w:val="en-US"/>
              </w:rPr>
              <w:t>冷轧钢管整体酸洗磷化处理得3分（需同时提供环保部门关于环境影响报告表的批复文件及近3年来（自2022年1月1日起）所使用的包括但不限于除油剂、表调剂、脱脂剂、锌系皮膜剂等原材料进货发票等证明材料）；冷轧钢管整体硅烷处理得2分（需同时提供环保部门关于环境影响报告表的批复文件）；铁件整体抛丸喷砂（需同时提供环保部门关于环境影响报告表的批复文件）等处理得1分。冷轧钢管非整体表面处理不得分；未提供或提供不完整的不得分。若投标人能提供相应证明材料（含技术对比说明及第三方检测报告）并满足对应工艺等级的材料要求，证明具备与上述处理功能相同或更优的处理工艺，经由评审小组判定，酌情给分，最高得3分。</w:t>
            </w:r>
          </w:p>
          <w:p>
            <w:pPr>
              <w:pStyle w:val="57"/>
              <w:autoSpaceDE/>
              <w:autoSpaceDN/>
              <w:spacing w:before="58" w:line="360" w:lineRule="exact"/>
              <w:ind w:left="107"/>
              <w:rPr>
                <w:rFonts w:hint="eastAsia" w:ascii="宋体" w:hAnsi="宋体" w:eastAsia="宋体" w:cs="宋体"/>
                <w:spacing w:val="-9"/>
                <w:sz w:val="21"/>
                <w:szCs w:val="21"/>
                <w:lang w:val="en-US"/>
              </w:rPr>
            </w:pPr>
            <w:r>
              <w:rPr>
                <w:rFonts w:hint="eastAsia" w:ascii="宋体" w:hAnsi="宋体" w:eastAsia="宋体" w:cs="宋体"/>
                <w:spacing w:val="-9"/>
                <w:sz w:val="21"/>
                <w:szCs w:val="21"/>
                <w:lang w:val="en-US"/>
              </w:rPr>
              <w:t>若投标人委托合作厂家实施，需提供：针对本项目有效期内的加工协议；与投标人申报工艺相匹配的全套证明材料；合作厂家有效期内的营业执照、排污许可证。</w:t>
            </w:r>
          </w:p>
          <w:p>
            <w:pPr>
              <w:pStyle w:val="57"/>
              <w:autoSpaceDE/>
              <w:autoSpaceDN/>
              <w:spacing w:before="58" w:line="360" w:lineRule="exact"/>
              <w:ind w:left="107"/>
              <w:rPr>
                <w:rFonts w:hint="eastAsia" w:ascii="宋体" w:hAnsi="宋体" w:eastAsia="宋体" w:cs="宋体"/>
                <w:sz w:val="21"/>
                <w:szCs w:val="21"/>
                <w:lang w:val="en-US"/>
              </w:rPr>
            </w:pPr>
            <w:r>
              <w:rPr>
                <w:rFonts w:hint="eastAsia" w:ascii="宋体" w:hAnsi="宋体" w:eastAsia="宋体" w:cs="宋体"/>
                <w:spacing w:val="-9"/>
                <w:sz w:val="21"/>
                <w:szCs w:val="21"/>
                <w:lang w:val="en-US"/>
              </w:rPr>
              <w:t>注：所有证明材料均需加盖投标人公章，证明材料不全不得分，合作厂家资质失效、材料关键信息缺失或超出有效期的，该项不得分。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3</w:t>
            </w:r>
          </w:p>
        </w:tc>
        <w:tc>
          <w:tcPr>
            <w:tcW w:w="798" w:type="dxa"/>
            <w:vMerge w:val="restart"/>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 xml:space="preserve">   </w:t>
            </w:r>
          </w:p>
          <w:p>
            <w:pPr>
              <w:pStyle w:val="28"/>
              <w:spacing w:line="360" w:lineRule="exact"/>
              <w:ind w:firstLine="0" w:firstLineChars="0"/>
              <w:jc w:val="center"/>
              <w:rPr>
                <w:rFonts w:ascii="宋体" w:hAnsi="宋体" w:cs="宋体"/>
                <w:sz w:val="21"/>
                <w:szCs w:val="21"/>
              </w:rPr>
            </w:pPr>
            <w:r>
              <w:rPr>
                <w:rFonts w:ascii="宋体" w:hAnsi="宋体" w:cs="宋体"/>
                <w:spacing w:val="-9"/>
                <w:sz w:val="21"/>
                <w:szCs w:val="21"/>
              </w:rPr>
              <w:t>技术规格部分</w:t>
            </w:r>
          </w:p>
          <w:p>
            <w:pPr>
              <w:pStyle w:val="28"/>
              <w:spacing w:line="360" w:lineRule="exact"/>
              <w:ind w:firstLine="0" w:firstLineChars="0"/>
              <w:jc w:val="center"/>
              <w:rPr>
                <w:rFonts w:ascii="宋体" w:hAnsi="宋体" w:cs="宋体"/>
                <w:sz w:val="21"/>
                <w:szCs w:val="21"/>
              </w:rPr>
            </w:pPr>
          </w:p>
        </w:tc>
        <w:tc>
          <w:tcPr>
            <w:tcW w:w="797" w:type="dxa"/>
            <w:gridSpan w:val="2"/>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技术专利</w:t>
            </w:r>
          </w:p>
        </w:tc>
        <w:tc>
          <w:tcPr>
            <w:tcW w:w="8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1</w:t>
            </w:r>
          </w:p>
        </w:tc>
        <w:tc>
          <w:tcPr>
            <w:tcW w:w="6477" w:type="dxa"/>
          </w:tcPr>
          <w:p>
            <w:pPr>
              <w:pStyle w:val="57"/>
              <w:autoSpaceDE/>
              <w:autoSpaceDN/>
              <w:spacing w:before="31"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与采购标的相关的外观、结构、工艺及技术专利（发明、实用新型、外观设计，专利须在保护期内）：凭相关电子扫描件每项发明、新型、外观专利得0.2分，最高得1分。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8"/>
              <w:spacing w:line="360" w:lineRule="exact"/>
              <w:ind w:firstLine="0" w:firstLineChars="0"/>
              <w:jc w:val="center"/>
              <w:rPr>
                <w:rFonts w:ascii="宋体" w:hAnsi="宋体" w:cs="宋体"/>
                <w:sz w:val="21"/>
                <w:szCs w:val="21"/>
              </w:rPr>
            </w:pPr>
          </w:p>
        </w:tc>
        <w:tc>
          <w:tcPr>
            <w:tcW w:w="798" w:type="dxa"/>
            <w:vMerge w:val="continue"/>
            <w:vAlign w:val="center"/>
          </w:tcPr>
          <w:p>
            <w:pPr>
              <w:pStyle w:val="28"/>
              <w:spacing w:line="360" w:lineRule="exact"/>
              <w:ind w:firstLine="0" w:firstLineChars="0"/>
              <w:jc w:val="center"/>
              <w:rPr>
                <w:rFonts w:ascii="宋体" w:hAnsi="宋体" w:cs="宋体"/>
                <w:sz w:val="21"/>
                <w:szCs w:val="21"/>
              </w:rPr>
            </w:pPr>
          </w:p>
        </w:tc>
        <w:tc>
          <w:tcPr>
            <w:tcW w:w="797" w:type="dxa"/>
            <w:gridSpan w:val="2"/>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投标货物性能、技术的优越性</w:t>
            </w:r>
          </w:p>
        </w:tc>
        <w:tc>
          <w:tcPr>
            <w:tcW w:w="886" w:type="dxa"/>
            <w:vAlign w:val="center"/>
          </w:tcPr>
          <w:p>
            <w:pPr>
              <w:pStyle w:val="28"/>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28.5</w:t>
            </w:r>
          </w:p>
        </w:tc>
        <w:tc>
          <w:tcPr>
            <w:tcW w:w="6477" w:type="dxa"/>
          </w:tcPr>
          <w:p>
            <w:pPr>
              <w:pStyle w:val="57"/>
              <w:autoSpaceDE/>
              <w:autoSpaceDN/>
              <w:spacing w:before="31"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1.完全满足招标文件要求的所有功能、技术指标，并且供应商所提供的检测报告及证明文件均满足招标文件要求的得</w:t>
            </w:r>
            <w:r>
              <w:rPr>
                <w:rFonts w:ascii="宋体" w:hAnsi="宋体" w:eastAsia="宋体" w:cs="宋体"/>
                <w:sz w:val="21"/>
                <w:szCs w:val="21"/>
                <w:lang w:val="en-US"/>
              </w:rPr>
              <w:t>20</w:t>
            </w:r>
            <w:r>
              <w:rPr>
                <w:rFonts w:hint="eastAsia" w:ascii="宋体" w:hAnsi="宋体" w:eastAsia="宋体" w:cs="宋体"/>
                <w:sz w:val="21"/>
                <w:szCs w:val="21"/>
                <w:lang w:val="en-US"/>
              </w:rPr>
              <w:t>分。</w:t>
            </w:r>
          </w:p>
          <w:p>
            <w:pPr>
              <w:pStyle w:val="57"/>
              <w:autoSpaceDE/>
              <w:autoSpaceDN/>
              <w:spacing w:before="31" w:line="360" w:lineRule="exact"/>
              <w:ind w:left="107"/>
              <w:rPr>
                <w:rFonts w:ascii="宋体" w:hAnsi="宋体" w:eastAsia="宋体" w:cs="宋体"/>
                <w:sz w:val="21"/>
                <w:szCs w:val="21"/>
                <w:lang w:val="en-US"/>
              </w:rPr>
            </w:pPr>
            <w:r>
              <w:rPr>
                <w:rFonts w:hint="eastAsia" w:ascii="宋体" w:hAnsi="宋体" w:eastAsia="宋体" w:cs="宋体"/>
                <w:sz w:val="21"/>
                <w:szCs w:val="21"/>
                <w:lang w:val="en-US"/>
              </w:rPr>
              <w:t>打“★”号的为重要指标，每有一项负偏离的扣2分。对一般的技术规格有负偏离或缺漏项的每项扣1分。</w:t>
            </w:r>
          </w:p>
          <w:p>
            <w:pPr>
              <w:pStyle w:val="57"/>
              <w:autoSpaceDE/>
              <w:autoSpaceDN/>
              <w:spacing w:before="31" w:line="360" w:lineRule="exact"/>
              <w:ind w:firstLine="210" w:firstLineChars="100"/>
              <w:rPr>
                <w:rFonts w:hint="eastAsia" w:ascii="宋体" w:hAnsi="宋体" w:eastAsia="宋体" w:cs="宋体"/>
                <w:sz w:val="21"/>
                <w:szCs w:val="21"/>
                <w:lang w:val="en-US"/>
              </w:rPr>
            </w:pPr>
            <w:r>
              <w:rPr>
                <w:rFonts w:hint="eastAsia" w:ascii="宋体" w:hAnsi="宋体" w:eastAsia="宋体" w:cs="宋体"/>
                <w:sz w:val="21"/>
                <w:szCs w:val="21"/>
                <w:lang w:val="en-US"/>
              </w:rPr>
              <w:t>2.打“▲”“★”号的每一项正偏离的每项加0.5分；一般的技术规格有正偏离的每项加0.2分。最高得</w:t>
            </w:r>
            <w:r>
              <w:rPr>
                <w:rFonts w:hint="eastAsia" w:ascii="宋体" w:hAnsi="宋体" w:eastAsia="宋体" w:cs="宋体"/>
                <w:sz w:val="21"/>
                <w:szCs w:val="21"/>
                <w:lang w:val="en-US" w:eastAsia="zh-CN"/>
              </w:rPr>
              <w:t>8.5</w:t>
            </w:r>
            <w:r>
              <w:rPr>
                <w:rFonts w:hint="eastAsia" w:ascii="宋体" w:hAnsi="宋体" w:eastAsia="宋体" w:cs="宋体"/>
                <w:sz w:val="21"/>
                <w:szCs w:val="21"/>
                <w:lang w:val="en-US"/>
              </w:rPr>
              <w:t>分。</w:t>
            </w:r>
          </w:p>
          <w:p>
            <w:pPr>
              <w:pStyle w:val="57"/>
              <w:autoSpaceDE/>
              <w:autoSpaceDN/>
              <w:spacing w:before="31"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3.未标“</w:t>
            </w:r>
            <w:r>
              <w:rPr>
                <w:rFonts w:hint="eastAsia" w:ascii="宋体" w:hAnsi="宋体" w:eastAsia="宋体" w:cs="宋体"/>
                <w:b/>
                <w:bCs/>
                <w:sz w:val="21"/>
                <w:szCs w:val="21"/>
              </w:rPr>
              <w:t>▲</w:t>
            </w:r>
            <w:r>
              <w:rPr>
                <w:rFonts w:hint="eastAsia" w:ascii="宋体" w:hAnsi="宋体" w:eastAsia="宋体" w:cs="宋体"/>
                <w:sz w:val="21"/>
                <w:szCs w:val="21"/>
                <w:lang w:val="en-US"/>
              </w:rPr>
              <w:t>”有负偏离或缺漏项达9个及以上的，本项“投标货物性能、技术的优越性”按0分处理。</w:t>
            </w:r>
          </w:p>
          <w:p>
            <w:pPr>
              <w:pStyle w:val="57"/>
              <w:autoSpaceDE/>
              <w:autoSpaceDN/>
              <w:spacing w:before="31" w:line="360" w:lineRule="exact"/>
              <w:ind w:left="107"/>
              <w:rPr>
                <w:rFonts w:hint="eastAsia" w:ascii="宋体" w:hAnsi="宋体" w:eastAsia="宋体" w:cs="宋体"/>
                <w:sz w:val="21"/>
                <w:szCs w:val="21"/>
                <w:lang w:val="en-US"/>
              </w:rPr>
            </w:pPr>
            <w:r>
              <w:rPr>
                <w:rFonts w:hint="eastAsia" w:ascii="宋体" w:hAnsi="宋体" w:eastAsia="宋体" w:cs="宋体"/>
                <w:sz w:val="21"/>
                <w:szCs w:val="21"/>
                <w:lang w:val="en-US"/>
              </w:rPr>
              <w:t>注：1.是否为正偏离，由</w:t>
            </w:r>
            <w:r>
              <w:rPr>
                <w:rFonts w:hint="eastAsia" w:ascii="宋体" w:hAnsi="宋体" w:eastAsia="宋体" w:cs="宋体"/>
                <w:spacing w:val="-4"/>
                <w:kern w:val="2"/>
                <w:sz w:val="21"/>
                <w:szCs w:val="21"/>
                <w:lang w:val="en-US" w:bidi="ar-SA"/>
              </w:rPr>
              <w:t>评审小组判定。</w:t>
            </w:r>
          </w:p>
          <w:p>
            <w:pPr>
              <w:pStyle w:val="57"/>
              <w:autoSpaceDE/>
              <w:autoSpaceDN/>
              <w:spacing w:before="31" w:line="360" w:lineRule="exact"/>
              <w:ind w:left="107" w:firstLine="420" w:firstLineChars="200"/>
              <w:rPr>
                <w:rFonts w:hint="eastAsia" w:ascii="宋体" w:hAnsi="宋体" w:eastAsia="宋体" w:cs="宋体"/>
                <w:sz w:val="21"/>
                <w:szCs w:val="21"/>
                <w:lang w:val="en-US"/>
              </w:rPr>
            </w:pPr>
            <w:r>
              <w:rPr>
                <w:rFonts w:hint="eastAsia" w:ascii="宋体" w:hAnsi="宋体" w:eastAsia="宋体" w:cs="宋体"/>
                <w:sz w:val="21"/>
                <w:szCs w:val="21"/>
                <w:lang w:val="en-US"/>
              </w:rPr>
              <w:t>2.检测报告需提供证书原件彩色扫描件及全国认证认可信息公共服务平台（网址：cx.cnca.cn）查询的，且证书处于有效期内的截图（查询截图至少需包含证书编号、证书状态、发证机构、网址信息）。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4</w:t>
            </w:r>
          </w:p>
        </w:tc>
        <w:tc>
          <w:tcPr>
            <w:tcW w:w="1595" w:type="dxa"/>
            <w:gridSpan w:val="3"/>
            <w:vMerge w:val="restart"/>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实施方案及售后服务</w:t>
            </w:r>
          </w:p>
          <w:p>
            <w:pPr>
              <w:pStyle w:val="28"/>
              <w:spacing w:line="360" w:lineRule="exact"/>
              <w:ind w:firstLine="0" w:firstLineChars="0"/>
              <w:jc w:val="center"/>
              <w:rPr>
                <w:rFonts w:ascii="宋体" w:hAnsi="宋体" w:cs="宋体"/>
                <w:sz w:val="21"/>
                <w:szCs w:val="21"/>
              </w:rPr>
            </w:pPr>
          </w:p>
        </w:tc>
        <w:tc>
          <w:tcPr>
            <w:tcW w:w="8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2</w:t>
            </w:r>
          </w:p>
        </w:tc>
        <w:tc>
          <w:tcPr>
            <w:tcW w:w="6477" w:type="dxa"/>
          </w:tcPr>
          <w:p>
            <w:pPr>
              <w:pStyle w:val="57"/>
              <w:autoSpaceDE/>
              <w:autoSpaceDN/>
              <w:spacing w:before="63" w:line="360" w:lineRule="exact"/>
              <w:ind w:left="107" w:right="98"/>
              <w:jc w:val="both"/>
              <w:rPr>
                <w:rFonts w:hint="eastAsia" w:ascii="宋体" w:hAnsi="宋体" w:eastAsia="宋体" w:cs="宋体"/>
                <w:sz w:val="21"/>
                <w:szCs w:val="21"/>
                <w:lang w:val="en-US"/>
              </w:rPr>
            </w:pPr>
            <w:r>
              <w:rPr>
                <w:rFonts w:hint="eastAsia" w:ascii="宋体" w:hAnsi="宋体" w:eastAsia="宋体" w:cs="宋体"/>
                <w:spacing w:val="-4"/>
                <w:kern w:val="2"/>
                <w:sz w:val="21"/>
                <w:szCs w:val="21"/>
                <w:lang w:val="en-US" w:bidi="ar-SA"/>
              </w:rPr>
              <w:t>生产实施方案，要具备生产能力，在规定的时间内有计划的完成项目需求产品的生产装配 。根据供应商提供的方案能否满足采购需求，由评审小组判定评分，最高得 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8"/>
              <w:spacing w:line="360" w:lineRule="exact"/>
              <w:ind w:firstLine="0" w:firstLineChars="0"/>
              <w:jc w:val="center"/>
              <w:rPr>
                <w:rFonts w:ascii="宋体" w:hAnsi="宋体" w:cs="宋体"/>
                <w:sz w:val="21"/>
                <w:szCs w:val="21"/>
              </w:rPr>
            </w:pPr>
          </w:p>
        </w:tc>
        <w:tc>
          <w:tcPr>
            <w:tcW w:w="1595" w:type="dxa"/>
            <w:gridSpan w:val="3"/>
            <w:vMerge w:val="continue"/>
            <w:vAlign w:val="center"/>
          </w:tcPr>
          <w:p>
            <w:pPr>
              <w:pStyle w:val="28"/>
              <w:spacing w:line="360" w:lineRule="exact"/>
              <w:ind w:firstLine="0" w:firstLineChars="0"/>
              <w:jc w:val="center"/>
              <w:rPr>
                <w:rFonts w:ascii="宋体" w:hAnsi="宋体" w:cs="宋体"/>
                <w:sz w:val="21"/>
                <w:szCs w:val="21"/>
              </w:rPr>
            </w:pPr>
          </w:p>
        </w:tc>
        <w:tc>
          <w:tcPr>
            <w:tcW w:w="8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2</w:t>
            </w:r>
          </w:p>
        </w:tc>
        <w:tc>
          <w:tcPr>
            <w:tcW w:w="6477" w:type="dxa"/>
          </w:tcPr>
          <w:p>
            <w:pPr>
              <w:pStyle w:val="57"/>
              <w:autoSpaceDE/>
              <w:autoSpaceDN/>
              <w:spacing w:before="63" w:line="360" w:lineRule="exact"/>
              <w:ind w:left="107" w:right="98"/>
              <w:jc w:val="both"/>
              <w:rPr>
                <w:rFonts w:hint="eastAsia" w:ascii="宋体" w:hAnsi="宋体" w:eastAsia="宋体" w:cs="宋体"/>
                <w:sz w:val="21"/>
                <w:szCs w:val="21"/>
                <w:lang w:val="en-US"/>
              </w:rPr>
            </w:pPr>
            <w:r>
              <w:rPr>
                <w:rFonts w:hint="eastAsia" w:ascii="宋体" w:hAnsi="宋体" w:eastAsia="宋体" w:cs="宋体"/>
                <w:spacing w:val="-4"/>
                <w:kern w:val="2"/>
                <w:sz w:val="21"/>
                <w:szCs w:val="21"/>
                <w:lang w:val="en-US" w:bidi="ar-SA"/>
              </w:rPr>
              <w:t>品质管理管控过程，有独立品管部门和专门品管人员，确保产品生产过程中的质量控制完善。由评审小组对响应方案评审后评分，最高得 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8"/>
              <w:spacing w:line="360" w:lineRule="exact"/>
              <w:ind w:firstLine="0" w:firstLineChars="0"/>
              <w:jc w:val="center"/>
              <w:rPr>
                <w:rFonts w:ascii="宋体" w:hAnsi="宋体" w:cs="宋体"/>
                <w:sz w:val="21"/>
                <w:szCs w:val="21"/>
              </w:rPr>
            </w:pPr>
          </w:p>
        </w:tc>
        <w:tc>
          <w:tcPr>
            <w:tcW w:w="1595" w:type="dxa"/>
            <w:gridSpan w:val="3"/>
            <w:vMerge w:val="continue"/>
            <w:vAlign w:val="center"/>
          </w:tcPr>
          <w:p>
            <w:pPr>
              <w:pStyle w:val="28"/>
              <w:spacing w:line="360" w:lineRule="exact"/>
              <w:ind w:firstLine="0" w:firstLineChars="0"/>
              <w:jc w:val="center"/>
              <w:rPr>
                <w:rFonts w:ascii="宋体" w:hAnsi="宋体" w:cs="宋体"/>
                <w:sz w:val="21"/>
                <w:szCs w:val="21"/>
              </w:rPr>
            </w:pPr>
          </w:p>
        </w:tc>
        <w:tc>
          <w:tcPr>
            <w:tcW w:w="8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2</w:t>
            </w:r>
          </w:p>
        </w:tc>
        <w:tc>
          <w:tcPr>
            <w:tcW w:w="6477" w:type="dxa"/>
          </w:tcPr>
          <w:p>
            <w:pPr>
              <w:pStyle w:val="57"/>
              <w:autoSpaceDE/>
              <w:autoSpaceDN/>
              <w:spacing w:before="63" w:line="360" w:lineRule="exact"/>
              <w:ind w:left="107" w:right="98"/>
              <w:jc w:val="both"/>
              <w:rPr>
                <w:rFonts w:hint="eastAsia" w:ascii="宋体" w:hAnsi="宋体" w:eastAsia="宋体" w:cs="宋体"/>
                <w:spacing w:val="-4"/>
                <w:kern w:val="2"/>
                <w:sz w:val="21"/>
                <w:szCs w:val="21"/>
                <w:lang w:val="en-US" w:bidi="ar-SA"/>
              </w:rPr>
            </w:pPr>
            <w:r>
              <w:rPr>
                <w:rFonts w:hint="eastAsia" w:ascii="宋体" w:hAnsi="宋体" w:eastAsia="宋体" w:cs="宋体"/>
                <w:spacing w:val="-4"/>
                <w:kern w:val="2"/>
                <w:sz w:val="21"/>
                <w:szCs w:val="21"/>
                <w:lang w:val="en-US" w:bidi="ar-SA"/>
              </w:rPr>
              <w:t>安装服务实施方案，安装方案的制定，根据货物交付时间节点，落实送货安装时间和人员安排，确保按期交付使用。根据供应商提供 的方案能否满足采购需求，由评审小组判定评分，最高得 1分</w:t>
            </w:r>
          </w:p>
          <w:p>
            <w:pPr>
              <w:pStyle w:val="57"/>
              <w:autoSpaceDE/>
              <w:autoSpaceDN/>
              <w:spacing w:before="63" w:line="360" w:lineRule="exact"/>
              <w:ind w:left="107" w:right="98"/>
              <w:jc w:val="both"/>
              <w:rPr>
                <w:rFonts w:hint="eastAsia" w:ascii="宋体" w:hAnsi="宋体" w:eastAsia="宋体" w:cs="宋体"/>
                <w:spacing w:val="-4"/>
                <w:kern w:val="2"/>
                <w:sz w:val="21"/>
                <w:szCs w:val="21"/>
                <w:lang w:val="en-US" w:bidi="ar-SA"/>
              </w:rPr>
            </w:pPr>
            <w:r>
              <w:rPr>
                <w:rFonts w:hint="eastAsia" w:ascii="宋体" w:hAnsi="宋体" w:eastAsia="宋体" w:cs="宋体"/>
                <w:spacing w:val="-4"/>
                <w:kern w:val="2"/>
                <w:sz w:val="21"/>
                <w:szCs w:val="21"/>
                <w:lang w:val="en-US" w:bidi="ar-SA"/>
              </w:rPr>
              <w:t>提供详细完整的“三包”措施及售后服务措施和方案（包括服务措施、产品质量保证、回访、技术培训、备品备件等）。根据供应商提供的方案能否满足采购需求，由评审小组判定评分，最高得 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8"/>
              <w:spacing w:line="360" w:lineRule="exact"/>
              <w:ind w:firstLine="0" w:firstLineChars="0"/>
              <w:jc w:val="center"/>
              <w:rPr>
                <w:rFonts w:ascii="宋体" w:hAnsi="宋体" w:cs="宋体"/>
                <w:sz w:val="21"/>
                <w:szCs w:val="21"/>
              </w:rPr>
            </w:pPr>
          </w:p>
        </w:tc>
        <w:tc>
          <w:tcPr>
            <w:tcW w:w="1595" w:type="dxa"/>
            <w:gridSpan w:val="3"/>
            <w:vMerge w:val="continue"/>
            <w:vAlign w:val="center"/>
          </w:tcPr>
          <w:p>
            <w:pPr>
              <w:pStyle w:val="28"/>
              <w:spacing w:line="360" w:lineRule="exact"/>
              <w:ind w:firstLine="0" w:firstLineChars="0"/>
              <w:jc w:val="center"/>
              <w:rPr>
                <w:rFonts w:ascii="宋体" w:hAnsi="宋体" w:cs="宋体"/>
                <w:sz w:val="21"/>
                <w:szCs w:val="21"/>
              </w:rPr>
            </w:pPr>
          </w:p>
        </w:tc>
        <w:tc>
          <w:tcPr>
            <w:tcW w:w="886" w:type="dxa"/>
            <w:vAlign w:val="center"/>
          </w:tcPr>
          <w:p>
            <w:pPr>
              <w:pStyle w:val="28"/>
              <w:spacing w:line="36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3.5</w:t>
            </w:r>
          </w:p>
        </w:tc>
        <w:tc>
          <w:tcPr>
            <w:tcW w:w="6477" w:type="dxa"/>
          </w:tcPr>
          <w:p>
            <w:pPr>
              <w:pStyle w:val="57"/>
              <w:autoSpaceDE/>
              <w:autoSpaceDN/>
              <w:spacing w:before="63" w:line="360" w:lineRule="exact"/>
              <w:ind w:left="107" w:right="98"/>
              <w:jc w:val="both"/>
              <w:rPr>
                <w:rFonts w:hint="eastAsia" w:ascii="宋体" w:hAnsi="宋体" w:eastAsia="宋体" w:cs="宋体"/>
                <w:spacing w:val="-4"/>
                <w:kern w:val="2"/>
                <w:sz w:val="21"/>
                <w:szCs w:val="21"/>
                <w:lang w:val="en-US" w:bidi="ar-SA"/>
              </w:rPr>
            </w:pPr>
            <w:r>
              <w:rPr>
                <w:rFonts w:hint="eastAsia" w:ascii="宋体" w:hAnsi="宋体" w:eastAsia="宋体" w:cs="宋体"/>
                <w:spacing w:val="-4"/>
                <w:kern w:val="2"/>
                <w:sz w:val="21"/>
                <w:szCs w:val="21"/>
                <w:lang w:val="en-US" w:bidi="ar-SA"/>
              </w:rPr>
              <w:t xml:space="preserve">1.提供产品 6年质量保证期（6 年内免费维修，不能维修免费更换），超过 6年的每一年加 0.5 分，最高得 </w:t>
            </w:r>
            <w:r>
              <w:rPr>
                <w:rFonts w:hint="eastAsia" w:ascii="宋体" w:hAnsi="宋体" w:eastAsia="宋体" w:cs="宋体"/>
                <w:spacing w:val="-4"/>
                <w:kern w:val="2"/>
                <w:sz w:val="21"/>
                <w:szCs w:val="21"/>
                <w:lang w:val="en-US" w:eastAsia="zh-CN" w:bidi="ar-SA"/>
              </w:rPr>
              <w:t>2</w:t>
            </w:r>
            <w:r>
              <w:rPr>
                <w:rFonts w:hint="eastAsia" w:ascii="宋体" w:hAnsi="宋体" w:eastAsia="宋体" w:cs="宋体"/>
                <w:spacing w:val="-4"/>
                <w:kern w:val="2"/>
                <w:sz w:val="21"/>
                <w:szCs w:val="21"/>
                <w:lang w:val="en-US" w:bidi="ar-SA"/>
              </w:rPr>
              <w:t>分；</w:t>
            </w:r>
          </w:p>
          <w:p>
            <w:pPr>
              <w:pStyle w:val="57"/>
              <w:autoSpaceDE/>
              <w:autoSpaceDN/>
              <w:spacing w:before="63" w:line="360" w:lineRule="exact"/>
              <w:ind w:left="107" w:right="98"/>
              <w:jc w:val="both"/>
              <w:rPr>
                <w:rFonts w:hint="eastAsia" w:ascii="宋体" w:hAnsi="宋体" w:eastAsia="宋体" w:cs="宋体"/>
                <w:sz w:val="21"/>
                <w:szCs w:val="21"/>
                <w:lang w:val="en-US"/>
              </w:rPr>
            </w:pPr>
            <w:r>
              <w:rPr>
                <w:rFonts w:hint="eastAsia" w:ascii="宋体" w:hAnsi="宋体" w:eastAsia="宋体" w:cs="宋体"/>
                <w:spacing w:val="-4"/>
                <w:kern w:val="2"/>
                <w:sz w:val="21"/>
                <w:szCs w:val="21"/>
                <w:lang w:val="en-US" w:bidi="ar-SA"/>
              </w:rPr>
              <w:t>2.根据投标人公寓组合床、衣柜、储物柜产品投保且在保期内的“产品责任险”、“产品质量险”、“公众责任险”三个险种的每个险种责任限额不低于 500万的，且承诺中标后在质保期内每个险种持续投保，每提供一个险种的得 0.5分，共1.5分。（须提供保单的复印件， 原件需要时备查，保单保额等不符合要求的不予得分。）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8"/>
              <w:spacing w:line="360" w:lineRule="exact"/>
              <w:ind w:firstLine="0" w:firstLineChars="0"/>
              <w:jc w:val="center"/>
              <w:rPr>
                <w:rFonts w:ascii="宋体" w:hAnsi="宋体" w:cs="宋体"/>
                <w:sz w:val="21"/>
                <w:szCs w:val="21"/>
              </w:rPr>
            </w:pPr>
          </w:p>
        </w:tc>
        <w:tc>
          <w:tcPr>
            <w:tcW w:w="1595" w:type="dxa"/>
            <w:gridSpan w:val="3"/>
            <w:vMerge w:val="continue"/>
            <w:vAlign w:val="center"/>
          </w:tcPr>
          <w:p>
            <w:pPr>
              <w:pStyle w:val="28"/>
              <w:spacing w:line="360" w:lineRule="exact"/>
              <w:ind w:firstLine="0" w:firstLineChars="0"/>
              <w:jc w:val="center"/>
              <w:rPr>
                <w:rFonts w:ascii="宋体" w:hAnsi="宋体" w:cs="宋体"/>
                <w:sz w:val="21"/>
                <w:szCs w:val="21"/>
              </w:rPr>
            </w:pPr>
          </w:p>
        </w:tc>
        <w:tc>
          <w:tcPr>
            <w:tcW w:w="886" w:type="dxa"/>
            <w:vAlign w:val="center"/>
          </w:tcPr>
          <w:p>
            <w:pPr>
              <w:pStyle w:val="28"/>
              <w:spacing w:line="360" w:lineRule="exact"/>
              <w:ind w:firstLine="0" w:firstLineChars="0"/>
              <w:jc w:val="center"/>
              <w:rPr>
                <w:rFonts w:ascii="宋体" w:hAnsi="宋体" w:cs="宋体"/>
                <w:sz w:val="21"/>
                <w:szCs w:val="21"/>
              </w:rPr>
            </w:pPr>
            <w:r>
              <w:rPr>
                <w:rFonts w:hint="default" w:ascii="宋体" w:hAnsi="宋体" w:cs="宋体"/>
                <w:sz w:val="21"/>
                <w:szCs w:val="21"/>
              </w:rPr>
              <w:t>2</w:t>
            </w:r>
          </w:p>
        </w:tc>
        <w:tc>
          <w:tcPr>
            <w:tcW w:w="6477" w:type="dxa"/>
            <w:vAlign w:val="center"/>
          </w:tcPr>
          <w:p>
            <w:pPr>
              <w:widowControl/>
              <w:rPr>
                <w:rFonts w:hint="eastAsia" w:ascii="宋体" w:hAnsi="宋体" w:cs="宋体"/>
                <w:sz w:val="21"/>
                <w:szCs w:val="21"/>
              </w:rPr>
            </w:pPr>
            <w:r>
              <w:rPr>
                <w:rFonts w:hint="eastAsia" w:ascii="宋体" w:hAnsi="宋体" w:cs="宋体"/>
                <w:kern w:val="0"/>
                <w:sz w:val="21"/>
                <w:szCs w:val="21"/>
                <w:lang w:val="zh-CN" w:bidi="zh-CN"/>
              </w:rPr>
              <w:t>根据本项目的实际情况提出惠及学生的优惠措施（如床加长等个性化服务或其他有助于提升学生公寓学习生活条件的），由评审小组判定给分，每项得1分，最高得2分。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5</w:t>
            </w:r>
          </w:p>
        </w:tc>
        <w:tc>
          <w:tcPr>
            <w:tcW w:w="1595" w:type="dxa"/>
            <w:gridSpan w:val="3"/>
          </w:tcPr>
          <w:p>
            <w:pPr>
              <w:pStyle w:val="57"/>
              <w:autoSpaceDE/>
              <w:autoSpaceDN/>
              <w:spacing w:line="360" w:lineRule="exact"/>
              <w:rPr>
                <w:rFonts w:hint="eastAsia" w:ascii="宋体" w:hAnsi="宋体" w:eastAsia="宋体" w:cs="宋体"/>
                <w:sz w:val="21"/>
                <w:szCs w:val="21"/>
              </w:rPr>
            </w:pPr>
          </w:p>
          <w:p>
            <w:pPr>
              <w:pStyle w:val="57"/>
              <w:autoSpaceDE/>
              <w:autoSpaceDN/>
              <w:spacing w:line="360" w:lineRule="exact"/>
              <w:rPr>
                <w:rFonts w:hint="eastAsia" w:ascii="宋体" w:hAnsi="宋体" w:eastAsia="宋体" w:cs="宋体"/>
                <w:sz w:val="21"/>
                <w:szCs w:val="21"/>
              </w:rPr>
            </w:pPr>
          </w:p>
          <w:p>
            <w:pPr>
              <w:pStyle w:val="57"/>
              <w:autoSpaceDE/>
              <w:autoSpaceDN/>
              <w:spacing w:line="360" w:lineRule="exact"/>
              <w:rPr>
                <w:rFonts w:hint="eastAsia" w:ascii="宋体" w:hAnsi="宋体" w:eastAsia="宋体" w:cs="宋体"/>
                <w:sz w:val="21"/>
                <w:szCs w:val="21"/>
              </w:rPr>
            </w:pPr>
          </w:p>
          <w:p>
            <w:pPr>
              <w:pStyle w:val="57"/>
              <w:autoSpaceDE/>
              <w:autoSpaceDN/>
              <w:spacing w:before="148" w:line="360" w:lineRule="exact"/>
              <w:ind w:left="314"/>
              <w:rPr>
                <w:rFonts w:hint="eastAsia" w:ascii="宋体" w:hAnsi="宋体" w:eastAsia="宋体" w:cs="宋体"/>
                <w:sz w:val="21"/>
                <w:szCs w:val="21"/>
                <w:lang w:val="en-US"/>
              </w:rPr>
            </w:pPr>
            <w:r>
              <w:rPr>
                <w:rFonts w:hint="eastAsia" w:ascii="宋体" w:hAnsi="宋体" w:eastAsia="宋体" w:cs="宋体"/>
                <w:sz w:val="21"/>
                <w:szCs w:val="21"/>
              </w:rPr>
              <w:t>样品评价</w:t>
            </w:r>
          </w:p>
          <w:p>
            <w:pPr>
              <w:pStyle w:val="57"/>
              <w:autoSpaceDE/>
              <w:autoSpaceDN/>
              <w:spacing w:line="360" w:lineRule="exact"/>
              <w:rPr>
                <w:rFonts w:hint="eastAsia" w:ascii="宋体" w:hAnsi="宋体" w:eastAsia="宋体" w:cs="宋体"/>
                <w:spacing w:val="-9"/>
                <w:sz w:val="21"/>
                <w:szCs w:val="21"/>
                <w:lang w:val="en-US"/>
              </w:rPr>
            </w:pPr>
          </w:p>
          <w:p>
            <w:pPr>
              <w:pStyle w:val="57"/>
              <w:autoSpaceDE/>
              <w:autoSpaceDN/>
              <w:spacing w:line="360" w:lineRule="exact"/>
              <w:rPr>
                <w:rFonts w:hint="eastAsia" w:ascii="宋体" w:hAnsi="宋体" w:eastAsia="宋体" w:cs="宋体"/>
                <w:spacing w:val="-9"/>
                <w:sz w:val="21"/>
                <w:szCs w:val="21"/>
                <w:lang w:val="en-US"/>
              </w:rPr>
            </w:pPr>
          </w:p>
          <w:p>
            <w:pPr>
              <w:pStyle w:val="57"/>
              <w:autoSpaceDE/>
              <w:autoSpaceDN/>
              <w:spacing w:line="360" w:lineRule="exact"/>
              <w:rPr>
                <w:rFonts w:hint="eastAsia" w:ascii="宋体" w:hAnsi="宋体" w:eastAsia="宋体" w:cs="宋体"/>
                <w:spacing w:val="-9"/>
                <w:sz w:val="21"/>
                <w:szCs w:val="21"/>
                <w:lang w:val="en-US"/>
              </w:rPr>
            </w:pPr>
          </w:p>
          <w:p>
            <w:pPr>
              <w:pStyle w:val="57"/>
              <w:autoSpaceDE/>
              <w:autoSpaceDN/>
              <w:spacing w:line="360" w:lineRule="exact"/>
              <w:rPr>
                <w:rFonts w:hint="eastAsia" w:ascii="宋体" w:hAnsi="宋体" w:eastAsia="宋体" w:cs="宋体"/>
                <w:spacing w:val="-9"/>
                <w:sz w:val="21"/>
                <w:szCs w:val="21"/>
                <w:lang w:val="en-US"/>
              </w:rPr>
            </w:pPr>
          </w:p>
          <w:p>
            <w:pPr>
              <w:pStyle w:val="57"/>
              <w:autoSpaceDE/>
              <w:autoSpaceDN/>
              <w:spacing w:line="360" w:lineRule="exact"/>
              <w:ind w:firstLine="420" w:firstLineChars="200"/>
              <w:rPr>
                <w:rFonts w:hint="eastAsia" w:ascii="宋体" w:hAnsi="宋体" w:eastAsia="宋体" w:cs="宋体"/>
                <w:sz w:val="21"/>
                <w:szCs w:val="21"/>
                <w:lang w:val="en-US"/>
              </w:rPr>
            </w:pPr>
          </w:p>
        </w:tc>
        <w:tc>
          <w:tcPr>
            <w:tcW w:w="8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15</w:t>
            </w:r>
          </w:p>
        </w:tc>
        <w:tc>
          <w:tcPr>
            <w:tcW w:w="6477" w:type="dxa"/>
          </w:tcPr>
          <w:p>
            <w:pPr>
              <w:pStyle w:val="57"/>
              <w:tabs>
                <w:tab w:val="left" w:pos="267"/>
              </w:tabs>
              <w:autoSpaceDE/>
              <w:autoSpaceDN/>
              <w:spacing w:before="72" w:line="360" w:lineRule="exact"/>
              <w:ind w:left="106"/>
              <w:rPr>
                <w:rFonts w:hint="eastAsia" w:ascii="宋体" w:hAnsi="宋体" w:eastAsia="宋体" w:cs="宋体"/>
                <w:sz w:val="21"/>
                <w:szCs w:val="21"/>
              </w:rPr>
            </w:pPr>
            <w:r>
              <w:rPr>
                <w:rFonts w:hint="eastAsia" w:ascii="宋体" w:hAnsi="宋体" w:eastAsia="宋体" w:cs="宋体"/>
                <w:sz w:val="21"/>
                <w:szCs w:val="21"/>
              </w:rPr>
              <w:t>根据投标人提供样品的情况，由评标委员会打分（从产品尺寸、技术参数、功能性要求，制作工艺，</w:t>
            </w:r>
            <w:r>
              <w:rPr>
                <w:rFonts w:hint="eastAsia" w:ascii="宋体" w:hAnsi="宋体" w:eastAsia="宋体" w:cs="宋体"/>
                <w:sz w:val="21"/>
                <w:szCs w:val="21"/>
                <w:lang w:val="en-US"/>
              </w:rPr>
              <w:t>质量</w:t>
            </w:r>
            <w:r>
              <w:rPr>
                <w:rFonts w:hint="eastAsia" w:ascii="宋体" w:hAnsi="宋体" w:eastAsia="宋体" w:cs="宋体"/>
                <w:sz w:val="21"/>
                <w:szCs w:val="21"/>
              </w:rPr>
              <w:t>等多方面进行评审）：</w:t>
            </w:r>
          </w:p>
          <w:p>
            <w:pPr>
              <w:pStyle w:val="57"/>
              <w:tabs>
                <w:tab w:val="left" w:pos="267"/>
              </w:tabs>
              <w:autoSpaceDE/>
              <w:autoSpaceDN/>
              <w:spacing w:before="72" w:line="360" w:lineRule="exact"/>
              <w:ind w:left="106"/>
              <w:rPr>
                <w:rFonts w:hint="eastAsia" w:ascii="宋体" w:hAnsi="宋体" w:eastAsia="宋体" w:cs="宋体"/>
                <w:sz w:val="21"/>
                <w:szCs w:val="21"/>
              </w:rPr>
            </w:pPr>
            <w:r>
              <w:rPr>
                <w:rFonts w:hint="eastAsia" w:ascii="宋体" w:hAnsi="宋体" w:eastAsia="宋体" w:cs="宋体"/>
                <w:sz w:val="21"/>
                <w:szCs w:val="21"/>
              </w:rPr>
              <w:t>1.实物小样：</w:t>
            </w:r>
            <w:r>
              <w:rPr>
                <w:rFonts w:hint="eastAsia" w:ascii="宋体" w:hAnsi="宋体" w:eastAsia="宋体" w:cs="宋体"/>
                <w:sz w:val="21"/>
                <w:szCs w:val="21"/>
                <w:lang w:val="en-US"/>
              </w:rPr>
              <w:t>冷轧钢管、三聚氰胺饰面实木多层板、五金件（见第二章第八条投标样品清单要求）</w:t>
            </w:r>
            <w:r>
              <w:rPr>
                <w:rFonts w:hint="eastAsia" w:ascii="宋体" w:hAnsi="宋体" w:eastAsia="宋体" w:cs="宋体"/>
                <w:sz w:val="21"/>
                <w:szCs w:val="21"/>
              </w:rPr>
              <w:t>（满分3分）</w:t>
            </w:r>
          </w:p>
          <w:p>
            <w:pPr>
              <w:pStyle w:val="57"/>
              <w:tabs>
                <w:tab w:val="left" w:pos="267"/>
              </w:tabs>
              <w:autoSpaceDE/>
              <w:autoSpaceDN/>
              <w:spacing w:before="72" w:line="360" w:lineRule="exact"/>
              <w:ind w:left="106"/>
              <w:rPr>
                <w:rFonts w:hint="eastAsia" w:ascii="宋体" w:hAnsi="宋体" w:eastAsia="宋体" w:cs="宋体"/>
                <w:sz w:val="21"/>
                <w:szCs w:val="21"/>
              </w:rPr>
            </w:pPr>
            <w:r>
              <w:rPr>
                <w:rFonts w:hint="eastAsia" w:ascii="宋体" w:hAnsi="宋体" w:eastAsia="宋体" w:cs="宋体"/>
                <w:sz w:val="21"/>
                <w:szCs w:val="21"/>
              </w:rPr>
              <w:t>根据</w:t>
            </w:r>
            <w:r>
              <w:rPr>
                <w:rFonts w:hint="eastAsia" w:ascii="宋体" w:hAnsi="宋体" w:eastAsia="宋体" w:cs="宋体"/>
                <w:sz w:val="21"/>
                <w:szCs w:val="21"/>
                <w:lang w:val="en-US"/>
              </w:rPr>
              <w:t>小样</w:t>
            </w:r>
            <w:r>
              <w:rPr>
                <w:rFonts w:hint="eastAsia" w:ascii="宋体" w:hAnsi="宋体" w:eastAsia="宋体" w:cs="宋体"/>
                <w:sz w:val="21"/>
                <w:szCs w:val="21"/>
              </w:rPr>
              <w:t>的产品尺寸、款式参数吻合度、用料选材及制作工艺</w:t>
            </w:r>
            <w:r>
              <w:rPr>
                <w:rFonts w:hint="eastAsia" w:ascii="宋体" w:hAnsi="宋体" w:eastAsia="宋体" w:cs="宋体"/>
                <w:sz w:val="21"/>
                <w:szCs w:val="21"/>
                <w:lang w:val="en-US"/>
              </w:rPr>
              <w:t>进行评分。（评分范围3,2,1,0）</w:t>
            </w:r>
          </w:p>
          <w:p>
            <w:pPr>
              <w:pStyle w:val="10"/>
              <w:rPr>
                <w:rFonts w:hint="eastAsia" w:hAnsi="宋体"/>
                <w:color w:val="auto"/>
                <w:sz w:val="21"/>
                <w:szCs w:val="21"/>
              </w:rPr>
            </w:pPr>
            <w:r>
              <w:rPr>
                <w:rFonts w:hint="eastAsia" w:hAnsi="宋体"/>
                <w:color w:val="auto"/>
                <w:sz w:val="21"/>
                <w:szCs w:val="21"/>
              </w:rPr>
              <w:t>2.实物大样：二连体中梯公寓床B 1套（产品序号1）、</w:t>
            </w:r>
            <w:r>
              <w:rPr>
                <w:rFonts w:hint="eastAsia" w:hAnsi="宋体"/>
                <w:color w:val="auto"/>
                <w:sz w:val="21"/>
                <w:szCs w:val="21"/>
                <w:lang w:bidi="ar"/>
              </w:rPr>
              <w:t>单人中高公寓床1张（产品序号2）、</w:t>
            </w:r>
            <w:r>
              <w:rPr>
                <w:rFonts w:hint="eastAsia" w:hAnsi="宋体"/>
                <w:color w:val="auto"/>
                <w:sz w:val="21"/>
                <w:szCs w:val="21"/>
              </w:rPr>
              <w:t>公寓椅1把（产品序号5）。（满分12分）</w:t>
            </w:r>
          </w:p>
          <w:p>
            <w:pPr>
              <w:pStyle w:val="28"/>
              <w:ind w:firstLine="404"/>
              <w:rPr>
                <w:rFonts w:ascii="宋体" w:hAnsi="宋体" w:cs="宋体"/>
                <w:sz w:val="21"/>
                <w:szCs w:val="21"/>
              </w:rPr>
            </w:pPr>
            <w:r>
              <w:rPr>
                <w:rFonts w:ascii="宋体" w:hAnsi="宋体" w:cs="宋体"/>
                <w:sz w:val="21"/>
                <w:szCs w:val="21"/>
              </w:rPr>
              <w:t>评委根据供应商提供的样品的规格尺寸、整体外观、五金配件质量与安装、牢固度等方面进行横向评分：</w:t>
            </w:r>
          </w:p>
          <w:p>
            <w:pPr>
              <w:pStyle w:val="28"/>
              <w:ind w:firstLine="404"/>
              <w:rPr>
                <w:rFonts w:ascii="宋体" w:hAnsi="宋体" w:cs="宋体"/>
                <w:sz w:val="21"/>
                <w:szCs w:val="21"/>
              </w:rPr>
            </w:pPr>
            <w:r>
              <w:rPr>
                <w:rFonts w:ascii="宋体" w:hAnsi="宋体" w:cs="宋体"/>
                <w:sz w:val="21"/>
                <w:szCs w:val="21"/>
              </w:rPr>
              <w:t>（1）样品整体尺寸、整体外观完整度及靠背椅的舒适程度。（评分范围3,2,1,0）</w:t>
            </w:r>
          </w:p>
          <w:p>
            <w:pPr>
              <w:pStyle w:val="28"/>
              <w:ind w:firstLine="404"/>
              <w:rPr>
                <w:rFonts w:ascii="宋体" w:hAnsi="宋体" w:cs="宋体"/>
                <w:sz w:val="21"/>
                <w:szCs w:val="21"/>
              </w:rPr>
            </w:pPr>
            <w:r>
              <w:rPr>
                <w:rFonts w:ascii="宋体" w:hAnsi="宋体" w:cs="宋体"/>
                <w:sz w:val="21"/>
                <w:szCs w:val="21"/>
              </w:rPr>
              <w:t>（2）样品五金配件质量、安装连接、紧密度等方面。（评分范围3,2,1,0）</w:t>
            </w:r>
          </w:p>
          <w:p>
            <w:pPr>
              <w:pStyle w:val="28"/>
              <w:ind w:firstLine="404"/>
              <w:rPr>
                <w:rFonts w:ascii="宋体" w:hAnsi="宋体" w:cs="宋体"/>
                <w:sz w:val="21"/>
                <w:szCs w:val="21"/>
              </w:rPr>
            </w:pPr>
            <w:r>
              <w:rPr>
                <w:rFonts w:ascii="宋体" w:hAnsi="宋体" w:cs="宋体"/>
                <w:sz w:val="21"/>
                <w:szCs w:val="21"/>
              </w:rPr>
              <w:t>（3）样品表面平整度、外观质感、封边处理等生产工艺方面。（评分范围3,2,1,0）</w:t>
            </w:r>
          </w:p>
          <w:p>
            <w:pPr>
              <w:pStyle w:val="28"/>
              <w:ind w:firstLine="404"/>
              <w:rPr>
                <w:rFonts w:ascii="宋体" w:hAnsi="宋体" w:cs="宋体"/>
                <w:sz w:val="21"/>
                <w:szCs w:val="21"/>
              </w:rPr>
            </w:pPr>
            <w:r>
              <w:rPr>
                <w:rFonts w:ascii="宋体" w:hAnsi="宋体" w:cs="宋体"/>
                <w:sz w:val="21"/>
                <w:szCs w:val="21"/>
              </w:rPr>
              <w:t>（4）样品牢固度、承重强度等方面。（评分范围3,2,1,0）</w:t>
            </w:r>
          </w:p>
          <w:p>
            <w:pPr>
              <w:pStyle w:val="28"/>
              <w:ind w:firstLine="404"/>
              <w:rPr>
                <w:rFonts w:ascii="宋体" w:hAnsi="宋体" w:cs="宋体"/>
                <w:sz w:val="21"/>
                <w:szCs w:val="21"/>
              </w:rPr>
            </w:pPr>
            <w:r>
              <w:rPr>
                <w:rFonts w:ascii="宋体" w:hAnsi="宋体" w:cs="宋体"/>
                <w:sz w:val="21"/>
                <w:szCs w:val="21"/>
              </w:rPr>
              <w:t>注：</w:t>
            </w:r>
          </w:p>
          <w:p>
            <w:pPr>
              <w:pStyle w:val="28"/>
              <w:ind w:firstLine="404"/>
              <w:rPr>
                <w:rFonts w:ascii="宋体" w:hAnsi="宋体" w:cs="宋体"/>
                <w:sz w:val="21"/>
                <w:szCs w:val="21"/>
              </w:rPr>
            </w:pPr>
            <w:r>
              <w:rPr>
                <w:rFonts w:ascii="宋体" w:hAnsi="宋体" w:cs="宋体"/>
                <w:sz w:val="21"/>
                <w:szCs w:val="21"/>
              </w:rPr>
              <w:t>（1）未按要求提供样品和小样或提供样品和小样不全的，样品栏整体不得分）。</w:t>
            </w:r>
          </w:p>
          <w:p>
            <w:pPr>
              <w:pStyle w:val="57"/>
              <w:autoSpaceDE/>
              <w:autoSpaceDN/>
              <w:spacing w:before="31" w:line="360" w:lineRule="exact"/>
              <w:ind w:left="107" w:firstLine="210" w:firstLineChars="100"/>
              <w:rPr>
                <w:rFonts w:hint="eastAsia" w:ascii="宋体" w:hAnsi="宋体" w:eastAsia="宋体" w:cs="宋体"/>
                <w:sz w:val="21"/>
                <w:szCs w:val="21"/>
                <w:lang w:val="en-US"/>
              </w:rPr>
            </w:pPr>
            <w:r>
              <w:rPr>
                <w:rFonts w:hint="eastAsia" w:ascii="宋体" w:hAnsi="宋体" w:eastAsia="宋体" w:cs="宋体"/>
                <w:sz w:val="21"/>
                <w:szCs w:val="21"/>
              </w:rPr>
              <w:t>（2）所有样品禁止使用快速成型、不能形成批量生产的方法制作部件（如3D打印），否则样品栏整体不得分。）</w:t>
            </w:r>
            <w:r>
              <w:rPr>
                <w:rFonts w:hint="eastAsia" w:ascii="宋体" w:hAnsi="宋体" w:eastAsia="宋体" w:cs="宋体"/>
                <w:sz w:val="18"/>
                <w:szCs w:val="18"/>
              </w:rPr>
              <w:br w:type="pag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381" w:type="dxa"/>
            <w:gridSpan w:val="4"/>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合计</w:t>
            </w:r>
          </w:p>
        </w:tc>
        <w:tc>
          <w:tcPr>
            <w:tcW w:w="886" w:type="dxa"/>
            <w:vAlign w:val="center"/>
          </w:tcPr>
          <w:p>
            <w:pPr>
              <w:pStyle w:val="28"/>
              <w:spacing w:line="360" w:lineRule="exact"/>
              <w:ind w:firstLine="0" w:firstLineChars="0"/>
              <w:jc w:val="center"/>
              <w:rPr>
                <w:rFonts w:ascii="宋体" w:hAnsi="宋体" w:cs="宋体"/>
                <w:sz w:val="21"/>
                <w:szCs w:val="21"/>
              </w:rPr>
            </w:pPr>
            <w:r>
              <w:rPr>
                <w:rFonts w:ascii="宋体" w:hAnsi="宋体" w:cs="宋体"/>
                <w:sz w:val="21"/>
                <w:szCs w:val="21"/>
              </w:rPr>
              <w:t>70</w:t>
            </w:r>
          </w:p>
        </w:tc>
        <w:tc>
          <w:tcPr>
            <w:tcW w:w="6477" w:type="dxa"/>
          </w:tcPr>
          <w:p>
            <w:pPr>
              <w:pStyle w:val="57"/>
              <w:autoSpaceDE/>
              <w:autoSpaceDN/>
              <w:spacing w:before="31" w:line="360" w:lineRule="exact"/>
              <w:ind w:left="107"/>
              <w:rPr>
                <w:rFonts w:hint="eastAsia" w:ascii="宋体" w:hAnsi="宋体" w:eastAsia="宋体" w:cs="宋体"/>
                <w:sz w:val="21"/>
                <w:szCs w:val="21"/>
                <w:lang w:val="en-US"/>
              </w:rPr>
            </w:pPr>
          </w:p>
        </w:tc>
      </w:tr>
    </w:tbl>
    <w:p>
      <w:pPr>
        <w:snapToGrid w:val="0"/>
        <w:spacing w:before="156" w:beforeLines="50" w:after="156" w:afterLines="50"/>
      </w:pPr>
      <w:r>
        <w:rPr>
          <w:rFonts w:hint="eastAsia" w:cs="宋体"/>
          <w:b/>
          <w:bCs/>
          <w:sz w:val="36"/>
        </w:rPr>
        <w:br w:type="page"/>
      </w:r>
    </w:p>
    <w:p>
      <w:pPr>
        <w:numPr>
          <w:ilvl w:val="0"/>
          <w:numId w:val="15"/>
        </w:numPr>
        <w:snapToGrid w:val="0"/>
        <w:spacing w:before="156" w:beforeLines="50" w:after="156" w:afterLines="50"/>
        <w:jc w:val="center"/>
        <w:outlineLvl w:val="0"/>
        <w:rPr>
          <w:rFonts w:cs="宋体"/>
          <w:b/>
          <w:bCs/>
          <w:sz w:val="36"/>
          <w:szCs w:val="20"/>
        </w:rPr>
      </w:pPr>
      <w:r>
        <w:rPr>
          <w:rFonts w:hint="eastAsia" w:cs="宋体"/>
          <w:b/>
          <w:bCs/>
          <w:sz w:val="36"/>
        </w:rPr>
        <w:t>合同主要条款</w:t>
      </w:r>
    </w:p>
    <w:p>
      <w:pPr>
        <w:spacing w:line="640" w:lineRule="exact"/>
        <w:jc w:val="center"/>
        <w:rPr>
          <w:rFonts w:cs="宋体"/>
          <w:b/>
          <w:bCs/>
          <w:sz w:val="32"/>
          <w:szCs w:val="32"/>
        </w:rPr>
      </w:pPr>
      <w:r>
        <w:rPr>
          <w:rFonts w:hint="eastAsia" w:cs="宋体"/>
          <w:b/>
          <w:bCs/>
          <w:sz w:val="32"/>
          <w:szCs w:val="32"/>
        </w:rPr>
        <w:t>浙江师范大学学生公寓寝室床及配套家具项目采购合同</w:t>
      </w:r>
    </w:p>
    <w:p>
      <w:pPr>
        <w:spacing w:line="640" w:lineRule="exact"/>
        <w:jc w:val="center"/>
        <w:rPr>
          <w:rFonts w:cs="宋体"/>
          <w:b/>
          <w:bCs/>
          <w:sz w:val="32"/>
          <w:szCs w:val="32"/>
        </w:rPr>
      </w:pPr>
    </w:p>
    <w:p>
      <w:pPr>
        <w:spacing w:line="300" w:lineRule="auto"/>
        <w:rPr>
          <w:rFonts w:cs="宋体"/>
          <w:b/>
          <w:sz w:val="24"/>
        </w:rPr>
      </w:pPr>
      <w:r>
        <w:rPr>
          <w:rFonts w:hint="eastAsia" w:cs="宋体"/>
          <w:b/>
          <w:sz w:val="24"/>
        </w:rPr>
        <w:t xml:space="preserve">需方(甲方)： </w:t>
      </w:r>
      <w:r>
        <w:rPr>
          <w:rFonts w:hint="eastAsia" w:cs="宋体"/>
          <w:bCs/>
          <w:sz w:val="24"/>
          <w:u w:val="single"/>
        </w:rPr>
        <w:t xml:space="preserve">    </w:t>
      </w:r>
      <w:r>
        <w:rPr>
          <w:rFonts w:hint="eastAsia" w:cs="宋体"/>
          <w:b/>
          <w:sz w:val="24"/>
          <w:u w:val="single"/>
        </w:rPr>
        <w:t>浙江师范大学</w:t>
      </w:r>
      <w:r>
        <w:rPr>
          <w:rFonts w:hint="eastAsia" w:cs="宋体"/>
          <w:bCs/>
          <w:sz w:val="24"/>
          <w:u w:val="single"/>
        </w:rPr>
        <w:t xml:space="preserve">    </w:t>
      </w:r>
      <w:r>
        <w:rPr>
          <w:rFonts w:hint="eastAsia" w:cs="宋体"/>
          <w:bCs/>
          <w:sz w:val="24"/>
        </w:rPr>
        <w:t xml:space="preserve"> </w:t>
      </w:r>
      <w:r>
        <w:rPr>
          <w:rFonts w:hint="eastAsia" w:cs="宋体"/>
          <w:b/>
          <w:sz w:val="24"/>
        </w:rPr>
        <w:t>签订时间：</w:t>
      </w:r>
      <w:r>
        <w:rPr>
          <w:rFonts w:hint="eastAsia" w:cs="宋体"/>
          <w:bCs/>
          <w:sz w:val="24"/>
          <w:u w:val="single"/>
        </w:rPr>
        <w:t xml:space="preserve">       </w:t>
      </w:r>
      <w:r>
        <w:rPr>
          <w:rFonts w:hint="eastAsia" w:cs="宋体"/>
          <w:bCs/>
          <w:sz w:val="24"/>
        </w:rPr>
        <w:t>年</w:t>
      </w:r>
      <w:r>
        <w:rPr>
          <w:rFonts w:hint="eastAsia" w:cs="宋体"/>
          <w:bCs/>
          <w:sz w:val="24"/>
          <w:u w:val="single"/>
        </w:rPr>
        <w:t xml:space="preserve">    </w:t>
      </w:r>
      <w:r>
        <w:rPr>
          <w:rFonts w:hint="eastAsia" w:cs="宋体"/>
          <w:bCs/>
          <w:sz w:val="24"/>
        </w:rPr>
        <w:t>月</w:t>
      </w:r>
      <w:r>
        <w:rPr>
          <w:rFonts w:hint="eastAsia" w:cs="宋体"/>
          <w:bCs/>
          <w:sz w:val="24"/>
          <w:u w:val="single"/>
        </w:rPr>
        <w:t xml:space="preserve">    </w:t>
      </w:r>
      <w:r>
        <w:rPr>
          <w:rFonts w:hint="eastAsia" w:cs="宋体"/>
          <w:bCs/>
          <w:sz w:val="24"/>
        </w:rPr>
        <w:t>日</w:t>
      </w:r>
    </w:p>
    <w:p>
      <w:pPr>
        <w:spacing w:line="300" w:lineRule="auto"/>
        <w:rPr>
          <w:rFonts w:cs="宋体"/>
          <w:bCs/>
          <w:sz w:val="24"/>
          <w:u w:val="single"/>
        </w:rPr>
      </w:pPr>
      <w:r>
        <w:rPr>
          <w:rFonts w:hint="eastAsia" w:cs="宋体"/>
          <w:b/>
          <w:sz w:val="24"/>
        </w:rPr>
        <w:t>供方(乙方)：</w:t>
      </w:r>
      <w:r>
        <w:rPr>
          <w:rStyle w:val="32"/>
          <w:rFonts w:hint="eastAsia" w:cs="宋体"/>
          <w:bCs w:val="0"/>
          <w:sz w:val="24"/>
          <w:u w:val="single"/>
        </w:rPr>
        <w:t xml:space="preserve">                     </w:t>
      </w:r>
      <w:r>
        <w:rPr>
          <w:rStyle w:val="32"/>
          <w:rFonts w:hint="eastAsia" w:cs="宋体"/>
          <w:bCs w:val="0"/>
          <w:sz w:val="24"/>
        </w:rPr>
        <w:t xml:space="preserve"> </w:t>
      </w:r>
      <w:r>
        <w:rPr>
          <w:rFonts w:hint="eastAsia" w:cs="宋体"/>
          <w:b/>
          <w:sz w:val="24"/>
        </w:rPr>
        <w:t>签订地点：</w:t>
      </w:r>
      <w:r>
        <w:rPr>
          <w:rFonts w:hint="eastAsia" w:cs="宋体"/>
          <w:bCs/>
          <w:sz w:val="24"/>
          <w:u w:val="single"/>
        </w:rPr>
        <w:t xml:space="preserve">    </w:t>
      </w:r>
      <w:r>
        <w:rPr>
          <w:rFonts w:hint="eastAsia" w:cs="宋体"/>
          <w:b/>
          <w:sz w:val="24"/>
          <w:u w:val="single"/>
        </w:rPr>
        <w:t>浙江师范大学</w:t>
      </w:r>
      <w:r>
        <w:rPr>
          <w:rFonts w:hint="eastAsia" w:cs="宋体"/>
          <w:bCs/>
          <w:sz w:val="24"/>
          <w:u w:val="single"/>
        </w:rPr>
        <w:t xml:space="preserve">   </w:t>
      </w:r>
    </w:p>
    <w:p>
      <w:pPr>
        <w:spacing w:line="400" w:lineRule="exact"/>
        <w:ind w:firstLine="480" w:firstLineChars="200"/>
        <w:jc w:val="left"/>
        <w:rPr>
          <w:rFonts w:cs="宋体"/>
          <w:sz w:val="24"/>
        </w:rPr>
      </w:pPr>
      <w:r>
        <w:rPr>
          <w:rFonts w:hint="eastAsia" w:cs="宋体"/>
          <w:kern w:val="0"/>
          <w:sz w:val="24"/>
        </w:rPr>
        <w:t>根据《中华人民共和国政府采购法》《中华人民共和国民法典》等有关法律法规的规定，甲乙双方按照</w:t>
      </w:r>
      <w:r>
        <w:rPr>
          <w:rFonts w:hint="eastAsia" w:cs="宋体"/>
          <w:kern w:val="0"/>
          <w:sz w:val="24"/>
          <w:u w:val="single"/>
        </w:rPr>
        <w:t xml:space="preserve">     </w:t>
      </w:r>
      <w:r>
        <w:rPr>
          <w:rFonts w:hint="eastAsia" w:cs="宋体"/>
          <w:kern w:val="0"/>
          <w:sz w:val="24"/>
        </w:rPr>
        <w:t xml:space="preserve"> 年</w:t>
      </w:r>
      <w:r>
        <w:rPr>
          <w:rFonts w:hint="eastAsia" w:cs="宋体"/>
          <w:kern w:val="0"/>
          <w:sz w:val="24"/>
          <w:u w:val="single"/>
        </w:rPr>
        <w:t xml:space="preserve">     </w:t>
      </w:r>
      <w:r>
        <w:rPr>
          <w:rFonts w:hint="eastAsia" w:cs="宋体"/>
          <w:kern w:val="0"/>
          <w:sz w:val="24"/>
        </w:rPr>
        <w:t xml:space="preserve"> 月</w:t>
      </w:r>
      <w:r>
        <w:rPr>
          <w:rFonts w:hint="eastAsia" w:cs="宋体"/>
          <w:kern w:val="0"/>
          <w:sz w:val="24"/>
          <w:u w:val="single"/>
        </w:rPr>
        <w:t xml:space="preserve">     </w:t>
      </w:r>
      <w:r>
        <w:rPr>
          <w:rFonts w:hint="eastAsia" w:cs="宋体"/>
          <w:kern w:val="0"/>
          <w:sz w:val="24"/>
        </w:rPr>
        <w:t xml:space="preserve"> 日浙江师范大学公开招标</w:t>
      </w:r>
      <w:r>
        <w:rPr>
          <w:rFonts w:hint="eastAsia" w:cs="宋体"/>
          <w:kern w:val="0"/>
          <w:sz w:val="24"/>
          <w:u w:val="single"/>
        </w:rPr>
        <w:t xml:space="preserve">     </w:t>
      </w:r>
      <w:r>
        <w:rPr>
          <w:rFonts w:hint="eastAsia" w:cs="宋体"/>
          <w:kern w:val="0"/>
          <w:sz w:val="24"/>
        </w:rPr>
        <w:t xml:space="preserve"> 号</w:t>
      </w:r>
      <w:r>
        <w:rPr>
          <w:rFonts w:hint="eastAsia" w:cs="宋体"/>
          <w:kern w:val="0"/>
          <w:sz w:val="24"/>
          <w:u w:val="single"/>
        </w:rPr>
        <w:t xml:space="preserve">            </w:t>
      </w:r>
      <w:r>
        <w:rPr>
          <w:rFonts w:hint="eastAsia" w:cs="宋体"/>
          <w:kern w:val="0"/>
          <w:sz w:val="24"/>
        </w:rPr>
        <w:t>项目采购结果，经充分协商,同意就下列条款签订本合同</w:t>
      </w:r>
      <w:r>
        <w:rPr>
          <w:rFonts w:hint="eastAsia" w:cs="宋体"/>
          <w:sz w:val="24"/>
        </w:rPr>
        <w:t>。</w:t>
      </w:r>
    </w:p>
    <w:p>
      <w:pPr>
        <w:spacing w:line="400" w:lineRule="exact"/>
        <w:ind w:firstLine="482" w:firstLineChars="200"/>
        <w:rPr>
          <w:rFonts w:cs="宋体"/>
          <w:b/>
          <w:sz w:val="24"/>
        </w:rPr>
      </w:pPr>
      <w:r>
        <w:rPr>
          <w:rFonts w:hint="eastAsia" w:cs="宋体"/>
          <w:b/>
          <w:sz w:val="24"/>
        </w:rPr>
        <w:t>第一条  合同标的</w:t>
      </w:r>
    </w:p>
    <w:p>
      <w:pPr>
        <w:spacing w:line="400" w:lineRule="exact"/>
        <w:ind w:firstLine="480" w:firstLineChars="200"/>
        <w:rPr>
          <w:rFonts w:cs="宋体"/>
          <w:b/>
          <w:sz w:val="24"/>
        </w:rPr>
      </w:pPr>
      <w:r>
        <w:rPr>
          <w:rFonts w:hint="eastAsia" w:cs="宋体"/>
          <w:kern w:val="0"/>
          <w:sz w:val="24"/>
        </w:rPr>
        <w:t>1．合同标的</w:t>
      </w:r>
    </w:p>
    <w:tbl>
      <w:tblPr>
        <w:tblStyle w:val="29"/>
        <w:tblW w:w="8786" w:type="dxa"/>
        <w:jc w:val="center"/>
        <w:tblLayout w:type="fixed"/>
        <w:tblCellMar>
          <w:top w:w="0" w:type="dxa"/>
          <w:left w:w="108" w:type="dxa"/>
          <w:bottom w:w="0" w:type="dxa"/>
          <w:right w:w="108" w:type="dxa"/>
        </w:tblCellMar>
      </w:tblPr>
      <w:tblGrid>
        <w:gridCol w:w="2041"/>
        <w:gridCol w:w="1922"/>
        <w:gridCol w:w="1132"/>
        <w:gridCol w:w="729"/>
        <w:gridCol w:w="818"/>
        <w:gridCol w:w="1167"/>
        <w:gridCol w:w="977"/>
      </w:tblGrid>
      <w:tr>
        <w:tblPrEx>
          <w:tblCellMar>
            <w:top w:w="0" w:type="dxa"/>
            <w:left w:w="108" w:type="dxa"/>
            <w:bottom w:w="0" w:type="dxa"/>
            <w:right w:w="108" w:type="dxa"/>
          </w:tblCellMar>
        </w:tblPrEx>
        <w:trPr>
          <w:trHeight w:val="447" w:hRule="atLeast"/>
          <w:jc w:val="center"/>
        </w:trPr>
        <w:tc>
          <w:tcPr>
            <w:tcW w:w="2041" w:type="dxa"/>
            <w:tcBorders>
              <w:top w:val="single" w:color="auto" w:sz="8" w:space="0"/>
              <w:left w:val="single" w:color="auto" w:sz="8" w:space="0"/>
              <w:bottom w:val="single" w:color="auto" w:sz="8" w:space="0"/>
              <w:right w:val="single" w:color="auto" w:sz="8" w:space="0"/>
            </w:tcBorders>
            <w:vAlign w:val="center"/>
          </w:tcPr>
          <w:p>
            <w:pPr>
              <w:widowControl/>
              <w:jc w:val="center"/>
              <w:rPr>
                <w:rFonts w:cs="宋体"/>
                <w:b/>
                <w:bCs/>
                <w:kern w:val="0"/>
                <w:sz w:val="21"/>
                <w:szCs w:val="21"/>
              </w:rPr>
            </w:pPr>
            <w:r>
              <w:rPr>
                <w:rFonts w:hint="eastAsia" w:cs="宋体"/>
                <w:b/>
                <w:bCs/>
                <w:kern w:val="0"/>
                <w:sz w:val="21"/>
                <w:szCs w:val="21"/>
              </w:rPr>
              <w:t>名称</w:t>
            </w:r>
          </w:p>
        </w:tc>
        <w:tc>
          <w:tcPr>
            <w:tcW w:w="1922" w:type="dxa"/>
            <w:tcBorders>
              <w:top w:val="single" w:color="auto" w:sz="8" w:space="0"/>
              <w:left w:val="nil"/>
              <w:bottom w:val="single" w:color="auto" w:sz="8" w:space="0"/>
              <w:right w:val="single" w:color="auto" w:sz="4" w:space="0"/>
            </w:tcBorders>
            <w:vAlign w:val="center"/>
          </w:tcPr>
          <w:p>
            <w:pPr>
              <w:widowControl/>
              <w:jc w:val="center"/>
              <w:rPr>
                <w:rFonts w:cs="宋体"/>
                <w:b/>
                <w:bCs/>
                <w:kern w:val="0"/>
                <w:sz w:val="21"/>
                <w:szCs w:val="21"/>
              </w:rPr>
            </w:pPr>
            <w:r>
              <w:rPr>
                <w:rFonts w:hint="eastAsia" w:cs="宋体"/>
                <w:b/>
                <w:bCs/>
                <w:kern w:val="0"/>
                <w:sz w:val="21"/>
                <w:szCs w:val="21"/>
              </w:rPr>
              <w:t>规格型号、生产厂家</w:t>
            </w:r>
          </w:p>
        </w:tc>
        <w:tc>
          <w:tcPr>
            <w:tcW w:w="1132" w:type="dxa"/>
            <w:tcBorders>
              <w:top w:val="single" w:color="auto" w:sz="8" w:space="0"/>
              <w:left w:val="single" w:color="auto" w:sz="4" w:space="0"/>
              <w:bottom w:val="single" w:color="auto" w:sz="8" w:space="0"/>
              <w:right w:val="single" w:color="auto" w:sz="8" w:space="0"/>
            </w:tcBorders>
            <w:vAlign w:val="center"/>
          </w:tcPr>
          <w:p>
            <w:pPr>
              <w:widowControl/>
              <w:jc w:val="center"/>
              <w:rPr>
                <w:rFonts w:cs="宋体"/>
                <w:b/>
                <w:bCs/>
                <w:kern w:val="0"/>
                <w:sz w:val="21"/>
                <w:szCs w:val="21"/>
              </w:rPr>
            </w:pPr>
            <w:r>
              <w:rPr>
                <w:rFonts w:hint="eastAsia" w:cs="宋体"/>
                <w:b/>
                <w:bCs/>
                <w:kern w:val="0"/>
                <w:sz w:val="21"/>
                <w:szCs w:val="21"/>
              </w:rPr>
              <w:t>技术参数</w:t>
            </w:r>
          </w:p>
        </w:tc>
        <w:tc>
          <w:tcPr>
            <w:tcW w:w="729" w:type="dxa"/>
            <w:tcBorders>
              <w:top w:val="single" w:color="auto" w:sz="8" w:space="0"/>
              <w:left w:val="nil"/>
              <w:bottom w:val="single" w:color="auto" w:sz="8" w:space="0"/>
              <w:right w:val="single" w:color="auto" w:sz="8" w:space="0"/>
            </w:tcBorders>
            <w:vAlign w:val="center"/>
          </w:tcPr>
          <w:p>
            <w:pPr>
              <w:widowControl/>
              <w:jc w:val="center"/>
              <w:rPr>
                <w:rFonts w:cs="宋体"/>
                <w:b/>
                <w:bCs/>
                <w:kern w:val="0"/>
                <w:sz w:val="21"/>
                <w:szCs w:val="21"/>
              </w:rPr>
            </w:pPr>
            <w:r>
              <w:rPr>
                <w:rFonts w:hint="eastAsia" w:cs="宋体"/>
                <w:b/>
                <w:bCs/>
                <w:kern w:val="0"/>
                <w:sz w:val="21"/>
                <w:szCs w:val="21"/>
              </w:rPr>
              <w:t>单位</w:t>
            </w:r>
          </w:p>
        </w:tc>
        <w:tc>
          <w:tcPr>
            <w:tcW w:w="818" w:type="dxa"/>
            <w:tcBorders>
              <w:top w:val="single" w:color="auto" w:sz="8" w:space="0"/>
              <w:left w:val="nil"/>
              <w:bottom w:val="single" w:color="auto" w:sz="8" w:space="0"/>
              <w:right w:val="single" w:color="auto" w:sz="8" w:space="0"/>
            </w:tcBorders>
            <w:vAlign w:val="center"/>
          </w:tcPr>
          <w:p>
            <w:pPr>
              <w:widowControl/>
              <w:jc w:val="center"/>
              <w:rPr>
                <w:rFonts w:cs="宋体"/>
                <w:b/>
                <w:bCs/>
                <w:kern w:val="0"/>
                <w:sz w:val="21"/>
                <w:szCs w:val="21"/>
              </w:rPr>
            </w:pPr>
            <w:r>
              <w:rPr>
                <w:rFonts w:hint="eastAsia" w:cs="宋体"/>
                <w:b/>
                <w:bCs/>
                <w:kern w:val="0"/>
                <w:sz w:val="21"/>
                <w:szCs w:val="21"/>
              </w:rPr>
              <w:t>数量</w:t>
            </w:r>
          </w:p>
        </w:tc>
        <w:tc>
          <w:tcPr>
            <w:tcW w:w="1167" w:type="dxa"/>
            <w:tcBorders>
              <w:top w:val="single" w:color="auto" w:sz="8" w:space="0"/>
              <w:left w:val="nil"/>
              <w:bottom w:val="single" w:color="auto" w:sz="8" w:space="0"/>
              <w:right w:val="single" w:color="auto" w:sz="8" w:space="0"/>
            </w:tcBorders>
            <w:vAlign w:val="center"/>
          </w:tcPr>
          <w:p>
            <w:pPr>
              <w:widowControl/>
              <w:jc w:val="center"/>
              <w:rPr>
                <w:rFonts w:cs="宋体"/>
                <w:b/>
                <w:bCs/>
                <w:kern w:val="0"/>
                <w:sz w:val="21"/>
                <w:szCs w:val="21"/>
              </w:rPr>
            </w:pPr>
            <w:r>
              <w:rPr>
                <w:rFonts w:hint="eastAsia" w:cs="宋体"/>
                <w:b/>
                <w:bCs/>
                <w:kern w:val="0"/>
                <w:sz w:val="21"/>
                <w:szCs w:val="21"/>
              </w:rPr>
              <w:t>单价(元)</w:t>
            </w:r>
          </w:p>
        </w:tc>
        <w:tc>
          <w:tcPr>
            <w:tcW w:w="977" w:type="dxa"/>
            <w:tcBorders>
              <w:top w:val="single" w:color="auto" w:sz="8" w:space="0"/>
              <w:left w:val="nil"/>
              <w:bottom w:val="single" w:color="auto" w:sz="8" w:space="0"/>
              <w:right w:val="single" w:color="auto" w:sz="8" w:space="0"/>
            </w:tcBorders>
            <w:vAlign w:val="center"/>
          </w:tcPr>
          <w:p>
            <w:pPr>
              <w:jc w:val="center"/>
              <w:rPr>
                <w:rFonts w:cs="宋体"/>
                <w:b/>
                <w:bCs/>
                <w:kern w:val="0"/>
                <w:sz w:val="21"/>
                <w:szCs w:val="21"/>
              </w:rPr>
            </w:pPr>
            <w:r>
              <w:rPr>
                <w:rFonts w:hint="eastAsia" w:cs="宋体"/>
                <w:b/>
                <w:bCs/>
                <w:kern w:val="0"/>
                <w:sz w:val="21"/>
                <w:szCs w:val="21"/>
              </w:rPr>
              <w:t>总价(元)</w:t>
            </w:r>
          </w:p>
        </w:tc>
      </w:tr>
      <w:tr>
        <w:tblPrEx>
          <w:tblCellMar>
            <w:top w:w="0" w:type="dxa"/>
            <w:left w:w="108" w:type="dxa"/>
            <w:bottom w:w="0" w:type="dxa"/>
            <w:right w:w="108" w:type="dxa"/>
          </w:tblCellMar>
        </w:tblPrEx>
        <w:trPr>
          <w:trHeight w:val="454" w:hRule="atLeast"/>
          <w:jc w:val="center"/>
        </w:trPr>
        <w:tc>
          <w:tcPr>
            <w:tcW w:w="2041" w:type="dxa"/>
            <w:tcBorders>
              <w:top w:val="nil"/>
              <w:left w:val="single" w:color="auto" w:sz="8" w:space="0"/>
              <w:bottom w:val="single" w:color="auto" w:sz="8" w:space="0"/>
              <w:right w:val="single" w:color="auto" w:sz="8" w:space="0"/>
            </w:tcBorders>
            <w:vAlign w:val="center"/>
          </w:tcPr>
          <w:p>
            <w:pPr>
              <w:pStyle w:val="15"/>
              <w:snapToGrid w:val="0"/>
              <w:spacing w:beforeLines="0" w:afterLines="0" w:line="360" w:lineRule="exact"/>
              <w:jc w:val="center"/>
              <w:outlineLvl w:val="0"/>
              <w:rPr>
                <w:rFonts w:ascii="Times New Roman" w:hAnsi="Times New Roman" w:cs="宋体"/>
                <w:kern w:val="0"/>
                <w:sz w:val="21"/>
                <w:szCs w:val="21"/>
              </w:rPr>
            </w:pPr>
            <w:r>
              <w:rPr>
                <w:rFonts w:hint="eastAsia" w:ascii="Times New Roman" w:hAnsi="Times New Roman" w:cs="宋体"/>
                <w:kern w:val="0"/>
                <w:sz w:val="20"/>
                <w:szCs w:val="20"/>
              </w:rPr>
              <w:t>二连体中梯公寓床A</w:t>
            </w:r>
          </w:p>
        </w:tc>
        <w:tc>
          <w:tcPr>
            <w:tcW w:w="1922" w:type="dxa"/>
            <w:tcBorders>
              <w:top w:val="nil"/>
              <w:left w:val="nil"/>
              <w:bottom w:val="single" w:color="auto" w:sz="8" w:space="0"/>
              <w:right w:val="single" w:color="auto" w:sz="4" w:space="0"/>
            </w:tcBorders>
            <w:vAlign w:val="center"/>
          </w:tcPr>
          <w:p>
            <w:pPr>
              <w:rPr>
                <w:rFonts w:cs="宋体"/>
                <w:kern w:val="0"/>
                <w:sz w:val="21"/>
                <w:szCs w:val="21"/>
              </w:rPr>
            </w:pPr>
          </w:p>
        </w:tc>
        <w:tc>
          <w:tcPr>
            <w:tcW w:w="1132" w:type="dxa"/>
            <w:tcBorders>
              <w:top w:val="nil"/>
              <w:left w:val="nil"/>
              <w:bottom w:val="single" w:color="auto" w:sz="8" w:space="0"/>
              <w:right w:val="single" w:color="auto" w:sz="4" w:space="0"/>
            </w:tcBorders>
            <w:vAlign w:val="center"/>
          </w:tcPr>
          <w:p>
            <w:pPr>
              <w:rPr>
                <w:rFonts w:cs="宋体"/>
                <w:kern w:val="0"/>
                <w:sz w:val="21"/>
                <w:szCs w:val="21"/>
              </w:rPr>
            </w:pPr>
          </w:p>
        </w:tc>
        <w:tc>
          <w:tcPr>
            <w:tcW w:w="729" w:type="dxa"/>
            <w:tcBorders>
              <w:top w:val="nil"/>
              <w:left w:val="single" w:color="auto" w:sz="4"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套</w:t>
            </w:r>
          </w:p>
        </w:tc>
        <w:tc>
          <w:tcPr>
            <w:tcW w:w="818" w:type="dxa"/>
            <w:tcBorders>
              <w:top w:val="single" w:color="auto" w:sz="8" w:space="0"/>
              <w:left w:val="nil"/>
              <w:bottom w:val="single" w:color="auto" w:sz="8" w:space="0"/>
              <w:right w:val="single" w:color="auto" w:sz="8" w:space="0"/>
            </w:tcBorders>
            <w:vAlign w:val="center"/>
          </w:tcPr>
          <w:p>
            <w:pPr>
              <w:pStyle w:val="15"/>
              <w:snapToGrid w:val="0"/>
              <w:spacing w:beforeLines="0" w:afterLines="0" w:line="360" w:lineRule="exact"/>
              <w:jc w:val="center"/>
              <w:outlineLvl w:val="0"/>
              <w:rPr>
                <w:rFonts w:ascii="Times New Roman" w:hAnsi="Times New Roman" w:cs="宋体"/>
                <w:kern w:val="0"/>
                <w:sz w:val="21"/>
                <w:szCs w:val="21"/>
              </w:rPr>
            </w:pPr>
            <w:r>
              <w:rPr>
                <w:rFonts w:hint="eastAsia" w:ascii="Times New Roman" w:hAnsi="Times New Roman" w:cs="宋体"/>
                <w:kern w:val="0"/>
                <w:sz w:val="21"/>
                <w:szCs w:val="21"/>
              </w:rPr>
              <w:t>808</w:t>
            </w:r>
          </w:p>
        </w:tc>
        <w:tc>
          <w:tcPr>
            <w:tcW w:w="116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c>
          <w:tcPr>
            <w:tcW w:w="97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r>
      <w:tr>
        <w:tblPrEx>
          <w:tblCellMar>
            <w:top w:w="0" w:type="dxa"/>
            <w:left w:w="108" w:type="dxa"/>
            <w:bottom w:w="0" w:type="dxa"/>
            <w:right w:w="108" w:type="dxa"/>
          </w:tblCellMar>
        </w:tblPrEx>
        <w:trPr>
          <w:trHeight w:val="454" w:hRule="atLeast"/>
          <w:jc w:val="center"/>
        </w:trPr>
        <w:tc>
          <w:tcPr>
            <w:tcW w:w="2041" w:type="dxa"/>
            <w:tcBorders>
              <w:top w:val="nil"/>
              <w:left w:val="single" w:color="auto" w:sz="8"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0"/>
                <w:szCs w:val="20"/>
              </w:rPr>
              <w:t>二连体中梯公寓床B</w:t>
            </w:r>
          </w:p>
        </w:tc>
        <w:tc>
          <w:tcPr>
            <w:tcW w:w="1922" w:type="dxa"/>
            <w:tcBorders>
              <w:top w:val="nil"/>
              <w:left w:val="nil"/>
              <w:bottom w:val="single" w:color="auto" w:sz="8" w:space="0"/>
              <w:right w:val="single" w:color="auto" w:sz="4" w:space="0"/>
            </w:tcBorders>
            <w:vAlign w:val="center"/>
          </w:tcPr>
          <w:p>
            <w:pPr>
              <w:rPr>
                <w:rFonts w:cs="宋体"/>
                <w:kern w:val="0"/>
                <w:sz w:val="21"/>
                <w:szCs w:val="21"/>
              </w:rPr>
            </w:pPr>
          </w:p>
        </w:tc>
        <w:tc>
          <w:tcPr>
            <w:tcW w:w="1132" w:type="dxa"/>
            <w:tcBorders>
              <w:top w:val="nil"/>
              <w:left w:val="nil"/>
              <w:bottom w:val="single" w:color="auto" w:sz="8" w:space="0"/>
              <w:right w:val="single" w:color="auto" w:sz="4" w:space="0"/>
            </w:tcBorders>
            <w:vAlign w:val="center"/>
          </w:tcPr>
          <w:p>
            <w:pPr>
              <w:rPr>
                <w:rFonts w:cs="宋体"/>
                <w:kern w:val="0"/>
                <w:sz w:val="21"/>
                <w:szCs w:val="21"/>
              </w:rPr>
            </w:pPr>
          </w:p>
        </w:tc>
        <w:tc>
          <w:tcPr>
            <w:tcW w:w="729" w:type="dxa"/>
            <w:tcBorders>
              <w:top w:val="nil"/>
              <w:left w:val="single" w:color="auto" w:sz="4"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套</w:t>
            </w:r>
          </w:p>
        </w:tc>
        <w:tc>
          <w:tcPr>
            <w:tcW w:w="818" w:type="dxa"/>
            <w:tcBorders>
              <w:top w:val="single" w:color="auto" w:sz="8" w:space="0"/>
              <w:left w:val="nil"/>
              <w:bottom w:val="single" w:color="auto" w:sz="8" w:space="0"/>
              <w:right w:val="single" w:color="auto" w:sz="8" w:space="0"/>
            </w:tcBorders>
            <w:vAlign w:val="center"/>
          </w:tcPr>
          <w:p>
            <w:pPr>
              <w:pStyle w:val="15"/>
              <w:snapToGrid w:val="0"/>
              <w:spacing w:beforeLines="0" w:afterLines="0" w:line="360" w:lineRule="exact"/>
              <w:jc w:val="center"/>
              <w:outlineLvl w:val="0"/>
              <w:rPr>
                <w:rFonts w:ascii="Times New Roman" w:hAnsi="Times New Roman" w:cs="宋体"/>
                <w:kern w:val="0"/>
                <w:sz w:val="21"/>
                <w:szCs w:val="21"/>
              </w:rPr>
            </w:pPr>
            <w:r>
              <w:rPr>
                <w:rFonts w:hint="eastAsia" w:ascii="Times New Roman" w:hAnsi="Times New Roman" w:cs="宋体"/>
                <w:kern w:val="0"/>
                <w:sz w:val="21"/>
                <w:szCs w:val="21"/>
              </w:rPr>
              <w:t>1654</w:t>
            </w:r>
          </w:p>
        </w:tc>
        <w:tc>
          <w:tcPr>
            <w:tcW w:w="116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c>
          <w:tcPr>
            <w:tcW w:w="97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r>
      <w:tr>
        <w:tblPrEx>
          <w:tblCellMar>
            <w:top w:w="0" w:type="dxa"/>
            <w:left w:w="108" w:type="dxa"/>
            <w:bottom w:w="0" w:type="dxa"/>
            <w:right w:w="108" w:type="dxa"/>
          </w:tblCellMar>
        </w:tblPrEx>
        <w:trPr>
          <w:trHeight w:val="454" w:hRule="atLeast"/>
          <w:jc w:val="center"/>
        </w:trPr>
        <w:tc>
          <w:tcPr>
            <w:tcW w:w="2041" w:type="dxa"/>
            <w:tcBorders>
              <w:top w:val="nil"/>
              <w:left w:val="single" w:color="auto" w:sz="8" w:space="0"/>
              <w:bottom w:val="single" w:color="auto" w:sz="8" w:space="0"/>
              <w:right w:val="single" w:color="auto" w:sz="8" w:space="0"/>
            </w:tcBorders>
            <w:vAlign w:val="center"/>
          </w:tcPr>
          <w:p>
            <w:pPr>
              <w:jc w:val="center"/>
              <w:rPr>
                <w:rFonts w:cs="宋体"/>
                <w:kern w:val="0"/>
                <w:sz w:val="21"/>
                <w:szCs w:val="21"/>
              </w:rPr>
            </w:pPr>
            <w:r>
              <w:rPr>
                <w:rFonts w:hint="eastAsia" w:ascii="宋体" w:hAnsi="宋体" w:cs="宋体"/>
                <w:kern w:val="0"/>
                <w:sz w:val="21"/>
                <w:szCs w:val="21"/>
                <w:lang w:bidi="ar"/>
              </w:rPr>
              <w:t>中高床公寓组合家具(单人中高公寓床+书桌A)</w:t>
            </w:r>
          </w:p>
        </w:tc>
        <w:tc>
          <w:tcPr>
            <w:tcW w:w="1922" w:type="dxa"/>
            <w:tcBorders>
              <w:top w:val="nil"/>
              <w:left w:val="nil"/>
              <w:bottom w:val="single" w:color="auto" w:sz="8" w:space="0"/>
              <w:right w:val="single" w:color="auto" w:sz="4" w:space="0"/>
            </w:tcBorders>
            <w:vAlign w:val="center"/>
          </w:tcPr>
          <w:p>
            <w:pPr>
              <w:rPr>
                <w:rFonts w:cs="宋体"/>
                <w:kern w:val="0"/>
                <w:sz w:val="21"/>
                <w:szCs w:val="21"/>
              </w:rPr>
            </w:pPr>
          </w:p>
        </w:tc>
        <w:tc>
          <w:tcPr>
            <w:tcW w:w="1132" w:type="dxa"/>
            <w:tcBorders>
              <w:top w:val="nil"/>
              <w:left w:val="nil"/>
              <w:bottom w:val="single" w:color="auto" w:sz="8" w:space="0"/>
              <w:right w:val="single" w:color="auto" w:sz="4" w:space="0"/>
            </w:tcBorders>
            <w:vAlign w:val="center"/>
          </w:tcPr>
          <w:p>
            <w:pPr>
              <w:rPr>
                <w:rFonts w:cs="宋体"/>
                <w:kern w:val="0"/>
                <w:sz w:val="21"/>
                <w:szCs w:val="21"/>
              </w:rPr>
            </w:pPr>
          </w:p>
        </w:tc>
        <w:tc>
          <w:tcPr>
            <w:tcW w:w="729" w:type="dxa"/>
            <w:tcBorders>
              <w:top w:val="nil"/>
              <w:left w:val="single" w:color="auto" w:sz="4"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套</w:t>
            </w:r>
          </w:p>
        </w:tc>
        <w:tc>
          <w:tcPr>
            <w:tcW w:w="818" w:type="dxa"/>
            <w:tcBorders>
              <w:top w:val="single" w:color="auto" w:sz="8" w:space="0"/>
              <w:left w:val="nil"/>
              <w:bottom w:val="single" w:color="auto" w:sz="8" w:space="0"/>
              <w:right w:val="single" w:color="auto" w:sz="8" w:space="0"/>
            </w:tcBorders>
            <w:vAlign w:val="center"/>
          </w:tcPr>
          <w:p>
            <w:pPr>
              <w:pStyle w:val="15"/>
              <w:snapToGrid w:val="0"/>
              <w:spacing w:beforeLines="0" w:afterLines="0" w:line="360" w:lineRule="exact"/>
              <w:jc w:val="center"/>
              <w:outlineLvl w:val="0"/>
              <w:rPr>
                <w:rFonts w:ascii="Times New Roman" w:hAnsi="Times New Roman" w:cs="宋体"/>
                <w:kern w:val="0"/>
                <w:sz w:val="21"/>
                <w:szCs w:val="21"/>
              </w:rPr>
            </w:pPr>
            <w:r>
              <w:rPr>
                <w:rFonts w:hint="eastAsia" w:ascii="Times New Roman" w:hAnsi="Times New Roman" w:cs="宋体"/>
                <w:kern w:val="0"/>
                <w:sz w:val="21"/>
                <w:szCs w:val="21"/>
              </w:rPr>
              <w:t>768</w:t>
            </w:r>
          </w:p>
        </w:tc>
        <w:tc>
          <w:tcPr>
            <w:tcW w:w="116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c>
          <w:tcPr>
            <w:tcW w:w="97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r>
      <w:tr>
        <w:tblPrEx>
          <w:tblCellMar>
            <w:top w:w="0" w:type="dxa"/>
            <w:left w:w="108" w:type="dxa"/>
            <w:bottom w:w="0" w:type="dxa"/>
            <w:right w:w="108" w:type="dxa"/>
          </w:tblCellMar>
        </w:tblPrEx>
        <w:trPr>
          <w:trHeight w:val="454" w:hRule="atLeast"/>
          <w:jc w:val="center"/>
        </w:trPr>
        <w:tc>
          <w:tcPr>
            <w:tcW w:w="2041" w:type="dxa"/>
            <w:tcBorders>
              <w:top w:val="nil"/>
              <w:left w:val="single" w:color="auto" w:sz="8" w:space="0"/>
              <w:bottom w:val="single" w:color="auto" w:sz="8" w:space="0"/>
              <w:right w:val="single" w:color="auto" w:sz="8" w:space="0"/>
            </w:tcBorders>
            <w:vAlign w:val="center"/>
          </w:tcPr>
          <w:p>
            <w:pPr>
              <w:jc w:val="center"/>
              <w:rPr>
                <w:rFonts w:cs="宋体"/>
                <w:kern w:val="0"/>
                <w:sz w:val="21"/>
                <w:szCs w:val="21"/>
              </w:rPr>
            </w:pPr>
            <w:r>
              <w:rPr>
                <w:rFonts w:hint="eastAsia" w:ascii="宋体" w:hAnsi="宋体" w:cs="宋体"/>
                <w:sz w:val="21"/>
                <w:szCs w:val="21"/>
              </w:rPr>
              <w:t>功能性用房组合家具(单人床*2、双人衣柜*1、书桌B*2)</w:t>
            </w:r>
          </w:p>
        </w:tc>
        <w:tc>
          <w:tcPr>
            <w:tcW w:w="1922" w:type="dxa"/>
            <w:tcBorders>
              <w:top w:val="nil"/>
              <w:left w:val="nil"/>
              <w:bottom w:val="single" w:color="auto" w:sz="8" w:space="0"/>
              <w:right w:val="single" w:color="auto" w:sz="4" w:space="0"/>
            </w:tcBorders>
            <w:vAlign w:val="center"/>
          </w:tcPr>
          <w:p>
            <w:pPr>
              <w:rPr>
                <w:rFonts w:cs="宋体"/>
                <w:kern w:val="0"/>
                <w:sz w:val="21"/>
                <w:szCs w:val="21"/>
              </w:rPr>
            </w:pPr>
          </w:p>
        </w:tc>
        <w:tc>
          <w:tcPr>
            <w:tcW w:w="1132" w:type="dxa"/>
            <w:tcBorders>
              <w:top w:val="nil"/>
              <w:left w:val="nil"/>
              <w:bottom w:val="single" w:color="auto" w:sz="8" w:space="0"/>
              <w:right w:val="single" w:color="auto" w:sz="4" w:space="0"/>
            </w:tcBorders>
            <w:vAlign w:val="center"/>
          </w:tcPr>
          <w:p>
            <w:pPr>
              <w:rPr>
                <w:rFonts w:cs="宋体"/>
                <w:kern w:val="0"/>
                <w:sz w:val="21"/>
                <w:szCs w:val="21"/>
              </w:rPr>
            </w:pPr>
          </w:p>
        </w:tc>
        <w:tc>
          <w:tcPr>
            <w:tcW w:w="729" w:type="dxa"/>
            <w:tcBorders>
              <w:top w:val="nil"/>
              <w:left w:val="single" w:color="auto" w:sz="4"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套</w:t>
            </w:r>
          </w:p>
        </w:tc>
        <w:tc>
          <w:tcPr>
            <w:tcW w:w="818" w:type="dxa"/>
            <w:tcBorders>
              <w:top w:val="single" w:color="auto" w:sz="8" w:space="0"/>
              <w:left w:val="nil"/>
              <w:bottom w:val="single" w:color="auto" w:sz="8" w:space="0"/>
              <w:right w:val="single" w:color="auto" w:sz="8" w:space="0"/>
            </w:tcBorders>
            <w:vAlign w:val="center"/>
          </w:tcPr>
          <w:p>
            <w:pPr>
              <w:pStyle w:val="15"/>
              <w:snapToGrid w:val="0"/>
              <w:spacing w:beforeLines="0" w:afterLines="0" w:line="360" w:lineRule="exact"/>
              <w:jc w:val="center"/>
              <w:outlineLvl w:val="0"/>
              <w:rPr>
                <w:rFonts w:ascii="Times New Roman" w:hAnsi="Times New Roman" w:cs="宋体"/>
                <w:kern w:val="0"/>
                <w:sz w:val="21"/>
                <w:szCs w:val="21"/>
              </w:rPr>
            </w:pPr>
            <w:r>
              <w:rPr>
                <w:rFonts w:hint="eastAsia" w:ascii="Times New Roman" w:hAnsi="Times New Roman" w:cs="宋体"/>
                <w:kern w:val="0"/>
                <w:sz w:val="21"/>
                <w:szCs w:val="21"/>
              </w:rPr>
              <w:t>9</w:t>
            </w:r>
          </w:p>
        </w:tc>
        <w:tc>
          <w:tcPr>
            <w:tcW w:w="116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c>
          <w:tcPr>
            <w:tcW w:w="97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r>
      <w:tr>
        <w:tblPrEx>
          <w:tblCellMar>
            <w:top w:w="0" w:type="dxa"/>
            <w:left w:w="108" w:type="dxa"/>
            <w:bottom w:w="0" w:type="dxa"/>
            <w:right w:w="108" w:type="dxa"/>
          </w:tblCellMar>
        </w:tblPrEx>
        <w:trPr>
          <w:trHeight w:val="454" w:hRule="atLeast"/>
          <w:jc w:val="center"/>
        </w:trPr>
        <w:tc>
          <w:tcPr>
            <w:tcW w:w="2041" w:type="dxa"/>
            <w:tcBorders>
              <w:top w:val="nil"/>
              <w:left w:val="single" w:color="auto" w:sz="8"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储物柜D</w:t>
            </w:r>
          </w:p>
        </w:tc>
        <w:tc>
          <w:tcPr>
            <w:tcW w:w="1922" w:type="dxa"/>
            <w:tcBorders>
              <w:top w:val="nil"/>
              <w:left w:val="nil"/>
              <w:bottom w:val="single" w:color="auto" w:sz="8" w:space="0"/>
              <w:right w:val="single" w:color="auto" w:sz="4" w:space="0"/>
            </w:tcBorders>
            <w:vAlign w:val="center"/>
          </w:tcPr>
          <w:p>
            <w:pPr>
              <w:rPr>
                <w:rFonts w:cs="宋体"/>
                <w:kern w:val="0"/>
                <w:sz w:val="21"/>
                <w:szCs w:val="21"/>
              </w:rPr>
            </w:pPr>
          </w:p>
        </w:tc>
        <w:tc>
          <w:tcPr>
            <w:tcW w:w="1132" w:type="dxa"/>
            <w:tcBorders>
              <w:top w:val="nil"/>
              <w:left w:val="nil"/>
              <w:bottom w:val="single" w:color="auto" w:sz="8" w:space="0"/>
              <w:right w:val="single" w:color="auto" w:sz="4" w:space="0"/>
            </w:tcBorders>
            <w:vAlign w:val="center"/>
          </w:tcPr>
          <w:p>
            <w:pPr>
              <w:rPr>
                <w:rFonts w:cs="宋体"/>
                <w:kern w:val="0"/>
                <w:sz w:val="21"/>
                <w:szCs w:val="21"/>
              </w:rPr>
            </w:pPr>
          </w:p>
        </w:tc>
        <w:tc>
          <w:tcPr>
            <w:tcW w:w="729" w:type="dxa"/>
            <w:tcBorders>
              <w:top w:val="nil"/>
              <w:left w:val="single" w:color="auto" w:sz="4"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个</w:t>
            </w:r>
          </w:p>
        </w:tc>
        <w:tc>
          <w:tcPr>
            <w:tcW w:w="818" w:type="dxa"/>
            <w:tcBorders>
              <w:top w:val="single" w:color="auto" w:sz="8" w:space="0"/>
              <w:left w:val="nil"/>
              <w:bottom w:val="single" w:color="auto" w:sz="8" w:space="0"/>
              <w:right w:val="single" w:color="auto" w:sz="8" w:space="0"/>
            </w:tcBorders>
            <w:vAlign w:val="center"/>
          </w:tcPr>
          <w:p>
            <w:pPr>
              <w:pStyle w:val="15"/>
              <w:snapToGrid w:val="0"/>
              <w:spacing w:beforeLines="0" w:afterLines="0" w:line="360" w:lineRule="exact"/>
              <w:jc w:val="center"/>
              <w:outlineLvl w:val="0"/>
              <w:rPr>
                <w:rFonts w:ascii="Times New Roman" w:hAnsi="Times New Roman" w:cs="宋体"/>
                <w:kern w:val="0"/>
                <w:sz w:val="21"/>
                <w:szCs w:val="21"/>
              </w:rPr>
            </w:pPr>
            <w:r>
              <w:rPr>
                <w:rFonts w:hint="eastAsia" w:ascii="Times New Roman" w:hAnsi="Times New Roman" w:cs="宋体"/>
                <w:kern w:val="0"/>
                <w:sz w:val="21"/>
                <w:szCs w:val="21"/>
              </w:rPr>
              <w:t>1430</w:t>
            </w:r>
          </w:p>
        </w:tc>
        <w:tc>
          <w:tcPr>
            <w:tcW w:w="116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c>
          <w:tcPr>
            <w:tcW w:w="97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r>
      <w:tr>
        <w:tblPrEx>
          <w:tblCellMar>
            <w:top w:w="0" w:type="dxa"/>
            <w:left w:w="108" w:type="dxa"/>
            <w:bottom w:w="0" w:type="dxa"/>
            <w:right w:w="108" w:type="dxa"/>
          </w:tblCellMar>
        </w:tblPrEx>
        <w:trPr>
          <w:trHeight w:val="454" w:hRule="atLeast"/>
          <w:jc w:val="center"/>
        </w:trPr>
        <w:tc>
          <w:tcPr>
            <w:tcW w:w="2041" w:type="dxa"/>
            <w:tcBorders>
              <w:top w:val="nil"/>
              <w:left w:val="single" w:color="auto" w:sz="8"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储物柜E</w:t>
            </w:r>
          </w:p>
        </w:tc>
        <w:tc>
          <w:tcPr>
            <w:tcW w:w="1922" w:type="dxa"/>
            <w:tcBorders>
              <w:top w:val="nil"/>
              <w:left w:val="nil"/>
              <w:bottom w:val="single" w:color="auto" w:sz="8" w:space="0"/>
              <w:right w:val="single" w:color="auto" w:sz="4" w:space="0"/>
            </w:tcBorders>
            <w:vAlign w:val="center"/>
          </w:tcPr>
          <w:p>
            <w:pPr>
              <w:rPr>
                <w:rFonts w:cs="宋体"/>
                <w:kern w:val="0"/>
                <w:sz w:val="21"/>
                <w:szCs w:val="21"/>
              </w:rPr>
            </w:pPr>
          </w:p>
        </w:tc>
        <w:tc>
          <w:tcPr>
            <w:tcW w:w="1132" w:type="dxa"/>
            <w:tcBorders>
              <w:top w:val="nil"/>
              <w:left w:val="nil"/>
              <w:bottom w:val="single" w:color="auto" w:sz="8" w:space="0"/>
              <w:right w:val="single" w:color="auto" w:sz="4" w:space="0"/>
            </w:tcBorders>
            <w:vAlign w:val="center"/>
          </w:tcPr>
          <w:p>
            <w:pPr>
              <w:rPr>
                <w:rFonts w:cs="宋体"/>
                <w:kern w:val="0"/>
                <w:sz w:val="21"/>
                <w:szCs w:val="21"/>
              </w:rPr>
            </w:pPr>
          </w:p>
        </w:tc>
        <w:tc>
          <w:tcPr>
            <w:tcW w:w="729" w:type="dxa"/>
            <w:tcBorders>
              <w:top w:val="nil"/>
              <w:left w:val="single" w:color="auto" w:sz="4"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个</w:t>
            </w:r>
          </w:p>
        </w:tc>
        <w:tc>
          <w:tcPr>
            <w:tcW w:w="818" w:type="dxa"/>
            <w:tcBorders>
              <w:top w:val="single" w:color="auto" w:sz="8" w:space="0"/>
              <w:left w:val="nil"/>
              <w:bottom w:val="single" w:color="auto" w:sz="8" w:space="0"/>
              <w:right w:val="single" w:color="auto" w:sz="8" w:space="0"/>
            </w:tcBorders>
            <w:vAlign w:val="center"/>
          </w:tcPr>
          <w:p>
            <w:pPr>
              <w:pStyle w:val="15"/>
              <w:snapToGrid w:val="0"/>
              <w:spacing w:beforeLines="0" w:afterLines="0" w:line="360" w:lineRule="exact"/>
              <w:jc w:val="center"/>
              <w:outlineLvl w:val="0"/>
              <w:rPr>
                <w:rFonts w:ascii="Times New Roman" w:hAnsi="Times New Roman" w:cs="宋体"/>
                <w:kern w:val="0"/>
                <w:sz w:val="21"/>
                <w:szCs w:val="21"/>
              </w:rPr>
            </w:pPr>
            <w:r>
              <w:rPr>
                <w:rFonts w:hint="eastAsia" w:ascii="Times New Roman" w:hAnsi="Times New Roman" w:cs="宋体"/>
                <w:kern w:val="0"/>
                <w:sz w:val="21"/>
                <w:szCs w:val="21"/>
              </w:rPr>
              <w:t>224</w:t>
            </w:r>
          </w:p>
        </w:tc>
        <w:tc>
          <w:tcPr>
            <w:tcW w:w="116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c>
          <w:tcPr>
            <w:tcW w:w="97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r>
      <w:tr>
        <w:tblPrEx>
          <w:tblCellMar>
            <w:top w:w="0" w:type="dxa"/>
            <w:left w:w="108" w:type="dxa"/>
            <w:bottom w:w="0" w:type="dxa"/>
            <w:right w:w="108" w:type="dxa"/>
          </w:tblCellMar>
        </w:tblPrEx>
        <w:trPr>
          <w:trHeight w:val="454" w:hRule="atLeast"/>
          <w:jc w:val="center"/>
        </w:trPr>
        <w:tc>
          <w:tcPr>
            <w:tcW w:w="2041" w:type="dxa"/>
            <w:tcBorders>
              <w:top w:val="nil"/>
              <w:left w:val="single" w:color="auto" w:sz="8"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靠背椅椅</w:t>
            </w:r>
          </w:p>
        </w:tc>
        <w:tc>
          <w:tcPr>
            <w:tcW w:w="1922" w:type="dxa"/>
            <w:tcBorders>
              <w:top w:val="nil"/>
              <w:left w:val="nil"/>
              <w:bottom w:val="single" w:color="auto" w:sz="8" w:space="0"/>
              <w:right w:val="single" w:color="auto" w:sz="4" w:space="0"/>
            </w:tcBorders>
            <w:vAlign w:val="center"/>
          </w:tcPr>
          <w:p>
            <w:pPr>
              <w:rPr>
                <w:rFonts w:cs="宋体"/>
                <w:kern w:val="0"/>
                <w:sz w:val="21"/>
                <w:szCs w:val="21"/>
              </w:rPr>
            </w:pPr>
          </w:p>
        </w:tc>
        <w:tc>
          <w:tcPr>
            <w:tcW w:w="1132" w:type="dxa"/>
            <w:tcBorders>
              <w:top w:val="nil"/>
              <w:left w:val="nil"/>
              <w:bottom w:val="single" w:color="auto" w:sz="8" w:space="0"/>
              <w:right w:val="single" w:color="auto" w:sz="4" w:space="0"/>
            </w:tcBorders>
            <w:vAlign w:val="center"/>
          </w:tcPr>
          <w:p>
            <w:pPr>
              <w:rPr>
                <w:rFonts w:cs="宋体"/>
                <w:kern w:val="0"/>
                <w:sz w:val="21"/>
                <w:szCs w:val="21"/>
              </w:rPr>
            </w:pPr>
          </w:p>
        </w:tc>
        <w:tc>
          <w:tcPr>
            <w:tcW w:w="729" w:type="dxa"/>
            <w:tcBorders>
              <w:top w:val="nil"/>
              <w:left w:val="single" w:color="auto" w:sz="4" w:space="0"/>
              <w:bottom w:val="single" w:color="auto" w:sz="8" w:space="0"/>
              <w:right w:val="single" w:color="auto" w:sz="8" w:space="0"/>
            </w:tcBorders>
            <w:vAlign w:val="center"/>
          </w:tcPr>
          <w:p>
            <w:pPr>
              <w:jc w:val="center"/>
              <w:rPr>
                <w:rFonts w:cs="宋体"/>
                <w:kern w:val="0"/>
                <w:sz w:val="21"/>
                <w:szCs w:val="21"/>
              </w:rPr>
            </w:pPr>
            <w:r>
              <w:rPr>
                <w:rFonts w:hint="eastAsia" w:cs="宋体"/>
                <w:kern w:val="0"/>
                <w:sz w:val="21"/>
                <w:szCs w:val="21"/>
              </w:rPr>
              <w:t>张</w:t>
            </w:r>
          </w:p>
        </w:tc>
        <w:tc>
          <w:tcPr>
            <w:tcW w:w="818" w:type="dxa"/>
            <w:tcBorders>
              <w:top w:val="single" w:color="auto" w:sz="8" w:space="0"/>
              <w:left w:val="nil"/>
              <w:bottom w:val="single" w:color="auto" w:sz="8" w:space="0"/>
              <w:right w:val="single" w:color="auto" w:sz="8" w:space="0"/>
            </w:tcBorders>
            <w:vAlign w:val="center"/>
          </w:tcPr>
          <w:p>
            <w:pPr>
              <w:pStyle w:val="15"/>
              <w:snapToGrid w:val="0"/>
              <w:spacing w:beforeLines="0" w:afterLines="0" w:line="360" w:lineRule="exact"/>
              <w:jc w:val="center"/>
              <w:outlineLvl w:val="0"/>
              <w:rPr>
                <w:rFonts w:ascii="Times New Roman" w:hAnsi="Times New Roman" w:cs="宋体"/>
                <w:kern w:val="0"/>
                <w:sz w:val="21"/>
                <w:szCs w:val="21"/>
              </w:rPr>
            </w:pPr>
            <w:r>
              <w:rPr>
                <w:rFonts w:hint="eastAsia" w:ascii="Times New Roman" w:hAnsi="Times New Roman" w:cs="宋体"/>
                <w:kern w:val="0"/>
                <w:sz w:val="21"/>
                <w:szCs w:val="21"/>
              </w:rPr>
              <w:t>5710</w:t>
            </w:r>
          </w:p>
        </w:tc>
        <w:tc>
          <w:tcPr>
            <w:tcW w:w="116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c>
          <w:tcPr>
            <w:tcW w:w="977" w:type="dxa"/>
            <w:tcBorders>
              <w:top w:val="single" w:color="auto" w:sz="8" w:space="0"/>
              <w:left w:val="nil"/>
              <w:bottom w:val="single" w:color="auto" w:sz="8" w:space="0"/>
              <w:right w:val="single" w:color="auto" w:sz="8" w:space="0"/>
            </w:tcBorders>
            <w:vAlign w:val="center"/>
          </w:tcPr>
          <w:p>
            <w:pPr>
              <w:jc w:val="center"/>
              <w:rPr>
                <w:rFonts w:cs="宋体"/>
                <w:kern w:val="0"/>
                <w:sz w:val="21"/>
                <w:szCs w:val="21"/>
              </w:rPr>
            </w:pPr>
          </w:p>
        </w:tc>
      </w:tr>
      <w:tr>
        <w:tblPrEx>
          <w:tblCellMar>
            <w:top w:w="0" w:type="dxa"/>
            <w:left w:w="108" w:type="dxa"/>
            <w:bottom w:w="0" w:type="dxa"/>
            <w:right w:w="108" w:type="dxa"/>
          </w:tblCellMar>
        </w:tblPrEx>
        <w:trPr>
          <w:trHeight w:val="454" w:hRule="atLeast"/>
          <w:jc w:val="center"/>
        </w:trPr>
        <w:tc>
          <w:tcPr>
            <w:tcW w:w="2041" w:type="dxa"/>
            <w:tcBorders>
              <w:top w:val="nil"/>
              <w:left w:val="single" w:color="auto" w:sz="8" w:space="0"/>
              <w:bottom w:val="single" w:color="auto" w:sz="8" w:space="0"/>
              <w:right w:val="single" w:color="auto" w:sz="4" w:space="0"/>
            </w:tcBorders>
            <w:vAlign w:val="center"/>
          </w:tcPr>
          <w:p>
            <w:pPr>
              <w:jc w:val="center"/>
              <w:rPr>
                <w:rFonts w:cs="宋体"/>
                <w:kern w:val="0"/>
                <w:sz w:val="21"/>
                <w:szCs w:val="21"/>
              </w:rPr>
            </w:pPr>
            <w:r>
              <w:rPr>
                <w:rFonts w:hint="eastAsia" w:cs="宋体"/>
                <w:kern w:val="0"/>
                <w:sz w:val="21"/>
                <w:szCs w:val="21"/>
              </w:rPr>
              <w:t>合计（大写）</w:t>
            </w:r>
          </w:p>
        </w:tc>
        <w:tc>
          <w:tcPr>
            <w:tcW w:w="5768" w:type="dxa"/>
            <w:gridSpan w:val="5"/>
            <w:tcBorders>
              <w:top w:val="nil"/>
              <w:left w:val="single" w:color="auto" w:sz="4" w:space="0"/>
              <w:bottom w:val="single" w:color="auto" w:sz="8" w:space="0"/>
              <w:right w:val="single" w:color="auto" w:sz="8" w:space="0"/>
            </w:tcBorders>
            <w:vAlign w:val="center"/>
          </w:tcPr>
          <w:p>
            <w:pPr>
              <w:jc w:val="left"/>
              <w:rPr>
                <w:rFonts w:cs="宋体"/>
                <w:kern w:val="0"/>
                <w:sz w:val="21"/>
                <w:szCs w:val="21"/>
              </w:rPr>
            </w:pPr>
          </w:p>
        </w:tc>
        <w:tc>
          <w:tcPr>
            <w:tcW w:w="977" w:type="dxa"/>
            <w:tcBorders>
              <w:top w:val="nil"/>
              <w:left w:val="nil"/>
              <w:bottom w:val="single" w:color="auto" w:sz="8" w:space="0"/>
              <w:right w:val="single" w:color="auto" w:sz="8" w:space="0"/>
            </w:tcBorders>
            <w:vAlign w:val="center"/>
          </w:tcPr>
          <w:p>
            <w:pPr>
              <w:jc w:val="center"/>
              <w:rPr>
                <w:rFonts w:cs="宋体"/>
                <w:kern w:val="0"/>
                <w:sz w:val="21"/>
                <w:szCs w:val="21"/>
              </w:rPr>
            </w:pPr>
          </w:p>
        </w:tc>
      </w:tr>
    </w:tbl>
    <w:p>
      <w:pPr>
        <w:numPr>
          <w:ilvl w:val="0"/>
          <w:numId w:val="12"/>
        </w:numPr>
        <w:spacing w:line="400" w:lineRule="exact"/>
        <w:jc w:val="left"/>
        <w:rPr>
          <w:rFonts w:cs="宋体"/>
          <w:sz w:val="24"/>
        </w:rPr>
      </w:pPr>
      <w:r>
        <w:rPr>
          <w:rFonts w:hint="eastAsia" w:cs="宋体"/>
          <w:sz w:val="24"/>
        </w:rPr>
        <w:t>以上价款以人民币进行结算。该价款为固定价，已包含货款、运输、装卸、安装、调试、利润、税收、各种代理费等一切费用。</w:t>
      </w:r>
    </w:p>
    <w:p>
      <w:pPr>
        <w:snapToGrid w:val="0"/>
        <w:spacing w:before="156" w:beforeLines="50" w:after="156" w:afterLines="50" w:line="300" w:lineRule="exact"/>
        <w:outlineLvl w:val="0"/>
        <w:rPr>
          <w:rFonts w:cs="宋体"/>
          <w:bCs/>
          <w:sz w:val="24"/>
        </w:rPr>
        <w:sectPr>
          <w:headerReference r:id="rId11" w:type="default"/>
          <w:footerReference r:id="rId12" w:type="default"/>
          <w:pgSz w:w="11906" w:h="16838"/>
          <w:pgMar w:top="1440" w:right="1800" w:bottom="1440" w:left="1800" w:header="851" w:footer="992" w:gutter="0"/>
          <w:cols w:space="720" w:num="1"/>
          <w:docGrid w:type="lines" w:linePitch="312" w:charSpace="0"/>
        </w:sectPr>
      </w:pPr>
      <w:r>
        <w:rPr>
          <w:rFonts w:hAnsi="宋体" w:cs="宋体"/>
          <w:sz w:val="24"/>
        </w:rPr>
        <w:t>3.乙方要对每个寝室重新复核安装尺寸参数，保证产品安装后与现场预留空间适配。并且，按甲方要求免费提供相关技术服务。另外，寝室床及配套家具的最终尺寸参数，以户型尺寸为准。</w:t>
      </w:r>
      <w:r>
        <w:rPr>
          <w:rFonts w:hint="eastAsia" w:hAnsi="宋体" w:cs="宋体"/>
          <w:sz w:val="24"/>
        </w:rPr>
        <w:t>整体尺寸</w:t>
      </w:r>
      <w:r>
        <w:rPr>
          <w:rFonts w:hint="eastAsia" w:cs="宋体"/>
          <w:bCs/>
          <w:sz w:val="24"/>
        </w:rPr>
        <w:t>允许±50mm的偏差范围，</w:t>
      </w:r>
      <w:r>
        <w:rPr>
          <w:rFonts w:ascii="PingFang-SC-Regular" w:hAnsi="PingFang-SC-Regular" w:eastAsia="PingFang-SC-Regular" w:cs="PingFang-SC-Regular"/>
          <w:sz w:val="22"/>
          <w:szCs w:val="22"/>
          <w:shd w:val="clear" w:color="auto" w:fill="FDFDFE"/>
        </w:rPr>
        <w:t>在此偏差范围内的单价维持不变</w:t>
      </w:r>
      <w:r>
        <w:rPr>
          <w:rFonts w:hint="eastAsia" w:cs="宋体"/>
          <w:bCs/>
          <w:sz w:val="24"/>
        </w:rPr>
        <w:t>。</w:t>
      </w:r>
    </w:p>
    <w:p>
      <w:pPr>
        <w:pStyle w:val="11"/>
        <w:rPr>
          <w:rFonts w:hint="default" w:cs="宋体"/>
          <w:sz w:val="24"/>
        </w:rPr>
      </w:pPr>
    </w:p>
    <w:p>
      <w:pPr>
        <w:spacing w:line="400" w:lineRule="exact"/>
        <w:ind w:firstLine="482" w:firstLineChars="200"/>
        <w:jc w:val="left"/>
        <w:rPr>
          <w:rFonts w:cs="宋体"/>
          <w:b/>
          <w:sz w:val="24"/>
        </w:rPr>
      </w:pPr>
      <w:r>
        <w:rPr>
          <w:rFonts w:hint="eastAsia" w:cs="宋体"/>
          <w:b/>
          <w:sz w:val="24"/>
        </w:rPr>
        <w:t>第二条  交货时间、地点及安装规定</w:t>
      </w:r>
    </w:p>
    <w:p>
      <w:pPr>
        <w:pStyle w:val="15"/>
        <w:snapToGrid w:val="0"/>
        <w:spacing w:beforeLines="0" w:afterLines="0" w:line="400" w:lineRule="exact"/>
        <w:ind w:firstLine="480" w:firstLineChars="200"/>
        <w:rPr>
          <w:rFonts w:hint="eastAsia" w:hAnsi="宋体"/>
          <w:u w:val="single"/>
        </w:rPr>
      </w:pPr>
      <w:r>
        <w:rPr>
          <w:rFonts w:hint="eastAsia" w:hAnsi="宋体"/>
          <w:u w:val="single"/>
        </w:rPr>
        <w:t>本次采购标的分两批实施安装和验收，（1）第一批：安装数量为二连体中梯公寓床A共808套、 中高床公寓组合家具共768套，靠背椅共2384张，根据第一批寝室改造的进度，计划于7月25日左右与改造施工交叉进场安装，要求2025年8月25日前需完成全部安装、调试及寝室空气抽样检测，若因寝室改造原因导致安装工期缩短，乙方须无条件配合甲方加派人手按时完成安装，如部分房间因改造暂时无法进场安装等情况则双方另行协商进场安装的时间。</w:t>
      </w:r>
    </w:p>
    <w:p>
      <w:pPr>
        <w:pStyle w:val="15"/>
        <w:numPr>
          <w:ilvl w:val="0"/>
          <w:numId w:val="16"/>
        </w:numPr>
        <w:snapToGrid w:val="0"/>
        <w:spacing w:beforeLines="0" w:afterLines="0" w:line="400" w:lineRule="exact"/>
        <w:ind w:firstLine="480" w:firstLineChars="200"/>
        <w:rPr>
          <w:rFonts w:hint="eastAsia" w:hAnsi="宋体"/>
          <w:u w:val="single"/>
        </w:rPr>
      </w:pPr>
      <w:r>
        <w:rPr>
          <w:rFonts w:hint="eastAsia" w:hAnsi="宋体"/>
          <w:u w:val="single"/>
        </w:rPr>
        <w:t>第二批：安装数量为二连体中梯公寓床B共1654套、功能性用房组合家具共9套、储物柜D共1430个、储物柜E共224个、靠背椅共3326张， 计划根据第二批寝室改造进度进场安装，原则上于2026年7月20日前完成安装、调试及寝室空气抽样检测。如因寝室内部装修进度导致可提前或是需延后的情况，甲方提前一周与乙方协商调整进场安装时间。</w:t>
      </w:r>
    </w:p>
    <w:p>
      <w:pPr>
        <w:pStyle w:val="15"/>
        <w:snapToGrid w:val="0"/>
        <w:spacing w:beforeLines="0" w:afterLines="0" w:line="400" w:lineRule="exact"/>
        <w:ind w:firstLine="480" w:firstLineChars="200"/>
        <w:rPr>
          <w:rFonts w:ascii="Times New Roman" w:hAnsi="Times New Roman" w:cs="宋体"/>
          <w:bCs/>
        </w:rPr>
      </w:pPr>
      <w:r>
        <w:rPr>
          <w:rFonts w:hint="eastAsia" w:ascii="Times New Roman" w:hAnsi="Times New Roman" w:cs="宋体"/>
          <w:bCs/>
        </w:rPr>
        <w:t>安装地点： 浙江省金华市婺城区新狮街道迎宾大道688号浙江师范大学校本部校区学生公寓。</w:t>
      </w:r>
    </w:p>
    <w:p>
      <w:pPr>
        <w:spacing w:line="400" w:lineRule="exact"/>
        <w:ind w:firstLine="482" w:firstLineChars="200"/>
        <w:jc w:val="left"/>
        <w:rPr>
          <w:rFonts w:cs="宋体"/>
          <w:b/>
          <w:sz w:val="24"/>
        </w:rPr>
      </w:pPr>
      <w:r>
        <w:rPr>
          <w:rFonts w:hint="eastAsia" w:cs="宋体"/>
          <w:b/>
          <w:sz w:val="24"/>
        </w:rPr>
        <w:t>第三条  货物包装、发运、运输及安装要求</w:t>
      </w:r>
    </w:p>
    <w:p>
      <w:pPr>
        <w:pStyle w:val="15"/>
        <w:snapToGrid w:val="0"/>
        <w:spacing w:beforeLines="0" w:afterLines="0" w:line="400" w:lineRule="exact"/>
        <w:ind w:firstLine="480" w:firstLineChars="200"/>
        <w:jc w:val="left"/>
        <w:rPr>
          <w:rFonts w:ascii="Times New Roman" w:hAnsi="Times New Roman" w:cs="宋体"/>
          <w:kern w:val="0"/>
        </w:rPr>
      </w:pPr>
      <w:r>
        <w:rPr>
          <w:rFonts w:hint="eastAsia" w:ascii="Times New Roman" w:hAnsi="Times New Roman" w:cs="宋体"/>
          <w:kern w:val="0"/>
        </w:rPr>
        <w:t>1．乙方应在货物发运前对其进行满足运输距离、防潮、防震、防锈和防破损装卸等要求包装，以保证货物安全运达甲方指定地点。</w:t>
      </w:r>
    </w:p>
    <w:p>
      <w:pPr>
        <w:pStyle w:val="15"/>
        <w:snapToGrid w:val="0"/>
        <w:spacing w:beforeLines="0" w:afterLines="0" w:line="400" w:lineRule="exact"/>
        <w:ind w:firstLine="480" w:firstLineChars="200"/>
        <w:jc w:val="left"/>
        <w:rPr>
          <w:rFonts w:ascii="Times New Roman" w:hAnsi="Times New Roman" w:cs="宋体"/>
          <w:kern w:val="0"/>
        </w:rPr>
      </w:pPr>
      <w:r>
        <w:rPr>
          <w:rFonts w:hint="eastAsia" w:ascii="Times New Roman" w:hAnsi="Times New Roman" w:cs="宋体"/>
          <w:kern w:val="0"/>
        </w:rPr>
        <w:t>2．货物在规定的交付期限内由乙方送达甲方指定的位置并在验收合格办理相关手续后视为交付。</w:t>
      </w:r>
    </w:p>
    <w:p>
      <w:pPr>
        <w:pStyle w:val="15"/>
        <w:snapToGrid w:val="0"/>
        <w:spacing w:beforeLines="0" w:afterLines="0" w:line="400" w:lineRule="exact"/>
        <w:ind w:firstLine="480" w:firstLineChars="200"/>
        <w:jc w:val="left"/>
        <w:rPr>
          <w:rFonts w:ascii="Times New Roman" w:hAnsi="Times New Roman" w:cs="宋体"/>
          <w:kern w:val="0"/>
        </w:rPr>
      </w:pPr>
      <w:r>
        <w:rPr>
          <w:rFonts w:hint="eastAsia" w:ascii="Times New Roman" w:hAnsi="Times New Roman" w:cs="宋体"/>
          <w:kern w:val="0"/>
        </w:rPr>
        <w:t>3．乙方应保证交付的货物是全新、未使用过的、进货渠道合法的原装合格正品，并完全符合合同规定的质量、规格和性能的要求。若技术性能无特殊说明，则按国家有关部门最新颁布的标准及规范为准。</w:t>
      </w:r>
    </w:p>
    <w:p>
      <w:pPr>
        <w:pStyle w:val="15"/>
        <w:snapToGrid w:val="0"/>
        <w:spacing w:beforeLines="0" w:afterLines="0" w:line="400" w:lineRule="exact"/>
        <w:ind w:firstLine="480" w:firstLineChars="200"/>
        <w:jc w:val="left"/>
        <w:rPr>
          <w:rFonts w:ascii="Times New Roman" w:hAnsi="Times New Roman" w:cs="宋体"/>
          <w:kern w:val="0"/>
        </w:rPr>
      </w:pPr>
      <w:r>
        <w:rPr>
          <w:rFonts w:hint="eastAsia" w:ascii="Times New Roman" w:hAnsi="Times New Roman" w:cs="宋体"/>
          <w:kern w:val="0"/>
        </w:rPr>
        <w:t>4．货物在交付甲方前发生的一切风险（包括运输、安装、调试等过程中发生的人身、货物安全问题）均由乙方负责。</w:t>
      </w:r>
    </w:p>
    <w:p>
      <w:pPr>
        <w:pStyle w:val="15"/>
        <w:snapToGrid w:val="0"/>
        <w:spacing w:beforeLines="0" w:afterLines="0" w:line="400" w:lineRule="exact"/>
        <w:ind w:firstLine="480" w:firstLineChars="200"/>
        <w:jc w:val="left"/>
        <w:rPr>
          <w:rFonts w:ascii="Times New Roman" w:hAnsi="Times New Roman" w:cs="宋体"/>
          <w:kern w:val="0"/>
        </w:rPr>
      </w:pPr>
      <w:r>
        <w:rPr>
          <w:rFonts w:hint="eastAsia" w:ascii="Times New Roman" w:hAnsi="Times New Roman" w:cs="宋体"/>
          <w:kern w:val="0"/>
        </w:rPr>
        <w:t>5.乙方根据招投标文件规定免费安装完成并及时清理好货物包装废弃物及其他垃圾；安装过程中如对甲方的建筑物及设备、设施造成损坏的，乙方须负责赔偿或按乙方要求在学校下学期开学前免费修复。</w:t>
      </w:r>
    </w:p>
    <w:p>
      <w:pPr>
        <w:spacing w:line="400" w:lineRule="exact"/>
        <w:ind w:firstLine="482" w:firstLineChars="200"/>
        <w:jc w:val="left"/>
        <w:rPr>
          <w:rFonts w:cs="宋体"/>
          <w:kern w:val="0"/>
          <w:sz w:val="24"/>
        </w:rPr>
      </w:pPr>
      <w:r>
        <w:rPr>
          <w:rFonts w:hint="eastAsia" w:cs="宋体"/>
          <w:b/>
          <w:sz w:val="24"/>
        </w:rPr>
        <w:t>第四条  验收时间、标准</w:t>
      </w:r>
    </w:p>
    <w:p>
      <w:pPr>
        <w:spacing w:line="400" w:lineRule="exact"/>
        <w:ind w:firstLine="480" w:firstLineChars="200"/>
        <w:jc w:val="left"/>
        <w:rPr>
          <w:rFonts w:cs="宋体"/>
          <w:sz w:val="24"/>
        </w:rPr>
      </w:pPr>
      <w:r>
        <w:rPr>
          <w:rFonts w:hint="eastAsia" w:cs="宋体"/>
          <w:sz w:val="24"/>
        </w:rPr>
        <w:t>1.甲方应当在乙方到货送到指定地点并安装调试、空气检测完毕后及时对货物进行验收。</w:t>
      </w:r>
    </w:p>
    <w:p>
      <w:pPr>
        <w:pStyle w:val="15"/>
        <w:snapToGrid w:val="0"/>
        <w:spacing w:beforeLines="0" w:afterLines="0" w:line="400" w:lineRule="exact"/>
        <w:ind w:firstLine="480" w:firstLineChars="200"/>
        <w:rPr>
          <w:rFonts w:ascii="Times New Roman" w:hAnsi="Times New Roman" w:cs="宋体"/>
        </w:rPr>
      </w:pPr>
      <w:r>
        <w:rPr>
          <w:rFonts w:hint="eastAsia" w:ascii="Times New Roman" w:hAnsi="Times New Roman" w:cs="宋体"/>
        </w:rPr>
        <w:t>2.乙方所供产品的规格、数量、材质、颜色符合招标文件、甲方投标承诺和样品的要求，且外观完好，无严重碰撞、表皮脱落、五金件生锈等明显瑕疵，结构牢固，无安全隐患。</w:t>
      </w:r>
    </w:p>
    <w:p>
      <w:pPr>
        <w:pStyle w:val="15"/>
        <w:snapToGrid w:val="0"/>
        <w:spacing w:beforeLines="0" w:afterLines="0" w:line="400" w:lineRule="exact"/>
        <w:ind w:firstLine="480" w:firstLineChars="200"/>
        <w:rPr>
          <w:rFonts w:ascii="Times New Roman" w:hAnsi="Times New Roman" w:cs="宋体"/>
          <w:bCs/>
        </w:rPr>
      </w:pPr>
      <w:r>
        <w:rPr>
          <w:rFonts w:hint="eastAsia" w:ascii="Times New Roman" w:hAnsi="Times New Roman" w:cs="宋体"/>
        </w:rPr>
        <w:t>3.</w:t>
      </w:r>
      <w:r>
        <w:rPr>
          <w:rFonts w:hint="eastAsia" w:ascii="Times New Roman" w:hAnsi="Times New Roman" w:cs="宋体"/>
          <w:kern w:val="0"/>
        </w:rPr>
        <w:t>甲方可在货物生产全过程中进行监督检查，</w:t>
      </w:r>
      <w:r>
        <w:rPr>
          <w:rFonts w:hint="eastAsia" w:ascii="Times New Roman" w:hAnsi="Times New Roman" w:cs="宋体"/>
        </w:rPr>
        <w:t>由甲方聘请具备资质的</w:t>
      </w:r>
      <w:r>
        <w:rPr>
          <w:rFonts w:hint="eastAsia" w:ascii="Times New Roman" w:hAnsi="Times New Roman" w:cs="宋体"/>
          <w:kern w:val="0"/>
        </w:rPr>
        <w:t>第三方检测机构全程跟踪检测，并出具检测报告，包括初期原材料检测，中期半成品跟踪检测，后期成品检测及安装后寝室空气检测。</w:t>
      </w:r>
      <w:r>
        <w:rPr>
          <w:rFonts w:hint="eastAsia" w:ascii="Times New Roman" w:hAnsi="Times New Roman" w:cs="宋体"/>
          <w:bCs/>
        </w:rPr>
        <w:t>检测结果符合招标文件供应商投标承诺及采购合同约定的要求，检测</w:t>
      </w:r>
      <w:r>
        <w:rPr>
          <w:rFonts w:hint="eastAsia" w:ascii="Times New Roman" w:hAnsi="Times New Roman" w:cs="宋体"/>
          <w:kern w:val="0"/>
        </w:rPr>
        <w:t>费用由乙方承担。</w:t>
      </w:r>
    </w:p>
    <w:p>
      <w:pPr>
        <w:pStyle w:val="15"/>
        <w:snapToGrid w:val="0"/>
        <w:spacing w:beforeLines="0" w:afterLines="0" w:line="400" w:lineRule="exact"/>
        <w:ind w:firstLine="480" w:firstLineChars="200"/>
        <w:rPr>
          <w:rFonts w:ascii="Times New Roman" w:hAnsi="Times New Roman" w:cs="宋体"/>
        </w:rPr>
      </w:pPr>
      <w:r>
        <w:rPr>
          <w:rFonts w:hint="eastAsia" w:ascii="Times New Roman" w:hAnsi="Times New Roman" w:cs="宋体"/>
        </w:rPr>
        <w:t>4.乙方已按合同规定提供了符合招标文件规定的货物，所有的技术资料和清单、检测报告等已向甲方提交并被接受，验收视为合格。若因乙方制造工艺、质量问题等导致验收不合格，乙方应及时处理，直至验收合格，期间发生的一切费用乙方承担，甲方保留向乙方索赔的权利。</w:t>
      </w:r>
    </w:p>
    <w:p>
      <w:pPr>
        <w:pStyle w:val="11"/>
        <w:ind w:firstLine="480" w:firstLineChars="207"/>
        <w:rPr>
          <w:rFonts w:hint="default" w:cs="宋体"/>
          <w:bCs/>
          <w:sz w:val="24"/>
        </w:rPr>
      </w:pPr>
      <w:r>
        <w:rPr>
          <w:rFonts w:cs="宋体"/>
          <w:bCs/>
          <w:sz w:val="24"/>
        </w:rPr>
        <w:t>5. 如到校安装的主材及备件的破坏性检测（抽检验收后的复原工作由乙方免费负责）不符合招标文件供应商投标承诺、样品及采购合同约定的要求，校方有权不支付剩余货款并追讨已支付货款，并追究相应的违约责任。</w:t>
      </w:r>
    </w:p>
    <w:p>
      <w:pPr>
        <w:pStyle w:val="11"/>
        <w:ind w:firstLine="480" w:firstLineChars="207"/>
        <w:rPr>
          <w:rFonts w:hAnsi="宋体" w:cs="宋体"/>
          <w:sz w:val="24"/>
          <w:szCs w:val="24"/>
        </w:rPr>
      </w:pPr>
      <w:r>
        <w:rPr>
          <w:rFonts w:hAnsi="宋体" w:cs="宋体"/>
          <w:sz w:val="24"/>
          <w:szCs w:val="24"/>
        </w:rPr>
        <w:t>6.招标文件其他规定。</w:t>
      </w:r>
    </w:p>
    <w:p>
      <w:pPr>
        <w:spacing w:line="300" w:lineRule="exact"/>
        <w:ind w:firstLine="482" w:firstLineChars="200"/>
        <w:rPr>
          <w:rFonts w:cs="宋体"/>
          <w:b/>
          <w:bCs/>
          <w:kern w:val="0"/>
          <w:sz w:val="24"/>
          <w:shd w:val="clear" w:color="FFFFFF" w:fill="D9D9D9"/>
        </w:rPr>
      </w:pPr>
      <w:r>
        <w:rPr>
          <w:rFonts w:hint="eastAsia" w:cs="宋体"/>
          <w:b/>
          <w:bCs/>
          <w:kern w:val="0"/>
          <w:sz w:val="24"/>
        </w:rPr>
        <w:t>第五条  货款支付</w:t>
      </w:r>
    </w:p>
    <w:p>
      <w:pPr>
        <w:spacing w:line="360" w:lineRule="auto"/>
        <w:ind w:firstLine="720" w:firstLineChars="300"/>
        <w:jc w:val="left"/>
      </w:pPr>
      <w:r>
        <w:rPr>
          <w:rFonts w:hint="eastAsia" w:ascii="宋体" w:hAnsi="宋体"/>
          <w:iCs/>
          <w:sz w:val="24"/>
        </w:rPr>
        <w:t>乙方向甲方出具付款项的全额增值税普通发票，分四次支付。</w:t>
      </w:r>
    </w:p>
    <w:tbl>
      <w:tblPr>
        <w:tblStyle w:val="29"/>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891"/>
        <w:gridCol w:w="1701"/>
        <w:gridCol w:w="572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891" w:type="dxa"/>
            <w:vAlign w:val="center"/>
          </w:tcPr>
          <w:p>
            <w:pPr>
              <w:spacing w:line="360" w:lineRule="auto"/>
              <w:jc w:val="center"/>
              <w:rPr>
                <w:rFonts w:hint="eastAsia" w:ascii="宋体" w:hAnsi="宋体" w:cs="仿宋_GB2312"/>
                <w:sz w:val="24"/>
              </w:rPr>
            </w:pPr>
            <w:r>
              <w:rPr>
                <w:rFonts w:hint="eastAsia" w:ascii="宋体" w:hAnsi="宋体" w:cs="仿宋_GB2312"/>
                <w:sz w:val="24"/>
              </w:rPr>
              <w:t>序号</w:t>
            </w:r>
          </w:p>
        </w:tc>
        <w:tc>
          <w:tcPr>
            <w:tcW w:w="1701" w:type="dxa"/>
            <w:vAlign w:val="center"/>
          </w:tcPr>
          <w:p>
            <w:pPr>
              <w:spacing w:line="360" w:lineRule="auto"/>
              <w:jc w:val="center"/>
              <w:rPr>
                <w:rFonts w:hint="eastAsia" w:ascii="宋体" w:hAnsi="宋体" w:cs="仿宋_GB2312"/>
                <w:sz w:val="24"/>
              </w:rPr>
            </w:pPr>
            <w:r>
              <w:rPr>
                <w:rFonts w:hint="eastAsia" w:ascii="宋体" w:hAnsi="宋体" w:cs="仿宋_GB2312"/>
                <w:sz w:val="24"/>
              </w:rPr>
              <w:t>付款比例（%）</w:t>
            </w:r>
          </w:p>
        </w:tc>
        <w:tc>
          <w:tcPr>
            <w:tcW w:w="5720" w:type="dxa"/>
            <w:vAlign w:val="center"/>
          </w:tcPr>
          <w:p>
            <w:pPr>
              <w:spacing w:line="360" w:lineRule="auto"/>
              <w:jc w:val="center"/>
              <w:rPr>
                <w:rFonts w:hint="eastAsia" w:ascii="宋体" w:hAnsi="宋体" w:cs="仿宋_GB2312"/>
                <w:sz w:val="24"/>
              </w:rPr>
            </w:pPr>
            <w:r>
              <w:rPr>
                <w:rFonts w:hint="eastAsia" w:ascii="宋体" w:hAnsi="宋体" w:cs="仿宋_GB2312"/>
                <w:sz w:val="24"/>
              </w:rPr>
              <w:t>考核要求</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vAlign w:val="center"/>
          </w:tcPr>
          <w:p>
            <w:pPr>
              <w:spacing w:line="360" w:lineRule="auto"/>
              <w:jc w:val="center"/>
              <w:rPr>
                <w:rFonts w:hint="eastAsia" w:ascii="宋体" w:hAnsi="宋体" w:cs="仿宋_GB2312"/>
                <w:sz w:val="24"/>
              </w:rPr>
            </w:pPr>
            <w:r>
              <w:rPr>
                <w:rFonts w:hint="eastAsia" w:ascii="宋体" w:hAnsi="宋体" w:cs="仿宋_GB2312"/>
                <w:sz w:val="24"/>
              </w:rPr>
              <w:t>1</w:t>
            </w:r>
          </w:p>
        </w:tc>
        <w:tc>
          <w:tcPr>
            <w:tcW w:w="1701" w:type="dxa"/>
            <w:vAlign w:val="center"/>
          </w:tcPr>
          <w:p>
            <w:pPr>
              <w:spacing w:line="360" w:lineRule="auto"/>
              <w:jc w:val="center"/>
              <w:rPr>
                <w:rFonts w:hint="eastAsia" w:ascii="宋体" w:hAnsi="宋体" w:cs="仿宋_GB2312"/>
                <w:sz w:val="24"/>
              </w:rPr>
            </w:pPr>
            <w:r>
              <w:rPr>
                <w:rFonts w:hint="eastAsia" w:ascii="宋体" w:hAnsi="宋体" w:cs="仿宋_GB2312"/>
                <w:sz w:val="24"/>
              </w:rPr>
              <w:t>15%</w:t>
            </w:r>
          </w:p>
        </w:tc>
        <w:tc>
          <w:tcPr>
            <w:tcW w:w="5720" w:type="dxa"/>
            <w:vAlign w:val="center"/>
          </w:tcPr>
          <w:p>
            <w:pPr>
              <w:spacing w:line="360" w:lineRule="auto"/>
              <w:jc w:val="center"/>
              <w:rPr>
                <w:rFonts w:hint="eastAsia" w:ascii="宋体" w:hAnsi="宋体" w:cs="仿宋_GB2312"/>
                <w:sz w:val="24"/>
              </w:rPr>
            </w:pPr>
            <w:r>
              <w:rPr>
                <w:rFonts w:hint="eastAsia" w:ascii="宋体" w:hAnsi="宋体" w:cs="仿宋_GB2312"/>
                <w:sz w:val="24"/>
              </w:rPr>
              <w:t>在</w:t>
            </w:r>
            <w:r>
              <w:rPr>
                <w:rFonts w:ascii="宋体" w:hAnsi="宋体" w:cs="仿宋_GB2312"/>
                <w:sz w:val="24"/>
              </w:rPr>
              <w:t>合同生效以及</w:t>
            </w:r>
            <w:r>
              <w:rPr>
                <w:rFonts w:hint="eastAsia" w:ascii="宋体" w:hAnsi="宋体" w:cs="仿宋_GB2312"/>
                <w:sz w:val="24"/>
              </w:rPr>
              <w:t>第一批货物</w:t>
            </w:r>
            <w:r>
              <w:rPr>
                <w:rFonts w:ascii="宋体" w:hAnsi="宋体" w:cs="仿宋_GB2312"/>
                <w:sz w:val="24"/>
              </w:rPr>
              <w:t>具备实施条件后且乙方已向甲方提交银行、保险公司等金融机构出具的预付款保函的，甲方向乙方支付</w:t>
            </w:r>
            <w:r>
              <w:rPr>
                <w:rFonts w:hint="eastAsia" w:ascii="宋体" w:hAnsi="宋体" w:cs="仿宋_GB2312"/>
                <w:sz w:val="24"/>
              </w:rPr>
              <w:t>合同总金额</w:t>
            </w:r>
            <w:r>
              <w:rPr>
                <w:rFonts w:ascii="宋体" w:hAnsi="宋体" w:cs="仿宋_GB2312"/>
                <w:sz w:val="24"/>
              </w:rPr>
              <w:t>的</w:t>
            </w:r>
            <w:r>
              <w:rPr>
                <w:rFonts w:hint="eastAsia" w:ascii="宋体" w:hAnsi="宋体" w:cs="仿宋_GB2312"/>
                <w:sz w:val="24"/>
              </w:rPr>
              <w:t>15</w:t>
            </w:r>
            <w:r>
              <w:rPr>
                <w:rFonts w:ascii="宋体" w:hAnsi="宋体" w:cs="仿宋_GB2312"/>
                <w:sz w:val="24"/>
              </w:rPr>
              <w:t>%</w:t>
            </w:r>
            <w:r>
              <w:rPr>
                <w:rFonts w:hint="eastAsia" w:ascii="宋体" w:hAnsi="宋体" w:cs="仿宋_GB2312"/>
                <w:sz w:val="24"/>
              </w:rPr>
              <w:t>，主要用于第一批货物生产。</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vAlign w:val="center"/>
          </w:tcPr>
          <w:p>
            <w:pPr>
              <w:spacing w:line="360" w:lineRule="auto"/>
              <w:jc w:val="center"/>
              <w:rPr>
                <w:rFonts w:hint="eastAsia" w:ascii="宋体" w:hAnsi="宋体" w:cs="仿宋_GB2312"/>
                <w:sz w:val="24"/>
              </w:rPr>
            </w:pPr>
            <w:r>
              <w:rPr>
                <w:rFonts w:hint="eastAsia" w:ascii="宋体" w:hAnsi="宋体" w:cs="仿宋_GB2312"/>
                <w:sz w:val="24"/>
              </w:rPr>
              <w:t>2</w:t>
            </w:r>
          </w:p>
        </w:tc>
        <w:tc>
          <w:tcPr>
            <w:tcW w:w="1701" w:type="dxa"/>
            <w:vAlign w:val="center"/>
          </w:tcPr>
          <w:p>
            <w:pPr>
              <w:spacing w:line="360" w:lineRule="auto"/>
              <w:jc w:val="center"/>
              <w:rPr>
                <w:rFonts w:hint="eastAsia" w:ascii="宋体" w:hAnsi="宋体" w:cs="仿宋_GB2312"/>
                <w:sz w:val="24"/>
              </w:rPr>
            </w:pPr>
            <w:r>
              <w:rPr>
                <w:rFonts w:hint="eastAsia" w:ascii="宋体" w:hAnsi="宋体" w:cs="仿宋_GB2312"/>
                <w:sz w:val="24"/>
              </w:rPr>
              <w:t>25%</w:t>
            </w:r>
          </w:p>
        </w:tc>
        <w:tc>
          <w:tcPr>
            <w:tcW w:w="5720" w:type="dxa"/>
            <w:vAlign w:val="center"/>
          </w:tcPr>
          <w:p>
            <w:pPr>
              <w:spacing w:line="360" w:lineRule="auto"/>
              <w:jc w:val="center"/>
              <w:rPr>
                <w:rFonts w:hint="eastAsia" w:ascii="宋体" w:hAnsi="宋体" w:cs="仿宋_GB2312"/>
                <w:sz w:val="24"/>
              </w:rPr>
            </w:pPr>
            <w:r>
              <w:rPr>
                <w:rFonts w:hint="eastAsia" w:ascii="宋体" w:hAnsi="宋体" w:cs="仿宋_GB2312"/>
                <w:sz w:val="24"/>
              </w:rPr>
              <w:t>第一批货物在安装调试完毕且验收合格后，在提供其他符合采购方付款流程所需材料的前提下，甲方在七个工作日内向乙方支付合同总金额</w:t>
            </w:r>
            <w:r>
              <w:rPr>
                <w:rFonts w:ascii="宋体" w:hAnsi="宋体" w:cs="仿宋_GB2312"/>
                <w:sz w:val="24"/>
              </w:rPr>
              <w:t>的</w:t>
            </w:r>
            <w:r>
              <w:rPr>
                <w:rFonts w:hint="eastAsia" w:ascii="宋体" w:hAnsi="宋体" w:cs="仿宋_GB2312"/>
                <w:sz w:val="24"/>
              </w:rPr>
              <w:t>25%。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vAlign w:val="center"/>
          </w:tcPr>
          <w:p>
            <w:pPr>
              <w:spacing w:line="360" w:lineRule="auto"/>
              <w:jc w:val="center"/>
              <w:rPr>
                <w:rFonts w:hint="eastAsia" w:ascii="宋体" w:hAnsi="宋体" w:cs="仿宋_GB2312"/>
                <w:sz w:val="24"/>
              </w:rPr>
            </w:pPr>
            <w:r>
              <w:rPr>
                <w:rFonts w:hint="eastAsia" w:ascii="宋体" w:hAnsi="宋体" w:cs="仿宋_GB2312"/>
                <w:sz w:val="24"/>
              </w:rPr>
              <w:t>3</w:t>
            </w:r>
          </w:p>
          <w:p>
            <w:pPr>
              <w:spacing w:line="360" w:lineRule="auto"/>
              <w:jc w:val="center"/>
              <w:rPr>
                <w:rFonts w:hint="eastAsia" w:ascii="宋体" w:hAnsi="宋体" w:cs="仿宋_GB2312"/>
                <w:sz w:val="24"/>
              </w:rPr>
            </w:pPr>
          </w:p>
        </w:tc>
        <w:tc>
          <w:tcPr>
            <w:tcW w:w="1701" w:type="dxa"/>
            <w:vAlign w:val="center"/>
          </w:tcPr>
          <w:p>
            <w:pPr>
              <w:spacing w:line="360" w:lineRule="auto"/>
              <w:jc w:val="center"/>
              <w:rPr>
                <w:rFonts w:hint="eastAsia" w:ascii="宋体" w:hAnsi="宋体" w:cs="仿宋_GB2312"/>
                <w:sz w:val="24"/>
              </w:rPr>
            </w:pPr>
            <w:r>
              <w:rPr>
                <w:rFonts w:hint="eastAsia" w:ascii="宋体" w:hAnsi="宋体" w:cs="仿宋_GB2312"/>
                <w:sz w:val="24"/>
              </w:rPr>
              <w:t>25%</w:t>
            </w:r>
          </w:p>
        </w:tc>
        <w:tc>
          <w:tcPr>
            <w:tcW w:w="5720" w:type="dxa"/>
            <w:vAlign w:val="center"/>
          </w:tcPr>
          <w:p>
            <w:pPr>
              <w:spacing w:line="360" w:lineRule="auto"/>
              <w:jc w:val="center"/>
              <w:rPr>
                <w:rFonts w:hint="eastAsia" w:ascii="宋体" w:hAnsi="宋体" w:cs="仿宋_GB2312"/>
                <w:sz w:val="24"/>
              </w:rPr>
            </w:pPr>
            <w:r>
              <w:rPr>
                <w:rFonts w:hint="eastAsia" w:ascii="宋体" w:hAnsi="宋体" w:cs="仿宋_GB2312"/>
                <w:sz w:val="24"/>
              </w:rPr>
              <w:t>在第二批货物</w:t>
            </w:r>
            <w:r>
              <w:rPr>
                <w:rFonts w:ascii="宋体" w:hAnsi="宋体" w:cs="仿宋_GB2312"/>
                <w:sz w:val="24"/>
              </w:rPr>
              <w:t>具备实施条件后且乙方已向甲方提交银行、保险公司等金融机构出具的预付款保函的，甲方向乙方支付</w:t>
            </w:r>
            <w:r>
              <w:rPr>
                <w:rFonts w:hint="eastAsia" w:ascii="宋体" w:hAnsi="宋体" w:cs="仿宋_GB2312"/>
                <w:sz w:val="24"/>
              </w:rPr>
              <w:t>合同总金额</w:t>
            </w:r>
            <w:r>
              <w:rPr>
                <w:rFonts w:ascii="宋体" w:hAnsi="宋体" w:cs="仿宋_GB2312"/>
                <w:sz w:val="24"/>
              </w:rPr>
              <w:t>的</w:t>
            </w:r>
            <w:r>
              <w:rPr>
                <w:rFonts w:hint="eastAsia" w:ascii="宋体" w:hAnsi="宋体" w:cs="仿宋_GB2312"/>
                <w:sz w:val="24"/>
              </w:rPr>
              <w:t>25</w:t>
            </w:r>
            <w:r>
              <w:rPr>
                <w:rFonts w:ascii="宋体" w:hAnsi="宋体" w:cs="仿宋_GB2312"/>
                <w:sz w:val="24"/>
              </w:rPr>
              <w:t>%</w:t>
            </w:r>
            <w:r>
              <w:rPr>
                <w:rFonts w:hint="eastAsia" w:ascii="宋体" w:hAnsi="宋体" w:cs="仿宋_GB2312"/>
                <w:sz w:val="24"/>
              </w:rPr>
              <w:t>，主要用于第二批货物生产。</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91" w:type="dxa"/>
            <w:vAlign w:val="center"/>
          </w:tcPr>
          <w:p>
            <w:pPr>
              <w:spacing w:line="360" w:lineRule="auto"/>
              <w:jc w:val="center"/>
              <w:rPr>
                <w:rFonts w:hint="eastAsia" w:ascii="宋体" w:hAnsi="宋体" w:cs="仿宋_GB2312"/>
                <w:sz w:val="24"/>
              </w:rPr>
            </w:pPr>
            <w:r>
              <w:rPr>
                <w:rFonts w:hint="eastAsia" w:ascii="宋体" w:hAnsi="宋体" w:cs="仿宋_GB2312"/>
                <w:sz w:val="24"/>
              </w:rPr>
              <w:t>4</w:t>
            </w:r>
          </w:p>
        </w:tc>
        <w:tc>
          <w:tcPr>
            <w:tcW w:w="1701" w:type="dxa"/>
            <w:vAlign w:val="center"/>
          </w:tcPr>
          <w:p>
            <w:pPr>
              <w:spacing w:line="360" w:lineRule="auto"/>
              <w:jc w:val="center"/>
              <w:rPr>
                <w:rFonts w:hint="eastAsia" w:ascii="宋体" w:hAnsi="宋体" w:cs="仿宋_GB2312"/>
                <w:sz w:val="24"/>
              </w:rPr>
            </w:pPr>
            <w:r>
              <w:rPr>
                <w:rFonts w:hint="eastAsia" w:ascii="宋体" w:hAnsi="宋体" w:cs="仿宋_GB2312"/>
                <w:sz w:val="24"/>
              </w:rPr>
              <w:t>35%</w:t>
            </w:r>
          </w:p>
        </w:tc>
        <w:tc>
          <w:tcPr>
            <w:tcW w:w="5720" w:type="dxa"/>
            <w:vAlign w:val="center"/>
          </w:tcPr>
          <w:p>
            <w:pPr>
              <w:spacing w:line="360" w:lineRule="auto"/>
              <w:jc w:val="center"/>
              <w:rPr>
                <w:rFonts w:hint="eastAsia" w:ascii="宋体" w:hAnsi="宋体" w:cs="仿宋_GB2312"/>
                <w:sz w:val="24"/>
              </w:rPr>
            </w:pPr>
            <w:r>
              <w:rPr>
                <w:rFonts w:hint="eastAsia" w:ascii="宋体" w:hAnsi="宋体" w:cs="仿宋_GB2312"/>
                <w:sz w:val="24"/>
              </w:rPr>
              <w:t>第二批货物在安装调试完毕且验收合格后，在提供其他符合采购方付款流程所需材料的前提下，甲方在七个工作日内向乙方支付合同总金额</w:t>
            </w:r>
            <w:r>
              <w:rPr>
                <w:rFonts w:ascii="宋体" w:hAnsi="宋体" w:cs="仿宋_GB2312"/>
                <w:sz w:val="24"/>
              </w:rPr>
              <w:t>的</w:t>
            </w:r>
            <w:r>
              <w:rPr>
                <w:rFonts w:hint="eastAsia" w:ascii="宋体" w:hAnsi="宋体" w:cs="仿宋_GB2312"/>
                <w:sz w:val="24"/>
              </w:rPr>
              <w:t>35%。</w:t>
            </w:r>
          </w:p>
        </w:tc>
      </w:tr>
    </w:tbl>
    <w:p>
      <w:pPr>
        <w:pStyle w:val="15"/>
        <w:snapToGrid w:val="0"/>
        <w:spacing w:beforeLines="0" w:afterLines="0" w:line="400" w:lineRule="exact"/>
        <w:ind w:firstLine="480" w:firstLineChars="200"/>
        <w:rPr>
          <w:rFonts w:ascii="Times New Roman" w:hAnsi="Times New Roman" w:cs="宋体"/>
          <w:bCs/>
        </w:rPr>
      </w:pPr>
      <w:r>
        <w:rPr>
          <w:rFonts w:hint="eastAsia" w:ascii="Times New Roman" w:hAnsi="Times New Roman" w:cs="宋体"/>
          <w:bCs/>
        </w:rPr>
        <w:t>如在签订合同时，中标方明确表示无需预付款或者主动要求降低预付款比例的，可降低预付款比例（预付款保函同步调整）。</w:t>
      </w:r>
    </w:p>
    <w:p>
      <w:pPr>
        <w:spacing w:line="400" w:lineRule="exact"/>
        <w:ind w:firstLine="482" w:firstLineChars="200"/>
        <w:jc w:val="left"/>
        <w:rPr>
          <w:rFonts w:cs="宋体"/>
          <w:b/>
          <w:sz w:val="24"/>
        </w:rPr>
      </w:pPr>
      <w:r>
        <w:rPr>
          <w:rFonts w:hint="eastAsia" w:cs="宋体"/>
          <w:b/>
          <w:sz w:val="24"/>
        </w:rPr>
        <w:t>第六条 质保期、售后服务</w:t>
      </w:r>
    </w:p>
    <w:p>
      <w:pPr>
        <w:spacing w:line="400" w:lineRule="exact"/>
        <w:ind w:firstLine="720" w:firstLineChars="300"/>
        <w:jc w:val="left"/>
        <w:rPr>
          <w:rFonts w:hint="eastAsia" w:ascii="宋体" w:hAnsi="宋体" w:cs="宋体"/>
          <w:sz w:val="24"/>
        </w:rPr>
      </w:pPr>
      <w:r>
        <w:rPr>
          <w:rFonts w:hint="eastAsia" w:cs="宋体"/>
          <w:sz w:val="24"/>
        </w:rPr>
        <w:t>1.</w:t>
      </w:r>
      <w:r>
        <w:rPr>
          <w:rFonts w:hint="eastAsia" w:ascii="宋体" w:hAnsi="宋体" w:cs="宋体"/>
          <w:bCs/>
          <w:sz w:val="24"/>
        </w:rPr>
        <w:t>质保</w:t>
      </w:r>
      <w:r>
        <w:rPr>
          <w:rFonts w:hint="eastAsia" w:ascii="宋体" w:hAnsi="宋体" w:cs="宋体"/>
          <w:sz w:val="24"/>
        </w:rPr>
        <w:t>期：乙方对所供货物提供质保期</w:t>
      </w:r>
      <w:r>
        <w:rPr>
          <w:rFonts w:hint="eastAsia" w:ascii="宋体" w:hAnsi="宋体" w:cs="宋体"/>
          <w:kern w:val="0"/>
          <w:sz w:val="24"/>
          <w:u w:val="single"/>
        </w:rPr>
        <w:t xml:space="preserve">     </w:t>
      </w:r>
      <w:r>
        <w:rPr>
          <w:rFonts w:hint="eastAsia" w:ascii="宋体" w:hAnsi="宋体" w:cs="宋体"/>
          <w:kern w:val="0"/>
          <w:sz w:val="24"/>
        </w:rPr>
        <w:t xml:space="preserve"> </w:t>
      </w:r>
      <w:r>
        <w:rPr>
          <w:rFonts w:hint="eastAsia" w:ascii="宋体" w:hAnsi="宋体" w:cs="宋体"/>
          <w:sz w:val="24"/>
        </w:rPr>
        <w:t>年（自验收合格之日起算）。</w:t>
      </w:r>
    </w:p>
    <w:p>
      <w:pPr>
        <w:spacing w:line="400" w:lineRule="exact"/>
        <w:ind w:firstLine="480" w:firstLineChars="200"/>
        <w:jc w:val="left"/>
        <w:rPr>
          <w:rFonts w:hint="eastAsia" w:ascii="宋体" w:hAnsi="宋体" w:cs="宋体"/>
          <w:kern w:val="0"/>
          <w:sz w:val="24"/>
        </w:rPr>
      </w:pPr>
      <w:r>
        <w:rPr>
          <w:rFonts w:hint="eastAsia" w:ascii="宋体" w:hAnsi="宋体" w:cs="宋体"/>
          <w:sz w:val="24"/>
        </w:rPr>
        <w:t>2.</w:t>
      </w:r>
      <w:r>
        <w:rPr>
          <w:rFonts w:hint="eastAsia" w:ascii="宋体" w:hAnsi="宋体" w:cs="宋体"/>
          <w:kern w:val="0"/>
          <w:sz w:val="24"/>
        </w:rPr>
        <w:t>售后服务：需在浙江省内设有维修点或是安排专门的维修人员，提供24小时报修服务，维修人员在接到报修后24小时内须赶到现场，一般性维修原则上当天完成，因备件不足或维修较为复杂需较长时间的，需免费提供替代产品供学生暂时使用，并提供不间断的服务直到修复完成。维修点一般情况下需备有足够的备件以适应学校维修需要。</w:t>
      </w:r>
    </w:p>
    <w:p>
      <w:pPr>
        <w:spacing w:line="400" w:lineRule="exact"/>
        <w:ind w:firstLine="480" w:firstLineChars="200"/>
        <w:jc w:val="left"/>
        <w:rPr>
          <w:rFonts w:hint="eastAsia" w:ascii="宋体" w:hAnsi="宋体" w:cs="宋体"/>
          <w:kern w:val="0"/>
          <w:sz w:val="24"/>
        </w:rPr>
      </w:pPr>
      <w:r>
        <w:rPr>
          <w:rFonts w:hint="eastAsia" w:ascii="宋体" w:hAnsi="宋体" w:cs="宋体"/>
          <w:kern w:val="0"/>
          <w:sz w:val="24"/>
        </w:rPr>
        <w:t>3.质保期内，乙方须负责对其提供的所有产品进行全面维修，因非人为故意破坏等造成的破损不再收取任何维修费用，对于因人为故意造成的损坏仅收取相应材料费（需提供基本备件的材料费清单）。</w:t>
      </w:r>
    </w:p>
    <w:p>
      <w:pPr>
        <w:spacing w:line="400" w:lineRule="exact"/>
        <w:ind w:firstLine="480" w:firstLineChars="200"/>
        <w:jc w:val="left"/>
        <w:rPr>
          <w:rFonts w:hint="eastAsia" w:ascii="宋体" w:hAnsi="宋体" w:cs="宋体"/>
          <w:kern w:val="0"/>
          <w:sz w:val="24"/>
        </w:rPr>
      </w:pPr>
      <w:r>
        <w:rPr>
          <w:rFonts w:hint="eastAsia" w:ascii="宋体" w:hAnsi="宋体" w:cs="宋体"/>
          <w:kern w:val="0"/>
          <w:sz w:val="24"/>
        </w:rPr>
        <w:t>4.质保期内，学生因产品质量原因发生意外事件的，乙方协助通过产品责任险、产品质量险、公众责任险进行相应的赔偿。</w:t>
      </w:r>
    </w:p>
    <w:p>
      <w:pPr>
        <w:spacing w:line="400" w:lineRule="exact"/>
        <w:ind w:firstLine="480" w:firstLineChars="200"/>
        <w:jc w:val="left"/>
        <w:rPr>
          <w:rFonts w:hint="eastAsia" w:ascii="宋体" w:hAnsi="宋体" w:cs="宋体"/>
          <w:sz w:val="24"/>
        </w:rPr>
      </w:pPr>
      <w:r>
        <w:rPr>
          <w:rFonts w:hint="eastAsia" w:ascii="宋体" w:hAnsi="宋体" w:cs="宋体"/>
          <w:kern w:val="0"/>
          <w:sz w:val="24"/>
        </w:rPr>
        <w:t>5.</w:t>
      </w:r>
      <w:r>
        <w:rPr>
          <w:rFonts w:hint="eastAsia" w:ascii="宋体" w:hAnsi="宋体" w:cs="宋体"/>
          <w:sz w:val="24"/>
        </w:rPr>
        <w:t>甲方对整个售后服务过程进行监督，乙方提供的货物在质保期内因货物本身的质量问题发生故障，乙方应负责免费更换。对达不到技术要求者，根据实际情况，甲方可要求乙方按以下办法处理：</w:t>
      </w:r>
    </w:p>
    <w:p>
      <w:pPr>
        <w:spacing w:line="400" w:lineRule="exact"/>
        <w:ind w:firstLine="480" w:firstLineChars="200"/>
        <w:jc w:val="left"/>
        <w:rPr>
          <w:rFonts w:hint="eastAsia" w:ascii="宋体" w:hAnsi="宋体" w:cs="宋体"/>
          <w:sz w:val="24"/>
        </w:rPr>
      </w:pPr>
      <w:r>
        <w:rPr>
          <w:rFonts w:hint="eastAsia" w:ascii="宋体" w:hAnsi="宋体" w:cs="宋体"/>
          <w:sz w:val="24"/>
        </w:rPr>
        <w:t>（1）更换：由乙方承担所发生的全部费用。</w:t>
      </w:r>
    </w:p>
    <w:p>
      <w:pPr>
        <w:spacing w:line="400" w:lineRule="exact"/>
        <w:ind w:firstLine="480" w:firstLineChars="200"/>
        <w:jc w:val="left"/>
        <w:rPr>
          <w:rFonts w:hint="eastAsia" w:ascii="宋体" w:hAnsi="宋体" w:cs="宋体"/>
          <w:sz w:val="24"/>
        </w:rPr>
      </w:pPr>
      <w:r>
        <w:rPr>
          <w:rFonts w:hint="eastAsia" w:ascii="宋体" w:hAnsi="宋体" w:cs="宋体"/>
          <w:sz w:val="24"/>
        </w:rPr>
        <w:t>（2）退货处理：乙方应退还甲方支付的合同款，同时应承担该货物的直接费用（运输、保险、检验、货款利息及银行手续费等）。</w:t>
      </w:r>
    </w:p>
    <w:p>
      <w:pPr>
        <w:spacing w:line="400" w:lineRule="exact"/>
        <w:ind w:firstLine="480" w:firstLineChars="200"/>
        <w:jc w:val="left"/>
        <w:rPr>
          <w:rFonts w:hint="eastAsia" w:ascii="宋体" w:hAnsi="宋体" w:cs="宋体"/>
          <w:b/>
          <w:sz w:val="24"/>
        </w:rPr>
      </w:pPr>
      <w:r>
        <w:rPr>
          <w:rFonts w:hint="eastAsia" w:ascii="宋体" w:hAnsi="宋体" w:cs="宋体"/>
          <w:sz w:val="24"/>
        </w:rPr>
        <w:t>售后服务承诺详见附件</w:t>
      </w:r>
      <w:r>
        <w:rPr>
          <w:rFonts w:hint="eastAsia" w:ascii="宋体" w:hAnsi="宋体" w:cs="宋体"/>
          <w:sz w:val="24"/>
          <w:u w:val="single"/>
        </w:rPr>
        <w:t xml:space="preserve">     </w:t>
      </w:r>
      <w:r>
        <w:rPr>
          <w:rFonts w:hint="eastAsia" w:ascii="宋体" w:hAnsi="宋体" w:cs="宋体"/>
          <w:sz w:val="24"/>
        </w:rPr>
        <w:t>。</w:t>
      </w:r>
    </w:p>
    <w:p>
      <w:pPr>
        <w:spacing w:line="400" w:lineRule="exact"/>
        <w:ind w:firstLine="482" w:firstLineChars="200"/>
        <w:jc w:val="left"/>
        <w:rPr>
          <w:rFonts w:cs="宋体"/>
          <w:sz w:val="24"/>
        </w:rPr>
      </w:pPr>
      <w:r>
        <w:rPr>
          <w:rFonts w:hint="eastAsia" w:cs="宋体"/>
          <w:b/>
          <w:sz w:val="24"/>
        </w:rPr>
        <w:t>第七条  权利保证</w:t>
      </w:r>
    </w:p>
    <w:p>
      <w:pPr>
        <w:spacing w:line="400" w:lineRule="exact"/>
        <w:ind w:firstLine="480" w:firstLineChars="200"/>
        <w:jc w:val="left"/>
        <w:rPr>
          <w:rFonts w:cs="宋体"/>
          <w:sz w:val="24"/>
        </w:rPr>
      </w:pPr>
      <w:r>
        <w:rPr>
          <w:rFonts w:hint="eastAsia" w:cs="宋体"/>
          <w:sz w:val="24"/>
        </w:rPr>
        <w:t>乙方应保证甲方在使用该货物或其任何一部分时不被第三方提出侵犯其专利权、著作权、商标权或其他权利的起诉。一旦出现侵权，乙方应承担全部责任。</w:t>
      </w:r>
    </w:p>
    <w:p>
      <w:pPr>
        <w:spacing w:line="400" w:lineRule="exact"/>
        <w:ind w:firstLine="482" w:firstLineChars="200"/>
        <w:jc w:val="left"/>
        <w:rPr>
          <w:rFonts w:cs="宋体"/>
          <w:b/>
          <w:sz w:val="24"/>
        </w:rPr>
      </w:pPr>
      <w:r>
        <w:rPr>
          <w:rFonts w:hint="eastAsia" w:cs="宋体"/>
          <w:b/>
          <w:sz w:val="24"/>
        </w:rPr>
        <w:t>第八条  违约责任</w:t>
      </w:r>
    </w:p>
    <w:p>
      <w:pPr>
        <w:spacing w:line="400" w:lineRule="exact"/>
        <w:ind w:firstLine="480" w:firstLineChars="200"/>
        <w:jc w:val="left"/>
        <w:rPr>
          <w:rFonts w:cs="宋体"/>
          <w:sz w:val="24"/>
        </w:rPr>
      </w:pPr>
      <w:r>
        <w:rPr>
          <w:rFonts w:hint="eastAsia" w:cs="宋体"/>
          <w:sz w:val="24"/>
        </w:rPr>
        <w:t>1.甲方无正当理由拒绝接受货物的，甲方向乙方偿付拒绝接受货物价值总额的百分之五的违约金。</w:t>
      </w:r>
    </w:p>
    <w:p>
      <w:pPr>
        <w:spacing w:line="400" w:lineRule="exact"/>
        <w:ind w:firstLine="480" w:firstLineChars="200"/>
        <w:jc w:val="left"/>
        <w:rPr>
          <w:rFonts w:cs="宋体"/>
          <w:sz w:val="24"/>
        </w:rPr>
      </w:pPr>
      <w:r>
        <w:rPr>
          <w:rFonts w:hint="eastAsia" w:cs="宋体"/>
          <w:sz w:val="24"/>
        </w:rPr>
        <w:t>2．甲方无故逾期验收和办理货款支付手续的,甲方应按逾期付款总额每日万分之五的标准向乙方支付违约金。</w:t>
      </w:r>
    </w:p>
    <w:p>
      <w:pPr>
        <w:spacing w:line="400" w:lineRule="exact"/>
        <w:ind w:firstLine="480" w:firstLineChars="200"/>
        <w:jc w:val="left"/>
        <w:rPr>
          <w:rFonts w:cs="宋体"/>
          <w:sz w:val="24"/>
        </w:rPr>
      </w:pPr>
      <w:r>
        <w:rPr>
          <w:rFonts w:hint="eastAsia" w:cs="宋体"/>
          <w:sz w:val="24"/>
        </w:rPr>
        <w:t>3.乙方逾期交付货物的，乙方应按逾期交付价值总额每日千分之六的标准向甲方支付违约金，由甲方从待付货款中直接扣除；逾期时间超过5个工作日仍不能交付的，甲方可解除本合同。</w:t>
      </w:r>
    </w:p>
    <w:p>
      <w:pPr>
        <w:spacing w:line="400" w:lineRule="exact"/>
        <w:ind w:firstLine="480" w:firstLineChars="200"/>
        <w:jc w:val="left"/>
        <w:rPr>
          <w:rFonts w:cs="宋体"/>
          <w:sz w:val="24"/>
        </w:rPr>
      </w:pPr>
      <w:r>
        <w:rPr>
          <w:rFonts w:hint="eastAsia" w:cs="宋体"/>
          <w:sz w:val="24"/>
        </w:rPr>
        <w:t>4.乙方所交的货物品种、型号、规格、技术参数、质量不符合合同及招标文件规定标准的，甲方有权拒绝接受该货物，可以要求乙方更换或者退货处理（更换或者退货处理按本合同第七条规定的方式执行）。若甲方要求更换，但乙方仍不能在双方约定期间内提供符合合同及招标文件规定标准的货物，甲方可单方解除本合同。若甲方要求退货的，同时可以直接解除本合同。</w:t>
      </w:r>
    </w:p>
    <w:p>
      <w:pPr>
        <w:spacing w:line="400" w:lineRule="exact"/>
        <w:ind w:firstLine="480" w:firstLineChars="200"/>
        <w:jc w:val="left"/>
        <w:rPr>
          <w:rFonts w:cs="宋体"/>
          <w:sz w:val="24"/>
        </w:rPr>
      </w:pPr>
      <w:r>
        <w:rPr>
          <w:rFonts w:hint="eastAsia" w:cs="宋体"/>
          <w:sz w:val="24"/>
        </w:rPr>
        <w:t>5.因乙方原因导致甲方解除合同的，乙方应向甲方支付合同总金额5%的违约金，如造成甲方损失超过违约金数额的，超出部分由乙方继续承担赔偿责任。</w:t>
      </w:r>
    </w:p>
    <w:p>
      <w:pPr>
        <w:pStyle w:val="7"/>
        <w:ind w:firstLine="480" w:firstLineChars="200"/>
      </w:pPr>
      <w:r>
        <w:rPr>
          <w:rFonts w:hint="eastAsia" w:ascii="宋体" w:hAnsi="宋体" w:cs="宋体"/>
          <w:sz w:val="24"/>
        </w:rPr>
        <w:t>6. 乙方如违反售后服务承诺应承担违约责任，每发生一次，支付5000元违约金。</w:t>
      </w:r>
    </w:p>
    <w:p>
      <w:pPr>
        <w:spacing w:line="400" w:lineRule="exact"/>
        <w:ind w:firstLine="480" w:firstLineChars="200"/>
        <w:jc w:val="left"/>
        <w:rPr>
          <w:rFonts w:hint="eastAsia" w:ascii="宋体" w:hAnsi="宋体" w:cs="宋体"/>
          <w:sz w:val="24"/>
        </w:rPr>
      </w:pPr>
      <w:r>
        <w:rPr>
          <w:rFonts w:hint="eastAsia" w:ascii="宋体" w:hAnsi="宋体" w:cs="宋体"/>
          <w:sz w:val="24"/>
        </w:rPr>
        <w:t xml:space="preserve">7.赔偿责任范围还包括但不限于甲方因此支付的公证费、鉴定费、诉讼费、律师费等费用。 </w:t>
      </w:r>
    </w:p>
    <w:p>
      <w:pPr>
        <w:spacing w:line="400" w:lineRule="exact"/>
        <w:ind w:firstLine="482" w:firstLineChars="200"/>
        <w:jc w:val="left"/>
        <w:rPr>
          <w:rFonts w:cs="宋体"/>
          <w:b/>
          <w:sz w:val="24"/>
        </w:rPr>
      </w:pPr>
      <w:r>
        <w:rPr>
          <w:rFonts w:hint="eastAsia" w:cs="宋体"/>
          <w:b/>
          <w:sz w:val="24"/>
        </w:rPr>
        <w:t>第九条  合同的转让</w:t>
      </w:r>
    </w:p>
    <w:p>
      <w:pPr>
        <w:spacing w:line="400" w:lineRule="exact"/>
        <w:ind w:firstLine="480" w:firstLineChars="200"/>
        <w:jc w:val="left"/>
        <w:rPr>
          <w:rFonts w:cs="宋体"/>
          <w:sz w:val="24"/>
        </w:rPr>
      </w:pPr>
      <w:r>
        <w:rPr>
          <w:rFonts w:hint="eastAsia" w:cs="宋体"/>
          <w:sz w:val="24"/>
        </w:rPr>
        <w:t>乙方不得擅自部分或全部转让其应履行的合同义务，否则，甲方视乙方擅自转让行为为违约行为，有权单方解除合同，按本合同第八条追究乙方的违约责任。</w:t>
      </w:r>
    </w:p>
    <w:p>
      <w:pPr>
        <w:spacing w:line="400" w:lineRule="exact"/>
        <w:ind w:firstLine="482" w:firstLineChars="200"/>
        <w:jc w:val="left"/>
        <w:rPr>
          <w:rFonts w:cs="宋体"/>
          <w:b/>
          <w:sz w:val="24"/>
        </w:rPr>
      </w:pPr>
      <w:r>
        <w:rPr>
          <w:rFonts w:hint="eastAsia" w:cs="宋体"/>
          <w:b/>
          <w:sz w:val="24"/>
        </w:rPr>
        <w:t>第十条  合同的组成及生效</w:t>
      </w:r>
    </w:p>
    <w:p>
      <w:pPr>
        <w:spacing w:line="400" w:lineRule="exact"/>
        <w:ind w:firstLine="480" w:firstLineChars="200"/>
        <w:jc w:val="left"/>
        <w:rPr>
          <w:rFonts w:cs="宋体"/>
          <w:sz w:val="24"/>
        </w:rPr>
      </w:pPr>
      <w:r>
        <w:rPr>
          <w:rFonts w:hint="eastAsia" w:cs="宋体"/>
          <w:sz w:val="24"/>
        </w:rPr>
        <w:t>1.招标文件、中标人的投标文件、有关变更补充文件以及评标过程中的澄清、承诺文件等及合同附件均是合同的重要组成部分和本合同均具有同等法律效力。</w:t>
      </w:r>
    </w:p>
    <w:p>
      <w:pPr>
        <w:spacing w:line="400" w:lineRule="exact"/>
        <w:ind w:firstLine="480" w:firstLineChars="200"/>
        <w:jc w:val="left"/>
        <w:rPr>
          <w:rFonts w:cs="宋体"/>
          <w:sz w:val="24"/>
        </w:rPr>
      </w:pPr>
      <w:r>
        <w:rPr>
          <w:rFonts w:hint="eastAsia" w:cs="宋体"/>
          <w:sz w:val="24"/>
        </w:rPr>
        <w:t>2.本合同经双方法定代表人或授权代表签字并加盖单位公章后生效。合同执行期内，甲乙双方均不得随意变更或解除合同。合同如有未尽事宜，须经双方共同协商，做出补充规定，补充规定与合同具有同等效力。</w:t>
      </w:r>
    </w:p>
    <w:p>
      <w:pPr>
        <w:spacing w:line="400" w:lineRule="exact"/>
        <w:ind w:firstLine="480" w:firstLineChars="200"/>
        <w:jc w:val="left"/>
        <w:rPr>
          <w:rFonts w:cs="宋体"/>
          <w:sz w:val="24"/>
        </w:rPr>
      </w:pPr>
      <w:r>
        <w:rPr>
          <w:rFonts w:hint="eastAsia" w:cs="宋体"/>
          <w:sz w:val="24"/>
        </w:rPr>
        <w:t>3.本合同壹式肆份，甲方执叁份，乙方执壹份。</w:t>
      </w:r>
    </w:p>
    <w:p>
      <w:pPr>
        <w:spacing w:line="400" w:lineRule="exact"/>
        <w:ind w:firstLine="482" w:firstLineChars="200"/>
        <w:jc w:val="left"/>
        <w:rPr>
          <w:rFonts w:cs="宋体"/>
          <w:b/>
          <w:sz w:val="24"/>
        </w:rPr>
      </w:pPr>
      <w:r>
        <w:rPr>
          <w:rFonts w:hint="eastAsia" w:cs="宋体"/>
          <w:b/>
          <w:sz w:val="24"/>
        </w:rPr>
        <w:t>第十一条  不可抗力处理</w:t>
      </w:r>
    </w:p>
    <w:p>
      <w:pPr>
        <w:spacing w:line="400" w:lineRule="exact"/>
        <w:ind w:firstLine="480" w:firstLineChars="200"/>
        <w:jc w:val="left"/>
        <w:rPr>
          <w:rFonts w:cs="宋体"/>
          <w:sz w:val="24"/>
        </w:rPr>
      </w:pPr>
      <w:r>
        <w:rPr>
          <w:rFonts w:hint="eastAsia" w:cs="宋体"/>
          <w:sz w:val="24"/>
        </w:rPr>
        <w:t>1.在合同有效期内，任何一方因不可抗力导致不能履行合同，则合同履行期可延长，其延长期与不可抗力影响期相同。</w:t>
      </w:r>
    </w:p>
    <w:p>
      <w:pPr>
        <w:spacing w:line="400" w:lineRule="exact"/>
        <w:ind w:firstLine="480" w:firstLineChars="200"/>
        <w:jc w:val="left"/>
        <w:rPr>
          <w:rFonts w:cs="宋体"/>
          <w:sz w:val="24"/>
        </w:rPr>
      </w:pPr>
      <w:r>
        <w:rPr>
          <w:rFonts w:hint="eastAsia" w:cs="宋体"/>
          <w:sz w:val="24"/>
        </w:rPr>
        <w:t>2.不可抗力发生后，应立即通知对方，并寄送有关权威机构出具的证明。</w:t>
      </w:r>
    </w:p>
    <w:p>
      <w:pPr>
        <w:spacing w:line="400" w:lineRule="exact"/>
        <w:ind w:firstLine="482" w:firstLineChars="200"/>
        <w:jc w:val="left"/>
        <w:rPr>
          <w:rFonts w:cs="宋体"/>
          <w:b/>
          <w:sz w:val="24"/>
        </w:rPr>
      </w:pPr>
      <w:r>
        <w:rPr>
          <w:rFonts w:hint="eastAsia" w:cs="宋体"/>
          <w:b/>
          <w:sz w:val="24"/>
        </w:rPr>
        <w:t>第十二条  合同争议的解决方式</w:t>
      </w:r>
    </w:p>
    <w:p>
      <w:pPr>
        <w:spacing w:line="400" w:lineRule="exact"/>
        <w:ind w:firstLine="480" w:firstLineChars="200"/>
        <w:jc w:val="left"/>
        <w:rPr>
          <w:rFonts w:cs="宋体"/>
          <w:sz w:val="24"/>
        </w:rPr>
      </w:pPr>
      <w:r>
        <w:rPr>
          <w:rFonts w:hint="eastAsia" w:cs="宋体"/>
          <w:sz w:val="24"/>
        </w:rPr>
        <w:t>本合同如发生纠纷，当事人双方应当及时协商解决，协商不成时，由甲方所在地人民法院裁决。</w:t>
      </w:r>
    </w:p>
    <w:p>
      <w:pPr>
        <w:spacing w:line="400" w:lineRule="exact"/>
        <w:ind w:firstLine="482" w:firstLineChars="200"/>
        <w:jc w:val="left"/>
        <w:rPr>
          <w:rFonts w:cs="宋体"/>
          <w:b/>
          <w:sz w:val="24"/>
        </w:rPr>
      </w:pPr>
      <w:r>
        <w:rPr>
          <w:rFonts w:hint="eastAsia" w:cs="宋体"/>
          <w:b/>
          <w:sz w:val="24"/>
        </w:rPr>
        <w:t>第十三条  其他约定</w:t>
      </w:r>
    </w:p>
    <w:p>
      <w:pPr>
        <w:spacing w:line="400" w:lineRule="exact"/>
        <w:ind w:firstLine="480" w:firstLineChars="200"/>
        <w:jc w:val="left"/>
        <w:rPr>
          <w:rFonts w:cs="宋体"/>
          <w:sz w:val="24"/>
          <w:u w:val="single"/>
        </w:rPr>
      </w:pPr>
      <w:r>
        <w:rPr>
          <w:rFonts w:hint="eastAsia" w:cs="宋体"/>
          <w:sz w:val="24"/>
        </w:rPr>
        <w:t>其他约定详见附件</w:t>
      </w:r>
      <w:r>
        <w:rPr>
          <w:rFonts w:hint="eastAsia" w:cs="宋体"/>
          <w:sz w:val="24"/>
          <w:u w:val="single"/>
        </w:rPr>
        <w:t xml:space="preserve">       </w:t>
      </w:r>
      <w:r>
        <w:rPr>
          <w:rFonts w:hint="eastAsia" w:cs="宋体"/>
          <w:sz w:val="24"/>
        </w:rPr>
        <w:t>。</w:t>
      </w:r>
    </w:p>
    <w:p>
      <w:pPr>
        <w:spacing w:line="400" w:lineRule="exact"/>
        <w:ind w:firstLine="482" w:firstLineChars="200"/>
        <w:jc w:val="left"/>
        <w:rPr>
          <w:rFonts w:cs="宋体"/>
          <w:b/>
          <w:sz w:val="24"/>
        </w:rPr>
      </w:pPr>
      <w:r>
        <w:rPr>
          <w:rFonts w:hint="eastAsia" w:cs="宋体"/>
          <w:b/>
          <w:sz w:val="24"/>
        </w:rPr>
        <w:t>第十四条  本合同共有附件</w:t>
      </w:r>
      <w:r>
        <w:rPr>
          <w:rFonts w:hint="eastAsia" w:cs="宋体"/>
          <w:b/>
          <w:sz w:val="24"/>
          <w:u w:val="single"/>
        </w:rPr>
        <w:t xml:space="preserve">     </w:t>
      </w:r>
      <w:r>
        <w:rPr>
          <w:rFonts w:hint="eastAsia" w:cs="宋体"/>
          <w:b/>
          <w:sz w:val="24"/>
        </w:rPr>
        <w:t>个，共计</w:t>
      </w:r>
      <w:r>
        <w:rPr>
          <w:rFonts w:hint="eastAsia" w:cs="宋体"/>
          <w:b/>
          <w:sz w:val="24"/>
          <w:u w:val="single"/>
        </w:rPr>
        <w:t xml:space="preserve">     </w:t>
      </w:r>
      <w:r>
        <w:rPr>
          <w:rFonts w:hint="eastAsia" w:cs="宋体"/>
          <w:b/>
          <w:sz w:val="24"/>
        </w:rPr>
        <w:t>页</w:t>
      </w:r>
    </w:p>
    <w:p>
      <w:pPr>
        <w:spacing w:line="400" w:lineRule="exact"/>
        <w:ind w:firstLine="480" w:firstLineChars="200"/>
        <w:jc w:val="left"/>
        <w:rPr>
          <w:rFonts w:cs="宋体"/>
          <w:sz w:val="24"/>
        </w:rPr>
      </w:pPr>
    </w:p>
    <w:p>
      <w:pPr>
        <w:rPr>
          <w:rFonts w:cs="宋体"/>
        </w:rPr>
      </w:pPr>
    </w:p>
    <w:p>
      <w:pPr>
        <w:spacing w:line="280" w:lineRule="exact"/>
        <w:ind w:left="892" w:leftChars="200" w:hanging="332" w:hangingChars="138"/>
        <w:rPr>
          <w:rFonts w:cs="宋体"/>
          <w:b/>
          <w:sz w:val="24"/>
          <w:szCs w:val="21"/>
        </w:rPr>
      </w:pPr>
    </w:p>
    <w:p>
      <w:pPr>
        <w:pStyle w:val="15"/>
        <w:tabs>
          <w:tab w:val="left" w:pos="2472"/>
        </w:tabs>
        <w:snapToGrid w:val="0"/>
        <w:spacing w:before="197" w:after="197" w:line="240" w:lineRule="auto"/>
        <w:jc w:val="center"/>
        <w:rPr>
          <w:rFonts w:ascii="Times New Roman" w:hAnsi="Times New Roman" w:cs="宋体"/>
          <w:b/>
          <w:sz w:val="36"/>
          <w:szCs w:val="36"/>
        </w:rPr>
      </w:pPr>
    </w:p>
    <w:p>
      <w:pPr>
        <w:pStyle w:val="15"/>
        <w:tabs>
          <w:tab w:val="left" w:pos="2472"/>
        </w:tabs>
        <w:snapToGrid w:val="0"/>
        <w:spacing w:before="197" w:after="197" w:line="240" w:lineRule="auto"/>
        <w:jc w:val="center"/>
        <w:outlineLvl w:val="0"/>
        <w:rPr>
          <w:rFonts w:ascii="Times New Roman" w:hAnsi="Times New Roman" w:cs="宋体"/>
          <w:b/>
        </w:rPr>
      </w:pPr>
      <w:r>
        <w:rPr>
          <w:rFonts w:hint="eastAsia" w:ascii="Times New Roman" w:hAnsi="Times New Roman" w:cs="宋体"/>
          <w:sz w:val="36"/>
          <w:szCs w:val="36"/>
        </w:rPr>
        <w:br w:type="page"/>
      </w:r>
      <w:r>
        <w:rPr>
          <w:rFonts w:hint="eastAsia" w:ascii="Times New Roman" w:hAnsi="Times New Roman" w:cs="宋体"/>
          <w:b/>
          <w:sz w:val="36"/>
          <w:szCs w:val="36"/>
        </w:rPr>
        <w:t>第六章　投标文件格式</w:t>
      </w:r>
    </w:p>
    <w:p>
      <w:pPr>
        <w:snapToGrid w:val="0"/>
        <w:spacing w:before="197" w:beforeLines="50" w:after="50" w:line="360" w:lineRule="auto"/>
        <w:rPr>
          <w:rFonts w:cs="宋体"/>
          <w:b/>
          <w:sz w:val="24"/>
        </w:rPr>
      </w:pPr>
      <w:r>
        <w:rPr>
          <w:rFonts w:hint="eastAsia" w:cs="宋体"/>
          <w:b/>
          <w:sz w:val="24"/>
        </w:rPr>
        <w:t>1.电子备份投标文件的外包装封面格式</w:t>
      </w:r>
    </w:p>
    <w:p>
      <w:pPr>
        <w:snapToGrid w:val="0"/>
        <w:spacing w:before="197" w:beforeLines="50" w:after="50" w:line="360" w:lineRule="auto"/>
        <w:rPr>
          <w:rFonts w:cs="宋体"/>
          <w:bCs/>
          <w:sz w:val="24"/>
          <w:szCs w:val="20"/>
        </w:rPr>
      </w:pPr>
    </w:p>
    <w:p>
      <w:pPr>
        <w:snapToGrid w:val="0"/>
        <w:spacing w:before="197" w:beforeLines="50" w:after="50" w:line="360" w:lineRule="auto"/>
        <w:jc w:val="center"/>
        <w:rPr>
          <w:rFonts w:cs="宋体"/>
          <w:b/>
          <w:bCs/>
          <w:sz w:val="52"/>
          <w:szCs w:val="52"/>
        </w:rPr>
      </w:pPr>
      <w:r>
        <w:rPr>
          <w:rFonts w:hint="eastAsia" w:cs="宋体"/>
          <w:b/>
          <w:bCs/>
          <w:sz w:val="52"/>
          <w:szCs w:val="52"/>
        </w:rPr>
        <w:t>电子备份投标文件</w:t>
      </w:r>
    </w:p>
    <w:p>
      <w:pPr>
        <w:pStyle w:val="15"/>
        <w:tabs>
          <w:tab w:val="left" w:pos="2472"/>
        </w:tabs>
        <w:snapToGrid w:val="0"/>
        <w:spacing w:before="197" w:after="197" w:line="240" w:lineRule="auto"/>
        <w:jc w:val="center"/>
        <w:rPr>
          <w:rFonts w:ascii="Times New Roman" w:hAnsi="Times New Roman" w:cs="宋体"/>
          <w:b/>
          <w:sz w:val="36"/>
          <w:szCs w:val="36"/>
        </w:rPr>
      </w:pPr>
    </w:p>
    <w:p>
      <w:pPr>
        <w:snapToGrid w:val="0"/>
        <w:spacing w:line="600" w:lineRule="exact"/>
        <w:ind w:firstLine="1124" w:firstLineChars="400"/>
        <w:jc w:val="left"/>
        <w:rPr>
          <w:rFonts w:cs="宋体"/>
          <w:b/>
          <w:bCs/>
          <w:szCs w:val="28"/>
        </w:rPr>
      </w:pPr>
      <w:r>
        <w:rPr>
          <w:rFonts w:hint="eastAsia" w:cs="宋体"/>
          <w:b/>
          <w:bCs/>
          <w:szCs w:val="28"/>
        </w:rPr>
        <w:t>项目名称：</w:t>
      </w:r>
      <w:r>
        <w:rPr>
          <w:rFonts w:hint="eastAsia" w:cs="宋体"/>
          <w:bCs/>
          <w:szCs w:val="28"/>
        </w:rPr>
        <w:t>浙江师范大学</w:t>
      </w:r>
      <w:r>
        <w:rPr>
          <w:rFonts w:hint="eastAsia" w:cs="宋体"/>
          <w:bCs/>
          <w:szCs w:val="28"/>
          <w:u w:val="single"/>
        </w:rPr>
        <w:t xml:space="preserve">               </w:t>
      </w:r>
      <w:r>
        <w:rPr>
          <w:rFonts w:hint="eastAsia" w:cs="宋体"/>
          <w:bCs/>
          <w:szCs w:val="28"/>
        </w:rPr>
        <w:t>项目</w:t>
      </w:r>
    </w:p>
    <w:p>
      <w:pPr>
        <w:snapToGrid w:val="0"/>
        <w:spacing w:line="600" w:lineRule="exact"/>
        <w:ind w:firstLine="1124" w:firstLineChars="400"/>
        <w:jc w:val="left"/>
        <w:rPr>
          <w:rFonts w:cs="宋体"/>
          <w:b/>
          <w:bCs/>
          <w:szCs w:val="28"/>
        </w:rPr>
      </w:pPr>
      <w:r>
        <w:rPr>
          <w:rFonts w:hint="eastAsia" w:cs="宋体"/>
          <w:b/>
          <w:bCs/>
          <w:szCs w:val="28"/>
        </w:rPr>
        <w:t>项目编号：</w:t>
      </w:r>
      <w:r>
        <w:rPr>
          <w:rFonts w:hint="eastAsia" w:cs="宋体"/>
          <w:bCs/>
          <w:szCs w:val="28"/>
          <w:u w:val="single"/>
        </w:rPr>
        <w:t xml:space="preserve">                              </w:t>
      </w:r>
    </w:p>
    <w:p>
      <w:pPr>
        <w:snapToGrid w:val="0"/>
        <w:spacing w:line="600" w:lineRule="exact"/>
        <w:ind w:firstLine="1124" w:firstLineChars="400"/>
        <w:jc w:val="left"/>
        <w:rPr>
          <w:rFonts w:cs="宋体"/>
          <w:b/>
          <w:bCs/>
          <w:szCs w:val="28"/>
        </w:rPr>
      </w:pPr>
      <w:r>
        <w:rPr>
          <w:rFonts w:hint="eastAsia" w:cs="宋体"/>
          <w:b/>
          <w:bCs/>
          <w:szCs w:val="28"/>
        </w:rPr>
        <w:t>标    项：</w:t>
      </w:r>
      <w:r>
        <w:rPr>
          <w:rFonts w:hint="eastAsia" w:cs="宋体"/>
          <w:bCs/>
          <w:szCs w:val="28"/>
          <w:u w:val="single"/>
        </w:rPr>
        <w:t xml:space="preserve">                              </w:t>
      </w:r>
    </w:p>
    <w:p>
      <w:pPr>
        <w:pStyle w:val="6"/>
        <w:snapToGrid w:val="0"/>
        <w:spacing w:line="600" w:lineRule="exact"/>
        <w:ind w:firstLine="1124" w:firstLineChars="400"/>
        <w:jc w:val="left"/>
        <w:rPr>
          <w:rFonts w:cs="宋体"/>
          <w:b/>
          <w:bCs/>
          <w:sz w:val="28"/>
          <w:szCs w:val="28"/>
        </w:rPr>
      </w:pPr>
      <w:r>
        <w:rPr>
          <w:rFonts w:hint="eastAsia" w:cs="宋体"/>
          <w:b/>
          <w:bCs/>
          <w:sz w:val="28"/>
          <w:szCs w:val="28"/>
        </w:rPr>
        <w:t>投标人名称：（盖章）</w:t>
      </w:r>
      <w:r>
        <w:rPr>
          <w:rFonts w:hint="eastAsia" w:cs="宋体"/>
          <w:bCs/>
          <w:szCs w:val="28"/>
          <w:u w:val="single"/>
        </w:rPr>
        <w:t xml:space="preserve">                            </w:t>
      </w:r>
    </w:p>
    <w:p>
      <w:pPr>
        <w:pStyle w:val="6"/>
        <w:snapToGrid w:val="0"/>
        <w:spacing w:line="600" w:lineRule="exact"/>
        <w:ind w:firstLine="1124" w:firstLineChars="400"/>
        <w:jc w:val="left"/>
        <w:rPr>
          <w:rFonts w:cs="宋体"/>
          <w:b/>
          <w:bCs/>
          <w:sz w:val="28"/>
          <w:szCs w:val="28"/>
        </w:rPr>
      </w:pPr>
      <w:r>
        <w:rPr>
          <w:rFonts w:hint="eastAsia" w:cs="宋体"/>
          <w:b/>
          <w:bCs/>
          <w:sz w:val="28"/>
          <w:szCs w:val="28"/>
        </w:rPr>
        <w:t>投标人地址：</w:t>
      </w:r>
      <w:r>
        <w:rPr>
          <w:rFonts w:hint="eastAsia" w:cs="宋体"/>
          <w:bCs/>
          <w:szCs w:val="28"/>
          <w:u w:val="single"/>
        </w:rPr>
        <w:t xml:space="preserve">                                      </w:t>
      </w:r>
    </w:p>
    <w:p>
      <w:pPr>
        <w:pStyle w:val="6"/>
        <w:snapToGrid w:val="0"/>
        <w:spacing w:before="50" w:after="50" w:line="600" w:lineRule="exact"/>
        <w:ind w:firstLine="1124" w:firstLineChars="400"/>
        <w:jc w:val="left"/>
        <w:rPr>
          <w:rFonts w:cs="宋体"/>
          <w:b/>
          <w:bCs/>
          <w:sz w:val="28"/>
          <w:szCs w:val="28"/>
        </w:rPr>
      </w:pPr>
    </w:p>
    <w:p>
      <w:pPr>
        <w:pStyle w:val="6"/>
        <w:snapToGrid w:val="0"/>
        <w:spacing w:before="50" w:after="50"/>
        <w:ind w:firstLine="1307" w:firstLineChars="465"/>
        <w:rPr>
          <w:rFonts w:cs="宋体"/>
          <w:b/>
          <w:bCs/>
          <w:sz w:val="28"/>
          <w:szCs w:val="28"/>
        </w:rPr>
      </w:pPr>
    </w:p>
    <w:p>
      <w:pPr>
        <w:pStyle w:val="6"/>
        <w:snapToGrid w:val="0"/>
        <w:spacing w:before="50" w:after="50"/>
        <w:ind w:firstLine="1500" w:firstLineChars="500"/>
        <w:rPr>
          <w:rFonts w:cs="宋体"/>
          <w:bCs/>
          <w:sz w:val="30"/>
          <w:szCs w:val="30"/>
        </w:rPr>
      </w:pPr>
      <w:r>
        <w:rPr>
          <w:rFonts w:hint="eastAsia" w:cs="宋体"/>
          <w:bCs/>
          <w:sz w:val="30"/>
          <w:szCs w:val="30"/>
        </w:rPr>
        <w:t>在  年  月  日  时  分之前不得启封</w:t>
      </w:r>
    </w:p>
    <w:p>
      <w:pPr>
        <w:pStyle w:val="6"/>
        <w:snapToGrid w:val="0"/>
        <w:spacing w:before="50" w:after="50"/>
        <w:ind w:firstLine="1497" w:firstLineChars="416"/>
        <w:rPr>
          <w:rFonts w:cs="宋体"/>
          <w:sz w:val="36"/>
        </w:rPr>
      </w:pPr>
    </w:p>
    <w:p>
      <w:pPr>
        <w:widowControl/>
        <w:jc w:val="center"/>
        <w:rPr>
          <w:rFonts w:cs="宋体"/>
          <w:bCs/>
          <w:sz w:val="30"/>
          <w:szCs w:val="30"/>
        </w:rPr>
      </w:pPr>
      <w:r>
        <w:rPr>
          <w:rFonts w:hint="eastAsia" w:cs="宋体"/>
          <w:bCs/>
          <w:sz w:val="30"/>
          <w:szCs w:val="30"/>
        </w:rPr>
        <w:t>授权代表姓名：       手机号：</w:t>
      </w:r>
    </w:p>
    <w:p>
      <w:pPr>
        <w:pStyle w:val="6"/>
        <w:snapToGrid w:val="0"/>
        <w:spacing w:before="50" w:after="50"/>
        <w:ind w:firstLine="1497" w:firstLineChars="416"/>
        <w:rPr>
          <w:rFonts w:cs="宋体"/>
          <w:sz w:val="36"/>
        </w:rPr>
      </w:pPr>
    </w:p>
    <w:p>
      <w:pPr>
        <w:snapToGrid w:val="0"/>
        <w:spacing w:before="197" w:beforeLines="50" w:after="50"/>
        <w:ind w:firstLine="240" w:firstLineChars="100"/>
        <w:rPr>
          <w:rFonts w:cs="宋体"/>
          <w:sz w:val="24"/>
        </w:rPr>
      </w:pPr>
    </w:p>
    <w:p>
      <w:pPr>
        <w:snapToGrid w:val="0"/>
        <w:spacing w:before="197" w:beforeLines="50" w:after="50"/>
        <w:ind w:firstLine="2880" w:firstLineChars="1200"/>
        <w:rPr>
          <w:rFonts w:cs="宋体"/>
          <w:sz w:val="24"/>
          <w:szCs w:val="20"/>
        </w:rPr>
      </w:pPr>
      <w:r>
        <w:rPr>
          <w:rFonts w:hint="eastAsia" w:cs="宋体"/>
          <w:sz w:val="24"/>
        </w:rPr>
        <w:t xml:space="preserve">   年    月    日</w:t>
      </w:r>
    </w:p>
    <w:p>
      <w:pPr>
        <w:pStyle w:val="15"/>
        <w:tabs>
          <w:tab w:val="left" w:pos="2472"/>
        </w:tabs>
        <w:snapToGrid w:val="0"/>
        <w:spacing w:before="197" w:after="197" w:line="240" w:lineRule="auto"/>
        <w:jc w:val="left"/>
        <w:rPr>
          <w:rFonts w:ascii="Times New Roman" w:hAnsi="Times New Roman" w:cs="宋体"/>
          <w:b/>
          <w:sz w:val="30"/>
          <w:szCs w:val="30"/>
        </w:rPr>
      </w:pPr>
      <w:r>
        <w:rPr>
          <w:rFonts w:hint="eastAsia" w:ascii="Times New Roman" w:hAnsi="Times New Roman" w:cs="宋体"/>
          <w:b/>
          <w:sz w:val="30"/>
          <w:szCs w:val="30"/>
        </w:rPr>
        <w:br w:type="page"/>
      </w:r>
      <w:r>
        <w:rPr>
          <w:rFonts w:hint="eastAsia" w:ascii="Times New Roman" w:hAnsi="Times New Roman" w:cs="宋体"/>
          <w:b/>
        </w:rPr>
        <w:t>2. 资格证明/商务技术/报价</w:t>
      </w:r>
      <w:r>
        <w:rPr>
          <w:rFonts w:hint="eastAsia" w:ascii="Times New Roman" w:hAnsi="Times New Roman" w:cs="宋体"/>
          <w:b/>
          <w:bCs/>
        </w:rPr>
        <w:t>文件</w:t>
      </w:r>
      <w:r>
        <w:rPr>
          <w:rFonts w:hint="eastAsia" w:ascii="Times New Roman" w:hAnsi="Times New Roman" w:cs="宋体"/>
          <w:b/>
        </w:rPr>
        <w:t xml:space="preserve">封面格式 </w:t>
      </w:r>
    </w:p>
    <w:p>
      <w:pPr>
        <w:snapToGrid w:val="0"/>
        <w:spacing w:before="197" w:beforeLines="50" w:after="50"/>
        <w:jc w:val="left"/>
        <w:rPr>
          <w:rFonts w:cs="宋体"/>
          <w:sz w:val="24"/>
          <w:szCs w:val="20"/>
        </w:rPr>
      </w:pPr>
    </w:p>
    <w:p>
      <w:pPr>
        <w:snapToGrid w:val="0"/>
        <w:spacing w:before="197" w:beforeLines="50" w:after="50"/>
        <w:rPr>
          <w:rFonts w:cs="宋体"/>
          <w:bCs/>
          <w:sz w:val="24"/>
          <w:szCs w:val="20"/>
        </w:rPr>
      </w:pPr>
    </w:p>
    <w:p>
      <w:pPr>
        <w:snapToGrid w:val="0"/>
        <w:spacing w:before="197" w:beforeLines="50" w:after="50"/>
        <w:jc w:val="center"/>
        <w:rPr>
          <w:rFonts w:cs="宋体"/>
          <w:bCs/>
          <w:sz w:val="44"/>
          <w:szCs w:val="44"/>
        </w:rPr>
      </w:pPr>
    </w:p>
    <w:p>
      <w:pPr>
        <w:snapToGrid w:val="0"/>
        <w:spacing w:before="197" w:beforeLines="50" w:after="50" w:line="360" w:lineRule="auto"/>
        <w:jc w:val="center"/>
        <w:rPr>
          <w:rFonts w:cs="宋体"/>
          <w:b/>
          <w:bCs/>
          <w:sz w:val="52"/>
          <w:szCs w:val="52"/>
        </w:rPr>
      </w:pPr>
      <w:r>
        <w:rPr>
          <w:rFonts w:hint="eastAsia" w:cs="宋体"/>
          <w:b/>
          <w:bCs/>
          <w:sz w:val="52"/>
          <w:szCs w:val="52"/>
        </w:rPr>
        <w:t>资格证明/商务技术/报价文件</w:t>
      </w:r>
    </w:p>
    <w:p>
      <w:pPr>
        <w:snapToGrid w:val="0"/>
        <w:spacing w:before="197" w:beforeLines="50" w:after="50"/>
        <w:jc w:val="center"/>
        <w:rPr>
          <w:rFonts w:cs="宋体"/>
          <w:bCs/>
          <w:sz w:val="44"/>
          <w:szCs w:val="44"/>
        </w:rPr>
      </w:pPr>
    </w:p>
    <w:p>
      <w:pPr>
        <w:snapToGrid w:val="0"/>
        <w:spacing w:before="197" w:beforeLines="50" w:after="50"/>
        <w:jc w:val="center"/>
        <w:rPr>
          <w:rFonts w:cs="宋体"/>
          <w:bCs/>
          <w:sz w:val="24"/>
          <w:szCs w:val="20"/>
        </w:rPr>
      </w:pPr>
    </w:p>
    <w:p>
      <w:pPr>
        <w:snapToGrid w:val="0"/>
        <w:spacing w:before="197" w:beforeLines="50" w:after="50"/>
        <w:jc w:val="center"/>
        <w:rPr>
          <w:rFonts w:cs="宋体"/>
          <w:bCs/>
          <w:sz w:val="30"/>
          <w:szCs w:val="30"/>
        </w:rPr>
      </w:pPr>
    </w:p>
    <w:p>
      <w:pPr>
        <w:snapToGrid w:val="0"/>
        <w:spacing w:before="197" w:beforeLines="50" w:after="50"/>
        <w:jc w:val="center"/>
        <w:rPr>
          <w:rFonts w:cs="宋体"/>
          <w:bCs/>
          <w:sz w:val="24"/>
          <w:szCs w:val="20"/>
        </w:rPr>
      </w:pPr>
    </w:p>
    <w:p>
      <w:pPr>
        <w:snapToGrid w:val="0"/>
        <w:spacing w:line="600" w:lineRule="exact"/>
        <w:ind w:firstLine="1124" w:firstLineChars="400"/>
        <w:jc w:val="left"/>
        <w:rPr>
          <w:rFonts w:cs="宋体"/>
          <w:b/>
          <w:bCs/>
          <w:szCs w:val="28"/>
        </w:rPr>
      </w:pPr>
      <w:r>
        <w:rPr>
          <w:rFonts w:hint="eastAsia" w:cs="宋体"/>
          <w:b/>
          <w:bCs/>
          <w:szCs w:val="28"/>
        </w:rPr>
        <w:t>项目名称：</w:t>
      </w:r>
      <w:r>
        <w:rPr>
          <w:rFonts w:hint="eastAsia" w:cs="宋体"/>
          <w:bCs/>
          <w:szCs w:val="28"/>
        </w:rPr>
        <w:t>浙江师范大学</w:t>
      </w:r>
      <w:r>
        <w:rPr>
          <w:rFonts w:hint="eastAsia" w:cs="宋体"/>
          <w:bCs/>
          <w:szCs w:val="28"/>
          <w:u w:val="single"/>
        </w:rPr>
        <w:t xml:space="preserve">               </w:t>
      </w:r>
      <w:r>
        <w:rPr>
          <w:rFonts w:hint="eastAsia" w:cs="宋体"/>
          <w:bCs/>
          <w:szCs w:val="28"/>
        </w:rPr>
        <w:t>项目</w:t>
      </w:r>
    </w:p>
    <w:p>
      <w:pPr>
        <w:snapToGrid w:val="0"/>
        <w:spacing w:line="600" w:lineRule="exact"/>
        <w:ind w:firstLine="1124" w:firstLineChars="400"/>
        <w:jc w:val="left"/>
        <w:rPr>
          <w:rFonts w:cs="宋体"/>
          <w:b/>
          <w:bCs/>
          <w:szCs w:val="28"/>
        </w:rPr>
      </w:pPr>
      <w:r>
        <w:rPr>
          <w:rFonts w:hint="eastAsia" w:cs="宋体"/>
          <w:b/>
          <w:bCs/>
          <w:szCs w:val="28"/>
        </w:rPr>
        <w:t>项目编号：</w:t>
      </w:r>
      <w:r>
        <w:rPr>
          <w:rFonts w:hint="eastAsia" w:cs="宋体"/>
          <w:bCs/>
          <w:szCs w:val="28"/>
          <w:u w:val="single"/>
        </w:rPr>
        <w:t xml:space="preserve">                              </w:t>
      </w:r>
    </w:p>
    <w:p>
      <w:pPr>
        <w:snapToGrid w:val="0"/>
        <w:spacing w:line="600" w:lineRule="exact"/>
        <w:ind w:firstLine="1124" w:firstLineChars="400"/>
        <w:jc w:val="left"/>
        <w:rPr>
          <w:rFonts w:cs="宋体"/>
          <w:b/>
          <w:bCs/>
          <w:szCs w:val="28"/>
        </w:rPr>
      </w:pPr>
      <w:r>
        <w:rPr>
          <w:rFonts w:hint="eastAsia" w:cs="宋体"/>
          <w:b/>
          <w:bCs/>
          <w:szCs w:val="28"/>
        </w:rPr>
        <w:t>标    项：</w:t>
      </w:r>
      <w:r>
        <w:rPr>
          <w:rFonts w:hint="eastAsia" w:cs="宋体"/>
          <w:bCs/>
          <w:szCs w:val="28"/>
          <w:u w:val="single"/>
        </w:rPr>
        <w:t xml:space="preserve">                              </w:t>
      </w:r>
    </w:p>
    <w:p>
      <w:pPr>
        <w:pStyle w:val="6"/>
        <w:snapToGrid w:val="0"/>
        <w:spacing w:line="600" w:lineRule="exact"/>
        <w:ind w:firstLine="1124" w:firstLineChars="400"/>
        <w:jc w:val="left"/>
        <w:rPr>
          <w:rFonts w:cs="宋体"/>
          <w:b/>
          <w:bCs/>
          <w:sz w:val="28"/>
          <w:szCs w:val="28"/>
        </w:rPr>
      </w:pPr>
      <w:r>
        <w:rPr>
          <w:rFonts w:hint="eastAsia" w:cs="宋体"/>
          <w:b/>
          <w:bCs/>
          <w:sz w:val="28"/>
          <w:szCs w:val="28"/>
        </w:rPr>
        <w:t>投标人名称：（盖章）</w:t>
      </w:r>
      <w:r>
        <w:rPr>
          <w:rFonts w:hint="eastAsia" w:cs="宋体"/>
          <w:bCs/>
          <w:szCs w:val="28"/>
          <w:u w:val="single"/>
        </w:rPr>
        <w:t xml:space="preserve">                            </w:t>
      </w:r>
    </w:p>
    <w:p>
      <w:pPr>
        <w:pStyle w:val="6"/>
        <w:snapToGrid w:val="0"/>
        <w:spacing w:line="600" w:lineRule="exact"/>
        <w:ind w:firstLine="1124" w:firstLineChars="400"/>
        <w:jc w:val="left"/>
        <w:rPr>
          <w:rFonts w:cs="宋体"/>
          <w:b/>
          <w:bCs/>
          <w:sz w:val="28"/>
          <w:szCs w:val="28"/>
        </w:rPr>
      </w:pPr>
      <w:r>
        <w:rPr>
          <w:rFonts w:hint="eastAsia" w:cs="宋体"/>
          <w:b/>
          <w:bCs/>
          <w:sz w:val="28"/>
          <w:szCs w:val="28"/>
        </w:rPr>
        <w:t>投标人地址：</w:t>
      </w:r>
      <w:r>
        <w:rPr>
          <w:rFonts w:hint="eastAsia" w:cs="宋体"/>
          <w:bCs/>
          <w:szCs w:val="28"/>
          <w:u w:val="single"/>
        </w:rPr>
        <w:t xml:space="preserve">                                      </w:t>
      </w:r>
    </w:p>
    <w:p>
      <w:pPr>
        <w:pStyle w:val="6"/>
        <w:snapToGrid w:val="0"/>
        <w:spacing w:before="50" w:after="50" w:line="600" w:lineRule="exact"/>
        <w:ind w:firstLine="1124" w:firstLineChars="400"/>
        <w:jc w:val="left"/>
        <w:rPr>
          <w:rFonts w:cs="宋体"/>
          <w:b/>
          <w:bCs/>
          <w:sz w:val="28"/>
          <w:szCs w:val="28"/>
        </w:rPr>
      </w:pPr>
    </w:p>
    <w:p>
      <w:pPr>
        <w:pStyle w:val="6"/>
        <w:snapToGrid w:val="0"/>
        <w:spacing w:before="50" w:after="50"/>
        <w:ind w:firstLine="1307" w:firstLineChars="465"/>
        <w:rPr>
          <w:rFonts w:cs="宋体"/>
          <w:b/>
          <w:bCs/>
          <w:sz w:val="28"/>
          <w:szCs w:val="28"/>
        </w:rPr>
      </w:pPr>
    </w:p>
    <w:p>
      <w:pPr>
        <w:pStyle w:val="6"/>
        <w:snapToGrid w:val="0"/>
        <w:spacing w:before="50" w:after="50"/>
        <w:ind w:firstLine="1500" w:firstLineChars="500"/>
        <w:rPr>
          <w:rFonts w:cs="宋体"/>
          <w:bCs/>
          <w:sz w:val="30"/>
          <w:szCs w:val="30"/>
        </w:rPr>
      </w:pPr>
      <w:r>
        <w:rPr>
          <w:rFonts w:hint="eastAsia" w:cs="宋体"/>
          <w:bCs/>
          <w:sz w:val="30"/>
          <w:szCs w:val="30"/>
        </w:rPr>
        <w:t>在  年  月  日  时  分之前不得启封</w:t>
      </w:r>
    </w:p>
    <w:p>
      <w:pPr>
        <w:pStyle w:val="6"/>
        <w:snapToGrid w:val="0"/>
        <w:spacing w:before="50" w:after="50"/>
        <w:ind w:firstLine="1497" w:firstLineChars="416"/>
        <w:rPr>
          <w:rFonts w:cs="宋体"/>
          <w:sz w:val="36"/>
        </w:rPr>
      </w:pPr>
    </w:p>
    <w:p>
      <w:pPr>
        <w:pStyle w:val="6"/>
        <w:snapToGrid w:val="0"/>
        <w:spacing w:before="50" w:after="50"/>
        <w:ind w:firstLine="1497" w:firstLineChars="416"/>
        <w:rPr>
          <w:rFonts w:cs="宋体"/>
          <w:sz w:val="36"/>
        </w:rPr>
      </w:pPr>
    </w:p>
    <w:p>
      <w:pPr>
        <w:snapToGrid w:val="0"/>
        <w:spacing w:before="197" w:beforeLines="50" w:after="50"/>
        <w:ind w:firstLine="240" w:firstLineChars="100"/>
        <w:rPr>
          <w:rFonts w:cs="宋体"/>
          <w:sz w:val="24"/>
        </w:rPr>
      </w:pPr>
    </w:p>
    <w:p>
      <w:pPr>
        <w:snapToGrid w:val="0"/>
        <w:spacing w:before="197" w:beforeLines="50" w:after="50"/>
        <w:ind w:firstLine="2880" w:firstLineChars="1200"/>
        <w:rPr>
          <w:rFonts w:cs="宋体"/>
          <w:sz w:val="24"/>
          <w:szCs w:val="20"/>
        </w:rPr>
      </w:pPr>
      <w:r>
        <w:rPr>
          <w:rFonts w:hint="eastAsia" w:cs="宋体"/>
          <w:sz w:val="24"/>
        </w:rPr>
        <w:t xml:space="preserve">   年    月    日</w:t>
      </w:r>
    </w:p>
    <w:p>
      <w:pPr>
        <w:snapToGrid w:val="0"/>
        <w:spacing w:before="197" w:beforeLines="50" w:after="50"/>
        <w:rPr>
          <w:rFonts w:cs="宋体"/>
          <w:bCs/>
          <w:sz w:val="24"/>
          <w:szCs w:val="20"/>
        </w:rPr>
      </w:pPr>
    </w:p>
    <w:p>
      <w:pPr>
        <w:snapToGrid w:val="0"/>
        <w:spacing w:line="400" w:lineRule="exact"/>
        <w:rPr>
          <w:rFonts w:cs="宋体"/>
        </w:rPr>
      </w:pPr>
      <w:r>
        <w:rPr>
          <w:rFonts w:hint="eastAsia" w:cs="宋体"/>
          <w:sz w:val="36"/>
        </w:rPr>
        <w:br w:type="page"/>
      </w:r>
      <w:r>
        <w:rPr>
          <w:rFonts w:hint="eastAsia" w:cs="宋体"/>
          <w:b/>
          <w:sz w:val="24"/>
        </w:rPr>
        <w:t>3.资格证明文件：</w:t>
      </w:r>
    </w:p>
    <w:p>
      <w:pPr>
        <w:pStyle w:val="15"/>
        <w:adjustRightInd w:val="0"/>
        <w:snapToGrid w:val="0"/>
        <w:spacing w:before="197" w:after="197" w:line="300" w:lineRule="auto"/>
        <w:jc w:val="center"/>
        <w:rPr>
          <w:rFonts w:ascii="Times New Roman" w:hAnsi="Times New Roman" w:cs="宋体"/>
          <w:b/>
          <w:bCs/>
          <w:sz w:val="32"/>
          <w:szCs w:val="32"/>
        </w:rPr>
      </w:pPr>
      <w:r>
        <w:rPr>
          <w:rFonts w:hint="eastAsia" w:ascii="Times New Roman" w:hAnsi="Times New Roman" w:cs="宋体"/>
          <w:b/>
          <w:bCs/>
          <w:sz w:val="32"/>
        </w:rPr>
        <w:t>资格</w:t>
      </w:r>
      <w:r>
        <w:rPr>
          <w:rFonts w:hint="eastAsia" w:ascii="Times New Roman" w:hAnsi="Times New Roman" w:cs="宋体"/>
          <w:b/>
          <w:bCs/>
          <w:sz w:val="32"/>
          <w:szCs w:val="32"/>
        </w:rPr>
        <w:t>审查资料</w:t>
      </w:r>
    </w:p>
    <w:p>
      <w:pPr>
        <w:pStyle w:val="15"/>
        <w:adjustRightInd w:val="0"/>
        <w:snapToGrid w:val="0"/>
        <w:spacing w:before="197" w:after="197" w:line="300" w:lineRule="auto"/>
        <w:jc w:val="center"/>
        <w:rPr>
          <w:rFonts w:ascii="Times New Roman" w:hAnsi="Times New Roman" w:cs="宋体"/>
          <w:b/>
          <w:bCs/>
          <w:sz w:val="32"/>
          <w:szCs w:val="32"/>
        </w:rPr>
      </w:pPr>
    </w:p>
    <w:p>
      <w:pPr>
        <w:pStyle w:val="15"/>
        <w:adjustRightInd w:val="0"/>
        <w:snapToGrid w:val="0"/>
        <w:spacing w:before="197" w:after="197" w:line="300" w:lineRule="auto"/>
        <w:jc w:val="center"/>
        <w:rPr>
          <w:rFonts w:ascii="Times New Roman" w:hAnsi="Times New Roman" w:cs="宋体"/>
          <w:b/>
          <w:bCs/>
          <w:sz w:val="32"/>
          <w:szCs w:val="32"/>
        </w:rPr>
      </w:pPr>
    </w:p>
    <w:p>
      <w:pPr>
        <w:autoSpaceDE w:val="0"/>
        <w:autoSpaceDN w:val="0"/>
        <w:adjustRightInd w:val="0"/>
        <w:spacing w:line="360" w:lineRule="auto"/>
        <w:ind w:firstLine="560" w:firstLineChars="200"/>
        <w:jc w:val="left"/>
        <w:rPr>
          <w:rFonts w:cs="宋体"/>
          <w:kern w:val="0"/>
        </w:rPr>
      </w:pPr>
      <w:r>
        <w:rPr>
          <w:rFonts w:hint="eastAsia" w:cs="宋体"/>
          <w:kern w:val="0"/>
        </w:rPr>
        <w:t>（一）资格审查须知</w:t>
      </w:r>
    </w:p>
    <w:p>
      <w:pPr>
        <w:autoSpaceDE w:val="0"/>
        <w:autoSpaceDN w:val="0"/>
        <w:adjustRightInd w:val="0"/>
        <w:spacing w:line="360" w:lineRule="auto"/>
        <w:ind w:firstLine="560" w:firstLineChars="200"/>
        <w:jc w:val="left"/>
        <w:rPr>
          <w:rFonts w:cs="宋体"/>
          <w:kern w:val="0"/>
        </w:rPr>
      </w:pPr>
      <w:r>
        <w:rPr>
          <w:rFonts w:hint="eastAsia" w:cs="宋体"/>
          <w:kern w:val="0"/>
        </w:rPr>
        <w:t>1.供应商必须认真填写招标文件规定的所有表格，并对其真实性负责，采购人有权对其进行调查核实和要求澄清。</w:t>
      </w:r>
    </w:p>
    <w:p>
      <w:pPr>
        <w:autoSpaceDE w:val="0"/>
        <w:autoSpaceDN w:val="0"/>
        <w:adjustRightInd w:val="0"/>
        <w:spacing w:line="360" w:lineRule="auto"/>
        <w:ind w:firstLine="560" w:firstLineChars="200"/>
        <w:jc w:val="left"/>
        <w:rPr>
          <w:rFonts w:cs="宋体"/>
          <w:kern w:val="0"/>
        </w:rPr>
      </w:pPr>
      <w:r>
        <w:rPr>
          <w:rFonts w:hint="eastAsia" w:cs="宋体"/>
          <w:kern w:val="0"/>
        </w:rPr>
        <w:t>2.资格审查按通过和不通过两种方式进行评定，供应商的资格等方面的要求作为资格审查通过的强制性资格条件，经核实有一项不符合要求，则供应商的资格为不通过，不通过的供应商对其投标响应文件不进行后续评审。</w:t>
      </w:r>
    </w:p>
    <w:p>
      <w:pPr>
        <w:autoSpaceDE w:val="0"/>
        <w:autoSpaceDN w:val="0"/>
        <w:adjustRightInd w:val="0"/>
        <w:spacing w:line="360" w:lineRule="auto"/>
        <w:ind w:firstLine="560" w:firstLineChars="200"/>
        <w:jc w:val="left"/>
        <w:rPr>
          <w:rFonts w:cs="宋体"/>
          <w:kern w:val="0"/>
        </w:rPr>
      </w:pPr>
      <w:r>
        <w:rPr>
          <w:rFonts w:hint="eastAsia" w:cs="宋体"/>
          <w:kern w:val="0"/>
        </w:rPr>
        <w:t>（二）资格审查资料格式</w:t>
      </w:r>
    </w:p>
    <w:p>
      <w:pPr>
        <w:autoSpaceDE w:val="0"/>
        <w:autoSpaceDN w:val="0"/>
        <w:adjustRightInd w:val="0"/>
        <w:spacing w:line="360" w:lineRule="auto"/>
        <w:ind w:firstLine="560" w:firstLineChars="200"/>
        <w:jc w:val="left"/>
        <w:rPr>
          <w:rFonts w:cs="宋体"/>
          <w:kern w:val="0"/>
        </w:rPr>
      </w:pPr>
      <w:r>
        <w:rPr>
          <w:rFonts w:hint="eastAsia" w:cs="宋体"/>
          <w:kern w:val="0"/>
        </w:rPr>
        <w:t>见后附表</w:t>
      </w:r>
    </w:p>
    <w:p>
      <w:pPr>
        <w:snapToGrid w:val="0"/>
        <w:spacing w:line="300" w:lineRule="auto"/>
        <w:ind w:left="280" w:hanging="280" w:hangingChars="100"/>
        <w:jc w:val="center"/>
        <w:rPr>
          <w:rFonts w:cs="宋体"/>
          <w:b/>
          <w:bCs/>
          <w:sz w:val="32"/>
        </w:rPr>
      </w:pPr>
      <w:r>
        <w:rPr>
          <w:rFonts w:hint="eastAsia" w:cs="宋体"/>
          <w:szCs w:val="28"/>
        </w:rPr>
        <w:br w:type="page"/>
      </w:r>
      <w:r>
        <w:rPr>
          <w:rFonts w:hint="eastAsia" w:cs="宋体"/>
          <w:szCs w:val="28"/>
        </w:rPr>
        <w:t xml:space="preserve">  </w:t>
      </w:r>
      <w:r>
        <w:rPr>
          <w:rFonts w:hint="eastAsia" w:cs="宋体"/>
          <w:b/>
          <w:bCs/>
          <w:sz w:val="32"/>
        </w:rPr>
        <w:t>资格</w:t>
      </w:r>
      <w:r>
        <w:rPr>
          <w:rFonts w:hint="eastAsia" w:cs="宋体"/>
          <w:b/>
          <w:bCs/>
          <w:sz w:val="32"/>
          <w:szCs w:val="32"/>
        </w:rPr>
        <w:t>审查资料</w:t>
      </w:r>
      <w:r>
        <w:rPr>
          <w:rFonts w:hint="eastAsia" w:cs="宋体"/>
          <w:b/>
          <w:bCs/>
          <w:sz w:val="32"/>
        </w:rPr>
        <w:t>表</w:t>
      </w:r>
    </w:p>
    <w:tbl>
      <w:tblPr>
        <w:tblStyle w:val="29"/>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088"/>
        <w:gridCol w:w="5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pPr>
              <w:snapToGrid w:val="0"/>
              <w:jc w:val="center"/>
              <w:rPr>
                <w:rFonts w:hint="eastAsia" w:ascii="宋体" w:hAnsi="宋体" w:cs="宋体"/>
                <w:b/>
                <w:bCs/>
                <w:sz w:val="21"/>
                <w:szCs w:val="21"/>
              </w:rPr>
            </w:pPr>
            <w:r>
              <w:rPr>
                <w:rFonts w:hint="eastAsia" w:ascii="宋体" w:hAnsi="宋体" w:cs="宋体"/>
                <w:b/>
                <w:bCs/>
                <w:sz w:val="21"/>
                <w:szCs w:val="21"/>
              </w:rPr>
              <w:t>序号</w:t>
            </w:r>
          </w:p>
        </w:tc>
        <w:tc>
          <w:tcPr>
            <w:tcW w:w="3088" w:type="dxa"/>
            <w:vAlign w:val="center"/>
          </w:tcPr>
          <w:p>
            <w:pPr>
              <w:widowControl/>
              <w:jc w:val="center"/>
              <w:rPr>
                <w:rFonts w:hint="eastAsia" w:ascii="宋体" w:hAnsi="宋体" w:cs="宋体"/>
                <w:b/>
                <w:bCs/>
                <w:sz w:val="21"/>
                <w:szCs w:val="21"/>
              </w:rPr>
            </w:pPr>
            <w:r>
              <w:rPr>
                <w:rFonts w:hint="eastAsia" w:ascii="宋体" w:hAnsi="宋体" w:cs="宋体"/>
                <w:b/>
                <w:bCs/>
                <w:kern w:val="0"/>
                <w:sz w:val="21"/>
                <w:szCs w:val="21"/>
                <w:lang w:bidi="ar"/>
              </w:rPr>
              <w:t>资格条件要求</w:t>
            </w:r>
          </w:p>
        </w:tc>
        <w:tc>
          <w:tcPr>
            <w:tcW w:w="5856" w:type="dxa"/>
            <w:vAlign w:val="center"/>
          </w:tcPr>
          <w:p>
            <w:pPr>
              <w:widowControl/>
              <w:jc w:val="center"/>
              <w:rPr>
                <w:rFonts w:hint="eastAsia" w:ascii="宋体" w:hAnsi="宋体" w:cs="宋体"/>
                <w:sz w:val="21"/>
                <w:szCs w:val="21"/>
              </w:rPr>
            </w:pPr>
            <w:r>
              <w:rPr>
                <w:rFonts w:hint="eastAsia" w:ascii="宋体" w:hAnsi="宋体" w:cs="宋体"/>
                <w:b/>
                <w:kern w:val="0"/>
                <w:sz w:val="21"/>
                <w:szCs w:val="21"/>
                <w:lang w:bidi="ar"/>
              </w:rPr>
              <w:t>要求提供的证明材料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662" w:type="dxa"/>
            <w:vAlign w:val="center"/>
          </w:tcPr>
          <w:p>
            <w:pPr>
              <w:snapToGrid w:val="0"/>
              <w:jc w:val="center"/>
              <w:rPr>
                <w:rFonts w:hint="eastAsia" w:ascii="宋体" w:hAnsi="宋体" w:cs="宋体"/>
                <w:sz w:val="21"/>
                <w:szCs w:val="21"/>
              </w:rPr>
            </w:pPr>
            <w:r>
              <w:rPr>
                <w:rFonts w:hint="eastAsia" w:ascii="宋体" w:hAnsi="宋体" w:cs="宋体"/>
                <w:sz w:val="21"/>
                <w:szCs w:val="21"/>
              </w:rPr>
              <w:t>1</w:t>
            </w:r>
          </w:p>
        </w:tc>
        <w:tc>
          <w:tcPr>
            <w:tcW w:w="3088" w:type="dxa"/>
            <w:vAlign w:val="center"/>
          </w:tcPr>
          <w:p>
            <w:pPr>
              <w:widowControl/>
              <w:jc w:val="left"/>
              <w:rPr>
                <w:rFonts w:hint="eastAsia" w:ascii="宋体" w:hAnsi="宋体" w:cs="宋体"/>
                <w:kern w:val="0"/>
                <w:sz w:val="21"/>
                <w:szCs w:val="21"/>
              </w:rPr>
            </w:pPr>
            <w:r>
              <w:rPr>
                <w:rFonts w:hint="eastAsia" w:ascii="宋体" w:hAnsi="宋体" w:cs="宋体"/>
                <w:kern w:val="0"/>
                <w:sz w:val="21"/>
                <w:szCs w:val="21"/>
                <w:lang w:bidi="ar"/>
              </w:rPr>
              <w:t>具有独立承担民事责任的能力</w:t>
            </w:r>
          </w:p>
        </w:tc>
        <w:tc>
          <w:tcPr>
            <w:tcW w:w="5856" w:type="dxa"/>
            <w:vAlign w:val="center"/>
          </w:tcPr>
          <w:p>
            <w:pPr>
              <w:widowControl/>
              <w:jc w:val="left"/>
              <w:rPr>
                <w:rFonts w:hint="eastAsia" w:ascii="宋体" w:hAnsi="宋体" w:cs="宋体"/>
                <w:sz w:val="21"/>
                <w:szCs w:val="21"/>
              </w:rPr>
            </w:pPr>
            <w:r>
              <w:rPr>
                <w:rFonts w:hint="eastAsia" w:ascii="宋体" w:hAnsi="宋体" w:cs="宋体"/>
                <w:bCs/>
                <w:kern w:val="0"/>
                <w:sz w:val="21"/>
                <w:szCs w:val="21"/>
                <w:lang w:bidi="ar"/>
              </w:rPr>
              <w:t>营业执照（或事业法人登记证或其他工商等登记证明材料）（供应商为自然人的，提供自然人的身份证明）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atLeast"/>
        </w:trPr>
        <w:tc>
          <w:tcPr>
            <w:tcW w:w="662" w:type="dxa"/>
            <w:vAlign w:val="center"/>
          </w:tcPr>
          <w:p>
            <w:pPr>
              <w:snapToGrid w:val="0"/>
              <w:jc w:val="center"/>
              <w:rPr>
                <w:rFonts w:hint="eastAsia" w:ascii="宋体" w:hAnsi="宋体" w:cs="宋体"/>
                <w:sz w:val="21"/>
                <w:szCs w:val="21"/>
              </w:rPr>
            </w:pPr>
            <w:r>
              <w:rPr>
                <w:rFonts w:hint="eastAsia" w:ascii="宋体" w:hAnsi="宋体" w:cs="宋体"/>
                <w:sz w:val="21"/>
                <w:szCs w:val="21"/>
              </w:rPr>
              <w:t>2</w:t>
            </w:r>
          </w:p>
        </w:tc>
        <w:tc>
          <w:tcPr>
            <w:tcW w:w="3088" w:type="dxa"/>
            <w:vAlign w:val="center"/>
          </w:tcPr>
          <w:p>
            <w:pPr>
              <w:widowControl/>
              <w:jc w:val="left"/>
              <w:rPr>
                <w:rFonts w:hint="eastAsia" w:ascii="宋体" w:hAnsi="宋体" w:cs="宋体"/>
                <w:bCs/>
                <w:kern w:val="0"/>
                <w:sz w:val="21"/>
                <w:szCs w:val="21"/>
                <w:lang w:bidi="ar"/>
              </w:rPr>
            </w:pPr>
            <w:r>
              <w:rPr>
                <w:rFonts w:ascii="宋体" w:hAnsi="宋体" w:cs="宋体"/>
                <w:bCs/>
                <w:kern w:val="0"/>
                <w:sz w:val="21"/>
                <w:szCs w:val="21"/>
                <w:lang w:bidi="ar"/>
              </w:rPr>
              <w:t>满足《中华人民共和国政府采购法》第二十二条规定，</w:t>
            </w:r>
            <w:r>
              <w:rPr>
                <w:rFonts w:hint="eastAsia" w:ascii="宋体" w:hAnsi="宋体" w:cs="宋体"/>
                <w:bCs/>
                <w:kern w:val="0"/>
                <w:sz w:val="21"/>
                <w:szCs w:val="21"/>
                <w:lang w:bidi="ar"/>
              </w:rPr>
              <w:t xml:space="preserve">未被信用中国网站(www.creditchina.gov.cn）列入失信被执行人、重大税收违法案件当事人名单，未被中国政府采购网(www.ccgp.gov.cn） </w:t>
            </w:r>
          </w:p>
          <w:p>
            <w:pPr>
              <w:widowControl/>
              <w:jc w:val="left"/>
              <w:rPr>
                <w:rFonts w:hint="eastAsia" w:ascii="宋体" w:hAnsi="宋体" w:cs="宋体"/>
                <w:bCs/>
                <w:kern w:val="0"/>
                <w:sz w:val="21"/>
                <w:szCs w:val="21"/>
                <w:lang w:bidi="ar"/>
              </w:rPr>
            </w:pPr>
            <w:r>
              <w:rPr>
                <w:rFonts w:hint="eastAsia" w:ascii="宋体" w:hAnsi="宋体" w:cs="宋体"/>
                <w:bCs/>
                <w:kern w:val="0"/>
                <w:sz w:val="21"/>
                <w:szCs w:val="21"/>
                <w:lang w:bidi="ar"/>
              </w:rPr>
              <w:t>列入政府采购严重违法失信行为记录名单。</w:t>
            </w:r>
          </w:p>
        </w:tc>
        <w:tc>
          <w:tcPr>
            <w:tcW w:w="5856" w:type="dxa"/>
            <w:vAlign w:val="center"/>
          </w:tcPr>
          <w:p>
            <w:pPr>
              <w:widowControl/>
              <w:jc w:val="left"/>
              <w:rPr>
                <w:rFonts w:hint="eastAsia" w:ascii="宋体" w:hAnsi="宋体" w:cs="宋体"/>
                <w:bCs/>
                <w:kern w:val="0"/>
                <w:sz w:val="21"/>
                <w:szCs w:val="21"/>
                <w:lang w:bidi="ar"/>
              </w:rPr>
            </w:pPr>
            <w:r>
              <w:rPr>
                <w:rFonts w:ascii="宋体" w:hAnsi="宋体" w:cs="宋体"/>
                <w:bCs/>
                <w:kern w:val="0"/>
                <w:sz w:val="21"/>
                <w:szCs w:val="21"/>
                <w:lang w:bidi="ar"/>
              </w:rPr>
              <w:t>符合资格条件的声明函</w:t>
            </w:r>
            <w:r>
              <w:rPr>
                <w:rFonts w:hint="eastAsia" w:ascii="宋体" w:hAnsi="宋体" w:cs="宋体"/>
                <w:bCs/>
                <w:kern w:val="0"/>
                <w:sz w:val="21"/>
                <w:szCs w:val="21"/>
                <w:lang w:bidi="ar"/>
              </w:rPr>
              <w:t>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trPr>
        <w:tc>
          <w:tcPr>
            <w:tcW w:w="662" w:type="dxa"/>
            <w:vAlign w:val="center"/>
          </w:tcPr>
          <w:p>
            <w:pPr>
              <w:snapToGrid w:val="0"/>
              <w:jc w:val="center"/>
              <w:rPr>
                <w:rFonts w:hint="eastAsia" w:ascii="宋体" w:hAnsi="宋体" w:cs="宋体"/>
                <w:sz w:val="21"/>
                <w:szCs w:val="21"/>
              </w:rPr>
            </w:pPr>
            <w:r>
              <w:rPr>
                <w:rFonts w:hint="eastAsia" w:ascii="宋体" w:hAnsi="宋体" w:cs="宋体"/>
                <w:sz w:val="21"/>
                <w:szCs w:val="21"/>
              </w:rPr>
              <w:t>3</w:t>
            </w:r>
          </w:p>
        </w:tc>
        <w:tc>
          <w:tcPr>
            <w:tcW w:w="3088" w:type="dxa"/>
            <w:vAlign w:val="center"/>
          </w:tcPr>
          <w:p>
            <w:pPr>
              <w:widowControl/>
              <w:jc w:val="left"/>
              <w:rPr>
                <w:rFonts w:hint="eastAsia" w:ascii="宋体" w:hAnsi="宋体" w:cs="宋体"/>
                <w:kern w:val="0"/>
                <w:sz w:val="21"/>
                <w:szCs w:val="21"/>
                <w:lang w:bidi="ar"/>
              </w:rPr>
            </w:pPr>
            <w:r>
              <w:rPr>
                <w:rFonts w:hint="eastAsia" w:ascii="宋体" w:hAnsi="宋体" w:cs="宋体"/>
                <w:kern w:val="0"/>
                <w:sz w:val="21"/>
                <w:szCs w:val="21"/>
                <w:lang w:bidi="ar"/>
              </w:rPr>
              <w:t>符合中小企业采购政策的声明</w:t>
            </w:r>
          </w:p>
        </w:tc>
        <w:tc>
          <w:tcPr>
            <w:tcW w:w="5856" w:type="dxa"/>
            <w:vAlign w:val="center"/>
          </w:tcPr>
          <w:p>
            <w:pPr>
              <w:widowControl/>
              <w:jc w:val="left"/>
              <w:rPr>
                <w:rFonts w:hint="eastAsia" w:ascii="宋体" w:hAnsi="宋体" w:cs="宋体"/>
                <w:kern w:val="0"/>
                <w:sz w:val="21"/>
                <w:szCs w:val="21"/>
                <w:lang w:bidi="ar"/>
              </w:rPr>
            </w:pPr>
            <w:r>
              <w:rPr>
                <w:rFonts w:hint="eastAsia" w:ascii="宋体" w:hAnsi="宋体" w:cs="宋体"/>
                <w:kern w:val="0"/>
                <w:sz w:val="21"/>
                <w:szCs w:val="21"/>
                <w:lang w:bidi="ar"/>
              </w:rPr>
              <w:t>须提供《中小企业声明函》（货物/服务/工程）或残疾人福利性单位声明函（若有）或监狱企业证明文件（若有）（详见附件）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662" w:type="dxa"/>
            <w:vAlign w:val="center"/>
          </w:tcPr>
          <w:p>
            <w:pPr>
              <w:snapToGrid w:val="0"/>
              <w:jc w:val="center"/>
              <w:rPr>
                <w:rFonts w:hint="eastAsia" w:ascii="宋体" w:hAnsi="宋体" w:cs="宋体"/>
                <w:sz w:val="21"/>
                <w:szCs w:val="21"/>
              </w:rPr>
            </w:pPr>
            <w:r>
              <w:rPr>
                <w:rFonts w:hint="eastAsia" w:ascii="宋体" w:hAnsi="宋体" w:cs="宋体"/>
                <w:sz w:val="21"/>
                <w:szCs w:val="21"/>
              </w:rPr>
              <w:t>4</w:t>
            </w:r>
          </w:p>
        </w:tc>
        <w:tc>
          <w:tcPr>
            <w:tcW w:w="3088" w:type="dxa"/>
            <w:vAlign w:val="center"/>
          </w:tcPr>
          <w:p>
            <w:pPr>
              <w:widowControl/>
              <w:jc w:val="left"/>
              <w:rPr>
                <w:rFonts w:hint="eastAsia" w:ascii="宋体" w:hAnsi="宋体" w:cs="宋体"/>
                <w:kern w:val="0"/>
                <w:sz w:val="21"/>
                <w:szCs w:val="21"/>
                <w:lang w:bidi="ar"/>
              </w:rPr>
            </w:pPr>
            <w:r>
              <w:rPr>
                <w:rFonts w:hint="eastAsia" w:ascii="宋体" w:hAnsi="宋体" w:cs="宋体"/>
                <w:kern w:val="0"/>
                <w:sz w:val="21"/>
                <w:szCs w:val="21"/>
                <w:lang w:bidi="ar"/>
              </w:rPr>
              <w:t>特定资格要求（如有）</w:t>
            </w:r>
          </w:p>
        </w:tc>
        <w:tc>
          <w:tcPr>
            <w:tcW w:w="5856" w:type="dxa"/>
            <w:vAlign w:val="center"/>
          </w:tcPr>
          <w:p>
            <w:pPr>
              <w:widowControl/>
              <w:jc w:val="left"/>
              <w:rPr>
                <w:rFonts w:hint="eastAsia" w:ascii="宋体" w:hAnsi="宋体" w:cs="宋体"/>
                <w:kern w:val="0"/>
                <w:sz w:val="21"/>
                <w:szCs w:val="21"/>
                <w:lang w:bidi="ar"/>
              </w:rPr>
            </w:pPr>
            <w:r>
              <w:rPr>
                <w:rFonts w:hint="eastAsia" w:ascii="宋体" w:hAnsi="宋体" w:cs="宋体"/>
                <w:kern w:val="0"/>
                <w:sz w:val="21"/>
                <w:szCs w:val="21"/>
                <w:lang w:bidi="ar"/>
              </w:rPr>
              <w:t>须提供符合“第一章公开招标采购公告”中“五、合格投标人的资格要求”上列明的“特定资格要求”的证明文件电子扫描件并加盖公章。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662" w:type="dxa"/>
            <w:vAlign w:val="center"/>
          </w:tcPr>
          <w:p>
            <w:pPr>
              <w:snapToGrid w:val="0"/>
              <w:jc w:val="center"/>
              <w:rPr>
                <w:rFonts w:hint="eastAsia" w:ascii="宋体" w:hAnsi="宋体" w:cs="宋体"/>
                <w:sz w:val="21"/>
                <w:szCs w:val="21"/>
              </w:rPr>
            </w:pPr>
            <w:r>
              <w:rPr>
                <w:rFonts w:hint="eastAsia" w:ascii="宋体" w:hAnsi="宋体" w:cs="宋体"/>
                <w:sz w:val="21"/>
                <w:szCs w:val="21"/>
              </w:rPr>
              <w:t>5</w:t>
            </w:r>
          </w:p>
        </w:tc>
        <w:tc>
          <w:tcPr>
            <w:tcW w:w="3088" w:type="dxa"/>
            <w:vAlign w:val="center"/>
          </w:tcPr>
          <w:p>
            <w:pPr>
              <w:widowControl/>
              <w:jc w:val="left"/>
              <w:rPr>
                <w:rFonts w:hint="eastAsia" w:ascii="宋体" w:hAnsi="宋体" w:cs="宋体"/>
                <w:sz w:val="21"/>
                <w:szCs w:val="21"/>
              </w:rPr>
            </w:pPr>
            <w:r>
              <w:rPr>
                <w:rFonts w:hint="eastAsia" w:ascii="宋体" w:hAnsi="宋体" w:cs="宋体"/>
                <w:kern w:val="0"/>
                <w:sz w:val="21"/>
                <w:szCs w:val="21"/>
                <w:lang w:bidi="ar"/>
              </w:rPr>
              <w:t>供应商是否为联合体</w:t>
            </w:r>
          </w:p>
        </w:tc>
        <w:tc>
          <w:tcPr>
            <w:tcW w:w="5856" w:type="dxa"/>
            <w:vAlign w:val="center"/>
          </w:tcPr>
          <w:p>
            <w:pPr>
              <w:widowControl/>
              <w:jc w:val="left"/>
              <w:rPr>
                <w:rFonts w:hint="eastAsia" w:ascii="宋体" w:hAnsi="宋体" w:cs="宋体"/>
                <w:sz w:val="21"/>
                <w:szCs w:val="21"/>
              </w:rPr>
            </w:pPr>
            <w:r>
              <w:rPr>
                <w:rFonts w:hint="eastAsia" w:ascii="宋体" w:hAnsi="宋体" w:cs="宋体"/>
                <w:kern w:val="0"/>
                <w:sz w:val="21"/>
                <w:szCs w:val="21"/>
                <w:lang w:bidi="ar"/>
              </w:rPr>
              <w:t>本项目不接受联合体投标。</w:t>
            </w:r>
          </w:p>
        </w:tc>
      </w:tr>
    </w:tbl>
    <w:p>
      <w:pPr>
        <w:widowControl/>
        <w:ind w:firstLine="422" w:firstLineChars="200"/>
        <w:jc w:val="left"/>
        <w:rPr>
          <w:rFonts w:cs="宋体"/>
          <w:b/>
          <w:bCs/>
          <w:kern w:val="0"/>
          <w:sz w:val="21"/>
          <w:szCs w:val="21"/>
          <w:lang w:bidi="ar"/>
        </w:rPr>
      </w:pPr>
      <w:r>
        <w:rPr>
          <w:rFonts w:hint="eastAsia" w:cs="宋体"/>
          <w:b/>
          <w:bCs/>
          <w:kern w:val="0"/>
          <w:sz w:val="21"/>
          <w:szCs w:val="21"/>
          <w:lang w:bidi="ar"/>
        </w:rPr>
        <w:t>注：请按以上顺序编排所需资格文件，表后附上相关证明文件。未提供上述材料任何一项或未完整提供或无法证明是否符合资格要求的均按无效标处理。</w:t>
      </w:r>
    </w:p>
    <w:p>
      <w:pPr>
        <w:snapToGrid w:val="0"/>
        <w:spacing w:before="197" w:beforeLines="50" w:after="50"/>
        <w:jc w:val="left"/>
        <w:rPr>
          <w:rFonts w:cs="宋体"/>
          <w:b/>
          <w:bCs/>
          <w:sz w:val="24"/>
        </w:rPr>
      </w:pPr>
      <w:r>
        <w:rPr>
          <w:rFonts w:hint="eastAsia" w:cs="宋体"/>
          <w:b/>
          <w:bCs/>
          <w:sz w:val="24"/>
        </w:rPr>
        <w:t xml:space="preserve">           </w:t>
      </w:r>
    </w:p>
    <w:p>
      <w:pPr>
        <w:numPr>
          <w:ilvl w:val="0"/>
          <w:numId w:val="17"/>
        </w:numPr>
        <w:snapToGrid w:val="0"/>
        <w:spacing w:line="400" w:lineRule="exact"/>
        <w:rPr>
          <w:rFonts w:hint="eastAsia" w:ascii="宋体" w:hAnsi="宋体" w:cs="宋体"/>
          <w:b/>
          <w:sz w:val="24"/>
        </w:rPr>
      </w:pPr>
      <w:r>
        <w:rPr>
          <w:rFonts w:hint="eastAsia" w:cs="宋体"/>
          <w:sz w:val="24"/>
        </w:rPr>
        <w:br w:type="page"/>
      </w:r>
      <w:r>
        <w:rPr>
          <w:rFonts w:hint="eastAsia" w:ascii="宋体" w:hAnsi="宋体" w:cs="宋体"/>
          <w:b/>
          <w:sz w:val="24"/>
        </w:rPr>
        <w:t xml:space="preserve">符合资格条件的声明函 </w:t>
      </w:r>
    </w:p>
    <w:p>
      <w:pPr>
        <w:snapToGrid w:val="0"/>
        <w:spacing w:line="400" w:lineRule="exact"/>
        <w:rPr>
          <w:rFonts w:hint="eastAsia" w:ascii="宋体" w:hAnsi="宋体" w:cs="宋体"/>
          <w:sz w:val="24"/>
        </w:rPr>
      </w:pPr>
    </w:p>
    <w:p>
      <w:pPr>
        <w:spacing w:line="480" w:lineRule="exact"/>
        <w:jc w:val="center"/>
        <w:rPr>
          <w:rFonts w:hint="eastAsia" w:ascii="宋体" w:hAnsi="宋体" w:cs="宋体"/>
          <w:b/>
          <w:sz w:val="36"/>
          <w:szCs w:val="36"/>
        </w:rPr>
      </w:pPr>
    </w:p>
    <w:p>
      <w:pPr>
        <w:spacing w:line="480" w:lineRule="exact"/>
        <w:jc w:val="center"/>
        <w:rPr>
          <w:b/>
          <w:sz w:val="32"/>
          <w:szCs w:val="32"/>
        </w:rPr>
      </w:pPr>
      <w:r>
        <w:rPr>
          <w:rFonts w:hint="eastAsia"/>
          <w:b/>
          <w:sz w:val="36"/>
          <w:szCs w:val="36"/>
        </w:rPr>
        <w:t>符合资格条件的声明函</w:t>
      </w:r>
    </w:p>
    <w:p>
      <w:pPr>
        <w:spacing w:line="360" w:lineRule="auto"/>
        <w:ind w:left="420"/>
        <w:jc w:val="center"/>
        <w:rPr>
          <w:rFonts w:hint="eastAsia" w:ascii="宋体" w:hAnsi="宋体"/>
          <w:b/>
          <w:sz w:val="44"/>
          <w:szCs w:val="44"/>
        </w:rPr>
      </w:pPr>
    </w:p>
    <w:p>
      <w:pPr>
        <w:spacing w:line="360" w:lineRule="auto"/>
        <w:rPr>
          <w:rFonts w:hint="eastAsia" w:ascii="宋体" w:hAnsi="宋体"/>
          <w:szCs w:val="28"/>
        </w:rPr>
      </w:pPr>
      <w:r>
        <w:rPr>
          <w:rFonts w:hint="eastAsia" w:ascii="宋体" w:hAnsi="宋体"/>
          <w:szCs w:val="28"/>
        </w:rPr>
        <w:t>浙江师范大学：</w:t>
      </w:r>
    </w:p>
    <w:p>
      <w:pPr>
        <w:spacing w:line="360" w:lineRule="auto"/>
        <w:ind w:firstLine="560" w:firstLineChars="200"/>
        <w:rPr>
          <w:rFonts w:hint="eastAsia" w:ascii="宋体" w:hAnsi="宋体"/>
          <w:szCs w:val="28"/>
        </w:rPr>
      </w:pPr>
      <w:r>
        <w:rPr>
          <w:rFonts w:hint="eastAsia" w:ascii="宋体" w:hAnsi="宋体"/>
          <w:szCs w:val="28"/>
        </w:rPr>
        <w:t>截至浙江师范大学</w:t>
      </w:r>
      <w:r>
        <w:rPr>
          <w:rFonts w:ascii="宋体" w:hAnsi="宋体"/>
          <w:szCs w:val="28"/>
          <w:u w:val="single"/>
        </w:rPr>
        <w:t xml:space="preserve">                 </w:t>
      </w:r>
      <w:r>
        <w:rPr>
          <w:rFonts w:hint="eastAsia" w:ascii="宋体" w:hAnsi="宋体"/>
          <w:szCs w:val="28"/>
        </w:rPr>
        <w:t>（项目名称）</w:t>
      </w:r>
      <w:r>
        <w:rPr>
          <w:rFonts w:ascii="宋体" w:hAnsi="宋体"/>
          <w:szCs w:val="28"/>
          <w:u w:val="single"/>
        </w:rPr>
        <w:t xml:space="preserve">        </w:t>
      </w:r>
      <w:r>
        <w:rPr>
          <w:rFonts w:hint="eastAsia" w:ascii="宋体" w:hAnsi="宋体"/>
          <w:szCs w:val="28"/>
        </w:rPr>
        <w:t>（项目编号）的提交投标文件截止时间，具有良好的商业信誉，依法缴纳税收和社会保障资金，具有履行合同所必需的设备和专业技术能力，未被列入失信被执行人名单、重大税收违法案件当事人名单、政府采购严重违法失信行为记录名单，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p>
    <w:p>
      <w:pPr>
        <w:spacing w:line="360" w:lineRule="auto"/>
        <w:ind w:firstLine="560" w:firstLineChars="200"/>
        <w:rPr>
          <w:rFonts w:hint="eastAsia" w:ascii="宋体" w:hAnsi="宋体"/>
          <w:szCs w:val="28"/>
        </w:rPr>
      </w:pPr>
      <w:r>
        <w:rPr>
          <w:rFonts w:hint="eastAsia" w:ascii="宋体" w:hAnsi="宋体"/>
          <w:szCs w:val="28"/>
        </w:rPr>
        <w:t>我方对上述声明的真实性负责。如有虚假，愿意承担相应责任，对此无任何异议。</w:t>
      </w:r>
    </w:p>
    <w:p>
      <w:pPr>
        <w:spacing w:line="360" w:lineRule="auto"/>
        <w:ind w:firstLine="560" w:firstLineChars="200"/>
        <w:rPr>
          <w:rFonts w:hint="eastAsia" w:ascii="宋体" w:hAnsi="宋体"/>
          <w:szCs w:val="28"/>
        </w:rPr>
      </w:pPr>
      <w:r>
        <w:rPr>
          <w:rFonts w:hint="eastAsia" w:ascii="宋体" w:hAnsi="宋体"/>
          <w:szCs w:val="28"/>
        </w:rPr>
        <w:t>特此声明！</w:t>
      </w:r>
    </w:p>
    <w:p>
      <w:pPr>
        <w:pStyle w:val="14"/>
        <w:rPr>
          <w:rFonts w:hint="eastAsia" w:ascii="宋体" w:hAnsi="宋体"/>
          <w:sz w:val="30"/>
          <w:szCs w:val="30"/>
        </w:rPr>
      </w:pPr>
    </w:p>
    <w:p>
      <w:pPr>
        <w:pStyle w:val="14"/>
        <w:rPr>
          <w:rFonts w:hint="eastAsia" w:ascii="宋体" w:hAnsi="宋体"/>
          <w:sz w:val="30"/>
          <w:szCs w:val="30"/>
        </w:rPr>
      </w:pPr>
    </w:p>
    <w:p>
      <w:pPr>
        <w:spacing w:line="360" w:lineRule="auto"/>
        <w:ind w:firstLine="3360" w:firstLineChars="1200"/>
        <w:rPr>
          <w:rFonts w:hint="eastAsia" w:ascii="宋体" w:hAnsi="宋体"/>
          <w:szCs w:val="28"/>
        </w:rPr>
      </w:pPr>
      <w:r>
        <w:rPr>
          <w:rFonts w:hint="eastAsia" w:ascii="宋体" w:hAnsi="宋体"/>
          <w:szCs w:val="28"/>
        </w:rPr>
        <w:t>承诺单位（盖章）：</w:t>
      </w:r>
      <w:r>
        <w:rPr>
          <w:rFonts w:hint="eastAsia" w:ascii="宋体" w:hAnsi="宋体"/>
          <w:szCs w:val="28"/>
          <w:u w:val="single"/>
        </w:rPr>
        <w:t xml:space="preserve">                     </w:t>
      </w:r>
    </w:p>
    <w:p>
      <w:pPr>
        <w:spacing w:line="360" w:lineRule="auto"/>
        <w:ind w:firstLine="3360" w:firstLineChars="1200"/>
        <w:rPr>
          <w:rFonts w:hint="eastAsia" w:ascii="宋体" w:hAnsi="宋体"/>
          <w:szCs w:val="28"/>
        </w:rPr>
      </w:pPr>
      <w:r>
        <w:rPr>
          <w:rFonts w:hint="eastAsia" w:ascii="宋体" w:hAnsi="宋体"/>
          <w:szCs w:val="28"/>
        </w:rPr>
        <w:t>法定代表人签字：</w:t>
      </w:r>
      <w:r>
        <w:rPr>
          <w:rFonts w:hint="eastAsia" w:ascii="宋体" w:hAnsi="宋体"/>
          <w:szCs w:val="28"/>
          <w:u w:val="single"/>
        </w:rPr>
        <w:t xml:space="preserve">                      </w:t>
      </w:r>
    </w:p>
    <w:p>
      <w:pPr>
        <w:spacing w:line="360" w:lineRule="auto"/>
        <w:ind w:left="560" w:leftChars="200" w:firstLine="5180" w:firstLineChars="1850"/>
        <w:rPr>
          <w:rFonts w:hint="eastAsia" w:ascii="宋体" w:hAnsi="宋体"/>
          <w:szCs w:val="28"/>
        </w:rPr>
      </w:pPr>
    </w:p>
    <w:p>
      <w:pPr>
        <w:spacing w:line="360" w:lineRule="auto"/>
        <w:ind w:left="560" w:leftChars="200" w:firstLine="4068" w:firstLineChars="1453"/>
        <w:rPr>
          <w:rFonts w:hint="eastAsia" w:ascii="宋体" w:hAnsi="宋体"/>
          <w:szCs w:val="28"/>
        </w:rPr>
      </w:pPr>
      <w:r>
        <w:rPr>
          <w:rFonts w:hint="eastAsia" w:ascii="宋体" w:hAnsi="宋体"/>
          <w:szCs w:val="28"/>
        </w:rPr>
        <w:t xml:space="preserve"> 年    月    日</w:t>
      </w:r>
    </w:p>
    <w:p>
      <w:pPr>
        <w:spacing w:line="400" w:lineRule="exact"/>
        <w:rPr>
          <w:rFonts w:cs="宋体"/>
          <w:sz w:val="30"/>
          <w:szCs w:val="30"/>
        </w:rPr>
      </w:pPr>
      <w:r>
        <w:rPr>
          <w:rFonts w:hint="eastAsia" w:cs="宋体"/>
          <w:b/>
          <w:sz w:val="24"/>
        </w:rPr>
        <w:br w:type="page"/>
      </w:r>
      <w:r>
        <w:rPr>
          <w:rFonts w:hint="eastAsia" w:cs="宋体"/>
          <w:b/>
          <w:sz w:val="24"/>
        </w:rPr>
        <w:t>5.</w:t>
      </w:r>
      <w:r>
        <w:rPr>
          <w:rFonts w:hint="eastAsia" w:cs="宋体"/>
          <w:b/>
        </w:rPr>
        <w:t>中小企业声明函（视需要情况提供）</w:t>
      </w:r>
    </w:p>
    <w:p>
      <w:pPr>
        <w:snapToGrid w:val="0"/>
        <w:spacing w:before="50" w:after="50"/>
        <w:jc w:val="center"/>
        <w:rPr>
          <w:rFonts w:cs="宋体"/>
          <w:b/>
          <w:sz w:val="36"/>
          <w:szCs w:val="36"/>
        </w:rPr>
      </w:pPr>
    </w:p>
    <w:p>
      <w:pPr>
        <w:snapToGrid w:val="0"/>
        <w:spacing w:before="50" w:after="50"/>
        <w:jc w:val="center"/>
        <w:rPr>
          <w:rFonts w:cs="宋体"/>
          <w:b/>
          <w:sz w:val="32"/>
          <w:szCs w:val="32"/>
        </w:rPr>
      </w:pPr>
      <w:r>
        <w:rPr>
          <w:rFonts w:hint="eastAsia" w:cs="宋体"/>
          <w:b/>
          <w:sz w:val="36"/>
          <w:szCs w:val="36"/>
        </w:rPr>
        <w:t>中小企业声明函（货物）</w:t>
      </w:r>
      <w:r>
        <w:rPr>
          <w:rFonts w:hint="eastAsia" w:cs="宋体"/>
          <w:b/>
          <w:sz w:val="32"/>
          <w:szCs w:val="32"/>
        </w:rPr>
        <w:t xml:space="preserve"> </w:t>
      </w:r>
    </w:p>
    <w:p>
      <w:pPr>
        <w:pStyle w:val="11"/>
        <w:rPr>
          <w:rFonts w:hint="default" w:ascii="Times New Roman" w:hAnsi="Times New Roman" w:cs="宋体"/>
        </w:rPr>
      </w:pPr>
    </w:p>
    <w:p>
      <w:pPr>
        <w:widowControl/>
        <w:spacing w:line="360" w:lineRule="auto"/>
        <w:ind w:firstLine="480" w:firstLineChars="200"/>
        <w:jc w:val="left"/>
        <w:rPr>
          <w:rFonts w:cs="宋体"/>
          <w:sz w:val="24"/>
        </w:rPr>
      </w:pPr>
      <w:r>
        <w:rPr>
          <w:rFonts w:hint="eastAsia" w:cs="宋体"/>
          <w:kern w:val="0"/>
          <w:sz w:val="24"/>
          <w:lang w:bidi="ar"/>
        </w:rPr>
        <w:t>本公司郑重声明，根据《政府采购促进中小企业发展管理办法》（财库﹝2020﹞46 号）的规定，本公司参加</w:t>
      </w:r>
      <w:r>
        <w:rPr>
          <w:rFonts w:hint="eastAsia" w:cs="宋体"/>
          <w:iCs/>
          <w:kern w:val="0"/>
          <w:sz w:val="24"/>
          <w:u w:val="single"/>
          <w:lang w:bidi="ar"/>
        </w:rPr>
        <w:t>浙江师范大学</w:t>
      </w:r>
      <w:r>
        <w:rPr>
          <w:rFonts w:hint="eastAsia" w:cs="宋体"/>
          <w:kern w:val="0"/>
          <w:sz w:val="24"/>
          <w:u w:val="single"/>
          <w:lang w:bidi="ar"/>
        </w:rPr>
        <w:t>的</w:t>
      </w:r>
      <w:r>
        <w:rPr>
          <w:rFonts w:hint="eastAsia" w:cs="宋体"/>
          <w:i/>
          <w:kern w:val="0"/>
          <w:sz w:val="24"/>
          <w:u w:val="single"/>
          <w:lang w:bidi="ar"/>
        </w:rPr>
        <w:t xml:space="preserve">（项目名称） </w:t>
      </w:r>
      <w:r>
        <w:rPr>
          <w:rFonts w:hint="eastAsia" w:cs="宋体"/>
          <w:kern w:val="0"/>
          <w:sz w:val="24"/>
          <w:lang w:bidi="ar"/>
        </w:rPr>
        <w:t>采购活动，提供的货物全部由符合政策要求的中小企业制造。企业的具体情况如下：</w:t>
      </w:r>
    </w:p>
    <w:p>
      <w:pPr>
        <w:widowControl/>
        <w:spacing w:line="360" w:lineRule="auto"/>
        <w:ind w:firstLine="480" w:firstLineChars="200"/>
        <w:jc w:val="left"/>
        <w:rPr>
          <w:rFonts w:cs="宋体"/>
          <w:kern w:val="0"/>
          <w:sz w:val="24"/>
          <w:lang w:bidi="ar"/>
        </w:rPr>
      </w:pPr>
      <w:r>
        <w:rPr>
          <w:rFonts w:hint="eastAsia" w:cs="宋体"/>
          <w:kern w:val="0"/>
          <w:sz w:val="24"/>
          <w:u w:val="single"/>
          <w:lang w:bidi="ar"/>
        </w:rPr>
        <w:t xml:space="preserve">           </w:t>
      </w:r>
      <w:r>
        <w:rPr>
          <w:rFonts w:hint="eastAsia" w:cs="宋体"/>
          <w:kern w:val="0"/>
          <w:sz w:val="24"/>
          <w:lang w:bidi="ar"/>
        </w:rPr>
        <w:t>（标的名称），属于</w:t>
      </w:r>
      <w:r>
        <w:rPr>
          <w:rFonts w:hint="eastAsia" w:cs="宋体"/>
          <w:kern w:val="0"/>
          <w:sz w:val="24"/>
          <w:u w:val="single"/>
          <w:lang w:bidi="ar"/>
        </w:rPr>
        <w:t xml:space="preserve">       行业</w:t>
      </w:r>
      <w:r>
        <w:rPr>
          <w:rFonts w:hint="eastAsia" w:cs="宋体"/>
          <w:sz w:val="24"/>
        </w:rPr>
        <w:t>（招标文件中明确的所属行业）</w:t>
      </w:r>
      <w:r>
        <w:rPr>
          <w:rFonts w:hint="eastAsia" w:cs="宋体"/>
          <w:kern w:val="0"/>
          <w:sz w:val="24"/>
          <w:lang w:bidi="ar"/>
        </w:rPr>
        <w:t>；制造商为</w:t>
      </w:r>
      <w:r>
        <w:rPr>
          <w:rFonts w:hint="eastAsia" w:cs="宋体"/>
          <w:kern w:val="0"/>
          <w:sz w:val="24"/>
          <w:u w:val="single"/>
          <w:lang w:bidi="ar"/>
        </w:rPr>
        <w:t xml:space="preserve">          （企业名称）</w:t>
      </w:r>
      <w:r>
        <w:rPr>
          <w:rFonts w:hint="eastAsia" w:cs="宋体"/>
          <w:kern w:val="0"/>
          <w:sz w:val="24"/>
          <w:lang w:bidi="ar"/>
        </w:rPr>
        <w:t>，从业人员</w:t>
      </w:r>
      <w:r>
        <w:rPr>
          <w:rFonts w:hint="eastAsia" w:cs="宋体"/>
          <w:kern w:val="0"/>
          <w:sz w:val="24"/>
          <w:u w:val="single"/>
          <w:lang w:bidi="ar"/>
        </w:rPr>
        <w:t xml:space="preserve">     </w:t>
      </w:r>
      <w:r>
        <w:rPr>
          <w:rFonts w:hint="eastAsia" w:cs="宋体"/>
          <w:kern w:val="0"/>
          <w:sz w:val="24"/>
          <w:lang w:bidi="ar"/>
        </w:rPr>
        <w:t>人，营业收入为</w:t>
      </w:r>
      <w:r>
        <w:rPr>
          <w:rFonts w:hint="eastAsia" w:cs="宋体"/>
          <w:kern w:val="0"/>
          <w:sz w:val="24"/>
          <w:u w:val="single"/>
          <w:lang w:bidi="ar"/>
        </w:rPr>
        <w:t xml:space="preserve">       </w:t>
      </w:r>
      <w:r>
        <w:rPr>
          <w:rFonts w:hint="eastAsia" w:cs="宋体"/>
          <w:kern w:val="0"/>
          <w:sz w:val="24"/>
          <w:lang w:bidi="ar"/>
        </w:rPr>
        <w:t>万元，资产总额为</w:t>
      </w:r>
      <w:r>
        <w:rPr>
          <w:rFonts w:hint="eastAsia" w:cs="宋体"/>
          <w:kern w:val="0"/>
          <w:sz w:val="24"/>
          <w:u w:val="single"/>
          <w:lang w:bidi="ar"/>
        </w:rPr>
        <w:t xml:space="preserve">    </w:t>
      </w:r>
      <w:r>
        <w:rPr>
          <w:rFonts w:hint="eastAsia" w:cs="宋体"/>
          <w:kern w:val="0"/>
          <w:sz w:val="24"/>
          <w:lang w:bidi="ar"/>
        </w:rPr>
        <w:t>万元，属于</w:t>
      </w:r>
      <w:r>
        <w:rPr>
          <w:rFonts w:hint="eastAsia" w:cs="宋体"/>
          <w:kern w:val="0"/>
          <w:sz w:val="24"/>
          <w:u w:val="single"/>
          <w:lang w:bidi="ar"/>
        </w:rPr>
        <w:t xml:space="preserve">（中型企业、小型企业、微型企业） </w:t>
      </w:r>
      <w:r>
        <w:rPr>
          <w:rFonts w:hint="eastAsia" w:cs="宋体"/>
          <w:kern w:val="0"/>
          <w:sz w:val="24"/>
          <w:lang w:bidi="ar"/>
        </w:rPr>
        <w:t xml:space="preserve">； </w:t>
      </w:r>
    </w:p>
    <w:p>
      <w:pPr>
        <w:widowControl/>
        <w:spacing w:line="360" w:lineRule="auto"/>
        <w:ind w:firstLine="480" w:firstLineChars="200"/>
        <w:jc w:val="left"/>
        <w:rPr>
          <w:rFonts w:cs="宋体"/>
          <w:sz w:val="24"/>
        </w:rPr>
      </w:pPr>
      <w:r>
        <w:rPr>
          <w:rFonts w:hint="eastAsia" w:cs="宋体"/>
          <w:kern w:val="0"/>
          <w:sz w:val="24"/>
          <w:lang w:bidi="ar"/>
        </w:rPr>
        <w:t>以上企业，不属于大企业的分支机构，不存在控股股东为大企业的情形，也不存在与大企业的负责人为同一人的情形。</w:t>
      </w:r>
    </w:p>
    <w:p>
      <w:pPr>
        <w:widowControl/>
        <w:spacing w:line="360" w:lineRule="auto"/>
        <w:ind w:firstLine="480" w:firstLineChars="200"/>
        <w:jc w:val="left"/>
        <w:rPr>
          <w:rFonts w:cs="宋体"/>
          <w:kern w:val="0"/>
          <w:sz w:val="24"/>
          <w:lang w:bidi="ar"/>
        </w:rPr>
      </w:pPr>
      <w:r>
        <w:rPr>
          <w:rFonts w:hint="eastAsia" w:cs="宋体"/>
          <w:kern w:val="0"/>
          <w:sz w:val="24"/>
          <w:lang w:bidi="ar"/>
        </w:rPr>
        <w:t>本企业对上述声明内容的真实性负责。如有虚假，将依法承担相应责任。</w:t>
      </w:r>
    </w:p>
    <w:p>
      <w:pPr>
        <w:widowControl/>
        <w:spacing w:line="360" w:lineRule="auto"/>
        <w:jc w:val="right"/>
        <w:rPr>
          <w:rFonts w:cs="宋体"/>
          <w:kern w:val="0"/>
          <w:sz w:val="24"/>
          <w:lang w:bidi="ar"/>
        </w:rPr>
      </w:pPr>
    </w:p>
    <w:tbl>
      <w:tblPr>
        <w:tblStyle w:val="29"/>
        <w:tblpPr w:leftFromText="180" w:rightFromText="180" w:vertAnchor="text" w:horzAnchor="page" w:tblpX="4788" w:tblpY="5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widowControl/>
        <w:spacing w:line="360" w:lineRule="auto"/>
        <w:jc w:val="right"/>
        <w:rPr>
          <w:rFonts w:cs="宋体"/>
          <w:kern w:val="0"/>
          <w:sz w:val="24"/>
          <w:lang w:bidi="ar"/>
        </w:rPr>
      </w:pPr>
    </w:p>
    <w:p>
      <w:pPr>
        <w:widowControl/>
        <w:spacing w:line="360" w:lineRule="auto"/>
        <w:jc w:val="center"/>
        <w:rPr>
          <w:rFonts w:cs="宋体"/>
          <w:sz w:val="24"/>
        </w:rPr>
      </w:pPr>
    </w:p>
    <w:p>
      <w:pPr>
        <w:widowControl/>
        <w:spacing w:line="360" w:lineRule="auto"/>
        <w:jc w:val="left"/>
        <w:rPr>
          <w:rFonts w:cs="宋体"/>
          <w:kern w:val="0"/>
          <w:sz w:val="18"/>
          <w:szCs w:val="18"/>
          <w:lang w:bidi="ar"/>
        </w:rPr>
      </w:pPr>
    </w:p>
    <w:p>
      <w:pPr>
        <w:pStyle w:val="11"/>
        <w:rPr>
          <w:rFonts w:hint="default" w:ascii="Times New Roman" w:hAnsi="Times New Roman" w:cs="宋体"/>
          <w:kern w:val="0"/>
          <w:szCs w:val="18"/>
          <w:lang w:bidi="ar"/>
        </w:rPr>
      </w:pPr>
    </w:p>
    <w:p>
      <w:pPr>
        <w:pStyle w:val="28"/>
        <w:ind w:firstLine="344"/>
        <w:rPr>
          <w:rFonts w:hint="default" w:cs="宋体"/>
        </w:rPr>
      </w:pPr>
    </w:p>
    <w:p>
      <w:pPr>
        <w:spacing w:line="360" w:lineRule="exact"/>
        <w:rPr>
          <w:rFonts w:cs="宋体"/>
          <w:b/>
          <w:bCs/>
          <w:sz w:val="21"/>
          <w:szCs w:val="21"/>
        </w:rPr>
      </w:pPr>
      <w:r>
        <w:rPr>
          <w:rFonts w:hint="eastAsia" w:cs="宋体"/>
          <w:b/>
          <w:bCs/>
          <w:sz w:val="21"/>
          <w:szCs w:val="21"/>
        </w:rPr>
        <w:t>说明：</w:t>
      </w:r>
    </w:p>
    <w:p>
      <w:pPr>
        <w:spacing w:line="360" w:lineRule="exact"/>
        <w:rPr>
          <w:rFonts w:cs="宋体"/>
          <w:b/>
          <w:bCs/>
          <w:sz w:val="21"/>
          <w:szCs w:val="21"/>
        </w:rPr>
      </w:pPr>
      <w:r>
        <w:rPr>
          <w:rFonts w:hint="eastAsia" w:cs="宋体"/>
          <w:b/>
          <w:bCs/>
          <w:sz w:val="21"/>
          <w:szCs w:val="21"/>
        </w:rPr>
        <w:t>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exact"/>
        <w:rPr>
          <w:rFonts w:cs="宋体"/>
          <w:b/>
          <w:bCs/>
          <w:sz w:val="21"/>
          <w:szCs w:val="21"/>
        </w:rPr>
      </w:pPr>
      <w:r>
        <w:rPr>
          <w:rFonts w:hint="eastAsia" w:cs="宋体"/>
          <w:b/>
          <w:bCs/>
          <w:sz w:val="21"/>
          <w:szCs w:val="21"/>
        </w:rPr>
        <w:t>2.从业人员、营业收入、资产总额填报上一年度数据，无上一年度数据的新成立企业可不填报，数据未填写的视为未提供《中小企业声明函》；</w:t>
      </w:r>
    </w:p>
    <w:p>
      <w:pPr>
        <w:spacing w:line="360" w:lineRule="exact"/>
        <w:rPr>
          <w:rFonts w:cs="宋体"/>
          <w:b/>
          <w:bCs/>
          <w:sz w:val="21"/>
          <w:szCs w:val="21"/>
        </w:rPr>
      </w:pPr>
      <w:r>
        <w:rPr>
          <w:rFonts w:hint="eastAsia" w:cs="宋体"/>
          <w:b/>
          <w:bCs/>
          <w:sz w:val="21"/>
          <w:szCs w:val="21"/>
        </w:rPr>
        <w:t>3.根据《政府采购促进中小企业发展管理办法》（财库﹝2020﹞46号）第二十条“供应商按照本办法规定提供声明函内容不实的，属于提供虚假材料谋取中标、成交，依照《中华人民共和国政府采购法》等国家有关规定追究相应责任。”</w:t>
      </w:r>
    </w:p>
    <w:p>
      <w:pPr>
        <w:spacing w:line="360" w:lineRule="exact"/>
        <w:rPr>
          <w:rFonts w:cs="宋体"/>
          <w:b/>
        </w:rPr>
      </w:pPr>
      <w:r>
        <w:rPr>
          <w:rFonts w:hint="eastAsia" w:cs="宋体"/>
          <w:b/>
          <w:sz w:val="32"/>
          <w:szCs w:val="32"/>
        </w:rPr>
        <w:br w:type="page"/>
      </w:r>
      <w:r>
        <w:rPr>
          <w:rFonts w:hint="eastAsia" w:cs="宋体"/>
          <w:b/>
        </w:rPr>
        <w:t>6.残疾人福利性单位声明函（视需要情况提供）</w:t>
      </w:r>
    </w:p>
    <w:p>
      <w:pPr>
        <w:snapToGrid w:val="0"/>
        <w:spacing w:before="50" w:after="50"/>
        <w:jc w:val="center"/>
        <w:rPr>
          <w:rFonts w:cs="宋体"/>
          <w:b/>
          <w:sz w:val="36"/>
          <w:szCs w:val="36"/>
        </w:rPr>
      </w:pPr>
    </w:p>
    <w:p>
      <w:pPr>
        <w:snapToGrid w:val="0"/>
        <w:spacing w:before="50" w:after="50"/>
        <w:jc w:val="center"/>
        <w:rPr>
          <w:rFonts w:cs="宋体"/>
          <w:b/>
          <w:sz w:val="36"/>
          <w:szCs w:val="36"/>
        </w:rPr>
      </w:pPr>
      <w:r>
        <w:rPr>
          <w:rFonts w:hint="eastAsia" w:cs="宋体"/>
          <w:b/>
          <w:sz w:val="36"/>
          <w:szCs w:val="36"/>
        </w:rPr>
        <w:t>残疾人福利性单位声明函</w:t>
      </w:r>
    </w:p>
    <w:p>
      <w:pPr>
        <w:snapToGrid w:val="0"/>
        <w:spacing w:before="50" w:after="50"/>
        <w:jc w:val="center"/>
        <w:rPr>
          <w:rFonts w:cs="宋体"/>
          <w:b/>
          <w:spacing w:val="6"/>
          <w:sz w:val="30"/>
          <w:szCs w:val="30"/>
        </w:rPr>
      </w:pPr>
    </w:p>
    <w:p>
      <w:pPr>
        <w:snapToGrid w:val="0"/>
        <w:spacing w:line="460" w:lineRule="exact"/>
        <w:ind w:firstLine="480" w:firstLineChars="200"/>
        <w:rPr>
          <w:rFonts w:cs="宋体"/>
          <w:sz w:val="24"/>
        </w:rPr>
      </w:pPr>
      <w:r>
        <w:rPr>
          <w:rFonts w:hint="eastAsia" w:cs="宋体"/>
          <w:sz w:val="24"/>
        </w:rPr>
        <w:t>本单位郑重声明，根据《财政部 民政部 中国残疾人联合会关于促进残疾人就业政府采购政策的通知》（财库〔2017〕 141号）《浙江省财政厅关于加快实施“互联网+政府采购” 进一步贯彻落实政府采购政策的通知》（浙财采监〔2019〕8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snapToGrid w:val="0"/>
        <w:spacing w:line="460" w:lineRule="exact"/>
        <w:ind w:firstLine="480" w:firstLineChars="200"/>
        <w:rPr>
          <w:rFonts w:cs="宋体"/>
          <w:sz w:val="24"/>
        </w:rPr>
      </w:pPr>
      <w:r>
        <w:rPr>
          <w:rFonts w:hint="eastAsia" w:cs="宋体"/>
          <w:sz w:val="24"/>
        </w:rPr>
        <w:t>本单位对上述声明的真实性负责。如有虚假，将依法承担相应责任。</w:t>
      </w:r>
    </w:p>
    <w:p>
      <w:pPr>
        <w:snapToGrid w:val="0"/>
        <w:spacing w:line="360" w:lineRule="auto"/>
        <w:ind w:firstLine="560" w:firstLineChars="200"/>
        <w:rPr>
          <w:rFonts w:cs="宋体"/>
          <w:szCs w:val="28"/>
        </w:rPr>
      </w:pPr>
    </w:p>
    <w:tbl>
      <w:tblPr>
        <w:tblStyle w:val="29"/>
        <w:tblpPr w:leftFromText="180" w:rightFromText="180" w:vertAnchor="text" w:horzAnchor="page" w:tblpX="4932" w:tblpY="511"/>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spacing w:line="588" w:lineRule="exact"/>
        <w:ind w:firstLine="624" w:firstLineChars="200"/>
        <w:rPr>
          <w:rFonts w:cs="宋体"/>
          <w:spacing w:val="6"/>
          <w:sz w:val="30"/>
          <w:szCs w:val="30"/>
        </w:rPr>
      </w:pPr>
    </w:p>
    <w:p>
      <w:pPr>
        <w:snapToGrid w:val="0"/>
        <w:spacing w:line="460" w:lineRule="exact"/>
        <w:jc w:val="center"/>
        <w:rPr>
          <w:rFonts w:cs="宋体"/>
          <w:sz w:val="24"/>
        </w:rPr>
      </w:pPr>
      <w:r>
        <w:rPr>
          <w:rFonts w:hint="eastAsia" w:cs="宋体"/>
          <w:sz w:val="24"/>
        </w:rPr>
        <w:t xml:space="preserve">                   </w:t>
      </w:r>
    </w:p>
    <w:p>
      <w:pPr>
        <w:snapToGrid w:val="0"/>
        <w:spacing w:line="460" w:lineRule="exact"/>
        <w:jc w:val="center"/>
        <w:rPr>
          <w:rFonts w:cs="宋体"/>
          <w:sz w:val="24"/>
        </w:rPr>
      </w:pPr>
    </w:p>
    <w:p>
      <w:pPr>
        <w:snapToGrid w:val="0"/>
        <w:spacing w:line="360" w:lineRule="auto"/>
        <w:ind w:firstLine="480" w:firstLineChars="200"/>
        <w:jc w:val="right"/>
        <w:rPr>
          <w:rFonts w:cs="宋体"/>
          <w:sz w:val="24"/>
        </w:rPr>
      </w:pPr>
      <w:r>
        <w:rPr>
          <w:rFonts w:hint="eastAsia" w:cs="宋体"/>
          <w:sz w:val="24"/>
        </w:rPr>
        <w:br w:type="page"/>
      </w:r>
    </w:p>
    <w:p>
      <w:pPr>
        <w:snapToGrid w:val="0"/>
        <w:spacing w:before="50" w:after="50"/>
        <w:rPr>
          <w:rFonts w:cs="宋体"/>
          <w:b/>
          <w:sz w:val="24"/>
        </w:rPr>
      </w:pPr>
      <w:r>
        <w:rPr>
          <w:rFonts w:hint="eastAsia" w:cs="宋体"/>
          <w:b/>
          <w:sz w:val="24"/>
        </w:rPr>
        <w:t>7.监狱企业证明文件（视需要情况提供）</w:t>
      </w:r>
    </w:p>
    <w:p>
      <w:pPr>
        <w:snapToGrid w:val="0"/>
        <w:spacing w:before="50" w:after="50"/>
        <w:jc w:val="center"/>
        <w:rPr>
          <w:rFonts w:cs="宋体"/>
          <w:b/>
          <w:sz w:val="36"/>
          <w:szCs w:val="36"/>
        </w:rPr>
      </w:pPr>
    </w:p>
    <w:p>
      <w:pPr>
        <w:snapToGrid w:val="0"/>
        <w:spacing w:before="50" w:after="50"/>
        <w:jc w:val="center"/>
        <w:rPr>
          <w:rFonts w:cs="宋体"/>
          <w:b/>
          <w:sz w:val="36"/>
          <w:szCs w:val="36"/>
        </w:rPr>
      </w:pPr>
    </w:p>
    <w:p>
      <w:pPr>
        <w:snapToGrid w:val="0"/>
        <w:spacing w:before="50" w:after="50"/>
        <w:jc w:val="center"/>
        <w:rPr>
          <w:rFonts w:cs="宋体"/>
          <w:b/>
          <w:sz w:val="36"/>
          <w:szCs w:val="36"/>
        </w:rPr>
      </w:pPr>
      <w:r>
        <w:rPr>
          <w:rFonts w:hint="eastAsia" w:cs="宋体"/>
          <w:b/>
          <w:sz w:val="36"/>
          <w:szCs w:val="36"/>
        </w:rPr>
        <w:t>监狱企业证明文件</w:t>
      </w:r>
    </w:p>
    <w:p>
      <w:pPr>
        <w:snapToGrid w:val="0"/>
        <w:spacing w:before="50" w:after="50"/>
        <w:jc w:val="center"/>
        <w:rPr>
          <w:rFonts w:cs="宋体"/>
          <w:b/>
          <w:sz w:val="36"/>
          <w:szCs w:val="36"/>
        </w:rPr>
      </w:pPr>
    </w:p>
    <w:p>
      <w:pPr>
        <w:snapToGrid w:val="0"/>
        <w:spacing w:line="360" w:lineRule="auto"/>
        <w:ind w:firstLine="480" w:firstLineChars="200"/>
        <w:jc w:val="left"/>
        <w:rPr>
          <w:rFonts w:cs="宋体"/>
          <w:sz w:val="24"/>
        </w:rPr>
      </w:pPr>
      <w:r>
        <w:rPr>
          <w:rFonts w:hint="eastAsia" w:cs="宋体"/>
          <w:sz w:val="24"/>
        </w:rPr>
        <w:t>注：监狱企业参加政府采购活动时，应当提供由省级以上监狱管理局、戒毒管理局出具的属于监狱企业的证明文件。</w:t>
      </w:r>
    </w:p>
    <w:p>
      <w:pPr>
        <w:snapToGrid w:val="0"/>
        <w:spacing w:line="400" w:lineRule="exact"/>
        <w:jc w:val="left"/>
        <w:rPr>
          <w:rFonts w:cs="宋体"/>
          <w:b/>
          <w:sz w:val="24"/>
        </w:rPr>
      </w:pPr>
      <w:r>
        <w:rPr>
          <w:rFonts w:hint="eastAsia" w:cs="宋体"/>
          <w:b/>
          <w:sz w:val="24"/>
        </w:rPr>
        <w:br w:type="page"/>
      </w:r>
      <w:r>
        <w:rPr>
          <w:rFonts w:hint="eastAsia" w:cs="宋体"/>
          <w:b/>
          <w:sz w:val="24"/>
        </w:rPr>
        <w:t>8.商务技术文件：</w:t>
      </w:r>
    </w:p>
    <w:p>
      <w:pPr>
        <w:snapToGrid w:val="0"/>
        <w:spacing w:line="400" w:lineRule="exact"/>
        <w:ind w:firstLine="480" w:firstLineChars="200"/>
        <w:jc w:val="left"/>
        <w:rPr>
          <w:rFonts w:cs="宋体"/>
          <w:sz w:val="24"/>
        </w:rPr>
      </w:pPr>
      <w:r>
        <w:rPr>
          <w:rFonts w:hint="eastAsia" w:cs="宋体"/>
          <w:sz w:val="24"/>
        </w:rPr>
        <w:t>（1）法定代表人身份证明、法定代表人授权委托书和投标声明书；</w:t>
      </w:r>
    </w:p>
    <w:p>
      <w:pPr>
        <w:snapToGrid w:val="0"/>
        <w:spacing w:line="400" w:lineRule="exact"/>
        <w:ind w:firstLine="480" w:firstLineChars="200"/>
        <w:jc w:val="left"/>
        <w:rPr>
          <w:rFonts w:cs="宋体"/>
          <w:sz w:val="24"/>
        </w:rPr>
      </w:pPr>
      <w:r>
        <w:rPr>
          <w:rFonts w:hint="eastAsia" w:cs="宋体"/>
          <w:sz w:val="24"/>
        </w:rPr>
        <w:t>（2）节能产品的相关证明材料：</w:t>
      </w:r>
    </w:p>
    <w:p>
      <w:pPr>
        <w:snapToGrid w:val="0"/>
        <w:spacing w:line="400" w:lineRule="exact"/>
        <w:ind w:firstLine="480" w:firstLineChars="200"/>
        <w:jc w:val="left"/>
        <w:rPr>
          <w:rFonts w:cs="宋体"/>
          <w:sz w:val="24"/>
        </w:rPr>
      </w:pPr>
      <w:r>
        <w:rPr>
          <w:rFonts w:hint="eastAsia" w:cs="宋体"/>
          <w:sz w:val="24"/>
        </w:rPr>
        <w:t xml:space="preserve">投标产品列入财政部、发展改革委发布的节能产品品目清单的，提供国家市场监督管理总局公布的《参与实施政府采购节能产品认证机构名录》内的认证机构出具的、处于有效期之内的节能标志产品认证证书； </w:t>
      </w:r>
    </w:p>
    <w:p>
      <w:pPr>
        <w:snapToGrid w:val="0"/>
        <w:spacing w:line="400" w:lineRule="exact"/>
        <w:ind w:firstLine="480" w:firstLineChars="200"/>
        <w:jc w:val="left"/>
        <w:rPr>
          <w:rFonts w:cs="宋体"/>
          <w:sz w:val="24"/>
        </w:rPr>
      </w:pPr>
      <w:r>
        <w:rPr>
          <w:rFonts w:hint="eastAsia" w:cs="宋体"/>
          <w:sz w:val="24"/>
        </w:rPr>
        <w:t>（3）环境标志产品的相关证明材料：</w:t>
      </w:r>
    </w:p>
    <w:p>
      <w:pPr>
        <w:snapToGrid w:val="0"/>
        <w:spacing w:line="400" w:lineRule="exact"/>
        <w:ind w:firstLine="480" w:firstLineChars="200"/>
        <w:jc w:val="left"/>
        <w:rPr>
          <w:rFonts w:cs="宋体"/>
          <w:sz w:val="24"/>
        </w:rPr>
      </w:pPr>
      <w:r>
        <w:rPr>
          <w:rFonts w:hint="eastAsia" w:cs="宋体"/>
          <w:sz w:val="24"/>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pPr>
        <w:snapToGrid w:val="0"/>
        <w:spacing w:line="400" w:lineRule="exact"/>
        <w:ind w:firstLine="480" w:firstLineChars="200"/>
        <w:jc w:val="left"/>
        <w:rPr>
          <w:rFonts w:cs="宋体"/>
          <w:sz w:val="24"/>
        </w:rPr>
      </w:pPr>
      <w:r>
        <w:rPr>
          <w:rFonts w:hint="eastAsia" w:cs="宋体"/>
          <w:sz w:val="24"/>
        </w:rPr>
        <w:t>（4）投标人情况介绍；</w:t>
      </w:r>
    </w:p>
    <w:p>
      <w:pPr>
        <w:snapToGrid w:val="0"/>
        <w:spacing w:line="400" w:lineRule="exact"/>
        <w:ind w:firstLine="480" w:firstLineChars="200"/>
        <w:jc w:val="left"/>
        <w:rPr>
          <w:rFonts w:cs="宋体"/>
          <w:sz w:val="24"/>
        </w:rPr>
      </w:pPr>
      <w:r>
        <w:rPr>
          <w:rFonts w:hint="eastAsia" w:cs="宋体"/>
          <w:sz w:val="24"/>
        </w:rPr>
        <w:t>（5）商务响应表</w:t>
      </w:r>
    </w:p>
    <w:p>
      <w:pPr>
        <w:snapToGrid w:val="0"/>
        <w:spacing w:line="400" w:lineRule="exact"/>
        <w:ind w:firstLine="480" w:firstLineChars="200"/>
        <w:jc w:val="left"/>
        <w:rPr>
          <w:rFonts w:cs="宋体"/>
          <w:sz w:val="24"/>
        </w:rPr>
      </w:pPr>
      <w:r>
        <w:rPr>
          <w:rFonts w:hint="eastAsia" w:cs="宋体"/>
          <w:sz w:val="24"/>
        </w:rPr>
        <w:t>（6）产品配置方案一览表（均不含报价）</w:t>
      </w:r>
    </w:p>
    <w:p>
      <w:pPr>
        <w:snapToGrid w:val="0"/>
        <w:spacing w:line="400" w:lineRule="exact"/>
        <w:ind w:firstLine="480" w:firstLineChars="200"/>
        <w:jc w:val="left"/>
        <w:rPr>
          <w:rFonts w:cs="宋体"/>
          <w:sz w:val="24"/>
        </w:rPr>
      </w:pPr>
      <w:r>
        <w:rPr>
          <w:rFonts w:hint="eastAsia" w:cs="宋体"/>
          <w:sz w:val="24"/>
        </w:rPr>
        <w:t>（7）技术参数对照表</w:t>
      </w:r>
    </w:p>
    <w:p>
      <w:pPr>
        <w:snapToGrid w:val="0"/>
        <w:spacing w:line="400" w:lineRule="exact"/>
        <w:ind w:firstLine="480" w:firstLineChars="200"/>
        <w:jc w:val="left"/>
        <w:rPr>
          <w:rFonts w:cs="宋体"/>
          <w:sz w:val="24"/>
        </w:rPr>
      </w:pPr>
      <w:r>
        <w:rPr>
          <w:rFonts w:hint="eastAsia" w:cs="宋体"/>
          <w:sz w:val="24"/>
        </w:rPr>
        <w:t>（8）类似案例的业绩证明（投标人同类项目实施情况一览表、合同电子扫描件等）</w:t>
      </w:r>
    </w:p>
    <w:p>
      <w:pPr>
        <w:snapToGrid w:val="0"/>
        <w:spacing w:line="400" w:lineRule="exact"/>
        <w:ind w:firstLine="480" w:firstLineChars="200"/>
        <w:jc w:val="left"/>
        <w:rPr>
          <w:rFonts w:cs="宋体"/>
          <w:sz w:val="24"/>
        </w:rPr>
      </w:pPr>
      <w:r>
        <w:rPr>
          <w:rFonts w:hint="eastAsia" w:cs="宋体"/>
          <w:sz w:val="24"/>
        </w:rPr>
        <w:t>（9）针对本项目的具体措施、方案。包括：功能说明、性能指标及设备选型说明（质量、性能、价格、外观、体积等方面进行比较和选择的理由及过程，安装、调试、验收方法或方案）</w:t>
      </w:r>
    </w:p>
    <w:p>
      <w:pPr>
        <w:snapToGrid w:val="0"/>
        <w:spacing w:line="400" w:lineRule="exact"/>
        <w:ind w:firstLine="480" w:firstLineChars="200"/>
        <w:jc w:val="left"/>
        <w:rPr>
          <w:rFonts w:cs="宋体"/>
          <w:sz w:val="24"/>
        </w:rPr>
      </w:pPr>
      <w:r>
        <w:rPr>
          <w:rFonts w:hint="eastAsia" w:cs="宋体"/>
          <w:sz w:val="24"/>
        </w:rPr>
        <w:t>（10）核心设备技术参数彩页（中文说明书）、官方介绍网址</w:t>
      </w:r>
    </w:p>
    <w:p>
      <w:pPr>
        <w:snapToGrid w:val="0"/>
        <w:spacing w:line="400" w:lineRule="exact"/>
        <w:ind w:firstLine="480" w:firstLineChars="200"/>
        <w:jc w:val="left"/>
        <w:rPr>
          <w:rFonts w:cs="宋体"/>
          <w:sz w:val="24"/>
        </w:rPr>
      </w:pPr>
      <w:r>
        <w:rPr>
          <w:rFonts w:hint="eastAsia" w:cs="宋体"/>
          <w:sz w:val="24"/>
        </w:rPr>
        <w:t>（11）投标人认为可以证明其能力的材料（如自主品牌投标人的信誉、荣誉证书或文件、投标人质量管理和质量保证体系等方面的认证证书等）</w:t>
      </w:r>
    </w:p>
    <w:p>
      <w:pPr>
        <w:snapToGrid w:val="0"/>
        <w:spacing w:line="400" w:lineRule="exact"/>
        <w:ind w:firstLine="480" w:firstLineChars="200"/>
        <w:jc w:val="left"/>
        <w:rPr>
          <w:rFonts w:cs="宋体"/>
          <w:sz w:val="24"/>
        </w:rPr>
      </w:pPr>
      <w:r>
        <w:rPr>
          <w:rFonts w:hint="eastAsia" w:cs="宋体"/>
          <w:sz w:val="24"/>
        </w:rPr>
        <w:t>（12）售后服务主要技术人员情况表</w:t>
      </w:r>
    </w:p>
    <w:p>
      <w:pPr>
        <w:snapToGrid w:val="0"/>
        <w:spacing w:line="400" w:lineRule="exact"/>
        <w:ind w:firstLine="480" w:firstLineChars="200"/>
        <w:jc w:val="left"/>
        <w:rPr>
          <w:rFonts w:cs="宋体"/>
          <w:sz w:val="24"/>
        </w:rPr>
      </w:pPr>
      <w:r>
        <w:rPr>
          <w:rFonts w:hint="eastAsia" w:cs="宋体"/>
          <w:sz w:val="24"/>
        </w:rPr>
        <w:t>（13）主要从业人员及其技术资格一览表</w:t>
      </w:r>
    </w:p>
    <w:p>
      <w:pPr>
        <w:snapToGrid w:val="0"/>
        <w:spacing w:line="400" w:lineRule="exact"/>
        <w:ind w:firstLine="480" w:firstLineChars="200"/>
        <w:jc w:val="left"/>
        <w:rPr>
          <w:rFonts w:cs="宋体"/>
          <w:sz w:val="24"/>
        </w:rPr>
      </w:pPr>
      <w:r>
        <w:rPr>
          <w:rFonts w:hint="eastAsia" w:cs="宋体"/>
          <w:sz w:val="24"/>
        </w:rPr>
        <w:t>（14）售后服务情况表（含技术服务、技术培训、售后服务的内容和措施）</w:t>
      </w:r>
    </w:p>
    <w:p>
      <w:pPr>
        <w:snapToGrid w:val="0"/>
        <w:spacing w:line="400" w:lineRule="exact"/>
        <w:ind w:firstLine="480" w:firstLineChars="200"/>
        <w:jc w:val="left"/>
        <w:rPr>
          <w:rFonts w:cs="宋体"/>
          <w:sz w:val="24"/>
        </w:rPr>
      </w:pPr>
      <w:r>
        <w:rPr>
          <w:rFonts w:hint="eastAsia" w:cs="宋体"/>
          <w:sz w:val="24"/>
        </w:rPr>
        <w:t>（15）优惠条件：投标人承诺给予招标人的各种优惠条件，包括售后服务、备品备件、专用耗材等方面的优惠</w:t>
      </w:r>
    </w:p>
    <w:p>
      <w:pPr>
        <w:snapToGrid w:val="0"/>
        <w:spacing w:line="400" w:lineRule="exact"/>
        <w:ind w:firstLine="480" w:firstLineChars="200"/>
        <w:jc w:val="left"/>
        <w:rPr>
          <w:rFonts w:cs="宋体"/>
          <w:sz w:val="24"/>
        </w:rPr>
      </w:pPr>
      <w:r>
        <w:rPr>
          <w:rFonts w:hint="eastAsia" w:cs="宋体"/>
          <w:sz w:val="24"/>
        </w:rPr>
        <w:t>（16）投标人认为需要提供的其他文件和资料（包括评标细则涉及的相关资料）</w:t>
      </w:r>
    </w:p>
    <w:p>
      <w:pPr>
        <w:snapToGrid w:val="0"/>
        <w:spacing w:line="400" w:lineRule="exact"/>
        <w:ind w:firstLine="480" w:firstLineChars="200"/>
        <w:jc w:val="left"/>
        <w:rPr>
          <w:rFonts w:cs="宋体"/>
          <w:sz w:val="24"/>
        </w:rPr>
      </w:pPr>
      <w:r>
        <w:rPr>
          <w:rFonts w:hint="eastAsia" w:cs="宋体"/>
          <w:sz w:val="24"/>
        </w:rPr>
        <w:t>（17）自评文件</w:t>
      </w:r>
    </w:p>
    <w:p>
      <w:pPr>
        <w:snapToGrid w:val="0"/>
        <w:spacing w:before="50" w:after="197" w:afterLines="50"/>
        <w:jc w:val="left"/>
        <w:rPr>
          <w:rFonts w:cs="宋体"/>
          <w:szCs w:val="28"/>
        </w:rPr>
        <w:sectPr>
          <w:pgSz w:w="11906" w:h="16838"/>
          <w:pgMar w:top="1440" w:right="1803" w:bottom="1440" w:left="1803" w:header="851" w:footer="992" w:gutter="0"/>
          <w:cols w:space="720" w:num="1"/>
          <w:docGrid w:type="lines" w:linePitch="395" w:charSpace="0"/>
        </w:sectPr>
      </w:pPr>
    </w:p>
    <w:p>
      <w:pPr>
        <w:snapToGrid w:val="0"/>
        <w:spacing w:before="50" w:after="197" w:afterLines="50"/>
        <w:jc w:val="left"/>
        <w:rPr>
          <w:rFonts w:cs="宋体"/>
          <w:b/>
          <w:sz w:val="24"/>
        </w:rPr>
      </w:pPr>
      <w:r>
        <w:rPr>
          <w:rFonts w:hint="eastAsia" w:cs="宋体"/>
          <w:sz w:val="24"/>
        </w:rPr>
        <w:t>9</w:t>
      </w:r>
      <w:r>
        <w:rPr>
          <w:rFonts w:hint="eastAsia" w:cs="宋体"/>
          <w:b/>
          <w:sz w:val="24"/>
        </w:rPr>
        <w:t>.法定代表人身份证明格式：</w:t>
      </w:r>
    </w:p>
    <w:p>
      <w:pPr>
        <w:jc w:val="center"/>
        <w:rPr>
          <w:rFonts w:cs="宋体"/>
          <w:szCs w:val="28"/>
        </w:rPr>
      </w:pPr>
    </w:p>
    <w:p>
      <w:pPr>
        <w:jc w:val="center"/>
        <w:rPr>
          <w:rFonts w:cs="宋体"/>
          <w:b/>
          <w:sz w:val="36"/>
          <w:szCs w:val="36"/>
        </w:rPr>
      </w:pPr>
      <w:r>
        <w:rPr>
          <w:rFonts w:hint="eastAsia" w:cs="宋体"/>
          <w:b/>
          <w:sz w:val="36"/>
          <w:szCs w:val="36"/>
        </w:rPr>
        <w:t>法定代表人身份证明</w:t>
      </w:r>
    </w:p>
    <w:p>
      <w:pPr>
        <w:spacing w:after="50" w:line="300" w:lineRule="auto"/>
        <w:rPr>
          <w:rFonts w:cs="宋体"/>
        </w:rPr>
      </w:pPr>
    </w:p>
    <w:p>
      <w:pPr>
        <w:spacing w:line="460" w:lineRule="exact"/>
        <w:rPr>
          <w:rFonts w:cs="宋体"/>
        </w:rPr>
      </w:pPr>
    </w:p>
    <w:p>
      <w:pPr>
        <w:spacing w:line="460" w:lineRule="exact"/>
        <w:rPr>
          <w:rFonts w:cs="宋体"/>
          <w:b/>
          <w:bCs/>
          <w:sz w:val="24"/>
        </w:rPr>
      </w:pPr>
      <w:r>
        <w:rPr>
          <w:rFonts w:hint="eastAsia" w:cs="宋体"/>
          <w:b/>
          <w:bCs/>
          <w:sz w:val="24"/>
        </w:rPr>
        <w:t>浙江师范大学采购中心：</w:t>
      </w:r>
    </w:p>
    <w:p>
      <w:pPr>
        <w:spacing w:line="460" w:lineRule="exact"/>
        <w:ind w:firstLine="1920" w:firstLineChars="800"/>
        <w:rPr>
          <w:rFonts w:cs="宋体"/>
          <w:sz w:val="24"/>
        </w:rPr>
      </w:pPr>
    </w:p>
    <w:p>
      <w:pPr>
        <w:spacing w:line="460" w:lineRule="exact"/>
        <w:ind w:firstLine="480" w:firstLineChars="200"/>
        <w:rPr>
          <w:rFonts w:cs="宋体"/>
          <w:sz w:val="24"/>
        </w:rPr>
      </w:pPr>
      <w:r>
        <w:rPr>
          <w:rFonts w:hint="eastAsia" w:cs="宋体"/>
          <w:sz w:val="24"/>
        </w:rPr>
        <w:t>姓名：</w:t>
      </w:r>
      <w:r>
        <w:rPr>
          <w:rFonts w:hint="eastAsia" w:cs="宋体"/>
          <w:sz w:val="24"/>
          <w:u w:val="single"/>
        </w:rPr>
        <w:t>　　　　　　</w:t>
      </w:r>
      <w:r>
        <w:rPr>
          <w:rFonts w:hint="eastAsia" w:cs="宋体"/>
          <w:sz w:val="24"/>
        </w:rPr>
        <w:t>性别：</w:t>
      </w:r>
      <w:r>
        <w:rPr>
          <w:rFonts w:hint="eastAsia" w:cs="宋体"/>
          <w:sz w:val="24"/>
          <w:u w:val="single"/>
        </w:rPr>
        <w:t xml:space="preserve">　　 </w:t>
      </w:r>
      <w:r>
        <w:rPr>
          <w:rFonts w:hint="eastAsia" w:cs="宋体"/>
          <w:sz w:val="24"/>
        </w:rPr>
        <w:t>年龄：</w:t>
      </w:r>
      <w:r>
        <w:rPr>
          <w:rFonts w:hint="eastAsia" w:cs="宋体"/>
          <w:sz w:val="24"/>
          <w:u w:val="single"/>
        </w:rPr>
        <w:t>　　　</w:t>
      </w:r>
      <w:r>
        <w:rPr>
          <w:rFonts w:hint="eastAsia" w:cs="宋体"/>
          <w:sz w:val="24"/>
        </w:rPr>
        <w:t>职务：</w:t>
      </w:r>
      <w:r>
        <w:rPr>
          <w:rFonts w:hint="eastAsia" w:cs="宋体"/>
          <w:sz w:val="24"/>
          <w:u w:val="single"/>
        </w:rPr>
        <w:t>　　　　　　　　　　</w:t>
      </w:r>
    </w:p>
    <w:p>
      <w:pPr>
        <w:pStyle w:val="11"/>
        <w:spacing w:line="460" w:lineRule="exact"/>
        <w:ind w:firstLine="0"/>
        <w:rPr>
          <w:rFonts w:hint="default" w:ascii="Times New Roman" w:hAnsi="Times New Roman" w:cs="宋体"/>
          <w:sz w:val="24"/>
        </w:rPr>
      </w:pPr>
      <w:r>
        <w:rPr>
          <w:rFonts w:ascii="Times New Roman" w:hAnsi="Times New Roman" w:cs="宋体"/>
          <w:sz w:val="24"/>
        </w:rPr>
        <w:t>身份证号码</w:t>
      </w:r>
      <w:r>
        <w:rPr>
          <w:rFonts w:ascii="Times New Roman" w:hAnsi="Times New Roman" w:cs="宋体"/>
          <w:sz w:val="24"/>
          <w:u w:val="single"/>
        </w:rPr>
        <w:t xml:space="preserve">                         </w:t>
      </w:r>
      <w:r>
        <w:rPr>
          <w:rFonts w:ascii="Times New Roman" w:hAnsi="Times New Roman" w:cs="宋体"/>
          <w:sz w:val="24"/>
        </w:rPr>
        <w:t>系</w:t>
      </w:r>
      <w:r>
        <w:rPr>
          <w:rFonts w:ascii="Times New Roman" w:hAnsi="Times New Roman" w:cs="宋体"/>
          <w:sz w:val="24"/>
          <w:u w:val="single"/>
        </w:rPr>
        <w:t>　　　　   　　　　　　</w:t>
      </w:r>
      <w:r>
        <w:rPr>
          <w:rFonts w:ascii="Times New Roman" w:hAnsi="Times New Roman" w:cs="宋体"/>
          <w:sz w:val="24"/>
        </w:rPr>
        <w:t>（投标响应单位全称）的法定代表人。</w:t>
      </w:r>
    </w:p>
    <w:p>
      <w:pPr>
        <w:spacing w:line="460" w:lineRule="exact"/>
        <w:ind w:firstLine="480" w:firstLineChars="200"/>
        <w:rPr>
          <w:rFonts w:cs="宋体"/>
          <w:sz w:val="24"/>
        </w:rPr>
      </w:pPr>
      <w:r>
        <w:rPr>
          <w:rFonts w:hint="eastAsia" w:cs="宋体"/>
          <w:sz w:val="24"/>
        </w:rPr>
        <w:t>特此证明。</w:t>
      </w:r>
    </w:p>
    <w:p>
      <w:pPr>
        <w:spacing w:line="460" w:lineRule="exact"/>
        <w:rPr>
          <w:rFonts w:cs="宋体"/>
          <w:sz w:val="24"/>
        </w:rPr>
      </w:pPr>
    </w:p>
    <w:p>
      <w:pPr>
        <w:spacing w:line="460" w:lineRule="exact"/>
        <w:rPr>
          <w:rFonts w:cs="宋体"/>
          <w:sz w:val="24"/>
        </w:rPr>
      </w:pPr>
      <w:r>
        <w:rPr>
          <w:rFonts w:hint="eastAsia" w:cs="宋体"/>
          <w:sz w:val="24"/>
        </w:rPr>
        <w:t>　　　　　　　　　　</w:t>
      </w:r>
    </w:p>
    <w:p>
      <w:pPr>
        <w:spacing w:line="460" w:lineRule="exact"/>
        <w:ind w:firstLine="3120" w:firstLineChars="1300"/>
        <w:rPr>
          <w:rFonts w:cs="宋体"/>
          <w:sz w:val="24"/>
        </w:rPr>
      </w:pPr>
      <w:r>
        <w:rPr>
          <w:rFonts w:hint="eastAsia" w:cs="宋体"/>
          <w:sz w:val="24"/>
        </w:rPr>
        <w:t>投标响应方（公章）：</w:t>
      </w:r>
      <w:r>
        <w:rPr>
          <w:rFonts w:hint="eastAsia" w:cs="宋体"/>
          <w:sz w:val="24"/>
          <w:vertAlign w:val="subscript"/>
        </w:rPr>
        <w:t>　</w:t>
      </w:r>
      <w:r>
        <w:rPr>
          <w:rFonts w:hint="eastAsia" w:cs="宋体"/>
          <w:sz w:val="24"/>
          <w:u w:val="single"/>
        </w:rPr>
        <w:t>　　　　　　　　　　</w:t>
      </w:r>
    </w:p>
    <w:p>
      <w:pPr>
        <w:spacing w:line="460" w:lineRule="exact"/>
        <w:ind w:firstLine="6720" w:firstLineChars="2800"/>
        <w:rPr>
          <w:rFonts w:cs="宋体"/>
          <w:sz w:val="24"/>
        </w:rPr>
      </w:pPr>
      <w:r>
        <w:rPr>
          <w:rFonts w:hint="eastAsia" w:cs="宋体"/>
          <w:sz w:val="24"/>
        </w:rPr>
        <w:t>年   月   日</w:t>
      </w:r>
    </w:p>
    <w:p>
      <w:pPr>
        <w:pStyle w:val="11"/>
        <w:rPr>
          <w:rFonts w:hint="default" w:ascii="Times New Roman" w:hAnsi="Times New Roman" w:cs="宋体"/>
        </w:rPr>
      </w:pPr>
    </w:p>
    <w:p>
      <w:pPr>
        <w:spacing w:after="197" w:afterLines="50" w:line="540" w:lineRule="exact"/>
        <w:rPr>
          <w:rFonts w:cs="宋体"/>
          <w:b/>
          <w:u w:val="single"/>
        </w:rPr>
      </w:pPr>
      <w:r>
        <w:rPr>
          <w:rFonts w:hint="eastAsia" w:cs="宋体"/>
        </w:rPr>
        <mc:AlternateContent>
          <mc:Choice Requires="wps">
            <w:drawing>
              <wp:anchor distT="0" distB="0" distL="114300" distR="114300" simplePos="0" relativeHeight="251669504" behindDoc="0" locked="0" layoutInCell="1" allowOverlap="1">
                <wp:simplePos x="0" y="0"/>
                <wp:positionH relativeFrom="column">
                  <wp:posOffset>4445</wp:posOffset>
                </wp:positionH>
                <wp:positionV relativeFrom="paragraph">
                  <wp:posOffset>212090</wp:posOffset>
                </wp:positionV>
                <wp:extent cx="5375275" cy="635"/>
                <wp:effectExtent l="0" t="0" r="0" b="0"/>
                <wp:wrapNone/>
                <wp:docPr id="23" name="直线 18"/>
                <wp:cNvGraphicFramePr/>
                <a:graphic xmlns:a="http://schemas.openxmlformats.org/drawingml/2006/main">
                  <a:graphicData uri="http://schemas.microsoft.com/office/word/2010/wordprocessingShape">
                    <wps:wsp>
                      <wps:cNvCnPr/>
                      <wps:spPr>
                        <a:xfrm>
                          <a:off x="0" y="0"/>
                          <a:ext cx="537527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8" o:spid="_x0000_s1026" o:spt="20" style="position:absolute;left:0pt;margin-left:0.35pt;margin-top:16.7pt;height:0.05pt;width:423.25pt;z-index:251669504;mso-width-relative:page;mso-height-relative:page;" filled="f" stroked="t" coordsize="21600,21600" o:gfxdata="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RMWi9QAAAAGAQAADwAA&#10;AAAAAAABACAAAAAiAAAAZHJzL2Rvd25yZXYueG1sUEsBAhQAFAAAAAgAh07iQJ+rg4XhAQAA0wMA&#10;AA4AAAAAAAAAAQAgAAAAIwEAAGRycy9lMm9Eb2MueG1sUEsFBgAAAAAGAAYAWQEAAHYFAAAAAA==&#10;">
                <v:fill on="f" focussize="0,0"/>
                <v:stroke color="#000000" joinstyle="round"/>
                <v:imagedata o:title=""/>
                <o:lock v:ext="edit" aspectratio="f"/>
              </v:line>
            </w:pict>
          </mc:Fallback>
        </mc:AlternateContent>
      </w:r>
    </w:p>
    <w:p>
      <w:pPr>
        <w:jc w:val="center"/>
        <w:rPr>
          <w:rFonts w:cs="宋体"/>
          <w:b/>
        </w:rPr>
      </w:pPr>
      <w:r>
        <w:rPr>
          <w:rFonts w:hint="eastAsia" w:cs="宋体"/>
          <w:b/>
        </w:rPr>
        <w:t>法定代表人身份证电子扫描件</w:t>
      </w:r>
    </w:p>
    <w:p>
      <w:pPr>
        <w:pStyle w:val="11"/>
        <w:rPr>
          <w:rFonts w:hint="default" w:ascii="Times New Roman" w:hAnsi="Times New Roman" w:cs="宋体"/>
        </w:rPr>
      </w:pPr>
      <w:r>
        <w:rPr>
          <w:rFonts w:ascii="Times New Roman" w:hAnsi="Times New Roman" w:cs="宋体"/>
          <w:b/>
        </w:rPr>
        <mc:AlternateContent>
          <mc:Choice Requires="wpg">
            <w:drawing>
              <wp:anchor distT="0" distB="0" distL="114300" distR="114300" simplePos="0" relativeHeight="251664384" behindDoc="0" locked="0" layoutInCell="1" allowOverlap="1">
                <wp:simplePos x="0" y="0"/>
                <wp:positionH relativeFrom="column">
                  <wp:posOffset>1061085</wp:posOffset>
                </wp:positionH>
                <wp:positionV relativeFrom="paragraph">
                  <wp:posOffset>7896225</wp:posOffset>
                </wp:positionV>
                <wp:extent cx="5170805" cy="1732915"/>
                <wp:effectExtent l="4445" t="4445" r="6350" b="15240"/>
                <wp:wrapNone/>
                <wp:docPr id="10" name="组合 19"/>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8" name="矩形 20"/>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wrap="square" upright="1"/>
                      </wps:wsp>
                      <wps:wsp>
                        <wps:cNvPr id="9" name="矩形 21"/>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wrap="square" upright="1"/>
                      </wps:wsp>
                    </wpg:wgp>
                  </a:graphicData>
                </a:graphic>
              </wp:anchor>
            </w:drawing>
          </mc:Choice>
          <mc:Fallback>
            <w:pict>
              <v:group id="组合 19" o:spid="_x0000_s1026" o:spt="203" style="position:absolute;left:0pt;margin-left:83.55pt;margin-top:621.75pt;height:136.45pt;width:407.15pt;z-index:251664384;mso-width-relative:page;mso-height-relative:page;" coordorigin="1752,2816" coordsize="7927,2729" o:gfxdata="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qhzrMtwAAAANAQAADwAAAAAAAAABACAAAAAiAAAAZHJzL2Rvd25yZXYueG1s&#10;UEsBAhQAFAAAAAgAh07iQCLTeZSfAgAAxwcAAA4AAAAAAAAAAQAgAAAAKwEAAGRycy9lMm9Eb2Mu&#10;eG1sUEsFBgAAAAAGAAYAWQEAADwGAAAAAA==&#10;">
                <o:lock v:ext="edit" aspectratio="f"/>
                <v:rect id="矩形 20" o:spid="_x0000_s1026" o:spt="1" style="position:absolute;left:1752;top:2816;height:2729;width:3807;" fillcolor="#FFFFFF" filled="t" stroked="t" coordsize="21600,21600" o:gfxdata="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NXE6C2AAAA2gAAAA8A&#10;AAAAAAAAAQAgAAAAIgAAAGRycy9kb3ducmV2LnhtbFBLAQIUABQAAAAIAIdO4kAzLwWeOwAAADkA&#10;AAAQAAAAAAAAAAEAIAAAAAUBAABkcnMvc2hhcGV4bWwueG1sUEsFBgAAAAAGAAYAWwEAAK8DAAAA&#10;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矩形 21" o:spid="_x0000_s1026" o:spt="1" style="position:absolute;left:5872;top:2816;height:2729;width:3807;" fillcolor="#FFFFFF" filled="t" stroked="t" coordsize="21600,21600" o:gfxdata="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btju8AAAA&#10;2gAAAA8AAAAAAAAAAQAgAAAAIgAAAGRycy9kb3ducmV2LnhtbFBLAQIUABQAAAAIAIdO4kAzLwWe&#10;OwAAADkAAAAQAAAAAAAAAAEAIAAAAAsBAABkcnMvc2hhcGV4bWwueG1sUEsFBgAAAAAGAAYAWwEA&#10;ALUDA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p>
    <w:p>
      <w:pPr>
        <w:snapToGrid w:val="0"/>
        <w:spacing w:before="50" w:after="197" w:afterLines="50"/>
        <w:jc w:val="left"/>
        <w:rPr>
          <w:rFonts w:cs="宋体"/>
          <w:szCs w:val="28"/>
        </w:rPr>
        <w:sectPr>
          <w:pgSz w:w="11906" w:h="16838"/>
          <w:pgMar w:top="1440" w:right="1803" w:bottom="1440" w:left="1803" w:header="851" w:footer="992" w:gutter="0"/>
          <w:cols w:space="720" w:num="1"/>
          <w:docGrid w:type="lines" w:linePitch="395" w:charSpace="0"/>
        </w:sectPr>
      </w:pPr>
      <w:r>
        <w:rPr>
          <w:rFonts w:hint="eastAsia" w:cs="宋体"/>
          <w:b/>
        </w:rPr>
        <mc:AlternateContent>
          <mc:Choice Requires="wpg">
            <w:drawing>
              <wp:anchor distT="0" distB="0" distL="114300" distR="114300" simplePos="0" relativeHeight="251668480" behindDoc="0" locked="0" layoutInCell="1" allowOverlap="1">
                <wp:simplePos x="0" y="0"/>
                <wp:positionH relativeFrom="column">
                  <wp:posOffset>195580</wp:posOffset>
                </wp:positionH>
                <wp:positionV relativeFrom="paragraph">
                  <wp:posOffset>137160</wp:posOffset>
                </wp:positionV>
                <wp:extent cx="5170805" cy="1732915"/>
                <wp:effectExtent l="4445" t="4445" r="6350" b="15240"/>
                <wp:wrapNone/>
                <wp:docPr id="22" name="组合 23"/>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20" name="矩形 22"/>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wrap="square" upright="1"/>
                      </wps:wsp>
                      <wps:wsp>
                        <wps:cNvPr id="21" name="矩形 24"/>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wrap="square" upright="1"/>
                      </wps:wsp>
                    </wpg:wgp>
                  </a:graphicData>
                </a:graphic>
              </wp:anchor>
            </w:drawing>
          </mc:Choice>
          <mc:Fallback>
            <w:pict>
              <v:group id="组合 23" o:spid="_x0000_s1026" o:spt="203" style="position:absolute;left:0pt;margin-left:15.4pt;margin-top:10.8pt;height:136.45pt;width:407.15pt;z-index:251668480;mso-width-relative:page;mso-height-relative:page;" coordorigin="1752,2816" coordsize="7927,2729" o:gfxdata="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1sK2ptoAAAAJAQAADwAAAAAAAAABACAAAAAiAAAAZHJzL2Rvd25yZXYueG1sUEsB&#10;AhQAFAAAAAgAh07iQDW7AAGeAgAAyQcAAA4AAAAAAAAAAQAgAAAAKQEAAGRycy9lMm9Eb2MueG1s&#10;UEsFBgAAAAAGAAYAWQEAADkGAAAAAA==&#10;">
                <o:lock v:ext="edit" aspectratio="f"/>
                <v:rect id="矩形 22" o:spid="_x0000_s1026" o:spt="1" style="position:absolute;left:1752;top:2816;height:2729;width:3807;" fillcolor="#FFFFFF" filled="t" stroked="t" coordsize="21600,21600" o:gfxdata="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vM0htwAAANsAAAAP&#10;AAAAAAAAAAEAIAAAACIAAABkcnMvZG93bnJldi54bWxQSwECFAAUAAAACACHTuJAMy8FnjsAAAA5&#10;AAAAEAAAAAAAAAABACAAAAAGAQAAZHJzL3NoYXBleG1sLnhtbFBLBQYAAAAABgAGAFsBAACwAwAA&#10;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矩形 24" o:spid="_x0000_s1026" o:spt="1" style="position:absolute;left:5872;top:2816;height:2729;width:3807;" fillcolor="#FFFFFF" filled="t" stroked="t" coordsize="21600,21600" o:gfxdata="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our4A&#10;AADbAAAADwAAAAAAAAABACAAAAAiAAAAZHJzL2Rvd25yZXYueG1sUEsBAhQAFAAAAAgAh07iQDMv&#10;BZ47AAAAOQAAABAAAAAAAAAAAQAgAAAADQEAAGRycy9zaGFwZXhtbC54bWxQSwUGAAAAAAYABgBb&#10;AQAAtw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r>
        <w:rPr>
          <w:rFonts w:hint="eastAsia" w:cs="宋体"/>
          <w:b/>
        </w:rPr>
        <mc:AlternateContent>
          <mc:Choice Requires="wpg">
            <w:drawing>
              <wp:anchor distT="0" distB="0" distL="114300" distR="114300" simplePos="0" relativeHeight="251667456" behindDoc="0" locked="0" layoutInCell="1" allowOverlap="1">
                <wp:simplePos x="0" y="0"/>
                <wp:positionH relativeFrom="column">
                  <wp:posOffset>1061085</wp:posOffset>
                </wp:positionH>
                <wp:positionV relativeFrom="paragraph">
                  <wp:posOffset>7896225</wp:posOffset>
                </wp:positionV>
                <wp:extent cx="5170805" cy="1732915"/>
                <wp:effectExtent l="4445" t="4445" r="6350" b="15240"/>
                <wp:wrapNone/>
                <wp:docPr id="19" name="组合 26"/>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17" name="矩形 25"/>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wrap="square" upright="1"/>
                      </wps:wsp>
                      <wps:wsp>
                        <wps:cNvPr id="18" name="矩形 27"/>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wrap="square" upright="1"/>
                      </wps:wsp>
                    </wpg:wgp>
                  </a:graphicData>
                </a:graphic>
              </wp:anchor>
            </w:drawing>
          </mc:Choice>
          <mc:Fallback>
            <w:pict>
              <v:group id="组合 26" o:spid="_x0000_s1026" o:spt="203" style="position:absolute;left:0pt;margin-left:83.55pt;margin-top:621.75pt;height:136.45pt;width:407.15pt;z-index:251667456;mso-width-relative:page;mso-height-relative:page;" coordorigin="1752,2816" coordsize="7927,2729" o:gfxdata="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oc6zLcAAAADQEAAA8AAAAAAAAAAQAgAAAAIgAAAGRycy9kb3ducmV2Lnht&#10;bFBLAQIUABQAAAAIAIdO4kDYhcSYoAIAAMkHAAAOAAAAAAAAAAEAIAAAACsBAABkcnMvZTJvRG9j&#10;LnhtbFBLBQYAAAAABgAGAFkBAAA9BgAAAAA=&#10;">
                <o:lock v:ext="edit" aspectratio="f"/>
                <v:rect id="矩形 25" o:spid="_x0000_s1026" o:spt="1" style="position:absolute;left:1752;top:2816;height:2729;width:3807;" fillcolor="#FFFFFF" filled="t" stroked="t" coordsize="21600,21600" o:gfxdata="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5n+i5AAAA2wAA&#10;AA8AAAAAAAAAAQAgAAAAIgAAAGRycy9kb3ducmV2LnhtbFBLAQIUABQAAAAIAIdO4kAzLwWeOwAA&#10;ADkAAAAQAAAAAAAAAAEAIAAAAAgBAABkcnMvc2hhcGV4bWwueG1sUEsFBgAAAAAGAAYAWwEAALID&#10;A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矩形 27" o:spid="_x0000_s1026" o:spt="1" style="position:absolute;left:5872;top:2816;height:2729;width:3807;" fillcolor="#FFFFFF" filled="t" stroked="t" coordsize="21600,21600" o:gfxdata="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guavQAA&#10;ANsAAAAPAAAAAAAAAAEAIAAAACIAAABkcnMvZG93bnJldi54bWxQSwECFAAUAAAACACHTuJAMy8F&#10;njsAAAA5AAAAEAAAAAAAAAABACAAAAAMAQAAZHJzL3NoYXBleG1sLnhtbFBLBQYAAAAABgAGAFsB&#10;AAC2Aw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r>
        <w:rPr>
          <w:rFonts w:hint="eastAsia" w:cs="宋体"/>
          <w:b/>
        </w:rPr>
        <mc:AlternateContent>
          <mc:Choice Requires="wpg">
            <w:drawing>
              <wp:anchor distT="0" distB="0" distL="114300" distR="114300" simplePos="0" relativeHeight="251666432" behindDoc="0" locked="0" layoutInCell="1" allowOverlap="1">
                <wp:simplePos x="0" y="0"/>
                <wp:positionH relativeFrom="column">
                  <wp:posOffset>1061085</wp:posOffset>
                </wp:positionH>
                <wp:positionV relativeFrom="paragraph">
                  <wp:posOffset>7896225</wp:posOffset>
                </wp:positionV>
                <wp:extent cx="5170805" cy="1732915"/>
                <wp:effectExtent l="4445" t="4445" r="6350" b="15240"/>
                <wp:wrapNone/>
                <wp:docPr id="16" name="组合 29"/>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14" name="矩形 28"/>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wrap="square" upright="1"/>
                      </wps:wsp>
                      <wps:wsp>
                        <wps:cNvPr id="15" name="矩形 30"/>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wrap="square" upright="1"/>
                      </wps:wsp>
                    </wpg:wgp>
                  </a:graphicData>
                </a:graphic>
              </wp:anchor>
            </w:drawing>
          </mc:Choice>
          <mc:Fallback>
            <w:pict>
              <v:group id="组合 29" o:spid="_x0000_s1026" o:spt="203" style="position:absolute;left:0pt;margin-left:83.55pt;margin-top:621.75pt;height:136.45pt;width:407.15pt;z-index:251666432;mso-width-relative:page;mso-height-relative:page;" coordorigin="1752,2816" coordsize="7927,2729" o:gfxdata="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Koc6zLcAAAADQEAAA8AAAAAAAAAAQAgAAAAIgAAAGRycy9kb3ducmV2&#10;LnhtbFBLAQIUABQAAAAIAIdO4kBzZf3NowIAAMkHAAAOAAAAAAAAAAEAIAAAACsBAABkcnMvZTJv&#10;RG9jLnhtbFBLBQYAAAAABgAGAFkBAABABgAAAAA=&#10;">
                <o:lock v:ext="edit" aspectratio="f"/>
                <v:rect id="矩形 28" o:spid="_x0000_s1026" o:spt="1" style="position:absolute;left:1752;top:2816;height:2729;width:3807;" fillcolor="#FFFFFF" filled="t" stroked="t" coordsize="21600,21600" o:gfxdata="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sBn7sAAADb&#10;AAAADwAAAAAAAAABACAAAAAiAAAAZHJzL2Rvd25yZXYueG1sUEsBAhQAFAAAAAgAh07iQDMvBZ47&#10;AAAAOQAAABAAAAAAAAAAAQAgAAAACgEAAGRycy9zaGFwZXhtbC54bWxQSwUGAAAAAAYABgBbAQAA&#10;tA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矩形 30" o:spid="_x0000_s1026" o:spt="1" style="position:absolute;left:5872;top:2816;height:2729;width:3807;" fillcolor="#FFFFFF" filled="t" stroked="t" coordsize="21600,21600" o:gfxdata="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ekBLsAAADb&#10;AAAADwAAAAAAAAABACAAAAAiAAAAZHJzL2Rvd25yZXYueG1sUEsBAhQAFAAAAAgAh07iQDMvBZ47&#10;AAAAOQAAABAAAAAAAAAAAQAgAAAACgEAAGRycy9zaGFwZXhtbC54bWxQSwUGAAAAAAYABgBbAQAA&#10;tA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r>
        <w:rPr>
          <w:rFonts w:hint="eastAsia" w:cs="宋体"/>
          <w:b/>
        </w:rPr>
        <mc:AlternateContent>
          <mc:Choice Requires="wpg">
            <w:drawing>
              <wp:anchor distT="0" distB="0" distL="114300" distR="114300" simplePos="0" relativeHeight="251665408" behindDoc="0" locked="0" layoutInCell="1" allowOverlap="1">
                <wp:simplePos x="0" y="0"/>
                <wp:positionH relativeFrom="column">
                  <wp:posOffset>1061085</wp:posOffset>
                </wp:positionH>
                <wp:positionV relativeFrom="paragraph">
                  <wp:posOffset>7896225</wp:posOffset>
                </wp:positionV>
                <wp:extent cx="5170805" cy="1732915"/>
                <wp:effectExtent l="4445" t="4445" r="6350" b="15240"/>
                <wp:wrapNone/>
                <wp:docPr id="13" name="组合 32"/>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11" name="矩形 31"/>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wrap="square" upright="1"/>
                      </wps:wsp>
                      <wps:wsp>
                        <wps:cNvPr id="12" name="矩形 33"/>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wrap="square" upright="1"/>
                      </wps:wsp>
                    </wpg:wgp>
                  </a:graphicData>
                </a:graphic>
              </wp:anchor>
            </w:drawing>
          </mc:Choice>
          <mc:Fallback>
            <w:pict>
              <v:group id="组合 32" o:spid="_x0000_s1026" o:spt="203" style="position:absolute;left:0pt;margin-left:83.55pt;margin-top:621.75pt;height:136.45pt;width:407.15pt;z-index:251665408;mso-width-relative:page;mso-height-relative:page;" coordorigin="1752,2816" coordsize="7927,2729" o:gfxdata="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qHOsy3AAAAA0BAAAPAAAAAAAAAAEAIAAAACIAAABkcnMvZG93bnJldi54bWxQ&#10;SwECFAAUAAAACACHTuJA+t4aFJ4CAADJBwAADgAAAAAAAAABACAAAAArAQAAZHJzL2Uyb0RvYy54&#10;bWxQSwUGAAAAAAYABgBZAQAAOwYAAAAA&#10;">
                <o:lock v:ext="edit" aspectratio="f"/>
                <v:rect id="矩形 31" o:spid="_x0000_s1026" o:spt="1" style="position:absolute;left:1752;top:2816;height:2729;width:3807;" fillcolor="#FFFFFF" filled="t" stroked="t" coordsize="21600,21600" o:gfxdata="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coge5AAAA2wAA&#10;AA8AAAAAAAAAAQAgAAAAIgAAAGRycy9kb3ducmV2LnhtbFBLAQIUABQAAAAIAIdO4kAzLwWeOwAA&#10;ADkAAAAQAAAAAAAAAAEAIAAAAAgBAABkcnMvc2hhcGV4bWwueG1sUEsFBgAAAAAGAAYAWwEAALID&#10;A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矩形 33" o:spid="_x0000_s1026" o:spt="1" style="position:absolute;left:5872;top:2816;height:2729;width:3807;" fillcolor="#FFFFFF" filled="t" stroked="t" coordsize="21600,21600" o:gfxdata="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OPHC8AAAA&#10;2wAAAA8AAAAAAAAAAQAgAAAAIgAAAGRycy9kb3ducmV2LnhtbFBLAQIUABQAAAAIAIdO4kAzLwWe&#10;OwAAADkAAAAQAAAAAAAAAAEAIAAAAAsBAABkcnMvc2hhcGV4bWwueG1sUEsFBgAAAAAGAAYAWwEA&#10;ALUDA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p>
    <w:p>
      <w:pPr>
        <w:snapToGrid w:val="0"/>
        <w:spacing w:before="50" w:after="197" w:afterLines="50"/>
        <w:jc w:val="left"/>
        <w:rPr>
          <w:rFonts w:cs="宋体"/>
          <w:sz w:val="30"/>
          <w:szCs w:val="20"/>
        </w:rPr>
      </w:pPr>
      <w:r>
        <w:rPr>
          <w:rFonts w:hint="eastAsia" w:cs="宋体"/>
          <w:sz w:val="24"/>
        </w:rPr>
        <w:t>10</w:t>
      </w:r>
      <w:r>
        <w:rPr>
          <w:rFonts w:hint="eastAsia" w:cs="宋体"/>
          <w:b/>
          <w:sz w:val="24"/>
        </w:rPr>
        <w:t>.法定代表人授权委托书格式：</w:t>
      </w:r>
    </w:p>
    <w:p>
      <w:pPr>
        <w:snapToGrid w:val="0"/>
        <w:spacing w:line="700" w:lineRule="exact"/>
        <w:jc w:val="center"/>
        <w:rPr>
          <w:rFonts w:cs="宋体"/>
          <w:b/>
          <w:sz w:val="36"/>
          <w:szCs w:val="36"/>
        </w:rPr>
      </w:pPr>
      <w:r>
        <w:rPr>
          <w:rFonts w:hint="eastAsia" w:cs="宋体"/>
          <w:b/>
          <w:sz w:val="36"/>
          <w:szCs w:val="36"/>
        </w:rPr>
        <w:t>法定代表人授权委托书</w:t>
      </w:r>
    </w:p>
    <w:p>
      <w:pPr>
        <w:snapToGrid w:val="0"/>
        <w:spacing w:line="700" w:lineRule="exact"/>
        <w:rPr>
          <w:rFonts w:cs="宋体"/>
          <w:b/>
          <w:bCs/>
          <w:sz w:val="24"/>
          <w:szCs w:val="20"/>
        </w:rPr>
      </w:pPr>
      <w:r>
        <w:rPr>
          <w:rFonts w:hint="eastAsia" w:cs="宋体"/>
          <w:bCs/>
          <w:sz w:val="24"/>
        </w:rPr>
        <w:t>致：</w:t>
      </w:r>
      <w:r>
        <w:rPr>
          <w:rFonts w:hint="eastAsia" w:cs="宋体"/>
          <w:sz w:val="24"/>
          <w:u w:val="single"/>
        </w:rPr>
        <w:t>浙江师范大学采购中心</w:t>
      </w:r>
      <w:r>
        <w:rPr>
          <w:rFonts w:hint="eastAsia" w:cs="宋体"/>
          <w:sz w:val="24"/>
        </w:rPr>
        <w:t>：</w:t>
      </w:r>
    </w:p>
    <w:p>
      <w:pPr>
        <w:snapToGrid w:val="0"/>
        <w:spacing w:line="460" w:lineRule="exact"/>
        <w:ind w:firstLine="720" w:firstLineChars="300"/>
        <w:rPr>
          <w:rFonts w:cs="宋体"/>
          <w:sz w:val="24"/>
          <w:szCs w:val="20"/>
        </w:rPr>
      </w:pPr>
      <w:r>
        <w:rPr>
          <w:rFonts w:hint="eastAsia" w:cs="宋体"/>
          <w:sz w:val="24"/>
        </w:rPr>
        <w:t>本人</w:t>
      </w:r>
      <w:r>
        <w:rPr>
          <w:rFonts w:hint="eastAsia" w:cs="宋体"/>
          <w:sz w:val="24"/>
          <w:u w:val="single"/>
        </w:rPr>
        <w:t xml:space="preserve">           </w:t>
      </w:r>
      <w:r>
        <w:rPr>
          <w:rFonts w:hint="eastAsia" w:cs="宋体"/>
          <w:sz w:val="24"/>
        </w:rPr>
        <w:t>（姓名）系</w:t>
      </w:r>
      <w:r>
        <w:rPr>
          <w:rFonts w:hint="eastAsia" w:cs="宋体"/>
          <w:sz w:val="24"/>
          <w:u w:val="single"/>
        </w:rPr>
        <w:t xml:space="preserve">              </w:t>
      </w:r>
      <w:r>
        <w:rPr>
          <w:rFonts w:hint="eastAsia" w:cs="宋体"/>
          <w:sz w:val="24"/>
        </w:rPr>
        <w:t xml:space="preserve">（投标人名称）的法定代表人，现授权委托本单位在职职工 </w:t>
      </w:r>
      <w:r>
        <w:rPr>
          <w:rFonts w:hint="eastAsia" w:cs="宋体"/>
          <w:sz w:val="24"/>
          <w:u w:val="single"/>
        </w:rPr>
        <w:t xml:space="preserve">              </w:t>
      </w:r>
      <w:r>
        <w:rPr>
          <w:rFonts w:hint="eastAsia" w:cs="宋体"/>
          <w:sz w:val="24"/>
        </w:rPr>
        <w:t>（姓名）以我方的名义参加浙江师范大学政府采购</w:t>
      </w:r>
      <w:r>
        <w:rPr>
          <w:rFonts w:hint="eastAsia" w:cs="宋体"/>
          <w:sz w:val="24"/>
          <w:u w:val="single"/>
        </w:rPr>
        <w:t xml:space="preserve">            </w:t>
      </w:r>
      <w:r>
        <w:rPr>
          <w:rFonts w:hint="eastAsia" w:cs="宋体"/>
          <w:sz w:val="24"/>
        </w:rPr>
        <w:t>项目的投标活动，并代表我方全权办理针对上述项目的投标、开标、评标、签约等具体事务和签署相关文件。</w:t>
      </w:r>
    </w:p>
    <w:p>
      <w:pPr>
        <w:snapToGrid w:val="0"/>
        <w:spacing w:line="460" w:lineRule="exact"/>
        <w:rPr>
          <w:rFonts w:cs="宋体"/>
          <w:sz w:val="24"/>
          <w:szCs w:val="20"/>
        </w:rPr>
      </w:pPr>
      <w:r>
        <w:rPr>
          <w:rFonts w:hint="eastAsia" w:cs="宋体"/>
          <w:sz w:val="24"/>
        </w:rPr>
        <w:t xml:space="preserve">    我方对被授权人的签名负全部责任。</w:t>
      </w:r>
    </w:p>
    <w:p>
      <w:pPr>
        <w:snapToGrid w:val="0"/>
        <w:spacing w:line="460" w:lineRule="exact"/>
        <w:ind w:firstLine="480"/>
        <w:rPr>
          <w:rFonts w:cs="宋体"/>
          <w:sz w:val="24"/>
          <w:szCs w:val="20"/>
        </w:rPr>
      </w:pPr>
      <w:r>
        <w:rPr>
          <w:rFonts w:hint="eastAsia" w:cs="宋体"/>
          <w:sz w:val="24"/>
        </w:rPr>
        <w:t>在撤销授权的书面通知以前，本授权书一直有效。被授权人在授权书有效期内签署的所有文件不因授权的撤销而失效。</w:t>
      </w:r>
    </w:p>
    <w:p>
      <w:pPr>
        <w:snapToGrid w:val="0"/>
        <w:spacing w:line="460" w:lineRule="exact"/>
        <w:ind w:firstLine="480"/>
        <w:rPr>
          <w:rFonts w:cs="宋体"/>
          <w:sz w:val="24"/>
          <w:szCs w:val="20"/>
        </w:rPr>
      </w:pPr>
      <w:r>
        <w:rPr>
          <w:rFonts w:hint="eastAsia" w:cs="宋体"/>
          <w:sz w:val="24"/>
        </w:rPr>
        <w:t>被授权人无转委托权，特此委托。</w:t>
      </w:r>
    </w:p>
    <w:p>
      <w:pPr>
        <w:snapToGrid w:val="0"/>
        <w:spacing w:line="460" w:lineRule="exact"/>
        <w:rPr>
          <w:rFonts w:cs="宋体"/>
          <w:sz w:val="24"/>
          <w:szCs w:val="20"/>
        </w:rPr>
      </w:pPr>
    </w:p>
    <w:p>
      <w:pPr>
        <w:snapToGrid w:val="0"/>
        <w:spacing w:line="460" w:lineRule="exact"/>
        <w:rPr>
          <w:rFonts w:cs="宋体"/>
          <w:sz w:val="24"/>
          <w:u w:val="single"/>
        </w:rPr>
      </w:pPr>
      <w:r>
        <w:rPr>
          <w:rFonts w:hint="eastAsia" w:cs="宋体"/>
          <w:sz w:val="24"/>
        </w:rPr>
        <w:t>被授权人签名：</w:t>
      </w:r>
      <w:r>
        <w:rPr>
          <w:rFonts w:hint="eastAsia" w:cs="宋体"/>
          <w:sz w:val="24"/>
          <w:u w:val="single"/>
        </w:rPr>
        <w:t xml:space="preserve">           </w:t>
      </w:r>
      <w:r>
        <w:rPr>
          <w:rFonts w:hint="eastAsia" w:cs="宋体"/>
          <w:sz w:val="24"/>
        </w:rPr>
        <w:t xml:space="preserve">                 法定代表人签名：</w:t>
      </w:r>
      <w:r>
        <w:rPr>
          <w:rFonts w:hint="eastAsia" w:cs="宋体"/>
          <w:sz w:val="24"/>
          <w:u w:val="single"/>
        </w:rPr>
        <w:t xml:space="preserve">           </w:t>
      </w:r>
    </w:p>
    <w:p>
      <w:pPr>
        <w:snapToGrid w:val="0"/>
        <w:spacing w:line="460" w:lineRule="exact"/>
        <w:rPr>
          <w:rFonts w:cs="宋体"/>
          <w:sz w:val="24"/>
          <w:szCs w:val="20"/>
          <w:u w:val="single"/>
        </w:rPr>
      </w:pPr>
      <w:r>
        <w:rPr>
          <w:rFonts w:hint="eastAsia" w:cs="宋体"/>
          <w:sz w:val="24"/>
        </w:rPr>
        <w:t>职    务：</w:t>
      </w:r>
      <w:r>
        <w:rPr>
          <w:rFonts w:hint="eastAsia" w:cs="宋体"/>
          <w:sz w:val="24"/>
          <w:u w:val="single"/>
        </w:rPr>
        <w:t xml:space="preserve">               </w:t>
      </w:r>
      <w:r>
        <w:rPr>
          <w:rFonts w:hint="eastAsia" w:cs="宋体"/>
          <w:sz w:val="24"/>
        </w:rPr>
        <w:t xml:space="preserve">                 职    务：</w:t>
      </w:r>
      <w:r>
        <w:rPr>
          <w:rFonts w:hint="eastAsia" w:cs="宋体"/>
          <w:sz w:val="24"/>
          <w:u w:val="single"/>
        </w:rPr>
        <w:t xml:space="preserve">                 </w:t>
      </w:r>
    </w:p>
    <w:p>
      <w:pPr>
        <w:snapToGrid w:val="0"/>
        <w:spacing w:line="460" w:lineRule="exact"/>
        <w:rPr>
          <w:rFonts w:cs="宋体"/>
          <w:sz w:val="24"/>
          <w:szCs w:val="20"/>
        </w:rPr>
      </w:pPr>
      <w:r>
        <w:rPr>
          <w:rFonts w:hint="eastAsia" w:cs="宋体"/>
          <w:sz w:val="24"/>
        </w:rPr>
        <w:t>联系电话：</w:t>
      </w:r>
      <w:r>
        <w:rPr>
          <w:rFonts w:hint="eastAsia" w:cs="宋体"/>
          <w:sz w:val="24"/>
          <w:u w:val="single"/>
        </w:rPr>
        <w:t xml:space="preserve">               </w:t>
      </w:r>
      <w:r>
        <w:rPr>
          <w:rFonts w:hint="eastAsia" w:cs="宋体"/>
          <w:sz w:val="24"/>
        </w:rPr>
        <w:t xml:space="preserve">                 联系电话：</w:t>
      </w:r>
      <w:r>
        <w:rPr>
          <w:rFonts w:hint="eastAsia" w:cs="宋体"/>
          <w:sz w:val="24"/>
          <w:u w:val="single"/>
        </w:rPr>
        <w:t xml:space="preserve">                 </w:t>
      </w:r>
      <w:r>
        <w:rPr>
          <w:rFonts w:hint="eastAsia" w:cs="宋体"/>
          <w:sz w:val="24"/>
        </w:rPr>
        <w:t xml:space="preserve"> </w:t>
      </w:r>
    </w:p>
    <w:p>
      <w:pPr>
        <w:snapToGrid w:val="0"/>
        <w:spacing w:line="460" w:lineRule="exact"/>
        <w:rPr>
          <w:rFonts w:cs="宋体"/>
          <w:sz w:val="24"/>
          <w:u w:val="single"/>
        </w:rPr>
      </w:pPr>
      <w:r>
        <w:rPr>
          <w:rFonts w:hint="eastAsia" w:cs="宋体"/>
          <w:sz w:val="24"/>
        </w:rPr>
        <w:t>被授权人身份证号码：</w:t>
      </w:r>
      <w:r>
        <w:rPr>
          <w:rFonts w:hint="eastAsia" w:cs="宋体"/>
          <w:sz w:val="24"/>
          <w:u w:val="single"/>
        </w:rPr>
        <w:t xml:space="preserve">                        </w:t>
      </w:r>
    </w:p>
    <w:p>
      <w:pPr>
        <w:snapToGrid w:val="0"/>
        <w:spacing w:line="460" w:lineRule="exact"/>
        <w:rPr>
          <w:rFonts w:cs="宋体"/>
          <w:sz w:val="24"/>
        </w:rPr>
      </w:pPr>
      <w:r>
        <w:rPr>
          <w:rFonts w:hint="eastAsia" w:cs="宋体"/>
          <w:sz w:val="24"/>
        </w:rPr>
        <w:t>投标人（公章）：</w:t>
      </w:r>
      <w:r>
        <w:rPr>
          <w:rFonts w:hint="eastAsia" w:cs="宋体"/>
          <w:sz w:val="24"/>
          <w:u w:val="single"/>
        </w:rPr>
        <w:t xml:space="preserve">                             </w:t>
      </w:r>
    </w:p>
    <w:p>
      <w:pPr>
        <w:snapToGrid w:val="0"/>
        <w:spacing w:line="460" w:lineRule="exact"/>
        <w:rPr>
          <w:rFonts w:cs="宋体"/>
          <w:sz w:val="24"/>
        </w:rPr>
      </w:pPr>
    </w:p>
    <w:p>
      <w:pPr>
        <w:snapToGrid w:val="0"/>
        <w:spacing w:before="197" w:beforeLines="50" w:after="50"/>
        <w:jc w:val="center"/>
        <w:rPr>
          <w:rFonts w:cs="宋体"/>
          <w:sz w:val="24"/>
          <w:szCs w:val="20"/>
        </w:rPr>
      </w:pPr>
      <w:r>
        <w:rPr>
          <w:rFonts w:hint="eastAsia" w:cs="宋体"/>
          <w:sz w:val="24"/>
          <w:szCs w:val="20"/>
        </w:rPr>
        <w:t xml:space="preserve">                                              </w:t>
      </w:r>
      <w:r>
        <w:rPr>
          <w:rFonts w:hint="eastAsia" w:cs="宋体"/>
          <w:sz w:val="24"/>
        </w:rPr>
        <w:t>年    月    日</w:t>
      </w:r>
    </w:p>
    <w:p>
      <w:pPr>
        <w:spacing w:after="197" w:afterLines="50" w:line="540" w:lineRule="exact"/>
        <w:rPr>
          <w:rFonts w:cs="宋体"/>
          <w:b/>
          <w:u w:val="single"/>
        </w:rPr>
      </w:pPr>
      <w:r>
        <w:rPr>
          <w:rFonts w:hint="eastAsia" w:cs="宋体"/>
          <w:b/>
          <w:u w:val="single"/>
        </w:rPr>
        <w:t xml:space="preserve">                                                                  </w:t>
      </w:r>
    </w:p>
    <w:p>
      <w:pPr>
        <w:jc w:val="center"/>
        <w:rPr>
          <w:rFonts w:cs="宋体"/>
          <w:b/>
        </w:rPr>
      </w:pPr>
      <w:r>
        <w:rPr>
          <w:rFonts w:hint="eastAsia" w:cs="宋体"/>
          <w:b/>
        </w:rPr>
        <w:t>授权代表身份证电子扫描件</w:t>
      </w:r>
    </w:p>
    <w:p>
      <w:pPr>
        <w:spacing w:line="360" w:lineRule="exact"/>
        <w:ind w:right="600"/>
        <w:rPr>
          <w:rFonts w:cs="宋体"/>
          <w:sz w:val="30"/>
          <w:szCs w:val="30"/>
        </w:rPr>
      </w:pPr>
      <w:r>
        <w:rPr>
          <w:rFonts w:hint="eastAsia" w:cs="宋体"/>
          <w:b/>
        </w:rPr>
        <mc:AlternateContent>
          <mc:Choice Requires="wpg">
            <w:drawing>
              <wp:anchor distT="0" distB="0" distL="114300" distR="114300" simplePos="0" relativeHeight="251663360" behindDoc="0" locked="0" layoutInCell="1" allowOverlap="1">
                <wp:simplePos x="0" y="0"/>
                <wp:positionH relativeFrom="column">
                  <wp:posOffset>-81915</wp:posOffset>
                </wp:positionH>
                <wp:positionV relativeFrom="paragraph">
                  <wp:posOffset>216535</wp:posOffset>
                </wp:positionV>
                <wp:extent cx="5170805" cy="1732915"/>
                <wp:effectExtent l="4445" t="4445" r="6350" b="15240"/>
                <wp:wrapNone/>
                <wp:docPr id="7" name="组合 35"/>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5" name="矩形 34"/>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wrap="square" upright="1"/>
                      </wps:wsp>
                      <wps:wsp>
                        <wps:cNvPr id="6" name="矩形 36"/>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wrap="square" upright="1"/>
                      </wps:wsp>
                    </wpg:wgp>
                  </a:graphicData>
                </a:graphic>
              </wp:anchor>
            </w:drawing>
          </mc:Choice>
          <mc:Fallback>
            <w:pict>
              <v:group id="组合 35" o:spid="_x0000_s1026" o:spt="203" style="position:absolute;left:0pt;margin-left:-6.45pt;margin-top:17.05pt;height:136.45pt;width:407.15pt;z-index:251663360;mso-width-relative:page;mso-height-relative:page;" coordorigin="1752,2816" coordsize="7927,2729" o:gfxdata="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EMJVV2gAAAAoBAAAPAAAAAAAAAAEAIAAAACIAAABkcnMvZG93bnJldi54bWxQ&#10;SwECFAAUAAAACACHTuJADtxMWaACAADGBwAADgAAAAAAAAABACAAAAApAQAAZHJzL2Uyb0RvYy54&#10;bWxQSwUGAAAAAAYABgBZAQAAOwYAAAAA&#10;">
                <o:lock v:ext="edit" aspectratio="f"/>
                <v:rect id="矩形 34" o:spid="_x0000_s1026" o:spt="1" style="position:absolute;left:1752;top:2816;height:2729;width:3807;" fillcolor="#FFFFFF" filled="t" stroked="t" coordsize="21600,21600" o:gfxdata="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WvD68AAAA&#10;2gAAAA8AAAAAAAAAAQAgAAAAIgAAAGRycy9kb3ducmV2LnhtbFBLAQIUABQAAAAIAIdO4kAzLwWe&#10;OwAAADkAAAAQAAAAAAAAAAEAIAAAAAsBAABkcnMvc2hhcGV4bWwueG1sUEsFBgAAAAAGAAYAWwEA&#10;ALUDA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矩形 36" o:spid="_x0000_s1026" o:spt="1" style="position:absolute;left:5872;top:2816;height:2729;width:3807;" fillcolor="#FFFFFF" filled="t" stroked="t" coordsize="21600,21600" o:gfxdata="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QiSbsAAADa&#10;AAAADwAAAAAAAAABACAAAAAiAAAAZHJzL2Rvd25yZXYueG1sUEsBAhQAFAAAAAgAh07iQDMvBZ47&#10;AAAAOQAAABAAAAAAAAAAAQAgAAAACgEAAGRycy9zaGFwZXhtbC54bWxQSwUGAAAAAAYABgBbAQAA&#10;tA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p>
    <w:p>
      <w:pPr>
        <w:rPr>
          <w:rFonts w:cs="宋体"/>
          <w:b/>
          <w:sz w:val="30"/>
          <w:szCs w:val="30"/>
        </w:rPr>
      </w:pPr>
    </w:p>
    <w:p>
      <w:pPr>
        <w:rPr>
          <w:rFonts w:cs="宋体"/>
          <w:b/>
          <w:sz w:val="30"/>
          <w:szCs w:val="30"/>
        </w:rPr>
      </w:pPr>
    </w:p>
    <w:p>
      <w:pPr>
        <w:pStyle w:val="15"/>
        <w:snapToGrid w:val="0"/>
        <w:spacing w:before="197" w:after="197" w:line="240" w:lineRule="auto"/>
        <w:rPr>
          <w:rFonts w:ascii="Times New Roman" w:hAnsi="Times New Roman" w:cs="宋体"/>
        </w:rPr>
      </w:pPr>
    </w:p>
    <w:p>
      <w:pPr>
        <w:snapToGrid w:val="0"/>
        <w:spacing w:line="400" w:lineRule="exact"/>
        <w:rPr>
          <w:rFonts w:cs="宋体"/>
          <w:b/>
          <w:sz w:val="24"/>
          <w:szCs w:val="20"/>
        </w:rPr>
      </w:pPr>
      <w:r>
        <w:rPr>
          <w:rFonts w:hint="eastAsia" w:cs="宋体"/>
          <w:b/>
          <w:sz w:val="24"/>
        </w:rPr>
        <w:br w:type="page"/>
      </w:r>
      <w:r>
        <w:rPr>
          <w:rFonts w:hint="eastAsia" w:cs="宋体"/>
          <w:b/>
          <w:sz w:val="24"/>
        </w:rPr>
        <w:t>11</w:t>
      </w:r>
      <w:r>
        <w:rPr>
          <w:rFonts w:hint="eastAsia" w:cs="宋体"/>
          <w:b/>
        </w:rPr>
        <w:t>.</w:t>
      </w:r>
      <w:r>
        <w:rPr>
          <w:rFonts w:hint="eastAsia" w:cs="宋体"/>
          <w:b/>
          <w:sz w:val="24"/>
        </w:rPr>
        <w:t>投标声明书格式：</w:t>
      </w:r>
    </w:p>
    <w:p>
      <w:pPr>
        <w:snapToGrid w:val="0"/>
        <w:spacing w:before="197" w:beforeLines="50" w:after="50"/>
        <w:jc w:val="center"/>
        <w:rPr>
          <w:rFonts w:cs="宋体"/>
          <w:b/>
          <w:sz w:val="36"/>
          <w:szCs w:val="36"/>
        </w:rPr>
      </w:pPr>
      <w:r>
        <w:rPr>
          <w:rFonts w:hint="eastAsia" w:cs="宋体"/>
          <w:b/>
          <w:sz w:val="36"/>
          <w:szCs w:val="36"/>
        </w:rPr>
        <w:t>投标声明书</w:t>
      </w:r>
    </w:p>
    <w:p>
      <w:pPr>
        <w:snapToGrid w:val="0"/>
        <w:spacing w:line="360" w:lineRule="exact"/>
        <w:jc w:val="left"/>
        <w:rPr>
          <w:rFonts w:cs="宋体"/>
          <w:sz w:val="21"/>
          <w:szCs w:val="21"/>
        </w:rPr>
      </w:pPr>
      <w:r>
        <w:rPr>
          <w:rFonts w:hint="eastAsia" w:cs="宋体"/>
          <w:sz w:val="21"/>
          <w:szCs w:val="21"/>
        </w:rPr>
        <w:t>致浙江师范大学采购中心：</w:t>
      </w:r>
    </w:p>
    <w:p>
      <w:pPr>
        <w:snapToGrid w:val="0"/>
        <w:spacing w:line="360" w:lineRule="exact"/>
        <w:ind w:firstLine="420" w:firstLineChars="200"/>
        <w:jc w:val="left"/>
        <w:rPr>
          <w:rFonts w:cs="宋体"/>
          <w:sz w:val="21"/>
          <w:szCs w:val="21"/>
          <w:u w:val="single"/>
        </w:rPr>
      </w:pPr>
      <w:r>
        <w:rPr>
          <w:rFonts w:hint="eastAsia" w:cs="宋体"/>
          <w:sz w:val="21"/>
          <w:szCs w:val="21"/>
          <w:u w:val="single"/>
        </w:rPr>
        <w:t xml:space="preserve">                 </w:t>
      </w:r>
      <w:r>
        <w:rPr>
          <w:rFonts w:hint="eastAsia" w:cs="宋体"/>
          <w:sz w:val="21"/>
          <w:szCs w:val="21"/>
        </w:rPr>
        <w:t>（投标人全称）系中华人民共和国合法企业，经营地址：</w:t>
      </w:r>
      <w:r>
        <w:rPr>
          <w:rFonts w:hint="eastAsia" w:cs="宋体"/>
          <w:sz w:val="21"/>
          <w:szCs w:val="21"/>
          <w:u w:val="single"/>
        </w:rPr>
        <w:t xml:space="preserve">             </w:t>
      </w:r>
      <w:r>
        <w:rPr>
          <w:rFonts w:hint="eastAsia" w:cs="宋体"/>
          <w:sz w:val="21"/>
          <w:szCs w:val="21"/>
        </w:rPr>
        <w:t>。</w:t>
      </w:r>
    </w:p>
    <w:p>
      <w:pPr>
        <w:snapToGrid w:val="0"/>
        <w:spacing w:line="360" w:lineRule="exact"/>
        <w:ind w:firstLine="420" w:firstLineChars="200"/>
        <w:jc w:val="left"/>
        <w:rPr>
          <w:rFonts w:cs="宋体"/>
          <w:sz w:val="21"/>
          <w:szCs w:val="21"/>
        </w:rPr>
      </w:pPr>
      <w:r>
        <w:rPr>
          <w:rFonts w:hint="eastAsia" w:cs="宋体"/>
          <w:sz w:val="21"/>
          <w:szCs w:val="21"/>
        </w:rPr>
        <w:t>本人</w:t>
      </w:r>
      <w:r>
        <w:rPr>
          <w:rFonts w:hint="eastAsia" w:cs="宋体"/>
          <w:sz w:val="21"/>
          <w:szCs w:val="21"/>
          <w:u w:val="single"/>
        </w:rPr>
        <w:t xml:space="preserve">            </w:t>
      </w:r>
      <w:r>
        <w:rPr>
          <w:rFonts w:hint="eastAsia" w:cs="宋体"/>
          <w:sz w:val="21"/>
          <w:szCs w:val="21"/>
        </w:rPr>
        <w:t>（姓名）系</w:t>
      </w:r>
      <w:r>
        <w:rPr>
          <w:rFonts w:hint="eastAsia" w:cs="宋体"/>
          <w:sz w:val="21"/>
          <w:szCs w:val="21"/>
          <w:u w:val="single"/>
        </w:rPr>
        <w:t xml:space="preserve">                 </w:t>
      </w:r>
      <w:r>
        <w:rPr>
          <w:rFonts w:hint="eastAsia" w:cs="宋体"/>
          <w:sz w:val="21"/>
          <w:szCs w:val="21"/>
        </w:rPr>
        <w:t>（投标人全称）的法定代表人，我方愿意参加贵方组织的</w:t>
      </w:r>
      <w:r>
        <w:rPr>
          <w:rFonts w:hint="eastAsia" w:cs="宋体"/>
          <w:sz w:val="21"/>
          <w:szCs w:val="21"/>
          <w:u w:val="single"/>
        </w:rPr>
        <w:t xml:space="preserve">                    </w:t>
      </w:r>
      <w:r>
        <w:rPr>
          <w:rFonts w:hint="eastAsia" w:cs="宋体"/>
          <w:sz w:val="21"/>
          <w:szCs w:val="21"/>
        </w:rPr>
        <w:t>项目的投标，为便于贵方公正、择优地确定中标人及其投标产品和服务，我方就本次投标有关事项郑重声明如下：</w:t>
      </w:r>
    </w:p>
    <w:p>
      <w:pPr>
        <w:snapToGrid w:val="0"/>
        <w:spacing w:line="360" w:lineRule="exact"/>
        <w:ind w:firstLine="420" w:firstLineChars="200"/>
        <w:jc w:val="left"/>
        <w:rPr>
          <w:rFonts w:cs="宋体"/>
          <w:sz w:val="21"/>
          <w:szCs w:val="21"/>
        </w:rPr>
      </w:pPr>
      <w:r>
        <w:rPr>
          <w:rFonts w:hint="eastAsia" w:cs="宋体"/>
          <w:sz w:val="21"/>
          <w:szCs w:val="21"/>
        </w:rPr>
        <w:t>1.我方已详细审查全部“招标文件”，包括修改文件、通知和答疑纪要（如有的话）以及全部参考资料和有关附件，已经了解我方对于招标文件、采购过程、采购结果有依法进行询问、质疑、投诉的权利及相关渠道和要求。</w:t>
      </w:r>
    </w:p>
    <w:p>
      <w:pPr>
        <w:snapToGrid w:val="0"/>
        <w:spacing w:line="360" w:lineRule="exact"/>
        <w:ind w:firstLine="420" w:firstLineChars="200"/>
        <w:jc w:val="left"/>
        <w:rPr>
          <w:rFonts w:cs="宋体"/>
          <w:sz w:val="21"/>
          <w:szCs w:val="21"/>
        </w:rPr>
      </w:pPr>
      <w:r>
        <w:rPr>
          <w:rFonts w:hint="eastAsia" w:cs="宋体"/>
          <w:sz w:val="21"/>
          <w:szCs w:val="21"/>
        </w:rPr>
        <w:t>2.我方在投标之前已经与贵方进行了充分的沟通，完全理解并接受招标文件的各项规定和要求，对招标文件的合理性、合法性不再有异议。</w:t>
      </w:r>
    </w:p>
    <w:p>
      <w:pPr>
        <w:snapToGrid w:val="0"/>
        <w:spacing w:line="360" w:lineRule="exact"/>
        <w:ind w:firstLine="420" w:firstLineChars="200"/>
        <w:jc w:val="left"/>
        <w:rPr>
          <w:rFonts w:cs="宋体"/>
          <w:sz w:val="21"/>
          <w:szCs w:val="21"/>
        </w:rPr>
      </w:pPr>
      <w:r>
        <w:rPr>
          <w:rFonts w:hint="eastAsia" w:cs="宋体"/>
          <w:sz w:val="21"/>
          <w:szCs w:val="21"/>
        </w:rPr>
        <w:t>3.我方向贵方提交的所有投标文件、资料都是准确的和真实的。</w:t>
      </w:r>
    </w:p>
    <w:p>
      <w:pPr>
        <w:snapToGrid w:val="0"/>
        <w:spacing w:line="360" w:lineRule="exact"/>
        <w:ind w:firstLine="420" w:firstLineChars="200"/>
        <w:jc w:val="left"/>
        <w:rPr>
          <w:rFonts w:cs="宋体"/>
          <w:sz w:val="21"/>
          <w:szCs w:val="21"/>
        </w:rPr>
      </w:pPr>
      <w:r>
        <w:rPr>
          <w:rFonts w:hint="eastAsia" w:cs="宋体"/>
          <w:sz w:val="21"/>
          <w:szCs w:val="21"/>
        </w:rPr>
        <w:t>4.若中标，本投标文件至本项目合同履行完毕止均保持有效，我方将按招标文件规定履行合同责任和义务。</w:t>
      </w:r>
    </w:p>
    <w:p>
      <w:pPr>
        <w:snapToGrid w:val="0"/>
        <w:spacing w:line="360" w:lineRule="exact"/>
        <w:ind w:firstLine="420" w:firstLineChars="200"/>
        <w:jc w:val="left"/>
        <w:rPr>
          <w:rFonts w:cs="宋体"/>
          <w:sz w:val="21"/>
          <w:szCs w:val="21"/>
        </w:rPr>
      </w:pPr>
      <w:r>
        <w:rPr>
          <w:rFonts w:hint="eastAsia" w:cs="宋体"/>
          <w:sz w:val="21"/>
          <w:szCs w:val="21"/>
        </w:rPr>
        <w:t>5.投标文件自开标日起有效期为90天。</w:t>
      </w:r>
    </w:p>
    <w:p>
      <w:pPr>
        <w:snapToGrid w:val="0"/>
        <w:spacing w:line="360" w:lineRule="exact"/>
        <w:ind w:firstLine="420" w:firstLineChars="200"/>
        <w:jc w:val="left"/>
        <w:rPr>
          <w:rFonts w:cs="宋体"/>
          <w:sz w:val="21"/>
          <w:szCs w:val="21"/>
        </w:rPr>
      </w:pPr>
      <w:r>
        <w:rPr>
          <w:rFonts w:hint="eastAsia" w:cs="宋体"/>
          <w:sz w:val="21"/>
          <w:szCs w:val="21"/>
        </w:rPr>
        <w:t>6.我方已通过信用中国（www.creditchina.gov.cn）、中国政府采购网（www.ccgp.gov.cn）查询，未被列入行政处罚、黑名单、失信被执行人、重大税收违法案件当事人名单、政府采购严重违法失信行为记录名单。</w:t>
      </w:r>
    </w:p>
    <w:p>
      <w:pPr>
        <w:snapToGrid w:val="0"/>
        <w:spacing w:line="360" w:lineRule="exact"/>
        <w:ind w:firstLine="420" w:firstLineChars="200"/>
        <w:jc w:val="left"/>
        <w:rPr>
          <w:rFonts w:cs="宋体"/>
          <w:sz w:val="21"/>
          <w:szCs w:val="21"/>
        </w:rPr>
      </w:pPr>
      <w:r>
        <w:rPr>
          <w:rFonts w:hint="eastAsia" w:cs="宋体"/>
          <w:sz w:val="21"/>
          <w:szCs w:val="21"/>
        </w:rPr>
        <w:t>7.（如是进口产品，须做出如下承诺）：我公司自愿接受招标采购单位指定的进口代理公司为本项目提供进口代理服务，并承诺报价中已经包含进口代理费等在内的所有费用。</w:t>
      </w:r>
    </w:p>
    <w:p>
      <w:pPr>
        <w:snapToGrid w:val="0"/>
        <w:spacing w:line="360" w:lineRule="exact"/>
        <w:ind w:firstLine="420" w:firstLineChars="200"/>
        <w:jc w:val="left"/>
        <w:rPr>
          <w:rFonts w:cs="宋体"/>
          <w:sz w:val="21"/>
          <w:szCs w:val="21"/>
        </w:rPr>
      </w:pPr>
      <w:r>
        <w:rPr>
          <w:rFonts w:hint="eastAsia" w:cs="宋体"/>
          <w:sz w:val="21"/>
          <w:szCs w:val="21"/>
        </w:rPr>
        <w:t>8.以上事项如有虚假或隐瞒，我方愿意承担一切后果，并不再寻求任何旨在减轻或免除法律责任的辩解。</w:t>
      </w:r>
    </w:p>
    <w:p>
      <w:pPr>
        <w:tabs>
          <w:tab w:val="left" w:pos="900"/>
        </w:tabs>
        <w:spacing w:line="400" w:lineRule="exact"/>
        <w:ind w:left="638" w:leftChars="228"/>
        <w:jc w:val="left"/>
        <w:rPr>
          <w:rFonts w:cs="宋体"/>
          <w:sz w:val="21"/>
          <w:szCs w:val="21"/>
        </w:rPr>
      </w:pPr>
      <w:r>
        <w:rPr>
          <w:rFonts w:hint="eastAsia" w:cs="宋体"/>
          <w:sz w:val="21"/>
          <w:szCs w:val="21"/>
        </w:rPr>
        <w:t>我方与本项目投标有关的一切正式来往通讯请寄：</w:t>
      </w:r>
    </w:p>
    <w:p>
      <w:pPr>
        <w:spacing w:line="400" w:lineRule="exact"/>
        <w:ind w:left="420" w:hanging="420" w:hangingChars="200"/>
        <w:jc w:val="left"/>
        <w:rPr>
          <w:rFonts w:cs="宋体"/>
          <w:sz w:val="21"/>
          <w:szCs w:val="21"/>
        </w:rPr>
      </w:pPr>
      <w:r>
        <w:rPr>
          <w:rFonts w:hint="eastAsia" w:cs="宋体"/>
          <w:sz w:val="21"/>
          <w:szCs w:val="21"/>
        </w:rPr>
        <w:t xml:space="preserve">      地    址：</w:t>
      </w:r>
      <w:r>
        <w:rPr>
          <w:rFonts w:hint="eastAsia" w:cs="宋体"/>
          <w:sz w:val="21"/>
          <w:szCs w:val="21"/>
          <w:u w:val="single"/>
        </w:rPr>
        <w:t xml:space="preserve">                  </w:t>
      </w:r>
      <w:r>
        <w:rPr>
          <w:rFonts w:hint="eastAsia" w:cs="宋体"/>
          <w:sz w:val="21"/>
          <w:szCs w:val="21"/>
        </w:rPr>
        <w:t>邮编：</w:t>
      </w:r>
      <w:r>
        <w:rPr>
          <w:rFonts w:hint="eastAsia" w:cs="宋体"/>
          <w:sz w:val="21"/>
          <w:szCs w:val="21"/>
          <w:u w:val="single"/>
        </w:rPr>
        <w:t xml:space="preserve">               </w:t>
      </w:r>
    </w:p>
    <w:p>
      <w:pPr>
        <w:spacing w:line="400" w:lineRule="exact"/>
        <w:ind w:left="420" w:hanging="420" w:hangingChars="200"/>
        <w:jc w:val="left"/>
        <w:rPr>
          <w:rFonts w:cs="宋体"/>
          <w:sz w:val="21"/>
          <w:szCs w:val="21"/>
        </w:rPr>
      </w:pPr>
      <w:r>
        <w:rPr>
          <w:rFonts w:hint="eastAsia" w:cs="宋体"/>
          <w:sz w:val="21"/>
          <w:szCs w:val="21"/>
        </w:rPr>
        <w:t xml:space="preserve">      电    话：</w:t>
      </w:r>
      <w:r>
        <w:rPr>
          <w:rFonts w:hint="eastAsia" w:cs="宋体"/>
          <w:sz w:val="21"/>
          <w:szCs w:val="21"/>
          <w:u w:val="single"/>
        </w:rPr>
        <w:t xml:space="preserve">                  </w:t>
      </w:r>
      <w:r>
        <w:rPr>
          <w:rFonts w:hint="eastAsia" w:cs="宋体"/>
          <w:sz w:val="21"/>
          <w:szCs w:val="21"/>
        </w:rPr>
        <w:t>传真：</w:t>
      </w:r>
      <w:r>
        <w:rPr>
          <w:rFonts w:hint="eastAsia" w:cs="宋体"/>
          <w:sz w:val="21"/>
          <w:szCs w:val="21"/>
          <w:u w:val="single"/>
        </w:rPr>
        <w:t xml:space="preserve">               </w:t>
      </w:r>
      <w:r>
        <w:rPr>
          <w:rFonts w:hint="eastAsia" w:cs="宋体"/>
          <w:sz w:val="21"/>
          <w:szCs w:val="21"/>
        </w:rPr>
        <w:t xml:space="preserve"> </w:t>
      </w:r>
    </w:p>
    <w:p>
      <w:pPr>
        <w:spacing w:line="400" w:lineRule="exact"/>
        <w:ind w:left="638" w:leftChars="228"/>
        <w:rPr>
          <w:rFonts w:cs="宋体"/>
          <w:sz w:val="21"/>
          <w:szCs w:val="21"/>
        </w:rPr>
      </w:pPr>
      <w:r>
        <w:rPr>
          <w:rFonts w:hint="eastAsia" w:cs="宋体"/>
          <w:sz w:val="21"/>
          <w:szCs w:val="21"/>
        </w:rPr>
        <w:t>开户银行：</w:t>
      </w:r>
      <w:r>
        <w:rPr>
          <w:rFonts w:hint="eastAsia" w:cs="宋体"/>
          <w:sz w:val="21"/>
          <w:szCs w:val="21"/>
          <w:u w:val="single"/>
        </w:rPr>
        <w:t xml:space="preserve">                  </w:t>
      </w:r>
      <w:r>
        <w:rPr>
          <w:rFonts w:hint="eastAsia" w:cs="宋体"/>
          <w:sz w:val="21"/>
          <w:szCs w:val="21"/>
        </w:rPr>
        <w:t>账号：</w:t>
      </w:r>
      <w:r>
        <w:rPr>
          <w:rFonts w:hint="eastAsia" w:cs="宋体"/>
          <w:sz w:val="21"/>
          <w:szCs w:val="21"/>
          <w:u w:val="single"/>
        </w:rPr>
        <w:t xml:space="preserve">               </w:t>
      </w:r>
    </w:p>
    <w:p>
      <w:pPr>
        <w:pStyle w:val="11"/>
        <w:rPr>
          <w:rFonts w:hint="default" w:ascii="Times New Roman" w:hAnsi="Times New Roman" w:cs="宋体"/>
        </w:rPr>
      </w:pPr>
    </w:p>
    <w:p>
      <w:pPr>
        <w:snapToGrid w:val="0"/>
        <w:spacing w:line="360" w:lineRule="exact"/>
        <w:ind w:firstLine="200"/>
        <w:rPr>
          <w:rFonts w:cs="宋体"/>
          <w:sz w:val="21"/>
          <w:szCs w:val="21"/>
        </w:rPr>
      </w:pPr>
    </w:p>
    <w:p>
      <w:pPr>
        <w:snapToGrid w:val="0"/>
        <w:spacing w:line="360" w:lineRule="exact"/>
        <w:ind w:firstLine="200"/>
        <w:rPr>
          <w:rFonts w:cs="宋体"/>
          <w:sz w:val="21"/>
          <w:szCs w:val="21"/>
          <w:u w:val="single"/>
        </w:rPr>
      </w:pPr>
      <w:r>
        <w:rPr>
          <w:rFonts w:hint="eastAsia" w:cs="宋体"/>
          <w:sz w:val="21"/>
          <w:szCs w:val="21"/>
        </w:rPr>
        <w:t>法定代表人或授权代表签字：</w:t>
      </w:r>
      <w:r>
        <w:rPr>
          <w:rFonts w:hint="eastAsia" w:cs="宋体"/>
          <w:sz w:val="21"/>
          <w:szCs w:val="21"/>
          <w:u w:val="single"/>
        </w:rPr>
        <w:t xml:space="preserve">                  </w:t>
      </w:r>
      <w:r>
        <w:rPr>
          <w:rFonts w:hint="eastAsia" w:cs="宋体"/>
          <w:sz w:val="21"/>
          <w:szCs w:val="21"/>
        </w:rPr>
        <w:t xml:space="preserve">   投标人（公章）：</w:t>
      </w:r>
      <w:r>
        <w:rPr>
          <w:rFonts w:hint="eastAsia" w:cs="宋体"/>
          <w:sz w:val="21"/>
          <w:szCs w:val="21"/>
          <w:u w:val="single"/>
        </w:rPr>
        <w:t xml:space="preserve">                  </w:t>
      </w:r>
      <w:r>
        <w:rPr>
          <w:rFonts w:hint="eastAsia" w:cs="宋体"/>
          <w:sz w:val="21"/>
          <w:szCs w:val="21"/>
        </w:rPr>
        <w:t xml:space="preserve">                      </w:t>
      </w:r>
    </w:p>
    <w:p>
      <w:pPr>
        <w:snapToGrid w:val="0"/>
        <w:spacing w:line="360" w:lineRule="exact"/>
        <w:ind w:firstLine="5040" w:firstLineChars="2400"/>
        <w:rPr>
          <w:rFonts w:cs="宋体"/>
          <w:sz w:val="21"/>
          <w:szCs w:val="21"/>
        </w:rPr>
      </w:pPr>
    </w:p>
    <w:p>
      <w:pPr>
        <w:snapToGrid w:val="0"/>
        <w:spacing w:line="360" w:lineRule="exact"/>
        <w:ind w:firstLine="6300" w:firstLineChars="3000"/>
        <w:rPr>
          <w:rFonts w:cs="宋体"/>
          <w:sz w:val="21"/>
          <w:szCs w:val="21"/>
        </w:rPr>
      </w:pPr>
      <w:r>
        <w:rPr>
          <w:rFonts w:hint="eastAsia" w:cs="宋体"/>
          <w:sz w:val="21"/>
          <w:szCs w:val="21"/>
        </w:rPr>
        <w:t>年   月   日</w:t>
      </w:r>
    </w:p>
    <w:p>
      <w:pPr>
        <w:snapToGrid w:val="0"/>
        <w:spacing w:line="400" w:lineRule="exact"/>
        <w:jc w:val="left"/>
        <w:rPr>
          <w:rFonts w:cs="宋体"/>
          <w:b/>
        </w:rPr>
      </w:pPr>
      <w:r>
        <w:rPr>
          <w:rFonts w:hint="eastAsia" w:cs="宋体"/>
          <w:b/>
        </w:rPr>
        <w:t xml:space="preserve"> </w:t>
      </w:r>
      <w:r>
        <w:rPr>
          <w:rFonts w:hint="eastAsia" w:cs="宋体"/>
          <w:b/>
          <w:sz w:val="24"/>
        </w:rPr>
        <w:br w:type="page"/>
      </w:r>
    </w:p>
    <w:p>
      <w:pPr>
        <w:snapToGrid w:val="0"/>
        <w:spacing w:line="400" w:lineRule="exact"/>
        <w:jc w:val="left"/>
        <w:rPr>
          <w:rFonts w:cs="宋体"/>
          <w:b/>
        </w:rPr>
      </w:pPr>
      <w:r>
        <w:rPr>
          <w:rFonts w:hint="eastAsia" w:cs="宋体"/>
          <w:b/>
        </w:rPr>
        <w:t>12.投标人一般情况表格式：</w:t>
      </w:r>
    </w:p>
    <w:p>
      <w:pPr>
        <w:spacing w:line="480" w:lineRule="auto"/>
        <w:jc w:val="center"/>
        <w:rPr>
          <w:rFonts w:cs="宋体"/>
          <w:b/>
          <w:sz w:val="36"/>
          <w:szCs w:val="36"/>
        </w:rPr>
      </w:pPr>
      <w:r>
        <w:rPr>
          <w:rFonts w:hint="eastAsia" w:cs="宋体"/>
          <w:b/>
          <w:sz w:val="36"/>
          <w:szCs w:val="36"/>
        </w:rPr>
        <w:t>投标人一般情况表</w:t>
      </w:r>
    </w:p>
    <w:tbl>
      <w:tblPr>
        <w:tblStyle w:val="29"/>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970"/>
        <w:gridCol w:w="1335"/>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1</w:t>
            </w:r>
          </w:p>
        </w:tc>
        <w:tc>
          <w:tcPr>
            <w:tcW w:w="7650" w:type="dxa"/>
            <w:gridSpan w:val="3"/>
            <w:vAlign w:val="center"/>
          </w:tcPr>
          <w:p>
            <w:pPr>
              <w:rPr>
                <w:rFonts w:cs="宋体"/>
                <w:sz w:val="24"/>
              </w:rPr>
            </w:pPr>
            <w:r>
              <w:rPr>
                <w:rFonts w:hint="eastAsia" w:cs="宋体"/>
                <w:sz w:val="24"/>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2</w:t>
            </w:r>
          </w:p>
        </w:tc>
        <w:tc>
          <w:tcPr>
            <w:tcW w:w="7650" w:type="dxa"/>
            <w:gridSpan w:val="3"/>
            <w:vAlign w:val="center"/>
          </w:tcPr>
          <w:p>
            <w:pPr>
              <w:rPr>
                <w:rFonts w:cs="宋体"/>
                <w:sz w:val="24"/>
              </w:rPr>
            </w:pPr>
            <w:r>
              <w:rPr>
                <w:rFonts w:hint="eastAsia" w:cs="宋体"/>
                <w:sz w:val="24"/>
              </w:rPr>
              <w:t>主要业务：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3</w:t>
            </w:r>
          </w:p>
        </w:tc>
        <w:tc>
          <w:tcPr>
            <w:tcW w:w="7650" w:type="dxa"/>
            <w:gridSpan w:val="3"/>
            <w:vAlign w:val="center"/>
          </w:tcPr>
          <w:p>
            <w:pPr>
              <w:rPr>
                <w:rFonts w:cs="宋体"/>
                <w:sz w:val="24"/>
              </w:rPr>
            </w:pPr>
            <w:r>
              <w:rPr>
                <w:rFonts w:hint="eastAsia" w:cs="宋体"/>
                <w:sz w:val="24"/>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4</w:t>
            </w:r>
          </w:p>
        </w:tc>
        <w:tc>
          <w:tcPr>
            <w:tcW w:w="7650" w:type="dxa"/>
            <w:gridSpan w:val="3"/>
            <w:vAlign w:val="center"/>
          </w:tcPr>
          <w:p>
            <w:pPr>
              <w:rPr>
                <w:rFonts w:cs="宋体"/>
                <w:sz w:val="24"/>
              </w:rPr>
            </w:pPr>
            <w:r>
              <w:rPr>
                <w:rFonts w:hint="eastAsia" w:cs="宋体"/>
                <w:sz w:val="24"/>
              </w:rPr>
              <w:t>当地代表处地址（如有）：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5</w:t>
            </w:r>
          </w:p>
        </w:tc>
        <w:tc>
          <w:tcPr>
            <w:tcW w:w="4305" w:type="dxa"/>
            <w:gridSpan w:val="2"/>
            <w:vAlign w:val="center"/>
          </w:tcPr>
          <w:p>
            <w:pPr>
              <w:rPr>
                <w:rFonts w:cs="宋体"/>
                <w:sz w:val="24"/>
              </w:rPr>
            </w:pPr>
            <w:r>
              <w:rPr>
                <w:rFonts w:hint="eastAsia" w:cs="宋体"/>
                <w:sz w:val="24"/>
              </w:rPr>
              <w:t>电话：</w:t>
            </w:r>
          </w:p>
        </w:tc>
        <w:tc>
          <w:tcPr>
            <w:tcW w:w="3345" w:type="dxa"/>
            <w:vAlign w:val="center"/>
          </w:tcPr>
          <w:p>
            <w:pPr>
              <w:rPr>
                <w:rFonts w:cs="宋体"/>
                <w:sz w:val="24"/>
              </w:rPr>
            </w:pPr>
            <w:r>
              <w:rPr>
                <w:rFonts w:hint="eastAsia" w:cs="宋体"/>
                <w:sz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6</w:t>
            </w:r>
          </w:p>
        </w:tc>
        <w:tc>
          <w:tcPr>
            <w:tcW w:w="4305" w:type="dxa"/>
            <w:gridSpan w:val="2"/>
            <w:vAlign w:val="center"/>
          </w:tcPr>
          <w:p>
            <w:pPr>
              <w:rPr>
                <w:rFonts w:cs="宋体"/>
                <w:sz w:val="24"/>
              </w:rPr>
            </w:pPr>
            <w:r>
              <w:rPr>
                <w:rFonts w:hint="eastAsia" w:cs="宋体"/>
                <w:sz w:val="24"/>
              </w:rPr>
              <w:t>传真：</w:t>
            </w:r>
          </w:p>
        </w:tc>
        <w:tc>
          <w:tcPr>
            <w:tcW w:w="3345" w:type="dxa"/>
            <w:vAlign w:val="center"/>
          </w:tcPr>
          <w:p>
            <w:pPr>
              <w:rPr>
                <w:rFonts w:cs="宋体"/>
                <w:sz w:val="24"/>
              </w:rPr>
            </w:pPr>
            <w:r>
              <w:rPr>
                <w:rFonts w:hint="eastAsia" w:cs="宋体"/>
                <w:sz w:val="24"/>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7</w:t>
            </w:r>
          </w:p>
        </w:tc>
        <w:tc>
          <w:tcPr>
            <w:tcW w:w="4305" w:type="dxa"/>
            <w:gridSpan w:val="2"/>
            <w:vAlign w:val="center"/>
          </w:tcPr>
          <w:p>
            <w:pPr>
              <w:rPr>
                <w:rFonts w:cs="宋体"/>
                <w:sz w:val="24"/>
              </w:rPr>
            </w:pPr>
            <w:r>
              <w:rPr>
                <w:rFonts w:hint="eastAsia" w:cs="宋体"/>
                <w:sz w:val="24"/>
              </w:rPr>
              <w:t>注册地：</w:t>
            </w:r>
          </w:p>
        </w:tc>
        <w:tc>
          <w:tcPr>
            <w:tcW w:w="3345" w:type="dxa"/>
            <w:vAlign w:val="center"/>
          </w:tcPr>
          <w:p>
            <w:pPr>
              <w:rPr>
                <w:rFonts w:cs="宋体"/>
                <w:sz w:val="24"/>
              </w:rPr>
            </w:pPr>
            <w:r>
              <w:rPr>
                <w:rFonts w:hint="eastAsia" w:cs="宋体"/>
                <w:sz w:val="24"/>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8</w:t>
            </w:r>
          </w:p>
        </w:tc>
        <w:tc>
          <w:tcPr>
            <w:tcW w:w="7650" w:type="dxa"/>
            <w:gridSpan w:val="3"/>
            <w:vAlign w:val="center"/>
          </w:tcPr>
          <w:p>
            <w:pPr>
              <w:rPr>
                <w:rFonts w:cs="宋体"/>
                <w:sz w:val="24"/>
              </w:rPr>
            </w:pPr>
            <w:r>
              <w:rPr>
                <w:rFonts w:hint="eastAsia" w:cs="宋体"/>
                <w:sz w:val="24"/>
              </w:rPr>
              <w:t>公司的资质等级（请附上有关证书的电子扫描件）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735" w:type="dxa"/>
            <w:vAlign w:val="center"/>
          </w:tcPr>
          <w:p>
            <w:pPr>
              <w:jc w:val="center"/>
              <w:rPr>
                <w:rFonts w:cs="宋体"/>
                <w:sz w:val="24"/>
              </w:rPr>
            </w:pPr>
            <w:r>
              <w:rPr>
                <w:rFonts w:hint="eastAsia" w:cs="宋体"/>
                <w:sz w:val="24"/>
              </w:rPr>
              <w:t>9</w:t>
            </w:r>
          </w:p>
        </w:tc>
        <w:tc>
          <w:tcPr>
            <w:tcW w:w="7650" w:type="dxa"/>
            <w:gridSpan w:val="3"/>
            <w:vAlign w:val="center"/>
          </w:tcPr>
          <w:p>
            <w:pPr>
              <w:rPr>
                <w:rFonts w:cs="宋体"/>
                <w:sz w:val="24"/>
              </w:rPr>
            </w:pPr>
            <w:r>
              <w:rPr>
                <w:rFonts w:hint="eastAsia" w:cs="宋体"/>
                <w:sz w:val="24"/>
              </w:rPr>
              <w:t>公司（是否通过，何种）质量保证体系认证（如通过请附相关证书电子扫描件，提供认证机构年审监督报告）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cs="宋体"/>
                <w:sz w:val="24"/>
              </w:rPr>
            </w:pPr>
            <w:r>
              <w:rPr>
                <w:rFonts w:hint="eastAsia" w:cs="宋体"/>
                <w:sz w:val="24"/>
              </w:rPr>
              <w:t>10</w:t>
            </w:r>
          </w:p>
        </w:tc>
        <w:tc>
          <w:tcPr>
            <w:tcW w:w="2970" w:type="dxa"/>
            <w:vAlign w:val="center"/>
          </w:tcPr>
          <w:p>
            <w:pPr>
              <w:rPr>
                <w:rFonts w:cs="宋体"/>
                <w:sz w:val="24"/>
              </w:rPr>
            </w:pPr>
            <w:r>
              <w:rPr>
                <w:rFonts w:hint="eastAsia" w:cs="宋体"/>
                <w:sz w:val="24"/>
              </w:rPr>
              <w:t>作为承包人经历年数：</w:t>
            </w:r>
          </w:p>
        </w:tc>
        <w:tc>
          <w:tcPr>
            <w:tcW w:w="4680" w:type="dxa"/>
            <w:gridSpan w:val="2"/>
            <w:vAlign w:val="center"/>
          </w:tcPr>
          <w:p>
            <w:pP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5" w:type="dxa"/>
            <w:vAlign w:val="center"/>
          </w:tcPr>
          <w:p>
            <w:pPr>
              <w:jc w:val="center"/>
              <w:rPr>
                <w:rFonts w:cs="宋体"/>
                <w:sz w:val="24"/>
              </w:rPr>
            </w:pPr>
            <w:r>
              <w:rPr>
                <w:rFonts w:hint="eastAsia" w:cs="宋体"/>
                <w:sz w:val="24"/>
              </w:rPr>
              <w:t>11</w:t>
            </w:r>
          </w:p>
        </w:tc>
        <w:tc>
          <w:tcPr>
            <w:tcW w:w="2970" w:type="dxa"/>
            <w:vAlign w:val="center"/>
          </w:tcPr>
          <w:p>
            <w:pPr>
              <w:rPr>
                <w:rFonts w:cs="宋体"/>
                <w:sz w:val="24"/>
              </w:rPr>
            </w:pPr>
            <w:r>
              <w:rPr>
                <w:rFonts w:hint="eastAsia" w:cs="宋体"/>
                <w:sz w:val="24"/>
              </w:rPr>
              <w:t>其他需要说明的情况</w:t>
            </w:r>
          </w:p>
        </w:tc>
        <w:tc>
          <w:tcPr>
            <w:tcW w:w="4680" w:type="dxa"/>
            <w:gridSpan w:val="2"/>
            <w:vAlign w:val="center"/>
          </w:tcPr>
          <w:p>
            <w:pPr>
              <w:rPr>
                <w:rFonts w:cs="宋体"/>
                <w:sz w:val="24"/>
              </w:rPr>
            </w:pPr>
          </w:p>
          <w:p>
            <w:pPr>
              <w:rPr>
                <w:rFonts w:cs="宋体"/>
                <w:sz w:val="24"/>
              </w:rPr>
            </w:pPr>
          </w:p>
        </w:tc>
      </w:tr>
    </w:tbl>
    <w:p>
      <w:pPr>
        <w:rPr>
          <w:rFonts w:cs="宋体"/>
          <w:sz w:val="21"/>
          <w:szCs w:val="21"/>
        </w:rPr>
      </w:pPr>
      <w:r>
        <w:rPr>
          <w:rFonts w:hint="eastAsia" w:cs="宋体"/>
          <w:sz w:val="21"/>
          <w:szCs w:val="21"/>
        </w:rPr>
        <w:t>说明：所有独立投标申请人或联合体成员都须填写此表。</w:t>
      </w:r>
    </w:p>
    <w:p>
      <w:pPr>
        <w:jc w:val="center"/>
        <w:rPr>
          <w:rFonts w:cs="宋体"/>
          <w:szCs w:val="28"/>
        </w:rPr>
      </w:pPr>
    </w:p>
    <w:tbl>
      <w:tblPr>
        <w:tblStyle w:val="29"/>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jc w:val="center"/>
        <w:rPr>
          <w:rFonts w:cs="宋体"/>
          <w:szCs w:val="28"/>
        </w:rPr>
      </w:pPr>
    </w:p>
    <w:p>
      <w:pPr>
        <w:pStyle w:val="15"/>
        <w:snapToGrid w:val="0"/>
        <w:spacing w:before="197" w:after="197" w:line="240" w:lineRule="auto"/>
        <w:rPr>
          <w:rFonts w:ascii="Times New Roman" w:hAnsi="Times New Roman" w:cs="宋体"/>
        </w:rPr>
      </w:pPr>
    </w:p>
    <w:p>
      <w:pPr>
        <w:pStyle w:val="15"/>
        <w:snapToGrid w:val="0"/>
        <w:spacing w:before="197" w:after="197" w:line="240" w:lineRule="auto"/>
        <w:rPr>
          <w:rFonts w:ascii="Times New Roman" w:hAnsi="Times New Roman" w:cs="宋体"/>
        </w:rPr>
      </w:pPr>
    </w:p>
    <w:p>
      <w:pPr>
        <w:pStyle w:val="15"/>
        <w:snapToGrid w:val="0"/>
        <w:spacing w:before="197" w:after="197" w:line="240" w:lineRule="auto"/>
        <w:rPr>
          <w:rFonts w:ascii="Times New Roman" w:hAnsi="Times New Roman" w:cs="宋体"/>
        </w:rPr>
      </w:pPr>
    </w:p>
    <w:p>
      <w:pPr>
        <w:snapToGrid w:val="0"/>
        <w:spacing w:before="50"/>
        <w:jc w:val="left"/>
        <w:rPr>
          <w:rFonts w:cs="宋体"/>
          <w:b/>
          <w:sz w:val="24"/>
        </w:rPr>
      </w:pPr>
      <w:r>
        <w:rPr>
          <w:rFonts w:hint="eastAsia" w:cs="宋体"/>
          <w:b/>
          <w:sz w:val="24"/>
        </w:rPr>
        <w:br w:type="page"/>
      </w:r>
      <w:r>
        <w:rPr>
          <w:rFonts w:hint="eastAsia" w:cs="宋体"/>
          <w:b/>
          <w:sz w:val="24"/>
        </w:rPr>
        <w:t>13.商务响应表格式：</w:t>
      </w:r>
    </w:p>
    <w:p>
      <w:pPr>
        <w:snapToGrid w:val="0"/>
        <w:spacing w:before="50"/>
        <w:jc w:val="center"/>
        <w:rPr>
          <w:rFonts w:cs="宋体"/>
          <w:b/>
          <w:sz w:val="36"/>
          <w:szCs w:val="36"/>
        </w:rPr>
      </w:pPr>
      <w:r>
        <w:rPr>
          <w:rFonts w:hint="eastAsia" w:cs="宋体"/>
          <w:b/>
          <w:sz w:val="36"/>
          <w:szCs w:val="36"/>
        </w:rPr>
        <w:t>商务响应表</w:t>
      </w:r>
    </w:p>
    <w:p>
      <w:pPr>
        <w:snapToGrid w:val="0"/>
        <w:spacing w:before="50"/>
        <w:jc w:val="center"/>
        <w:rPr>
          <w:rFonts w:cs="宋体"/>
          <w:b/>
          <w:sz w:val="44"/>
          <w:szCs w:val="44"/>
        </w:rPr>
      </w:pPr>
    </w:p>
    <w:p>
      <w:pPr>
        <w:snapToGrid w:val="0"/>
        <w:spacing w:before="50"/>
        <w:jc w:val="left"/>
        <w:rPr>
          <w:rFonts w:cs="宋体"/>
          <w:sz w:val="24"/>
          <w:u w:val="single"/>
        </w:rPr>
      </w:pPr>
      <w:r>
        <w:rPr>
          <w:rFonts w:hint="eastAsia" w:cs="宋体"/>
          <w:spacing w:val="20"/>
          <w:sz w:val="24"/>
        </w:rPr>
        <w:t>招标编号：</w:t>
      </w:r>
      <w:r>
        <w:rPr>
          <w:rFonts w:hint="eastAsia" w:cs="宋体"/>
          <w:spacing w:val="20"/>
          <w:sz w:val="24"/>
          <w:u w:val="single"/>
        </w:rPr>
        <w:t xml:space="preserve">                  </w:t>
      </w:r>
      <w:r>
        <w:rPr>
          <w:rFonts w:hint="eastAsia" w:cs="宋体"/>
          <w:sz w:val="24"/>
        </w:rPr>
        <w:t>标      项：</w:t>
      </w:r>
      <w:r>
        <w:rPr>
          <w:rFonts w:hint="eastAsia" w:cs="宋体"/>
          <w:sz w:val="24"/>
          <w:u w:val="single"/>
        </w:rPr>
        <w:t xml:space="preserve">               </w:t>
      </w:r>
    </w:p>
    <w:p>
      <w:pPr>
        <w:adjustRightInd w:val="0"/>
        <w:snapToGrid w:val="0"/>
        <w:spacing w:after="197" w:afterLines="50"/>
        <w:rPr>
          <w:rFonts w:cs="宋体"/>
          <w:spacing w:val="20"/>
          <w:sz w:val="24"/>
        </w:rPr>
      </w:pPr>
      <w:r>
        <w:rPr>
          <w:rFonts w:hint="eastAsia" w:cs="宋体"/>
          <w:spacing w:val="20"/>
          <w:sz w:val="24"/>
        </w:rPr>
        <w:t xml:space="preserve"> </w:t>
      </w:r>
    </w:p>
    <w:tbl>
      <w:tblPr>
        <w:tblStyle w:val="29"/>
        <w:tblW w:w="90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1620"/>
        <w:gridCol w:w="2367"/>
        <w:gridCol w:w="1237"/>
        <w:gridCol w:w="29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before="197" w:beforeLines="50"/>
              <w:jc w:val="center"/>
              <w:rPr>
                <w:rFonts w:cs="宋体"/>
                <w:b/>
                <w:sz w:val="24"/>
              </w:rPr>
            </w:pPr>
            <w:r>
              <w:rPr>
                <w:rFonts w:hint="eastAsia" w:cs="宋体"/>
                <w:b/>
                <w:sz w:val="24"/>
              </w:rPr>
              <w:t>序号</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197" w:beforeLines="50"/>
              <w:jc w:val="center"/>
              <w:rPr>
                <w:rFonts w:cs="宋体"/>
                <w:b/>
                <w:sz w:val="24"/>
              </w:rPr>
            </w:pPr>
            <w:r>
              <w:rPr>
                <w:rFonts w:hint="eastAsia" w:cs="宋体"/>
                <w:b/>
                <w:sz w:val="24"/>
              </w:rPr>
              <w:t>项目</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before="197" w:beforeLines="50"/>
              <w:jc w:val="center"/>
              <w:rPr>
                <w:rFonts w:cs="宋体"/>
                <w:b/>
                <w:sz w:val="24"/>
              </w:rPr>
            </w:pPr>
            <w:r>
              <w:rPr>
                <w:rFonts w:hint="eastAsia" w:cs="宋体"/>
                <w:b/>
                <w:sz w:val="24"/>
              </w:rPr>
              <w:t>招标文件要求</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197" w:beforeLines="50"/>
              <w:jc w:val="center"/>
              <w:rPr>
                <w:rFonts w:cs="宋体"/>
                <w:b/>
                <w:sz w:val="24"/>
              </w:rPr>
            </w:pPr>
            <w:r>
              <w:rPr>
                <w:rFonts w:hint="eastAsia" w:cs="宋体"/>
                <w:b/>
                <w:sz w:val="24"/>
              </w:rPr>
              <w:t>响应情况</w:t>
            </w: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before="197" w:beforeLines="50"/>
              <w:jc w:val="center"/>
              <w:rPr>
                <w:rFonts w:cs="宋体"/>
                <w:b/>
                <w:sz w:val="24"/>
                <w:szCs w:val="20"/>
              </w:rPr>
            </w:pPr>
            <w:r>
              <w:rPr>
                <w:rFonts w:hint="eastAsia" w:cs="宋体"/>
                <w:b/>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rPr>
            </w:pPr>
            <w:r>
              <w:rPr>
                <w:rFonts w:hint="eastAsia" w:cs="宋体"/>
                <w:sz w:val="24"/>
              </w:rPr>
              <w:t>1</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bCs/>
                <w:sz w:val="24"/>
              </w:rPr>
            </w:pPr>
            <w:r>
              <w:rPr>
                <w:rFonts w:hint="eastAsia" w:cs="宋体"/>
                <w:bCs/>
                <w:sz w:val="24"/>
              </w:rPr>
              <w:t>服务标准、期限、效率等要求</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rPr>
            </w:pPr>
            <w:r>
              <w:rPr>
                <w:rFonts w:hint="eastAsia" w:cs="宋体"/>
                <w:sz w:val="24"/>
              </w:rPr>
              <w:t>2</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bCs/>
                <w:sz w:val="24"/>
              </w:rPr>
            </w:pPr>
            <w:r>
              <w:rPr>
                <w:rFonts w:hint="eastAsia" w:cs="宋体"/>
                <w:bCs/>
                <w:sz w:val="24"/>
              </w:rPr>
              <w:t>验收标准</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4"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rPr>
            </w:pPr>
            <w:r>
              <w:rPr>
                <w:rFonts w:hint="eastAsia" w:cs="宋体"/>
                <w:sz w:val="24"/>
              </w:rPr>
              <w:t>3</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bCs/>
                <w:sz w:val="24"/>
              </w:rPr>
            </w:pPr>
            <w:r>
              <w:rPr>
                <w:rFonts w:hint="eastAsia" w:cs="宋体"/>
                <w:bCs/>
                <w:sz w:val="24"/>
              </w:rPr>
              <w:t>履约保证金</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rPr>
            </w:pPr>
            <w:r>
              <w:rPr>
                <w:rFonts w:hint="eastAsia" w:cs="宋体"/>
                <w:sz w:val="24"/>
              </w:rPr>
              <w:t>4</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bCs/>
                <w:sz w:val="24"/>
              </w:rPr>
            </w:pPr>
            <w:r>
              <w:rPr>
                <w:rFonts w:hint="eastAsia" w:cs="宋体"/>
                <w:bCs/>
                <w:sz w:val="24"/>
              </w:rPr>
              <w:t>付款方式</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rPr>
            </w:pPr>
            <w:r>
              <w:rPr>
                <w:rFonts w:hint="eastAsia" w:cs="宋体"/>
                <w:sz w:val="24"/>
              </w:rPr>
              <w:t>5</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bCs/>
                <w:sz w:val="24"/>
              </w:rPr>
            </w:pPr>
            <w:r>
              <w:rPr>
                <w:rFonts w:hint="eastAsia" w:cs="宋体"/>
                <w:bCs/>
                <w:sz w:val="24"/>
              </w:rPr>
              <w:t>知识产权</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cs="宋体"/>
                <w:sz w:val="24"/>
                <w:szCs w:val="20"/>
              </w:rPr>
            </w:pPr>
          </w:p>
        </w:tc>
      </w:tr>
    </w:tbl>
    <w:p>
      <w:pPr>
        <w:adjustRightInd w:val="0"/>
        <w:snapToGrid w:val="0"/>
        <w:spacing w:line="300" w:lineRule="exact"/>
        <w:ind w:left="250" w:hanging="250" w:hangingChars="100"/>
        <w:rPr>
          <w:rFonts w:cs="宋体"/>
          <w:spacing w:val="20"/>
          <w:sz w:val="21"/>
          <w:szCs w:val="21"/>
        </w:rPr>
      </w:pPr>
      <w:r>
        <w:rPr>
          <w:rFonts w:hint="eastAsia" w:cs="宋体"/>
          <w:spacing w:val="20"/>
          <w:sz w:val="21"/>
          <w:szCs w:val="21"/>
        </w:rPr>
        <w:t>注：1.对照商务条款逐项比较填写。</w:t>
      </w:r>
    </w:p>
    <w:p>
      <w:pPr>
        <w:adjustRightInd w:val="0"/>
        <w:snapToGrid w:val="0"/>
        <w:spacing w:line="300" w:lineRule="exact"/>
        <w:ind w:firstLine="315" w:firstLineChars="150"/>
        <w:rPr>
          <w:rFonts w:cs="宋体"/>
          <w:spacing w:val="20"/>
          <w:sz w:val="21"/>
          <w:szCs w:val="21"/>
        </w:rPr>
      </w:pPr>
      <w:r>
        <w:rPr>
          <w:rFonts w:hint="eastAsia" w:cs="宋体"/>
          <w:sz w:val="21"/>
          <w:szCs w:val="21"/>
        </w:rPr>
        <w:t>▲</w:t>
      </w:r>
      <w:r>
        <w:rPr>
          <w:rFonts w:hint="eastAsia" w:cs="宋体"/>
          <w:spacing w:val="20"/>
          <w:sz w:val="21"/>
          <w:szCs w:val="21"/>
        </w:rPr>
        <w:t>2.商务条款中第一款—第五款如不响应将被视为实质性偏离，作无效标处理。</w:t>
      </w:r>
    </w:p>
    <w:tbl>
      <w:tblPr>
        <w:tblStyle w:val="29"/>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snapToGrid w:val="0"/>
        <w:spacing w:before="50"/>
        <w:jc w:val="left"/>
        <w:rPr>
          <w:rFonts w:cs="宋体"/>
          <w:b/>
          <w:sz w:val="24"/>
        </w:rPr>
      </w:pPr>
    </w:p>
    <w:p>
      <w:pPr>
        <w:snapToGrid w:val="0"/>
        <w:spacing w:before="50"/>
        <w:jc w:val="left"/>
        <w:rPr>
          <w:rFonts w:cs="宋体"/>
          <w:b/>
          <w:sz w:val="24"/>
          <w:szCs w:val="20"/>
        </w:rPr>
      </w:pPr>
      <w:r>
        <w:rPr>
          <w:rFonts w:hint="eastAsia" w:cs="宋体"/>
          <w:b/>
          <w:sz w:val="24"/>
          <w:szCs w:val="20"/>
        </w:rPr>
        <w:br w:type="page"/>
      </w:r>
      <w:r>
        <w:rPr>
          <w:rFonts w:hint="eastAsia" w:cs="宋体"/>
          <w:b/>
          <w:sz w:val="24"/>
          <w:szCs w:val="20"/>
        </w:rPr>
        <w:t>14.售后服务情况表格式</w:t>
      </w:r>
    </w:p>
    <w:p>
      <w:pPr>
        <w:snapToGrid w:val="0"/>
        <w:spacing w:before="50"/>
        <w:jc w:val="left"/>
        <w:rPr>
          <w:rFonts w:cs="宋体"/>
          <w:b/>
          <w:sz w:val="24"/>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宋体"/>
          <w:b/>
          <w:sz w:val="36"/>
          <w:szCs w:val="36"/>
        </w:rPr>
      </w:pPr>
      <w:r>
        <w:rPr>
          <w:rFonts w:hint="eastAsia" w:cs="宋体"/>
          <w:b/>
          <w:sz w:val="36"/>
          <w:szCs w:val="36"/>
        </w:rPr>
        <w:t>售后服务情况表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宋体"/>
          <w:b/>
          <w:bCs/>
          <w:sz w:val="44"/>
          <w:szCs w:val="44"/>
        </w:rPr>
      </w:pPr>
    </w:p>
    <w:p>
      <w:pPr>
        <w:adjustRightInd w:val="0"/>
        <w:snapToGrid w:val="0"/>
        <w:spacing w:line="360" w:lineRule="auto"/>
        <w:rPr>
          <w:rFonts w:cs="宋体"/>
          <w:spacing w:val="20"/>
          <w:sz w:val="24"/>
        </w:rPr>
      </w:pPr>
      <w:r>
        <w:rPr>
          <w:rFonts w:hint="eastAsia" w:cs="宋体"/>
          <w:sz w:val="24"/>
        </w:rPr>
        <w:t>招标编号：</w:t>
      </w:r>
      <w:r>
        <w:rPr>
          <w:rFonts w:hint="eastAsia" w:cs="宋体"/>
          <w:sz w:val="24"/>
          <w:u w:val="single"/>
        </w:rPr>
        <w:t xml:space="preserve">                </w:t>
      </w:r>
      <w:r>
        <w:rPr>
          <w:rFonts w:hint="eastAsia" w:cs="宋体"/>
          <w:sz w:val="24"/>
        </w:rPr>
        <w:t xml:space="preserve">  标项：</w:t>
      </w:r>
      <w:r>
        <w:rPr>
          <w:rFonts w:hint="eastAsia" w:cs="宋体"/>
          <w:sz w:val="24"/>
          <w:u w:val="single"/>
        </w:rPr>
        <w:t xml:space="preserve">         </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20" w:type="dxa"/>
            <w:tcBorders>
              <w:top w:val="single" w:color="auto" w:sz="4" w:space="0"/>
              <w:left w:val="single" w:color="auto" w:sz="4" w:space="0"/>
              <w:bottom w:val="single" w:color="auto" w:sz="4" w:space="0"/>
              <w:right w:val="single" w:color="auto" w:sz="4" w:space="0"/>
            </w:tcBorders>
          </w:tcPr>
          <w:p>
            <w:pPr>
              <w:spacing w:line="360" w:lineRule="auto"/>
              <w:jc w:val="center"/>
              <w:rPr>
                <w:rFonts w:cs="宋体"/>
                <w:b/>
                <w:sz w:val="24"/>
              </w:rPr>
            </w:pPr>
            <w:r>
              <w:rPr>
                <w:rFonts w:hint="eastAsia" w:cs="宋体"/>
                <w:b/>
                <w:sz w:val="24"/>
              </w:rPr>
              <w:t>品牌厂商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5" w:hRule="atLeast"/>
          <w:jc w:val="center"/>
        </w:trPr>
        <w:tc>
          <w:tcPr>
            <w:tcW w:w="8520"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r>
              <w:rPr>
                <w:rFonts w:hint="eastAsia" w:cs="宋体"/>
                <w:sz w:val="24"/>
              </w:rPr>
              <w:t>现行售后服务的主要内容：（可附宣传材料）</w:t>
            </w:r>
          </w:p>
          <w:p>
            <w:pPr>
              <w:spacing w:line="360" w:lineRule="auto"/>
              <w:rPr>
                <w:rFonts w:cs="宋体"/>
                <w:sz w:val="24"/>
              </w:rPr>
            </w:pPr>
          </w:p>
          <w:p>
            <w:pPr>
              <w:spacing w:line="360" w:lineRule="auto"/>
              <w:rPr>
                <w:rFonts w:cs="宋体"/>
                <w:sz w:val="24"/>
              </w:rPr>
            </w:pPr>
          </w:p>
          <w:p>
            <w:pPr>
              <w:spacing w:line="360" w:lineRule="auto"/>
              <w:rPr>
                <w:rFonts w:cs="宋体"/>
                <w:sz w:val="24"/>
              </w:rPr>
            </w:pPr>
          </w:p>
          <w:p>
            <w:pPr>
              <w:spacing w:line="360" w:lineRule="auto"/>
              <w:rPr>
                <w:rFonts w:cs="宋体"/>
                <w:sz w:val="24"/>
              </w:rPr>
            </w:pPr>
          </w:p>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20" w:type="dxa"/>
            <w:tcBorders>
              <w:top w:val="single" w:color="auto" w:sz="4" w:space="0"/>
              <w:left w:val="single" w:color="auto" w:sz="4" w:space="0"/>
              <w:bottom w:val="single" w:color="auto" w:sz="4" w:space="0"/>
              <w:right w:val="single" w:color="auto" w:sz="4" w:space="0"/>
            </w:tcBorders>
          </w:tcPr>
          <w:p>
            <w:pPr>
              <w:spacing w:line="360" w:lineRule="auto"/>
              <w:jc w:val="center"/>
              <w:rPr>
                <w:rFonts w:cs="宋体"/>
                <w:b/>
                <w:sz w:val="24"/>
              </w:rPr>
            </w:pPr>
            <w:r>
              <w:rPr>
                <w:rFonts w:hint="eastAsia" w:cs="宋体"/>
                <w:b/>
                <w:sz w:val="24"/>
              </w:rPr>
              <w:t>代 理 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8520"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r>
              <w:rPr>
                <w:rFonts w:hint="eastAsia" w:cs="宋体"/>
                <w:sz w:val="24"/>
              </w:rPr>
              <w:t>现行售后服务的主要内容：（可附宣传材料）</w:t>
            </w:r>
          </w:p>
          <w:p>
            <w:pPr>
              <w:spacing w:line="360" w:lineRule="auto"/>
              <w:rPr>
                <w:rFonts w:cs="宋体"/>
                <w:sz w:val="24"/>
              </w:rPr>
            </w:pPr>
          </w:p>
          <w:p>
            <w:pPr>
              <w:spacing w:line="360" w:lineRule="auto"/>
              <w:rPr>
                <w:rFonts w:cs="宋体"/>
                <w:sz w:val="24"/>
              </w:rPr>
            </w:pPr>
          </w:p>
          <w:p>
            <w:pPr>
              <w:spacing w:line="360" w:lineRule="auto"/>
              <w:rPr>
                <w:rFonts w:cs="宋体"/>
                <w:sz w:val="24"/>
              </w:rPr>
            </w:pPr>
          </w:p>
          <w:p>
            <w:pPr>
              <w:spacing w:line="360" w:lineRule="auto"/>
              <w:rPr>
                <w:rFonts w:cs="宋体"/>
                <w:sz w:val="24"/>
              </w:rPr>
            </w:pPr>
          </w:p>
          <w:p>
            <w:pPr>
              <w:spacing w:line="360" w:lineRule="auto"/>
              <w:rPr>
                <w:rFonts w:cs="宋体"/>
                <w:sz w:val="24"/>
              </w:rPr>
            </w:pPr>
          </w:p>
          <w:p>
            <w:pPr>
              <w:spacing w:line="360" w:lineRule="auto"/>
              <w:rPr>
                <w:rFonts w:cs="宋体"/>
                <w:sz w:val="24"/>
              </w:rPr>
            </w:pPr>
          </w:p>
        </w:tc>
      </w:tr>
    </w:tbl>
    <w:p>
      <w:pPr>
        <w:rPr>
          <w:vanish/>
        </w:rPr>
      </w:pPr>
    </w:p>
    <w:tbl>
      <w:tblPr>
        <w:tblStyle w:val="29"/>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宋体"/>
          <w:b/>
          <w:sz w:val="24"/>
        </w:rPr>
      </w:pPr>
      <w:r>
        <w:rPr>
          <w:rFonts w:hint="eastAsia" w:cs="宋体"/>
          <w:b/>
          <w:sz w:val="24"/>
        </w:rPr>
        <w:br w:type="page"/>
      </w:r>
      <w:r>
        <w:rPr>
          <w:rFonts w:hint="eastAsia" w:cs="宋体"/>
          <w:b/>
          <w:sz w:val="24"/>
        </w:rPr>
        <w:t>15.售后服务主要技术人员情况表格式</w:t>
      </w:r>
    </w:p>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宋体"/>
          <w:b/>
          <w:bCs/>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宋体"/>
          <w:b/>
          <w:sz w:val="36"/>
          <w:szCs w:val="36"/>
        </w:rPr>
      </w:pPr>
      <w:r>
        <w:rPr>
          <w:rFonts w:hint="eastAsia" w:cs="宋体"/>
          <w:b/>
          <w:sz w:val="36"/>
          <w:szCs w:val="36"/>
        </w:rPr>
        <w:t>售后服务主要技术人员情况表</w:t>
      </w:r>
    </w:p>
    <w:p>
      <w:pPr>
        <w:pStyle w:val="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宋体"/>
        </w:rPr>
      </w:pPr>
    </w:p>
    <w:p>
      <w:pPr>
        <w:adjustRightInd w:val="0"/>
        <w:snapToGrid w:val="0"/>
        <w:spacing w:line="360" w:lineRule="auto"/>
        <w:rPr>
          <w:rFonts w:cs="宋体"/>
          <w:spacing w:val="20"/>
          <w:sz w:val="24"/>
        </w:rPr>
      </w:pPr>
      <w:r>
        <w:rPr>
          <w:rFonts w:hint="eastAsia" w:cs="宋体"/>
          <w:sz w:val="24"/>
        </w:rPr>
        <w:t>招标编号：</w:t>
      </w:r>
      <w:r>
        <w:rPr>
          <w:rFonts w:hint="eastAsia" w:cs="宋体"/>
          <w:sz w:val="24"/>
          <w:u w:val="single"/>
        </w:rPr>
        <w:t xml:space="preserve">                </w:t>
      </w:r>
      <w:r>
        <w:rPr>
          <w:rFonts w:hint="eastAsia" w:cs="宋体"/>
          <w:sz w:val="24"/>
        </w:rPr>
        <w:t xml:space="preserve">  标项：</w:t>
      </w:r>
      <w:r>
        <w:rPr>
          <w:rFonts w:hint="eastAsia" w:cs="宋体"/>
          <w:sz w:val="24"/>
          <w:u w:val="single"/>
        </w:rPr>
        <w:t xml:space="preserve">         </w:t>
      </w:r>
    </w:p>
    <w:p>
      <w:pPr>
        <w:pStyle w:val="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宋体"/>
          <w:sz w:val="24"/>
          <w:szCs w:val="24"/>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146"/>
        <w:gridCol w:w="1418"/>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b/>
                <w:sz w:val="24"/>
              </w:rPr>
            </w:pPr>
            <w:r>
              <w:rPr>
                <w:rFonts w:hint="eastAsia" w:cs="宋体"/>
                <w:b/>
                <w:sz w:val="24"/>
              </w:rPr>
              <w:t>姓名</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b/>
                <w:sz w:val="24"/>
              </w:rPr>
            </w:pPr>
            <w:r>
              <w:rPr>
                <w:rFonts w:hint="eastAsia" w:cs="宋体"/>
                <w:b/>
                <w:sz w:val="24"/>
              </w:rPr>
              <w:t>职务</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b/>
                <w:sz w:val="24"/>
              </w:rPr>
            </w:pPr>
            <w:r>
              <w:rPr>
                <w:rFonts w:hint="eastAsia" w:cs="宋体"/>
                <w:b/>
                <w:sz w:val="24"/>
              </w:rPr>
              <w:t>职称</w:t>
            </w:r>
          </w:p>
        </w:tc>
        <w:tc>
          <w:tcPr>
            <w:tcW w:w="45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b/>
                <w:sz w:val="24"/>
              </w:rPr>
            </w:pPr>
            <w:r>
              <w:rPr>
                <w:rFonts w:hint="eastAsia" w:cs="宋体"/>
                <w:b/>
                <w:sz w:val="24"/>
              </w:rPr>
              <w:t>主要资历、经验及承担过的维修项目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32" w:type="dxa"/>
            <w:gridSpan w:val="3"/>
            <w:tcBorders>
              <w:top w:val="single" w:color="auto" w:sz="4" w:space="0"/>
              <w:left w:val="single" w:color="auto" w:sz="4" w:space="0"/>
              <w:bottom w:val="single" w:color="auto" w:sz="4" w:space="0"/>
              <w:right w:val="single" w:color="auto" w:sz="4" w:space="0"/>
            </w:tcBorders>
          </w:tcPr>
          <w:p>
            <w:pPr>
              <w:spacing w:line="360" w:lineRule="auto"/>
              <w:jc w:val="center"/>
              <w:rPr>
                <w:rFonts w:cs="宋体"/>
                <w:sz w:val="24"/>
              </w:rPr>
            </w:pPr>
            <w:r>
              <w:rPr>
                <w:rFonts w:hint="eastAsia" w:cs="宋体"/>
                <w:sz w:val="24"/>
              </w:rPr>
              <w:t>售后服务部门人数</w:t>
            </w: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cs="宋体"/>
                <w:sz w:val="24"/>
              </w:rPr>
            </w:pP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宋体"/>
        </w:rPr>
      </w:pPr>
    </w:p>
    <w:tbl>
      <w:tblPr>
        <w:tblStyle w:val="29"/>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宋体"/>
          <w:b/>
          <w:sz w:val="24"/>
        </w:rPr>
      </w:pPr>
      <w:r>
        <w:rPr>
          <w:rFonts w:hint="eastAsia" w:cs="宋体"/>
          <w:b/>
          <w:sz w:val="24"/>
        </w:rPr>
        <w:br w:type="page"/>
      </w:r>
      <w:r>
        <w:rPr>
          <w:rFonts w:hint="eastAsia" w:cs="宋体"/>
          <w:b/>
          <w:sz w:val="24"/>
        </w:rPr>
        <w:t>16.主要从业人员及其技术资格一览表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宋体"/>
          <w:b/>
          <w:sz w:val="32"/>
          <w:szCs w:val="32"/>
        </w:rPr>
      </w:pPr>
      <w:r>
        <w:rPr>
          <w:rFonts w:hint="eastAsia" w:cs="宋体"/>
          <w:b/>
          <w:sz w:val="32"/>
          <w:szCs w:val="32"/>
        </w:rPr>
        <w:t>主要从业人员及其技术资格一览表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20"/>
        <w:gridCol w:w="1241"/>
        <w:gridCol w:w="850"/>
        <w:gridCol w:w="1985"/>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b/>
                <w:sz w:val="24"/>
                <w:szCs w:val="24"/>
              </w:rPr>
            </w:pPr>
            <w:r>
              <w:rPr>
                <w:rFonts w:hint="eastAsia" w:ascii="Times New Roman" w:hAnsi="Times New Roman" w:cs="宋体"/>
                <w:b/>
                <w:sz w:val="24"/>
                <w:szCs w:val="24"/>
              </w:rPr>
              <w:t>序号</w:t>
            </w:r>
          </w:p>
        </w:tc>
        <w:tc>
          <w:tcPr>
            <w:tcW w:w="720" w:type="dxa"/>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b/>
                <w:sz w:val="24"/>
                <w:szCs w:val="24"/>
              </w:rPr>
            </w:pPr>
            <w:r>
              <w:rPr>
                <w:rFonts w:hint="eastAsia" w:ascii="Times New Roman" w:hAnsi="Times New Roman" w:cs="宋体"/>
                <w:b/>
                <w:sz w:val="24"/>
                <w:szCs w:val="24"/>
              </w:rPr>
              <w:t>项目</w:t>
            </w:r>
          </w:p>
        </w:tc>
        <w:tc>
          <w:tcPr>
            <w:tcW w:w="1241" w:type="dxa"/>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b/>
                <w:sz w:val="24"/>
                <w:szCs w:val="24"/>
              </w:rPr>
            </w:pPr>
            <w:r>
              <w:rPr>
                <w:rFonts w:hint="eastAsia" w:ascii="Times New Roman" w:hAnsi="Times New Roman" w:cs="宋体"/>
                <w:b/>
                <w:sz w:val="24"/>
                <w:szCs w:val="24"/>
              </w:rPr>
              <w:t>姓名</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b/>
                <w:sz w:val="24"/>
                <w:szCs w:val="24"/>
              </w:rPr>
            </w:pPr>
            <w:r>
              <w:rPr>
                <w:rFonts w:hint="eastAsia" w:ascii="Times New Roman" w:hAnsi="Times New Roman" w:cs="宋体"/>
                <w:b/>
                <w:sz w:val="24"/>
                <w:szCs w:val="24"/>
              </w:rPr>
              <w:t>职位</w:t>
            </w:r>
          </w:p>
        </w:tc>
        <w:tc>
          <w:tcPr>
            <w:tcW w:w="1985" w:type="dxa"/>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b/>
                <w:sz w:val="24"/>
                <w:szCs w:val="24"/>
              </w:rPr>
            </w:pPr>
            <w:r>
              <w:rPr>
                <w:rFonts w:hint="eastAsia" w:ascii="Times New Roman" w:hAnsi="Times New Roman" w:cs="宋体"/>
                <w:b/>
                <w:sz w:val="24"/>
                <w:szCs w:val="24"/>
              </w:rPr>
              <w:t>持何种资格证件</w:t>
            </w:r>
          </w:p>
        </w:tc>
        <w:tc>
          <w:tcPr>
            <w:tcW w:w="1276" w:type="dxa"/>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b/>
                <w:sz w:val="24"/>
                <w:szCs w:val="24"/>
              </w:rPr>
            </w:pPr>
            <w:r>
              <w:rPr>
                <w:rFonts w:hint="eastAsia" w:ascii="Times New Roman" w:hAnsi="Times New Roman" w:cs="宋体"/>
                <w:b/>
                <w:sz w:val="24"/>
                <w:szCs w:val="24"/>
              </w:rPr>
              <w:t>发证时间</w:t>
            </w:r>
          </w:p>
        </w:tc>
        <w:tc>
          <w:tcPr>
            <w:tcW w:w="1984" w:type="dxa"/>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b/>
                <w:sz w:val="24"/>
                <w:szCs w:val="24"/>
              </w:rPr>
            </w:pPr>
            <w:r>
              <w:rPr>
                <w:rFonts w:hint="eastAsia" w:ascii="Times New Roman" w:hAnsi="Times New Roman" w:cs="宋体"/>
                <w:b/>
                <w:sz w:val="24"/>
                <w:szCs w:val="24"/>
              </w:rPr>
              <w:t>从事本工作时间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技</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术</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管</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理</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人</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员</w:t>
            </w: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技</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术</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开</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发</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人</w:t>
            </w:r>
          </w:p>
          <w:p>
            <w:pPr>
              <w:pStyle w:val="42"/>
              <w:spacing w:line="360" w:lineRule="auto"/>
              <w:jc w:val="center"/>
              <w:rPr>
                <w:rFonts w:ascii="Times New Roman" w:hAnsi="Times New Roman" w:cs="宋体"/>
                <w:sz w:val="24"/>
                <w:szCs w:val="24"/>
              </w:rPr>
            </w:pPr>
            <w:r>
              <w:rPr>
                <w:rFonts w:hint="eastAsia" w:ascii="Times New Roman" w:hAnsi="Times New Roman" w:cs="宋体"/>
                <w:sz w:val="24"/>
                <w:szCs w:val="24"/>
              </w:rPr>
              <w:t>员</w:t>
            </w: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sz w:val="24"/>
              </w:rPr>
            </w:pPr>
          </w:p>
        </w:tc>
        <w:tc>
          <w:tcPr>
            <w:tcW w:w="1241"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850"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5"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42"/>
              <w:spacing w:line="360" w:lineRule="auto"/>
              <w:rPr>
                <w:rFonts w:ascii="Times New Roman" w:hAnsi="Times New Roman" w:cs="宋体"/>
                <w:sz w:val="24"/>
                <w:szCs w:val="24"/>
              </w:rPr>
            </w:pP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宋体"/>
          <w:sz w:val="21"/>
          <w:szCs w:val="21"/>
        </w:rPr>
      </w:pPr>
      <w:r>
        <w:rPr>
          <w:rFonts w:hint="eastAsia" w:cs="宋体"/>
          <w:sz w:val="21"/>
          <w:szCs w:val="21"/>
        </w:rPr>
        <w:t>注：在填写时，如本表格不适合投标单位的实际情况，可根据本表格格式自行划表填写。</w:t>
      </w:r>
    </w:p>
    <w:p>
      <w:pPr>
        <w:spacing w:line="500" w:lineRule="exact"/>
        <w:ind w:left="540" w:leftChars="193" w:firstLine="3504" w:firstLineChars="1460"/>
        <w:rPr>
          <w:rFonts w:cs="宋体"/>
          <w:sz w:val="24"/>
        </w:rPr>
      </w:pPr>
      <w:r>
        <w:rPr>
          <w:rFonts w:hint="eastAsia" w:cs="宋体"/>
          <w:sz w:val="24"/>
        </w:rPr>
        <w:t>投标人（公章）：</w:t>
      </w:r>
      <w:r>
        <w:rPr>
          <w:rFonts w:hint="eastAsia" w:cs="宋体"/>
          <w:sz w:val="24"/>
          <w:u w:val="single"/>
        </w:rPr>
        <w:t xml:space="preserve">               </w:t>
      </w:r>
    </w:p>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宋体"/>
          <w:sz w:val="24"/>
        </w:rPr>
      </w:pPr>
      <w:r>
        <w:rPr>
          <w:rFonts w:hint="eastAsia" w:cs="宋体"/>
          <w:sz w:val="24"/>
        </w:rPr>
        <w:t xml:space="preserve">                                                 年   月   日</w:t>
      </w:r>
    </w:p>
    <w:p>
      <w:pPr>
        <w:snapToGrid w:val="0"/>
        <w:spacing w:before="50"/>
        <w:jc w:val="left"/>
        <w:rPr>
          <w:rFonts w:cs="宋体"/>
          <w:b/>
          <w:bCs/>
          <w:sz w:val="24"/>
        </w:rPr>
      </w:pPr>
      <w:r>
        <w:rPr>
          <w:rFonts w:hint="eastAsia" w:cs="宋体"/>
          <w:sz w:val="24"/>
          <w:szCs w:val="20"/>
        </w:rPr>
        <w:br w:type="page"/>
      </w:r>
      <w:r>
        <w:rPr>
          <w:rFonts w:hint="eastAsia" w:cs="宋体"/>
          <w:b/>
          <w:bCs/>
          <w:sz w:val="24"/>
          <w:szCs w:val="20"/>
        </w:rPr>
        <w:t>17.</w:t>
      </w:r>
      <w:r>
        <w:rPr>
          <w:rFonts w:hint="eastAsia" w:cs="宋体"/>
          <w:b/>
          <w:bCs/>
          <w:sz w:val="24"/>
        </w:rPr>
        <w:t>产品配置方案一览表格式：</w:t>
      </w:r>
    </w:p>
    <w:p>
      <w:pPr>
        <w:snapToGrid w:val="0"/>
        <w:spacing w:before="50"/>
        <w:jc w:val="left"/>
        <w:rPr>
          <w:rFonts w:cs="宋体"/>
          <w:b/>
          <w:sz w:val="24"/>
        </w:rPr>
      </w:pPr>
    </w:p>
    <w:p>
      <w:pPr>
        <w:spacing w:line="360" w:lineRule="auto"/>
        <w:jc w:val="center"/>
        <w:rPr>
          <w:rFonts w:cs="宋体"/>
          <w:b/>
          <w:sz w:val="36"/>
          <w:szCs w:val="36"/>
        </w:rPr>
      </w:pPr>
      <w:r>
        <w:rPr>
          <w:rFonts w:hint="eastAsia" w:cs="宋体"/>
          <w:b/>
          <w:sz w:val="36"/>
          <w:szCs w:val="36"/>
        </w:rPr>
        <w:t>浙江师范大学</w:t>
      </w:r>
      <w:r>
        <w:rPr>
          <w:rFonts w:hint="eastAsia" w:cs="宋体"/>
          <w:b/>
          <w:sz w:val="36"/>
          <w:szCs w:val="36"/>
          <w:u w:val="single"/>
        </w:rPr>
        <w:t xml:space="preserve">        </w:t>
      </w:r>
      <w:r>
        <w:rPr>
          <w:rFonts w:hint="eastAsia" w:cs="宋体"/>
          <w:b/>
          <w:sz w:val="36"/>
          <w:szCs w:val="36"/>
        </w:rPr>
        <w:t>采购项目配置方案一览表</w:t>
      </w:r>
    </w:p>
    <w:p>
      <w:pPr>
        <w:pStyle w:val="6"/>
        <w:jc w:val="center"/>
        <w:rPr>
          <w:rFonts w:cs="宋体"/>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150"/>
        <w:rPr>
          <w:rFonts w:cs="宋体"/>
          <w:spacing w:val="20"/>
          <w:u w:val="single"/>
        </w:rPr>
      </w:pPr>
      <w:r>
        <w:rPr>
          <w:rFonts w:hint="eastAsia" w:cs="宋体"/>
        </w:rPr>
        <w:t>招标编号：</w:t>
      </w:r>
      <w:r>
        <w:rPr>
          <w:rFonts w:hint="eastAsia" w:cs="宋体"/>
          <w:u w:val="single"/>
        </w:rPr>
        <w:t xml:space="preserve">                 </w:t>
      </w:r>
      <w:r>
        <w:rPr>
          <w:rFonts w:hint="eastAsia" w:cs="宋体"/>
          <w:spacing w:val="20"/>
        </w:rPr>
        <w:t xml:space="preserve"> 标项：</w:t>
      </w:r>
      <w:r>
        <w:rPr>
          <w:rFonts w:hint="eastAsia" w:cs="宋体"/>
          <w:spacing w:val="20"/>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宋体"/>
          <w:u w:val="single"/>
        </w:rPr>
      </w:pPr>
    </w:p>
    <w:tbl>
      <w:tblPr>
        <w:tblStyle w:val="29"/>
        <w:tblW w:w="0" w:type="auto"/>
        <w:jc w:val="center"/>
        <w:tblLayout w:type="fixed"/>
        <w:tblCellMar>
          <w:top w:w="0" w:type="dxa"/>
          <w:left w:w="0" w:type="dxa"/>
          <w:bottom w:w="0" w:type="dxa"/>
          <w:right w:w="0" w:type="dxa"/>
        </w:tblCellMar>
      </w:tblPr>
      <w:tblGrid>
        <w:gridCol w:w="820"/>
        <w:gridCol w:w="1541"/>
        <w:gridCol w:w="1795"/>
        <w:gridCol w:w="1428"/>
        <w:gridCol w:w="800"/>
        <w:gridCol w:w="1678"/>
      </w:tblGrid>
      <w:tr>
        <w:tblPrEx>
          <w:tblCellMar>
            <w:top w:w="0" w:type="dxa"/>
            <w:left w:w="0" w:type="dxa"/>
            <w:bottom w:w="0" w:type="dxa"/>
            <w:right w:w="0" w:type="dxa"/>
          </w:tblCellMar>
        </w:tblPrEx>
        <w:trPr>
          <w:trHeight w:val="382" w:hRule="atLeast"/>
          <w:jc w:val="center"/>
        </w:trPr>
        <w:tc>
          <w:tcPr>
            <w:tcW w:w="8062" w:type="dxa"/>
            <w:gridSpan w:val="6"/>
            <w:tcBorders>
              <w:top w:val="single" w:color="auto" w:sz="4" w:space="0"/>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b/>
                <w:bCs/>
                <w:sz w:val="24"/>
              </w:rPr>
              <w:t>投标人配置方案清单</w:t>
            </w:r>
          </w:p>
        </w:tc>
      </w:tr>
      <w:tr>
        <w:tblPrEx>
          <w:tblCellMar>
            <w:top w:w="0" w:type="dxa"/>
            <w:left w:w="0" w:type="dxa"/>
            <w:bottom w:w="0" w:type="dxa"/>
            <w:right w:w="0" w:type="dxa"/>
          </w:tblCellMar>
        </w:tblPrEx>
        <w:trPr>
          <w:cantSplit/>
          <w:trHeight w:val="459"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cs="宋体"/>
                <w:sz w:val="24"/>
              </w:rPr>
            </w:pPr>
            <w:r>
              <w:rPr>
                <w:rFonts w:hint="eastAsia" w:cs="宋体"/>
                <w:sz w:val="24"/>
              </w:rPr>
              <w:t>序号</w:t>
            </w:r>
          </w:p>
        </w:tc>
        <w:tc>
          <w:tcPr>
            <w:tcW w:w="1541" w:type="dxa"/>
            <w:tcBorders>
              <w:top w:val="single" w:color="auto" w:sz="4" w:space="0"/>
              <w:left w:val="nil"/>
              <w:bottom w:val="single" w:color="auto" w:sz="4" w:space="0"/>
              <w:right w:val="nil"/>
            </w:tcBorders>
            <w:vAlign w:val="center"/>
          </w:tcPr>
          <w:p>
            <w:pPr>
              <w:spacing w:line="400" w:lineRule="exact"/>
              <w:jc w:val="center"/>
              <w:rPr>
                <w:rFonts w:cs="宋体"/>
                <w:sz w:val="24"/>
              </w:rPr>
            </w:pPr>
            <w:r>
              <w:rPr>
                <w:rFonts w:hint="eastAsia" w:cs="宋体"/>
                <w:sz w:val="24"/>
              </w:rPr>
              <w:t>设备名称</w:t>
            </w:r>
          </w:p>
        </w:tc>
        <w:tc>
          <w:tcPr>
            <w:tcW w:w="17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cs="宋体"/>
                <w:sz w:val="24"/>
              </w:rPr>
            </w:pPr>
            <w:r>
              <w:rPr>
                <w:rFonts w:hint="eastAsia" w:cs="宋体"/>
                <w:sz w:val="24"/>
              </w:rPr>
              <w:t>品牌/厂家</w:t>
            </w:r>
          </w:p>
          <w:p>
            <w:pPr>
              <w:spacing w:line="400" w:lineRule="exact"/>
              <w:jc w:val="center"/>
              <w:rPr>
                <w:rFonts w:cs="宋体"/>
                <w:sz w:val="24"/>
              </w:rPr>
            </w:pPr>
            <w:r>
              <w:rPr>
                <w:rFonts w:hint="eastAsia" w:cs="宋体"/>
                <w:sz w:val="24"/>
              </w:rPr>
              <w:t>（产地）</w:t>
            </w:r>
          </w:p>
        </w:tc>
        <w:tc>
          <w:tcPr>
            <w:tcW w:w="1428" w:type="dxa"/>
            <w:tcBorders>
              <w:top w:val="single" w:color="auto" w:sz="4" w:space="0"/>
              <w:left w:val="nil"/>
              <w:bottom w:val="single" w:color="auto" w:sz="4" w:space="0"/>
              <w:right w:val="single" w:color="auto" w:sz="4" w:space="0"/>
            </w:tcBorders>
            <w:vAlign w:val="center"/>
          </w:tcPr>
          <w:p>
            <w:pPr>
              <w:spacing w:line="400" w:lineRule="exact"/>
              <w:jc w:val="center"/>
              <w:rPr>
                <w:rFonts w:cs="宋体"/>
                <w:sz w:val="24"/>
              </w:rPr>
            </w:pPr>
            <w:r>
              <w:rPr>
                <w:rFonts w:hint="eastAsia" w:cs="宋体"/>
                <w:sz w:val="24"/>
              </w:rPr>
              <w:t>型号</w:t>
            </w:r>
          </w:p>
        </w:tc>
        <w:tc>
          <w:tcPr>
            <w:tcW w:w="800" w:type="dxa"/>
            <w:tcBorders>
              <w:top w:val="single" w:color="auto" w:sz="4" w:space="0"/>
              <w:left w:val="nil"/>
              <w:bottom w:val="single" w:color="auto" w:sz="4" w:space="0"/>
              <w:right w:val="single" w:color="auto" w:sz="4" w:space="0"/>
            </w:tcBorders>
            <w:vAlign w:val="center"/>
          </w:tcPr>
          <w:p>
            <w:pPr>
              <w:spacing w:line="400" w:lineRule="exact"/>
              <w:jc w:val="center"/>
              <w:rPr>
                <w:rFonts w:cs="宋体"/>
                <w:sz w:val="24"/>
              </w:rPr>
            </w:pPr>
            <w:r>
              <w:rPr>
                <w:rFonts w:hint="eastAsia" w:cs="宋体"/>
                <w:sz w:val="24"/>
              </w:rPr>
              <w:t>数量</w:t>
            </w:r>
          </w:p>
        </w:tc>
        <w:tc>
          <w:tcPr>
            <w:tcW w:w="1678" w:type="dxa"/>
            <w:vMerge w:val="restart"/>
            <w:tcBorders>
              <w:top w:val="single" w:color="auto" w:sz="4" w:space="0"/>
              <w:left w:val="single" w:color="auto" w:sz="4" w:space="0"/>
              <w:right w:val="single" w:color="auto" w:sz="4" w:space="0"/>
            </w:tcBorders>
            <w:vAlign w:val="center"/>
          </w:tcPr>
          <w:p>
            <w:pPr>
              <w:spacing w:line="400" w:lineRule="exact"/>
              <w:jc w:val="center"/>
              <w:rPr>
                <w:rFonts w:cs="宋体"/>
                <w:sz w:val="24"/>
              </w:rPr>
            </w:pPr>
            <w:r>
              <w:rPr>
                <w:rFonts w:hint="eastAsia" w:cs="宋体"/>
                <w:sz w:val="24"/>
              </w:rPr>
              <w:t>技术性能说明</w:t>
            </w:r>
          </w:p>
          <w:p>
            <w:pPr>
              <w:spacing w:line="400" w:lineRule="exact"/>
              <w:jc w:val="center"/>
              <w:rPr>
                <w:rFonts w:cs="宋体"/>
                <w:sz w:val="24"/>
              </w:rPr>
            </w:pPr>
            <w:r>
              <w:rPr>
                <w:rFonts w:hint="eastAsia" w:cs="宋体"/>
                <w:sz w:val="24"/>
              </w:rPr>
              <w:t>（每种型号一份）</w:t>
            </w:r>
          </w:p>
          <w:p>
            <w:pPr>
              <w:spacing w:line="400" w:lineRule="exact"/>
              <w:jc w:val="center"/>
              <w:rPr>
                <w:rFonts w:cs="宋体"/>
                <w:sz w:val="24"/>
              </w:rPr>
            </w:pPr>
          </w:p>
          <w:p>
            <w:pPr>
              <w:spacing w:line="400" w:lineRule="exact"/>
              <w:jc w:val="center"/>
              <w:rPr>
                <w:rFonts w:cs="宋体"/>
                <w:sz w:val="24"/>
              </w:rPr>
            </w:pPr>
          </w:p>
          <w:p>
            <w:pPr>
              <w:spacing w:line="400" w:lineRule="exact"/>
              <w:jc w:val="center"/>
              <w:rPr>
                <w:rFonts w:cs="宋体"/>
                <w:sz w:val="24"/>
              </w:rPr>
            </w:pPr>
            <w:r>
              <w:rPr>
                <w:rFonts w:hint="eastAsia" w:cs="宋体"/>
                <w:sz w:val="24"/>
              </w:rPr>
              <w:t>附整机图片</w:t>
            </w:r>
          </w:p>
          <w:p>
            <w:pPr>
              <w:spacing w:line="400" w:lineRule="exact"/>
              <w:jc w:val="center"/>
              <w:rPr>
                <w:rFonts w:cs="宋体"/>
                <w:sz w:val="24"/>
              </w:rPr>
            </w:pPr>
            <w:r>
              <w:rPr>
                <w:rFonts w:hint="eastAsia" w:cs="宋体"/>
                <w:sz w:val="24"/>
              </w:rPr>
              <w:t>（可附宣传彩图）</w:t>
            </w:r>
          </w:p>
        </w:tc>
      </w:tr>
      <w:tr>
        <w:tblPrEx>
          <w:tblCellMar>
            <w:top w:w="0" w:type="dxa"/>
            <w:left w:w="0" w:type="dxa"/>
            <w:bottom w:w="0" w:type="dxa"/>
            <w:right w:w="0" w:type="dxa"/>
          </w:tblCellMar>
        </w:tblPrEx>
        <w:trPr>
          <w:cantSplit/>
          <w:trHeight w:val="375" w:hRule="atLeast"/>
          <w:jc w:val="center"/>
        </w:trPr>
        <w:tc>
          <w:tcPr>
            <w:tcW w:w="820" w:type="dxa"/>
            <w:tcBorders>
              <w:top w:val="single" w:color="auto" w:sz="4" w:space="0"/>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sz w:val="24"/>
              </w:rPr>
              <w:t>1</w:t>
            </w:r>
          </w:p>
        </w:tc>
        <w:tc>
          <w:tcPr>
            <w:tcW w:w="1541" w:type="dxa"/>
            <w:tcBorders>
              <w:top w:val="single" w:color="auto" w:sz="4" w:space="0"/>
              <w:left w:val="nil"/>
              <w:bottom w:val="single" w:color="auto" w:sz="4" w:space="0"/>
              <w:right w:val="nil"/>
            </w:tcBorders>
            <w:vAlign w:val="center"/>
          </w:tcPr>
          <w:p>
            <w:pPr>
              <w:spacing w:line="360" w:lineRule="auto"/>
              <w:jc w:val="center"/>
              <w:rPr>
                <w:rFonts w:cs="宋体"/>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cs="宋体"/>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800" w:type="dxa"/>
            <w:tcBorders>
              <w:top w:val="single" w:color="auto" w:sz="4" w:space="0"/>
              <w:left w:val="nil"/>
              <w:bottom w:val="single" w:color="auto" w:sz="4" w:space="0"/>
              <w:right w:val="single" w:color="auto" w:sz="4" w:space="0"/>
            </w:tcBorders>
            <w:vAlign w:val="bottom"/>
          </w:tcPr>
          <w:p>
            <w:pPr>
              <w:spacing w:line="360" w:lineRule="auto"/>
              <w:jc w:val="center"/>
              <w:rPr>
                <w:rFonts w:cs="宋体"/>
              </w:rPr>
            </w:pPr>
          </w:p>
        </w:tc>
        <w:tc>
          <w:tcPr>
            <w:tcW w:w="1678" w:type="dxa"/>
            <w:vMerge w:val="continue"/>
            <w:tcBorders>
              <w:left w:val="single" w:color="auto" w:sz="4" w:space="0"/>
              <w:right w:val="single" w:color="auto" w:sz="4" w:space="0"/>
            </w:tcBorders>
            <w:vAlign w:val="center"/>
          </w:tcPr>
          <w:p>
            <w:pPr>
              <w:spacing w:line="360" w:lineRule="auto"/>
              <w:jc w:val="center"/>
              <w:rPr>
                <w:rFonts w:cs="宋体"/>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sz w:val="24"/>
              </w:rPr>
              <w:t>2</w:t>
            </w:r>
          </w:p>
        </w:tc>
        <w:tc>
          <w:tcPr>
            <w:tcW w:w="1541" w:type="dxa"/>
            <w:tcBorders>
              <w:top w:val="nil"/>
              <w:left w:val="nil"/>
              <w:bottom w:val="single" w:color="auto" w:sz="4" w:space="0"/>
              <w:right w:val="nil"/>
            </w:tcBorders>
          </w:tcPr>
          <w:p>
            <w:pPr>
              <w:spacing w:line="360" w:lineRule="auto"/>
              <w:jc w:val="center"/>
              <w:rPr>
                <w:rFonts w:cs="宋体"/>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cs="宋体"/>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800" w:type="dxa"/>
            <w:tcBorders>
              <w:top w:val="single" w:color="auto" w:sz="4" w:space="0"/>
              <w:left w:val="nil"/>
              <w:bottom w:val="single" w:color="auto" w:sz="4" w:space="0"/>
              <w:right w:val="single" w:color="auto" w:sz="4" w:space="0"/>
            </w:tcBorders>
            <w:vAlign w:val="bottom"/>
          </w:tcPr>
          <w:p>
            <w:pPr>
              <w:spacing w:line="360" w:lineRule="auto"/>
              <w:jc w:val="center"/>
              <w:rPr>
                <w:rFonts w:cs="宋体"/>
              </w:rPr>
            </w:pPr>
          </w:p>
        </w:tc>
        <w:tc>
          <w:tcPr>
            <w:tcW w:w="1678" w:type="dxa"/>
            <w:vMerge w:val="continue"/>
            <w:tcBorders>
              <w:left w:val="single" w:color="auto" w:sz="4" w:space="0"/>
              <w:right w:val="single" w:color="auto" w:sz="4" w:space="0"/>
            </w:tcBorders>
            <w:vAlign w:val="center"/>
          </w:tcPr>
          <w:p>
            <w:pPr>
              <w:spacing w:line="360" w:lineRule="auto"/>
              <w:jc w:val="center"/>
              <w:rPr>
                <w:rFonts w:cs="宋体"/>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sz w:val="24"/>
              </w:rPr>
              <w:t>3</w:t>
            </w:r>
          </w:p>
        </w:tc>
        <w:tc>
          <w:tcPr>
            <w:tcW w:w="1541" w:type="dxa"/>
            <w:tcBorders>
              <w:top w:val="nil"/>
              <w:left w:val="nil"/>
              <w:bottom w:val="single" w:color="auto" w:sz="4" w:space="0"/>
              <w:right w:val="nil"/>
            </w:tcBorders>
          </w:tcPr>
          <w:p>
            <w:pPr>
              <w:spacing w:line="360" w:lineRule="auto"/>
              <w:jc w:val="center"/>
              <w:rPr>
                <w:rFonts w:cs="宋体"/>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cs="宋体"/>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1678" w:type="dxa"/>
            <w:vMerge w:val="continue"/>
            <w:tcBorders>
              <w:left w:val="single" w:color="auto" w:sz="4" w:space="0"/>
              <w:right w:val="single" w:color="auto" w:sz="4" w:space="0"/>
            </w:tcBorders>
            <w:vAlign w:val="center"/>
          </w:tcPr>
          <w:p>
            <w:pPr>
              <w:spacing w:line="360" w:lineRule="auto"/>
              <w:jc w:val="center"/>
              <w:rPr>
                <w:rFonts w:cs="宋体"/>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sz w:val="24"/>
              </w:rPr>
              <w:t>4</w:t>
            </w:r>
          </w:p>
        </w:tc>
        <w:tc>
          <w:tcPr>
            <w:tcW w:w="1541" w:type="dxa"/>
            <w:tcBorders>
              <w:top w:val="nil"/>
              <w:left w:val="nil"/>
              <w:bottom w:val="single" w:color="auto" w:sz="4" w:space="0"/>
              <w:right w:val="nil"/>
            </w:tcBorders>
          </w:tcPr>
          <w:p>
            <w:pPr>
              <w:spacing w:line="360" w:lineRule="auto"/>
              <w:jc w:val="center"/>
              <w:rPr>
                <w:rFonts w:cs="宋体"/>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cs="宋体"/>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1678" w:type="dxa"/>
            <w:vMerge w:val="continue"/>
            <w:tcBorders>
              <w:left w:val="single" w:color="auto" w:sz="4" w:space="0"/>
              <w:right w:val="single" w:color="auto" w:sz="4" w:space="0"/>
            </w:tcBorders>
            <w:vAlign w:val="center"/>
          </w:tcPr>
          <w:p>
            <w:pPr>
              <w:spacing w:line="360" w:lineRule="auto"/>
              <w:jc w:val="center"/>
              <w:rPr>
                <w:rFonts w:cs="宋体"/>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sz w:val="24"/>
              </w:rPr>
              <w:t>5</w:t>
            </w:r>
          </w:p>
        </w:tc>
        <w:tc>
          <w:tcPr>
            <w:tcW w:w="1541" w:type="dxa"/>
            <w:tcBorders>
              <w:top w:val="nil"/>
              <w:left w:val="nil"/>
              <w:bottom w:val="single" w:color="auto" w:sz="4" w:space="0"/>
              <w:right w:val="nil"/>
            </w:tcBorders>
          </w:tcPr>
          <w:p>
            <w:pPr>
              <w:spacing w:line="360" w:lineRule="auto"/>
              <w:jc w:val="center"/>
              <w:rPr>
                <w:rFonts w:cs="宋体"/>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cs="宋体"/>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1678" w:type="dxa"/>
            <w:vMerge w:val="continue"/>
            <w:tcBorders>
              <w:left w:val="single" w:color="auto" w:sz="4" w:space="0"/>
              <w:right w:val="single" w:color="auto" w:sz="4" w:space="0"/>
            </w:tcBorders>
            <w:vAlign w:val="center"/>
          </w:tcPr>
          <w:p>
            <w:pPr>
              <w:spacing w:line="360" w:lineRule="auto"/>
              <w:jc w:val="center"/>
              <w:rPr>
                <w:rFonts w:cs="宋体"/>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sz w:val="24"/>
              </w:rPr>
              <w:t>6</w:t>
            </w:r>
          </w:p>
        </w:tc>
        <w:tc>
          <w:tcPr>
            <w:tcW w:w="1541" w:type="dxa"/>
            <w:tcBorders>
              <w:top w:val="nil"/>
              <w:left w:val="nil"/>
              <w:bottom w:val="single" w:color="auto" w:sz="4" w:space="0"/>
              <w:right w:val="nil"/>
            </w:tcBorders>
          </w:tcPr>
          <w:p>
            <w:pPr>
              <w:spacing w:line="360" w:lineRule="auto"/>
              <w:jc w:val="center"/>
              <w:rPr>
                <w:rFonts w:cs="宋体"/>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cs="宋体"/>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1678" w:type="dxa"/>
            <w:vMerge w:val="continue"/>
            <w:tcBorders>
              <w:left w:val="single" w:color="auto" w:sz="4" w:space="0"/>
              <w:right w:val="single" w:color="auto" w:sz="4" w:space="0"/>
            </w:tcBorders>
            <w:vAlign w:val="center"/>
          </w:tcPr>
          <w:p>
            <w:pPr>
              <w:spacing w:line="360" w:lineRule="auto"/>
              <w:jc w:val="center"/>
              <w:rPr>
                <w:rFonts w:cs="宋体"/>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sz w:val="24"/>
              </w:rPr>
              <w:t>7</w:t>
            </w:r>
          </w:p>
        </w:tc>
        <w:tc>
          <w:tcPr>
            <w:tcW w:w="1541" w:type="dxa"/>
            <w:tcBorders>
              <w:top w:val="nil"/>
              <w:left w:val="nil"/>
              <w:bottom w:val="single" w:color="auto" w:sz="4" w:space="0"/>
              <w:right w:val="nil"/>
            </w:tcBorders>
          </w:tcPr>
          <w:p>
            <w:pPr>
              <w:spacing w:line="360" w:lineRule="auto"/>
              <w:jc w:val="center"/>
              <w:rPr>
                <w:rFonts w:cs="宋体"/>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cs="宋体"/>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1678" w:type="dxa"/>
            <w:vMerge w:val="continue"/>
            <w:tcBorders>
              <w:left w:val="single" w:color="auto" w:sz="4" w:space="0"/>
              <w:right w:val="single" w:color="auto" w:sz="4" w:space="0"/>
            </w:tcBorders>
            <w:vAlign w:val="center"/>
          </w:tcPr>
          <w:p>
            <w:pPr>
              <w:spacing w:line="360" w:lineRule="auto"/>
              <w:jc w:val="center"/>
              <w:rPr>
                <w:rFonts w:cs="宋体"/>
              </w:rPr>
            </w:pPr>
          </w:p>
        </w:tc>
      </w:tr>
      <w:tr>
        <w:tblPrEx>
          <w:tblCellMar>
            <w:top w:w="0" w:type="dxa"/>
            <w:left w:w="0" w:type="dxa"/>
            <w:bottom w:w="0" w:type="dxa"/>
            <w:right w:w="0" w:type="dxa"/>
          </w:tblCellMar>
        </w:tblPrEx>
        <w:trPr>
          <w:cantSplit/>
          <w:trHeight w:val="375" w:hRule="atLeast"/>
          <w:jc w:val="center"/>
        </w:trPr>
        <w:tc>
          <w:tcPr>
            <w:tcW w:w="820" w:type="dxa"/>
            <w:tcBorders>
              <w:top w:val="single" w:color="auto" w:sz="4" w:space="0"/>
              <w:left w:val="single" w:color="auto" w:sz="4" w:space="0"/>
              <w:bottom w:val="single" w:color="auto" w:sz="4" w:space="0"/>
              <w:right w:val="single" w:color="auto" w:sz="4" w:space="0"/>
            </w:tcBorders>
            <w:vAlign w:val="bottom"/>
          </w:tcPr>
          <w:p>
            <w:pPr>
              <w:spacing w:line="360" w:lineRule="auto"/>
              <w:jc w:val="center"/>
              <w:rPr>
                <w:rFonts w:cs="宋体"/>
                <w:sz w:val="24"/>
              </w:rPr>
            </w:pPr>
            <w:r>
              <w:rPr>
                <w:rFonts w:hint="eastAsia" w:cs="宋体"/>
                <w:sz w:val="24"/>
              </w:rPr>
              <w:t>…</w:t>
            </w:r>
          </w:p>
        </w:tc>
        <w:tc>
          <w:tcPr>
            <w:tcW w:w="1541" w:type="dxa"/>
            <w:tcBorders>
              <w:top w:val="single" w:color="auto" w:sz="4" w:space="0"/>
              <w:left w:val="nil"/>
              <w:bottom w:val="single" w:color="auto" w:sz="4" w:space="0"/>
              <w:right w:val="single" w:color="auto" w:sz="4" w:space="0"/>
            </w:tcBorders>
          </w:tcPr>
          <w:p>
            <w:pPr>
              <w:spacing w:line="360" w:lineRule="auto"/>
              <w:jc w:val="center"/>
              <w:rPr>
                <w:rFonts w:cs="宋体"/>
              </w:rPr>
            </w:pPr>
          </w:p>
        </w:tc>
        <w:tc>
          <w:tcPr>
            <w:tcW w:w="1795"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cs="宋体"/>
              </w:rPr>
            </w:pPr>
          </w:p>
        </w:tc>
        <w:tc>
          <w:tcPr>
            <w:tcW w:w="1678"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cs="宋体"/>
              </w:rPr>
            </w:pPr>
          </w:p>
        </w:tc>
      </w:tr>
    </w:tbl>
    <w:p>
      <w:pPr>
        <w:spacing w:line="300" w:lineRule="exact"/>
        <w:ind w:firstLine="420" w:firstLineChars="200"/>
        <w:rPr>
          <w:rFonts w:cs="宋体"/>
          <w:sz w:val="21"/>
          <w:szCs w:val="21"/>
        </w:rPr>
      </w:pPr>
    </w:p>
    <w:p>
      <w:pPr>
        <w:spacing w:line="300" w:lineRule="exact"/>
        <w:ind w:firstLine="420" w:firstLineChars="200"/>
        <w:rPr>
          <w:rFonts w:cs="宋体"/>
          <w:sz w:val="21"/>
          <w:szCs w:val="21"/>
        </w:rPr>
      </w:pPr>
      <w:r>
        <w:rPr>
          <w:rFonts w:hint="eastAsia" w:cs="宋体"/>
          <w:sz w:val="21"/>
          <w:szCs w:val="21"/>
        </w:rPr>
        <w:t>注：▲投标人应保证所参投的产品为符合国家技术规格和质量标准的、全新的、出厂原装合格产品，鼓励投标人提供绿色环保及节能并符合招标需求的合格产品参与投标。投标人应保证所提供的货物或其任何一部分均不会侵犯任何第三方的知识产权。</w:t>
      </w:r>
    </w:p>
    <w:p>
      <w:pPr>
        <w:rPr>
          <w:rFonts w:cs="宋体"/>
        </w:rPr>
      </w:pPr>
    </w:p>
    <w:tbl>
      <w:tblPr>
        <w:tblStyle w:val="29"/>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宋体"/>
        </w:rPr>
      </w:pPr>
      <w:r>
        <w:rPr>
          <w:rFonts w:hint="eastAsia" w:cs="宋体"/>
        </w:rPr>
        <w:t xml:space="preserve"> </w:t>
      </w:r>
    </w:p>
    <w:p>
      <w:pPr>
        <w:snapToGrid w:val="0"/>
        <w:spacing w:before="50"/>
        <w:jc w:val="left"/>
        <w:rPr>
          <w:rFonts w:cs="宋体"/>
          <w:b/>
          <w:sz w:val="24"/>
          <w:szCs w:val="20"/>
        </w:rPr>
      </w:pPr>
      <w:r>
        <w:rPr>
          <w:rFonts w:hint="eastAsia" w:cs="宋体"/>
          <w:b/>
          <w:sz w:val="24"/>
          <w:szCs w:val="20"/>
        </w:rPr>
        <w:br w:type="page"/>
      </w:r>
      <w:r>
        <w:rPr>
          <w:rFonts w:hint="eastAsia" w:cs="宋体"/>
          <w:b/>
          <w:sz w:val="24"/>
          <w:szCs w:val="20"/>
        </w:rPr>
        <w:t>18.技术参数对照表格式</w:t>
      </w:r>
    </w:p>
    <w:p>
      <w:pPr>
        <w:snapToGrid w:val="0"/>
        <w:spacing w:before="50"/>
        <w:jc w:val="left"/>
        <w:rPr>
          <w:rFonts w:cs="宋体"/>
          <w:b/>
          <w:sz w:val="24"/>
          <w:szCs w:val="20"/>
        </w:rPr>
      </w:pPr>
    </w:p>
    <w:p>
      <w:pPr>
        <w:spacing w:line="360" w:lineRule="auto"/>
        <w:jc w:val="center"/>
        <w:rPr>
          <w:rFonts w:cs="宋体"/>
          <w:b/>
          <w:sz w:val="36"/>
          <w:szCs w:val="36"/>
        </w:rPr>
      </w:pPr>
      <w:r>
        <w:rPr>
          <w:rFonts w:hint="eastAsia" w:cs="宋体"/>
          <w:b/>
          <w:sz w:val="36"/>
          <w:szCs w:val="36"/>
        </w:rPr>
        <w:t>技术参数对照表</w:t>
      </w:r>
    </w:p>
    <w:p>
      <w:pPr>
        <w:adjustRightInd w:val="0"/>
        <w:snapToGrid w:val="0"/>
        <w:jc w:val="center"/>
        <w:rPr>
          <w:rFonts w:cs="宋体"/>
          <w:iCs/>
          <w:spacing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150"/>
        <w:rPr>
          <w:rFonts w:cs="宋体"/>
          <w:spacing w:val="20"/>
          <w:u w:val="single"/>
        </w:rPr>
      </w:pPr>
      <w:r>
        <w:rPr>
          <w:rFonts w:hint="eastAsia" w:cs="宋体"/>
        </w:rPr>
        <w:t>招标编号：</w:t>
      </w:r>
      <w:r>
        <w:rPr>
          <w:rFonts w:hint="eastAsia" w:cs="宋体"/>
          <w:u w:val="single"/>
        </w:rPr>
        <w:t xml:space="preserve">                 </w:t>
      </w:r>
      <w:r>
        <w:rPr>
          <w:rFonts w:hint="eastAsia" w:cs="宋体"/>
          <w:spacing w:val="20"/>
        </w:rPr>
        <w:t xml:space="preserve"> 标项：</w:t>
      </w:r>
      <w:r>
        <w:rPr>
          <w:rFonts w:hint="eastAsia" w:cs="宋体"/>
          <w:spacing w:val="20"/>
          <w:u w:val="single"/>
        </w:rPr>
        <w:t xml:space="preserve">                </w:t>
      </w:r>
    </w:p>
    <w:p>
      <w:pPr>
        <w:adjustRightInd w:val="0"/>
        <w:snapToGrid w:val="0"/>
        <w:spacing w:line="400" w:lineRule="exact"/>
        <w:ind w:firstLine="560" w:firstLineChars="200"/>
        <w:rPr>
          <w:rFonts w:cs="宋体"/>
          <w:spacing w:val="20"/>
          <w:sz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653"/>
        <w:gridCol w:w="1725"/>
        <w:gridCol w:w="1970"/>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812" w:type="dxa"/>
            <w:vAlign w:val="center"/>
          </w:tcPr>
          <w:p>
            <w:pPr>
              <w:adjustRightInd w:val="0"/>
              <w:snapToGrid w:val="0"/>
              <w:spacing w:line="360" w:lineRule="exact"/>
              <w:jc w:val="center"/>
              <w:rPr>
                <w:rFonts w:cs="宋体"/>
                <w:b/>
                <w:bCs/>
                <w:spacing w:val="20"/>
                <w:sz w:val="24"/>
              </w:rPr>
            </w:pPr>
            <w:r>
              <w:rPr>
                <w:rFonts w:hint="eastAsia" w:cs="宋体"/>
                <w:b/>
                <w:bCs/>
                <w:spacing w:val="20"/>
                <w:sz w:val="24"/>
              </w:rPr>
              <w:t>序号</w:t>
            </w:r>
          </w:p>
        </w:tc>
        <w:tc>
          <w:tcPr>
            <w:tcW w:w="1653" w:type="dxa"/>
            <w:vAlign w:val="center"/>
          </w:tcPr>
          <w:p>
            <w:pPr>
              <w:adjustRightInd w:val="0"/>
              <w:snapToGrid w:val="0"/>
              <w:spacing w:line="360" w:lineRule="exact"/>
              <w:jc w:val="center"/>
              <w:rPr>
                <w:rFonts w:cs="宋体"/>
                <w:b/>
                <w:bCs/>
                <w:spacing w:val="20"/>
                <w:sz w:val="24"/>
              </w:rPr>
            </w:pPr>
            <w:r>
              <w:rPr>
                <w:rFonts w:hint="eastAsia" w:cs="宋体"/>
                <w:b/>
                <w:bCs/>
                <w:spacing w:val="20"/>
                <w:sz w:val="24"/>
              </w:rPr>
              <w:t>招标要求</w:t>
            </w:r>
          </w:p>
        </w:tc>
        <w:tc>
          <w:tcPr>
            <w:tcW w:w="1725" w:type="dxa"/>
            <w:vAlign w:val="center"/>
          </w:tcPr>
          <w:p>
            <w:pPr>
              <w:adjustRightInd w:val="0"/>
              <w:snapToGrid w:val="0"/>
              <w:spacing w:line="360" w:lineRule="exact"/>
              <w:jc w:val="center"/>
              <w:rPr>
                <w:rFonts w:cs="宋体"/>
                <w:b/>
                <w:bCs/>
                <w:spacing w:val="20"/>
                <w:sz w:val="24"/>
              </w:rPr>
            </w:pPr>
            <w:r>
              <w:rPr>
                <w:rFonts w:hint="eastAsia" w:cs="宋体"/>
                <w:b/>
                <w:bCs/>
                <w:spacing w:val="20"/>
                <w:sz w:val="24"/>
              </w:rPr>
              <w:t>投标响应</w:t>
            </w:r>
          </w:p>
        </w:tc>
        <w:tc>
          <w:tcPr>
            <w:tcW w:w="1970" w:type="dxa"/>
            <w:vAlign w:val="center"/>
          </w:tcPr>
          <w:p>
            <w:pPr>
              <w:adjustRightInd w:val="0"/>
              <w:snapToGrid w:val="0"/>
              <w:spacing w:line="360" w:lineRule="exact"/>
              <w:jc w:val="center"/>
              <w:rPr>
                <w:rFonts w:cs="宋体"/>
                <w:b/>
                <w:bCs/>
                <w:spacing w:val="20"/>
                <w:sz w:val="24"/>
              </w:rPr>
            </w:pPr>
            <w:r>
              <w:rPr>
                <w:rFonts w:hint="eastAsia" w:cs="宋体"/>
                <w:b/>
                <w:bCs/>
                <w:spacing w:val="20"/>
                <w:sz w:val="24"/>
              </w:rPr>
              <w:t>偏  离</w:t>
            </w:r>
          </w:p>
          <w:p>
            <w:pPr>
              <w:adjustRightInd w:val="0"/>
              <w:snapToGrid w:val="0"/>
              <w:spacing w:line="360" w:lineRule="exact"/>
              <w:jc w:val="center"/>
              <w:rPr>
                <w:rFonts w:cs="宋体"/>
                <w:b/>
                <w:bCs/>
                <w:spacing w:val="20"/>
                <w:sz w:val="24"/>
              </w:rPr>
            </w:pPr>
            <w:r>
              <w:rPr>
                <w:rFonts w:hint="eastAsia" w:cs="宋体"/>
                <w:b/>
                <w:bCs/>
                <w:spacing w:val="20"/>
                <w:sz w:val="24"/>
              </w:rPr>
              <w:t>(注明正、负、无偏离)</w:t>
            </w:r>
          </w:p>
        </w:tc>
        <w:tc>
          <w:tcPr>
            <w:tcW w:w="2604" w:type="dxa"/>
            <w:vAlign w:val="center"/>
          </w:tcPr>
          <w:p>
            <w:pPr>
              <w:adjustRightInd w:val="0"/>
              <w:snapToGrid w:val="0"/>
              <w:spacing w:line="360" w:lineRule="exact"/>
              <w:jc w:val="center"/>
              <w:rPr>
                <w:rFonts w:cs="宋体"/>
                <w:b/>
                <w:bCs/>
                <w:spacing w:val="20"/>
                <w:sz w:val="24"/>
              </w:rPr>
            </w:pPr>
            <w:r>
              <w:rPr>
                <w:rFonts w:hint="eastAsia" w:cs="宋体"/>
                <w:b/>
                <w:bCs/>
                <w:spacing w:val="2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360" w:lineRule="exact"/>
              <w:ind w:left="2"/>
              <w:jc w:val="center"/>
              <w:rPr>
                <w:rFonts w:cs="宋体"/>
                <w:spacing w:val="20"/>
                <w:sz w:val="24"/>
              </w:rPr>
            </w:pPr>
            <w:r>
              <w:rPr>
                <w:rFonts w:hint="eastAsia" w:cs="宋体"/>
                <w:spacing w:val="20"/>
                <w:sz w:val="24"/>
              </w:rPr>
              <w:t>1</w:t>
            </w:r>
          </w:p>
        </w:tc>
        <w:tc>
          <w:tcPr>
            <w:tcW w:w="1653" w:type="dxa"/>
            <w:vAlign w:val="center"/>
          </w:tcPr>
          <w:p>
            <w:pPr>
              <w:adjustRightInd w:val="0"/>
              <w:snapToGrid w:val="0"/>
              <w:spacing w:line="360" w:lineRule="exact"/>
              <w:jc w:val="left"/>
              <w:rPr>
                <w:rFonts w:cs="宋体"/>
                <w:spacing w:val="20"/>
                <w:sz w:val="21"/>
                <w:szCs w:val="21"/>
              </w:rPr>
            </w:pPr>
            <w:r>
              <w:rPr>
                <w:rFonts w:hint="eastAsia" w:cs="宋体"/>
                <w:kern w:val="0"/>
                <w:sz w:val="21"/>
                <w:szCs w:val="21"/>
              </w:rPr>
              <w:t>填写标书第二章招标需求技术需求表中的各项技术参数</w:t>
            </w:r>
          </w:p>
        </w:tc>
        <w:tc>
          <w:tcPr>
            <w:tcW w:w="1725" w:type="dxa"/>
            <w:vAlign w:val="center"/>
          </w:tcPr>
          <w:p>
            <w:pPr>
              <w:adjustRightInd w:val="0"/>
              <w:snapToGrid w:val="0"/>
              <w:spacing w:line="360" w:lineRule="exact"/>
              <w:jc w:val="left"/>
              <w:rPr>
                <w:rFonts w:cs="宋体"/>
                <w:spacing w:val="20"/>
                <w:sz w:val="21"/>
                <w:szCs w:val="21"/>
              </w:rPr>
            </w:pPr>
            <w:r>
              <w:rPr>
                <w:rFonts w:hint="eastAsia" w:cs="宋体"/>
                <w:kern w:val="0"/>
                <w:sz w:val="21"/>
                <w:szCs w:val="21"/>
              </w:rPr>
              <w:t>所提供产品的技术参数，与前一栏一一对应</w:t>
            </w:r>
          </w:p>
        </w:tc>
        <w:tc>
          <w:tcPr>
            <w:tcW w:w="1970" w:type="dxa"/>
            <w:vAlign w:val="center"/>
          </w:tcPr>
          <w:p>
            <w:pPr>
              <w:adjustRightInd w:val="0"/>
              <w:snapToGrid w:val="0"/>
              <w:spacing w:line="400" w:lineRule="exact"/>
              <w:jc w:val="center"/>
              <w:rPr>
                <w:rFonts w:cs="宋体"/>
                <w:spacing w:val="20"/>
                <w:sz w:val="24"/>
              </w:rPr>
            </w:pPr>
          </w:p>
        </w:tc>
        <w:tc>
          <w:tcPr>
            <w:tcW w:w="2604" w:type="dxa"/>
            <w:vAlign w:val="center"/>
          </w:tcPr>
          <w:p>
            <w:pPr>
              <w:adjustRightInd w:val="0"/>
              <w:snapToGrid w:val="0"/>
              <w:spacing w:line="400" w:lineRule="exact"/>
              <w:jc w:val="center"/>
              <w:rPr>
                <w:rFonts w:cs="宋体"/>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400" w:lineRule="exact"/>
              <w:ind w:left="360"/>
              <w:rPr>
                <w:rFonts w:cs="宋体"/>
                <w:spacing w:val="20"/>
                <w:sz w:val="24"/>
              </w:rPr>
            </w:pPr>
          </w:p>
        </w:tc>
        <w:tc>
          <w:tcPr>
            <w:tcW w:w="1653" w:type="dxa"/>
            <w:vAlign w:val="center"/>
          </w:tcPr>
          <w:p>
            <w:pPr>
              <w:adjustRightInd w:val="0"/>
              <w:snapToGrid w:val="0"/>
              <w:spacing w:line="400" w:lineRule="exact"/>
              <w:jc w:val="center"/>
              <w:rPr>
                <w:rFonts w:cs="宋体"/>
                <w:spacing w:val="20"/>
                <w:sz w:val="24"/>
              </w:rPr>
            </w:pPr>
          </w:p>
        </w:tc>
        <w:tc>
          <w:tcPr>
            <w:tcW w:w="1725" w:type="dxa"/>
            <w:vAlign w:val="center"/>
          </w:tcPr>
          <w:p>
            <w:pPr>
              <w:adjustRightInd w:val="0"/>
              <w:snapToGrid w:val="0"/>
              <w:spacing w:line="400" w:lineRule="exact"/>
              <w:jc w:val="center"/>
              <w:rPr>
                <w:rFonts w:cs="宋体"/>
                <w:spacing w:val="20"/>
                <w:sz w:val="24"/>
              </w:rPr>
            </w:pPr>
          </w:p>
        </w:tc>
        <w:tc>
          <w:tcPr>
            <w:tcW w:w="1970" w:type="dxa"/>
            <w:vAlign w:val="center"/>
          </w:tcPr>
          <w:p>
            <w:pPr>
              <w:adjustRightInd w:val="0"/>
              <w:snapToGrid w:val="0"/>
              <w:spacing w:line="400" w:lineRule="exact"/>
              <w:jc w:val="center"/>
              <w:rPr>
                <w:rFonts w:cs="宋体"/>
                <w:spacing w:val="20"/>
                <w:sz w:val="24"/>
              </w:rPr>
            </w:pPr>
          </w:p>
        </w:tc>
        <w:tc>
          <w:tcPr>
            <w:tcW w:w="2604" w:type="dxa"/>
            <w:vAlign w:val="center"/>
          </w:tcPr>
          <w:p>
            <w:pPr>
              <w:adjustRightInd w:val="0"/>
              <w:snapToGrid w:val="0"/>
              <w:spacing w:line="400" w:lineRule="exact"/>
              <w:jc w:val="center"/>
              <w:rPr>
                <w:rFonts w:cs="宋体"/>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400" w:lineRule="exact"/>
              <w:ind w:left="360"/>
              <w:rPr>
                <w:rFonts w:cs="宋体"/>
                <w:spacing w:val="20"/>
                <w:sz w:val="24"/>
              </w:rPr>
            </w:pPr>
          </w:p>
        </w:tc>
        <w:tc>
          <w:tcPr>
            <w:tcW w:w="1653" w:type="dxa"/>
            <w:vAlign w:val="center"/>
          </w:tcPr>
          <w:p>
            <w:pPr>
              <w:adjustRightInd w:val="0"/>
              <w:snapToGrid w:val="0"/>
              <w:spacing w:line="400" w:lineRule="exact"/>
              <w:jc w:val="center"/>
              <w:rPr>
                <w:rFonts w:cs="宋体"/>
                <w:spacing w:val="20"/>
                <w:sz w:val="24"/>
              </w:rPr>
            </w:pPr>
          </w:p>
        </w:tc>
        <w:tc>
          <w:tcPr>
            <w:tcW w:w="1725" w:type="dxa"/>
            <w:vAlign w:val="center"/>
          </w:tcPr>
          <w:p>
            <w:pPr>
              <w:adjustRightInd w:val="0"/>
              <w:snapToGrid w:val="0"/>
              <w:spacing w:line="400" w:lineRule="exact"/>
              <w:jc w:val="center"/>
              <w:rPr>
                <w:rFonts w:cs="宋体"/>
                <w:spacing w:val="20"/>
                <w:sz w:val="24"/>
              </w:rPr>
            </w:pPr>
          </w:p>
        </w:tc>
        <w:tc>
          <w:tcPr>
            <w:tcW w:w="1970" w:type="dxa"/>
            <w:vAlign w:val="center"/>
          </w:tcPr>
          <w:p>
            <w:pPr>
              <w:adjustRightInd w:val="0"/>
              <w:snapToGrid w:val="0"/>
              <w:spacing w:line="400" w:lineRule="exact"/>
              <w:jc w:val="center"/>
              <w:rPr>
                <w:rFonts w:cs="宋体"/>
                <w:spacing w:val="20"/>
                <w:sz w:val="24"/>
              </w:rPr>
            </w:pPr>
          </w:p>
        </w:tc>
        <w:tc>
          <w:tcPr>
            <w:tcW w:w="2604" w:type="dxa"/>
            <w:vAlign w:val="center"/>
          </w:tcPr>
          <w:p>
            <w:pPr>
              <w:adjustRightInd w:val="0"/>
              <w:snapToGrid w:val="0"/>
              <w:spacing w:line="400" w:lineRule="exact"/>
              <w:jc w:val="center"/>
              <w:rPr>
                <w:rFonts w:cs="宋体"/>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400" w:lineRule="exact"/>
              <w:ind w:left="360"/>
              <w:rPr>
                <w:rFonts w:cs="宋体"/>
                <w:spacing w:val="20"/>
                <w:sz w:val="24"/>
              </w:rPr>
            </w:pPr>
          </w:p>
        </w:tc>
        <w:tc>
          <w:tcPr>
            <w:tcW w:w="1653" w:type="dxa"/>
            <w:vAlign w:val="center"/>
          </w:tcPr>
          <w:p>
            <w:pPr>
              <w:adjustRightInd w:val="0"/>
              <w:snapToGrid w:val="0"/>
              <w:spacing w:line="400" w:lineRule="exact"/>
              <w:jc w:val="center"/>
              <w:rPr>
                <w:rFonts w:cs="宋体"/>
                <w:spacing w:val="20"/>
                <w:sz w:val="24"/>
              </w:rPr>
            </w:pPr>
          </w:p>
        </w:tc>
        <w:tc>
          <w:tcPr>
            <w:tcW w:w="1725" w:type="dxa"/>
            <w:vAlign w:val="center"/>
          </w:tcPr>
          <w:p>
            <w:pPr>
              <w:adjustRightInd w:val="0"/>
              <w:snapToGrid w:val="0"/>
              <w:spacing w:line="400" w:lineRule="exact"/>
              <w:jc w:val="center"/>
              <w:rPr>
                <w:rFonts w:cs="宋体"/>
                <w:spacing w:val="20"/>
                <w:sz w:val="24"/>
              </w:rPr>
            </w:pPr>
          </w:p>
        </w:tc>
        <w:tc>
          <w:tcPr>
            <w:tcW w:w="1970" w:type="dxa"/>
            <w:vAlign w:val="center"/>
          </w:tcPr>
          <w:p>
            <w:pPr>
              <w:adjustRightInd w:val="0"/>
              <w:snapToGrid w:val="0"/>
              <w:spacing w:line="400" w:lineRule="exact"/>
              <w:jc w:val="center"/>
              <w:rPr>
                <w:rFonts w:cs="宋体"/>
                <w:spacing w:val="20"/>
                <w:sz w:val="24"/>
              </w:rPr>
            </w:pPr>
          </w:p>
        </w:tc>
        <w:tc>
          <w:tcPr>
            <w:tcW w:w="2604" w:type="dxa"/>
            <w:vAlign w:val="center"/>
          </w:tcPr>
          <w:p>
            <w:pPr>
              <w:adjustRightInd w:val="0"/>
              <w:snapToGrid w:val="0"/>
              <w:spacing w:line="400" w:lineRule="exact"/>
              <w:jc w:val="center"/>
              <w:rPr>
                <w:rFonts w:cs="宋体"/>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400" w:lineRule="exact"/>
              <w:jc w:val="center"/>
              <w:rPr>
                <w:rFonts w:cs="宋体"/>
                <w:spacing w:val="20"/>
                <w:sz w:val="24"/>
              </w:rPr>
            </w:pPr>
            <w:r>
              <w:rPr>
                <w:rFonts w:hint="eastAsia" w:cs="宋体"/>
                <w:spacing w:val="20"/>
                <w:sz w:val="24"/>
              </w:rPr>
              <w:t>…</w:t>
            </w:r>
          </w:p>
        </w:tc>
        <w:tc>
          <w:tcPr>
            <w:tcW w:w="1653" w:type="dxa"/>
            <w:vAlign w:val="center"/>
          </w:tcPr>
          <w:p>
            <w:pPr>
              <w:adjustRightInd w:val="0"/>
              <w:snapToGrid w:val="0"/>
              <w:spacing w:line="400" w:lineRule="exact"/>
              <w:jc w:val="center"/>
              <w:rPr>
                <w:rFonts w:cs="宋体"/>
                <w:spacing w:val="20"/>
                <w:sz w:val="24"/>
              </w:rPr>
            </w:pPr>
          </w:p>
        </w:tc>
        <w:tc>
          <w:tcPr>
            <w:tcW w:w="1725" w:type="dxa"/>
            <w:vAlign w:val="center"/>
          </w:tcPr>
          <w:p>
            <w:pPr>
              <w:adjustRightInd w:val="0"/>
              <w:snapToGrid w:val="0"/>
              <w:spacing w:line="400" w:lineRule="exact"/>
              <w:jc w:val="center"/>
              <w:rPr>
                <w:rFonts w:cs="宋体"/>
                <w:spacing w:val="20"/>
                <w:sz w:val="24"/>
              </w:rPr>
            </w:pPr>
          </w:p>
        </w:tc>
        <w:tc>
          <w:tcPr>
            <w:tcW w:w="1970" w:type="dxa"/>
            <w:vAlign w:val="center"/>
          </w:tcPr>
          <w:p>
            <w:pPr>
              <w:adjustRightInd w:val="0"/>
              <w:snapToGrid w:val="0"/>
              <w:spacing w:line="400" w:lineRule="exact"/>
              <w:jc w:val="center"/>
              <w:rPr>
                <w:rFonts w:cs="宋体"/>
                <w:spacing w:val="20"/>
                <w:sz w:val="24"/>
              </w:rPr>
            </w:pPr>
          </w:p>
        </w:tc>
        <w:tc>
          <w:tcPr>
            <w:tcW w:w="2604" w:type="dxa"/>
            <w:vAlign w:val="center"/>
          </w:tcPr>
          <w:p>
            <w:pPr>
              <w:adjustRightInd w:val="0"/>
              <w:snapToGrid w:val="0"/>
              <w:spacing w:line="400" w:lineRule="exact"/>
              <w:jc w:val="center"/>
              <w:rPr>
                <w:rFonts w:cs="宋体"/>
                <w:spacing w:val="20"/>
                <w:sz w:val="24"/>
              </w:rPr>
            </w:pPr>
          </w:p>
        </w:tc>
      </w:tr>
    </w:tbl>
    <w:p>
      <w:pPr>
        <w:adjustRightInd w:val="0"/>
        <w:snapToGrid w:val="0"/>
        <w:spacing w:line="500" w:lineRule="exact"/>
        <w:ind w:firstLine="250" w:firstLineChars="100"/>
        <w:rPr>
          <w:rFonts w:cs="宋体"/>
          <w:sz w:val="21"/>
          <w:szCs w:val="21"/>
        </w:rPr>
      </w:pPr>
      <w:r>
        <w:rPr>
          <w:rFonts w:hint="eastAsia" w:cs="宋体"/>
          <w:spacing w:val="20"/>
          <w:sz w:val="21"/>
          <w:szCs w:val="21"/>
        </w:rPr>
        <w:t>注：必须与相应标项的所有技术规格相比较填列。</w:t>
      </w:r>
    </w:p>
    <w:p>
      <w:pPr>
        <w:adjustRightInd w:val="0"/>
        <w:snapToGrid w:val="0"/>
        <w:rPr>
          <w:rFonts w:cs="宋体"/>
          <w:spacing w:val="20"/>
        </w:rPr>
      </w:pPr>
    </w:p>
    <w:p>
      <w:pPr>
        <w:adjustRightInd w:val="0"/>
        <w:snapToGrid w:val="0"/>
        <w:rPr>
          <w:rFonts w:cs="宋体"/>
          <w:spacing w:val="20"/>
        </w:rPr>
      </w:pPr>
    </w:p>
    <w:p>
      <w:pPr>
        <w:adjustRightInd w:val="0"/>
        <w:snapToGrid w:val="0"/>
        <w:rPr>
          <w:rFonts w:cs="宋体"/>
          <w:spacing w:val="20"/>
        </w:rPr>
      </w:pPr>
    </w:p>
    <w:p>
      <w:pPr>
        <w:adjustRightInd w:val="0"/>
        <w:snapToGrid w:val="0"/>
        <w:rPr>
          <w:rFonts w:cs="宋体"/>
          <w:spacing w:val="20"/>
        </w:rPr>
      </w:pPr>
    </w:p>
    <w:tbl>
      <w:tblPr>
        <w:tblStyle w:val="29"/>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pStyle w:val="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宋体"/>
          <w:b/>
          <w:sz w:val="24"/>
          <w:szCs w:val="20"/>
        </w:rPr>
      </w:pPr>
      <w:r>
        <w:rPr>
          <w:rFonts w:hint="eastAsia" w:cs="宋体"/>
          <w:sz w:val="24"/>
        </w:rPr>
        <w:br w:type="page"/>
      </w:r>
      <w:r>
        <w:rPr>
          <w:rFonts w:hint="eastAsia" w:cs="宋体"/>
          <w:b/>
          <w:sz w:val="24"/>
          <w:szCs w:val="20"/>
        </w:rPr>
        <w:t>19.核心设备技术参数彩页（中文说明书）、官方介绍网址</w:t>
      </w:r>
    </w:p>
    <w:p>
      <w:pPr>
        <w:ind w:firstLine="280" w:firstLineChars="100"/>
        <w:rPr>
          <w:rFonts w:cs="宋体"/>
          <w:b/>
          <w:szCs w:val="28"/>
        </w:rPr>
      </w:pPr>
      <w:r>
        <w:rPr>
          <w:rFonts w:hint="eastAsia" w:cs="宋体"/>
          <w:spacing w:val="20"/>
          <w:sz w:val="24"/>
        </w:rPr>
        <w:t>……</w:t>
      </w:r>
    </w:p>
    <w:p>
      <w:pPr>
        <w:rPr>
          <w:rFonts w:cs="宋体"/>
          <w:b/>
          <w:sz w:val="24"/>
          <w:szCs w:val="20"/>
        </w:rPr>
      </w:pPr>
    </w:p>
    <w:p>
      <w:pPr>
        <w:rPr>
          <w:rFonts w:cs="宋体"/>
          <w:b/>
          <w:sz w:val="24"/>
          <w:szCs w:val="20"/>
        </w:rPr>
      </w:pPr>
    </w:p>
    <w:p>
      <w:pPr>
        <w:rPr>
          <w:rFonts w:cs="宋体"/>
          <w:b/>
          <w:sz w:val="24"/>
          <w:szCs w:val="20"/>
        </w:rPr>
      </w:pPr>
      <w:r>
        <w:rPr>
          <w:rFonts w:hint="eastAsia" w:cs="宋体"/>
          <w:b/>
          <w:sz w:val="24"/>
          <w:szCs w:val="20"/>
        </w:rPr>
        <w:t>20.投标人自评表</w:t>
      </w:r>
    </w:p>
    <w:p>
      <w:pPr>
        <w:snapToGrid w:val="0"/>
        <w:spacing w:before="50"/>
        <w:jc w:val="center"/>
        <w:rPr>
          <w:rFonts w:cs="宋体"/>
          <w:bCs/>
          <w:sz w:val="44"/>
          <w:szCs w:val="44"/>
        </w:rPr>
      </w:pPr>
    </w:p>
    <w:p>
      <w:pPr>
        <w:snapToGrid w:val="0"/>
        <w:spacing w:before="50"/>
        <w:jc w:val="center"/>
        <w:rPr>
          <w:rFonts w:cs="宋体"/>
          <w:b/>
          <w:bCs/>
          <w:sz w:val="36"/>
          <w:szCs w:val="36"/>
        </w:rPr>
      </w:pPr>
      <w:r>
        <w:rPr>
          <w:rFonts w:hint="eastAsia" w:cs="宋体"/>
          <w:b/>
          <w:bCs/>
          <w:sz w:val="36"/>
          <w:szCs w:val="36"/>
        </w:rPr>
        <w:t>商务技术自评表</w:t>
      </w:r>
    </w:p>
    <w:p>
      <w:pPr>
        <w:snapToGrid w:val="0"/>
        <w:spacing w:before="50"/>
        <w:jc w:val="center"/>
        <w:rPr>
          <w:rFonts w:cs="宋体"/>
          <w:bCs/>
          <w:sz w:val="36"/>
          <w:szCs w:val="36"/>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819"/>
        <w:gridCol w:w="709"/>
        <w:gridCol w:w="992"/>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napToGrid w:val="0"/>
              <w:spacing w:before="50"/>
              <w:jc w:val="center"/>
              <w:rPr>
                <w:rFonts w:cs="宋体"/>
                <w:sz w:val="24"/>
                <w:szCs w:val="20"/>
              </w:rPr>
            </w:pPr>
            <w:r>
              <w:rPr>
                <w:rFonts w:hint="eastAsia" w:cs="宋体"/>
                <w:sz w:val="24"/>
                <w:szCs w:val="20"/>
              </w:rPr>
              <w:t>项目</w:t>
            </w:r>
          </w:p>
        </w:tc>
        <w:tc>
          <w:tcPr>
            <w:tcW w:w="4819" w:type="dxa"/>
            <w:vAlign w:val="center"/>
          </w:tcPr>
          <w:p>
            <w:pPr>
              <w:snapToGrid w:val="0"/>
              <w:spacing w:before="50"/>
              <w:jc w:val="center"/>
              <w:rPr>
                <w:rFonts w:cs="宋体"/>
                <w:sz w:val="24"/>
                <w:szCs w:val="20"/>
              </w:rPr>
            </w:pPr>
            <w:r>
              <w:rPr>
                <w:rFonts w:hint="eastAsia" w:cs="宋体"/>
                <w:sz w:val="24"/>
                <w:szCs w:val="20"/>
              </w:rPr>
              <w:t>投标文件指标体系</w:t>
            </w:r>
          </w:p>
        </w:tc>
        <w:tc>
          <w:tcPr>
            <w:tcW w:w="709" w:type="dxa"/>
            <w:vAlign w:val="center"/>
          </w:tcPr>
          <w:p>
            <w:pPr>
              <w:snapToGrid w:val="0"/>
              <w:spacing w:before="50"/>
              <w:jc w:val="center"/>
              <w:rPr>
                <w:rFonts w:cs="宋体"/>
                <w:sz w:val="24"/>
                <w:szCs w:val="20"/>
              </w:rPr>
            </w:pPr>
            <w:r>
              <w:rPr>
                <w:rFonts w:hint="eastAsia" w:cs="宋体"/>
                <w:sz w:val="24"/>
                <w:szCs w:val="20"/>
              </w:rPr>
              <w:t>分值</w:t>
            </w:r>
          </w:p>
        </w:tc>
        <w:tc>
          <w:tcPr>
            <w:tcW w:w="992" w:type="dxa"/>
            <w:vAlign w:val="center"/>
          </w:tcPr>
          <w:p>
            <w:pPr>
              <w:snapToGrid w:val="0"/>
              <w:spacing w:before="50"/>
              <w:jc w:val="center"/>
              <w:rPr>
                <w:rFonts w:cs="宋体"/>
                <w:sz w:val="24"/>
                <w:szCs w:val="20"/>
              </w:rPr>
            </w:pPr>
            <w:r>
              <w:rPr>
                <w:rFonts w:hint="eastAsia" w:cs="宋体"/>
                <w:sz w:val="24"/>
                <w:szCs w:val="20"/>
              </w:rPr>
              <w:t>自评分</w:t>
            </w:r>
          </w:p>
        </w:tc>
        <w:tc>
          <w:tcPr>
            <w:tcW w:w="1049" w:type="dxa"/>
            <w:vAlign w:val="center"/>
          </w:tcPr>
          <w:p>
            <w:pPr>
              <w:snapToGrid w:val="0"/>
              <w:spacing w:before="50"/>
              <w:jc w:val="center"/>
              <w:rPr>
                <w:rFonts w:cs="宋体"/>
                <w:sz w:val="24"/>
                <w:szCs w:val="20"/>
              </w:rPr>
            </w:pPr>
            <w:r>
              <w:rPr>
                <w:rFonts w:hint="eastAsia" w:cs="宋体"/>
                <w:sz w:val="24"/>
                <w:szCs w:val="20"/>
              </w:rPr>
              <w:t>佐证材料所在页码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cs="宋体"/>
                <w:sz w:val="24"/>
                <w:szCs w:val="20"/>
              </w:rPr>
            </w:pPr>
            <w:r>
              <w:rPr>
                <w:rFonts w:hint="eastAsia" w:cs="宋体"/>
                <w:sz w:val="24"/>
                <w:szCs w:val="20"/>
              </w:rPr>
              <w:t>1</w:t>
            </w:r>
          </w:p>
        </w:tc>
        <w:tc>
          <w:tcPr>
            <w:tcW w:w="4819" w:type="dxa"/>
            <w:vAlign w:val="center"/>
          </w:tcPr>
          <w:p>
            <w:pPr>
              <w:snapToGrid w:val="0"/>
              <w:spacing w:before="50"/>
              <w:jc w:val="center"/>
              <w:rPr>
                <w:rFonts w:cs="宋体"/>
                <w:sz w:val="24"/>
                <w:szCs w:val="20"/>
              </w:rPr>
            </w:pPr>
            <w:r>
              <w:rPr>
                <w:rFonts w:hint="eastAsia" w:cs="宋体"/>
                <w:sz w:val="24"/>
                <w:szCs w:val="20"/>
              </w:rPr>
              <w:t>(评标细则内容一一对应)</w:t>
            </w:r>
          </w:p>
        </w:tc>
        <w:tc>
          <w:tcPr>
            <w:tcW w:w="709" w:type="dxa"/>
            <w:vAlign w:val="center"/>
          </w:tcPr>
          <w:p>
            <w:pPr>
              <w:snapToGrid w:val="0"/>
              <w:spacing w:before="50"/>
              <w:jc w:val="center"/>
              <w:rPr>
                <w:rFonts w:cs="宋体"/>
                <w:sz w:val="24"/>
                <w:szCs w:val="20"/>
              </w:rPr>
            </w:pPr>
          </w:p>
        </w:tc>
        <w:tc>
          <w:tcPr>
            <w:tcW w:w="992" w:type="dxa"/>
            <w:vAlign w:val="center"/>
          </w:tcPr>
          <w:p>
            <w:pPr>
              <w:snapToGrid w:val="0"/>
              <w:spacing w:before="50"/>
              <w:jc w:val="center"/>
              <w:rPr>
                <w:rFonts w:cs="宋体"/>
                <w:sz w:val="24"/>
                <w:szCs w:val="20"/>
              </w:rPr>
            </w:pPr>
          </w:p>
        </w:tc>
        <w:tc>
          <w:tcPr>
            <w:tcW w:w="1049" w:type="dxa"/>
            <w:vAlign w:val="center"/>
          </w:tcPr>
          <w:p>
            <w:pPr>
              <w:snapToGrid w:val="0"/>
              <w:spacing w:before="50"/>
              <w:jc w:val="center"/>
              <w:rPr>
                <w:rFonts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cs="宋体"/>
                <w:sz w:val="24"/>
                <w:szCs w:val="20"/>
              </w:rPr>
            </w:pPr>
          </w:p>
        </w:tc>
        <w:tc>
          <w:tcPr>
            <w:tcW w:w="4819" w:type="dxa"/>
            <w:vAlign w:val="center"/>
          </w:tcPr>
          <w:p>
            <w:pPr>
              <w:snapToGrid w:val="0"/>
              <w:spacing w:before="50"/>
              <w:jc w:val="center"/>
              <w:rPr>
                <w:rFonts w:cs="宋体"/>
                <w:sz w:val="24"/>
                <w:szCs w:val="20"/>
              </w:rPr>
            </w:pPr>
          </w:p>
        </w:tc>
        <w:tc>
          <w:tcPr>
            <w:tcW w:w="709" w:type="dxa"/>
            <w:vAlign w:val="center"/>
          </w:tcPr>
          <w:p>
            <w:pPr>
              <w:snapToGrid w:val="0"/>
              <w:spacing w:before="50"/>
              <w:jc w:val="center"/>
              <w:rPr>
                <w:rFonts w:cs="宋体"/>
                <w:sz w:val="24"/>
                <w:szCs w:val="20"/>
              </w:rPr>
            </w:pPr>
          </w:p>
        </w:tc>
        <w:tc>
          <w:tcPr>
            <w:tcW w:w="992" w:type="dxa"/>
            <w:vAlign w:val="center"/>
          </w:tcPr>
          <w:p>
            <w:pPr>
              <w:snapToGrid w:val="0"/>
              <w:spacing w:before="50"/>
              <w:jc w:val="center"/>
              <w:rPr>
                <w:rFonts w:cs="宋体"/>
                <w:sz w:val="24"/>
                <w:szCs w:val="20"/>
              </w:rPr>
            </w:pPr>
          </w:p>
        </w:tc>
        <w:tc>
          <w:tcPr>
            <w:tcW w:w="1049" w:type="dxa"/>
            <w:vAlign w:val="center"/>
          </w:tcPr>
          <w:p>
            <w:pPr>
              <w:snapToGrid w:val="0"/>
              <w:spacing w:before="50"/>
              <w:jc w:val="center"/>
              <w:rPr>
                <w:rFonts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cs="宋体"/>
                <w:sz w:val="24"/>
                <w:szCs w:val="20"/>
              </w:rPr>
            </w:pPr>
          </w:p>
        </w:tc>
        <w:tc>
          <w:tcPr>
            <w:tcW w:w="4819" w:type="dxa"/>
            <w:vAlign w:val="center"/>
          </w:tcPr>
          <w:p>
            <w:pPr>
              <w:snapToGrid w:val="0"/>
              <w:spacing w:before="50"/>
              <w:jc w:val="center"/>
              <w:rPr>
                <w:rFonts w:cs="宋体"/>
                <w:sz w:val="24"/>
                <w:szCs w:val="20"/>
              </w:rPr>
            </w:pPr>
          </w:p>
        </w:tc>
        <w:tc>
          <w:tcPr>
            <w:tcW w:w="709" w:type="dxa"/>
            <w:vAlign w:val="center"/>
          </w:tcPr>
          <w:p>
            <w:pPr>
              <w:snapToGrid w:val="0"/>
              <w:spacing w:before="50"/>
              <w:jc w:val="center"/>
              <w:rPr>
                <w:rFonts w:cs="宋体"/>
                <w:sz w:val="24"/>
                <w:szCs w:val="20"/>
              </w:rPr>
            </w:pPr>
          </w:p>
        </w:tc>
        <w:tc>
          <w:tcPr>
            <w:tcW w:w="992" w:type="dxa"/>
            <w:vAlign w:val="center"/>
          </w:tcPr>
          <w:p>
            <w:pPr>
              <w:snapToGrid w:val="0"/>
              <w:spacing w:before="50"/>
              <w:jc w:val="center"/>
              <w:rPr>
                <w:rFonts w:cs="宋体"/>
                <w:sz w:val="24"/>
                <w:szCs w:val="20"/>
              </w:rPr>
            </w:pPr>
          </w:p>
        </w:tc>
        <w:tc>
          <w:tcPr>
            <w:tcW w:w="1049" w:type="dxa"/>
            <w:vAlign w:val="center"/>
          </w:tcPr>
          <w:p>
            <w:pPr>
              <w:snapToGrid w:val="0"/>
              <w:spacing w:before="50"/>
              <w:jc w:val="center"/>
              <w:rPr>
                <w:rFonts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cs="宋体"/>
                <w:sz w:val="24"/>
                <w:szCs w:val="20"/>
              </w:rPr>
            </w:pPr>
          </w:p>
        </w:tc>
        <w:tc>
          <w:tcPr>
            <w:tcW w:w="4819" w:type="dxa"/>
            <w:vAlign w:val="center"/>
          </w:tcPr>
          <w:p>
            <w:pPr>
              <w:snapToGrid w:val="0"/>
              <w:spacing w:before="50"/>
              <w:jc w:val="center"/>
              <w:rPr>
                <w:rFonts w:cs="宋体"/>
                <w:sz w:val="24"/>
                <w:szCs w:val="20"/>
              </w:rPr>
            </w:pPr>
          </w:p>
        </w:tc>
        <w:tc>
          <w:tcPr>
            <w:tcW w:w="709" w:type="dxa"/>
            <w:vAlign w:val="center"/>
          </w:tcPr>
          <w:p>
            <w:pPr>
              <w:snapToGrid w:val="0"/>
              <w:spacing w:before="50"/>
              <w:jc w:val="center"/>
              <w:rPr>
                <w:rFonts w:cs="宋体"/>
                <w:sz w:val="24"/>
                <w:szCs w:val="20"/>
              </w:rPr>
            </w:pPr>
          </w:p>
        </w:tc>
        <w:tc>
          <w:tcPr>
            <w:tcW w:w="992" w:type="dxa"/>
            <w:vAlign w:val="center"/>
          </w:tcPr>
          <w:p>
            <w:pPr>
              <w:snapToGrid w:val="0"/>
              <w:spacing w:before="50"/>
              <w:jc w:val="center"/>
              <w:rPr>
                <w:rFonts w:cs="宋体"/>
                <w:sz w:val="24"/>
                <w:szCs w:val="20"/>
              </w:rPr>
            </w:pPr>
          </w:p>
        </w:tc>
        <w:tc>
          <w:tcPr>
            <w:tcW w:w="1049" w:type="dxa"/>
            <w:vAlign w:val="center"/>
          </w:tcPr>
          <w:p>
            <w:pPr>
              <w:snapToGrid w:val="0"/>
              <w:spacing w:before="50"/>
              <w:jc w:val="center"/>
              <w:rPr>
                <w:rFonts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cs="宋体"/>
                <w:sz w:val="24"/>
                <w:szCs w:val="20"/>
              </w:rPr>
            </w:pPr>
          </w:p>
        </w:tc>
        <w:tc>
          <w:tcPr>
            <w:tcW w:w="4819" w:type="dxa"/>
            <w:vAlign w:val="center"/>
          </w:tcPr>
          <w:p>
            <w:pPr>
              <w:snapToGrid w:val="0"/>
              <w:spacing w:before="50"/>
              <w:jc w:val="center"/>
              <w:rPr>
                <w:rFonts w:cs="宋体"/>
                <w:sz w:val="24"/>
                <w:szCs w:val="20"/>
              </w:rPr>
            </w:pPr>
          </w:p>
        </w:tc>
        <w:tc>
          <w:tcPr>
            <w:tcW w:w="709" w:type="dxa"/>
            <w:vAlign w:val="center"/>
          </w:tcPr>
          <w:p>
            <w:pPr>
              <w:snapToGrid w:val="0"/>
              <w:spacing w:before="50"/>
              <w:jc w:val="center"/>
              <w:rPr>
                <w:rFonts w:cs="宋体"/>
                <w:sz w:val="24"/>
                <w:szCs w:val="20"/>
              </w:rPr>
            </w:pPr>
          </w:p>
        </w:tc>
        <w:tc>
          <w:tcPr>
            <w:tcW w:w="992" w:type="dxa"/>
            <w:vAlign w:val="center"/>
          </w:tcPr>
          <w:p>
            <w:pPr>
              <w:snapToGrid w:val="0"/>
              <w:spacing w:before="50"/>
              <w:jc w:val="center"/>
              <w:rPr>
                <w:rFonts w:cs="宋体"/>
                <w:sz w:val="24"/>
                <w:szCs w:val="20"/>
              </w:rPr>
            </w:pPr>
          </w:p>
        </w:tc>
        <w:tc>
          <w:tcPr>
            <w:tcW w:w="1049" w:type="dxa"/>
            <w:vAlign w:val="center"/>
          </w:tcPr>
          <w:p>
            <w:pPr>
              <w:snapToGrid w:val="0"/>
              <w:spacing w:before="50"/>
              <w:jc w:val="center"/>
              <w:rPr>
                <w:rFonts w:cs="宋体"/>
                <w:sz w:val="24"/>
                <w:szCs w:val="20"/>
              </w:rPr>
            </w:pPr>
          </w:p>
        </w:tc>
      </w:tr>
    </w:tbl>
    <w:p>
      <w:pPr>
        <w:snapToGrid w:val="0"/>
        <w:spacing w:before="50"/>
        <w:jc w:val="left"/>
        <w:rPr>
          <w:rFonts w:cs="宋体"/>
          <w:sz w:val="21"/>
          <w:szCs w:val="21"/>
        </w:rPr>
      </w:pPr>
      <w:r>
        <w:rPr>
          <w:rFonts w:hint="eastAsia" w:cs="宋体"/>
          <w:sz w:val="21"/>
          <w:szCs w:val="21"/>
        </w:rPr>
        <w:t>注：投标根据本招标文件第四章中的“商务技术文件评分标准”逐项进行自评打分。</w:t>
      </w:r>
    </w:p>
    <w:p>
      <w:pPr>
        <w:snapToGrid w:val="0"/>
        <w:spacing w:before="50" w:after="50"/>
        <w:rPr>
          <w:rFonts w:cs="宋体"/>
          <w:b/>
          <w:bCs/>
          <w:sz w:val="24"/>
        </w:rPr>
      </w:pPr>
    </w:p>
    <w:p>
      <w:pPr>
        <w:snapToGrid w:val="0"/>
        <w:spacing w:before="50" w:after="50"/>
        <w:rPr>
          <w:rFonts w:cs="宋体"/>
          <w:b/>
          <w:bCs/>
          <w:sz w:val="24"/>
        </w:rPr>
      </w:pPr>
    </w:p>
    <w:p>
      <w:pPr>
        <w:snapToGrid w:val="0"/>
        <w:spacing w:before="50" w:after="50"/>
        <w:rPr>
          <w:rFonts w:cs="宋体"/>
          <w:b/>
          <w:bCs/>
          <w:sz w:val="24"/>
        </w:rPr>
      </w:pPr>
    </w:p>
    <w:p>
      <w:pPr>
        <w:snapToGrid w:val="0"/>
        <w:spacing w:before="50" w:after="50"/>
        <w:rPr>
          <w:rFonts w:cs="宋体"/>
          <w:b/>
          <w:bCs/>
          <w:sz w:val="24"/>
        </w:rPr>
      </w:pPr>
      <w:r>
        <w:rPr>
          <w:rFonts w:hint="eastAsia" w:cs="宋体"/>
          <w:b/>
          <w:bCs/>
          <w:sz w:val="24"/>
        </w:rPr>
        <w:t>21.投标报价文件目录：</w:t>
      </w:r>
    </w:p>
    <w:p>
      <w:pPr>
        <w:snapToGrid w:val="0"/>
        <w:spacing w:line="460" w:lineRule="exact"/>
        <w:ind w:firstLine="480" w:firstLineChars="200"/>
        <w:jc w:val="left"/>
        <w:rPr>
          <w:rFonts w:cs="宋体"/>
          <w:sz w:val="24"/>
        </w:rPr>
      </w:pPr>
      <w:r>
        <w:rPr>
          <w:rFonts w:hint="eastAsia" w:cs="宋体"/>
          <w:sz w:val="24"/>
        </w:rPr>
        <w:t>（1）开标一览表</w:t>
      </w:r>
    </w:p>
    <w:p>
      <w:pPr>
        <w:snapToGrid w:val="0"/>
        <w:spacing w:line="460" w:lineRule="exact"/>
        <w:ind w:firstLine="480" w:firstLineChars="200"/>
        <w:jc w:val="left"/>
        <w:rPr>
          <w:rFonts w:cs="宋体"/>
          <w:sz w:val="24"/>
        </w:rPr>
      </w:pPr>
      <w:r>
        <w:rPr>
          <w:rFonts w:hint="eastAsia" w:cs="宋体"/>
          <w:sz w:val="24"/>
        </w:rPr>
        <w:t>（2）投标报价明细表</w:t>
      </w:r>
    </w:p>
    <w:p>
      <w:pPr>
        <w:snapToGrid w:val="0"/>
        <w:spacing w:line="460" w:lineRule="exact"/>
        <w:ind w:firstLine="480" w:firstLineChars="200"/>
        <w:jc w:val="left"/>
        <w:rPr>
          <w:rFonts w:cs="宋体"/>
          <w:sz w:val="24"/>
        </w:rPr>
      </w:pPr>
      <w:r>
        <w:rPr>
          <w:rFonts w:hint="eastAsia" w:cs="宋体"/>
          <w:sz w:val="24"/>
        </w:rPr>
        <w:t>（3）针对报价需要说明的其他材料（若有）</w:t>
      </w:r>
    </w:p>
    <w:p>
      <w:pPr>
        <w:snapToGrid w:val="0"/>
        <w:spacing w:line="460" w:lineRule="exact"/>
        <w:jc w:val="left"/>
        <w:rPr>
          <w:rFonts w:cs="宋体"/>
          <w:b/>
          <w:sz w:val="24"/>
        </w:rPr>
      </w:pPr>
      <w:r>
        <w:rPr>
          <w:rFonts w:hint="eastAsia" w:cs="宋体"/>
          <w:b/>
          <w:sz w:val="24"/>
        </w:rPr>
        <w:br w:type="page"/>
      </w:r>
      <w:r>
        <w:rPr>
          <w:rFonts w:hint="eastAsia" w:cs="宋体"/>
          <w:b/>
          <w:sz w:val="24"/>
        </w:rPr>
        <w:t>22.开标一览表格式：</w:t>
      </w:r>
    </w:p>
    <w:p>
      <w:pPr>
        <w:snapToGrid w:val="0"/>
        <w:spacing w:before="50" w:after="50"/>
        <w:rPr>
          <w:rFonts w:cs="宋体"/>
          <w:b/>
          <w:sz w:val="24"/>
          <w:szCs w:val="20"/>
        </w:rPr>
      </w:pPr>
    </w:p>
    <w:p>
      <w:pPr>
        <w:snapToGrid w:val="0"/>
        <w:spacing w:before="50" w:after="50"/>
        <w:jc w:val="center"/>
        <w:rPr>
          <w:rFonts w:cs="宋体"/>
          <w:b/>
          <w:sz w:val="36"/>
          <w:szCs w:val="36"/>
        </w:rPr>
      </w:pPr>
      <w:r>
        <w:rPr>
          <w:rFonts w:hint="eastAsia" w:cs="宋体"/>
          <w:b/>
          <w:sz w:val="36"/>
          <w:szCs w:val="36"/>
        </w:rPr>
        <w:t>开标一览表</w:t>
      </w:r>
    </w:p>
    <w:p>
      <w:pPr>
        <w:snapToGrid w:val="0"/>
        <w:spacing w:before="50" w:after="50"/>
        <w:jc w:val="center"/>
        <w:rPr>
          <w:rFonts w:cs="宋体"/>
          <w:b/>
          <w:sz w:val="36"/>
          <w:szCs w:val="36"/>
        </w:rPr>
      </w:pPr>
    </w:p>
    <w:p>
      <w:pPr>
        <w:snapToGrid w:val="0"/>
        <w:spacing w:before="50" w:after="50"/>
        <w:ind w:firstLine="840" w:firstLineChars="350"/>
        <w:rPr>
          <w:rFonts w:cs="宋体"/>
          <w:sz w:val="24"/>
          <w:u w:val="single"/>
        </w:rPr>
      </w:pPr>
      <w:r>
        <w:rPr>
          <w:rFonts w:hint="eastAsia" w:cs="宋体"/>
          <w:sz w:val="24"/>
        </w:rPr>
        <w:t>招标编号：</w:t>
      </w:r>
      <w:r>
        <w:rPr>
          <w:rFonts w:hint="eastAsia" w:cs="宋体"/>
          <w:sz w:val="24"/>
          <w:u w:val="single"/>
        </w:rPr>
        <w:t xml:space="preserve">                </w:t>
      </w:r>
      <w:r>
        <w:rPr>
          <w:rFonts w:hint="eastAsia" w:cs="宋体"/>
          <w:sz w:val="24"/>
        </w:rPr>
        <w:t xml:space="preserve">      标    项：</w:t>
      </w:r>
      <w:r>
        <w:rPr>
          <w:rFonts w:hint="eastAsia" w:cs="宋体"/>
          <w:sz w:val="24"/>
          <w:u w:val="single"/>
        </w:rPr>
        <w:t xml:space="preserve">                  </w:t>
      </w:r>
    </w:p>
    <w:p>
      <w:pPr>
        <w:snapToGrid w:val="0"/>
        <w:spacing w:before="50" w:after="50"/>
        <w:rPr>
          <w:rFonts w:cs="宋体"/>
          <w:sz w:val="24"/>
        </w:rPr>
      </w:pPr>
      <w:r>
        <w:rPr>
          <w:rFonts w:hint="eastAsia" w:cs="宋体"/>
          <w:sz w:val="24"/>
        </w:rPr>
        <w:t xml:space="preserve">                        </w:t>
      </w:r>
    </w:p>
    <w:p>
      <w:pPr>
        <w:snapToGrid w:val="0"/>
        <w:spacing w:before="50" w:after="50"/>
        <w:rPr>
          <w:rFonts w:cs="宋体"/>
          <w:sz w:val="24"/>
        </w:rPr>
      </w:pP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99"/>
        <w:gridCol w:w="26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1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项目名称</w:t>
            </w:r>
          </w:p>
        </w:tc>
        <w:tc>
          <w:tcPr>
            <w:tcW w:w="266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61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cs="宋体"/>
                <w:sz w:val="24"/>
              </w:rPr>
            </w:pPr>
          </w:p>
        </w:tc>
        <w:tc>
          <w:tcPr>
            <w:tcW w:w="266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861"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cs="宋体"/>
                <w:sz w:val="24"/>
                <w:u w:val="single"/>
              </w:rPr>
            </w:pPr>
            <w:r>
              <w:rPr>
                <w:rFonts w:hint="eastAsia" w:cs="宋体"/>
                <w:sz w:val="24"/>
              </w:rPr>
              <w:t>合计金额大写：                                   小写：￥</w:t>
            </w:r>
            <w:r>
              <w:rPr>
                <w:rFonts w:hint="eastAsia" w:cs="宋体"/>
                <w:sz w:val="24"/>
                <w:u w:val="single"/>
              </w:rPr>
              <w:t xml:space="preserve">              </w:t>
            </w:r>
          </w:p>
        </w:tc>
      </w:tr>
    </w:tbl>
    <w:p>
      <w:pPr>
        <w:snapToGrid w:val="0"/>
        <w:spacing w:line="360" w:lineRule="exact"/>
        <w:jc w:val="left"/>
        <w:rPr>
          <w:rFonts w:cs="宋体"/>
          <w:sz w:val="21"/>
          <w:szCs w:val="21"/>
        </w:rPr>
      </w:pPr>
      <w:r>
        <w:rPr>
          <w:rFonts w:hint="eastAsia" w:cs="宋体"/>
          <w:sz w:val="21"/>
          <w:szCs w:val="21"/>
        </w:rPr>
        <w:t xml:space="preserve">注: </w:t>
      </w:r>
    </w:p>
    <w:p>
      <w:pPr>
        <w:snapToGrid w:val="0"/>
        <w:spacing w:line="360" w:lineRule="exact"/>
        <w:ind w:firstLine="420" w:firstLineChars="200"/>
        <w:jc w:val="left"/>
        <w:rPr>
          <w:rFonts w:cs="宋体"/>
          <w:sz w:val="21"/>
          <w:szCs w:val="21"/>
        </w:rPr>
      </w:pPr>
      <w:r>
        <w:rPr>
          <w:rFonts w:hint="eastAsia" w:cs="宋体"/>
          <w:sz w:val="21"/>
          <w:szCs w:val="21"/>
        </w:rPr>
        <w:t>1.报价一经涂改，应在涂改处加盖单位公章或者由法定代表人或授权委托人签字或盖章，否则其投标作无效标处理。</w:t>
      </w:r>
    </w:p>
    <w:p>
      <w:pPr>
        <w:snapToGrid w:val="0"/>
        <w:spacing w:line="360" w:lineRule="exact"/>
        <w:ind w:firstLine="420" w:firstLineChars="200"/>
        <w:jc w:val="left"/>
        <w:rPr>
          <w:rFonts w:cs="宋体"/>
          <w:sz w:val="21"/>
          <w:szCs w:val="21"/>
        </w:rPr>
      </w:pPr>
      <w:r>
        <w:rPr>
          <w:rFonts w:hint="eastAsia" w:cs="宋体"/>
          <w:sz w:val="21"/>
          <w:szCs w:val="21"/>
        </w:rPr>
        <w:t>2.凡需用专用耗材的专用设备类采购项目，应按招标文件规定的耗材量或按耗材的常规试用量提供报价。</w:t>
      </w:r>
    </w:p>
    <w:p>
      <w:pPr>
        <w:snapToGrid w:val="0"/>
        <w:spacing w:line="360" w:lineRule="exact"/>
        <w:ind w:firstLine="420" w:firstLineChars="200"/>
        <w:jc w:val="left"/>
        <w:rPr>
          <w:rFonts w:cs="宋体"/>
          <w:sz w:val="21"/>
          <w:szCs w:val="21"/>
        </w:rPr>
      </w:pPr>
      <w:r>
        <w:rPr>
          <w:rFonts w:hint="eastAsia" w:cs="宋体"/>
          <w:sz w:val="21"/>
          <w:szCs w:val="21"/>
        </w:rPr>
        <w:t>3.投标费用包括项目实施所需的人工费、服务费、运输费、安装调试费、购买及制作标书费、税费及其他一切费用。</w:t>
      </w:r>
    </w:p>
    <w:p>
      <w:pPr>
        <w:snapToGrid w:val="0"/>
        <w:spacing w:line="360" w:lineRule="exact"/>
        <w:ind w:firstLine="420" w:firstLineChars="200"/>
        <w:jc w:val="left"/>
        <w:rPr>
          <w:rFonts w:cs="宋体"/>
          <w:sz w:val="21"/>
          <w:szCs w:val="21"/>
        </w:rPr>
      </w:pPr>
      <w:r>
        <w:rPr>
          <w:rFonts w:hint="eastAsia" w:cs="宋体"/>
          <w:sz w:val="21"/>
          <w:szCs w:val="21"/>
        </w:rPr>
        <w:t>4.以上报价应与“投标设备报价明细表”中的“投标总价”相一致。</w:t>
      </w:r>
    </w:p>
    <w:p>
      <w:pPr>
        <w:spacing w:line="360" w:lineRule="exact"/>
        <w:ind w:firstLine="420" w:firstLineChars="200"/>
        <w:rPr>
          <w:rFonts w:cs="宋体"/>
          <w:sz w:val="21"/>
          <w:szCs w:val="21"/>
        </w:rPr>
      </w:pPr>
      <w:r>
        <w:rPr>
          <w:rFonts w:hint="eastAsia" w:cs="宋体"/>
          <w:sz w:val="21"/>
          <w:szCs w:val="21"/>
        </w:rPr>
        <w:t>5.公开招标实行一次性报价，投标价即为最终有效价（若为进口产品，报价含进口代理费等所有费用，学校进口代理定点单位及代理费用信息见附件）。</w:t>
      </w:r>
    </w:p>
    <w:p>
      <w:pPr>
        <w:snapToGrid w:val="0"/>
        <w:spacing w:before="50" w:after="50"/>
        <w:ind w:firstLine="480" w:firstLineChars="200"/>
        <w:rPr>
          <w:rFonts w:cs="宋体"/>
          <w:sz w:val="24"/>
        </w:rPr>
      </w:pPr>
    </w:p>
    <w:p>
      <w:pPr>
        <w:snapToGrid w:val="0"/>
        <w:spacing w:before="50" w:after="50"/>
        <w:ind w:firstLine="480" w:firstLineChars="200"/>
        <w:rPr>
          <w:rFonts w:cs="宋体"/>
          <w:sz w:val="24"/>
        </w:rPr>
      </w:pPr>
    </w:p>
    <w:p>
      <w:pPr>
        <w:snapToGrid w:val="0"/>
        <w:spacing w:before="50" w:after="50"/>
        <w:ind w:firstLine="480" w:firstLineChars="200"/>
        <w:rPr>
          <w:rFonts w:cs="宋体"/>
          <w:sz w:val="24"/>
          <w:szCs w:val="20"/>
        </w:rPr>
      </w:pPr>
    </w:p>
    <w:tbl>
      <w:tblPr>
        <w:tblStyle w:val="29"/>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snapToGrid w:val="0"/>
        <w:spacing w:before="50" w:after="50"/>
        <w:ind w:left="-53" w:leftChars="-72" w:right="-1089" w:rightChars="-389" w:hanging="149" w:hangingChars="62"/>
        <w:rPr>
          <w:rFonts w:cs="宋体"/>
          <w:b/>
          <w:bCs/>
          <w:sz w:val="24"/>
          <w:szCs w:val="20"/>
        </w:rPr>
      </w:pPr>
    </w:p>
    <w:p>
      <w:pPr>
        <w:snapToGrid w:val="0"/>
        <w:spacing w:before="50" w:after="50"/>
        <w:ind w:left="-54" w:leftChars="-72" w:right="-1089" w:rightChars="-389" w:hanging="148" w:hangingChars="62"/>
        <w:rPr>
          <w:rFonts w:cs="宋体"/>
          <w:sz w:val="24"/>
          <w:szCs w:val="20"/>
        </w:rPr>
      </w:pPr>
    </w:p>
    <w:p>
      <w:pPr>
        <w:snapToGrid w:val="0"/>
        <w:spacing w:before="50" w:after="50"/>
        <w:ind w:left="-54" w:leftChars="-72" w:right="-1089" w:rightChars="-389" w:hanging="148" w:hangingChars="62"/>
        <w:rPr>
          <w:rFonts w:cs="宋体"/>
          <w:sz w:val="24"/>
          <w:szCs w:val="20"/>
        </w:rPr>
      </w:pPr>
    </w:p>
    <w:p>
      <w:pPr>
        <w:snapToGrid w:val="0"/>
        <w:spacing w:before="50" w:after="50"/>
        <w:ind w:right="-1089" w:rightChars="-389"/>
        <w:rPr>
          <w:rFonts w:cs="宋体"/>
        </w:rPr>
      </w:pPr>
      <w:r>
        <w:rPr>
          <w:rFonts w:hint="eastAsia" w:cs="宋体"/>
          <w:sz w:val="24"/>
          <w:szCs w:val="20"/>
        </w:rPr>
        <w:br w:type="page"/>
      </w:r>
      <w:r>
        <w:rPr>
          <w:rFonts w:hint="eastAsia" w:cs="宋体"/>
          <w:b/>
          <w:sz w:val="24"/>
        </w:rPr>
        <w:t>23.投标报价明细表格式</w:t>
      </w:r>
      <w:r>
        <w:rPr>
          <w:rFonts w:hint="eastAsia" w:cs="宋体"/>
          <w:b/>
        </w:rPr>
        <w:t xml:space="preserve">     </w:t>
      </w:r>
      <w:r>
        <w:rPr>
          <w:rFonts w:hint="eastAsia" w:cs="宋体"/>
        </w:rPr>
        <w:t xml:space="preserve">  </w:t>
      </w:r>
    </w:p>
    <w:p>
      <w:pPr>
        <w:snapToGrid w:val="0"/>
        <w:spacing w:before="50" w:after="50"/>
        <w:jc w:val="center"/>
        <w:rPr>
          <w:rFonts w:cs="宋体"/>
          <w:b/>
          <w:sz w:val="36"/>
          <w:szCs w:val="36"/>
        </w:rPr>
      </w:pPr>
      <w:r>
        <w:rPr>
          <w:rFonts w:hint="eastAsia" w:cs="宋体"/>
          <w:b/>
          <w:sz w:val="36"/>
          <w:szCs w:val="36"/>
        </w:rPr>
        <w:t>投标报价明细表</w:t>
      </w:r>
    </w:p>
    <w:p>
      <w:pPr>
        <w:pStyle w:val="15"/>
        <w:snapToGrid w:val="0"/>
        <w:spacing w:before="295" w:beforeLines="0" w:after="295" w:afterLines="0" w:line="240" w:lineRule="auto"/>
        <w:rPr>
          <w:rFonts w:ascii="Times New Roman" w:hAnsi="Times New Roman" w:cs="宋体"/>
          <w:sz w:val="30"/>
        </w:rPr>
      </w:pPr>
      <w:r>
        <w:rPr>
          <w:rFonts w:hint="eastAsia" w:ascii="Times New Roman" w:hAnsi="Times New Roman" w:cs="宋体"/>
        </w:rPr>
        <w:t>招标编号：</w:t>
      </w:r>
      <w:r>
        <w:rPr>
          <w:rFonts w:hint="eastAsia" w:ascii="Times New Roman" w:hAnsi="Times New Roman" w:cs="宋体"/>
          <w:u w:val="single"/>
        </w:rPr>
        <w:t xml:space="preserve">                      </w:t>
      </w:r>
      <w:r>
        <w:rPr>
          <w:rFonts w:hint="eastAsia" w:ascii="Times New Roman" w:hAnsi="Times New Roman" w:cs="宋体"/>
        </w:rPr>
        <w:t>标     项：</w:t>
      </w:r>
      <w:r>
        <w:rPr>
          <w:rFonts w:hint="eastAsia" w:ascii="Times New Roman" w:hAnsi="Times New Roman" w:cs="宋体"/>
          <w:u w:val="single"/>
        </w:rPr>
        <w:t xml:space="preserve">                  </w:t>
      </w:r>
      <w:r>
        <w:rPr>
          <w:rFonts w:hint="eastAsia" w:ascii="Times New Roman" w:hAnsi="Times New Roman" w:cs="宋体"/>
          <w:sz w:val="30"/>
        </w:rPr>
        <w:t xml:space="preserve">  </w:t>
      </w:r>
    </w:p>
    <w:tbl>
      <w:tblPr>
        <w:tblStyle w:val="29"/>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20"/>
        <w:gridCol w:w="1080"/>
        <w:gridCol w:w="1440"/>
        <w:gridCol w:w="1620"/>
        <w:gridCol w:w="1260"/>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0" w:type="dxa"/>
            <w:gridSpan w:val="7"/>
            <w:tcBorders>
              <w:top w:val="single" w:color="auto" w:sz="4" w:space="0"/>
              <w:left w:val="single" w:color="auto" w:sz="4" w:space="0"/>
              <w:bottom w:val="single" w:color="auto" w:sz="4" w:space="0"/>
            </w:tcBorders>
            <w:vAlign w:val="center"/>
          </w:tcPr>
          <w:p>
            <w:pPr>
              <w:tabs>
                <w:tab w:val="left" w:pos="1418"/>
              </w:tabs>
              <w:snapToGrid w:val="0"/>
              <w:spacing w:before="50" w:after="50"/>
              <w:jc w:val="center"/>
              <w:rPr>
                <w:rFonts w:cs="宋体"/>
                <w:b/>
                <w:spacing w:val="20"/>
                <w:sz w:val="24"/>
              </w:rPr>
            </w:pPr>
            <w:r>
              <w:rPr>
                <w:rFonts w:hint="eastAsia" w:cs="宋体"/>
                <w:b/>
                <w:sz w:val="24"/>
              </w:rPr>
              <w:t>货物类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z w:val="24"/>
              </w:rPr>
            </w:pPr>
            <w:r>
              <w:rPr>
                <w:rFonts w:hint="eastAsia" w:cs="宋体"/>
                <w:sz w:val="24"/>
              </w:rPr>
              <w:t>序号</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z w:val="24"/>
              </w:rPr>
            </w:pPr>
            <w:r>
              <w:rPr>
                <w:rFonts w:hint="eastAsia" w:cs="宋体"/>
                <w:sz w:val="24"/>
              </w:rPr>
              <w:t>产品名称</w:t>
            </w:r>
          </w:p>
        </w:tc>
        <w:tc>
          <w:tcPr>
            <w:tcW w:w="1080"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50" w:after="50" w:line="240" w:lineRule="auto"/>
              <w:rPr>
                <w:rFonts w:hint="default" w:ascii="Times New Roman" w:eastAsia="宋体" w:cs="宋体"/>
                <w:spacing w:val="0"/>
                <w:kern w:val="2"/>
              </w:rPr>
            </w:pPr>
            <w:r>
              <w:rPr>
                <w:rFonts w:ascii="Times New Roman" w:eastAsia="宋体" w:cs="宋体"/>
                <w:spacing w:val="0"/>
                <w:kern w:val="2"/>
              </w:rPr>
              <w:t>品牌/</w:t>
            </w:r>
          </w:p>
          <w:p>
            <w:pPr>
              <w:pStyle w:val="43"/>
              <w:snapToGrid w:val="0"/>
              <w:spacing w:before="50" w:after="50" w:line="240" w:lineRule="auto"/>
              <w:rPr>
                <w:rFonts w:hint="default" w:ascii="Times New Roman" w:eastAsia="宋体" w:cs="宋体"/>
                <w:spacing w:val="0"/>
                <w:kern w:val="2"/>
              </w:rPr>
            </w:pPr>
            <w:r>
              <w:rPr>
                <w:rFonts w:ascii="Times New Roman" w:eastAsia="宋体" w:cs="宋体"/>
                <w:spacing w:val="0"/>
                <w:kern w:val="2"/>
              </w:rPr>
              <w:t>产地</w:t>
            </w: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z w:val="24"/>
              </w:rPr>
            </w:pPr>
            <w:r>
              <w:rPr>
                <w:rFonts w:hint="eastAsia" w:cs="宋体"/>
                <w:sz w:val="24"/>
              </w:rPr>
              <w:t>规格型号</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z w:val="24"/>
              </w:rPr>
            </w:pPr>
            <w:r>
              <w:rPr>
                <w:rFonts w:hint="eastAsia" w:cs="宋体"/>
                <w:sz w:val="24"/>
              </w:rPr>
              <w:t>单位及数量</w:t>
            </w: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z w:val="24"/>
              </w:rPr>
            </w:pPr>
            <w:r>
              <w:rPr>
                <w:rFonts w:hint="eastAsia" w:cs="宋体"/>
                <w:sz w:val="24"/>
              </w:rPr>
              <w:t>单价</w:t>
            </w:r>
          </w:p>
          <w:p>
            <w:pPr>
              <w:tabs>
                <w:tab w:val="left" w:pos="1418"/>
              </w:tabs>
              <w:snapToGrid w:val="0"/>
              <w:spacing w:before="50" w:after="50"/>
              <w:jc w:val="center"/>
              <w:rPr>
                <w:rFonts w:cs="宋体"/>
                <w:sz w:val="24"/>
              </w:rPr>
            </w:pPr>
            <w:r>
              <w:rPr>
                <w:rFonts w:hint="eastAsia" w:cs="宋体"/>
                <w:sz w:val="24"/>
              </w:rPr>
              <w:t>（元）</w:t>
            </w: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z w:val="24"/>
              </w:rPr>
            </w:pPr>
            <w:r>
              <w:rPr>
                <w:rFonts w:hint="eastAsia" w:cs="宋体"/>
                <w:sz w:val="24"/>
              </w:rPr>
              <w:t>总价</w:t>
            </w:r>
          </w:p>
          <w:p>
            <w:pPr>
              <w:tabs>
                <w:tab w:val="left" w:pos="1418"/>
              </w:tabs>
              <w:snapToGrid w:val="0"/>
              <w:spacing w:before="50" w:after="50"/>
              <w:jc w:val="center"/>
              <w:rPr>
                <w:rFonts w:cs="宋体"/>
                <w:sz w:val="24"/>
              </w:rPr>
            </w:pPr>
            <w:r>
              <w:rPr>
                <w:rFonts w:hint="eastAsia" w:cs="宋体"/>
                <w:sz w:val="24"/>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r>
              <w:rPr>
                <w:rFonts w:hint="eastAsia" w:cs="宋体"/>
                <w:spacing w:val="20"/>
                <w:sz w:val="24"/>
              </w:rPr>
              <w:t>1</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r>
              <w:rPr>
                <w:rFonts w:hint="eastAsia" w:cs="宋体"/>
                <w:spacing w:val="20"/>
                <w:sz w:val="24"/>
              </w:rPr>
              <w:t>……</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r>
              <w:rPr>
                <w:rFonts w:hint="eastAsia" w:cs="宋体"/>
                <w:spacing w:val="20"/>
                <w:sz w:val="24"/>
              </w:rPr>
              <w:t>2</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r>
              <w:rPr>
                <w:rFonts w:hint="eastAsia" w:cs="宋体"/>
                <w:spacing w:val="20"/>
                <w:sz w:val="24"/>
              </w:rPr>
              <w:t>……</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r>
              <w:rPr>
                <w:rFonts w:hint="eastAsia" w:cs="宋体"/>
                <w:spacing w:val="20"/>
                <w:sz w:val="24"/>
              </w:rPr>
              <w:t>…</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r>
              <w:rPr>
                <w:rFonts w:hint="eastAsia" w:cs="宋体"/>
                <w:spacing w:val="20"/>
                <w:sz w:val="24"/>
              </w:rPr>
              <w:t>……</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cs="宋体"/>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9000" w:type="dxa"/>
            <w:gridSpan w:val="7"/>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rPr>
                <w:rFonts w:cs="宋体"/>
                <w:spacing w:val="20"/>
                <w:sz w:val="24"/>
                <w:u w:val="single"/>
              </w:rPr>
            </w:pPr>
            <w:r>
              <w:rPr>
                <w:rFonts w:hint="eastAsia" w:cs="宋体"/>
                <w:b/>
                <w:sz w:val="24"/>
              </w:rPr>
              <w:t xml:space="preserve">合计投标总价(大写)：                                小写： </w:t>
            </w:r>
            <w:r>
              <w:rPr>
                <w:rFonts w:hint="eastAsia" w:cs="宋体"/>
                <w:sz w:val="24"/>
              </w:rPr>
              <w:t>￥</w:t>
            </w:r>
            <w:r>
              <w:rPr>
                <w:rFonts w:hint="eastAsia" w:cs="宋体"/>
                <w:sz w:val="24"/>
                <w:u w:val="single"/>
              </w:rPr>
              <w:t xml:space="preserve">           </w:t>
            </w:r>
          </w:p>
        </w:tc>
      </w:tr>
    </w:tbl>
    <w:p>
      <w:pPr>
        <w:spacing w:line="360" w:lineRule="auto"/>
        <w:rPr>
          <w:rFonts w:cs="宋体"/>
          <w:sz w:val="24"/>
        </w:rPr>
      </w:pPr>
      <w:r>
        <w:rPr>
          <w:rFonts w:hint="eastAsia" w:cs="宋体"/>
          <w:sz w:val="24"/>
        </w:rPr>
        <w:t>注：</w:t>
      </w:r>
    </w:p>
    <w:p>
      <w:pPr>
        <w:spacing w:line="400" w:lineRule="exact"/>
        <w:ind w:firstLine="315" w:firstLineChars="150"/>
        <w:rPr>
          <w:rFonts w:cs="宋体"/>
          <w:sz w:val="21"/>
          <w:szCs w:val="21"/>
        </w:rPr>
      </w:pPr>
      <w:r>
        <w:rPr>
          <w:rFonts w:hint="eastAsia" w:cs="宋体"/>
          <w:sz w:val="21"/>
          <w:szCs w:val="21"/>
        </w:rPr>
        <w:t>1.所投产品为进口免税设备的必须填写“进口代理费”。</w:t>
      </w:r>
    </w:p>
    <w:p>
      <w:pPr>
        <w:spacing w:line="400" w:lineRule="exact"/>
        <w:ind w:firstLine="315" w:firstLineChars="150"/>
        <w:rPr>
          <w:rFonts w:cs="宋体"/>
          <w:sz w:val="21"/>
          <w:szCs w:val="21"/>
        </w:rPr>
      </w:pPr>
      <w:r>
        <w:rPr>
          <w:rFonts w:hint="eastAsia" w:cs="宋体"/>
          <w:sz w:val="21"/>
          <w:szCs w:val="21"/>
        </w:rPr>
        <w:t>2.此表应按项目的明细情况列项填报, 在填写时，如不适合本项目的实际情况，可在确保投标明细内容完整的情况下，根据上表格式自行划表填写。</w:t>
      </w:r>
    </w:p>
    <w:p>
      <w:pPr>
        <w:snapToGrid w:val="0"/>
        <w:spacing w:line="400" w:lineRule="exact"/>
        <w:ind w:firstLine="315" w:firstLineChars="150"/>
        <w:rPr>
          <w:rFonts w:cs="宋体"/>
          <w:sz w:val="21"/>
          <w:szCs w:val="21"/>
        </w:rPr>
      </w:pPr>
      <w:r>
        <w:rPr>
          <w:rFonts w:hint="eastAsia" w:cs="宋体"/>
          <w:sz w:val="21"/>
          <w:szCs w:val="21"/>
        </w:rPr>
        <w:t>3.报价要求：项目费用包括项目实施所需的工程费、工时费、服务费、运输费、安装调试费、税费及其他一切费用。</w:t>
      </w:r>
    </w:p>
    <w:p>
      <w:pPr>
        <w:snapToGrid w:val="0"/>
        <w:spacing w:line="400" w:lineRule="exact"/>
        <w:ind w:firstLine="315" w:firstLineChars="150"/>
        <w:rPr>
          <w:rFonts w:cs="宋体"/>
          <w:sz w:val="21"/>
          <w:szCs w:val="21"/>
        </w:rPr>
      </w:pPr>
      <w:r>
        <w:rPr>
          <w:rFonts w:hint="eastAsia" w:cs="宋体"/>
          <w:sz w:val="21"/>
          <w:szCs w:val="21"/>
        </w:rPr>
        <w:t>4.报价中不允许出现报价优惠等字样,合计总价应与明细报价汇总相等。</w:t>
      </w:r>
    </w:p>
    <w:p>
      <w:pPr>
        <w:spacing w:line="400" w:lineRule="exact"/>
        <w:ind w:firstLine="315" w:firstLineChars="150"/>
        <w:rPr>
          <w:rFonts w:cs="宋体"/>
          <w:sz w:val="21"/>
          <w:szCs w:val="21"/>
        </w:rPr>
      </w:pPr>
      <w:r>
        <w:rPr>
          <w:rFonts w:hint="eastAsia" w:cs="宋体"/>
          <w:sz w:val="21"/>
          <w:szCs w:val="21"/>
        </w:rPr>
        <w:t>5.开标时，现场工作人员当众拆封，并宣布投标人名称、投标价格（即本表合计金额）。</w:t>
      </w:r>
    </w:p>
    <w:p>
      <w:pPr>
        <w:spacing w:line="400" w:lineRule="exact"/>
        <w:ind w:firstLine="315" w:firstLineChars="150"/>
        <w:rPr>
          <w:rFonts w:cs="宋体"/>
          <w:sz w:val="21"/>
          <w:szCs w:val="21"/>
        </w:rPr>
      </w:pPr>
      <w:r>
        <w:rPr>
          <w:rFonts w:hint="eastAsia" w:cs="宋体"/>
          <w:sz w:val="21"/>
          <w:szCs w:val="21"/>
        </w:rPr>
        <w:t>▲6.报价明细表中需包含采购标的清单中所有条款。</w:t>
      </w:r>
    </w:p>
    <w:tbl>
      <w:tblPr>
        <w:tblStyle w:val="29"/>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spacing w:line="460" w:lineRule="exact"/>
        <w:jc w:val="left"/>
        <w:rPr>
          <w:rFonts w:cs="宋体"/>
          <w:sz w:val="24"/>
        </w:rPr>
      </w:pPr>
      <w:r>
        <w:rPr>
          <w:rFonts w:hint="eastAsia" w:cs="宋体"/>
        </w:rPr>
        <w:br w:type="page"/>
      </w:r>
      <w:r>
        <w:rPr>
          <w:rFonts w:hint="eastAsia" w:cs="宋体"/>
          <w:b/>
          <w:sz w:val="24"/>
        </w:rPr>
        <w:t>24.货物原产地证明（国内产品需提供）</w:t>
      </w:r>
    </w:p>
    <w:p>
      <w:pPr>
        <w:jc w:val="left"/>
        <w:rPr>
          <w:rFonts w:cs="宋体"/>
          <w:b/>
          <w:sz w:val="24"/>
        </w:rPr>
      </w:pPr>
    </w:p>
    <w:p>
      <w:pPr>
        <w:jc w:val="center"/>
        <w:rPr>
          <w:rFonts w:cs="宋体"/>
          <w:b/>
          <w:sz w:val="36"/>
          <w:szCs w:val="36"/>
        </w:rPr>
      </w:pPr>
    </w:p>
    <w:p>
      <w:pPr>
        <w:jc w:val="center"/>
        <w:rPr>
          <w:rFonts w:cs="宋体"/>
          <w:b/>
          <w:sz w:val="48"/>
          <w:szCs w:val="48"/>
        </w:rPr>
      </w:pPr>
      <w:r>
        <w:rPr>
          <w:rFonts w:hint="eastAsia" w:cs="宋体"/>
          <w:b/>
          <w:sz w:val="36"/>
          <w:szCs w:val="36"/>
        </w:rPr>
        <w:t>货物原产地证明</w:t>
      </w:r>
    </w:p>
    <w:p>
      <w:pPr>
        <w:jc w:val="center"/>
        <w:rPr>
          <w:rFonts w:cs="宋体"/>
          <w:sz w:val="24"/>
        </w:rPr>
      </w:pPr>
    </w:p>
    <w:p>
      <w:pPr>
        <w:rPr>
          <w:rFonts w:cs="宋体"/>
          <w:sz w:val="32"/>
          <w:szCs w:val="32"/>
        </w:rPr>
      </w:pPr>
    </w:p>
    <w:p>
      <w:pPr>
        <w:spacing w:line="460" w:lineRule="exact"/>
        <w:ind w:firstLine="560" w:firstLineChars="200"/>
        <w:rPr>
          <w:rFonts w:cs="宋体"/>
          <w:szCs w:val="28"/>
        </w:rPr>
      </w:pPr>
      <w:r>
        <w:rPr>
          <w:rFonts w:hint="eastAsia" w:cs="宋体"/>
          <w:szCs w:val="28"/>
        </w:rPr>
        <w:t>兹证明“XXXXXXXX”品牌设备为“XXXXXXXXXX公司”自主开发完成，该设备硬件均产自中国，我公司保证产品的质量，同时本次投标产品“XXXXXX”由“XXXXXXXXXX公司”提供。</w:t>
      </w:r>
    </w:p>
    <w:p>
      <w:pPr>
        <w:spacing w:line="460" w:lineRule="exact"/>
        <w:ind w:firstLine="560" w:firstLineChars="200"/>
        <w:rPr>
          <w:rFonts w:cs="宋体"/>
          <w:szCs w:val="28"/>
        </w:rPr>
      </w:pPr>
      <w:r>
        <w:rPr>
          <w:rFonts w:hint="eastAsia" w:cs="宋体"/>
          <w:szCs w:val="28"/>
        </w:rPr>
        <w:t>特此证明。</w:t>
      </w:r>
    </w:p>
    <w:p>
      <w:pPr>
        <w:ind w:firstLine="435"/>
        <w:rPr>
          <w:rFonts w:cs="宋体"/>
        </w:rPr>
      </w:pPr>
    </w:p>
    <w:p>
      <w:pPr>
        <w:ind w:firstLine="435"/>
        <w:rPr>
          <w:rFonts w:cs="宋体"/>
        </w:rPr>
      </w:pPr>
    </w:p>
    <w:p>
      <w:pPr>
        <w:ind w:firstLine="435"/>
        <w:rPr>
          <w:rFonts w:cs="宋体"/>
        </w:rPr>
      </w:pPr>
    </w:p>
    <w:p>
      <w:pPr>
        <w:spacing w:line="460" w:lineRule="exact"/>
        <w:ind w:firstLine="612" w:firstLineChars="255"/>
        <w:jc w:val="center"/>
        <w:rPr>
          <w:rFonts w:cs="宋体"/>
          <w:sz w:val="24"/>
        </w:rPr>
      </w:pPr>
      <w:r>
        <w:rPr>
          <w:rFonts w:hint="eastAsia" w:cs="宋体"/>
          <w:sz w:val="24"/>
        </w:rPr>
        <w:t xml:space="preserve">    投标人（公章）：</w:t>
      </w:r>
      <w:r>
        <w:rPr>
          <w:rFonts w:hint="eastAsia" w:cs="宋体"/>
          <w:sz w:val="24"/>
          <w:u w:val="single"/>
        </w:rPr>
        <w:t xml:space="preserve">                     </w:t>
      </w:r>
      <w:r>
        <w:rPr>
          <w:rFonts w:hint="eastAsia" w:cs="宋体"/>
          <w:sz w:val="24"/>
        </w:rPr>
        <w:t xml:space="preserve">       </w:t>
      </w:r>
    </w:p>
    <w:p>
      <w:pPr>
        <w:spacing w:line="460" w:lineRule="exact"/>
        <w:ind w:firstLine="612" w:firstLineChars="255"/>
        <w:jc w:val="center"/>
        <w:rPr>
          <w:rFonts w:cs="宋体"/>
          <w:sz w:val="24"/>
        </w:rPr>
      </w:pPr>
      <w:r>
        <w:rPr>
          <w:rFonts w:hint="eastAsia" w:cs="宋体"/>
          <w:sz w:val="24"/>
        </w:rPr>
        <w:t xml:space="preserve">                                              年   月   日</w:t>
      </w:r>
    </w:p>
    <w:p>
      <w:pPr>
        <w:ind w:firstLine="480" w:firstLineChars="200"/>
        <w:jc w:val="center"/>
        <w:rPr>
          <w:rFonts w:cs="宋体"/>
          <w:sz w:val="24"/>
        </w:rPr>
      </w:pPr>
    </w:p>
    <w:p>
      <w:pPr>
        <w:ind w:firstLine="480" w:firstLineChars="200"/>
        <w:jc w:val="right"/>
        <w:rPr>
          <w:rFonts w:cs="宋体"/>
          <w:sz w:val="24"/>
        </w:rPr>
      </w:pPr>
    </w:p>
    <w:p>
      <w:pPr>
        <w:ind w:firstLine="435"/>
        <w:rPr>
          <w:rFonts w:cs="宋体"/>
        </w:rPr>
      </w:pPr>
    </w:p>
    <w:p>
      <w:pPr>
        <w:rPr>
          <w:rFonts w:cs="宋体"/>
          <w:b/>
          <w:sz w:val="21"/>
          <w:szCs w:val="21"/>
        </w:rPr>
      </w:pPr>
      <w:r>
        <w:rPr>
          <w:rFonts w:hint="eastAsia" w:cs="宋体"/>
          <w:sz w:val="24"/>
        </w:rPr>
        <w:br w:type="page"/>
      </w:r>
      <w:r>
        <w:rPr>
          <w:rFonts w:hint="eastAsia" w:cs="宋体"/>
          <w:b/>
          <w:sz w:val="24"/>
        </w:rPr>
        <w:t>25.政府采购活动现场确认声明书</w:t>
      </w:r>
    </w:p>
    <w:p>
      <w:pPr>
        <w:jc w:val="center"/>
        <w:rPr>
          <w:rFonts w:cs="宋体"/>
          <w:b/>
          <w:sz w:val="36"/>
          <w:szCs w:val="36"/>
        </w:rPr>
      </w:pPr>
    </w:p>
    <w:p>
      <w:pPr>
        <w:jc w:val="center"/>
        <w:rPr>
          <w:rFonts w:cs="宋体"/>
          <w:b/>
          <w:sz w:val="36"/>
          <w:szCs w:val="36"/>
        </w:rPr>
      </w:pPr>
      <w:r>
        <w:rPr>
          <w:rFonts w:hint="eastAsia" w:cs="宋体"/>
          <w:b/>
          <w:sz w:val="36"/>
          <w:szCs w:val="36"/>
        </w:rPr>
        <w:t>政府采购活动现场确认声明书</w:t>
      </w:r>
    </w:p>
    <w:p>
      <w:pPr>
        <w:pStyle w:val="45"/>
        <w:widowControl w:val="0"/>
        <w:snapToGrid w:val="0"/>
        <w:spacing w:line="500" w:lineRule="exact"/>
        <w:jc w:val="center"/>
        <w:rPr>
          <w:rFonts w:hint="default" w:ascii="Times New Roman" w:hAnsi="Times New Roman" w:cs="宋体"/>
          <w:b/>
          <w:kern w:val="0"/>
          <w:sz w:val="36"/>
          <w:szCs w:val="36"/>
        </w:rPr>
      </w:pPr>
    </w:p>
    <w:p>
      <w:pPr>
        <w:pStyle w:val="45"/>
        <w:widowControl w:val="0"/>
        <w:snapToGrid w:val="0"/>
        <w:spacing w:line="400" w:lineRule="exact"/>
        <w:jc w:val="both"/>
        <w:rPr>
          <w:rFonts w:hint="default" w:ascii="Times New Roman" w:hAnsi="Times New Roman" w:cs="宋体"/>
          <w:b/>
          <w:szCs w:val="21"/>
        </w:rPr>
      </w:pPr>
      <w:r>
        <w:rPr>
          <w:rFonts w:ascii="Times New Roman" w:hAnsi="Times New Roman" w:cs="宋体"/>
          <w:kern w:val="0"/>
          <w:szCs w:val="21"/>
        </w:rPr>
        <w:t>浙江师范大学采购中心：</w:t>
      </w:r>
    </w:p>
    <w:p>
      <w:pPr>
        <w:pStyle w:val="45"/>
        <w:widowControl w:val="0"/>
        <w:snapToGrid w:val="0"/>
        <w:spacing w:line="400" w:lineRule="exact"/>
        <w:ind w:firstLine="444" w:firstLineChars="200"/>
        <w:jc w:val="both"/>
        <w:rPr>
          <w:rFonts w:hint="default" w:ascii="Times New Roman" w:hAnsi="Times New Roman" w:cs="宋体"/>
          <w:spacing w:val="6"/>
          <w:szCs w:val="21"/>
        </w:rPr>
      </w:pPr>
      <w:r>
        <w:rPr>
          <w:rFonts w:ascii="Times New Roman" w:hAnsi="Times New Roman" w:cs="宋体"/>
          <w:spacing w:val="6"/>
          <w:szCs w:val="21"/>
        </w:rPr>
        <w:t>本人经由</w:t>
      </w:r>
      <w:r>
        <w:rPr>
          <w:rFonts w:ascii="Times New Roman" w:hAnsi="Times New Roman" w:cs="宋体"/>
          <w:spacing w:val="6"/>
          <w:szCs w:val="21"/>
          <w:u w:val="single"/>
        </w:rPr>
        <w:t xml:space="preserve">                       （单位）</w:t>
      </w:r>
      <w:r>
        <w:rPr>
          <w:rFonts w:ascii="Times New Roman" w:hAnsi="Times New Roman" w:cs="宋体"/>
          <w:spacing w:val="6"/>
          <w:szCs w:val="21"/>
        </w:rPr>
        <w:t>负责人</w:t>
      </w:r>
      <w:r>
        <w:rPr>
          <w:rFonts w:ascii="Times New Roman" w:hAnsi="Times New Roman" w:cs="宋体"/>
          <w:spacing w:val="6"/>
          <w:szCs w:val="21"/>
          <w:u w:val="single"/>
        </w:rPr>
        <w:t xml:space="preserve">           （姓名）</w:t>
      </w:r>
      <w:r>
        <w:rPr>
          <w:rFonts w:ascii="Times New Roman" w:hAnsi="Times New Roman" w:cs="宋体"/>
          <w:spacing w:val="6"/>
          <w:szCs w:val="21"/>
        </w:rPr>
        <w:t>合法授权参加</w:t>
      </w:r>
      <w:r>
        <w:rPr>
          <w:rFonts w:ascii="Times New Roman" w:hAnsi="Times New Roman" w:cs="宋体"/>
          <w:spacing w:val="6"/>
          <w:szCs w:val="21"/>
          <w:u w:val="single"/>
        </w:rPr>
        <w:t xml:space="preserve">                         </w:t>
      </w:r>
      <w:r>
        <w:rPr>
          <w:rFonts w:ascii="Times New Roman" w:hAnsi="Times New Roman" w:cs="宋体"/>
          <w:spacing w:val="6"/>
          <w:szCs w:val="21"/>
        </w:rPr>
        <w:t>项目（编号：</w:t>
      </w:r>
      <w:r>
        <w:rPr>
          <w:rFonts w:ascii="Times New Roman" w:hAnsi="Times New Roman" w:cs="宋体"/>
          <w:spacing w:val="6"/>
          <w:szCs w:val="21"/>
          <w:u w:val="single"/>
        </w:rPr>
        <w:t xml:space="preserve">             </w:t>
      </w:r>
      <w:r>
        <w:rPr>
          <w:rFonts w:ascii="Times New Roman" w:hAnsi="Times New Roman" w:cs="宋体"/>
          <w:spacing w:val="6"/>
          <w:szCs w:val="21"/>
        </w:rPr>
        <w:t xml:space="preserve">）政府采购活动，经与本单位法人代表（负责人）联系确认，现就有关公平竞争事项郑重声明如下： </w:t>
      </w:r>
    </w:p>
    <w:p>
      <w:pPr>
        <w:pStyle w:val="45"/>
        <w:widowControl w:val="0"/>
        <w:snapToGrid w:val="0"/>
        <w:spacing w:line="400" w:lineRule="exact"/>
        <w:ind w:firstLine="444" w:firstLineChars="200"/>
        <w:jc w:val="both"/>
        <w:rPr>
          <w:rFonts w:hint="default" w:ascii="Times New Roman" w:hAnsi="Times New Roman" w:cs="宋体"/>
          <w:spacing w:val="6"/>
          <w:szCs w:val="21"/>
        </w:rPr>
      </w:pPr>
      <w:r>
        <w:rPr>
          <w:rFonts w:ascii="Times New Roman" w:hAnsi="Times New Roman" w:cs="宋体"/>
          <w:spacing w:val="6"/>
          <w:szCs w:val="21"/>
        </w:rPr>
        <w:t>一、本单位与采购人之间 □不存在利害关系 □存在下列利害关系</w:t>
      </w:r>
      <w:r>
        <w:rPr>
          <w:rFonts w:ascii="Times New Roman" w:hAnsi="Times New Roman" w:cs="宋体"/>
          <w:spacing w:val="6"/>
          <w:szCs w:val="21"/>
          <w:u w:val="single"/>
        </w:rPr>
        <w:t xml:space="preserve">          </w:t>
      </w:r>
      <w:r>
        <w:rPr>
          <w:rFonts w:ascii="Times New Roman" w:hAnsi="Times New Roman" w:cs="宋体"/>
          <w:spacing w:val="6"/>
          <w:szCs w:val="21"/>
        </w:rPr>
        <w:t xml:space="preserve"> ：</w:t>
      </w:r>
    </w:p>
    <w:p>
      <w:pPr>
        <w:pStyle w:val="44"/>
        <w:widowControl/>
        <w:snapToGrid w:val="0"/>
        <w:spacing w:line="400" w:lineRule="exact"/>
        <w:rPr>
          <w:rFonts w:hint="default" w:cs="宋体"/>
          <w:kern w:val="0"/>
          <w:szCs w:val="21"/>
        </w:rPr>
      </w:pPr>
      <w:r>
        <w:rPr>
          <w:rFonts w:cs="宋体"/>
          <w:kern w:val="0"/>
          <w:szCs w:val="21"/>
        </w:rPr>
        <w:t xml:space="preserve">  A.投资关系    B.行政隶属关系    C.业务指导关系</w:t>
      </w:r>
    </w:p>
    <w:p>
      <w:pPr>
        <w:pStyle w:val="44"/>
        <w:widowControl/>
        <w:snapToGrid w:val="0"/>
        <w:spacing w:line="400" w:lineRule="exact"/>
        <w:rPr>
          <w:rFonts w:hint="default" w:cs="宋体"/>
          <w:kern w:val="0"/>
          <w:szCs w:val="21"/>
        </w:rPr>
      </w:pPr>
      <w:r>
        <w:rPr>
          <w:rFonts w:cs="宋体"/>
          <w:kern w:val="0"/>
          <w:szCs w:val="21"/>
        </w:rPr>
        <w:t xml:space="preserve">  D.其他可能</w:t>
      </w:r>
      <w:r>
        <w:rPr>
          <w:rFonts w:cs="宋体"/>
          <w:szCs w:val="21"/>
        </w:rPr>
        <w:t>影响采购公正的</w:t>
      </w:r>
      <w:r>
        <w:rPr>
          <w:rFonts w:cs="宋体"/>
          <w:kern w:val="0"/>
          <w:szCs w:val="21"/>
        </w:rPr>
        <w:t>利害关系</w:t>
      </w:r>
      <w:r>
        <w:rPr>
          <w:rFonts w:cs="宋体"/>
          <w:kern w:val="0"/>
          <w:szCs w:val="21"/>
          <w:u w:val="single"/>
        </w:rPr>
        <w:t xml:space="preserve">（如有，请如实说明）                     </w:t>
      </w:r>
      <w:r>
        <w:rPr>
          <w:rFonts w:cs="宋体"/>
          <w:kern w:val="0"/>
          <w:szCs w:val="21"/>
        </w:rPr>
        <w:t>。</w:t>
      </w:r>
    </w:p>
    <w:p>
      <w:pPr>
        <w:pStyle w:val="45"/>
        <w:widowControl w:val="0"/>
        <w:snapToGrid w:val="0"/>
        <w:spacing w:line="400" w:lineRule="exact"/>
        <w:ind w:firstLine="444" w:firstLineChars="200"/>
        <w:jc w:val="both"/>
        <w:rPr>
          <w:rFonts w:hint="default" w:ascii="Times New Roman" w:hAnsi="Times New Roman" w:cs="宋体"/>
          <w:spacing w:val="6"/>
          <w:szCs w:val="21"/>
        </w:rPr>
      </w:pPr>
      <w:r>
        <w:rPr>
          <w:rFonts w:ascii="Times New Roman" w:hAnsi="Times New Roman" w:cs="宋体"/>
          <w:spacing w:val="6"/>
          <w:szCs w:val="21"/>
        </w:rPr>
        <w:t xml:space="preserve"> 二、现已清楚知道参加本项目采购活动的其他所有供应商名称，本单位 □与其他所有供应商之间均不存在利害关系 □与</w:t>
      </w:r>
      <w:r>
        <w:rPr>
          <w:rFonts w:ascii="Times New Roman" w:hAnsi="Times New Roman" w:cs="宋体"/>
          <w:spacing w:val="6"/>
          <w:szCs w:val="21"/>
          <w:u w:val="single"/>
        </w:rPr>
        <w:t xml:space="preserve">              （供应商名称）</w:t>
      </w:r>
      <w:r>
        <w:rPr>
          <w:rFonts w:ascii="Times New Roman" w:hAnsi="Times New Roman" w:cs="宋体"/>
          <w:spacing w:val="6"/>
          <w:szCs w:val="21"/>
        </w:rPr>
        <w:t>之间存在下列利害关系</w:t>
      </w:r>
      <w:r>
        <w:rPr>
          <w:rFonts w:ascii="Times New Roman" w:hAnsi="Times New Roman" w:cs="宋体"/>
          <w:spacing w:val="6"/>
          <w:szCs w:val="21"/>
          <w:u w:val="single"/>
        </w:rPr>
        <w:t xml:space="preserve">          </w:t>
      </w:r>
      <w:r>
        <w:rPr>
          <w:rFonts w:ascii="Times New Roman" w:hAnsi="Times New Roman" w:cs="宋体"/>
          <w:spacing w:val="6"/>
          <w:szCs w:val="21"/>
        </w:rPr>
        <w:t>：</w:t>
      </w:r>
    </w:p>
    <w:p>
      <w:pPr>
        <w:pStyle w:val="45"/>
        <w:widowControl w:val="0"/>
        <w:snapToGrid w:val="0"/>
        <w:spacing w:line="400" w:lineRule="exact"/>
        <w:jc w:val="both"/>
        <w:rPr>
          <w:rFonts w:hint="default" w:ascii="Times New Roman" w:hAnsi="Times New Roman" w:cs="宋体"/>
          <w:kern w:val="0"/>
          <w:szCs w:val="21"/>
        </w:rPr>
      </w:pPr>
      <w:r>
        <w:rPr>
          <w:rFonts w:ascii="Times New Roman" w:hAnsi="Times New Roman" w:cs="宋体"/>
          <w:kern w:val="0"/>
          <w:szCs w:val="21"/>
        </w:rPr>
        <w:t xml:space="preserve">  A.法定代表人或负责人或实际控制人是同一人</w:t>
      </w:r>
    </w:p>
    <w:p>
      <w:pPr>
        <w:pStyle w:val="45"/>
        <w:widowControl w:val="0"/>
        <w:snapToGrid w:val="0"/>
        <w:spacing w:line="400" w:lineRule="exact"/>
        <w:jc w:val="both"/>
        <w:rPr>
          <w:rFonts w:hint="default" w:ascii="Times New Roman" w:hAnsi="Times New Roman" w:cs="宋体"/>
          <w:spacing w:val="6"/>
          <w:szCs w:val="21"/>
        </w:rPr>
      </w:pPr>
      <w:r>
        <w:rPr>
          <w:rFonts w:ascii="Times New Roman" w:hAnsi="Times New Roman" w:cs="宋体"/>
          <w:kern w:val="0"/>
          <w:szCs w:val="21"/>
        </w:rPr>
        <w:t xml:space="preserve">  B.法定代表人或负责人或实际控制人是夫妻关系</w:t>
      </w:r>
    </w:p>
    <w:p>
      <w:pPr>
        <w:pStyle w:val="45"/>
        <w:widowControl w:val="0"/>
        <w:snapToGrid w:val="0"/>
        <w:spacing w:line="400" w:lineRule="exact"/>
        <w:jc w:val="both"/>
        <w:rPr>
          <w:rFonts w:hint="default" w:ascii="Times New Roman" w:hAnsi="Times New Roman" w:cs="宋体"/>
          <w:spacing w:val="6"/>
          <w:szCs w:val="21"/>
        </w:rPr>
      </w:pPr>
      <w:r>
        <w:rPr>
          <w:rFonts w:ascii="Times New Roman" w:hAnsi="Times New Roman" w:cs="宋体"/>
          <w:kern w:val="0"/>
          <w:szCs w:val="21"/>
        </w:rPr>
        <w:t xml:space="preserve">  C.法定代表人或负责人或实际控制人是直系血亲关系</w:t>
      </w:r>
    </w:p>
    <w:p>
      <w:pPr>
        <w:pStyle w:val="45"/>
        <w:widowControl w:val="0"/>
        <w:snapToGrid w:val="0"/>
        <w:spacing w:line="400" w:lineRule="exact"/>
        <w:jc w:val="both"/>
        <w:rPr>
          <w:rFonts w:hint="default" w:ascii="Times New Roman" w:hAnsi="Times New Roman" w:cs="宋体"/>
          <w:spacing w:val="6"/>
          <w:szCs w:val="21"/>
        </w:rPr>
      </w:pPr>
      <w:r>
        <w:rPr>
          <w:rFonts w:ascii="Times New Roman" w:hAnsi="Times New Roman" w:cs="宋体"/>
          <w:kern w:val="0"/>
          <w:szCs w:val="21"/>
        </w:rPr>
        <w:t xml:space="preserve">  D.法定代表人或负责人或实际控制人存在三代以内旁系血亲关系</w:t>
      </w:r>
    </w:p>
    <w:p>
      <w:pPr>
        <w:pStyle w:val="45"/>
        <w:widowControl w:val="0"/>
        <w:snapToGrid w:val="0"/>
        <w:spacing w:line="400" w:lineRule="exact"/>
        <w:jc w:val="both"/>
        <w:rPr>
          <w:rFonts w:hint="default" w:ascii="Times New Roman" w:hAnsi="Times New Roman" w:cs="宋体"/>
          <w:kern w:val="0"/>
          <w:szCs w:val="21"/>
        </w:rPr>
      </w:pPr>
      <w:r>
        <w:rPr>
          <w:rFonts w:ascii="Times New Roman" w:hAnsi="Times New Roman" w:cs="宋体"/>
          <w:kern w:val="0"/>
          <w:szCs w:val="21"/>
        </w:rPr>
        <w:t xml:space="preserve">  E.法定代表人或负责人或实际控制人存在近姻亲关系</w:t>
      </w:r>
    </w:p>
    <w:p>
      <w:pPr>
        <w:pStyle w:val="45"/>
        <w:widowControl w:val="0"/>
        <w:snapToGrid w:val="0"/>
        <w:spacing w:line="400" w:lineRule="exact"/>
        <w:jc w:val="both"/>
        <w:rPr>
          <w:rFonts w:hint="default" w:ascii="Times New Roman" w:hAnsi="Times New Roman" w:cs="宋体"/>
          <w:kern w:val="0"/>
          <w:szCs w:val="21"/>
        </w:rPr>
      </w:pPr>
      <w:r>
        <w:rPr>
          <w:rFonts w:ascii="Times New Roman" w:hAnsi="Times New Roman" w:cs="宋体"/>
          <w:kern w:val="0"/>
          <w:szCs w:val="21"/>
        </w:rPr>
        <w:t xml:space="preserve">  F.法定代表人或负责人或实际控制人存在股份控制或实际控制关系</w:t>
      </w:r>
    </w:p>
    <w:p>
      <w:pPr>
        <w:pStyle w:val="45"/>
        <w:widowControl w:val="0"/>
        <w:snapToGrid w:val="0"/>
        <w:spacing w:line="400" w:lineRule="exact"/>
        <w:jc w:val="both"/>
        <w:rPr>
          <w:rFonts w:hint="default" w:ascii="Times New Roman" w:hAnsi="Times New Roman" w:cs="宋体"/>
          <w:kern w:val="0"/>
          <w:szCs w:val="21"/>
        </w:rPr>
      </w:pPr>
      <w:r>
        <w:rPr>
          <w:rFonts w:ascii="Times New Roman" w:hAnsi="Times New Roman" w:cs="宋体"/>
          <w:kern w:val="0"/>
          <w:szCs w:val="21"/>
        </w:rPr>
        <w:t xml:space="preserve">  G.存在共同直接或间接投资设立子公司、联营企业和合营企业情况</w:t>
      </w:r>
    </w:p>
    <w:p>
      <w:pPr>
        <w:pStyle w:val="45"/>
        <w:widowControl w:val="0"/>
        <w:snapToGrid w:val="0"/>
        <w:spacing w:line="400" w:lineRule="exact"/>
        <w:jc w:val="both"/>
        <w:rPr>
          <w:rFonts w:hint="default" w:ascii="Times New Roman" w:hAnsi="Times New Roman" w:cs="宋体"/>
          <w:szCs w:val="21"/>
        </w:rPr>
      </w:pPr>
      <w:r>
        <w:rPr>
          <w:rFonts w:ascii="Times New Roman" w:hAnsi="Times New Roman" w:cs="宋体"/>
          <w:kern w:val="0"/>
          <w:szCs w:val="21"/>
        </w:rPr>
        <w:t xml:space="preserve">  H.存在分级代理或代销关系、同一生产制造商关系、</w:t>
      </w:r>
      <w:r>
        <w:rPr>
          <w:rFonts w:ascii="Times New Roman" w:hAnsi="Times New Roman" w:cs="宋体"/>
          <w:szCs w:val="21"/>
        </w:rPr>
        <w:t>管理关系、重要业务（占主营业务收入50%以上）或重要财务往来关系（如融资）等其他实质性控制关系</w:t>
      </w:r>
    </w:p>
    <w:p>
      <w:pPr>
        <w:pStyle w:val="45"/>
        <w:widowControl w:val="0"/>
        <w:snapToGrid w:val="0"/>
        <w:spacing w:line="400" w:lineRule="exact"/>
        <w:ind w:firstLine="210" w:firstLineChars="100"/>
        <w:jc w:val="both"/>
        <w:rPr>
          <w:rFonts w:hint="default" w:ascii="Times New Roman" w:hAnsi="Times New Roman" w:cs="宋体"/>
          <w:spacing w:val="6"/>
          <w:szCs w:val="21"/>
        </w:rPr>
      </w:pPr>
      <w:r>
        <w:rPr>
          <w:rFonts w:ascii="Times New Roman" w:hAnsi="Times New Roman" w:cs="宋体"/>
          <w:szCs w:val="21"/>
        </w:rPr>
        <w:t>I</w:t>
      </w:r>
      <w:r>
        <w:rPr>
          <w:rFonts w:ascii="Times New Roman" w:hAnsi="Times New Roman" w:cs="宋体"/>
          <w:kern w:val="0"/>
          <w:szCs w:val="21"/>
        </w:rPr>
        <w:t>.</w:t>
      </w:r>
      <w:r>
        <w:rPr>
          <w:rFonts w:ascii="Times New Roman" w:hAnsi="Times New Roman" w:cs="宋体"/>
          <w:szCs w:val="21"/>
        </w:rPr>
        <w:t>其他利害关系情况</w:t>
      </w:r>
      <w:r>
        <w:rPr>
          <w:rFonts w:ascii="Times New Roman" w:hAnsi="Times New Roman" w:cs="宋体"/>
          <w:szCs w:val="21"/>
          <w:u w:val="single"/>
        </w:rPr>
        <w:t xml:space="preserve">                              </w:t>
      </w:r>
      <w:r>
        <w:rPr>
          <w:rFonts w:ascii="Times New Roman" w:hAnsi="Times New Roman" w:cs="宋体"/>
          <w:kern w:val="0"/>
          <w:szCs w:val="21"/>
        </w:rPr>
        <w:t>。</w:t>
      </w:r>
    </w:p>
    <w:p>
      <w:pPr>
        <w:pStyle w:val="45"/>
        <w:widowControl w:val="0"/>
        <w:snapToGrid w:val="0"/>
        <w:spacing w:line="400" w:lineRule="exact"/>
        <w:ind w:firstLine="444" w:firstLineChars="200"/>
        <w:jc w:val="both"/>
        <w:rPr>
          <w:rFonts w:hint="default" w:ascii="Times New Roman" w:hAnsi="Times New Roman" w:cs="宋体"/>
          <w:spacing w:val="6"/>
          <w:szCs w:val="21"/>
        </w:rPr>
      </w:pPr>
      <w:r>
        <w:rPr>
          <w:rFonts w:ascii="Times New Roman" w:hAnsi="Times New Roman" w:cs="宋体"/>
          <w:spacing w:val="6"/>
          <w:szCs w:val="21"/>
        </w:rPr>
        <w:t>三、现已清楚知道并严格遵守政府采购法律法规和现场纪律。</w:t>
      </w:r>
    </w:p>
    <w:p>
      <w:pPr>
        <w:pStyle w:val="45"/>
        <w:widowControl w:val="0"/>
        <w:snapToGrid w:val="0"/>
        <w:spacing w:line="400" w:lineRule="exact"/>
        <w:ind w:firstLine="444" w:firstLineChars="200"/>
        <w:jc w:val="both"/>
        <w:rPr>
          <w:rFonts w:hint="default" w:ascii="Times New Roman" w:hAnsi="Times New Roman" w:cs="宋体"/>
          <w:szCs w:val="21"/>
        </w:rPr>
      </w:pPr>
      <w:r>
        <w:rPr>
          <w:rFonts w:ascii="Times New Roman" w:hAnsi="Times New Roman" w:cs="宋体"/>
          <w:spacing w:val="6"/>
          <w:szCs w:val="21"/>
        </w:rPr>
        <w:t>四、我发现</w:t>
      </w:r>
      <w:r>
        <w:rPr>
          <w:rFonts w:ascii="Times New Roman" w:hAnsi="Times New Roman" w:cs="宋体"/>
          <w:spacing w:val="6"/>
          <w:szCs w:val="21"/>
          <w:u w:val="single"/>
        </w:rPr>
        <w:t xml:space="preserve">                                  </w:t>
      </w:r>
      <w:r>
        <w:rPr>
          <w:rFonts w:ascii="Times New Roman" w:hAnsi="Times New Roman" w:cs="宋体"/>
          <w:spacing w:val="6"/>
          <w:szCs w:val="21"/>
        </w:rPr>
        <w:t>供应商之间存在或可能存在上述第二条第</w:t>
      </w:r>
      <w:r>
        <w:rPr>
          <w:rFonts w:ascii="Times New Roman" w:hAnsi="Times New Roman" w:cs="宋体"/>
          <w:spacing w:val="6"/>
          <w:szCs w:val="21"/>
          <w:u w:val="single"/>
        </w:rPr>
        <w:t xml:space="preserve">            </w:t>
      </w:r>
      <w:r>
        <w:rPr>
          <w:rFonts w:ascii="Times New Roman" w:hAnsi="Times New Roman" w:cs="宋体"/>
          <w:spacing w:val="6"/>
          <w:szCs w:val="21"/>
        </w:rPr>
        <w:t xml:space="preserve"> 项利害关系。</w:t>
      </w:r>
      <w:r>
        <w:rPr>
          <w:rFonts w:ascii="Times New Roman" w:hAnsi="Times New Roman" w:cs="宋体"/>
          <w:szCs w:val="21"/>
        </w:rPr>
        <w:t xml:space="preserve">   </w:t>
      </w:r>
    </w:p>
    <w:p>
      <w:pPr>
        <w:pStyle w:val="45"/>
        <w:widowControl w:val="0"/>
        <w:snapToGrid w:val="0"/>
        <w:spacing w:line="460" w:lineRule="exact"/>
        <w:ind w:firstLine="420" w:firstLineChars="200"/>
        <w:jc w:val="both"/>
        <w:rPr>
          <w:rFonts w:hint="default" w:ascii="Times New Roman" w:hAnsi="Times New Roman" w:cs="宋体"/>
          <w:kern w:val="0"/>
          <w:szCs w:val="21"/>
        </w:rPr>
      </w:pPr>
      <w:r>
        <w:rPr>
          <w:rFonts w:ascii="Times New Roman" w:hAnsi="Times New Roman" w:cs="宋体"/>
          <w:szCs w:val="21"/>
        </w:rPr>
        <w:t xml:space="preserve">   </w:t>
      </w:r>
    </w:p>
    <w:tbl>
      <w:tblPr>
        <w:tblStyle w:val="29"/>
        <w:tblpPr w:leftFromText="180" w:rightFromText="180" w:vertAnchor="text" w:horzAnchor="page" w:tblpX="4788" w:tblpY="59"/>
        <w:tblOverlap w:val="never"/>
        <w:tblW w:w="0" w:type="auto"/>
        <w:tblInd w:w="0" w:type="dxa"/>
        <w:tblLayout w:type="autofit"/>
        <w:tblCellMar>
          <w:top w:w="0" w:type="dxa"/>
          <w:left w:w="108" w:type="dxa"/>
          <w:bottom w:w="0" w:type="dxa"/>
          <w:right w:w="108" w:type="dxa"/>
        </w:tblCellMar>
      </w:tblPr>
      <w:tblGrid>
        <w:gridCol w:w="5300"/>
      </w:tblGrid>
      <w:tr>
        <w:trPr>
          <w:trHeight w:val="698" w:hRule="atLeast"/>
        </w:trPr>
        <w:tc>
          <w:tcPr>
            <w:tcW w:w="5300" w:type="dxa"/>
          </w:tcPr>
          <w:p>
            <w:pPr>
              <w:spacing w:line="500" w:lineRule="exact"/>
              <w:rPr>
                <w:rFonts w:cs="宋体"/>
                <w:spacing w:val="20"/>
              </w:rPr>
            </w:pPr>
            <w:r>
              <w:rPr>
                <w:rFonts w:hint="eastAsia" w:cs="宋体"/>
                <w:sz w:val="24"/>
              </w:rPr>
              <w:t>法定代表人或授权代表签字：</w:t>
            </w:r>
            <w:r>
              <w:rPr>
                <w:rFonts w:hint="eastAsia" w:cs="宋体"/>
                <w:sz w:val="24"/>
                <w:u w:val="single"/>
              </w:rPr>
              <w:t xml:space="preserve">                       </w:t>
            </w:r>
          </w:p>
        </w:tc>
      </w:tr>
      <w:tr>
        <w:trPr>
          <w:trHeight w:val="506" w:hRule="atLeast"/>
        </w:trPr>
        <w:tc>
          <w:tcPr>
            <w:tcW w:w="5300" w:type="dxa"/>
          </w:tcPr>
          <w:p>
            <w:pPr>
              <w:adjustRightInd w:val="0"/>
              <w:snapToGrid w:val="0"/>
              <w:rPr>
                <w:rFonts w:cs="宋体"/>
                <w:spacing w:val="20"/>
              </w:rPr>
            </w:pPr>
            <w:r>
              <w:rPr>
                <w:rFonts w:hint="eastAsia" w:cs="宋体"/>
                <w:sz w:val="24"/>
              </w:rPr>
              <w:t>投标人（公章）：</w:t>
            </w:r>
            <w:r>
              <w:rPr>
                <w:rFonts w:hint="eastAsia" w:cs="宋体"/>
                <w:sz w:val="24"/>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cs="宋体"/>
                <w:spacing w:val="20"/>
              </w:rPr>
            </w:pPr>
            <w:r>
              <w:rPr>
                <w:rFonts w:hint="eastAsia" w:cs="宋体"/>
                <w:sz w:val="24"/>
              </w:rPr>
              <w:t xml:space="preserve">                        年   月   日</w:t>
            </w:r>
          </w:p>
        </w:tc>
      </w:tr>
    </w:tbl>
    <w:p>
      <w:pPr>
        <w:pStyle w:val="45"/>
        <w:widowControl w:val="0"/>
        <w:snapToGrid w:val="0"/>
        <w:spacing w:line="460" w:lineRule="exact"/>
        <w:ind w:firstLine="420" w:firstLineChars="200"/>
        <w:jc w:val="both"/>
        <w:rPr>
          <w:rFonts w:hint="default" w:ascii="Times New Roman" w:hAnsi="Times New Roman" w:cs="宋体"/>
          <w:kern w:val="0"/>
          <w:szCs w:val="21"/>
        </w:rPr>
      </w:pPr>
    </w:p>
    <w:p>
      <w:pPr>
        <w:pStyle w:val="45"/>
        <w:widowControl w:val="0"/>
        <w:snapToGrid w:val="0"/>
        <w:spacing w:line="460" w:lineRule="exact"/>
        <w:jc w:val="both"/>
        <w:rPr>
          <w:rFonts w:hint="default" w:ascii="Times New Roman" w:hAnsi="Times New Roman" w:cs="宋体"/>
          <w:kern w:val="0"/>
          <w:szCs w:val="21"/>
        </w:rPr>
      </w:pPr>
    </w:p>
    <w:sectPr>
      <w:pgSz w:w="11906" w:h="16838"/>
      <w:pgMar w:top="1440" w:right="1803" w:bottom="1440" w:left="1803" w:header="851" w:footer="992" w:gutter="0"/>
      <w:cols w:space="720" w:num="1"/>
      <w:docGrid w:type="lines" w:linePitch="39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PingFang-SC-Regular">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0vmsoBAACa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OsbShy3OPHLj++Xn78vv76R&#10;Ze5PH6DGtPuAiWl46wfcmtkP6MyyBxVt/qIggnHs7vnaXTkkIvKj9Wq9rjAkMDZfEJ89PA8R0jvp&#10;LclGQyOOr3SVnz5AGlPnlFzN+TttTBmhcX85EDN7WOY+csxWGvbDJGjv2zPq6XHyDXW46JSY9w4b&#10;m5dkNuJs7GfjGKI+dEhtWXhBeHNMSKJwyxVG2Kkwjqyom9Yr78Tje8l6+KW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u0vmsoBAACaAwAADgAAAAAAAAABACAAAAAeAQAAZHJzL2Uyb0Rv&#10;Yy54bWxQSwUGAAAAAAYABgBZAQAAWgUAAAAA&#10;">
              <v:fill on="f" focussize="0,0"/>
              <v:stroke on="f"/>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AE+m8kBAACa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ma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AT6byQEAAJoDAAAOAAAAAAAAAAEAIAAAAB4BAABkcnMvZTJvRG9j&#10;LnhtbFBLBQYAAAAABgAGAFkBAABZBQAAAAA=&#10;">
              <v:fill on="f" focussize="0,0"/>
              <v:stroke on="f"/>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fldChar w:fldCharType="begin"/>
                          </w:r>
                          <w:r>
                            <w:instrText xml:space="preserve">PAGE   \* MERGEFORMAT</w:instrText>
                          </w:r>
                          <w:r>
                            <w:fldChar w:fldCharType="separate"/>
                          </w:r>
                          <w:r>
                            <w:rPr>
                              <w:lang w:val="zh-CN"/>
                            </w:rPr>
                            <w:t>6</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wOl2coBAACaAwAADgAAAAAAAAABACAAAAAeAQAAZHJzL2Uyb0Rv&#10;Yy54bWxQSwUGAAAAAAYABgBZAQAAWgUAAAAA&#10;">
              <v:fill on="f" focussize="0,0"/>
              <v:stroke on="f"/>
              <v:imagedata o:title=""/>
              <o:lock v:ext="edit" aspectratio="f"/>
              <v:textbox inset="0mm,0mm,0mm,0mm" style="mso-fit-shape-to-text:t;">
                <w:txbxContent>
                  <w:p>
                    <w:pPr>
                      <w:pStyle w:val="19"/>
                      <w:jc w:val="center"/>
                    </w:pPr>
                    <w:r>
                      <w:fldChar w:fldCharType="begin"/>
                    </w:r>
                    <w:r>
                      <w:instrText xml:space="preserve">PAGE   \* MERGEFORMAT</w:instrText>
                    </w:r>
                    <w:r>
                      <w:fldChar w:fldCharType="separate"/>
                    </w:r>
                    <w:r>
                      <w:rPr>
                        <w:lang w:val="zh-CN"/>
                      </w:rPr>
                      <w:t>6</w:t>
                    </w:r>
                    <w:r>
                      <w:fldChar w:fldCharType="end"/>
                    </w:r>
                  </w:p>
                </w:txbxContent>
              </v:textbox>
            </v:shape>
          </w:pict>
        </mc:Fallback>
      </mc:AlternateContent>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fldChar w:fldCharType="begin"/>
                          </w:r>
                          <w:r>
                            <w:instrText xml:space="preserve">PAGE   \* MERGEFORMAT</w:instrText>
                          </w:r>
                          <w:r>
                            <w:fldChar w:fldCharType="separate"/>
                          </w:r>
                          <w:r>
                            <w:rPr>
                              <w:lang w:val="zh-CN"/>
                            </w:rPr>
                            <w:t>67</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G05uskBAACa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ucu+MWJ3758f3y8/fl1zdy&#10;k/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bTm6yQEAAJoDAAAOAAAAAAAAAAEAIAAAAB4BAABkcnMvZTJvRG9j&#10;LnhtbFBLBQYAAAAABgAGAFkBAABZBQAAAAA=&#10;">
              <v:fill on="f" focussize="0,0"/>
              <v:stroke on="f"/>
              <v:imagedata o:title=""/>
              <o:lock v:ext="edit" aspectratio="f"/>
              <v:textbox inset="0mm,0mm,0mm,0mm" style="mso-fit-shape-to-text:t;">
                <w:txbxContent>
                  <w:p>
                    <w:pPr>
                      <w:pStyle w:val="19"/>
                      <w:jc w:val="center"/>
                    </w:pPr>
                    <w:r>
                      <w:fldChar w:fldCharType="begin"/>
                    </w:r>
                    <w:r>
                      <w:instrText xml:space="preserve">PAGE   \* MERGEFORMAT</w:instrText>
                    </w:r>
                    <w:r>
                      <w:fldChar w:fldCharType="separate"/>
                    </w:r>
                    <w:r>
                      <w:rPr>
                        <w:lang w:val="zh-CN"/>
                      </w:rPr>
                      <w:t>67</w:t>
                    </w:r>
                    <w:r>
                      <w:fldChar w:fldCharType="end"/>
                    </w:r>
                  </w:p>
                </w:txbxContent>
              </v:textbox>
            </v:shape>
          </w:pict>
        </mc:Fallback>
      </mc:AlternateContent>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658499"/>
    <w:multiLevelType w:val="singleLevel"/>
    <w:tmpl w:val="89658499"/>
    <w:lvl w:ilvl="0" w:tentative="0">
      <w:start w:val="6"/>
      <w:numFmt w:val="decimal"/>
      <w:suff w:val="nothing"/>
      <w:lvlText w:val="（%1）"/>
      <w:lvlJc w:val="left"/>
    </w:lvl>
  </w:abstractNum>
  <w:abstractNum w:abstractNumId="1">
    <w:nsid w:val="90154833"/>
    <w:multiLevelType w:val="singleLevel"/>
    <w:tmpl w:val="90154833"/>
    <w:lvl w:ilvl="0" w:tentative="0">
      <w:start w:val="2"/>
      <w:numFmt w:val="decimal"/>
      <w:suff w:val="nothing"/>
      <w:lvlText w:val="（%1）"/>
      <w:lvlJc w:val="left"/>
    </w:lvl>
  </w:abstractNum>
  <w:abstractNum w:abstractNumId="2">
    <w:nsid w:val="D0C04CC6"/>
    <w:multiLevelType w:val="singleLevel"/>
    <w:tmpl w:val="D0C04CC6"/>
    <w:lvl w:ilvl="0" w:tentative="0">
      <w:start w:val="9"/>
      <w:numFmt w:val="decimal"/>
      <w:suff w:val="nothing"/>
      <w:lvlText w:val="（%1）"/>
      <w:lvlJc w:val="left"/>
    </w:lvl>
  </w:abstractNum>
  <w:abstractNum w:abstractNumId="3">
    <w:nsid w:val="00000001"/>
    <w:multiLevelType w:val="singleLevel"/>
    <w:tmpl w:val="00000001"/>
    <w:lvl w:ilvl="0" w:tentative="0">
      <w:start w:val="1"/>
      <w:numFmt w:val="decimal"/>
      <w:pStyle w:val="12"/>
      <w:lvlText w:val="%1."/>
      <w:lvlJc w:val="left"/>
      <w:pPr>
        <w:tabs>
          <w:tab w:val="left" w:pos="1200"/>
        </w:tabs>
        <w:ind w:left="1200" w:hanging="360"/>
      </w:pPr>
    </w:lvl>
  </w:abstractNum>
  <w:abstractNum w:abstractNumId="4">
    <w:nsid w:val="00000002"/>
    <w:multiLevelType w:val="multilevel"/>
    <w:tmpl w:val="00000002"/>
    <w:lvl w:ilvl="0" w:tentative="0">
      <w:start w:val="1"/>
      <w:numFmt w:val="decimal"/>
      <w:pStyle w:val="5"/>
      <w:lvlText w:val="%1．"/>
      <w:lvlJc w:val="left"/>
      <w:pPr>
        <w:tabs>
          <w:tab w:val="left" w:pos="900"/>
        </w:tabs>
        <w:ind w:left="9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0000003"/>
    <w:multiLevelType w:val="multilevel"/>
    <w:tmpl w:val="00000003"/>
    <w:lvl w:ilvl="0" w:tentative="0">
      <w:start w:val="2"/>
      <w:numFmt w:val="japaneseCounting"/>
      <w:lvlText w:val="第%1章"/>
      <w:lvlJc w:val="left"/>
      <w:pPr>
        <w:tabs>
          <w:tab w:val="left" w:pos="1693"/>
        </w:tabs>
        <w:ind w:left="1693" w:hanging="1455"/>
      </w:pPr>
      <w:rPr>
        <w:rFonts w:hint="default"/>
      </w:rPr>
    </w:lvl>
    <w:lvl w:ilvl="1" w:tentative="0">
      <w:start w:val="1"/>
      <w:numFmt w:val="lowerLetter"/>
      <w:lvlText w:val="%2)"/>
      <w:lvlJc w:val="left"/>
      <w:pPr>
        <w:tabs>
          <w:tab w:val="left" w:pos="1078"/>
        </w:tabs>
        <w:ind w:left="1078" w:hanging="420"/>
      </w:pPr>
    </w:lvl>
    <w:lvl w:ilvl="2" w:tentative="0">
      <w:start w:val="1"/>
      <w:numFmt w:val="lowerRoman"/>
      <w:lvlText w:val="%3."/>
      <w:lvlJc w:val="right"/>
      <w:pPr>
        <w:tabs>
          <w:tab w:val="left" w:pos="1498"/>
        </w:tabs>
        <w:ind w:left="1498" w:hanging="420"/>
      </w:pPr>
    </w:lvl>
    <w:lvl w:ilvl="3" w:tentative="0">
      <w:start w:val="1"/>
      <w:numFmt w:val="decimal"/>
      <w:lvlText w:val="%4."/>
      <w:lvlJc w:val="left"/>
      <w:pPr>
        <w:tabs>
          <w:tab w:val="left" w:pos="1918"/>
        </w:tabs>
        <w:ind w:left="1918" w:hanging="420"/>
      </w:pPr>
    </w:lvl>
    <w:lvl w:ilvl="4" w:tentative="0">
      <w:start w:val="1"/>
      <w:numFmt w:val="lowerLetter"/>
      <w:lvlText w:val="%5)"/>
      <w:lvlJc w:val="left"/>
      <w:pPr>
        <w:tabs>
          <w:tab w:val="left" w:pos="2338"/>
        </w:tabs>
        <w:ind w:left="2338" w:hanging="420"/>
      </w:pPr>
    </w:lvl>
    <w:lvl w:ilvl="5" w:tentative="0">
      <w:start w:val="1"/>
      <w:numFmt w:val="lowerRoman"/>
      <w:lvlText w:val="%6."/>
      <w:lvlJc w:val="right"/>
      <w:pPr>
        <w:tabs>
          <w:tab w:val="left" w:pos="2758"/>
        </w:tabs>
        <w:ind w:left="2758" w:hanging="420"/>
      </w:pPr>
    </w:lvl>
    <w:lvl w:ilvl="6" w:tentative="0">
      <w:start w:val="1"/>
      <w:numFmt w:val="decimal"/>
      <w:lvlText w:val="%7."/>
      <w:lvlJc w:val="left"/>
      <w:pPr>
        <w:tabs>
          <w:tab w:val="left" w:pos="3178"/>
        </w:tabs>
        <w:ind w:left="3178" w:hanging="420"/>
      </w:pPr>
    </w:lvl>
    <w:lvl w:ilvl="7" w:tentative="0">
      <w:start w:val="1"/>
      <w:numFmt w:val="lowerLetter"/>
      <w:lvlText w:val="%8)"/>
      <w:lvlJc w:val="left"/>
      <w:pPr>
        <w:tabs>
          <w:tab w:val="left" w:pos="3598"/>
        </w:tabs>
        <w:ind w:left="3598" w:hanging="420"/>
      </w:pPr>
    </w:lvl>
    <w:lvl w:ilvl="8" w:tentative="0">
      <w:start w:val="1"/>
      <w:numFmt w:val="lowerRoman"/>
      <w:lvlText w:val="%9."/>
      <w:lvlJc w:val="right"/>
      <w:pPr>
        <w:tabs>
          <w:tab w:val="left" w:pos="4018"/>
        </w:tabs>
        <w:ind w:left="4018" w:hanging="420"/>
      </w:pPr>
    </w:lvl>
  </w:abstractNum>
  <w:abstractNum w:abstractNumId="6">
    <w:nsid w:val="00000004"/>
    <w:multiLevelType w:val="multilevel"/>
    <w:tmpl w:val="00000004"/>
    <w:lvl w:ilvl="0" w:tentative="0">
      <w:start w:val="5"/>
      <w:numFmt w:val="japaneseCounting"/>
      <w:lvlText w:val="第%1章"/>
      <w:lvlJc w:val="left"/>
      <w:pPr>
        <w:tabs>
          <w:tab w:val="left" w:pos="1455"/>
        </w:tabs>
        <w:ind w:left="1455" w:hanging="145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0000005"/>
    <w:multiLevelType w:val="singleLevel"/>
    <w:tmpl w:val="00000005"/>
    <w:lvl w:ilvl="0" w:tentative="0">
      <w:start w:val="4"/>
      <w:numFmt w:val="chineseCounting"/>
      <w:suff w:val="nothing"/>
      <w:lvlText w:val="（%1）"/>
      <w:lvlJc w:val="left"/>
      <w:rPr>
        <w:rFonts w:hint="eastAsia"/>
      </w:rPr>
    </w:lvl>
  </w:abstractNum>
  <w:abstractNum w:abstractNumId="8">
    <w:nsid w:val="00000006"/>
    <w:multiLevelType w:val="singleLevel"/>
    <w:tmpl w:val="00000006"/>
    <w:lvl w:ilvl="0" w:tentative="0">
      <w:start w:val="4"/>
      <w:numFmt w:val="decimal"/>
      <w:lvlText w:val="%1."/>
      <w:lvlJc w:val="left"/>
      <w:pPr>
        <w:tabs>
          <w:tab w:val="left" w:pos="312"/>
        </w:tabs>
      </w:pPr>
    </w:lvl>
  </w:abstractNum>
  <w:abstractNum w:abstractNumId="9">
    <w:nsid w:val="00000007"/>
    <w:multiLevelType w:val="singleLevel"/>
    <w:tmpl w:val="00000007"/>
    <w:lvl w:ilvl="0" w:tentative="0">
      <w:start w:val="3"/>
      <w:numFmt w:val="chineseCounting"/>
      <w:suff w:val="nothing"/>
      <w:lvlText w:val="%1、"/>
      <w:lvlJc w:val="left"/>
      <w:rPr>
        <w:rFonts w:hint="eastAsia"/>
      </w:rPr>
    </w:lvl>
  </w:abstractNum>
  <w:abstractNum w:abstractNumId="10">
    <w:nsid w:val="00000008"/>
    <w:multiLevelType w:val="singleLevel"/>
    <w:tmpl w:val="00000008"/>
    <w:lvl w:ilvl="0" w:tentative="0">
      <w:start w:val="4"/>
      <w:numFmt w:val="decimal"/>
      <w:suff w:val="space"/>
      <w:lvlText w:val="%1."/>
      <w:lvlJc w:val="left"/>
    </w:lvl>
  </w:abstractNum>
  <w:abstractNum w:abstractNumId="11">
    <w:nsid w:val="00000009"/>
    <w:multiLevelType w:val="singleLevel"/>
    <w:tmpl w:val="00000009"/>
    <w:lvl w:ilvl="0" w:tentative="0">
      <w:start w:val="1"/>
      <w:numFmt w:val="decimal"/>
      <w:suff w:val="nothing"/>
      <w:lvlText w:val="%1."/>
      <w:lvlJc w:val="left"/>
    </w:lvl>
  </w:abstractNum>
  <w:abstractNum w:abstractNumId="12">
    <w:nsid w:val="045EB5EC"/>
    <w:multiLevelType w:val="singleLevel"/>
    <w:tmpl w:val="045EB5EC"/>
    <w:lvl w:ilvl="0" w:tentative="0">
      <w:start w:val="1"/>
      <w:numFmt w:val="chineseCounting"/>
      <w:suff w:val="nothing"/>
      <w:lvlText w:val="%1、"/>
      <w:lvlJc w:val="left"/>
      <w:rPr>
        <w:rFonts w:hint="eastAsia"/>
      </w:rPr>
    </w:lvl>
  </w:abstractNum>
  <w:abstractNum w:abstractNumId="13">
    <w:nsid w:val="2B0453D1"/>
    <w:multiLevelType w:val="singleLevel"/>
    <w:tmpl w:val="2B0453D1"/>
    <w:lvl w:ilvl="0" w:tentative="0">
      <w:start w:val="1"/>
      <w:numFmt w:val="chineseCounting"/>
      <w:suff w:val="nothing"/>
      <w:lvlText w:val="%1、"/>
      <w:lvlJc w:val="left"/>
      <w:rPr>
        <w:rFonts w:hint="eastAsia"/>
      </w:rPr>
    </w:lvl>
  </w:abstractNum>
  <w:abstractNum w:abstractNumId="14">
    <w:nsid w:val="2D532C90"/>
    <w:multiLevelType w:val="singleLevel"/>
    <w:tmpl w:val="2D532C90"/>
    <w:lvl w:ilvl="0" w:tentative="0">
      <w:start w:val="3"/>
      <w:numFmt w:val="decimal"/>
      <w:lvlText w:val="%1."/>
      <w:lvlJc w:val="left"/>
      <w:pPr>
        <w:tabs>
          <w:tab w:val="left" w:pos="312"/>
        </w:tabs>
      </w:pPr>
    </w:lvl>
  </w:abstractNum>
  <w:abstractNum w:abstractNumId="15">
    <w:nsid w:val="2DF73905"/>
    <w:multiLevelType w:val="singleLevel"/>
    <w:tmpl w:val="2DF73905"/>
    <w:lvl w:ilvl="0" w:tentative="0">
      <w:start w:val="12"/>
      <w:numFmt w:val="decimal"/>
      <w:lvlText w:val="%1."/>
      <w:lvlJc w:val="left"/>
      <w:pPr>
        <w:tabs>
          <w:tab w:val="left" w:pos="312"/>
        </w:tabs>
      </w:pPr>
    </w:lvl>
  </w:abstractNum>
  <w:abstractNum w:abstractNumId="16">
    <w:nsid w:val="6CE11D1C"/>
    <w:multiLevelType w:val="singleLevel"/>
    <w:tmpl w:val="6CE11D1C"/>
    <w:lvl w:ilvl="0" w:tentative="0">
      <w:start w:val="4"/>
      <w:numFmt w:val="decimal"/>
      <w:suff w:val="nothing"/>
      <w:lvlText w:val="（%1）"/>
      <w:lvlJc w:val="left"/>
    </w:lvl>
  </w:abstractNum>
  <w:num w:numId="1">
    <w:abstractNumId w:val="4"/>
  </w:num>
  <w:num w:numId="2">
    <w:abstractNumId w:val="3"/>
  </w:num>
  <w:num w:numId="3">
    <w:abstractNumId w:val="10"/>
  </w:num>
  <w:num w:numId="4">
    <w:abstractNumId w:val="5"/>
  </w:num>
  <w:num w:numId="5">
    <w:abstractNumId w:val="9"/>
  </w:num>
  <w:num w:numId="6">
    <w:abstractNumId w:val="12"/>
  </w:num>
  <w:num w:numId="7">
    <w:abstractNumId w:val="15"/>
  </w:num>
  <w:num w:numId="8">
    <w:abstractNumId w:val="13"/>
  </w:num>
  <w:num w:numId="9">
    <w:abstractNumId w:val="14"/>
  </w:num>
  <w:num w:numId="10">
    <w:abstractNumId w:val="0"/>
  </w:num>
  <w:num w:numId="11">
    <w:abstractNumId w:val="2"/>
  </w:num>
  <w:num w:numId="12">
    <w:abstractNumId w:val="11"/>
  </w:num>
  <w:num w:numId="13">
    <w:abstractNumId w:val="16"/>
  </w:num>
  <w:num w:numId="14">
    <w:abstractNumId w:val="7"/>
  </w:num>
  <w:num w:numId="1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95"/>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iMDVkMzk2NWI3ZGVhY2E3YmQyOTIxYzA1NjI3NWEifQ=="/>
  </w:docVars>
  <w:rsids>
    <w:rsidRoot w:val="00172A27"/>
    <w:rsid w:val="00001984"/>
    <w:rsid w:val="00002349"/>
    <w:rsid w:val="00002623"/>
    <w:rsid w:val="000042C6"/>
    <w:rsid w:val="00005801"/>
    <w:rsid w:val="00024D61"/>
    <w:rsid w:val="00027748"/>
    <w:rsid w:val="00027A4A"/>
    <w:rsid w:val="00032B7A"/>
    <w:rsid w:val="00045ECA"/>
    <w:rsid w:val="00046FE6"/>
    <w:rsid w:val="00047045"/>
    <w:rsid w:val="00047758"/>
    <w:rsid w:val="00047C08"/>
    <w:rsid w:val="00054C99"/>
    <w:rsid w:val="00062327"/>
    <w:rsid w:val="00062FD5"/>
    <w:rsid w:val="0007110B"/>
    <w:rsid w:val="00071E60"/>
    <w:rsid w:val="0007205D"/>
    <w:rsid w:val="00072D6B"/>
    <w:rsid w:val="00072F02"/>
    <w:rsid w:val="00074398"/>
    <w:rsid w:val="00074871"/>
    <w:rsid w:val="00075A77"/>
    <w:rsid w:val="0007736E"/>
    <w:rsid w:val="00077962"/>
    <w:rsid w:val="00082D63"/>
    <w:rsid w:val="00084BCB"/>
    <w:rsid w:val="0009405C"/>
    <w:rsid w:val="00094418"/>
    <w:rsid w:val="00095217"/>
    <w:rsid w:val="000A31DC"/>
    <w:rsid w:val="000A52D9"/>
    <w:rsid w:val="000A53A4"/>
    <w:rsid w:val="000A5877"/>
    <w:rsid w:val="000A62B8"/>
    <w:rsid w:val="000B3063"/>
    <w:rsid w:val="000B605D"/>
    <w:rsid w:val="000B73EA"/>
    <w:rsid w:val="000C1B48"/>
    <w:rsid w:val="000C37CD"/>
    <w:rsid w:val="000C6D5D"/>
    <w:rsid w:val="000C7C2C"/>
    <w:rsid w:val="000D06E5"/>
    <w:rsid w:val="000D2A57"/>
    <w:rsid w:val="000D2C8B"/>
    <w:rsid w:val="000D2D6C"/>
    <w:rsid w:val="000D3D72"/>
    <w:rsid w:val="000D4C44"/>
    <w:rsid w:val="000D4DC9"/>
    <w:rsid w:val="000D73B5"/>
    <w:rsid w:val="000E0223"/>
    <w:rsid w:val="000E24E1"/>
    <w:rsid w:val="000E5691"/>
    <w:rsid w:val="000E7B1F"/>
    <w:rsid w:val="000F26BC"/>
    <w:rsid w:val="000F4BE3"/>
    <w:rsid w:val="000F5113"/>
    <w:rsid w:val="00107C25"/>
    <w:rsid w:val="00114012"/>
    <w:rsid w:val="00121766"/>
    <w:rsid w:val="001248D8"/>
    <w:rsid w:val="001256FD"/>
    <w:rsid w:val="0012583C"/>
    <w:rsid w:val="00126ECB"/>
    <w:rsid w:val="00130D3F"/>
    <w:rsid w:val="001311B4"/>
    <w:rsid w:val="001327CB"/>
    <w:rsid w:val="00132EDB"/>
    <w:rsid w:val="00136C61"/>
    <w:rsid w:val="0014242E"/>
    <w:rsid w:val="00143BC3"/>
    <w:rsid w:val="0014456A"/>
    <w:rsid w:val="00144A83"/>
    <w:rsid w:val="00146BF3"/>
    <w:rsid w:val="001473CA"/>
    <w:rsid w:val="001510B8"/>
    <w:rsid w:val="00151F7B"/>
    <w:rsid w:val="0015377F"/>
    <w:rsid w:val="00155B1A"/>
    <w:rsid w:val="00156BC7"/>
    <w:rsid w:val="00157D66"/>
    <w:rsid w:val="00163EB3"/>
    <w:rsid w:val="00166D5D"/>
    <w:rsid w:val="00170A08"/>
    <w:rsid w:val="00172A27"/>
    <w:rsid w:val="00176A10"/>
    <w:rsid w:val="00176B82"/>
    <w:rsid w:val="00177BE7"/>
    <w:rsid w:val="00182F1C"/>
    <w:rsid w:val="00184B09"/>
    <w:rsid w:val="0018629F"/>
    <w:rsid w:val="0018780B"/>
    <w:rsid w:val="001879C0"/>
    <w:rsid w:val="00187A97"/>
    <w:rsid w:val="00191DD6"/>
    <w:rsid w:val="00192BD2"/>
    <w:rsid w:val="001958B1"/>
    <w:rsid w:val="00197B96"/>
    <w:rsid w:val="001A21A1"/>
    <w:rsid w:val="001B135E"/>
    <w:rsid w:val="001B66FE"/>
    <w:rsid w:val="001B773B"/>
    <w:rsid w:val="001C4521"/>
    <w:rsid w:val="001C6A31"/>
    <w:rsid w:val="001D05DA"/>
    <w:rsid w:val="001D1743"/>
    <w:rsid w:val="001E5557"/>
    <w:rsid w:val="001F0F73"/>
    <w:rsid w:val="001F3EAC"/>
    <w:rsid w:val="002069A3"/>
    <w:rsid w:val="00217645"/>
    <w:rsid w:val="00217F78"/>
    <w:rsid w:val="00220C06"/>
    <w:rsid w:val="002213B9"/>
    <w:rsid w:val="00221A76"/>
    <w:rsid w:val="00223488"/>
    <w:rsid w:val="00223E93"/>
    <w:rsid w:val="0022517A"/>
    <w:rsid w:val="00226FE5"/>
    <w:rsid w:val="00232208"/>
    <w:rsid w:val="00234A56"/>
    <w:rsid w:val="0023565F"/>
    <w:rsid w:val="00237FBF"/>
    <w:rsid w:val="0024174A"/>
    <w:rsid w:val="00244130"/>
    <w:rsid w:val="002445C7"/>
    <w:rsid w:val="00247AD5"/>
    <w:rsid w:val="00254AB8"/>
    <w:rsid w:val="0026122D"/>
    <w:rsid w:val="0026199C"/>
    <w:rsid w:val="002636AE"/>
    <w:rsid w:val="00265352"/>
    <w:rsid w:val="00265A38"/>
    <w:rsid w:val="002661C6"/>
    <w:rsid w:val="00266F05"/>
    <w:rsid w:val="002738C9"/>
    <w:rsid w:val="0027591B"/>
    <w:rsid w:val="00276272"/>
    <w:rsid w:val="00276592"/>
    <w:rsid w:val="00283BD6"/>
    <w:rsid w:val="00283D6A"/>
    <w:rsid w:val="002932F9"/>
    <w:rsid w:val="002966EE"/>
    <w:rsid w:val="002974F3"/>
    <w:rsid w:val="002A22D7"/>
    <w:rsid w:val="002A4D88"/>
    <w:rsid w:val="002A6DD8"/>
    <w:rsid w:val="002A6F25"/>
    <w:rsid w:val="002B1057"/>
    <w:rsid w:val="002B598D"/>
    <w:rsid w:val="002B7318"/>
    <w:rsid w:val="002D34F2"/>
    <w:rsid w:val="002D4415"/>
    <w:rsid w:val="002E011B"/>
    <w:rsid w:val="002E0125"/>
    <w:rsid w:val="002E0824"/>
    <w:rsid w:val="002E242A"/>
    <w:rsid w:val="002E3300"/>
    <w:rsid w:val="002E42D2"/>
    <w:rsid w:val="002E56EC"/>
    <w:rsid w:val="002E66DC"/>
    <w:rsid w:val="002E7953"/>
    <w:rsid w:val="002F18CE"/>
    <w:rsid w:val="002F1EDE"/>
    <w:rsid w:val="003061C3"/>
    <w:rsid w:val="003064A9"/>
    <w:rsid w:val="00310995"/>
    <w:rsid w:val="00311EA3"/>
    <w:rsid w:val="00314BFA"/>
    <w:rsid w:val="00314CAD"/>
    <w:rsid w:val="00325569"/>
    <w:rsid w:val="00326165"/>
    <w:rsid w:val="00327EA9"/>
    <w:rsid w:val="00330F55"/>
    <w:rsid w:val="003313B9"/>
    <w:rsid w:val="00331477"/>
    <w:rsid w:val="00331EEF"/>
    <w:rsid w:val="00334231"/>
    <w:rsid w:val="00336051"/>
    <w:rsid w:val="00336142"/>
    <w:rsid w:val="00337AA5"/>
    <w:rsid w:val="003411F9"/>
    <w:rsid w:val="00350068"/>
    <w:rsid w:val="00350F73"/>
    <w:rsid w:val="00354651"/>
    <w:rsid w:val="00361B64"/>
    <w:rsid w:val="003629D0"/>
    <w:rsid w:val="00363AEF"/>
    <w:rsid w:val="00364808"/>
    <w:rsid w:val="00365E1E"/>
    <w:rsid w:val="00365FE4"/>
    <w:rsid w:val="00366AB9"/>
    <w:rsid w:val="0036777F"/>
    <w:rsid w:val="00370277"/>
    <w:rsid w:val="0038270A"/>
    <w:rsid w:val="00384A3A"/>
    <w:rsid w:val="00385AA2"/>
    <w:rsid w:val="00386044"/>
    <w:rsid w:val="003939D6"/>
    <w:rsid w:val="003966B7"/>
    <w:rsid w:val="00397464"/>
    <w:rsid w:val="00397646"/>
    <w:rsid w:val="00397ABC"/>
    <w:rsid w:val="00397C97"/>
    <w:rsid w:val="003A05B6"/>
    <w:rsid w:val="003A6736"/>
    <w:rsid w:val="003A6E1F"/>
    <w:rsid w:val="003B2F9F"/>
    <w:rsid w:val="003B3B4E"/>
    <w:rsid w:val="003B3FAD"/>
    <w:rsid w:val="003B5ADD"/>
    <w:rsid w:val="003B77E7"/>
    <w:rsid w:val="003C1B92"/>
    <w:rsid w:val="003C1D91"/>
    <w:rsid w:val="003C48FF"/>
    <w:rsid w:val="003C6B90"/>
    <w:rsid w:val="003C7699"/>
    <w:rsid w:val="003D096A"/>
    <w:rsid w:val="003D36CD"/>
    <w:rsid w:val="003D539C"/>
    <w:rsid w:val="003D7F87"/>
    <w:rsid w:val="003E1DBF"/>
    <w:rsid w:val="003E2F78"/>
    <w:rsid w:val="003E6840"/>
    <w:rsid w:val="003E7195"/>
    <w:rsid w:val="003E7A4F"/>
    <w:rsid w:val="00400AA9"/>
    <w:rsid w:val="00401A5A"/>
    <w:rsid w:val="00403E7F"/>
    <w:rsid w:val="004073E3"/>
    <w:rsid w:val="00407A31"/>
    <w:rsid w:val="004107A2"/>
    <w:rsid w:val="004107E6"/>
    <w:rsid w:val="00410E0E"/>
    <w:rsid w:val="00411334"/>
    <w:rsid w:val="00411F74"/>
    <w:rsid w:val="004138AB"/>
    <w:rsid w:val="00417957"/>
    <w:rsid w:val="0042459F"/>
    <w:rsid w:val="00426717"/>
    <w:rsid w:val="004268E6"/>
    <w:rsid w:val="00427760"/>
    <w:rsid w:val="00430CFE"/>
    <w:rsid w:val="00434012"/>
    <w:rsid w:val="0043495A"/>
    <w:rsid w:val="00437B0B"/>
    <w:rsid w:val="00441219"/>
    <w:rsid w:val="00441535"/>
    <w:rsid w:val="00446367"/>
    <w:rsid w:val="00451E9A"/>
    <w:rsid w:val="00455975"/>
    <w:rsid w:val="00455B36"/>
    <w:rsid w:val="00460BA5"/>
    <w:rsid w:val="0046464E"/>
    <w:rsid w:val="004664EF"/>
    <w:rsid w:val="00466C91"/>
    <w:rsid w:val="0046753E"/>
    <w:rsid w:val="004702DC"/>
    <w:rsid w:val="00471D54"/>
    <w:rsid w:val="00471FB4"/>
    <w:rsid w:val="004772A2"/>
    <w:rsid w:val="00485E26"/>
    <w:rsid w:val="004867CD"/>
    <w:rsid w:val="00486A49"/>
    <w:rsid w:val="00487E9C"/>
    <w:rsid w:val="00491063"/>
    <w:rsid w:val="00495AF0"/>
    <w:rsid w:val="004A1BFB"/>
    <w:rsid w:val="004A2153"/>
    <w:rsid w:val="004B0817"/>
    <w:rsid w:val="004B53EA"/>
    <w:rsid w:val="004B5826"/>
    <w:rsid w:val="004B6B21"/>
    <w:rsid w:val="004B703F"/>
    <w:rsid w:val="004C35F2"/>
    <w:rsid w:val="004C50EC"/>
    <w:rsid w:val="004C55A5"/>
    <w:rsid w:val="004C5C9A"/>
    <w:rsid w:val="004D26F6"/>
    <w:rsid w:val="004D29A8"/>
    <w:rsid w:val="004D4575"/>
    <w:rsid w:val="004D4AD6"/>
    <w:rsid w:val="004D5766"/>
    <w:rsid w:val="004D5E6F"/>
    <w:rsid w:val="004D749F"/>
    <w:rsid w:val="004D75F9"/>
    <w:rsid w:val="004D7EB0"/>
    <w:rsid w:val="004E08E6"/>
    <w:rsid w:val="004E671D"/>
    <w:rsid w:val="004F4DAF"/>
    <w:rsid w:val="00504627"/>
    <w:rsid w:val="00511370"/>
    <w:rsid w:val="00513BFB"/>
    <w:rsid w:val="00516231"/>
    <w:rsid w:val="0051627A"/>
    <w:rsid w:val="0051740A"/>
    <w:rsid w:val="00524523"/>
    <w:rsid w:val="00526EEB"/>
    <w:rsid w:val="005300DA"/>
    <w:rsid w:val="0053090D"/>
    <w:rsid w:val="00531ADA"/>
    <w:rsid w:val="005409AB"/>
    <w:rsid w:val="00541CC7"/>
    <w:rsid w:val="00543362"/>
    <w:rsid w:val="00544374"/>
    <w:rsid w:val="00544EFB"/>
    <w:rsid w:val="00546231"/>
    <w:rsid w:val="005463F4"/>
    <w:rsid w:val="00552849"/>
    <w:rsid w:val="00554445"/>
    <w:rsid w:val="00555275"/>
    <w:rsid w:val="005556F2"/>
    <w:rsid w:val="00556181"/>
    <w:rsid w:val="00562061"/>
    <w:rsid w:val="00562D29"/>
    <w:rsid w:val="00564B3B"/>
    <w:rsid w:val="00566566"/>
    <w:rsid w:val="00570652"/>
    <w:rsid w:val="00571252"/>
    <w:rsid w:val="00573F3D"/>
    <w:rsid w:val="00575BAE"/>
    <w:rsid w:val="005844DF"/>
    <w:rsid w:val="005862F5"/>
    <w:rsid w:val="00587271"/>
    <w:rsid w:val="00590A19"/>
    <w:rsid w:val="005946AC"/>
    <w:rsid w:val="0059762E"/>
    <w:rsid w:val="005A555F"/>
    <w:rsid w:val="005C5025"/>
    <w:rsid w:val="005D1777"/>
    <w:rsid w:val="005D233E"/>
    <w:rsid w:val="005D41E7"/>
    <w:rsid w:val="005D71D9"/>
    <w:rsid w:val="005E0426"/>
    <w:rsid w:val="005E40C1"/>
    <w:rsid w:val="005F0FD0"/>
    <w:rsid w:val="005F5013"/>
    <w:rsid w:val="0060132D"/>
    <w:rsid w:val="006019E9"/>
    <w:rsid w:val="00606A09"/>
    <w:rsid w:val="00606FFE"/>
    <w:rsid w:val="0060766B"/>
    <w:rsid w:val="00610AC4"/>
    <w:rsid w:val="0061135F"/>
    <w:rsid w:val="00611B4A"/>
    <w:rsid w:val="00613AF1"/>
    <w:rsid w:val="00615CE0"/>
    <w:rsid w:val="006168A9"/>
    <w:rsid w:val="00616B88"/>
    <w:rsid w:val="00617026"/>
    <w:rsid w:val="006248A7"/>
    <w:rsid w:val="00626B86"/>
    <w:rsid w:val="00637B61"/>
    <w:rsid w:val="00640F24"/>
    <w:rsid w:val="00642286"/>
    <w:rsid w:val="00653994"/>
    <w:rsid w:val="00655945"/>
    <w:rsid w:val="00655B48"/>
    <w:rsid w:val="006662D4"/>
    <w:rsid w:val="006669A9"/>
    <w:rsid w:val="00667D16"/>
    <w:rsid w:val="0067123B"/>
    <w:rsid w:val="00673C1D"/>
    <w:rsid w:val="00674A66"/>
    <w:rsid w:val="00675244"/>
    <w:rsid w:val="00675998"/>
    <w:rsid w:val="006762CF"/>
    <w:rsid w:val="00686197"/>
    <w:rsid w:val="0068694E"/>
    <w:rsid w:val="00687F07"/>
    <w:rsid w:val="006930EE"/>
    <w:rsid w:val="00697B52"/>
    <w:rsid w:val="006A1DBF"/>
    <w:rsid w:val="006A27E2"/>
    <w:rsid w:val="006A5FFC"/>
    <w:rsid w:val="006A673D"/>
    <w:rsid w:val="006B0815"/>
    <w:rsid w:val="006B222D"/>
    <w:rsid w:val="006B6A63"/>
    <w:rsid w:val="006B6B53"/>
    <w:rsid w:val="006C4262"/>
    <w:rsid w:val="006D1410"/>
    <w:rsid w:val="006D1B70"/>
    <w:rsid w:val="006D4D8D"/>
    <w:rsid w:val="006D63E3"/>
    <w:rsid w:val="006D6FE6"/>
    <w:rsid w:val="006E0A07"/>
    <w:rsid w:val="006E3EEB"/>
    <w:rsid w:val="006F221D"/>
    <w:rsid w:val="006F3395"/>
    <w:rsid w:val="006F6F73"/>
    <w:rsid w:val="00701CED"/>
    <w:rsid w:val="007032F6"/>
    <w:rsid w:val="00704BBF"/>
    <w:rsid w:val="00707C75"/>
    <w:rsid w:val="0071233A"/>
    <w:rsid w:val="007141C1"/>
    <w:rsid w:val="00714333"/>
    <w:rsid w:val="00714D8D"/>
    <w:rsid w:val="0071574E"/>
    <w:rsid w:val="00717725"/>
    <w:rsid w:val="00717B46"/>
    <w:rsid w:val="00722095"/>
    <w:rsid w:val="00724E30"/>
    <w:rsid w:val="00725EA6"/>
    <w:rsid w:val="0073260A"/>
    <w:rsid w:val="00732C6A"/>
    <w:rsid w:val="0073306B"/>
    <w:rsid w:val="00735444"/>
    <w:rsid w:val="00735461"/>
    <w:rsid w:val="0073645F"/>
    <w:rsid w:val="0073748A"/>
    <w:rsid w:val="007477C6"/>
    <w:rsid w:val="00756A58"/>
    <w:rsid w:val="007604DD"/>
    <w:rsid w:val="007610F4"/>
    <w:rsid w:val="00761D18"/>
    <w:rsid w:val="007625F9"/>
    <w:rsid w:val="0076340D"/>
    <w:rsid w:val="00765BB5"/>
    <w:rsid w:val="007666AB"/>
    <w:rsid w:val="007667B2"/>
    <w:rsid w:val="0076797A"/>
    <w:rsid w:val="007709B9"/>
    <w:rsid w:val="00773BC6"/>
    <w:rsid w:val="007754F6"/>
    <w:rsid w:val="00781FE7"/>
    <w:rsid w:val="00784402"/>
    <w:rsid w:val="00787560"/>
    <w:rsid w:val="00790410"/>
    <w:rsid w:val="00791A0B"/>
    <w:rsid w:val="00797604"/>
    <w:rsid w:val="007A141C"/>
    <w:rsid w:val="007A234E"/>
    <w:rsid w:val="007A335C"/>
    <w:rsid w:val="007A3D1E"/>
    <w:rsid w:val="007B3BBC"/>
    <w:rsid w:val="007B3C01"/>
    <w:rsid w:val="007B5ACF"/>
    <w:rsid w:val="007B5FDB"/>
    <w:rsid w:val="007C0BF7"/>
    <w:rsid w:val="007C2CF1"/>
    <w:rsid w:val="007C721D"/>
    <w:rsid w:val="007D4CDD"/>
    <w:rsid w:val="007E1FAD"/>
    <w:rsid w:val="007E46D8"/>
    <w:rsid w:val="007E5985"/>
    <w:rsid w:val="007F0063"/>
    <w:rsid w:val="007F6788"/>
    <w:rsid w:val="007F69F2"/>
    <w:rsid w:val="007F7159"/>
    <w:rsid w:val="00800404"/>
    <w:rsid w:val="0080041A"/>
    <w:rsid w:val="00803101"/>
    <w:rsid w:val="008033D9"/>
    <w:rsid w:val="0080529E"/>
    <w:rsid w:val="008059FD"/>
    <w:rsid w:val="00810027"/>
    <w:rsid w:val="00811C73"/>
    <w:rsid w:val="0081212A"/>
    <w:rsid w:val="00812A22"/>
    <w:rsid w:val="0081427E"/>
    <w:rsid w:val="0081607C"/>
    <w:rsid w:val="008220B0"/>
    <w:rsid w:val="00823FB1"/>
    <w:rsid w:val="00832D1B"/>
    <w:rsid w:val="00833768"/>
    <w:rsid w:val="00833DCD"/>
    <w:rsid w:val="0083428F"/>
    <w:rsid w:val="00843130"/>
    <w:rsid w:val="008541F2"/>
    <w:rsid w:val="0085590E"/>
    <w:rsid w:val="00855971"/>
    <w:rsid w:val="00855DA9"/>
    <w:rsid w:val="00856DE2"/>
    <w:rsid w:val="00861953"/>
    <w:rsid w:val="00863768"/>
    <w:rsid w:val="00865CB4"/>
    <w:rsid w:val="00871C14"/>
    <w:rsid w:val="00882BA6"/>
    <w:rsid w:val="00883D3F"/>
    <w:rsid w:val="008844C7"/>
    <w:rsid w:val="00886285"/>
    <w:rsid w:val="00890DE9"/>
    <w:rsid w:val="008910EE"/>
    <w:rsid w:val="00894709"/>
    <w:rsid w:val="008953E3"/>
    <w:rsid w:val="00895AD5"/>
    <w:rsid w:val="008A05F7"/>
    <w:rsid w:val="008A3828"/>
    <w:rsid w:val="008A3F73"/>
    <w:rsid w:val="008B1EB9"/>
    <w:rsid w:val="008B2FE9"/>
    <w:rsid w:val="008B3CCB"/>
    <w:rsid w:val="008B667E"/>
    <w:rsid w:val="008C3743"/>
    <w:rsid w:val="008C7812"/>
    <w:rsid w:val="008D45ED"/>
    <w:rsid w:val="008D79D1"/>
    <w:rsid w:val="008E24F5"/>
    <w:rsid w:val="008E28A9"/>
    <w:rsid w:val="008F0CBA"/>
    <w:rsid w:val="008F4A8B"/>
    <w:rsid w:val="008F65D0"/>
    <w:rsid w:val="008F70ED"/>
    <w:rsid w:val="008F71CD"/>
    <w:rsid w:val="0090155A"/>
    <w:rsid w:val="00905542"/>
    <w:rsid w:val="009123E8"/>
    <w:rsid w:val="00913719"/>
    <w:rsid w:val="00913B80"/>
    <w:rsid w:val="00921FAE"/>
    <w:rsid w:val="009228AB"/>
    <w:rsid w:val="00922A65"/>
    <w:rsid w:val="00932E99"/>
    <w:rsid w:val="00934D8C"/>
    <w:rsid w:val="00943EE0"/>
    <w:rsid w:val="009459A6"/>
    <w:rsid w:val="009460AE"/>
    <w:rsid w:val="009475C0"/>
    <w:rsid w:val="00954163"/>
    <w:rsid w:val="00963688"/>
    <w:rsid w:val="00970874"/>
    <w:rsid w:val="00971DC7"/>
    <w:rsid w:val="009745CF"/>
    <w:rsid w:val="00975B78"/>
    <w:rsid w:val="0098340A"/>
    <w:rsid w:val="00983C37"/>
    <w:rsid w:val="009848F1"/>
    <w:rsid w:val="00985F67"/>
    <w:rsid w:val="00990CA9"/>
    <w:rsid w:val="00990E47"/>
    <w:rsid w:val="00991155"/>
    <w:rsid w:val="009923AE"/>
    <w:rsid w:val="009A0D3A"/>
    <w:rsid w:val="009A4549"/>
    <w:rsid w:val="009B1D28"/>
    <w:rsid w:val="009B224B"/>
    <w:rsid w:val="009C05FD"/>
    <w:rsid w:val="009C4CF6"/>
    <w:rsid w:val="009C6A7B"/>
    <w:rsid w:val="009C6F54"/>
    <w:rsid w:val="009D3B53"/>
    <w:rsid w:val="009E2FE6"/>
    <w:rsid w:val="009E407E"/>
    <w:rsid w:val="009F5510"/>
    <w:rsid w:val="009F5536"/>
    <w:rsid w:val="009F6CA2"/>
    <w:rsid w:val="00A007CB"/>
    <w:rsid w:val="00A009E1"/>
    <w:rsid w:val="00A02B6C"/>
    <w:rsid w:val="00A108F4"/>
    <w:rsid w:val="00A14A6B"/>
    <w:rsid w:val="00A23D43"/>
    <w:rsid w:val="00A24FD6"/>
    <w:rsid w:val="00A279AC"/>
    <w:rsid w:val="00A27DF7"/>
    <w:rsid w:val="00A33598"/>
    <w:rsid w:val="00A33F2F"/>
    <w:rsid w:val="00A34A62"/>
    <w:rsid w:val="00A35BBE"/>
    <w:rsid w:val="00A3647B"/>
    <w:rsid w:val="00A36B7B"/>
    <w:rsid w:val="00A40448"/>
    <w:rsid w:val="00A41058"/>
    <w:rsid w:val="00A448CC"/>
    <w:rsid w:val="00A457EE"/>
    <w:rsid w:val="00A4659D"/>
    <w:rsid w:val="00A51E5D"/>
    <w:rsid w:val="00A54965"/>
    <w:rsid w:val="00A55950"/>
    <w:rsid w:val="00A56488"/>
    <w:rsid w:val="00A61E10"/>
    <w:rsid w:val="00A70107"/>
    <w:rsid w:val="00A72A79"/>
    <w:rsid w:val="00A72C8C"/>
    <w:rsid w:val="00A819E8"/>
    <w:rsid w:val="00A82356"/>
    <w:rsid w:val="00A84AA6"/>
    <w:rsid w:val="00A90A33"/>
    <w:rsid w:val="00A91DA7"/>
    <w:rsid w:val="00A9213C"/>
    <w:rsid w:val="00A93534"/>
    <w:rsid w:val="00A95DCF"/>
    <w:rsid w:val="00AA20F4"/>
    <w:rsid w:val="00AA2931"/>
    <w:rsid w:val="00AA32BB"/>
    <w:rsid w:val="00AA4A35"/>
    <w:rsid w:val="00AB384C"/>
    <w:rsid w:val="00AB4D0E"/>
    <w:rsid w:val="00AB5BEB"/>
    <w:rsid w:val="00AC1AC0"/>
    <w:rsid w:val="00AC652E"/>
    <w:rsid w:val="00AC7291"/>
    <w:rsid w:val="00AD0F9D"/>
    <w:rsid w:val="00AE0477"/>
    <w:rsid w:val="00AE1466"/>
    <w:rsid w:val="00AE1DF8"/>
    <w:rsid w:val="00AE4877"/>
    <w:rsid w:val="00AE4924"/>
    <w:rsid w:val="00AE4C7A"/>
    <w:rsid w:val="00AE7064"/>
    <w:rsid w:val="00AF2B21"/>
    <w:rsid w:val="00AF42B2"/>
    <w:rsid w:val="00AF64DA"/>
    <w:rsid w:val="00AF7F7F"/>
    <w:rsid w:val="00B0243A"/>
    <w:rsid w:val="00B0414C"/>
    <w:rsid w:val="00B06FEA"/>
    <w:rsid w:val="00B071C2"/>
    <w:rsid w:val="00B07D84"/>
    <w:rsid w:val="00B10B96"/>
    <w:rsid w:val="00B12049"/>
    <w:rsid w:val="00B133B5"/>
    <w:rsid w:val="00B17BEA"/>
    <w:rsid w:val="00B217DC"/>
    <w:rsid w:val="00B23F8E"/>
    <w:rsid w:val="00B25B11"/>
    <w:rsid w:val="00B37C4A"/>
    <w:rsid w:val="00B4233C"/>
    <w:rsid w:val="00B51F07"/>
    <w:rsid w:val="00B54EB0"/>
    <w:rsid w:val="00B555F9"/>
    <w:rsid w:val="00B60932"/>
    <w:rsid w:val="00B62C0C"/>
    <w:rsid w:val="00B6693C"/>
    <w:rsid w:val="00B67C2F"/>
    <w:rsid w:val="00B726B0"/>
    <w:rsid w:val="00B75A2C"/>
    <w:rsid w:val="00B76654"/>
    <w:rsid w:val="00B77ED3"/>
    <w:rsid w:val="00B804B9"/>
    <w:rsid w:val="00B80CA9"/>
    <w:rsid w:val="00B80CC0"/>
    <w:rsid w:val="00B8377A"/>
    <w:rsid w:val="00B83D8F"/>
    <w:rsid w:val="00B84ED9"/>
    <w:rsid w:val="00B85D9B"/>
    <w:rsid w:val="00B928F8"/>
    <w:rsid w:val="00B93B05"/>
    <w:rsid w:val="00B93B23"/>
    <w:rsid w:val="00BA26B9"/>
    <w:rsid w:val="00BA2819"/>
    <w:rsid w:val="00BA62B7"/>
    <w:rsid w:val="00BA7F7A"/>
    <w:rsid w:val="00BB0BEE"/>
    <w:rsid w:val="00BB48B9"/>
    <w:rsid w:val="00BB4E92"/>
    <w:rsid w:val="00BB64D0"/>
    <w:rsid w:val="00BB7E01"/>
    <w:rsid w:val="00BC0F9A"/>
    <w:rsid w:val="00BC2E43"/>
    <w:rsid w:val="00BC3DF6"/>
    <w:rsid w:val="00BC4364"/>
    <w:rsid w:val="00BD59DE"/>
    <w:rsid w:val="00BE4466"/>
    <w:rsid w:val="00BE5544"/>
    <w:rsid w:val="00BE6BC7"/>
    <w:rsid w:val="00BE7439"/>
    <w:rsid w:val="00BF3B9E"/>
    <w:rsid w:val="00BF44B4"/>
    <w:rsid w:val="00BF5CB3"/>
    <w:rsid w:val="00BF6FC4"/>
    <w:rsid w:val="00C00460"/>
    <w:rsid w:val="00C02811"/>
    <w:rsid w:val="00C0465D"/>
    <w:rsid w:val="00C1160D"/>
    <w:rsid w:val="00C12CFE"/>
    <w:rsid w:val="00C14319"/>
    <w:rsid w:val="00C15757"/>
    <w:rsid w:val="00C22DB4"/>
    <w:rsid w:val="00C26173"/>
    <w:rsid w:val="00C31119"/>
    <w:rsid w:val="00C321E0"/>
    <w:rsid w:val="00C34FE7"/>
    <w:rsid w:val="00C352B2"/>
    <w:rsid w:val="00C37118"/>
    <w:rsid w:val="00C40729"/>
    <w:rsid w:val="00C47792"/>
    <w:rsid w:val="00C571AA"/>
    <w:rsid w:val="00C6194C"/>
    <w:rsid w:val="00C61D96"/>
    <w:rsid w:val="00C629D8"/>
    <w:rsid w:val="00C62F4F"/>
    <w:rsid w:val="00C650A6"/>
    <w:rsid w:val="00C7099B"/>
    <w:rsid w:val="00C70CF6"/>
    <w:rsid w:val="00C742EC"/>
    <w:rsid w:val="00C74EA1"/>
    <w:rsid w:val="00C82B21"/>
    <w:rsid w:val="00C836AF"/>
    <w:rsid w:val="00C83A1B"/>
    <w:rsid w:val="00C85B83"/>
    <w:rsid w:val="00C94ED8"/>
    <w:rsid w:val="00C95352"/>
    <w:rsid w:val="00CA1AB8"/>
    <w:rsid w:val="00CA2511"/>
    <w:rsid w:val="00CA2FA4"/>
    <w:rsid w:val="00CA47D2"/>
    <w:rsid w:val="00CA6E5C"/>
    <w:rsid w:val="00CB4EAF"/>
    <w:rsid w:val="00CB6AB6"/>
    <w:rsid w:val="00CC133A"/>
    <w:rsid w:val="00CC27E0"/>
    <w:rsid w:val="00CC499B"/>
    <w:rsid w:val="00CC4D8A"/>
    <w:rsid w:val="00CC61FC"/>
    <w:rsid w:val="00CC713F"/>
    <w:rsid w:val="00CD0707"/>
    <w:rsid w:val="00CD0ED8"/>
    <w:rsid w:val="00CD1F22"/>
    <w:rsid w:val="00CD7E9A"/>
    <w:rsid w:val="00CE036C"/>
    <w:rsid w:val="00CE1167"/>
    <w:rsid w:val="00CE1431"/>
    <w:rsid w:val="00CE404A"/>
    <w:rsid w:val="00CE4F82"/>
    <w:rsid w:val="00CE59AD"/>
    <w:rsid w:val="00CE6515"/>
    <w:rsid w:val="00CE75F6"/>
    <w:rsid w:val="00CE7DEC"/>
    <w:rsid w:val="00CF2C5D"/>
    <w:rsid w:val="00CF7B40"/>
    <w:rsid w:val="00D0299B"/>
    <w:rsid w:val="00D03D54"/>
    <w:rsid w:val="00D07307"/>
    <w:rsid w:val="00D07C04"/>
    <w:rsid w:val="00D1681B"/>
    <w:rsid w:val="00D16AD9"/>
    <w:rsid w:val="00D2007A"/>
    <w:rsid w:val="00D26056"/>
    <w:rsid w:val="00D26C5F"/>
    <w:rsid w:val="00D27360"/>
    <w:rsid w:val="00D30B93"/>
    <w:rsid w:val="00D358C7"/>
    <w:rsid w:val="00D37A4A"/>
    <w:rsid w:val="00D453D4"/>
    <w:rsid w:val="00D46386"/>
    <w:rsid w:val="00D51322"/>
    <w:rsid w:val="00D51733"/>
    <w:rsid w:val="00D52DF3"/>
    <w:rsid w:val="00D555D6"/>
    <w:rsid w:val="00D57310"/>
    <w:rsid w:val="00D658A3"/>
    <w:rsid w:val="00D70742"/>
    <w:rsid w:val="00D70AD7"/>
    <w:rsid w:val="00D71260"/>
    <w:rsid w:val="00D73129"/>
    <w:rsid w:val="00D734BD"/>
    <w:rsid w:val="00D757A1"/>
    <w:rsid w:val="00D75C10"/>
    <w:rsid w:val="00D80348"/>
    <w:rsid w:val="00D80CC4"/>
    <w:rsid w:val="00D91D07"/>
    <w:rsid w:val="00D94634"/>
    <w:rsid w:val="00D9516B"/>
    <w:rsid w:val="00DA07E4"/>
    <w:rsid w:val="00DA396F"/>
    <w:rsid w:val="00DA6880"/>
    <w:rsid w:val="00DB6480"/>
    <w:rsid w:val="00DC4327"/>
    <w:rsid w:val="00DC53AA"/>
    <w:rsid w:val="00DC5D58"/>
    <w:rsid w:val="00DC5E62"/>
    <w:rsid w:val="00DD32F1"/>
    <w:rsid w:val="00DD3511"/>
    <w:rsid w:val="00DD49FD"/>
    <w:rsid w:val="00DD4C90"/>
    <w:rsid w:val="00DD779B"/>
    <w:rsid w:val="00DE3C88"/>
    <w:rsid w:val="00DE3D39"/>
    <w:rsid w:val="00DE5781"/>
    <w:rsid w:val="00DF204E"/>
    <w:rsid w:val="00DF4387"/>
    <w:rsid w:val="00DF6532"/>
    <w:rsid w:val="00DF71D7"/>
    <w:rsid w:val="00DF7E24"/>
    <w:rsid w:val="00E0338D"/>
    <w:rsid w:val="00E03B1D"/>
    <w:rsid w:val="00E06200"/>
    <w:rsid w:val="00E12106"/>
    <w:rsid w:val="00E14793"/>
    <w:rsid w:val="00E20772"/>
    <w:rsid w:val="00E207E2"/>
    <w:rsid w:val="00E20BDD"/>
    <w:rsid w:val="00E26F31"/>
    <w:rsid w:val="00E30359"/>
    <w:rsid w:val="00E30578"/>
    <w:rsid w:val="00E31C86"/>
    <w:rsid w:val="00E330A2"/>
    <w:rsid w:val="00E33AFF"/>
    <w:rsid w:val="00E3547A"/>
    <w:rsid w:val="00E40924"/>
    <w:rsid w:val="00E4447D"/>
    <w:rsid w:val="00E4614A"/>
    <w:rsid w:val="00E51F5D"/>
    <w:rsid w:val="00E5773F"/>
    <w:rsid w:val="00E601D6"/>
    <w:rsid w:val="00E6727A"/>
    <w:rsid w:val="00E74810"/>
    <w:rsid w:val="00E87493"/>
    <w:rsid w:val="00E955F0"/>
    <w:rsid w:val="00E9684C"/>
    <w:rsid w:val="00EA0D16"/>
    <w:rsid w:val="00EA17C7"/>
    <w:rsid w:val="00EA2ECF"/>
    <w:rsid w:val="00EA62A5"/>
    <w:rsid w:val="00EA697D"/>
    <w:rsid w:val="00EB23FF"/>
    <w:rsid w:val="00EB30EF"/>
    <w:rsid w:val="00EB4382"/>
    <w:rsid w:val="00EB53EA"/>
    <w:rsid w:val="00EB60B2"/>
    <w:rsid w:val="00EC06E0"/>
    <w:rsid w:val="00EC18F5"/>
    <w:rsid w:val="00EC6310"/>
    <w:rsid w:val="00EC79AB"/>
    <w:rsid w:val="00ED15ED"/>
    <w:rsid w:val="00ED2853"/>
    <w:rsid w:val="00ED4CC2"/>
    <w:rsid w:val="00EE22ED"/>
    <w:rsid w:val="00EE4A00"/>
    <w:rsid w:val="00EE50D4"/>
    <w:rsid w:val="00EE63A5"/>
    <w:rsid w:val="00EE67A2"/>
    <w:rsid w:val="00EE71A0"/>
    <w:rsid w:val="00EF0ADC"/>
    <w:rsid w:val="00EF1B42"/>
    <w:rsid w:val="00EF3324"/>
    <w:rsid w:val="00EF5157"/>
    <w:rsid w:val="00EF5527"/>
    <w:rsid w:val="00F03A93"/>
    <w:rsid w:val="00F0753C"/>
    <w:rsid w:val="00F12F97"/>
    <w:rsid w:val="00F15436"/>
    <w:rsid w:val="00F155A1"/>
    <w:rsid w:val="00F16EF7"/>
    <w:rsid w:val="00F176E0"/>
    <w:rsid w:val="00F3253B"/>
    <w:rsid w:val="00F36932"/>
    <w:rsid w:val="00F378BD"/>
    <w:rsid w:val="00F40854"/>
    <w:rsid w:val="00F419B2"/>
    <w:rsid w:val="00F42139"/>
    <w:rsid w:val="00F4483D"/>
    <w:rsid w:val="00F44982"/>
    <w:rsid w:val="00F46AE9"/>
    <w:rsid w:val="00F46E59"/>
    <w:rsid w:val="00F52487"/>
    <w:rsid w:val="00F6031D"/>
    <w:rsid w:val="00F6089B"/>
    <w:rsid w:val="00F61B8C"/>
    <w:rsid w:val="00F61EA0"/>
    <w:rsid w:val="00F628A0"/>
    <w:rsid w:val="00F64B59"/>
    <w:rsid w:val="00F6701D"/>
    <w:rsid w:val="00F70AE2"/>
    <w:rsid w:val="00F73A1A"/>
    <w:rsid w:val="00F7405C"/>
    <w:rsid w:val="00F755F0"/>
    <w:rsid w:val="00F75BAD"/>
    <w:rsid w:val="00F80D87"/>
    <w:rsid w:val="00F841C5"/>
    <w:rsid w:val="00F842BC"/>
    <w:rsid w:val="00F8592B"/>
    <w:rsid w:val="00F900E7"/>
    <w:rsid w:val="00F9087F"/>
    <w:rsid w:val="00FA0CF5"/>
    <w:rsid w:val="00FA1601"/>
    <w:rsid w:val="00FA5B37"/>
    <w:rsid w:val="00FB0D39"/>
    <w:rsid w:val="00FB2761"/>
    <w:rsid w:val="00FB2AB5"/>
    <w:rsid w:val="00FB5072"/>
    <w:rsid w:val="00FB5B76"/>
    <w:rsid w:val="00FC0D21"/>
    <w:rsid w:val="00FC1E46"/>
    <w:rsid w:val="00FC24F0"/>
    <w:rsid w:val="00FC5DD6"/>
    <w:rsid w:val="00FD258D"/>
    <w:rsid w:val="00FD3EB8"/>
    <w:rsid w:val="00FD54F8"/>
    <w:rsid w:val="00FD69F7"/>
    <w:rsid w:val="00FD6E05"/>
    <w:rsid w:val="00FD7416"/>
    <w:rsid w:val="00FE07AC"/>
    <w:rsid w:val="00FE34A4"/>
    <w:rsid w:val="00FE3D2D"/>
    <w:rsid w:val="00FE41E9"/>
    <w:rsid w:val="00FE42CE"/>
    <w:rsid w:val="00FE462E"/>
    <w:rsid w:val="00FF4073"/>
    <w:rsid w:val="00FF5EFA"/>
    <w:rsid w:val="00FF6068"/>
    <w:rsid w:val="00FF7A10"/>
    <w:rsid w:val="01001B5E"/>
    <w:rsid w:val="01063CC2"/>
    <w:rsid w:val="010A4923"/>
    <w:rsid w:val="01124D29"/>
    <w:rsid w:val="0116312F"/>
    <w:rsid w:val="01163A44"/>
    <w:rsid w:val="014852B3"/>
    <w:rsid w:val="01A76E8A"/>
    <w:rsid w:val="01B01053"/>
    <w:rsid w:val="01DA1A45"/>
    <w:rsid w:val="020A0236"/>
    <w:rsid w:val="02236C5C"/>
    <w:rsid w:val="024C492F"/>
    <w:rsid w:val="025008C3"/>
    <w:rsid w:val="02A11C60"/>
    <w:rsid w:val="02AB69F3"/>
    <w:rsid w:val="02C17896"/>
    <w:rsid w:val="02D42D8B"/>
    <w:rsid w:val="02FF5E45"/>
    <w:rsid w:val="030C0485"/>
    <w:rsid w:val="03263873"/>
    <w:rsid w:val="032804A9"/>
    <w:rsid w:val="035D3297"/>
    <w:rsid w:val="03773C2D"/>
    <w:rsid w:val="037D38C4"/>
    <w:rsid w:val="03A431D1"/>
    <w:rsid w:val="03A52453"/>
    <w:rsid w:val="03BE2EF8"/>
    <w:rsid w:val="03E175A9"/>
    <w:rsid w:val="03F87CED"/>
    <w:rsid w:val="04294F27"/>
    <w:rsid w:val="042B771B"/>
    <w:rsid w:val="043B6EEC"/>
    <w:rsid w:val="044E401A"/>
    <w:rsid w:val="04665BE4"/>
    <w:rsid w:val="04776F67"/>
    <w:rsid w:val="047A5783"/>
    <w:rsid w:val="047B679C"/>
    <w:rsid w:val="047C27F8"/>
    <w:rsid w:val="048A5CBF"/>
    <w:rsid w:val="04B21296"/>
    <w:rsid w:val="04E114BA"/>
    <w:rsid w:val="04E2157A"/>
    <w:rsid w:val="04E66617"/>
    <w:rsid w:val="050F5ABF"/>
    <w:rsid w:val="054364BD"/>
    <w:rsid w:val="057E0093"/>
    <w:rsid w:val="058D3D45"/>
    <w:rsid w:val="058E4591"/>
    <w:rsid w:val="059D3192"/>
    <w:rsid w:val="05A131E3"/>
    <w:rsid w:val="05A86D61"/>
    <w:rsid w:val="05D7679B"/>
    <w:rsid w:val="05DC1EC2"/>
    <w:rsid w:val="05F77751"/>
    <w:rsid w:val="060914B4"/>
    <w:rsid w:val="06500E91"/>
    <w:rsid w:val="0676144E"/>
    <w:rsid w:val="06764826"/>
    <w:rsid w:val="0677360E"/>
    <w:rsid w:val="067C7B36"/>
    <w:rsid w:val="069507AA"/>
    <w:rsid w:val="06A54AB4"/>
    <w:rsid w:val="06E72E78"/>
    <w:rsid w:val="0717375D"/>
    <w:rsid w:val="074B1659"/>
    <w:rsid w:val="07812C00"/>
    <w:rsid w:val="0790350F"/>
    <w:rsid w:val="079B1316"/>
    <w:rsid w:val="07AB5451"/>
    <w:rsid w:val="07AB7C67"/>
    <w:rsid w:val="07CA07CF"/>
    <w:rsid w:val="07DE256F"/>
    <w:rsid w:val="081B6C33"/>
    <w:rsid w:val="08716F6F"/>
    <w:rsid w:val="08803584"/>
    <w:rsid w:val="08962DA7"/>
    <w:rsid w:val="08C130BA"/>
    <w:rsid w:val="08FF6B9F"/>
    <w:rsid w:val="099A2423"/>
    <w:rsid w:val="09A40D32"/>
    <w:rsid w:val="09BF0A3A"/>
    <w:rsid w:val="09C81BCC"/>
    <w:rsid w:val="09D65B3E"/>
    <w:rsid w:val="0A104101"/>
    <w:rsid w:val="0A2E3537"/>
    <w:rsid w:val="0A326CE6"/>
    <w:rsid w:val="0A3960CF"/>
    <w:rsid w:val="0A3B0D4F"/>
    <w:rsid w:val="0A73514E"/>
    <w:rsid w:val="0A8415F4"/>
    <w:rsid w:val="0A8530D4"/>
    <w:rsid w:val="0AB522A1"/>
    <w:rsid w:val="0AB917DA"/>
    <w:rsid w:val="0ADE5B87"/>
    <w:rsid w:val="0AE70B60"/>
    <w:rsid w:val="0B1E5AB2"/>
    <w:rsid w:val="0B270C36"/>
    <w:rsid w:val="0B41349E"/>
    <w:rsid w:val="0B51679E"/>
    <w:rsid w:val="0B5605CC"/>
    <w:rsid w:val="0B6963D7"/>
    <w:rsid w:val="0B7C44D7"/>
    <w:rsid w:val="0BA65976"/>
    <w:rsid w:val="0BBE2A58"/>
    <w:rsid w:val="0BD554E2"/>
    <w:rsid w:val="0BDC07D7"/>
    <w:rsid w:val="0BDC7FEA"/>
    <w:rsid w:val="0BF33D96"/>
    <w:rsid w:val="0BFD31AF"/>
    <w:rsid w:val="0C000C64"/>
    <w:rsid w:val="0C114F73"/>
    <w:rsid w:val="0C126BE9"/>
    <w:rsid w:val="0C453225"/>
    <w:rsid w:val="0C516E8A"/>
    <w:rsid w:val="0C776A4C"/>
    <w:rsid w:val="0C7C2DF5"/>
    <w:rsid w:val="0CA505F3"/>
    <w:rsid w:val="0CA84E57"/>
    <w:rsid w:val="0CAE625B"/>
    <w:rsid w:val="0CB657C6"/>
    <w:rsid w:val="0CC72431"/>
    <w:rsid w:val="0CCB55E1"/>
    <w:rsid w:val="0CCE2B10"/>
    <w:rsid w:val="0D356555"/>
    <w:rsid w:val="0D3F09CA"/>
    <w:rsid w:val="0D6A33DA"/>
    <w:rsid w:val="0D8C3641"/>
    <w:rsid w:val="0DA447F0"/>
    <w:rsid w:val="0DBA0DF9"/>
    <w:rsid w:val="0DDB56AC"/>
    <w:rsid w:val="0E1950AF"/>
    <w:rsid w:val="0E2D7D0A"/>
    <w:rsid w:val="0E3319A8"/>
    <w:rsid w:val="0E603C3C"/>
    <w:rsid w:val="0E606851"/>
    <w:rsid w:val="0E6347DE"/>
    <w:rsid w:val="0E822AB0"/>
    <w:rsid w:val="0E8F2029"/>
    <w:rsid w:val="0EAB60D1"/>
    <w:rsid w:val="0EB97DC8"/>
    <w:rsid w:val="0EFF236D"/>
    <w:rsid w:val="0F0457B1"/>
    <w:rsid w:val="0F0F291E"/>
    <w:rsid w:val="0F37206A"/>
    <w:rsid w:val="0F381B48"/>
    <w:rsid w:val="0F3B2477"/>
    <w:rsid w:val="0F3D3344"/>
    <w:rsid w:val="0F496843"/>
    <w:rsid w:val="0F4B62EE"/>
    <w:rsid w:val="0F5A1190"/>
    <w:rsid w:val="0F8E0BAA"/>
    <w:rsid w:val="0FB9678A"/>
    <w:rsid w:val="0FC013C2"/>
    <w:rsid w:val="0FC740A2"/>
    <w:rsid w:val="0FCE2E27"/>
    <w:rsid w:val="0FDC19E8"/>
    <w:rsid w:val="0FE16FFE"/>
    <w:rsid w:val="0FF82765"/>
    <w:rsid w:val="100A2363"/>
    <w:rsid w:val="10C73563"/>
    <w:rsid w:val="10D51C23"/>
    <w:rsid w:val="110E46DF"/>
    <w:rsid w:val="112D4587"/>
    <w:rsid w:val="112F10E3"/>
    <w:rsid w:val="11550396"/>
    <w:rsid w:val="115D26B4"/>
    <w:rsid w:val="117A6649"/>
    <w:rsid w:val="11AF36F9"/>
    <w:rsid w:val="11C664AC"/>
    <w:rsid w:val="11C91AF8"/>
    <w:rsid w:val="11F43569"/>
    <w:rsid w:val="120B565F"/>
    <w:rsid w:val="1223765C"/>
    <w:rsid w:val="125A1394"/>
    <w:rsid w:val="1290594D"/>
    <w:rsid w:val="12942106"/>
    <w:rsid w:val="12952DD0"/>
    <w:rsid w:val="129812AD"/>
    <w:rsid w:val="12B02CB8"/>
    <w:rsid w:val="12BE649B"/>
    <w:rsid w:val="12D82983"/>
    <w:rsid w:val="12FB5BE1"/>
    <w:rsid w:val="132A2A6A"/>
    <w:rsid w:val="133D5893"/>
    <w:rsid w:val="13AC363E"/>
    <w:rsid w:val="13AF2FA6"/>
    <w:rsid w:val="13E34020"/>
    <w:rsid w:val="13E40E6B"/>
    <w:rsid w:val="13E778F9"/>
    <w:rsid w:val="13F34B40"/>
    <w:rsid w:val="13F55BF3"/>
    <w:rsid w:val="13F84C5A"/>
    <w:rsid w:val="14215C74"/>
    <w:rsid w:val="142739E0"/>
    <w:rsid w:val="145D0DC9"/>
    <w:rsid w:val="145E2AD3"/>
    <w:rsid w:val="14753770"/>
    <w:rsid w:val="147E306D"/>
    <w:rsid w:val="14BE07A1"/>
    <w:rsid w:val="14BE3386"/>
    <w:rsid w:val="14D32671"/>
    <w:rsid w:val="14D4020C"/>
    <w:rsid w:val="14D41C03"/>
    <w:rsid w:val="14DE6CD9"/>
    <w:rsid w:val="1553386F"/>
    <w:rsid w:val="15946076"/>
    <w:rsid w:val="15AA307D"/>
    <w:rsid w:val="15B657BC"/>
    <w:rsid w:val="15D75D0D"/>
    <w:rsid w:val="15DE3DEF"/>
    <w:rsid w:val="15E66B7F"/>
    <w:rsid w:val="15E72E94"/>
    <w:rsid w:val="15FC6940"/>
    <w:rsid w:val="160E0421"/>
    <w:rsid w:val="1615767F"/>
    <w:rsid w:val="161A46BB"/>
    <w:rsid w:val="163634D4"/>
    <w:rsid w:val="165A2942"/>
    <w:rsid w:val="165D5879"/>
    <w:rsid w:val="167F761B"/>
    <w:rsid w:val="16810BF3"/>
    <w:rsid w:val="16900E36"/>
    <w:rsid w:val="16B26FFE"/>
    <w:rsid w:val="16D53149"/>
    <w:rsid w:val="16EB69B9"/>
    <w:rsid w:val="16F53ADB"/>
    <w:rsid w:val="1736605C"/>
    <w:rsid w:val="173D7DBE"/>
    <w:rsid w:val="17611A1C"/>
    <w:rsid w:val="177B7C80"/>
    <w:rsid w:val="177C7E05"/>
    <w:rsid w:val="17907C9D"/>
    <w:rsid w:val="17996410"/>
    <w:rsid w:val="17A15A11"/>
    <w:rsid w:val="17B9616B"/>
    <w:rsid w:val="17BA1205"/>
    <w:rsid w:val="17DD00AB"/>
    <w:rsid w:val="17F5500C"/>
    <w:rsid w:val="18144BAA"/>
    <w:rsid w:val="184D75C3"/>
    <w:rsid w:val="18714C97"/>
    <w:rsid w:val="18730DFE"/>
    <w:rsid w:val="188C71F1"/>
    <w:rsid w:val="189A237C"/>
    <w:rsid w:val="18B20FCE"/>
    <w:rsid w:val="18D421C1"/>
    <w:rsid w:val="18E12580"/>
    <w:rsid w:val="18F21625"/>
    <w:rsid w:val="19304CE1"/>
    <w:rsid w:val="1937471B"/>
    <w:rsid w:val="19401500"/>
    <w:rsid w:val="195107BB"/>
    <w:rsid w:val="196643BF"/>
    <w:rsid w:val="1974289A"/>
    <w:rsid w:val="19783F70"/>
    <w:rsid w:val="199A7335"/>
    <w:rsid w:val="19AD2E78"/>
    <w:rsid w:val="19DD6C77"/>
    <w:rsid w:val="19E23FF9"/>
    <w:rsid w:val="19F542F7"/>
    <w:rsid w:val="1A027389"/>
    <w:rsid w:val="1A217549"/>
    <w:rsid w:val="1A2C1C95"/>
    <w:rsid w:val="1A4B597B"/>
    <w:rsid w:val="1A6B2874"/>
    <w:rsid w:val="1A911621"/>
    <w:rsid w:val="1A985863"/>
    <w:rsid w:val="1B0414F3"/>
    <w:rsid w:val="1B05138E"/>
    <w:rsid w:val="1B0E67CD"/>
    <w:rsid w:val="1B1C775D"/>
    <w:rsid w:val="1B325698"/>
    <w:rsid w:val="1B3A3A66"/>
    <w:rsid w:val="1B440441"/>
    <w:rsid w:val="1BC608A1"/>
    <w:rsid w:val="1BD30DF3"/>
    <w:rsid w:val="1BEC57B2"/>
    <w:rsid w:val="1BFA7D68"/>
    <w:rsid w:val="1BFD21D4"/>
    <w:rsid w:val="1C1E269A"/>
    <w:rsid w:val="1C33576D"/>
    <w:rsid w:val="1C422C68"/>
    <w:rsid w:val="1C542906"/>
    <w:rsid w:val="1C625AEC"/>
    <w:rsid w:val="1C730FDE"/>
    <w:rsid w:val="1C986C96"/>
    <w:rsid w:val="1C9C4DED"/>
    <w:rsid w:val="1CC433BE"/>
    <w:rsid w:val="1CEF38A0"/>
    <w:rsid w:val="1D0936F0"/>
    <w:rsid w:val="1D0A5DA2"/>
    <w:rsid w:val="1D156539"/>
    <w:rsid w:val="1D166BAD"/>
    <w:rsid w:val="1D23001C"/>
    <w:rsid w:val="1D2A25D1"/>
    <w:rsid w:val="1D2B3667"/>
    <w:rsid w:val="1D3F7112"/>
    <w:rsid w:val="1D6E0673"/>
    <w:rsid w:val="1D7B38D4"/>
    <w:rsid w:val="1DD63B86"/>
    <w:rsid w:val="1DDA2DF7"/>
    <w:rsid w:val="1DE72025"/>
    <w:rsid w:val="1DF3687A"/>
    <w:rsid w:val="1DFE0D7B"/>
    <w:rsid w:val="1E7E3C6A"/>
    <w:rsid w:val="1E8F1DFD"/>
    <w:rsid w:val="1EAB5BD5"/>
    <w:rsid w:val="1EDD06DE"/>
    <w:rsid w:val="1EEC3226"/>
    <w:rsid w:val="1EF833C2"/>
    <w:rsid w:val="1EFB0A89"/>
    <w:rsid w:val="1F0A47B1"/>
    <w:rsid w:val="1F134CFA"/>
    <w:rsid w:val="1F446C62"/>
    <w:rsid w:val="1F600191"/>
    <w:rsid w:val="1FA07F1A"/>
    <w:rsid w:val="1FC03223"/>
    <w:rsid w:val="1FC976E3"/>
    <w:rsid w:val="1FEA725E"/>
    <w:rsid w:val="200E13AF"/>
    <w:rsid w:val="201E50A4"/>
    <w:rsid w:val="205D6E6A"/>
    <w:rsid w:val="206646EC"/>
    <w:rsid w:val="207033FB"/>
    <w:rsid w:val="208714FC"/>
    <w:rsid w:val="20B468AC"/>
    <w:rsid w:val="20B971DB"/>
    <w:rsid w:val="21006EEB"/>
    <w:rsid w:val="212C6E20"/>
    <w:rsid w:val="216925DC"/>
    <w:rsid w:val="217501FF"/>
    <w:rsid w:val="218079CF"/>
    <w:rsid w:val="2210107D"/>
    <w:rsid w:val="22467E29"/>
    <w:rsid w:val="224904BE"/>
    <w:rsid w:val="224B00E3"/>
    <w:rsid w:val="22515A34"/>
    <w:rsid w:val="225729A0"/>
    <w:rsid w:val="226D36FB"/>
    <w:rsid w:val="227606CE"/>
    <w:rsid w:val="227F3E9A"/>
    <w:rsid w:val="229A76A0"/>
    <w:rsid w:val="22A805E7"/>
    <w:rsid w:val="22AC3D46"/>
    <w:rsid w:val="23005595"/>
    <w:rsid w:val="23627FFE"/>
    <w:rsid w:val="236B2A0F"/>
    <w:rsid w:val="238553C6"/>
    <w:rsid w:val="238A33FC"/>
    <w:rsid w:val="2393512D"/>
    <w:rsid w:val="23A81370"/>
    <w:rsid w:val="23C97FD8"/>
    <w:rsid w:val="240B2444"/>
    <w:rsid w:val="243E69F1"/>
    <w:rsid w:val="24403720"/>
    <w:rsid w:val="24882207"/>
    <w:rsid w:val="24AB32DF"/>
    <w:rsid w:val="24FB400F"/>
    <w:rsid w:val="251B343E"/>
    <w:rsid w:val="25387269"/>
    <w:rsid w:val="254C061E"/>
    <w:rsid w:val="255569C0"/>
    <w:rsid w:val="25A3744A"/>
    <w:rsid w:val="25B83EC5"/>
    <w:rsid w:val="25BD21CE"/>
    <w:rsid w:val="25ED125D"/>
    <w:rsid w:val="25EF3DCB"/>
    <w:rsid w:val="26030BAD"/>
    <w:rsid w:val="260E7FC9"/>
    <w:rsid w:val="26665D83"/>
    <w:rsid w:val="26760048"/>
    <w:rsid w:val="26990EDB"/>
    <w:rsid w:val="26C4511D"/>
    <w:rsid w:val="26C461C8"/>
    <w:rsid w:val="26DF3BDC"/>
    <w:rsid w:val="26E21546"/>
    <w:rsid w:val="26F31699"/>
    <w:rsid w:val="26F50752"/>
    <w:rsid w:val="27003DB6"/>
    <w:rsid w:val="27075861"/>
    <w:rsid w:val="271905D4"/>
    <w:rsid w:val="272A4BF6"/>
    <w:rsid w:val="27325CA4"/>
    <w:rsid w:val="275E41E0"/>
    <w:rsid w:val="27887D7C"/>
    <w:rsid w:val="279B588D"/>
    <w:rsid w:val="27A80978"/>
    <w:rsid w:val="27DC212D"/>
    <w:rsid w:val="27DE6779"/>
    <w:rsid w:val="27E62FAC"/>
    <w:rsid w:val="2840774B"/>
    <w:rsid w:val="287C56BE"/>
    <w:rsid w:val="28C14C4B"/>
    <w:rsid w:val="28CB3F50"/>
    <w:rsid w:val="28E31645"/>
    <w:rsid w:val="28ED514D"/>
    <w:rsid w:val="28FC247A"/>
    <w:rsid w:val="28FD6DE0"/>
    <w:rsid w:val="28FE2577"/>
    <w:rsid w:val="291C2586"/>
    <w:rsid w:val="292C5F75"/>
    <w:rsid w:val="294C32D7"/>
    <w:rsid w:val="297F4F06"/>
    <w:rsid w:val="29933E65"/>
    <w:rsid w:val="299A404E"/>
    <w:rsid w:val="29AC1FD3"/>
    <w:rsid w:val="29CD7D6C"/>
    <w:rsid w:val="29EC0919"/>
    <w:rsid w:val="2A3B692A"/>
    <w:rsid w:val="2A524B0E"/>
    <w:rsid w:val="2A701253"/>
    <w:rsid w:val="2A813380"/>
    <w:rsid w:val="2A8B2C9B"/>
    <w:rsid w:val="2AA026A1"/>
    <w:rsid w:val="2AAD032E"/>
    <w:rsid w:val="2AC22ABA"/>
    <w:rsid w:val="2AD942B9"/>
    <w:rsid w:val="2AE249E2"/>
    <w:rsid w:val="2AF24965"/>
    <w:rsid w:val="2B3B1088"/>
    <w:rsid w:val="2B463418"/>
    <w:rsid w:val="2B464E5D"/>
    <w:rsid w:val="2B4E55B0"/>
    <w:rsid w:val="2B6932D3"/>
    <w:rsid w:val="2B6A72EF"/>
    <w:rsid w:val="2B6D12EE"/>
    <w:rsid w:val="2B793CB1"/>
    <w:rsid w:val="2BC20C79"/>
    <w:rsid w:val="2C6B6D03"/>
    <w:rsid w:val="2C8E32D5"/>
    <w:rsid w:val="2C8E64FC"/>
    <w:rsid w:val="2C9A0D73"/>
    <w:rsid w:val="2CBD2719"/>
    <w:rsid w:val="2CF77A09"/>
    <w:rsid w:val="2D186C04"/>
    <w:rsid w:val="2D202ABC"/>
    <w:rsid w:val="2D3A24D2"/>
    <w:rsid w:val="2D7B5132"/>
    <w:rsid w:val="2D834DF9"/>
    <w:rsid w:val="2DD27913"/>
    <w:rsid w:val="2DEC1431"/>
    <w:rsid w:val="2DFE2A5D"/>
    <w:rsid w:val="2E3E70F8"/>
    <w:rsid w:val="2E4907D9"/>
    <w:rsid w:val="2E673818"/>
    <w:rsid w:val="2E825BDA"/>
    <w:rsid w:val="2E871B46"/>
    <w:rsid w:val="2E89421B"/>
    <w:rsid w:val="2EAD28B8"/>
    <w:rsid w:val="2EB52844"/>
    <w:rsid w:val="2EC734DD"/>
    <w:rsid w:val="2ED05B5D"/>
    <w:rsid w:val="2ED1391F"/>
    <w:rsid w:val="2EF75E89"/>
    <w:rsid w:val="2F083DE2"/>
    <w:rsid w:val="2F5D6E4C"/>
    <w:rsid w:val="2F6E0DA7"/>
    <w:rsid w:val="2FC073EA"/>
    <w:rsid w:val="2FE3352C"/>
    <w:rsid w:val="2FF5027E"/>
    <w:rsid w:val="301C3480"/>
    <w:rsid w:val="301C55C4"/>
    <w:rsid w:val="303F594F"/>
    <w:rsid w:val="304A280B"/>
    <w:rsid w:val="305A3439"/>
    <w:rsid w:val="3074735B"/>
    <w:rsid w:val="30A04ED9"/>
    <w:rsid w:val="30D2231F"/>
    <w:rsid w:val="30E0129F"/>
    <w:rsid w:val="30F252A3"/>
    <w:rsid w:val="3103697D"/>
    <w:rsid w:val="310F5232"/>
    <w:rsid w:val="312807C5"/>
    <w:rsid w:val="315911A3"/>
    <w:rsid w:val="317409D9"/>
    <w:rsid w:val="31765C1A"/>
    <w:rsid w:val="31875A22"/>
    <w:rsid w:val="31877D77"/>
    <w:rsid w:val="31A737AC"/>
    <w:rsid w:val="31C21620"/>
    <w:rsid w:val="31F878CC"/>
    <w:rsid w:val="3220312D"/>
    <w:rsid w:val="326B77A4"/>
    <w:rsid w:val="327B0795"/>
    <w:rsid w:val="328C0BF4"/>
    <w:rsid w:val="33077AC8"/>
    <w:rsid w:val="331A4E4A"/>
    <w:rsid w:val="33454368"/>
    <w:rsid w:val="337A3800"/>
    <w:rsid w:val="338C38DC"/>
    <w:rsid w:val="339B1221"/>
    <w:rsid w:val="339B2615"/>
    <w:rsid w:val="33A00285"/>
    <w:rsid w:val="34311A53"/>
    <w:rsid w:val="34403A44"/>
    <w:rsid w:val="3447392B"/>
    <w:rsid w:val="344C23E9"/>
    <w:rsid w:val="3464038B"/>
    <w:rsid w:val="346574F5"/>
    <w:rsid w:val="349749F1"/>
    <w:rsid w:val="34D671A9"/>
    <w:rsid w:val="34DF2BCF"/>
    <w:rsid w:val="352B1636"/>
    <w:rsid w:val="352F5F49"/>
    <w:rsid w:val="35411821"/>
    <w:rsid w:val="354E43E4"/>
    <w:rsid w:val="356F43E5"/>
    <w:rsid w:val="35944047"/>
    <w:rsid w:val="35A60136"/>
    <w:rsid w:val="35B93619"/>
    <w:rsid w:val="35BA7826"/>
    <w:rsid w:val="35DB6B01"/>
    <w:rsid w:val="35E46020"/>
    <w:rsid w:val="35E773C9"/>
    <w:rsid w:val="360A60B7"/>
    <w:rsid w:val="360B5649"/>
    <w:rsid w:val="36321AB2"/>
    <w:rsid w:val="3650514E"/>
    <w:rsid w:val="36570D18"/>
    <w:rsid w:val="368A1B00"/>
    <w:rsid w:val="36D339EE"/>
    <w:rsid w:val="36DD3AE4"/>
    <w:rsid w:val="37022ABB"/>
    <w:rsid w:val="3716780B"/>
    <w:rsid w:val="376522F0"/>
    <w:rsid w:val="376A7E82"/>
    <w:rsid w:val="377F2AD5"/>
    <w:rsid w:val="378B5F23"/>
    <w:rsid w:val="37B16C04"/>
    <w:rsid w:val="38070C73"/>
    <w:rsid w:val="38192565"/>
    <w:rsid w:val="382E3ABD"/>
    <w:rsid w:val="38516FC9"/>
    <w:rsid w:val="385C2808"/>
    <w:rsid w:val="387E061C"/>
    <w:rsid w:val="388A48F9"/>
    <w:rsid w:val="38983763"/>
    <w:rsid w:val="38C17411"/>
    <w:rsid w:val="38E01351"/>
    <w:rsid w:val="38EC419A"/>
    <w:rsid w:val="38EF38F4"/>
    <w:rsid w:val="392619B0"/>
    <w:rsid w:val="392C146E"/>
    <w:rsid w:val="39567866"/>
    <w:rsid w:val="395874F4"/>
    <w:rsid w:val="395A55A8"/>
    <w:rsid w:val="39677CD4"/>
    <w:rsid w:val="39682BED"/>
    <w:rsid w:val="39742D90"/>
    <w:rsid w:val="397D1296"/>
    <w:rsid w:val="397F3DCC"/>
    <w:rsid w:val="398A2255"/>
    <w:rsid w:val="39A65F10"/>
    <w:rsid w:val="39C00414"/>
    <w:rsid w:val="39C54FB4"/>
    <w:rsid w:val="39D15E06"/>
    <w:rsid w:val="39DF615C"/>
    <w:rsid w:val="39EE7A9E"/>
    <w:rsid w:val="39F7017B"/>
    <w:rsid w:val="3A125E82"/>
    <w:rsid w:val="3A3D5165"/>
    <w:rsid w:val="3A5E2E76"/>
    <w:rsid w:val="3A6505D4"/>
    <w:rsid w:val="3A783BA5"/>
    <w:rsid w:val="3AA27420"/>
    <w:rsid w:val="3AA82BC2"/>
    <w:rsid w:val="3ACC36CE"/>
    <w:rsid w:val="3B0B6E7C"/>
    <w:rsid w:val="3B127B19"/>
    <w:rsid w:val="3B1E7CCD"/>
    <w:rsid w:val="3B4262F3"/>
    <w:rsid w:val="3B581673"/>
    <w:rsid w:val="3B5A297A"/>
    <w:rsid w:val="3B822B94"/>
    <w:rsid w:val="3B872525"/>
    <w:rsid w:val="3B8A37F6"/>
    <w:rsid w:val="3B8B64B0"/>
    <w:rsid w:val="3B8E06FC"/>
    <w:rsid w:val="3B950B19"/>
    <w:rsid w:val="3BBC6944"/>
    <w:rsid w:val="3BE13A25"/>
    <w:rsid w:val="3BF515B8"/>
    <w:rsid w:val="3C2B322B"/>
    <w:rsid w:val="3C2C4CA1"/>
    <w:rsid w:val="3C2D5E14"/>
    <w:rsid w:val="3C54662F"/>
    <w:rsid w:val="3C7F61F6"/>
    <w:rsid w:val="3C935B94"/>
    <w:rsid w:val="3C992BFE"/>
    <w:rsid w:val="3C9D28F6"/>
    <w:rsid w:val="3CCF6198"/>
    <w:rsid w:val="3CED436D"/>
    <w:rsid w:val="3D217C8B"/>
    <w:rsid w:val="3D2A753B"/>
    <w:rsid w:val="3D2B1C7E"/>
    <w:rsid w:val="3D2C0E05"/>
    <w:rsid w:val="3D3B0E23"/>
    <w:rsid w:val="3D500E0F"/>
    <w:rsid w:val="3D5773DE"/>
    <w:rsid w:val="3D684B92"/>
    <w:rsid w:val="3D7563D6"/>
    <w:rsid w:val="3D9842B8"/>
    <w:rsid w:val="3D992A28"/>
    <w:rsid w:val="3DB83FB4"/>
    <w:rsid w:val="3DC01751"/>
    <w:rsid w:val="3DE216B7"/>
    <w:rsid w:val="3E043D34"/>
    <w:rsid w:val="3E1F0B6E"/>
    <w:rsid w:val="3E202ABE"/>
    <w:rsid w:val="3E401D38"/>
    <w:rsid w:val="3E8A625B"/>
    <w:rsid w:val="3E8F6706"/>
    <w:rsid w:val="3E903F31"/>
    <w:rsid w:val="3EEF3872"/>
    <w:rsid w:val="3F305BA9"/>
    <w:rsid w:val="3F32042D"/>
    <w:rsid w:val="3F336086"/>
    <w:rsid w:val="3F4D5267"/>
    <w:rsid w:val="3F7E26B9"/>
    <w:rsid w:val="3FA7706D"/>
    <w:rsid w:val="3FB84DD6"/>
    <w:rsid w:val="3FBC009E"/>
    <w:rsid w:val="3FC15B2B"/>
    <w:rsid w:val="3FD55988"/>
    <w:rsid w:val="3FF40A9D"/>
    <w:rsid w:val="4004722B"/>
    <w:rsid w:val="402648F5"/>
    <w:rsid w:val="402B55A8"/>
    <w:rsid w:val="403E20C8"/>
    <w:rsid w:val="4084115C"/>
    <w:rsid w:val="40A23043"/>
    <w:rsid w:val="40C8294A"/>
    <w:rsid w:val="40D17D68"/>
    <w:rsid w:val="40D8300F"/>
    <w:rsid w:val="40E8497C"/>
    <w:rsid w:val="40FD5EE9"/>
    <w:rsid w:val="41112CD0"/>
    <w:rsid w:val="411A5597"/>
    <w:rsid w:val="411B0315"/>
    <w:rsid w:val="41316EF3"/>
    <w:rsid w:val="413A6F64"/>
    <w:rsid w:val="41491CAD"/>
    <w:rsid w:val="41823CD5"/>
    <w:rsid w:val="419326BB"/>
    <w:rsid w:val="41A409B2"/>
    <w:rsid w:val="41A834C6"/>
    <w:rsid w:val="41C32464"/>
    <w:rsid w:val="41EC0D67"/>
    <w:rsid w:val="41FA43B1"/>
    <w:rsid w:val="41FB37CE"/>
    <w:rsid w:val="427505E1"/>
    <w:rsid w:val="4282038A"/>
    <w:rsid w:val="42B42EE1"/>
    <w:rsid w:val="42D36F85"/>
    <w:rsid w:val="42E50621"/>
    <w:rsid w:val="42F475FA"/>
    <w:rsid w:val="43072D27"/>
    <w:rsid w:val="430970B3"/>
    <w:rsid w:val="431C567C"/>
    <w:rsid w:val="43234CA6"/>
    <w:rsid w:val="432F53AF"/>
    <w:rsid w:val="43356160"/>
    <w:rsid w:val="434C5141"/>
    <w:rsid w:val="436D6BB8"/>
    <w:rsid w:val="43792DF1"/>
    <w:rsid w:val="438F3E6B"/>
    <w:rsid w:val="43970571"/>
    <w:rsid w:val="43C5499C"/>
    <w:rsid w:val="43D66D2C"/>
    <w:rsid w:val="43EF0DD7"/>
    <w:rsid w:val="44113B7A"/>
    <w:rsid w:val="4411464B"/>
    <w:rsid w:val="4430746A"/>
    <w:rsid w:val="445C71ED"/>
    <w:rsid w:val="44623562"/>
    <w:rsid w:val="449F4E0F"/>
    <w:rsid w:val="44E64193"/>
    <w:rsid w:val="44F6635D"/>
    <w:rsid w:val="452D33EB"/>
    <w:rsid w:val="452F443F"/>
    <w:rsid w:val="453D2741"/>
    <w:rsid w:val="45477D64"/>
    <w:rsid w:val="45B002FD"/>
    <w:rsid w:val="45C1250B"/>
    <w:rsid w:val="45D86377"/>
    <w:rsid w:val="46292047"/>
    <w:rsid w:val="4632339B"/>
    <w:rsid w:val="466748D8"/>
    <w:rsid w:val="46881655"/>
    <w:rsid w:val="46BC1D42"/>
    <w:rsid w:val="46D33095"/>
    <w:rsid w:val="47160869"/>
    <w:rsid w:val="472802BA"/>
    <w:rsid w:val="47347438"/>
    <w:rsid w:val="4747273F"/>
    <w:rsid w:val="474F5997"/>
    <w:rsid w:val="47645AB9"/>
    <w:rsid w:val="47773CE8"/>
    <w:rsid w:val="47E40FB4"/>
    <w:rsid w:val="47F646ED"/>
    <w:rsid w:val="482F3048"/>
    <w:rsid w:val="483142DD"/>
    <w:rsid w:val="483B42DE"/>
    <w:rsid w:val="4878079E"/>
    <w:rsid w:val="487E10A4"/>
    <w:rsid w:val="48A45D34"/>
    <w:rsid w:val="48C97ACD"/>
    <w:rsid w:val="490270C2"/>
    <w:rsid w:val="4944592C"/>
    <w:rsid w:val="49671298"/>
    <w:rsid w:val="49E24320"/>
    <w:rsid w:val="49FE1D2E"/>
    <w:rsid w:val="4A560762"/>
    <w:rsid w:val="4A5E657A"/>
    <w:rsid w:val="4A7F4E6E"/>
    <w:rsid w:val="4A861667"/>
    <w:rsid w:val="4AA5726B"/>
    <w:rsid w:val="4ABB3631"/>
    <w:rsid w:val="4ACA56B2"/>
    <w:rsid w:val="4ACC208B"/>
    <w:rsid w:val="4AD27F4E"/>
    <w:rsid w:val="4ADC01A6"/>
    <w:rsid w:val="4AFC534F"/>
    <w:rsid w:val="4B077A5F"/>
    <w:rsid w:val="4B180E1F"/>
    <w:rsid w:val="4B536284"/>
    <w:rsid w:val="4BB866F1"/>
    <w:rsid w:val="4BBF129A"/>
    <w:rsid w:val="4C053D8D"/>
    <w:rsid w:val="4C0C3935"/>
    <w:rsid w:val="4C167988"/>
    <w:rsid w:val="4C260696"/>
    <w:rsid w:val="4C3954F1"/>
    <w:rsid w:val="4C722A71"/>
    <w:rsid w:val="4C941A29"/>
    <w:rsid w:val="4CAA3CF8"/>
    <w:rsid w:val="4CCC1EC1"/>
    <w:rsid w:val="4CD12DC0"/>
    <w:rsid w:val="4CF7130D"/>
    <w:rsid w:val="4CF92CA3"/>
    <w:rsid w:val="4D111FCA"/>
    <w:rsid w:val="4D553C64"/>
    <w:rsid w:val="4D773505"/>
    <w:rsid w:val="4D773F3B"/>
    <w:rsid w:val="4D7B7396"/>
    <w:rsid w:val="4D834155"/>
    <w:rsid w:val="4D88228C"/>
    <w:rsid w:val="4D9C3E12"/>
    <w:rsid w:val="4DDE1806"/>
    <w:rsid w:val="4DE216D6"/>
    <w:rsid w:val="4DED51F7"/>
    <w:rsid w:val="4DF5024C"/>
    <w:rsid w:val="4E130168"/>
    <w:rsid w:val="4E3F055F"/>
    <w:rsid w:val="4E4346AD"/>
    <w:rsid w:val="4E620F99"/>
    <w:rsid w:val="4E6E0739"/>
    <w:rsid w:val="4E742F1F"/>
    <w:rsid w:val="4EB736E0"/>
    <w:rsid w:val="4EC43E50"/>
    <w:rsid w:val="4EF22CDE"/>
    <w:rsid w:val="4F1702EC"/>
    <w:rsid w:val="4F1C25A3"/>
    <w:rsid w:val="4F7A0973"/>
    <w:rsid w:val="4F8545A9"/>
    <w:rsid w:val="4FB70C06"/>
    <w:rsid w:val="4FD64330"/>
    <w:rsid w:val="502320A0"/>
    <w:rsid w:val="502E571C"/>
    <w:rsid w:val="50394230"/>
    <w:rsid w:val="5044333E"/>
    <w:rsid w:val="5051105B"/>
    <w:rsid w:val="50A54F03"/>
    <w:rsid w:val="50A96145"/>
    <w:rsid w:val="50B430AE"/>
    <w:rsid w:val="50CF5CE2"/>
    <w:rsid w:val="50F40E16"/>
    <w:rsid w:val="50FE3D1C"/>
    <w:rsid w:val="511C096F"/>
    <w:rsid w:val="511D6026"/>
    <w:rsid w:val="51501312"/>
    <w:rsid w:val="515704BC"/>
    <w:rsid w:val="51771FE4"/>
    <w:rsid w:val="51795361"/>
    <w:rsid w:val="51AD6D73"/>
    <w:rsid w:val="51B43ED4"/>
    <w:rsid w:val="51C868DA"/>
    <w:rsid w:val="51F438CA"/>
    <w:rsid w:val="51FB5560"/>
    <w:rsid w:val="52092C77"/>
    <w:rsid w:val="52121D22"/>
    <w:rsid w:val="52AD62F0"/>
    <w:rsid w:val="52AE5F42"/>
    <w:rsid w:val="52C47E12"/>
    <w:rsid w:val="52DC7AE8"/>
    <w:rsid w:val="52EB02EF"/>
    <w:rsid w:val="530F48B5"/>
    <w:rsid w:val="531247BE"/>
    <w:rsid w:val="531D5224"/>
    <w:rsid w:val="533B7DA0"/>
    <w:rsid w:val="535D1AC5"/>
    <w:rsid w:val="536A25DE"/>
    <w:rsid w:val="53A5521A"/>
    <w:rsid w:val="53CD7DC4"/>
    <w:rsid w:val="53E44D27"/>
    <w:rsid w:val="53E76FB2"/>
    <w:rsid w:val="53EE406A"/>
    <w:rsid w:val="54011CFC"/>
    <w:rsid w:val="54316AAD"/>
    <w:rsid w:val="54575D03"/>
    <w:rsid w:val="546D3BCA"/>
    <w:rsid w:val="5473144E"/>
    <w:rsid w:val="548B0C37"/>
    <w:rsid w:val="54B567AD"/>
    <w:rsid w:val="54B847B8"/>
    <w:rsid w:val="54D578CD"/>
    <w:rsid w:val="54EA306C"/>
    <w:rsid w:val="54F6689E"/>
    <w:rsid w:val="54FC692E"/>
    <w:rsid w:val="5515731C"/>
    <w:rsid w:val="55220F76"/>
    <w:rsid w:val="55222714"/>
    <w:rsid w:val="5540169E"/>
    <w:rsid w:val="556D2AB7"/>
    <w:rsid w:val="5574133C"/>
    <w:rsid w:val="55911C0D"/>
    <w:rsid w:val="55B54B90"/>
    <w:rsid w:val="55CF321D"/>
    <w:rsid w:val="55D062D0"/>
    <w:rsid w:val="55E825A4"/>
    <w:rsid w:val="55EB60CA"/>
    <w:rsid w:val="55EE52A7"/>
    <w:rsid w:val="56310FE7"/>
    <w:rsid w:val="56457DC8"/>
    <w:rsid w:val="566B274A"/>
    <w:rsid w:val="566D2AC3"/>
    <w:rsid w:val="56792B1C"/>
    <w:rsid w:val="56911BDD"/>
    <w:rsid w:val="5691360E"/>
    <w:rsid w:val="56B168F4"/>
    <w:rsid w:val="56B85908"/>
    <w:rsid w:val="56D85CBD"/>
    <w:rsid w:val="56EC1D3D"/>
    <w:rsid w:val="570D71F2"/>
    <w:rsid w:val="571E5992"/>
    <w:rsid w:val="571E5A0F"/>
    <w:rsid w:val="57236B81"/>
    <w:rsid w:val="572E3CF9"/>
    <w:rsid w:val="575C29CA"/>
    <w:rsid w:val="578F2469"/>
    <w:rsid w:val="579741AD"/>
    <w:rsid w:val="57A9639F"/>
    <w:rsid w:val="57F8000E"/>
    <w:rsid w:val="57FB2FF4"/>
    <w:rsid w:val="58086DAE"/>
    <w:rsid w:val="580908E1"/>
    <w:rsid w:val="580C3793"/>
    <w:rsid w:val="581F37BB"/>
    <w:rsid w:val="582C5D73"/>
    <w:rsid w:val="5838665C"/>
    <w:rsid w:val="58424557"/>
    <w:rsid w:val="586236D9"/>
    <w:rsid w:val="5886289B"/>
    <w:rsid w:val="58895ED7"/>
    <w:rsid w:val="58AD1552"/>
    <w:rsid w:val="58BD3B40"/>
    <w:rsid w:val="58C62DBC"/>
    <w:rsid w:val="58F27D7B"/>
    <w:rsid w:val="593670C4"/>
    <w:rsid w:val="596D0588"/>
    <w:rsid w:val="59710078"/>
    <w:rsid w:val="59727DE2"/>
    <w:rsid w:val="59965540"/>
    <w:rsid w:val="59A84E9D"/>
    <w:rsid w:val="59B86BCD"/>
    <w:rsid w:val="59C52172"/>
    <w:rsid w:val="59C77C98"/>
    <w:rsid w:val="59D625D1"/>
    <w:rsid w:val="59EB6E9A"/>
    <w:rsid w:val="5A2F1674"/>
    <w:rsid w:val="5A4450D8"/>
    <w:rsid w:val="5A546C09"/>
    <w:rsid w:val="5A791080"/>
    <w:rsid w:val="5A881AF1"/>
    <w:rsid w:val="5AB25014"/>
    <w:rsid w:val="5AD02412"/>
    <w:rsid w:val="5ADC7773"/>
    <w:rsid w:val="5AFF7905"/>
    <w:rsid w:val="5B01675E"/>
    <w:rsid w:val="5B1038C0"/>
    <w:rsid w:val="5B123195"/>
    <w:rsid w:val="5B447282"/>
    <w:rsid w:val="5B6877B1"/>
    <w:rsid w:val="5B765E19"/>
    <w:rsid w:val="5B8638BA"/>
    <w:rsid w:val="5B8906F1"/>
    <w:rsid w:val="5B953DC6"/>
    <w:rsid w:val="5C5F5517"/>
    <w:rsid w:val="5C9D2F32"/>
    <w:rsid w:val="5CC16AD0"/>
    <w:rsid w:val="5CD0689C"/>
    <w:rsid w:val="5CEB0141"/>
    <w:rsid w:val="5CEB0C53"/>
    <w:rsid w:val="5CEB6393"/>
    <w:rsid w:val="5CFD7E74"/>
    <w:rsid w:val="5D085641"/>
    <w:rsid w:val="5D174C24"/>
    <w:rsid w:val="5D330F7F"/>
    <w:rsid w:val="5D385044"/>
    <w:rsid w:val="5D4836E5"/>
    <w:rsid w:val="5D54633A"/>
    <w:rsid w:val="5D740137"/>
    <w:rsid w:val="5D8F25A5"/>
    <w:rsid w:val="5D9C124F"/>
    <w:rsid w:val="5DA00CA9"/>
    <w:rsid w:val="5DA64068"/>
    <w:rsid w:val="5DCD16F4"/>
    <w:rsid w:val="5E0E6331"/>
    <w:rsid w:val="5E261022"/>
    <w:rsid w:val="5E364DF0"/>
    <w:rsid w:val="5E5C77A0"/>
    <w:rsid w:val="5E8A7308"/>
    <w:rsid w:val="5E99597B"/>
    <w:rsid w:val="5EBD697E"/>
    <w:rsid w:val="5EBF1885"/>
    <w:rsid w:val="5EC62C14"/>
    <w:rsid w:val="5ECE6B50"/>
    <w:rsid w:val="5EDA447C"/>
    <w:rsid w:val="5EE508BE"/>
    <w:rsid w:val="5EEE4CBF"/>
    <w:rsid w:val="5EEF26E1"/>
    <w:rsid w:val="5F040E99"/>
    <w:rsid w:val="5F1439B0"/>
    <w:rsid w:val="5F156934"/>
    <w:rsid w:val="5F256EC2"/>
    <w:rsid w:val="5F28567D"/>
    <w:rsid w:val="5F4B4BB5"/>
    <w:rsid w:val="5F8206F7"/>
    <w:rsid w:val="5FAF0422"/>
    <w:rsid w:val="5FB213EA"/>
    <w:rsid w:val="5FB40CBE"/>
    <w:rsid w:val="5FB567E4"/>
    <w:rsid w:val="5FB67CE8"/>
    <w:rsid w:val="5FC03FC3"/>
    <w:rsid w:val="5FCE4126"/>
    <w:rsid w:val="5FEEC6BF"/>
    <w:rsid w:val="5FFF5626"/>
    <w:rsid w:val="60187717"/>
    <w:rsid w:val="603A79C6"/>
    <w:rsid w:val="604B5053"/>
    <w:rsid w:val="6060660E"/>
    <w:rsid w:val="6071475B"/>
    <w:rsid w:val="60863CF9"/>
    <w:rsid w:val="60946F4D"/>
    <w:rsid w:val="60B60A66"/>
    <w:rsid w:val="60C27677"/>
    <w:rsid w:val="60C70EC5"/>
    <w:rsid w:val="6131785D"/>
    <w:rsid w:val="61363DC5"/>
    <w:rsid w:val="614124C0"/>
    <w:rsid w:val="61633F16"/>
    <w:rsid w:val="61AC6377"/>
    <w:rsid w:val="61D52E55"/>
    <w:rsid w:val="61D9161F"/>
    <w:rsid w:val="61E41603"/>
    <w:rsid w:val="62065DEE"/>
    <w:rsid w:val="621A7998"/>
    <w:rsid w:val="622C6653"/>
    <w:rsid w:val="6278502B"/>
    <w:rsid w:val="6293696B"/>
    <w:rsid w:val="62A31CF7"/>
    <w:rsid w:val="62A72503"/>
    <w:rsid w:val="62EC69C1"/>
    <w:rsid w:val="62FD1542"/>
    <w:rsid w:val="63466411"/>
    <w:rsid w:val="636B2554"/>
    <w:rsid w:val="63896DD7"/>
    <w:rsid w:val="63D13D5D"/>
    <w:rsid w:val="63E1229E"/>
    <w:rsid w:val="63F0470D"/>
    <w:rsid w:val="63F91396"/>
    <w:rsid w:val="63FC3BB8"/>
    <w:rsid w:val="6400242B"/>
    <w:rsid w:val="641B3069"/>
    <w:rsid w:val="64403E60"/>
    <w:rsid w:val="64405216"/>
    <w:rsid w:val="64630F05"/>
    <w:rsid w:val="64790728"/>
    <w:rsid w:val="6484155A"/>
    <w:rsid w:val="64860522"/>
    <w:rsid w:val="64AF0B00"/>
    <w:rsid w:val="64D41B49"/>
    <w:rsid w:val="64DA47E2"/>
    <w:rsid w:val="64E361CE"/>
    <w:rsid w:val="64F572FC"/>
    <w:rsid w:val="650F4E1F"/>
    <w:rsid w:val="65165709"/>
    <w:rsid w:val="651B54B7"/>
    <w:rsid w:val="65504DB5"/>
    <w:rsid w:val="657C42DD"/>
    <w:rsid w:val="657D7F2F"/>
    <w:rsid w:val="659F2DE7"/>
    <w:rsid w:val="65A03CD6"/>
    <w:rsid w:val="65B14C2B"/>
    <w:rsid w:val="65B759C2"/>
    <w:rsid w:val="65B819CF"/>
    <w:rsid w:val="65F034EB"/>
    <w:rsid w:val="65F21BC7"/>
    <w:rsid w:val="660C36B2"/>
    <w:rsid w:val="660E7A31"/>
    <w:rsid w:val="662D7D13"/>
    <w:rsid w:val="66342B59"/>
    <w:rsid w:val="66434B4A"/>
    <w:rsid w:val="66501D94"/>
    <w:rsid w:val="66607BD4"/>
    <w:rsid w:val="66686491"/>
    <w:rsid w:val="66807B4C"/>
    <w:rsid w:val="66A86BEF"/>
    <w:rsid w:val="66D37BF6"/>
    <w:rsid w:val="66D875E5"/>
    <w:rsid w:val="66F26648"/>
    <w:rsid w:val="66F52C55"/>
    <w:rsid w:val="671169F6"/>
    <w:rsid w:val="672B1486"/>
    <w:rsid w:val="672E1E08"/>
    <w:rsid w:val="673426E5"/>
    <w:rsid w:val="673F60A7"/>
    <w:rsid w:val="67553F30"/>
    <w:rsid w:val="676236F6"/>
    <w:rsid w:val="67661800"/>
    <w:rsid w:val="67845E52"/>
    <w:rsid w:val="67941BE2"/>
    <w:rsid w:val="67D02AED"/>
    <w:rsid w:val="67D64F8F"/>
    <w:rsid w:val="67E01638"/>
    <w:rsid w:val="67E4656B"/>
    <w:rsid w:val="67F45E84"/>
    <w:rsid w:val="68044248"/>
    <w:rsid w:val="680447AD"/>
    <w:rsid w:val="682229DE"/>
    <w:rsid w:val="68224E7B"/>
    <w:rsid w:val="683C3F47"/>
    <w:rsid w:val="684427C3"/>
    <w:rsid w:val="684921C0"/>
    <w:rsid w:val="68701E42"/>
    <w:rsid w:val="68866D0B"/>
    <w:rsid w:val="68996CA3"/>
    <w:rsid w:val="68A1335B"/>
    <w:rsid w:val="68B21143"/>
    <w:rsid w:val="68B94D66"/>
    <w:rsid w:val="68C36416"/>
    <w:rsid w:val="68C71386"/>
    <w:rsid w:val="69082E02"/>
    <w:rsid w:val="692417F1"/>
    <w:rsid w:val="69362745"/>
    <w:rsid w:val="69432B1C"/>
    <w:rsid w:val="694535D3"/>
    <w:rsid w:val="694F011A"/>
    <w:rsid w:val="695514D7"/>
    <w:rsid w:val="6977216E"/>
    <w:rsid w:val="6979455C"/>
    <w:rsid w:val="69AB1384"/>
    <w:rsid w:val="69BA71AF"/>
    <w:rsid w:val="69E43BFA"/>
    <w:rsid w:val="6A002D52"/>
    <w:rsid w:val="6A155EEA"/>
    <w:rsid w:val="6A3E286E"/>
    <w:rsid w:val="6A6D488B"/>
    <w:rsid w:val="6AB27D27"/>
    <w:rsid w:val="6ABD424F"/>
    <w:rsid w:val="6AC434B2"/>
    <w:rsid w:val="6AC645F4"/>
    <w:rsid w:val="6AE268DA"/>
    <w:rsid w:val="6B18557E"/>
    <w:rsid w:val="6B2569AD"/>
    <w:rsid w:val="6B28256C"/>
    <w:rsid w:val="6B6D1CE8"/>
    <w:rsid w:val="6B7A2772"/>
    <w:rsid w:val="6BB32772"/>
    <w:rsid w:val="6BCF0C2E"/>
    <w:rsid w:val="6BD9140C"/>
    <w:rsid w:val="6BE450C9"/>
    <w:rsid w:val="6BEF97A9"/>
    <w:rsid w:val="6C1F58D2"/>
    <w:rsid w:val="6C63255A"/>
    <w:rsid w:val="6C835D44"/>
    <w:rsid w:val="6CC26E1F"/>
    <w:rsid w:val="6CCB0D2F"/>
    <w:rsid w:val="6CD57C1C"/>
    <w:rsid w:val="6D0D3887"/>
    <w:rsid w:val="6D2238AA"/>
    <w:rsid w:val="6D464F20"/>
    <w:rsid w:val="6D663111"/>
    <w:rsid w:val="6D741A8D"/>
    <w:rsid w:val="6D837F22"/>
    <w:rsid w:val="6DA866CC"/>
    <w:rsid w:val="6DBC090B"/>
    <w:rsid w:val="6DDF1FE4"/>
    <w:rsid w:val="6DE50C25"/>
    <w:rsid w:val="6DFF7150"/>
    <w:rsid w:val="6E1A3944"/>
    <w:rsid w:val="6E686D5E"/>
    <w:rsid w:val="6E6A6568"/>
    <w:rsid w:val="6E6B2E90"/>
    <w:rsid w:val="6E881C94"/>
    <w:rsid w:val="6E957F0D"/>
    <w:rsid w:val="6EA702C1"/>
    <w:rsid w:val="6EA939B8"/>
    <w:rsid w:val="6EAD0B08"/>
    <w:rsid w:val="6EE42C42"/>
    <w:rsid w:val="6EF966EE"/>
    <w:rsid w:val="6EFE7602"/>
    <w:rsid w:val="6F160BC0"/>
    <w:rsid w:val="6F3A0AB4"/>
    <w:rsid w:val="6F3B078A"/>
    <w:rsid w:val="6F3C6E7A"/>
    <w:rsid w:val="6F450F34"/>
    <w:rsid w:val="6F484353"/>
    <w:rsid w:val="6F6E47D3"/>
    <w:rsid w:val="6F991C7F"/>
    <w:rsid w:val="6F9F6C7F"/>
    <w:rsid w:val="6FCD12F8"/>
    <w:rsid w:val="6FE54EC4"/>
    <w:rsid w:val="6FE9642D"/>
    <w:rsid w:val="6FF4608A"/>
    <w:rsid w:val="6FFD31D8"/>
    <w:rsid w:val="700C3D78"/>
    <w:rsid w:val="70231548"/>
    <w:rsid w:val="702A0B29"/>
    <w:rsid w:val="70453F1A"/>
    <w:rsid w:val="706B5572"/>
    <w:rsid w:val="708612B7"/>
    <w:rsid w:val="70885061"/>
    <w:rsid w:val="70AC59E2"/>
    <w:rsid w:val="70C34675"/>
    <w:rsid w:val="70C61FFC"/>
    <w:rsid w:val="70CA5FD9"/>
    <w:rsid w:val="71033CD3"/>
    <w:rsid w:val="71267DD0"/>
    <w:rsid w:val="71330028"/>
    <w:rsid w:val="717C3F24"/>
    <w:rsid w:val="719170B1"/>
    <w:rsid w:val="71A05546"/>
    <w:rsid w:val="71BE0C73"/>
    <w:rsid w:val="71E13362"/>
    <w:rsid w:val="71F64B08"/>
    <w:rsid w:val="721C7F6D"/>
    <w:rsid w:val="722327BB"/>
    <w:rsid w:val="72345C8F"/>
    <w:rsid w:val="7238174D"/>
    <w:rsid w:val="724916C3"/>
    <w:rsid w:val="724D6D6E"/>
    <w:rsid w:val="725006CC"/>
    <w:rsid w:val="725143AE"/>
    <w:rsid w:val="725B2256"/>
    <w:rsid w:val="72665114"/>
    <w:rsid w:val="72671BC0"/>
    <w:rsid w:val="7273597E"/>
    <w:rsid w:val="727F5774"/>
    <w:rsid w:val="72944125"/>
    <w:rsid w:val="72E71112"/>
    <w:rsid w:val="72F27511"/>
    <w:rsid w:val="7312770F"/>
    <w:rsid w:val="733201C0"/>
    <w:rsid w:val="73373C88"/>
    <w:rsid w:val="735E55A0"/>
    <w:rsid w:val="73617B4C"/>
    <w:rsid w:val="736C707C"/>
    <w:rsid w:val="73AE3A3B"/>
    <w:rsid w:val="73B9644B"/>
    <w:rsid w:val="73CF040F"/>
    <w:rsid w:val="73D57303"/>
    <w:rsid w:val="73D95D10"/>
    <w:rsid w:val="73EBC7C4"/>
    <w:rsid w:val="73F2242D"/>
    <w:rsid w:val="73F67799"/>
    <w:rsid w:val="74100036"/>
    <w:rsid w:val="741177DE"/>
    <w:rsid w:val="74632CE2"/>
    <w:rsid w:val="746C24FA"/>
    <w:rsid w:val="747F58E7"/>
    <w:rsid w:val="7487654A"/>
    <w:rsid w:val="748C61A9"/>
    <w:rsid w:val="748D13E9"/>
    <w:rsid w:val="74B45F6B"/>
    <w:rsid w:val="74D8759C"/>
    <w:rsid w:val="75017335"/>
    <w:rsid w:val="7515358B"/>
    <w:rsid w:val="75263DE9"/>
    <w:rsid w:val="753A485E"/>
    <w:rsid w:val="75413357"/>
    <w:rsid w:val="7576660A"/>
    <w:rsid w:val="758C37C4"/>
    <w:rsid w:val="75B4362C"/>
    <w:rsid w:val="75CC5630"/>
    <w:rsid w:val="75DB5A1C"/>
    <w:rsid w:val="75F0011F"/>
    <w:rsid w:val="76123DCA"/>
    <w:rsid w:val="761E3929"/>
    <w:rsid w:val="76312F57"/>
    <w:rsid w:val="766A1C7F"/>
    <w:rsid w:val="76761A69"/>
    <w:rsid w:val="76801D57"/>
    <w:rsid w:val="76AF7FDA"/>
    <w:rsid w:val="76EC0FD0"/>
    <w:rsid w:val="773A5AF5"/>
    <w:rsid w:val="774F1688"/>
    <w:rsid w:val="776E39F1"/>
    <w:rsid w:val="7783282D"/>
    <w:rsid w:val="77985C64"/>
    <w:rsid w:val="77AE0291"/>
    <w:rsid w:val="77C509BD"/>
    <w:rsid w:val="77C96B03"/>
    <w:rsid w:val="77D947BC"/>
    <w:rsid w:val="77FF02EE"/>
    <w:rsid w:val="78040681"/>
    <w:rsid w:val="781520BE"/>
    <w:rsid w:val="78367639"/>
    <w:rsid w:val="786B7C57"/>
    <w:rsid w:val="786F5C73"/>
    <w:rsid w:val="78760DAF"/>
    <w:rsid w:val="78774577"/>
    <w:rsid w:val="78A551F0"/>
    <w:rsid w:val="78B904CE"/>
    <w:rsid w:val="78BE6A40"/>
    <w:rsid w:val="78CB0569"/>
    <w:rsid w:val="79080878"/>
    <w:rsid w:val="790E1FC7"/>
    <w:rsid w:val="793B3DA7"/>
    <w:rsid w:val="796A5903"/>
    <w:rsid w:val="79AB237A"/>
    <w:rsid w:val="79CC3E31"/>
    <w:rsid w:val="79D140FC"/>
    <w:rsid w:val="79ED1AB1"/>
    <w:rsid w:val="7A17211E"/>
    <w:rsid w:val="7A190D5E"/>
    <w:rsid w:val="7A362D6C"/>
    <w:rsid w:val="7A4A24F3"/>
    <w:rsid w:val="7A9810B1"/>
    <w:rsid w:val="7A9B765F"/>
    <w:rsid w:val="7ACA6F4B"/>
    <w:rsid w:val="7ACD6C80"/>
    <w:rsid w:val="7AD144B5"/>
    <w:rsid w:val="7ADE2054"/>
    <w:rsid w:val="7AE16057"/>
    <w:rsid w:val="7B0501C8"/>
    <w:rsid w:val="7B18352B"/>
    <w:rsid w:val="7B310DFD"/>
    <w:rsid w:val="7B405C62"/>
    <w:rsid w:val="7B643141"/>
    <w:rsid w:val="7B66668B"/>
    <w:rsid w:val="7BBC1EE0"/>
    <w:rsid w:val="7BBF41FD"/>
    <w:rsid w:val="7BC76CBB"/>
    <w:rsid w:val="7BCD626C"/>
    <w:rsid w:val="7BDA7465"/>
    <w:rsid w:val="7BFFEBA2"/>
    <w:rsid w:val="7C472D18"/>
    <w:rsid w:val="7C6D24C9"/>
    <w:rsid w:val="7C793115"/>
    <w:rsid w:val="7C961A20"/>
    <w:rsid w:val="7CA61B04"/>
    <w:rsid w:val="7CB80785"/>
    <w:rsid w:val="7CCB2C79"/>
    <w:rsid w:val="7CD01BD0"/>
    <w:rsid w:val="7CFC3221"/>
    <w:rsid w:val="7D167B79"/>
    <w:rsid w:val="7D7A4E9D"/>
    <w:rsid w:val="7D7B645B"/>
    <w:rsid w:val="7D920094"/>
    <w:rsid w:val="7D9D293A"/>
    <w:rsid w:val="7DA41F1A"/>
    <w:rsid w:val="7DE50462"/>
    <w:rsid w:val="7E074257"/>
    <w:rsid w:val="7E1912E2"/>
    <w:rsid w:val="7E434CD2"/>
    <w:rsid w:val="7E6F3E73"/>
    <w:rsid w:val="7E725B75"/>
    <w:rsid w:val="7E7D4224"/>
    <w:rsid w:val="7E7D4CB6"/>
    <w:rsid w:val="7E8248FA"/>
    <w:rsid w:val="7EAE38D4"/>
    <w:rsid w:val="7EBE7DFC"/>
    <w:rsid w:val="7ED93C74"/>
    <w:rsid w:val="7EDA196C"/>
    <w:rsid w:val="7F054F40"/>
    <w:rsid w:val="7F094920"/>
    <w:rsid w:val="7F1C3D32"/>
    <w:rsid w:val="7F424452"/>
    <w:rsid w:val="7F80615D"/>
    <w:rsid w:val="7F82625E"/>
    <w:rsid w:val="7F85375F"/>
    <w:rsid w:val="7F9B56B2"/>
    <w:rsid w:val="7FB0661D"/>
    <w:rsid w:val="7FB83A5B"/>
    <w:rsid w:val="7FD42113"/>
    <w:rsid w:val="7FD45592"/>
    <w:rsid w:val="7FD60385"/>
    <w:rsid w:val="7FD840FD"/>
    <w:rsid w:val="7FDFA8F9"/>
    <w:rsid w:val="7FEF4007"/>
    <w:rsid w:val="B7F7CF6F"/>
    <w:rsid w:val="BE672410"/>
    <w:rsid w:val="FDCB0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spacing w:line="360" w:lineRule="auto"/>
      <w:jc w:val="center"/>
      <w:outlineLvl w:val="0"/>
    </w:pPr>
    <w:rPr>
      <w:b/>
      <w:color w:val="000000"/>
      <w:kern w:val="0"/>
      <w:sz w:val="32"/>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5">
    <w:name w:val="List Number"/>
    <w:basedOn w:val="1"/>
    <w:qFormat/>
    <w:uiPriority w:val="0"/>
    <w:pPr>
      <w:widowControl/>
      <w:numPr>
        <w:ilvl w:val="0"/>
        <w:numId w:val="1"/>
      </w:numPr>
      <w:tabs>
        <w:tab w:val="left" w:pos="454"/>
        <w:tab w:val="left" w:pos="720"/>
      </w:tabs>
      <w:spacing w:afterLines="50"/>
      <w:ind w:left="454" w:hanging="284"/>
      <w:jc w:val="left"/>
    </w:pPr>
    <w:rPr>
      <w:kern w:val="0"/>
      <w:sz w:val="24"/>
      <w:szCs w:val="20"/>
    </w:rPr>
  </w:style>
  <w:style w:type="paragraph" w:styleId="6">
    <w:name w:val="Normal Indent"/>
    <w:basedOn w:val="1"/>
    <w:qFormat/>
    <w:uiPriority w:val="0"/>
    <w:pPr>
      <w:ind w:firstLine="420"/>
    </w:pPr>
    <w:rPr>
      <w:sz w:val="21"/>
      <w:szCs w:val="20"/>
    </w:rPr>
  </w:style>
  <w:style w:type="paragraph" w:styleId="7">
    <w:name w:val="annotation text"/>
    <w:basedOn w:val="1"/>
    <w:qFormat/>
    <w:uiPriority w:val="0"/>
    <w:pPr>
      <w:jc w:val="left"/>
    </w:pPr>
  </w:style>
  <w:style w:type="paragraph" w:styleId="8">
    <w:name w:val="Body Text 3"/>
    <w:basedOn w:val="1"/>
    <w:qFormat/>
    <w:uiPriority w:val="0"/>
    <w:pPr>
      <w:snapToGrid w:val="0"/>
      <w:spacing w:before="50" w:after="50"/>
    </w:pPr>
    <w:rPr>
      <w:rFonts w:hAnsi="宋体" w:eastAsia="仿宋_GB2312"/>
      <w:b/>
      <w:bCs/>
      <w:sz w:val="24"/>
      <w:szCs w:val="20"/>
    </w:rPr>
  </w:style>
  <w:style w:type="paragraph" w:styleId="9">
    <w:name w:val="Body Text"/>
    <w:basedOn w:val="1"/>
    <w:next w:val="10"/>
    <w:qFormat/>
    <w:uiPriority w:val="0"/>
    <w:pPr>
      <w:spacing w:after="120"/>
    </w:pPr>
  </w:style>
  <w:style w:type="paragraph" w:customStyle="1" w:styleId="10">
    <w:name w:val="Default"/>
    <w:qFormat/>
    <w:uiPriority w:val="0"/>
    <w:pPr>
      <w:widowControl w:val="0"/>
      <w:autoSpaceDE w:val="0"/>
      <w:autoSpaceDN w:val="0"/>
      <w:adjustRightInd w:val="0"/>
    </w:pPr>
    <w:rPr>
      <w:rFonts w:ascii="宋体" w:hAnsi="Tahoma" w:eastAsia="宋体" w:cs="宋体"/>
      <w:b/>
      <w:bCs/>
      <w:color w:val="000000"/>
      <w:sz w:val="24"/>
      <w:szCs w:val="24"/>
      <w:lang w:val="en-US" w:eastAsia="zh-CN" w:bidi="ar-SA"/>
    </w:rPr>
  </w:style>
  <w:style w:type="paragraph" w:styleId="11">
    <w:name w:val="Body Text Indent"/>
    <w:basedOn w:val="1"/>
    <w:next w:val="1"/>
    <w:qFormat/>
    <w:uiPriority w:val="0"/>
    <w:pPr>
      <w:spacing w:line="200" w:lineRule="atLeast"/>
      <w:ind w:firstLine="301"/>
    </w:pPr>
    <w:rPr>
      <w:rFonts w:hint="eastAsia" w:ascii="宋体" w:hAnsi="Courier New"/>
      <w:spacing w:val="-4"/>
      <w:sz w:val="18"/>
      <w:szCs w:val="20"/>
    </w:rPr>
  </w:style>
  <w:style w:type="paragraph" w:styleId="12">
    <w:name w:val="List Number 3"/>
    <w:basedOn w:val="1"/>
    <w:qFormat/>
    <w:uiPriority w:val="0"/>
    <w:pPr>
      <w:numPr>
        <w:ilvl w:val="0"/>
        <w:numId w:val="2"/>
      </w:numPr>
      <w:ind w:left="720"/>
    </w:pPr>
    <w:rPr>
      <w:sz w:val="21"/>
    </w:rPr>
  </w:style>
  <w:style w:type="paragraph" w:styleId="13">
    <w:name w:val="List 2"/>
    <w:basedOn w:val="1"/>
    <w:qFormat/>
    <w:uiPriority w:val="0"/>
    <w:pPr>
      <w:ind w:left="200" w:leftChars="200" w:hanging="200" w:hangingChars="200"/>
    </w:pPr>
  </w:style>
  <w:style w:type="paragraph" w:styleId="14">
    <w:name w:val="Block Text"/>
    <w:basedOn w:val="1"/>
    <w:qFormat/>
    <w:uiPriority w:val="0"/>
    <w:pPr>
      <w:ind w:left="1200" w:right="-72" w:hanging="30"/>
    </w:pPr>
    <w:rPr>
      <w:rFonts w:ascii="Arial" w:hAnsi="Arial" w:eastAsia="幼圆" w:cs="Arial"/>
      <w:sz w:val="22"/>
      <w:szCs w:val="20"/>
    </w:rPr>
  </w:style>
  <w:style w:type="paragraph" w:styleId="15">
    <w:name w:val="Plain Text"/>
    <w:basedOn w:val="1"/>
    <w:link w:val="38"/>
    <w:qFormat/>
    <w:uiPriority w:val="0"/>
    <w:pPr>
      <w:spacing w:beforeLines="50" w:afterLines="50" w:line="400" w:lineRule="atLeast"/>
    </w:pPr>
    <w:rPr>
      <w:rFonts w:ascii="宋体" w:hAnsi="Courier New"/>
      <w:sz w:val="24"/>
    </w:rPr>
  </w:style>
  <w:style w:type="paragraph" w:styleId="16">
    <w:name w:val="Date"/>
    <w:basedOn w:val="1"/>
    <w:next w:val="1"/>
    <w:qFormat/>
    <w:uiPriority w:val="0"/>
    <w:pPr>
      <w:ind w:left="2500" w:leftChars="2500"/>
    </w:pPr>
    <w:rPr>
      <w:rFonts w:eastAsia="楷体_GB2312"/>
      <w:sz w:val="32"/>
      <w:szCs w:val="20"/>
    </w:rPr>
  </w:style>
  <w:style w:type="paragraph" w:styleId="17">
    <w:name w:val="Body Text Indent 2"/>
    <w:basedOn w:val="1"/>
    <w:qFormat/>
    <w:uiPriority w:val="0"/>
    <w:pPr>
      <w:snapToGrid w:val="0"/>
      <w:ind w:firstLine="542" w:firstLineChars="225"/>
    </w:pPr>
    <w:rPr>
      <w:rFonts w:ascii="仿宋_GB2312" w:hAnsi="宋体" w:cs="Arial"/>
      <w:b/>
      <w:bCs/>
      <w:color w:val="000000"/>
      <w:sz w:val="24"/>
    </w:rPr>
  </w:style>
  <w:style w:type="paragraph" w:styleId="18">
    <w:name w:val="Balloon Text"/>
    <w:basedOn w:val="1"/>
    <w:qFormat/>
    <w:uiPriority w:val="0"/>
    <w:rPr>
      <w:sz w:val="18"/>
      <w:szCs w:val="18"/>
    </w:rPr>
  </w:style>
  <w:style w:type="paragraph" w:styleId="19">
    <w:name w:val="footer"/>
    <w:basedOn w:val="1"/>
    <w:link w:val="39"/>
    <w:qFormat/>
    <w:uiPriority w:val="0"/>
    <w:pPr>
      <w:tabs>
        <w:tab w:val="center" w:pos="4153"/>
        <w:tab w:val="right" w:pos="8306"/>
      </w:tabs>
      <w:snapToGrid w:val="0"/>
      <w:jc w:val="left"/>
    </w:pPr>
    <w:rPr>
      <w:sz w:val="18"/>
      <w:szCs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List"/>
    <w:basedOn w:val="1"/>
    <w:qFormat/>
    <w:uiPriority w:val="0"/>
    <w:pPr>
      <w:ind w:left="200" w:hanging="200" w:hangingChars="200"/>
    </w:pPr>
  </w:style>
  <w:style w:type="paragraph" w:styleId="22">
    <w:name w:val="toc 6"/>
    <w:basedOn w:val="1"/>
    <w:next w:val="1"/>
    <w:qFormat/>
    <w:uiPriority w:val="0"/>
    <w:pPr>
      <w:ind w:left="2100" w:leftChars="1000"/>
    </w:pPr>
  </w:style>
  <w:style w:type="paragraph" w:styleId="23">
    <w:name w:val="Body Text Indent 3"/>
    <w:basedOn w:val="1"/>
    <w:qFormat/>
    <w:uiPriority w:val="0"/>
    <w:pPr>
      <w:snapToGrid w:val="0"/>
      <w:ind w:firstLine="480" w:firstLineChars="200"/>
      <w:jc w:val="left"/>
    </w:pPr>
    <w:rPr>
      <w:rFonts w:ascii="仿宋_GB2312" w:hAnsi="宋体" w:eastAsia="仿宋_GB2312"/>
      <w:color w:val="000000"/>
      <w:kern w:val="0"/>
      <w:sz w:val="24"/>
    </w:rPr>
  </w:style>
  <w:style w:type="paragraph" w:styleId="24">
    <w:name w:val="Body Text 2"/>
    <w:basedOn w:val="1"/>
    <w:qFormat/>
    <w:uiPriority w:val="0"/>
    <w:pPr>
      <w:widowControl/>
      <w:snapToGrid w:val="0"/>
      <w:spacing w:before="50" w:afterLines="50" w:line="400" w:lineRule="atLeast"/>
      <w:jc w:val="left"/>
    </w:pPr>
    <w:rPr>
      <w:rFonts w:hint="eastAsia" w:ascii="宋体" w:hAnsi="宋体"/>
      <w:color w:val="000000"/>
      <w:sz w:val="24"/>
    </w:rPr>
  </w:style>
  <w:style w:type="paragraph" w:styleId="25">
    <w:name w:val="Normal (Web)"/>
    <w:basedOn w:val="1"/>
    <w:qFormat/>
    <w:uiPriority w:val="0"/>
    <w:pPr>
      <w:widowControl/>
      <w:shd w:val="clear" w:color="auto" w:fill="FFFFFF"/>
      <w:spacing w:before="100" w:beforeAutospacing="1" w:after="100" w:afterAutospacing="1"/>
      <w:jc w:val="left"/>
    </w:pPr>
    <w:rPr>
      <w:rFonts w:ascii="Century Gothic" w:hAnsi="Century Gothic"/>
      <w:kern w:val="0"/>
      <w:sz w:val="18"/>
      <w:szCs w:val="18"/>
    </w:rPr>
  </w:style>
  <w:style w:type="paragraph" w:styleId="26">
    <w:name w:val="annotation subject"/>
    <w:basedOn w:val="7"/>
    <w:next w:val="7"/>
    <w:qFormat/>
    <w:uiPriority w:val="0"/>
    <w:rPr>
      <w:b/>
      <w:bCs/>
    </w:rPr>
  </w:style>
  <w:style w:type="paragraph" w:styleId="27">
    <w:name w:val="Body Text First Indent"/>
    <w:basedOn w:val="9"/>
    <w:next w:val="22"/>
    <w:qFormat/>
    <w:uiPriority w:val="0"/>
    <w:pPr>
      <w:ind w:firstLine="420"/>
    </w:pPr>
    <w:rPr>
      <w:rFonts w:hAnsi="Calibri"/>
      <w:szCs w:val="20"/>
    </w:rPr>
  </w:style>
  <w:style w:type="paragraph" w:styleId="28">
    <w:name w:val="Body Text First Indent 2"/>
    <w:basedOn w:val="11"/>
    <w:next w:val="1"/>
    <w:qFormat/>
    <w:uiPriority w:val="0"/>
    <w:pPr>
      <w:ind w:firstLine="420" w:firstLineChars="200"/>
    </w:pPr>
    <w:rPr>
      <w:rFonts w:ascii="Times New Roman" w:hAnsi="Times New Roman"/>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0"/>
    <w:rPr>
      <w:rFonts w:ascii="Times New Roman" w:hAnsi="Times New Roman" w:eastAsia="宋体" w:cs="Times New Roman"/>
      <w:b/>
      <w:bCs/>
    </w:rPr>
  </w:style>
  <w:style w:type="character" w:styleId="33">
    <w:name w:val="FollowedHyperlink"/>
    <w:qFormat/>
    <w:uiPriority w:val="0"/>
    <w:rPr>
      <w:rFonts w:ascii="Times New Roman" w:hAnsi="Times New Roman" w:eastAsia="宋体" w:cs="Times New Roman"/>
      <w:color w:val="800080"/>
      <w:u w:val="single"/>
    </w:rPr>
  </w:style>
  <w:style w:type="character" w:styleId="34">
    <w:name w:val="Emphasis"/>
    <w:qFormat/>
    <w:uiPriority w:val="0"/>
    <w:rPr>
      <w:rFonts w:ascii="Times New Roman" w:hAnsi="Times New Roman" w:eastAsia="宋体" w:cs="Times New Roman"/>
      <w:i/>
      <w:iCs/>
    </w:rPr>
  </w:style>
  <w:style w:type="character" w:styleId="35">
    <w:name w:val="Hyperlink"/>
    <w:qFormat/>
    <w:uiPriority w:val="0"/>
    <w:rPr>
      <w:rFonts w:ascii="Times New Roman" w:hAnsi="Times New Roman" w:eastAsia="宋体" w:cs="Times New Roman"/>
      <w:color w:val="0000FF"/>
      <w:u w:val="single"/>
    </w:rPr>
  </w:style>
  <w:style w:type="character" w:styleId="36">
    <w:name w:val="annotation reference"/>
    <w:qFormat/>
    <w:uiPriority w:val="0"/>
    <w:rPr>
      <w:rFonts w:ascii="Times New Roman" w:hAnsi="Times New Roman" w:eastAsia="宋体" w:cs="Times New Roman"/>
      <w:sz w:val="21"/>
      <w:szCs w:val="21"/>
    </w:rPr>
  </w:style>
  <w:style w:type="character" w:customStyle="1" w:styleId="37">
    <w:name w:val="标题 3 字符"/>
    <w:link w:val="4"/>
    <w:qFormat/>
    <w:uiPriority w:val="0"/>
    <w:rPr>
      <w:rFonts w:ascii="Times New Roman" w:hAnsi="Times New Roman" w:eastAsia="宋体" w:cs="Times New Roman"/>
      <w:b/>
      <w:bCs/>
      <w:kern w:val="2"/>
      <w:sz w:val="32"/>
      <w:szCs w:val="32"/>
    </w:rPr>
  </w:style>
  <w:style w:type="character" w:customStyle="1" w:styleId="38">
    <w:name w:val="纯文本 字符"/>
    <w:link w:val="15"/>
    <w:qFormat/>
    <w:uiPriority w:val="0"/>
    <w:rPr>
      <w:rFonts w:ascii="宋体" w:hAnsi="Courier New" w:eastAsia="宋体" w:cs="Times New Roman"/>
      <w:kern w:val="2"/>
      <w:sz w:val="24"/>
      <w:szCs w:val="24"/>
      <w:lang w:val="en-US" w:eastAsia="zh-CN" w:bidi="ar-SA"/>
    </w:rPr>
  </w:style>
  <w:style w:type="character" w:customStyle="1" w:styleId="39">
    <w:name w:val="页脚 字符"/>
    <w:link w:val="19"/>
    <w:qFormat/>
    <w:uiPriority w:val="0"/>
    <w:rPr>
      <w:rFonts w:ascii="Times New Roman" w:hAnsi="Times New Roman" w:eastAsia="宋体" w:cs="Times New Roman"/>
      <w:kern w:val="2"/>
      <w:sz w:val="18"/>
      <w:szCs w:val="18"/>
    </w:rPr>
  </w:style>
  <w:style w:type="paragraph" w:customStyle="1" w:styleId="40">
    <w:name w:val="正文段"/>
    <w:basedOn w:val="1"/>
    <w:qFormat/>
    <w:uiPriority w:val="0"/>
    <w:pPr>
      <w:widowControl/>
      <w:snapToGrid w:val="0"/>
      <w:spacing w:afterLines="50"/>
      <w:ind w:firstLine="200" w:firstLineChars="200"/>
    </w:pPr>
    <w:rPr>
      <w:kern w:val="0"/>
      <w:sz w:val="24"/>
      <w:szCs w:val="20"/>
    </w:rPr>
  </w:style>
  <w:style w:type="character" w:customStyle="1" w:styleId="41">
    <w:name w:val="font21"/>
    <w:qFormat/>
    <w:uiPriority w:val="0"/>
    <w:rPr>
      <w:rFonts w:hint="eastAsia" w:ascii="宋体" w:hAnsi="宋体" w:eastAsia="宋体" w:cs="宋体"/>
      <w:color w:val="000000"/>
      <w:sz w:val="22"/>
      <w:szCs w:val="22"/>
      <w:u w:val="none"/>
    </w:rPr>
  </w:style>
  <w:style w:type="paragraph" w:customStyle="1" w:styleId="42">
    <w:name w:val="1"/>
    <w:basedOn w:val="1"/>
    <w:next w:val="15"/>
    <w:qFormat/>
    <w:uiPriority w:val="0"/>
    <w:rPr>
      <w:rFonts w:ascii="宋体" w:hAnsi="Courier New"/>
      <w:sz w:val="21"/>
      <w:szCs w:val="20"/>
    </w:rPr>
  </w:style>
  <w:style w:type="paragraph" w:customStyle="1" w:styleId="43">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44">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5">
    <w:name w:val="纯文本1"/>
    <w:basedOn w:val="44"/>
    <w:qFormat/>
    <w:uiPriority w:val="0"/>
    <w:pPr>
      <w:widowControl/>
      <w:jc w:val="left"/>
    </w:pPr>
    <w:rPr>
      <w:rFonts w:ascii="宋体" w:hAnsi="Courier New"/>
    </w:rPr>
  </w:style>
  <w:style w:type="paragraph" w:customStyle="1" w:styleId="46">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47">
    <w:name w:val="apple-converted-space"/>
    <w:qFormat/>
    <w:uiPriority w:val="0"/>
    <w:rPr>
      <w:rFonts w:ascii="Times New Roman" w:hAnsi="Times New Roman" w:eastAsia="宋体" w:cs="Times New Roman"/>
    </w:rPr>
  </w:style>
  <w:style w:type="character" w:customStyle="1" w:styleId="48">
    <w:name w:val="普通文字 Char Char2"/>
    <w:qFormat/>
    <w:uiPriority w:val="0"/>
    <w:rPr>
      <w:rFonts w:ascii="宋体" w:hAnsi="Courier New" w:eastAsia="宋体" w:cs="Times New Roman"/>
      <w:kern w:val="2"/>
      <w:sz w:val="24"/>
      <w:szCs w:val="24"/>
      <w:lang w:val="en-US" w:eastAsia="zh-CN" w:bidi="ar-SA"/>
    </w:rPr>
  </w:style>
  <w:style w:type="character" w:customStyle="1" w:styleId="49">
    <w:name w:val="large1"/>
    <w:qFormat/>
    <w:uiPriority w:val="0"/>
    <w:rPr>
      <w:rFonts w:hint="eastAsia" w:ascii="宋体" w:hAnsi="宋体" w:eastAsia="宋体" w:cs="Times New Roman"/>
      <w:sz w:val="21"/>
      <w:szCs w:val="21"/>
    </w:rPr>
  </w:style>
  <w:style w:type="paragraph" w:customStyle="1" w:styleId="50">
    <w:name w:val="样式4"/>
    <w:basedOn w:val="1"/>
    <w:qFormat/>
    <w:uiPriority w:val="0"/>
    <w:pPr>
      <w:adjustRightInd w:val="0"/>
      <w:spacing w:line="400" w:lineRule="exact"/>
      <w:textAlignment w:val="baseline"/>
      <w:outlineLvl w:val="2"/>
    </w:pPr>
    <w:rPr>
      <w:rFonts w:ascii="宋体" w:hAnsi="宋体"/>
      <w:b/>
      <w:kern w:val="0"/>
      <w:sz w:val="21"/>
      <w:szCs w:val="21"/>
    </w:rPr>
  </w:style>
  <w:style w:type="paragraph" w:customStyle="1" w:styleId="51">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2">
    <w:name w:val="Char Char Char Char Char Char Char"/>
    <w:basedOn w:val="1"/>
    <w:qFormat/>
    <w:uiPriority w:val="0"/>
    <w:pPr>
      <w:tabs>
        <w:tab w:val="left" w:pos="432"/>
      </w:tabs>
      <w:ind w:left="432" w:hanging="432"/>
    </w:pPr>
    <w:rPr>
      <w:rFonts w:ascii="Tahoma" w:hAnsi="Tahoma"/>
      <w:sz w:val="24"/>
      <w:szCs w:val="20"/>
    </w:rPr>
  </w:style>
  <w:style w:type="paragraph" w:customStyle="1" w:styleId="53">
    <w:name w:val="正文2"/>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4">
    <w:name w:val="纯文本2"/>
    <w:basedOn w:val="53"/>
    <w:qFormat/>
    <w:uiPriority w:val="0"/>
    <w:pPr>
      <w:widowControl/>
      <w:jc w:val="left"/>
    </w:pPr>
    <w:rPr>
      <w:rFonts w:ascii="宋体" w:hAnsi="Courier New"/>
    </w:rPr>
  </w:style>
  <w:style w:type="paragraph" w:customStyle="1" w:styleId="55">
    <w:name w:val="默认段落字体 Para Char Char Char Char Char Char Char Char Char1 Char Char Char Char"/>
    <w:basedOn w:val="1"/>
    <w:qFormat/>
    <w:uiPriority w:val="0"/>
    <w:rPr>
      <w:rFonts w:ascii="Tahoma" w:hAnsi="Tahoma"/>
      <w:sz w:val="24"/>
      <w:szCs w:val="20"/>
    </w:rPr>
  </w:style>
  <w:style w:type="paragraph" w:customStyle="1" w:styleId="56">
    <w:name w:val="样式1"/>
    <w:basedOn w:val="1"/>
    <w:qFormat/>
    <w:uiPriority w:val="0"/>
    <w:pPr>
      <w:spacing w:line="360" w:lineRule="exact"/>
      <w:ind w:firstLine="200" w:firstLineChars="200"/>
    </w:pPr>
    <w:rPr>
      <w:rFonts w:ascii="Arial" w:hAnsi="Arial"/>
      <w:kern w:val="0"/>
      <w:sz w:val="20"/>
    </w:rPr>
  </w:style>
  <w:style w:type="paragraph" w:customStyle="1" w:styleId="57">
    <w:name w:val="Table Paragraph"/>
    <w:basedOn w:val="1"/>
    <w:qFormat/>
    <w:uiPriority w:val="0"/>
    <w:pPr>
      <w:autoSpaceDE w:val="0"/>
      <w:autoSpaceDN w:val="0"/>
      <w:jc w:val="left"/>
    </w:pPr>
    <w:rPr>
      <w:rFonts w:ascii="仿宋" w:hAnsi="仿宋" w:eastAsia="仿宋" w:cs="仿宋"/>
      <w:kern w:val="0"/>
      <w:sz w:val="22"/>
      <w:lang w:val="zh-CN" w:bidi="zh-CN"/>
    </w:rPr>
  </w:style>
  <w:style w:type="character" w:customStyle="1" w:styleId="58">
    <w:name w:val="font31"/>
    <w:qFormat/>
    <w:uiPriority w:val="0"/>
    <w:rPr>
      <w:rFonts w:hint="eastAsia" w:ascii="宋体" w:hAnsi="宋体" w:eastAsia="宋体" w:cs="宋体"/>
      <w:color w:val="000000"/>
      <w:sz w:val="22"/>
      <w:szCs w:val="22"/>
      <w:u w:val="none"/>
    </w:rPr>
  </w:style>
  <w:style w:type="character" w:customStyle="1" w:styleId="59">
    <w:name w:val="font41"/>
    <w:qFormat/>
    <w:uiPriority w:val="0"/>
    <w:rPr>
      <w:rFonts w:hint="eastAsia" w:ascii="宋体" w:hAnsi="宋体" w:eastAsia="宋体" w:cs="宋体"/>
      <w:color w:val="FF0000"/>
      <w:sz w:val="22"/>
      <w:szCs w:val="22"/>
      <w:u w:val="none"/>
    </w:rPr>
  </w:style>
  <w:style w:type="paragraph" w:customStyle="1" w:styleId="60">
    <w:name w:val="_Style 59"/>
    <w:unhideWhenUsed/>
    <w:qFormat/>
    <w:uiPriority w:val="99"/>
    <w:rPr>
      <w:rFonts w:ascii="Times New Roman" w:hAnsi="Times New Roman" w:eastAsia="宋体" w:cs="Times New Roman"/>
      <w:kern w:val="2"/>
      <w:sz w:val="28"/>
      <w:szCs w:val="24"/>
      <w:lang w:val="en-US" w:eastAsia="zh-CN" w:bidi="ar-SA"/>
    </w:rPr>
  </w:style>
  <w:style w:type="paragraph" w:customStyle="1" w:styleId="61">
    <w:name w:val="Revision"/>
    <w:hidden/>
    <w:unhideWhenUsed/>
    <w:qFormat/>
    <w:uiPriority w:val="99"/>
    <w:rPr>
      <w:rFonts w:ascii="Times New Roman" w:hAnsi="Times New Roman" w:eastAsia="宋体" w:cs="Times New Roman"/>
      <w:kern w:val="2"/>
      <w:sz w:val="28"/>
      <w:szCs w:val="24"/>
      <w:lang w:val="en-US" w:eastAsia="zh-CN" w:bidi="ar-SA"/>
    </w:rPr>
  </w:style>
  <w:style w:type="paragraph" w:styleId="6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530La.Com</Company>
  <Pages>97</Pages>
  <Words>11117</Words>
  <Characters>13640</Characters>
  <Lines>399</Lines>
  <Paragraphs>112</Paragraphs>
  <TotalTime>0</TotalTime>
  <ScaleCrop>false</ScaleCrop>
  <LinksUpToDate>false</LinksUpToDate>
  <CharactersWithSpaces>14011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2025-05-09T04:34:00Z</dcterms:created>
  <dc:creator>530La</dc:creator>
  <cp:lastModifiedBy>acer</cp:lastModifiedBy>
  <cp:lastPrinted>2025-04-30T06:18:00Z</cp:lastPrinted>
  <dcterms:modified xsi:type="dcterms:W3CDTF">2025-05-30T09:25:45Z</dcterms:modified>
  <dc:title>浙江师范大学采购中心</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0C7BFE0500FB4A5AA559997623D89140_13</vt:lpwstr>
  </property>
  <property fmtid="{D5CDD505-2E9C-101B-9397-08002B2CF9AE}" pid="4" name="KSOTemplateDocerSaveRecord">
    <vt:lpwstr>eyJoZGlkIjoiNGNhYjlmZWI1YTIzZTM5ODhhNGEwMGYxNzkxOTA4YTIiLCJ1c2VySWQiOiIxMjAzMDk0NzIzIn0=</vt:lpwstr>
  </property>
</Properties>
</file>