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31E48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09D07A6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vertAlign w:val="baseline"/>
              </w:rPr>
            </w:pPr>
            <w:bookmarkStart w:id="0" w:name="_Hlt74649545"/>
            <w:bookmarkEnd w:id="0"/>
            <w:bookmarkStart w:id="1" w:name="_Hlt74728647"/>
            <w:bookmarkEnd w:id="1"/>
            <w:bookmarkStart w:id="2" w:name="_Hlt74707423"/>
            <w:bookmarkEnd w:id="2"/>
            <w:bookmarkStart w:id="3" w:name="_Hlt74729822"/>
            <w:bookmarkEnd w:id="3"/>
            <w:bookmarkStart w:id="4" w:name="第二部分"/>
            <w:bookmarkStart w:id="5" w:name="_Toc91899870"/>
            <w:bookmarkStart w:id="6" w:name="_Toc91899871"/>
          </w:p>
        </w:tc>
      </w:tr>
      <w:tr w14:paraId="3136A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1BF3A48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vertAlign w:val="baseline"/>
              </w:rPr>
            </w:pPr>
            <w:r>
              <w:rPr>
                <w:rFonts w:hint="eastAsia" w:ascii="宋体" w:hAnsi="宋体" w:cs="宋体"/>
                <w:color w:val="auto"/>
                <w:sz w:val="48"/>
                <w:szCs w:val="48"/>
              </w:rPr>
              <w:t>萧山图书馆202</w:t>
            </w:r>
            <w:r>
              <w:rPr>
                <w:rFonts w:hint="eastAsia" w:ascii="宋体" w:hAnsi="宋体" w:cs="宋体"/>
                <w:color w:val="auto"/>
                <w:sz w:val="48"/>
                <w:szCs w:val="48"/>
                <w:lang w:val="en-US" w:eastAsia="zh-CN"/>
              </w:rPr>
              <w:t>5</w:t>
            </w:r>
            <w:r>
              <w:rPr>
                <w:rFonts w:hint="eastAsia" w:ascii="宋体" w:hAnsi="宋体" w:cs="宋体"/>
                <w:color w:val="auto"/>
                <w:sz w:val="48"/>
                <w:szCs w:val="48"/>
              </w:rPr>
              <w:t>年数字资源服务采购项目</w:t>
            </w:r>
          </w:p>
        </w:tc>
      </w:tr>
      <w:tr w14:paraId="6E926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4D217E2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rPr>
            </w:pPr>
            <w:r>
              <w:rPr>
                <w:rFonts w:hint="eastAsia" w:ascii="宋体" w:hAnsi="宋体" w:cs="宋体"/>
                <w:color w:val="auto"/>
                <w:sz w:val="48"/>
                <w:szCs w:val="48"/>
              </w:rPr>
              <w:t>招标文件</w:t>
            </w:r>
          </w:p>
          <w:p w14:paraId="0E5F670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rPr>
            </w:pPr>
            <w:r>
              <w:rPr>
                <w:rFonts w:hint="eastAsia" w:ascii="宋体" w:hAnsi="宋体" w:cs="宋体"/>
                <w:b/>
                <w:color w:val="auto"/>
                <w:sz w:val="44"/>
                <w:szCs w:val="44"/>
              </w:rPr>
              <w:t>（电子招投标）</w:t>
            </w:r>
          </w:p>
        </w:tc>
      </w:tr>
      <w:tr w14:paraId="65E7C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2809F513">
            <w:pPr>
              <w:pStyle w:val="4"/>
              <w:jc w:val="center"/>
              <w:rPr>
                <w:rFonts w:hint="default" w:eastAsiaTheme="minorEastAsia"/>
                <w:color w:val="auto"/>
                <w:lang w:val="en-US" w:eastAsia="zh-CN"/>
              </w:rPr>
            </w:pPr>
            <w:r>
              <w:rPr>
                <w:rFonts w:hint="eastAsia" w:asciiTheme="minorEastAsia" w:hAnsiTheme="minorEastAsia" w:eastAsiaTheme="minorEastAsia" w:cstheme="minorEastAsia"/>
                <w:color w:val="auto"/>
                <w:sz w:val="30"/>
                <w:szCs w:val="30"/>
              </w:rPr>
              <w:t>编号:</w:t>
            </w:r>
            <w:r>
              <w:rPr>
                <w:rFonts w:hint="eastAsia" w:asciiTheme="minorEastAsia" w:hAnsiTheme="minorEastAsia" w:eastAsiaTheme="minorEastAsia" w:cstheme="minorEastAsia"/>
                <w:color w:val="auto"/>
                <w:sz w:val="30"/>
                <w:szCs w:val="30"/>
                <w:lang w:val="en-US" w:eastAsia="zh-CN"/>
              </w:rPr>
              <w:t>TSG-HS-2025594</w:t>
            </w:r>
          </w:p>
        </w:tc>
      </w:tr>
      <w:tr w14:paraId="27B06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jc w:val="center"/>
        </w:trPr>
        <w:tc>
          <w:tcPr>
            <w:tcW w:w="8440" w:type="dxa"/>
          </w:tcPr>
          <w:p w14:paraId="789B34E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color w:val="auto"/>
                <w:sz w:val="48"/>
                <w:szCs w:val="48"/>
                <w:vertAlign w:val="baseline"/>
              </w:rPr>
            </w:pPr>
          </w:p>
        </w:tc>
      </w:tr>
      <w:tr w14:paraId="79321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14:paraId="79D72285">
            <w:pPr>
              <w:snapToGrid w:val="0"/>
              <w:spacing w:line="360" w:lineRule="auto"/>
              <w:jc w:val="center"/>
              <w:rPr>
                <w:rFonts w:hint="eastAsia" w:ascii="宋体" w:hAnsi="宋体" w:cs="宋体"/>
                <w:color w:val="auto"/>
                <w:sz w:val="48"/>
                <w:szCs w:val="48"/>
                <w:vertAlign w:val="baseline"/>
              </w:rPr>
            </w:pPr>
            <w:r>
              <w:rPr>
                <w:rFonts w:hint="eastAsia" w:ascii="宋体" w:hAnsi="宋体" w:cs="宋体"/>
                <w:color w:val="auto"/>
                <w:sz w:val="32"/>
                <w:szCs w:val="32"/>
              </w:rPr>
              <w:t>杭州市萧山图书馆</w:t>
            </w:r>
          </w:p>
        </w:tc>
      </w:tr>
      <w:tr w14:paraId="685E0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Pr>
          <w:p w14:paraId="7C0D602F">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浙江豪圣建设项目管理有限公司</w:t>
            </w:r>
          </w:p>
          <w:p w14:paraId="7CF83BDC">
            <w:pPr>
              <w:snapToGrid w:val="0"/>
              <w:spacing w:line="360" w:lineRule="auto"/>
              <w:jc w:val="center"/>
              <w:rPr>
                <w:rFonts w:hint="eastAsia" w:ascii="宋体" w:hAnsi="宋体" w:cs="宋体"/>
                <w:color w:val="auto"/>
                <w:sz w:val="48"/>
                <w:szCs w:val="48"/>
                <w:vertAlign w:val="baseline"/>
              </w:rPr>
            </w:pPr>
            <w:r>
              <w:rPr>
                <w:rFonts w:hint="eastAsia" w:ascii="宋体" w:hAnsi="宋体" w:cs="宋体"/>
                <w:bCs/>
                <w:color w:val="auto"/>
                <w:sz w:val="32"/>
                <w:szCs w:val="32"/>
                <w:lang w:val="en-US" w:eastAsia="zh-CN"/>
              </w:rPr>
              <w:t xml:space="preserve">  2025</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06</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20</w:t>
            </w:r>
            <w:r>
              <w:rPr>
                <w:rFonts w:hint="eastAsia" w:ascii="宋体" w:hAnsi="宋体" w:cs="宋体"/>
                <w:bCs/>
                <w:color w:val="auto"/>
                <w:sz w:val="32"/>
                <w:szCs w:val="32"/>
              </w:rPr>
              <w:t>日</w:t>
            </w:r>
          </w:p>
        </w:tc>
      </w:tr>
    </w:tbl>
    <w:p w14:paraId="4C36CDEC">
      <w:pPr>
        <w:rPr>
          <w:color w:val="auto"/>
        </w:rPr>
      </w:pPr>
      <w:r>
        <w:rPr>
          <w:rFonts w:hint="eastAsia"/>
          <w:color w:val="auto"/>
        </w:rPr>
        <w:br w:type="page"/>
      </w:r>
    </w:p>
    <w:p w14:paraId="7F1D1DE8">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6BD7D5B6">
      <w:pPr>
        <w:spacing w:line="360" w:lineRule="auto"/>
        <w:rPr>
          <w:rFonts w:ascii="宋体" w:hAnsi="宋体" w:cs="宋体"/>
          <w:color w:val="auto"/>
          <w:sz w:val="32"/>
          <w:szCs w:val="32"/>
        </w:rPr>
      </w:pPr>
    </w:p>
    <w:p w14:paraId="313B2A1C">
      <w:pPr>
        <w:spacing w:line="360" w:lineRule="auto"/>
        <w:rPr>
          <w:rFonts w:ascii="宋体" w:hAnsi="宋体" w:cs="宋体"/>
          <w:color w:val="auto"/>
          <w:sz w:val="32"/>
          <w:szCs w:val="32"/>
        </w:rPr>
      </w:pPr>
    </w:p>
    <w:p w14:paraId="415843C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25E10A6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46C501E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0044DDD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76E1AF0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6E91CD4A">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2DADD74D">
      <w:pPr>
        <w:rPr>
          <w:rFonts w:ascii="宋体" w:hAnsi="宋体" w:cs="宋体"/>
          <w:color w:val="auto"/>
          <w:sz w:val="32"/>
          <w:szCs w:val="32"/>
        </w:rPr>
      </w:pPr>
      <w:r>
        <w:rPr>
          <w:rFonts w:hint="eastAsia" w:ascii="宋体" w:hAnsi="宋体" w:cs="宋体"/>
          <w:color w:val="auto"/>
          <w:sz w:val="32"/>
          <w:szCs w:val="32"/>
        </w:rPr>
        <w:br w:type="page"/>
      </w:r>
    </w:p>
    <w:p w14:paraId="33571CFE">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p>
    <w:p w14:paraId="042DC486">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4BF6B95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rPr>
        <w:t>萧山图书馆2025年数字资源服务采购项目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lang w:val="en-US" w:eastAsia="zh-CN"/>
        </w:rPr>
        <w:t>2025</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07</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10</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09</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30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6AAC80E2">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0365BDC1">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rPr>
        <w:t xml:space="preserve"> </w:t>
      </w:r>
      <w:r>
        <w:rPr>
          <w:rFonts w:hint="eastAsia" w:ascii="宋体" w:hAnsi="宋体" w:cs="宋体"/>
          <w:b/>
          <w:color w:val="auto"/>
          <w:sz w:val="24"/>
        </w:rPr>
        <w:t>项目编号：TSG-HS-2025594</w:t>
      </w:r>
    </w:p>
    <w:p w14:paraId="724E6F0D">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rPr>
        <w:t>萧山图书馆2025年数字资源服务采购项目</w:t>
      </w:r>
    </w:p>
    <w:p w14:paraId="0E5FEFCE">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559000.00</w:t>
      </w:r>
      <w:r>
        <w:rPr>
          <w:rFonts w:hint="eastAsia" w:ascii="宋体" w:hAnsi="宋体" w:cs="宋体"/>
          <w:color w:val="auto"/>
          <w:sz w:val="24"/>
        </w:rPr>
        <w:t xml:space="preserve"> </w:t>
      </w:r>
    </w:p>
    <w:p w14:paraId="47EA5C04">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559000.00</w:t>
      </w:r>
      <w:r>
        <w:rPr>
          <w:rFonts w:hint="eastAsia" w:ascii="宋体" w:hAnsi="宋体" w:cs="宋体"/>
          <w:color w:val="auto"/>
          <w:sz w:val="24"/>
        </w:rPr>
        <w:t xml:space="preserve"> </w:t>
      </w:r>
    </w:p>
    <w:p w14:paraId="6B05F9BE">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宋体" w:hAnsi="宋体" w:cs="宋体"/>
          <w:color w:val="auto"/>
          <w:sz w:val="24"/>
        </w:rPr>
        <w:t>萧山图书馆2025年数字资源服务采购项目</w:t>
      </w:r>
      <w:r>
        <w:rPr>
          <w:rFonts w:hint="eastAsia" w:hAnsi="宋体" w:cs="宋体"/>
          <w:color w:val="auto"/>
          <w:sz w:val="24"/>
          <w:lang w:eastAsia="zh-CN"/>
        </w:rPr>
        <w:t>，</w:t>
      </w:r>
      <w:r>
        <w:rPr>
          <w:rFonts w:hint="eastAsia" w:hAnsi="宋体" w:cs="宋体"/>
          <w:bCs/>
          <w:snapToGrid/>
          <w:color w:val="auto"/>
          <w:kern w:val="2"/>
          <w:sz w:val="24"/>
          <w:szCs w:val="24"/>
        </w:rPr>
        <w:t>主要内容：</w:t>
      </w:r>
      <w:r>
        <w:rPr>
          <w:rFonts w:hint="eastAsia" w:ascii="宋体" w:hAnsi="宋体" w:cs="宋体"/>
          <w:color w:val="auto"/>
          <w:sz w:val="24"/>
        </w:rPr>
        <w:t>萧山图书馆2025年数字资源服务采购</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48BE2757">
      <w:pPr>
        <w:pStyle w:val="128"/>
        <w:ind w:firstLine="482"/>
        <w:outlineLvl w:val="2"/>
        <w:rPr>
          <w:rFonts w:hint="eastAsia" w:ascii="宋体" w:hAnsi="宋体" w:eastAsia="宋体" w:cs="宋体"/>
          <w:color w:val="auto"/>
          <w:lang w:eastAsia="zh-CN"/>
        </w:rPr>
      </w:pPr>
      <w:r>
        <w:rPr>
          <w:rFonts w:hint="eastAsia" w:ascii="宋体" w:hAnsi="宋体" w:cs="宋体"/>
          <w:b/>
          <w:color w:val="auto"/>
        </w:rPr>
        <w:t>合同履约期限：</w:t>
      </w:r>
      <w:r>
        <w:rPr>
          <w:rFonts w:hint="eastAsia" w:ascii="宋体" w:hAnsi="宋体" w:cs="宋体"/>
          <w:b/>
          <w:color w:val="auto"/>
          <w:lang w:val="en-US" w:eastAsia="zh-CN"/>
        </w:rPr>
        <w:t>详见招标文件</w:t>
      </w:r>
      <w:r>
        <w:rPr>
          <w:rFonts w:hint="eastAsia" w:hAnsi="宋体" w:cs="宋体"/>
          <w:bCs/>
          <w:snapToGrid/>
          <w:color w:val="auto"/>
          <w:kern w:val="2"/>
          <w:sz w:val="24"/>
          <w:szCs w:val="24"/>
          <w:lang w:eastAsia="zh-CN"/>
        </w:rPr>
        <w:t>，</w:t>
      </w:r>
      <w:r>
        <w:rPr>
          <w:rFonts w:hint="eastAsia" w:ascii="宋体" w:hAnsi="宋体" w:cs="宋体"/>
          <w:b/>
          <w:color w:val="auto"/>
          <w:lang w:eastAsia="zh-CN"/>
        </w:rPr>
        <w:t>详见招标文件</w:t>
      </w:r>
    </w:p>
    <w:p w14:paraId="0829C4CD">
      <w:pPr>
        <w:pStyle w:val="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ascii="宋体" w:hAnsi="宋体" w:cs="宋体"/>
            <w:color w:val="auto"/>
            <w:kern w:val="0"/>
            <w:sz w:val="24"/>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是；</w:t>
      </w:r>
      <w:sdt>
        <w:sdtPr>
          <w:rPr>
            <w:rFonts w:hint="eastAsia" w:ascii="宋体"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宋体" w:hAnsi="宋体" w:cs="宋体"/>
              <w:snapToGrid/>
              <w:color w:val="auto"/>
              <w:kern w:val="2"/>
              <w:sz w:val="24"/>
              <w:szCs w:val="24"/>
            </w:rPr>
            <w:t>☐</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否</w:t>
      </w:r>
    </w:p>
    <w:p w14:paraId="1E913804">
      <w:pPr>
        <w:spacing w:line="360" w:lineRule="auto"/>
        <w:rPr>
          <w:rFonts w:ascii="宋体" w:hAnsi="宋体" w:cs="宋体"/>
          <w:b/>
          <w:color w:val="auto"/>
          <w:sz w:val="24"/>
        </w:rPr>
      </w:pPr>
      <w:r>
        <w:rPr>
          <w:rFonts w:hint="eastAsia" w:ascii="宋体" w:hAnsi="宋体" w:cs="宋体"/>
          <w:b/>
          <w:color w:val="auto"/>
          <w:sz w:val="24"/>
        </w:rPr>
        <w:t>二、申请人的资格要求：</w:t>
      </w:r>
    </w:p>
    <w:p w14:paraId="21FCC9BD">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0DE709E">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2AAF8ADB">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5E3561CE">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74B21B46">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615FD6FC">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中小微</w:t>
      </w:r>
      <w:r>
        <w:rPr>
          <w:rFonts w:hint="eastAsia" w:ascii="宋体" w:hAnsi="宋体" w:cs="宋体"/>
          <w:color w:val="auto"/>
          <w:sz w:val="24"/>
        </w:rPr>
        <w:t>企业承接，提供中小企业声明函；</w:t>
      </w:r>
    </w:p>
    <w:p w14:paraId="17670E48">
      <w:pPr>
        <w:spacing w:line="360" w:lineRule="auto"/>
        <w:ind w:firstLine="897" w:firstLineChars="374"/>
        <w:rPr>
          <w:rFonts w:ascii="宋体" w:hAnsi="宋体" w:cs="宋体"/>
          <w:color w:val="auto"/>
        </w:rPr>
      </w:pPr>
      <w:sdt>
        <w:sdtPr>
          <w:rPr>
            <w:rFonts w:hint="eastAsia" w:ascii="宋体" w:hAnsi="宋体" w:cs="宋体"/>
            <w:color w:val="auto"/>
            <w:kern w:val="0"/>
            <w:sz w:val="24"/>
          </w:rPr>
          <w:id w:val="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小微</w:t>
      </w:r>
      <w:r>
        <w:rPr>
          <w:rFonts w:hint="eastAsia" w:ascii="宋体" w:hAnsi="宋体" w:cs="宋体"/>
          <w:color w:val="auto"/>
          <w:sz w:val="24"/>
        </w:rPr>
        <w:t>企业承接，提供中小企业声明函；</w:t>
      </w:r>
    </w:p>
    <w:p w14:paraId="29D91480">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7"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7"/>
    <w:p w14:paraId="39E61576">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6EBA7E70">
      <w:pPr>
        <w:numPr>
          <w:ilvl w:val="0"/>
          <w:numId w:val="1"/>
        </w:num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本项目的特定资格要求：</w:t>
      </w:r>
    </w:p>
    <w:p w14:paraId="21650C47">
      <w:pPr>
        <w:spacing w:line="360" w:lineRule="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2E39950A">
      <w:pPr>
        <w:spacing w:line="360" w:lineRule="auto"/>
        <w:rPr>
          <w:color w:val="auto"/>
        </w:rPr>
      </w:pPr>
      <w:sdt>
        <w:sdtPr>
          <w:rPr>
            <w:rFonts w:hint="eastAsia" w:ascii="宋体" w:hAnsi="宋体" w:eastAsia="宋体" w:cs="宋体"/>
            <w:color w:val="auto"/>
            <w:sz w:val="24"/>
            <w:szCs w:val="24"/>
            <w:highlight w:val="none"/>
          </w:rPr>
          <w:id w:val="4657"/>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lang w:val="en-US" w:eastAsia="zh-CN"/>
            </w:rPr>
            <w:t>☐</w:t>
          </w:r>
        </w:sdtContent>
      </w:sdt>
      <w:r>
        <w:rPr>
          <w:rFonts w:hint="eastAsia" w:ascii="宋体" w:hAnsi="宋体" w:eastAsia="宋体" w:cs="宋体"/>
          <w:color w:val="auto"/>
          <w:sz w:val="24"/>
          <w:szCs w:val="24"/>
          <w:highlight w:val="none"/>
        </w:rPr>
        <w:t>有特定资格要求：               ，该特定条件的法律法规据：             。</w:t>
      </w:r>
    </w:p>
    <w:p w14:paraId="5947608D">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FF1B0D5">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4B0E0923">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color w:val="auto"/>
          <w:u w:val="single"/>
          <w:lang w:val="en-US" w:eastAsia="zh-CN"/>
        </w:rPr>
        <w:t>2025</w:t>
      </w:r>
      <w:r>
        <w:rPr>
          <w:rFonts w:hint="eastAsia"/>
          <w:color w:val="auto"/>
          <w:u w:val="single"/>
        </w:rPr>
        <w:t>年</w:t>
      </w:r>
      <w:r>
        <w:rPr>
          <w:rFonts w:hint="eastAsia"/>
          <w:color w:val="auto"/>
          <w:u w:val="single"/>
          <w:lang w:val="en-US" w:eastAsia="zh-CN"/>
        </w:rPr>
        <w:t>07</w:t>
      </w:r>
      <w:r>
        <w:rPr>
          <w:rFonts w:hint="eastAsia"/>
          <w:color w:val="auto"/>
          <w:u w:val="single"/>
        </w:rPr>
        <w:t>月</w:t>
      </w:r>
      <w:r>
        <w:rPr>
          <w:rFonts w:hint="eastAsia"/>
          <w:color w:val="auto"/>
          <w:u w:val="single"/>
          <w:lang w:val="en-US" w:eastAsia="zh-CN"/>
        </w:rPr>
        <w:t>10</w:t>
      </w:r>
      <w:r>
        <w:rPr>
          <w:rFonts w:hint="eastAsia"/>
          <w:color w:val="auto"/>
          <w:u w:val="single"/>
        </w:rPr>
        <w:t>日</w:t>
      </w:r>
      <w:r>
        <w:rPr>
          <w:rFonts w:hint="eastAsia" w:ascii="宋体" w:hAnsi="宋体" w:cs="宋体"/>
          <w:color w:val="auto"/>
          <w:sz w:val="24"/>
        </w:rPr>
        <w:t>，每天上午00:00至12:00 ，下午12:00至23:59（北京时间，线上获取法定节假日均可，线下获取文件法定节假日除外）</w:t>
      </w:r>
    </w:p>
    <w:p w14:paraId="1692B653">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4DCF8894">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2B127722">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40E6384B">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78667BE3">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lang w:val="en-US" w:eastAsia="zh-CN"/>
        </w:rPr>
        <w:t>2025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49F994D3">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1E4BD147">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val="en-US" w:eastAsia="zh-CN"/>
        </w:rPr>
        <w:t>2025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4AC2E5B1">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5737A55F">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5D9306FC">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763A1E81">
      <w:pPr>
        <w:spacing w:line="360" w:lineRule="auto"/>
        <w:rPr>
          <w:rFonts w:ascii="宋体" w:hAnsi="宋体" w:cs="宋体"/>
          <w:b/>
          <w:color w:val="auto"/>
          <w:sz w:val="24"/>
        </w:rPr>
      </w:pPr>
      <w:r>
        <w:rPr>
          <w:rFonts w:hint="eastAsia" w:ascii="宋体" w:hAnsi="宋体" w:cs="宋体"/>
          <w:b/>
          <w:color w:val="auto"/>
          <w:sz w:val="24"/>
        </w:rPr>
        <w:t>六、其他补充事宜</w:t>
      </w:r>
    </w:p>
    <w:p w14:paraId="0470158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6A2B66A9">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36C9C2">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BC0464">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77D8B28">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3254DA6A">
      <w:pPr>
        <w:spacing w:line="360" w:lineRule="auto"/>
        <w:rPr>
          <w:rFonts w:ascii="宋体" w:hAnsi="宋体" w:cs="宋体"/>
          <w:color w:val="auto"/>
          <w:sz w:val="24"/>
        </w:rPr>
      </w:pPr>
      <w:r>
        <w:rPr>
          <w:rFonts w:hint="eastAsia" w:ascii="宋体" w:hAnsi="宋体" w:cs="宋体"/>
          <w:color w:val="auto"/>
          <w:sz w:val="24"/>
        </w:rPr>
        <w:t xml:space="preserve">    1.采购人信息</w:t>
      </w:r>
    </w:p>
    <w:p w14:paraId="4145CD04">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rPr>
        <w:t xml:space="preserve"> 名 称：杭州市萧山图书馆</w:t>
      </w:r>
    </w:p>
    <w:p w14:paraId="6C758A51">
      <w:pPr>
        <w:spacing w:line="360" w:lineRule="auto"/>
        <w:ind w:firstLine="480" w:firstLineChars="200"/>
        <w:rPr>
          <w:rFonts w:hint="eastAsia" w:ascii="宋体" w:hAnsi="宋体" w:cs="宋体"/>
          <w:color w:val="auto"/>
          <w:sz w:val="24"/>
        </w:rPr>
      </w:pPr>
      <w:r>
        <w:rPr>
          <w:rFonts w:hint="eastAsia" w:ascii="宋体" w:hAnsi="宋体" w:cs="宋体"/>
          <w:color w:val="auto"/>
          <w:sz w:val="24"/>
        </w:rPr>
        <w:t>地址： 萧山区北干街道市心中路958号</w:t>
      </w:r>
    </w:p>
    <w:p w14:paraId="4D3D88FA">
      <w:pPr>
        <w:spacing w:line="360" w:lineRule="auto"/>
        <w:ind w:firstLine="480" w:firstLineChars="200"/>
        <w:rPr>
          <w:rFonts w:hint="eastAsia" w:ascii="宋体" w:hAnsi="宋体" w:cs="宋体"/>
          <w:color w:val="auto"/>
          <w:sz w:val="24"/>
        </w:rPr>
      </w:pPr>
      <w:r>
        <w:rPr>
          <w:rFonts w:hint="eastAsia" w:ascii="宋体" w:hAnsi="宋体" w:cs="宋体"/>
          <w:color w:val="auto"/>
          <w:sz w:val="24"/>
        </w:rPr>
        <w:t>传真：/</w:t>
      </w:r>
    </w:p>
    <w:p w14:paraId="0D8A08A2">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项目联系人（询问）：俞恩 </w:t>
      </w:r>
    </w:p>
    <w:p w14:paraId="1B53826D">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项目联系方式（询问）：0571-83869049 </w:t>
      </w:r>
    </w:p>
    <w:p w14:paraId="740872A9">
      <w:pPr>
        <w:spacing w:line="360" w:lineRule="auto"/>
        <w:ind w:firstLine="480" w:firstLineChars="200"/>
        <w:rPr>
          <w:rFonts w:hint="eastAsia" w:ascii="宋体" w:hAnsi="宋体" w:cs="宋体"/>
          <w:color w:val="auto"/>
          <w:sz w:val="24"/>
        </w:rPr>
      </w:pPr>
      <w:r>
        <w:rPr>
          <w:rFonts w:hint="eastAsia" w:ascii="宋体" w:hAnsi="宋体" w:cs="宋体"/>
          <w:color w:val="auto"/>
          <w:sz w:val="24"/>
        </w:rPr>
        <w:t>质疑联系人： 龚林奇</w:t>
      </w:r>
    </w:p>
    <w:p w14:paraId="6F431147">
      <w:pPr>
        <w:spacing w:line="360" w:lineRule="auto"/>
        <w:ind w:firstLine="480" w:firstLineChars="200"/>
        <w:rPr>
          <w:rFonts w:ascii="宋体" w:hAnsi="宋体" w:cs="宋体"/>
          <w:color w:val="auto"/>
          <w:sz w:val="24"/>
        </w:rPr>
      </w:pPr>
      <w:r>
        <w:rPr>
          <w:rFonts w:hint="eastAsia" w:ascii="宋体" w:hAnsi="宋体" w:cs="宋体"/>
          <w:color w:val="auto"/>
          <w:sz w:val="24"/>
        </w:rPr>
        <w:t xml:space="preserve">质疑联系方式：0571-83865500 </w:t>
      </w:r>
      <w:r>
        <w:rPr>
          <w:rFonts w:hint="eastAsia" w:ascii="宋体" w:hAnsi="宋体" w:cs="宋体"/>
          <w:color w:val="auto"/>
          <w:sz w:val="24"/>
          <w:highlight w:val="none"/>
          <w:lang w:val="en-US" w:eastAsia="zh-CN"/>
        </w:rPr>
        <w:t>（请通过以下路径在线提起质疑：政采云-项目采购-询问质疑投诉-质疑列表）</w:t>
      </w:r>
    </w:p>
    <w:p w14:paraId="7D3A90EA">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25AC4AA5">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名    称：浙江豪圣建设项目管理有限公司        </w:t>
      </w:r>
    </w:p>
    <w:p w14:paraId="7DBD05F7">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地    址：杭州市拱墅区大关路179号远洋国际中心A座1706室        </w:t>
      </w:r>
    </w:p>
    <w:p w14:paraId="20682B07">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传    真：/        </w:t>
      </w:r>
      <w:bookmarkStart w:id="508" w:name="_GoBack"/>
      <w:bookmarkEnd w:id="508"/>
    </w:p>
    <w:p w14:paraId="661886DF">
      <w:pPr>
        <w:spacing w:line="360" w:lineRule="auto"/>
        <w:ind w:firstLine="480" w:firstLineChars="200"/>
        <w:rPr>
          <w:rFonts w:hint="eastAsia"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陈先生</w:t>
      </w:r>
      <w:r>
        <w:rPr>
          <w:rFonts w:hint="eastAsia" w:ascii="宋体" w:hAnsi="宋体" w:cs="宋体"/>
          <w:color w:val="auto"/>
          <w:sz w:val="24"/>
        </w:rPr>
        <w:t xml:space="preserve">        </w:t>
      </w:r>
    </w:p>
    <w:p w14:paraId="12CB5EAA">
      <w:pPr>
        <w:spacing w:line="360" w:lineRule="auto"/>
        <w:ind w:firstLine="480" w:firstLineChars="200"/>
        <w:rPr>
          <w:rFonts w:hint="eastAsia" w:ascii="宋体" w:hAnsi="宋体" w:cs="宋体"/>
          <w:color w:val="auto"/>
          <w:sz w:val="24"/>
        </w:rPr>
      </w:pPr>
      <w:r>
        <w:rPr>
          <w:rFonts w:hint="eastAsia" w:ascii="宋体" w:hAnsi="宋体" w:cs="宋体"/>
          <w:color w:val="auto"/>
          <w:sz w:val="24"/>
        </w:rPr>
        <w:t>项目联系方式（询问）：</w:t>
      </w:r>
      <w:r>
        <w:rPr>
          <w:rFonts w:hint="eastAsia" w:ascii="宋体" w:hAnsi="宋体" w:cs="宋体"/>
          <w:color w:val="auto"/>
          <w:sz w:val="24"/>
          <w:lang w:val="en-US" w:eastAsia="zh-CN"/>
        </w:rPr>
        <w:t>15268550151</w:t>
      </w:r>
      <w:r>
        <w:rPr>
          <w:rFonts w:hint="eastAsia" w:ascii="宋体" w:hAnsi="宋体" w:cs="宋体"/>
          <w:color w:val="auto"/>
          <w:sz w:val="24"/>
        </w:rPr>
        <w:t xml:space="preserve">       </w:t>
      </w:r>
    </w:p>
    <w:p w14:paraId="4AF84048">
      <w:pPr>
        <w:spacing w:line="360" w:lineRule="auto"/>
        <w:ind w:firstLine="480" w:firstLineChars="200"/>
        <w:rPr>
          <w:rFonts w:hint="eastAsia" w:ascii="宋体" w:hAnsi="宋体" w:cs="宋体"/>
          <w:color w:val="auto"/>
          <w:sz w:val="24"/>
        </w:rPr>
      </w:pPr>
      <w:r>
        <w:rPr>
          <w:rFonts w:hint="eastAsia" w:ascii="宋体" w:hAnsi="宋体" w:cs="宋体"/>
          <w:color w:val="auto"/>
          <w:sz w:val="24"/>
        </w:rPr>
        <w:t>质疑联系人：</w:t>
      </w:r>
      <w:r>
        <w:rPr>
          <w:rFonts w:hint="eastAsia" w:ascii="宋体" w:hAnsi="宋体" w:cs="宋体"/>
          <w:color w:val="auto"/>
          <w:sz w:val="24"/>
          <w:lang w:val="en-US" w:eastAsia="zh-CN"/>
        </w:rPr>
        <w:t>付先生</w:t>
      </w:r>
      <w:r>
        <w:rPr>
          <w:rFonts w:hint="eastAsia" w:ascii="宋体" w:hAnsi="宋体" w:cs="宋体"/>
          <w:color w:val="auto"/>
          <w:sz w:val="24"/>
        </w:rPr>
        <w:t xml:space="preserve">        </w:t>
      </w:r>
    </w:p>
    <w:p w14:paraId="6EDB984A">
      <w:pPr>
        <w:spacing w:line="360" w:lineRule="auto"/>
        <w:ind w:firstLine="480" w:firstLineChars="200"/>
        <w:rPr>
          <w:rFonts w:hint="eastAsia" w:ascii="宋体" w:hAnsi="宋体" w:cs="宋体"/>
          <w:color w:val="auto"/>
          <w:sz w:val="24"/>
        </w:rPr>
      </w:pPr>
      <w:r>
        <w:rPr>
          <w:rFonts w:hint="eastAsia" w:ascii="宋体" w:hAnsi="宋体" w:cs="宋体"/>
          <w:color w:val="auto"/>
          <w:sz w:val="24"/>
        </w:rPr>
        <w:t>质疑联系方式：18334388354</w:t>
      </w:r>
      <w:r>
        <w:rPr>
          <w:rFonts w:hint="eastAsia" w:ascii="宋体" w:hAnsi="宋体" w:cs="宋体"/>
          <w:color w:val="auto"/>
          <w:sz w:val="24"/>
          <w:highlight w:val="none"/>
          <w:lang w:val="en-US" w:eastAsia="zh-CN"/>
        </w:rPr>
        <w:t>（请通过以下路径在线提起质疑：政采云-项目采购-询问质疑投诉-质疑列表）</w:t>
      </w:r>
    </w:p>
    <w:p w14:paraId="4D6DAAA8">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1E452C04">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rPr>
        <w:t>名    称：萧山区财政局</w:t>
      </w:r>
      <w:r>
        <w:rPr>
          <w:rFonts w:hint="eastAsia" w:ascii="宋体" w:hAnsi="宋体" w:cs="宋体"/>
          <w:color w:val="auto"/>
          <w:sz w:val="24"/>
          <w:lang w:eastAsia="zh-CN"/>
        </w:rPr>
        <w:t>、</w:t>
      </w:r>
      <w:r>
        <w:rPr>
          <w:rFonts w:hint="eastAsia" w:ascii="宋体" w:hAnsi="宋体" w:cs="宋体"/>
          <w:color w:val="auto"/>
          <w:sz w:val="24"/>
          <w:lang w:val="en-US" w:eastAsia="zh-CN"/>
        </w:rPr>
        <w:t>浙江省政府采购行政裁决服务中心（杭州）</w:t>
      </w:r>
    </w:p>
    <w:p w14:paraId="651C7823">
      <w:pPr>
        <w:spacing w:line="360" w:lineRule="auto"/>
        <w:ind w:left="237" w:leftChars="113" w:firstLine="180" w:firstLineChars="75"/>
        <w:rPr>
          <w:rFonts w:hint="eastAsia" w:ascii="宋体" w:hAnsi="宋体" w:eastAsia="宋体" w:cs="宋体"/>
          <w:color w:val="auto"/>
          <w:sz w:val="24"/>
        </w:rPr>
      </w:pPr>
      <w:r>
        <w:rPr>
          <w:rFonts w:hint="eastAsia" w:ascii="宋体" w:hAnsi="宋体" w:cs="宋体"/>
          <w:color w:val="auto"/>
          <w:sz w:val="24"/>
        </w:rPr>
        <w:t>地    址：</w:t>
      </w:r>
      <w:r>
        <w:rPr>
          <w:rFonts w:hint="eastAsia" w:ascii="宋体" w:hAnsi="宋体" w:eastAsia="宋体" w:cs="宋体"/>
          <w:color w:val="auto"/>
          <w:sz w:val="24"/>
          <w:lang w:eastAsia="zh-CN"/>
        </w:rPr>
        <w:t>杭州市上城区清泰街549号城建综合大楼11楼</w:t>
      </w:r>
      <w:r>
        <w:rPr>
          <w:rFonts w:hint="eastAsia" w:ascii="宋体" w:hAnsi="宋体" w:eastAsia="宋体" w:cs="宋体"/>
          <w:color w:val="auto"/>
          <w:sz w:val="24"/>
        </w:rPr>
        <w:t>（快递仅限ems或顺丰）</w:t>
      </w:r>
    </w:p>
    <w:p w14:paraId="5A2B6478">
      <w:pPr>
        <w:spacing w:line="360" w:lineRule="auto"/>
        <w:ind w:left="237" w:leftChars="113" w:firstLine="180" w:firstLineChars="75"/>
        <w:rPr>
          <w:rFonts w:hint="eastAsia" w:ascii="宋体" w:hAnsi="宋体" w:eastAsia="宋体" w:cs="宋体"/>
          <w:color w:val="auto"/>
          <w:sz w:val="24"/>
          <w:lang w:eastAsia="zh-CN"/>
        </w:rPr>
      </w:pPr>
      <w:r>
        <w:rPr>
          <w:rFonts w:hint="eastAsia" w:ascii="宋体" w:hAnsi="宋体" w:cs="宋体"/>
          <w:color w:val="auto"/>
          <w:sz w:val="24"/>
        </w:rPr>
        <w:t>传    真：</w:t>
      </w:r>
      <w:r>
        <w:rPr>
          <w:rFonts w:hint="eastAsia" w:ascii="宋体" w:hAnsi="宋体" w:cs="宋体"/>
          <w:color w:val="auto"/>
          <w:sz w:val="24"/>
          <w:lang w:val="en-US" w:eastAsia="zh-CN"/>
        </w:rPr>
        <w:t>/</w:t>
      </w:r>
    </w:p>
    <w:p w14:paraId="5ACEBED1">
      <w:pPr>
        <w:spacing w:line="360" w:lineRule="auto"/>
        <w:ind w:left="237" w:leftChars="113" w:firstLine="180" w:firstLineChars="75"/>
        <w:rPr>
          <w:rFonts w:hint="eastAsia" w:ascii="宋体" w:hAnsi="宋体" w:cs="宋体"/>
          <w:color w:val="auto"/>
          <w:sz w:val="24"/>
        </w:rPr>
      </w:pPr>
      <w:r>
        <w:rPr>
          <w:rFonts w:hint="eastAsia" w:ascii="宋体" w:hAnsi="宋体" w:cs="宋体"/>
          <w:color w:val="auto"/>
          <w:sz w:val="24"/>
        </w:rPr>
        <w:t>联系人 ：</w:t>
      </w:r>
      <w:r>
        <w:rPr>
          <w:rFonts w:hint="eastAsia" w:ascii="宋体" w:hAnsi="宋体" w:cs="宋体"/>
          <w:color w:val="auto"/>
          <w:sz w:val="24"/>
          <w:lang w:val="en-US" w:eastAsia="zh-CN"/>
        </w:rPr>
        <w:t>朱老师</w:t>
      </w:r>
    </w:p>
    <w:p w14:paraId="78715291">
      <w:pPr>
        <w:spacing w:line="360" w:lineRule="auto"/>
        <w:ind w:left="237" w:leftChars="113" w:firstLine="180" w:firstLineChars="75"/>
        <w:rPr>
          <w:rFonts w:hint="eastAsia" w:ascii="宋体" w:hAnsi="宋体" w:cs="宋体"/>
          <w:color w:val="auto"/>
          <w:sz w:val="24"/>
          <w:lang w:val="en-US" w:eastAsia="zh-CN"/>
        </w:rPr>
      </w:pPr>
      <w:r>
        <w:rPr>
          <w:rFonts w:hint="eastAsia" w:ascii="宋体" w:hAnsi="宋体" w:cs="宋体"/>
          <w:color w:val="auto"/>
          <w:sz w:val="24"/>
        </w:rPr>
        <w:t>监督投诉电话：</w:t>
      </w:r>
      <w:r>
        <w:rPr>
          <w:rFonts w:hint="eastAsia" w:ascii="宋体" w:hAnsi="宋体" w:cs="宋体"/>
          <w:color w:val="auto"/>
          <w:sz w:val="24"/>
          <w:lang w:val="en-US" w:eastAsia="zh-CN"/>
        </w:rPr>
        <w:t xml:space="preserve"> 0571-87800218</w:t>
      </w:r>
      <w:r>
        <w:rPr>
          <w:rFonts w:hint="eastAsia" w:ascii="宋体" w:hAnsi="宋体" w:cs="宋体"/>
          <w:color w:val="auto"/>
          <w:sz w:val="24"/>
        </w:rPr>
        <w:t xml:space="preserve"> </w:t>
      </w:r>
    </w:p>
    <w:p w14:paraId="5761BD31">
      <w:pPr>
        <w:spacing w:line="360" w:lineRule="auto"/>
        <w:ind w:firstLine="420" w:firstLineChars="0"/>
        <w:rPr>
          <w:rFonts w:ascii="宋体" w:hAnsi="宋体" w:cs="宋体"/>
          <w:color w:val="auto"/>
          <w:sz w:val="24"/>
        </w:rPr>
      </w:pPr>
      <w:r>
        <w:rPr>
          <w:rFonts w:hint="eastAsia" w:ascii="宋体" w:hAnsi="宋体" w:cs="宋体"/>
          <w:color w:val="auto"/>
          <w:sz w:val="24"/>
          <w:lang w:eastAsia="zh-CN"/>
        </w:rPr>
        <w:t>政策咨询电话：</w:t>
      </w:r>
      <w:r>
        <w:rPr>
          <w:rFonts w:hint="eastAsia" w:ascii="宋体" w:hAnsi="宋体" w:cs="宋体"/>
          <w:color w:val="auto"/>
          <w:sz w:val="24"/>
        </w:rPr>
        <w:t>0571-82756122</w:t>
      </w:r>
      <w:r>
        <w:rPr>
          <w:rFonts w:hint="eastAsia" w:ascii="宋体" w:hAnsi="宋体" w:eastAsia="宋体" w:cs="宋体"/>
          <w:color w:val="auto"/>
          <w:sz w:val="24"/>
          <w:lang w:eastAsia="zh-CN"/>
        </w:rPr>
        <w:t>（汤先生）</w:t>
      </w:r>
    </w:p>
    <w:p w14:paraId="7B0AD38B">
      <w:pPr>
        <w:spacing w:line="360" w:lineRule="auto"/>
        <w:ind w:firstLine="480" w:firstLineChars="200"/>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0F358FB9">
      <w:pPr>
        <w:spacing w:line="360" w:lineRule="auto"/>
        <w:ind w:firstLine="480" w:firstLineChars="200"/>
        <w:jc w:val="left"/>
        <w:rPr>
          <w:rFonts w:ascii="宋体" w:hAnsi="宋体" w:cs="宋体"/>
          <w:color w:val="auto"/>
          <w:sz w:val="24"/>
        </w:rPr>
      </w:pPr>
      <w:r>
        <w:rPr>
          <w:rFonts w:hint="eastAsia" w:ascii="宋体" w:hAnsi="宋体" w:cs="宋体"/>
          <w:color w:val="auto"/>
          <w:sz w:val="24"/>
        </w:rPr>
        <w:t>CA问题联系电话（人工）：汇信CA 400-888-4636；天谷CA 400-087-8198。</w:t>
      </w:r>
    </w:p>
    <w:p w14:paraId="5A4DFA93">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2E547307">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4"/>
      <w:r>
        <w:rPr>
          <w:rFonts w:hint="eastAsia" w:ascii="宋体" w:hAnsi="宋体" w:cs="宋体"/>
          <w:b/>
          <w:color w:val="auto"/>
          <w:sz w:val="36"/>
          <w:szCs w:val="20"/>
        </w:rPr>
        <w:t xml:space="preserve"> 投标人须知</w:t>
      </w:r>
      <w:bookmarkEnd w:id="5"/>
    </w:p>
    <w:p w14:paraId="61F9F043">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C89B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8BAB1D1">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E76B6C3">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D84FF2B">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59EB2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408E20">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DFEBBFA">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83C4274">
            <w:pPr>
              <w:spacing w:line="360" w:lineRule="auto"/>
              <w:rPr>
                <w:rFonts w:ascii="宋体" w:hAnsi="宋体" w:cs="宋体"/>
                <w:color w:val="auto"/>
                <w:sz w:val="24"/>
              </w:rPr>
            </w:pPr>
            <w:r>
              <w:rPr>
                <w:rFonts w:hint="eastAsia" w:ascii="宋体" w:hAnsi="宋体" w:cs="宋体"/>
                <w:color w:val="auto"/>
                <w:sz w:val="24"/>
              </w:rPr>
              <w:t>服务类。</w:t>
            </w:r>
          </w:p>
        </w:tc>
      </w:tr>
      <w:tr w14:paraId="085F9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44D60B">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C4C3103">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5B4BB6">
            <w:pPr>
              <w:snapToGrid w:val="0"/>
              <w:spacing w:line="360" w:lineRule="auto"/>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rPr>
              <w:t>标的：</w:t>
            </w:r>
            <w:r>
              <w:rPr>
                <w:rFonts w:hint="eastAsia" w:ascii="宋体" w:hAnsi="宋体" w:cs="宋体"/>
                <w:color w:val="auto"/>
                <w:sz w:val="24"/>
                <w:u w:val="single"/>
              </w:rPr>
              <w:t xml:space="preserve"> 萧山图书馆2025年数字资源服务采购项目 ，</w:t>
            </w:r>
            <w:r>
              <w:rPr>
                <w:rFonts w:hint="eastAsia" w:ascii="宋体" w:hAnsi="宋体" w:cs="宋体"/>
                <w:color w:val="auto"/>
                <w:sz w:val="24"/>
              </w:rPr>
              <w:t>属于</w:t>
            </w:r>
            <w:r>
              <w:rPr>
                <w:rFonts w:hint="eastAsia" w:ascii="宋体" w:hAnsi="宋体" w:cs="宋体"/>
                <w:color w:val="auto"/>
                <w:sz w:val="24"/>
                <w:u w:val="single"/>
              </w:rPr>
              <w:t xml:space="preserve"> 租赁和商务服务行业</w:t>
            </w:r>
            <w:r>
              <w:rPr>
                <w:rFonts w:hint="eastAsia" w:ascii="宋体" w:hAnsi="宋体" w:cs="宋体"/>
                <w:color w:val="auto"/>
                <w:sz w:val="24"/>
              </w:rPr>
              <w:t>；</w:t>
            </w:r>
          </w:p>
          <w:p w14:paraId="1E343F23">
            <w:pPr>
              <w:rPr>
                <w:color w:val="auto"/>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4C02D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9415E2">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953043B">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5D41075">
            <w:pPr>
              <w:bidi w:val="0"/>
              <w:rPr>
                <w:rFonts w:hint="eastAsia"/>
                <w:color w:val="auto"/>
                <w:sz w:val="24"/>
                <w:szCs w:val="24"/>
              </w:rPr>
            </w:pPr>
            <w:sdt>
              <w:sdtPr>
                <w:rPr>
                  <w:rFonts w:hint="eastAsia"/>
                  <w:color w:val="auto"/>
                  <w:sz w:val="24"/>
                  <w:szCs w:val="24"/>
                </w:rPr>
                <w:id w:val="4658"/>
                <w14:checkbox>
                  <w14:checked w14:val="1"/>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sym w:font="Wingdings" w:char="F0FE"/>
                </w:r>
              </w:sdtContent>
            </w:sdt>
            <w:r>
              <w:rPr>
                <w:rFonts w:hint="eastAsia"/>
                <w:color w:val="auto"/>
                <w:sz w:val="24"/>
                <w:szCs w:val="24"/>
              </w:rPr>
              <w:t>本项目不允许采购进口产品。</w:t>
            </w:r>
          </w:p>
          <w:p w14:paraId="46D58FD9">
            <w:pPr>
              <w:bidi w:val="0"/>
              <w:rPr>
                <w:rFonts w:ascii="宋体" w:hAnsi="宋体" w:cs="宋体"/>
                <w:color w:val="auto"/>
              </w:rPr>
            </w:pPr>
            <w:sdt>
              <w:sdtPr>
                <w:rPr>
                  <w:rFonts w:hint="eastAsia"/>
                  <w:color w:val="auto"/>
                  <w:sz w:val="24"/>
                  <w:szCs w:val="24"/>
                </w:rPr>
                <w:id w:val="4659"/>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可以就    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16AB9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0BDD7D">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27FB76E">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6CD4B54">
            <w:pPr>
              <w:spacing w:line="360" w:lineRule="auto"/>
              <w:rPr>
                <w:rFonts w:ascii="宋体" w:hAnsi="宋体" w:cs="宋体"/>
                <w:color w:val="auto"/>
                <w:sz w:val="24"/>
                <w:szCs w:val="24"/>
              </w:rPr>
            </w:pPr>
            <w:sdt>
              <w:sdtPr>
                <w:rPr>
                  <w:rFonts w:hint="eastAsia" w:ascii="宋体" w:hAnsi="宋体" w:cs="宋体"/>
                  <w:color w:val="auto"/>
                  <w:kern w:val="0"/>
                  <w:sz w:val="24"/>
                  <w:szCs w:val="24"/>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ascii="Wingdings" w:hAnsi="Wingdings" w:cs="宋体"/>
                    <w:color w:val="auto"/>
                    <w:kern w:val="0"/>
                    <w:sz w:val="24"/>
                    <w:szCs w:val="24"/>
                  </w:rPr>
                  <w:t></w:t>
                </w:r>
              </w:sdtContent>
            </w:sdt>
            <w:r>
              <w:rPr>
                <w:rFonts w:hint="eastAsia" w:ascii="宋体" w:hAnsi="宋体" w:cs="宋体"/>
                <w:color w:val="auto"/>
                <w:kern w:val="0"/>
                <w:sz w:val="24"/>
                <w:szCs w:val="24"/>
              </w:rPr>
              <w:t xml:space="preserve"> A</w:t>
            </w:r>
            <w:r>
              <w:rPr>
                <w:rFonts w:hint="eastAsia" w:ascii="宋体" w:hAnsi="宋体" w:cs="宋体"/>
                <w:color w:val="auto"/>
                <w:sz w:val="24"/>
                <w:szCs w:val="24"/>
              </w:rPr>
              <w:t>同意将非主体、非关键性的</w:t>
            </w:r>
            <w:r>
              <w:rPr>
                <w:rFonts w:hint="eastAsia" w:ascii="宋体" w:hAnsi="宋体" w:cs="宋体"/>
                <w:color w:val="auto"/>
                <w:sz w:val="24"/>
                <w:szCs w:val="24"/>
                <w:u w:val="single"/>
              </w:rPr>
              <w:t xml:space="preserve">             </w:t>
            </w:r>
            <w:r>
              <w:rPr>
                <w:rFonts w:hint="eastAsia" w:ascii="宋体" w:hAnsi="宋体" w:cs="宋体"/>
                <w:color w:val="auto"/>
                <w:sz w:val="24"/>
                <w:szCs w:val="24"/>
              </w:rPr>
              <w:t>工作分包。</w:t>
            </w:r>
            <w:sdt>
              <w:sdtPr>
                <w:rPr>
                  <w:rFonts w:hint="eastAsia" w:ascii="宋体" w:hAnsi="宋体" w:cs="宋体"/>
                  <w:color w:val="auto"/>
                  <w:kern w:val="0"/>
                  <w:sz w:val="24"/>
                  <w:szCs w:val="24"/>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MS Gothic" w:hAnsi="MS Gothic" w:cs="宋体"/>
                    <w:color w:val="auto"/>
                    <w:kern w:val="0"/>
                    <w:sz w:val="24"/>
                    <w:szCs w:val="24"/>
                  </w:rPr>
                  <w:t>☐</w:t>
                </w:r>
              </w:sdtContent>
            </w:sdt>
            <w:r>
              <w:rPr>
                <w:rFonts w:hint="eastAsia" w:ascii="宋体" w:hAnsi="宋体" w:cs="宋体"/>
                <w:color w:val="auto"/>
                <w:kern w:val="0"/>
                <w:sz w:val="24"/>
                <w:szCs w:val="24"/>
              </w:rPr>
              <w:t xml:space="preserve"> B</w:t>
            </w:r>
            <w:r>
              <w:rPr>
                <w:rFonts w:hint="eastAsia" w:ascii="宋体" w:hAnsi="宋体" w:cs="宋体"/>
                <w:color w:val="auto"/>
                <w:sz w:val="24"/>
                <w:szCs w:val="24"/>
              </w:rPr>
              <w:t>不同意分包。</w:t>
            </w:r>
          </w:p>
          <w:p w14:paraId="4584E44E">
            <w:pPr>
              <w:spacing w:line="360" w:lineRule="auto"/>
              <w:rPr>
                <w:rFonts w:ascii="宋体" w:hAnsi="宋体" w:cs="宋体"/>
                <w:color w:val="auto"/>
                <w:sz w:val="24"/>
              </w:rPr>
            </w:pPr>
            <w:r>
              <w:rPr>
                <w:rFonts w:hint="eastAsia" w:ascii="宋体" w:hAnsi="宋体" w:cs="宋体"/>
                <w:color w:val="auto"/>
                <w:sz w:val="24"/>
                <w:szCs w:val="24"/>
              </w:rPr>
              <w:t>注：不得限制大中型企业向小微企业合理分包。</w:t>
            </w:r>
          </w:p>
        </w:tc>
      </w:tr>
      <w:tr w14:paraId="5D58F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7EA4E1">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3A32F99">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ACBC4A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943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B85AA0F">
            <w:pPr>
              <w:spacing w:line="360" w:lineRule="auto"/>
              <w:rPr>
                <w:rFonts w:ascii="宋体" w:hAnsi="宋体" w:cs="宋体"/>
                <w:color w:val="auto"/>
                <w:sz w:val="24"/>
                <w:szCs w:val="20"/>
              </w:rPr>
            </w:pPr>
            <w:sdt>
              <w:sdtPr>
                <w:rPr>
                  <w:rFonts w:hint="eastAsia" w:ascii="宋体" w:hAnsi="宋体" w:cs="宋体"/>
                  <w:color w:val="auto"/>
                  <w:kern w:val="0"/>
                  <w:sz w:val="24"/>
                  <w:highlight w:val="none"/>
                </w:rPr>
                <w:id w:val="14747455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5B28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940A9B">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49D36A4">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B369B28">
            <w:pPr>
              <w:spacing w:line="360" w:lineRule="auto"/>
              <w:rPr>
                <w:color w:val="auto"/>
                <w:sz w:val="24"/>
                <w:szCs w:val="24"/>
              </w:rPr>
            </w:pPr>
            <w:sdt>
              <w:sdtPr>
                <w:rPr>
                  <w:rFonts w:hint="eastAsia"/>
                  <w:color w:val="auto"/>
                  <w:sz w:val="24"/>
                  <w:szCs w:val="24"/>
                </w:rPr>
                <w:id w:val="4664"/>
                <w14:checkbox>
                  <w14:checked w14:val="1"/>
                  <w14:checkedState w14:val="00FE" w14:font="Wingdings"/>
                  <w14:uncheckedState w14:val="2610" w14:font="MS Gothic"/>
                </w14:checkbox>
              </w:sdtPr>
              <w:sdtEndPr>
                <w:rPr>
                  <w:rFonts w:hint="eastAsia"/>
                  <w:color w:val="auto"/>
                  <w:sz w:val="24"/>
                  <w:szCs w:val="24"/>
                </w:rPr>
              </w:sdtEndPr>
              <w:sdtContent>
                <w:r>
                  <w:rPr>
                    <w:rFonts w:hint="eastAsia" w:ascii="Wingdings" w:hAnsi="Wingdings" w:eastAsia="宋体" w:cs="Times New Roman"/>
                    <w:color w:val="auto"/>
                    <w:kern w:val="2"/>
                    <w:sz w:val="24"/>
                    <w:szCs w:val="24"/>
                    <w:lang w:val="en-US" w:eastAsia="zh-CN" w:bidi="ar-SA"/>
                  </w:rPr>
                  <w:t>þ</w:t>
                </w:r>
              </w:sdtContent>
            </w:sdt>
            <w:r>
              <w:rPr>
                <w:rFonts w:hint="eastAsia"/>
                <w:color w:val="auto"/>
                <w:sz w:val="24"/>
                <w:szCs w:val="24"/>
              </w:rPr>
              <w:t>A不要求提供。</w:t>
            </w:r>
          </w:p>
          <w:p w14:paraId="520775AF">
            <w:pPr>
              <w:spacing w:line="360" w:lineRule="auto"/>
              <w:rPr>
                <w:color w:val="auto"/>
              </w:rPr>
            </w:pPr>
            <w:sdt>
              <w:sdtPr>
                <w:rPr>
                  <w:rFonts w:hint="eastAsia"/>
                  <w:color w:val="auto"/>
                  <w:sz w:val="24"/>
                  <w:szCs w:val="24"/>
                </w:rPr>
                <w:id w:val="1026831988"/>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B要求提供</w:t>
            </w:r>
            <w:r>
              <w:rPr>
                <w:rFonts w:hint="eastAsia" w:ascii="宋体" w:hAnsi="宋体" w:eastAsia="宋体" w:cs="宋体"/>
                <w:color w:val="auto"/>
                <w:kern w:val="0"/>
                <w:sz w:val="24"/>
                <w:szCs w:val="24"/>
                <w:highlight w:val="none"/>
              </w:rPr>
              <w:t>（未提供样品或提供样品不满足采购需求实质性条件的供应商，投标无效）</w:t>
            </w:r>
          </w:p>
        </w:tc>
      </w:tr>
      <w:tr w14:paraId="3EBB0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1073FA">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C3079A5">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A29A8">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283FF47F">
            <w:pPr>
              <w:spacing w:line="360" w:lineRule="auto"/>
              <w:rPr>
                <w:rFonts w:ascii="宋体" w:hAnsi="宋体" w:cs="宋体"/>
                <w:b/>
                <w:color w:val="auto"/>
                <w:kern w:val="0"/>
                <w:sz w:val="24"/>
                <w:lang w:val="zh-CN"/>
              </w:rPr>
            </w:pPr>
            <w:sdt>
              <w:sdtPr>
                <w:rPr>
                  <w:rFonts w:hint="eastAsia" w:ascii="宋体" w:hAnsi="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0"/>
                <w:sz w:val="24"/>
                <w:szCs w:val="24"/>
                <w:highlight w:val="none"/>
              </w:rPr>
              <w:t>B组织。</w:t>
            </w:r>
          </w:p>
        </w:tc>
      </w:tr>
      <w:tr w14:paraId="7B77D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4C69B75">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70DA1F23">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619971E">
            <w:pPr>
              <w:spacing w:line="360" w:lineRule="auto"/>
              <w:rPr>
                <w:rFonts w:ascii="宋体" w:hAnsi="宋体" w:cs="宋体"/>
                <w:color w:val="auto"/>
                <w:sz w:val="24"/>
                <w:szCs w:val="24"/>
              </w:rPr>
            </w:pPr>
            <w:r>
              <w:rPr>
                <w:rFonts w:hint="eastAsia" w:ascii="宋体" w:hAnsi="宋体" w:cs="宋体"/>
                <w:color w:val="auto"/>
                <w:sz w:val="24"/>
                <w:szCs w:val="24"/>
              </w:rPr>
              <w:t>（1）资格证明文件：见招标文件第二部分11.1。</w:t>
            </w:r>
          </w:p>
          <w:p w14:paraId="68B1ADFB">
            <w:pPr>
              <w:spacing w:line="360" w:lineRule="auto"/>
              <w:rPr>
                <w:rFonts w:ascii="宋体" w:hAnsi="宋体" w:cs="宋体"/>
                <w:snapToGrid w:val="0"/>
                <w:color w:val="auto"/>
                <w:kern w:val="0"/>
                <w:szCs w:val="21"/>
              </w:rPr>
            </w:pPr>
            <w:r>
              <w:rPr>
                <w:rFonts w:hint="eastAsia" w:ascii="宋体" w:hAnsi="宋体" w:cs="宋体"/>
                <w:color w:val="auto"/>
                <w:kern w:val="0"/>
                <w:sz w:val="24"/>
                <w:szCs w:val="24"/>
                <w:lang w:val="zh-CN"/>
              </w:rPr>
              <w:t>投标人未提供有效的资格证明文件的，视为投标人不具备招标文件中规定的资格要求，投标无效。</w:t>
            </w:r>
          </w:p>
        </w:tc>
      </w:tr>
      <w:tr w14:paraId="50168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7010E971">
            <w:pPr>
              <w:snapToGrid w:val="0"/>
              <w:spacing w:line="360" w:lineRule="auto"/>
              <w:jc w:val="center"/>
              <w:rPr>
                <w:rFonts w:hint="eastAsia" w:asciiTheme="minorEastAsia" w:hAnsiTheme="minorEastAsia" w:eastAsiaTheme="minorEastAsia" w:cstheme="minorEastAsia"/>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61C473FD">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2E05C42">
            <w:pPr>
              <w:spacing w:line="360" w:lineRule="auto"/>
              <w:rPr>
                <w:rFonts w:ascii="宋体" w:hAnsi="宋体" w:cs="宋体"/>
                <w:color w:val="auto"/>
                <w:sz w:val="24"/>
              </w:rPr>
            </w:pPr>
            <w:r>
              <w:rPr>
                <w:rFonts w:hint="eastAsia" w:ascii="宋体" w:hAnsi="宋体" w:cs="宋体"/>
                <w:color w:val="auto"/>
                <w:sz w:val="24"/>
                <w:szCs w:val="24"/>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u w:val="single"/>
              </w:rPr>
              <w:t>。</w:t>
            </w:r>
          </w:p>
        </w:tc>
      </w:tr>
      <w:tr w14:paraId="0F3DE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FF7FACE">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B83708C">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3AF527C">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7011DA85">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0BE8AF74">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113F9DA9">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6D984A04">
            <w:pPr>
              <w:snapToGrid w:val="0"/>
              <w:spacing w:line="360" w:lineRule="auto"/>
              <w:ind w:firstLine="480" w:firstLineChars="200"/>
              <w:rPr>
                <w:rFonts w:ascii="宋体" w:hAnsi="宋体" w:cs="宋体"/>
                <w:color w:val="auto"/>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1FD25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321FDA">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34BBB3B">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19F9BFE">
            <w:pPr>
              <w:snapToGrid w:val="0"/>
              <w:spacing w:line="360" w:lineRule="auto"/>
              <w:jc w:val="left"/>
              <w:rPr>
                <w:rFonts w:ascii="宋体" w:hAnsi="宋体" w:cs="宋体"/>
                <w:b/>
                <w:color w:val="auto"/>
                <w:kern w:val="0"/>
                <w:sz w:val="24"/>
                <w:szCs w:val="24"/>
                <w:lang w:val="zh-CN"/>
              </w:rPr>
            </w:pPr>
            <w:r>
              <w:rPr>
                <w:rFonts w:hint="eastAsia" w:ascii="宋体" w:hAnsi="宋体" w:cs="宋体"/>
                <w:color w:val="auto"/>
                <w:kern w:val="0"/>
                <w:sz w:val="24"/>
                <w:szCs w:val="24"/>
                <w:lang w:val="zh-CN"/>
              </w:rPr>
              <w:t>有关本项目实施所需的所有费用（含税费）均计入报价。</w:t>
            </w:r>
            <w:r>
              <w:rPr>
                <w:rFonts w:hint="eastAsia" w:ascii="宋体" w:hAnsi="宋体" w:cs="宋体"/>
                <w:b/>
                <w:bCs/>
                <w:color w:val="auto"/>
                <w:kern w:val="0"/>
                <w:sz w:val="24"/>
                <w:szCs w:val="24"/>
                <w:lang w:val="zh-CN"/>
              </w:rPr>
              <w:t>投标文件</w:t>
            </w:r>
            <w:r>
              <w:rPr>
                <w:rFonts w:hint="eastAsia" w:ascii="宋体" w:hAnsi="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lang w:val="zh-CN"/>
              </w:rPr>
              <w:t>投标文件中价格全部采用人民币报价。招标文件未列明，而投标人认为必需的费用也需列入报价。</w:t>
            </w:r>
            <w:r>
              <w:rPr>
                <w:rFonts w:hint="eastAsia" w:ascii="宋体" w:hAnsi="宋体" w:cs="宋体"/>
                <w:b/>
                <w:color w:val="auto"/>
                <w:kern w:val="0"/>
                <w:sz w:val="24"/>
                <w:szCs w:val="24"/>
                <w:lang w:val="zh-CN"/>
              </w:rPr>
              <w:t>提醒：验收时检测费用由采购人承担，不包含在投标总价中。</w:t>
            </w:r>
          </w:p>
          <w:p w14:paraId="6200CF3F">
            <w:pPr>
              <w:snapToGrid w:val="0"/>
              <w:spacing w:line="360" w:lineRule="auto"/>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投标报价出现下列情形的，投标无效：</w:t>
            </w:r>
          </w:p>
          <w:p w14:paraId="6B470B3A">
            <w:pPr>
              <w:snapToGrid w:val="0"/>
              <w:spacing w:line="360" w:lineRule="auto"/>
              <w:ind w:firstLine="241" w:firstLineChars="100"/>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投标文件出现不是唯一的、有选择性投标报价的；</w:t>
            </w:r>
          </w:p>
          <w:p w14:paraId="0F78D7BE">
            <w:pPr>
              <w:snapToGrid w:val="0"/>
              <w:spacing w:line="360" w:lineRule="auto"/>
              <w:ind w:firstLine="241" w:firstLineChars="100"/>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t>投标报价超过招标文件中规定的预算金额或者最高限价的;</w:t>
            </w:r>
          </w:p>
          <w:p w14:paraId="73D5DA34">
            <w:pPr>
              <w:spacing w:line="360" w:lineRule="auto"/>
              <w:ind w:firstLine="241" w:firstLineChars="100"/>
              <w:rPr>
                <w:rFonts w:ascii="宋体" w:hAnsi="宋体" w:cs="宋体"/>
                <w:b/>
                <w:color w:val="auto"/>
                <w:sz w:val="24"/>
                <w:szCs w:val="24"/>
              </w:rPr>
            </w:pPr>
            <w:r>
              <w:rPr>
                <w:rFonts w:hint="eastAsia" w:ascii="宋体" w:hAnsi="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rPr>
              <w:t>;</w:t>
            </w:r>
          </w:p>
          <w:p w14:paraId="240D3AB3">
            <w:pPr>
              <w:spacing w:line="360" w:lineRule="auto"/>
              <w:ind w:firstLine="241" w:firstLineChars="100"/>
              <w:rPr>
                <w:rFonts w:ascii="宋体" w:hAnsi="宋体" w:cs="宋体"/>
                <w:color w:val="auto"/>
                <w:sz w:val="24"/>
              </w:rPr>
            </w:pPr>
            <w:r>
              <w:rPr>
                <w:rFonts w:hint="eastAsia" w:ascii="宋体" w:hAnsi="宋体" w:cs="宋体"/>
                <w:b/>
                <w:color w:val="auto"/>
                <w:kern w:val="0"/>
                <w:sz w:val="24"/>
                <w:szCs w:val="24"/>
              </w:rPr>
              <w:t>投标人对根据修正原则修正后的报价不确认的</w:t>
            </w:r>
            <w:r>
              <w:rPr>
                <w:rFonts w:hint="eastAsia" w:ascii="宋体" w:hAnsi="宋体" w:cs="宋体"/>
                <w:b/>
                <w:color w:val="auto"/>
                <w:sz w:val="24"/>
                <w:szCs w:val="24"/>
              </w:rPr>
              <w:t>。</w:t>
            </w:r>
          </w:p>
        </w:tc>
      </w:tr>
      <w:tr w14:paraId="30623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29A94E72">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6B4E4BBE">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258EC460">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40F076A">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7D720CA8">
            <w:pPr>
              <w:spacing w:after="0"/>
              <w:rPr>
                <w:rFonts w:ascii="宋体" w:hAnsi="宋体" w:cs="宋体"/>
                <w:color w:val="auto"/>
                <w:sz w:val="24"/>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14:paraId="018DD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C62AEF">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FBBB345">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0EB63AA0">
            <w:pPr>
              <w:pStyle w:val="32"/>
              <w:spacing w:line="360" w:lineRule="auto"/>
              <w:rPr>
                <w:rFonts w:hAnsi="宋体" w:cs="宋体"/>
                <w:color w:val="auto"/>
                <w:kern w:val="28"/>
                <w:sz w:val="24"/>
              </w:rPr>
            </w:pPr>
            <w:r>
              <w:rPr>
                <w:rFonts w:hint="eastAsia" w:hAnsi="宋体" w:cs="宋体"/>
                <w:color w:val="auto"/>
                <w:kern w:val="28"/>
                <w:sz w:val="24"/>
                <w:szCs w:val="24"/>
              </w:rPr>
              <w:t>本项目备份文件是否收取：不收取</w:t>
            </w:r>
            <w:r>
              <w:rPr>
                <w:rFonts w:hint="eastAsia" w:hAnsi="宋体" w:cs="宋体"/>
                <w:color w:val="auto"/>
                <w:sz w:val="24"/>
                <w:szCs w:val="24"/>
                <w:highlight w:val="none"/>
              </w:rPr>
              <w:t>。</w:t>
            </w:r>
          </w:p>
        </w:tc>
      </w:tr>
      <w:tr w14:paraId="54322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FC169E7">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7AF041F">
            <w:pPr>
              <w:jc w:val="center"/>
              <w:rPr>
                <w:rFonts w:ascii="宋体" w:hAnsi="宋体" w:cs="宋体"/>
                <w:b/>
                <w:color w:val="auto"/>
                <w:sz w:val="24"/>
              </w:rPr>
            </w:pPr>
            <w:r>
              <w:rPr>
                <w:rFonts w:hint="eastAsia"/>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08B31132">
            <w:pPr>
              <w:spacing w:line="360" w:lineRule="auto"/>
              <w:ind w:firstLine="480" w:firstLineChars="200"/>
              <w:jc w:val="left"/>
              <w:rPr>
                <w:rFonts w:hAnsi="宋体" w:cs="宋体"/>
                <w:color w:val="auto"/>
                <w:kern w:val="28"/>
                <w:sz w:val="24"/>
              </w:rPr>
            </w:pPr>
            <w:r>
              <w:rPr>
                <w:rFonts w:hint="eastAsia" w:ascii="宋体" w:hAnsi="宋体" w:cs="宋体"/>
                <w:snapToGrid w:val="0"/>
                <w:color w:val="auto"/>
                <w:kern w:val="28"/>
                <w:sz w:val="24"/>
              </w:rPr>
              <w:t>由中标单位支付，按《招标代理服务收费管理暂行办法》[2002]1980号文件收费标准，低于3000元，按3000记取。</w:t>
            </w:r>
          </w:p>
        </w:tc>
      </w:tr>
      <w:tr w14:paraId="2AF6B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2D9908">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72A321A9">
            <w:pPr>
              <w:jc w:val="center"/>
              <w:rPr>
                <w:color w:val="auto"/>
              </w:rPr>
            </w:pPr>
            <w:r>
              <w:rPr>
                <w:rFonts w:hint="eastAsia" w:cs="仿宋"/>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07E03B2C">
            <w:pPr>
              <w:spacing w:after="0"/>
              <w:rPr>
                <w:color w:val="auto"/>
              </w:rPr>
            </w:pPr>
            <w:r>
              <w:rPr>
                <w:rFonts w:hint="eastAsia" w:cs="仿宋_GB2312"/>
                <w:color w:val="auto"/>
                <w:sz w:val="24"/>
                <w:szCs w:val="24"/>
              </w:rPr>
              <w:t>本项目</w:t>
            </w:r>
            <w:r>
              <w:rPr>
                <w:rFonts w:cs="仿宋_GB2312"/>
                <w:color w:val="auto"/>
                <w:sz w:val="24"/>
                <w:szCs w:val="24"/>
              </w:rPr>
              <w:t>由采购人</w:t>
            </w:r>
            <w:r>
              <w:rPr>
                <w:rFonts w:hint="eastAsia" w:cs="仿宋_GB2312"/>
                <w:color w:val="auto"/>
                <w:sz w:val="24"/>
                <w:szCs w:val="24"/>
              </w:rPr>
              <w:t>进行</w:t>
            </w:r>
            <w:r>
              <w:rPr>
                <w:rFonts w:cs="仿宋_GB2312"/>
                <w:color w:val="auto"/>
                <w:sz w:val="24"/>
                <w:szCs w:val="24"/>
              </w:rPr>
              <w:t>资格文件</w:t>
            </w:r>
            <w:r>
              <w:rPr>
                <w:rFonts w:hint="eastAsia" w:cs="仿宋_GB2312"/>
                <w:color w:val="auto"/>
                <w:sz w:val="24"/>
                <w:szCs w:val="24"/>
              </w:rPr>
              <w:t>及</w:t>
            </w:r>
            <w:r>
              <w:rPr>
                <w:rFonts w:cs="仿宋_GB2312"/>
                <w:color w:val="auto"/>
                <w:sz w:val="24"/>
                <w:szCs w:val="24"/>
              </w:rPr>
              <w:t>信用信息</w:t>
            </w:r>
            <w:r>
              <w:rPr>
                <w:rFonts w:hint="eastAsia" w:cs="仿宋_GB2312"/>
                <w:color w:val="auto"/>
                <w:sz w:val="24"/>
                <w:szCs w:val="24"/>
              </w:rPr>
              <w:t>查询</w:t>
            </w:r>
            <w:r>
              <w:rPr>
                <w:rFonts w:cs="仿宋_GB2312"/>
                <w:color w:val="auto"/>
                <w:sz w:val="24"/>
                <w:szCs w:val="24"/>
              </w:rPr>
              <w:t>。</w:t>
            </w:r>
          </w:p>
        </w:tc>
      </w:tr>
      <w:tr w14:paraId="29CC9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5FB6F43">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FBA6F85">
            <w:pPr>
              <w:jc w:val="center"/>
              <w:rPr>
                <w:rFonts w:cs="仿宋"/>
                <w:b/>
                <w:color w:val="auto"/>
                <w:sz w:val="22"/>
              </w:rPr>
            </w:pPr>
            <w:r>
              <w:rPr>
                <w:rFonts w:hint="eastAsia" w:cs="仿宋"/>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5D9886C7">
            <w:pPr>
              <w:snapToGrid w:val="0"/>
              <w:spacing w:after="0" w:line="360" w:lineRule="auto"/>
              <w:rPr>
                <w:color w:val="auto"/>
                <w:sz w:val="24"/>
                <w:szCs w:val="24"/>
                <w:u w:val="single"/>
              </w:rPr>
            </w:pPr>
            <w:r>
              <w:rPr>
                <w:rFonts w:hint="eastAsia"/>
                <w:color w:val="auto"/>
                <w:sz w:val="24"/>
                <w:szCs w:val="24"/>
              </w:rPr>
              <w:t>采购</w:t>
            </w:r>
            <w:r>
              <w:rPr>
                <w:color w:val="auto"/>
                <w:sz w:val="24"/>
                <w:szCs w:val="24"/>
              </w:rPr>
              <w:t>人、</w:t>
            </w:r>
            <w:r>
              <w:rPr>
                <w:rFonts w:hint="eastAsia"/>
                <w:color w:val="auto"/>
                <w:sz w:val="24"/>
                <w:szCs w:val="24"/>
              </w:rPr>
              <w:t>采购</w:t>
            </w:r>
            <w:r>
              <w:rPr>
                <w:color w:val="auto"/>
                <w:sz w:val="24"/>
                <w:szCs w:val="24"/>
              </w:rPr>
              <w:t>机构质疑接收人</w:t>
            </w:r>
            <w:r>
              <w:rPr>
                <w:rFonts w:hint="eastAsia"/>
                <w:color w:val="auto"/>
                <w:sz w:val="24"/>
                <w:szCs w:val="24"/>
              </w:rPr>
              <w:t>、联系方式</w:t>
            </w:r>
            <w:r>
              <w:rPr>
                <w:color w:val="auto"/>
                <w:sz w:val="24"/>
                <w:szCs w:val="24"/>
              </w:rPr>
              <w:t>：</w:t>
            </w:r>
            <w:r>
              <w:rPr>
                <w:rFonts w:hint="eastAsia"/>
                <w:color w:val="auto"/>
                <w:sz w:val="24"/>
                <w:szCs w:val="24"/>
              </w:rPr>
              <w:t>详见公告</w:t>
            </w:r>
          </w:p>
          <w:p w14:paraId="137FF095">
            <w:pPr>
              <w:snapToGrid w:val="0"/>
              <w:spacing w:after="0" w:line="360" w:lineRule="auto"/>
              <w:rPr>
                <w:b/>
                <w:color w:val="auto"/>
                <w:sz w:val="24"/>
                <w:szCs w:val="24"/>
              </w:rPr>
            </w:pPr>
            <w:r>
              <w:rPr>
                <w:rFonts w:hint="eastAsia"/>
                <w:b/>
                <w:color w:val="auto"/>
                <w:sz w:val="24"/>
                <w:szCs w:val="24"/>
              </w:rPr>
              <w:t>线上提交质疑方式：政采云线上质疑路径：项目采购-询问质疑投诉-质疑列表。请使用ca签章在每一页质疑文件中加盖电子公章，上传完整附件。</w:t>
            </w:r>
          </w:p>
          <w:p w14:paraId="11783666">
            <w:pPr>
              <w:snapToGrid w:val="0"/>
              <w:spacing w:after="0" w:line="360" w:lineRule="auto"/>
              <w:rPr>
                <w:color w:val="auto"/>
                <w:sz w:val="24"/>
                <w:szCs w:val="24"/>
              </w:rPr>
            </w:pPr>
            <w:r>
              <w:rPr>
                <w:rFonts w:hint="eastAsia"/>
                <w:color w:val="auto"/>
                <w:sz w:val="24"/>
                <w:szCs w:val="24"/>
              </w:rPr>
              <w:t>本项目涉及资格条件、采购需求、评分办法及采购过程中有关现场考察或开标前答疑会等事项由</w:t>
            </w:r>
            <w:r>
              <w:rPr>
                <w:b/>
                <w:bCs/>
                <w:color w:val="auto"/>
                <w:sz w:val="24"/>
                <w:szCs w:val="24"/>
              </w:rPr>
              <w:t>采购人</w:t>
            </w:r>
            <w:r>
              <w:rPr>
                <w:color w:val="auto"/>
                <w:sz w:val="24"/>
                <w:szCs w:val="24"/>
              </w:rPr>
              <w:t>进行答复。</w:t>
            </w:r>
          </w:p>
          <w:p w14:paraId="15C4EA0C">
            <w:pPr>
              <w:spacing w:after="0"/>
              <w:rPr>
                <w:rFonts w:cs="仿宋_GB2312"/>
                <w:color w:val="auto"/>
                <w:sz w:val="22"/>
              </w:rPr>
            </w:pPr>
            <w:r>
              <w:rPr>
                <w:rFonts w:hint="eastAsia"/>
                <w:color w:val="auto"/>
                <w:sz w:val="24"/>
                <w:szCs w:val="24"/>
              </w:rPr>
              <w:t>涉及</w:t>
            </w:r>
            <w:r>
              <w:rPr>
                <w:color w:val="auto"/>
                <w:sz w:val="24"/>
                <w:szCs w:val="24"/>
              </w:rPr>
              <w:t>流程规范性、组织程序等</w:t>
            </w:r>
            <w:r>
              <w:rPr>
                <w:rFonts w:hint="eastAsia"/>
                <w:color w:val="auto"/>
                <w:sz w:val="24"/>
                <w:szCs w:val="24"/>
              </w:rPr>
              <w:t>相关</w:t>
            </w:r>
            <w:r>
              <w:rPr>
                <w:color w:val="auto"/>
                <w:sz w:val="24"/>
                <w:szCs w:val="24"/>
              </w:rPr>
              <w:t>事项，由</w:t>
            </w:r>
            <w:r>
              <w:rPr>
                <w:rFonts w:hint="eastAsia"/>
                <w:b/>
                <w:bCs/>
                <w:color w:val="auto"/>
                <w:sz w:val="24"/>
                <w:szCs w:val="24"/>
              </w:rPr>
              <w:t>采购</w:t>
            </w:r>
            <w:r>
              <w:rPr>
                <w:rFonts w:hint="eastAsia"/>
                <w:b/>
                <w:bCs/>
                <w:color w:val="auto"/>
                <w:sz w:val="24"/>
                <w:szCs w:val="24"/>
                <w:lang w:eastAsia="zh-CN"/>
              </w:rPr>
              <w:t>代理</w:t>
            </w:r>
            <w:r>
              <w:rPr>
                <w:b/>
                <w:bCs/>
                <w:color w:val="auto"/>
                <w:sz w:val="24"/>
                <w:szCs w:val="24"/>
              </w:rPr>
              <w:t>机构</w:t>
            </w:r>
            <w:r>
              <w:rPr>
                <w:color w:val="auto"/>
                <w:sz w:val="24"/>
                <w:szCs w:val="24"/>
              </w:rPr>
              <w:t>进行答复。</w:t>
            </w:r>
          </w:p>
        </w:tc>
      </w:tr>
      <w:tr w14:paraId="77A6B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7805D01">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85A30D6">
            <w:pPr>
              <w:jc w:val="center"/>
              <w:rPr>
                <w:rFonts w:cs="仿宋"/>
                <w:b/>
                <w:color w:val="auto"/>
                <w:sz w:val="22"/>
              </w:rPr>
            </w:pPr>
            <w:r>
              <w:rPr>
                <w:rFonts w:hint="eastAsia" w:cs="仿宋"/>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7DD89E78">
            <w:pPr>
              <w:rPr>
                <w:color w:val="auto"/>
                <w:sz w:val="22"/>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1B0D9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E55CEBC">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69E3D8E0">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D394629">
            <w:pPr>
              <w:pStyle w:val="4"/>
              <w:ind w:left="0" w:leftChars="0" w:firstLine="0" w:firstLineChars="0"/>
              <w:rPr>
                <w:rFonts w:ascii="宋体" w:hAnsi="宋体" w:cs="宋体"/>
                <w:snapToGrid w:val="0"/>
                <w:color w:val="auto"/>
                <w:kern w:val="28"/>
                <w:sz w:val="24"/>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326D8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0012FBF3">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05714E7D">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01582BC">
            <w:pPr>
              <w:spacing w:line="360" w:lineRule="auto"/>
              <w:rPr>
                <w:color w:val="auto"/>
                <w:sz w:val="24"/>
                <w:szCs w:val="24"/>
              </w:rPr>
            </w:pPr>
            <w:sdt>
              <w:sdtPr>
                <w:rPr>
                  <w:rFonts w:hint="eastAsia"/>
                  <w:color w:val="auto"/>
                  <w:sz w:val="24"/>
                  <w:szCs w:val="24"/>
                </w:rPr>
                <w:id w:val="4672"/>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联合体投标的，联合体各方均需按招标文件第四部分评标标准要求提供资信证明文件，否则视为不符合相关要求。</w:t>
            </w:r>
          </w:p>
          <w:p w14:paraId="3A00A64B">
            <w:pPr>
              <w:pStyle w:val="4"/>
              <w:ind w:left="0" w:leftChars="0" w:firstLine="0" w:firstLineChars="0"/>
              <w:rPr>
                <w:color w:val="auto"/>
              </w:rPr>
            </w:pPr>
            <w:sdt>
              <w:sdtPr>
                <w:rPr>
                  <w:rFonts w:hint="eastAsia"/>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eastAsia="zh-CN" w:bidi="ar-SA"/>
                </w:rPr>
              </w:sdtEndPr>
              <w:sdtContent>
                <w:r>
                  <w:rPr>
                    <w:rFonts w:hint="eastAsia"/>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00AF1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8E92867">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17BC9083">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0486D48">
            <w:pPr>
              <w:spacing w:line="360" w:lineRule="auto"/>
              <w:rPr>
                <w:b/>
                <w:bCs/>
                <w:color w:val="auto"/>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bookmarkEnd w:id="6"/>
    </w:tbl>
    <w:p w14:paraId="6AA7A673">
      <w:pPr>
        <w:rPr>
          <w:rFonts w:ascii="宋体" w:hAnsi="宋体" w:cs="宋体"/>
          <w:b/>
          <w:color w:val="auto"/>
          <w:sz w:val="32"/>
          <w:szCs w:val="20"/>
        </w:rPr>
      </w:pPr>
      <w:bookmarkStart w:id="8" w:name="_Toc164416483"/>
      <w:bookmarkStart w:id="9" w:name="第三部分"/>
      <w:r>
        <w:rPr>
          <w:rFonts w:hint="eastAsia" w:ascii="宋体" w:hAnsi="宋体" w:cs="宋体"/>
          <w:b/>
          <w:color w:val="auto"/>
          <w:sz w:val="32"/>
          <w:szCs w:val="20"/>
        </w:rPr>
        <w:br w:type="page"/>
      </w:r>
    </w:p>
    <w:p w14:paraId="469FDA66">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32FB8430">
      <w:pPr>
        <w:snapToGrid w:val="0"/>
        <w:spacing w:line="360" w:lineRule="auto"/>
        <w:jc w:val="left"/>
        <w:outlineLvl w:val="1"/>
        <w:rPr>
          <w:rFonts w:ascii="宋体" w:hAnsi="宋体" w:cs="宋体"/>
          <w:b/>
          <w:color w:val="auto"/>
          <w:sz w:val="24"/>
        </w:rPr>
      </w:pPr>
      <w:bookmarkStart w:id="10" w:name="_Toc91899903"/>
      <w:r>
        <w:rPr>
          <w:rFonts w:hint="eastAsia" w:ascii="宋体" w:hAnsi="宋体" w:cs="宋体"/>
          <w:b/>
          <w:color w:val="auto"/>
          <w:sz w:val="24"/>
        </w:rPr>
        <w:t>1. 适用范围</w:t>
      </w:r>
    </w:p>
    <w:p w14:paraId="5AF74B03">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77E6A143">
      <w:pPr>
        <w:numPr>
          <w:ilvl w:val="0"/>
          <w:numId w:val="2"/>
        </w:numPr>
        <w:adjustRightInd/>
        <w:spacing w:line="360" w:lineRule="auto"/>
        <w:outlineLvl w:val="0"/>
        <w:rPr>
          <w:rFonts w:ascii="宋体" w:hAnsi="宋体" w:cs="宋体"/>
          <w:b/>
          <w:color w:val="auto"/>
          <w:sz w:val="24"/>
        </w:rPr>
      </w:pPr>
      <w:r>
        <w:rPr>
          <w:rFonts w:hint="eastAsia" w:ascii="宋体" w:hAnsi="宋体" w:cs="宋体"/>
          <w:b/>
          <w:color w:val="auto"/>
          <w:sz w:val="24"/>
        </w:rPr>
        <w:t>定义</w:t>
      </w:r>
    </w:p>
    <w:p w14:paraId="7461C65F">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0F4D4A9E">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4735827E">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37F6DF5C">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0F412CC3">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B039994">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333C93EF">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21230024">
      <w:pPr>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665D2D18">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30962615">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7BBD170C">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2C6B0A5F">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1C35933E">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7D219264">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0EDF2057">
      <w:pPr>
        <w:spacing w:line="360" w:lineRule="auto"/>
        <w:ind w:firstLine="240" w:firstLineChars="100"/>
        <w:rPr>
          <w:rFonts w:ascii="宋体" w:hAnsi="宋体" w:cs="宋体"/>
          <w:color w:val="auto"/>
          <w:sz w:val="24"/>
        </w:rPr>
      </w:pPr>
      <w:r>
        <w:rPr>
          <w:rFonts w:hint="eastAsia" w:ascii="宋体" w:hAnsi="宋体" w:cs="宋体"/>
          <w:color w:val="auto"/>
          <w:sz w:val="24"/>
        </w:rPr>
        <w:t>3.3</w:t>
      </w:r>
      <w:r>
        <w:rPr>
          <w:rFonts w:hint="eastAsia" w:ascii="宋体" w:hAnsi="宋体" w:cs="宋体"/>
          <w:color w:val="auto"/>
          <w:sz w:val="24"/>
          <w:lang w:val="en-US" w:eastAsia="zh-CN"/>
        </w:rPr>
        <w:t xml:space="preserve"> </w:t>
      </w:r>
      <w:r>
        <w:rPr>
          <w:rFonts w:hint="eastAsia" w:ascii="宋体" w:hAnsi="宋体" w:cs="宋体"/>
          <w:color w:val="auto"/>
          <w:sz w:val="24"/>
        </w:rPr>
        <w:t>支持中小企业发展</w:t>
      </w:r>
    </w:p>
    <w:p w14:paraId="5CC4228F">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FB12F3B">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2078D618">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876784F">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3B996DEA">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给予2</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rPr>
        <w:t>联合协议或者分包意向协议约定小微企业的合同份额占到合同总金额30%以上的</w:t>
      </w:r>
      <w:bookmarkEnd w:id="12"/>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给予6%的扣除）的扣除，用扣除后的价格参加评审。组成联合体或者接受分包的小微企业与联合体内其他企业、分包企业之间存在直接控股、管理关系的，不享受价格扣除优惠政策。</w:t>
      </w:r>
    </w:p>
    <w:p w14:paraId="45F82CC9">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76B31CEC">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786A26B">
      <w:pPr>
        <w:spacing w:line="360" w:lineRule="auto"/>
        <w:ind w:firstLine="480" w:firstLineChars="200"/>
        <w:rPr>
          <w:rFonts w:ascii="宋体" w:hAnsi="宋体" w:cs="宋体"/>
          <w:color w:val="auto"/>
          <w:sz w:val="24"/>
        </w:rPr>
      </w:pPr>
      <w:r>
        <w:rPr>
          <w:rFonts w:hint="eastAsia" w:ascii="宋体" w:hAnsi="宋体" w:cs="宋体"/>
          <w:color w:val="auto"/>
          <w:sz w:val="24"/>
        </w:rPr>
        <w:t>3.3.6</w:t>
      </w:r>
      <w:r>
        <w:rPr>
          <w:rFonts w:hint="eastAsia" w:ascii="宋体" w:hAnsi="宋体" w:cs="宋体"/>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rPr>
        <w:t>。</w:t>
      </w:r>
    </w:p>
    <w:p w14:paraId="1CF5561F">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61FCCBE2">
      <w:pPr>
        <w:spacing w:line="360" w:lineRule="auto"/>
        <w:ind w:firstLine="240" w:firstLineChars="100"/>
        <w:rPr>
          <w:rFonts w:ascii="宋体" w:hAnsi="宋体" w:cs="宋体"/>
          <w:color w:val="auto"/>
          <w:sz w:val="24"/>
        </w:rPr>
      </w:pPr>
      <w:r>
        <w:rPr>
          <w:rFonts w:hint="eastAsia" w:ascii="宋体" w:hAnsi="宋体" w:cs="宋体"/>
          <w:color w:val="auto"/>
          <w:sz w:val="24"/>
        </w:rPr>
        <w:t xml:space="preserve">3.4 </w:t>
      </w:r>
      <w:r>
        <w:rPr>
          <w:rFonts w:hint="eastAsia" w:ascii="宋体" w:hAnsi="宋体" w:cs="宋体"/>
          <w:bCs/>
          <w:color w:val="auto"/>
          <w:sz w:val="24"/>
        </w:rPr>
        <w:t>支持创新发展</w:t>
      </w:r>
    </w:p>
    <w:p w14:paraId="7F0FDFA4">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3.4.1 </w:t>
      </w:r>
      <w:r>
        <w:rPr>
          <w:rFonts w:hint="eastAsia" w:ascii="宋体" w:hAnsi="宋体" w:cs="宋体"/>
          <w:color w:val="auto"/>
          <w:sz w:val="24"/>
          <w:lang w:eastAsia="zh-CN"/>
        </w:rPr>
        <w:t>首台套、“制造精品”、“专精特新”等创新产品按规定享受政府采购支持政策</w:t>
      </w:r>
      <w:r>
        <w:rPr>
          <w:rFonts w:hint="eastAsia" w:ascii="宋体" w:hAnsi="宋体" w:cs="宋体"/>
          <w:color w:val="auto"/>
          <w:sz w:val="24"/>
        </w:rPr>
        <w:t>。</w:t>
      </w:r>
    </w:p>
    <w:p w14:paraId="57BD9BA6">
      <w:pPr>
        <w:spacing w:line="360" w:lineRule="auto"/>
        <w:ind w:firstLine="480" w:firstLineChars="200"/>
        <w:rPr>
          <w:rFonts w:ascii="宋体" w:hAnsi="宋体" w:cs="宋体"/>
          <w:color w:val="auto"/>
          <w:sz w:val="24"/>
        </w:rPr>
      </w:pPr>
      <w:r>
        <w:rPr>
          <w:rFonts w:hint="eastAsia" w:ascii="宋体" w:hAnsi="宋体" w:cs="宋体"/>
          <w:color w:val="auto"/>
          <w:sz w:val="24"/>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62B6EDE1">
      <w:pPr>
        <w:spacing w:line="360" w:lineRule="auto"/>
        <w:ind w:firstLine="240" w:firstLineChars="100"/>
        <w:rPr>
          <w:rFonts w:ascii="宋体" w:hAnsi="宋体" w:cs="宋体"/>
          <w:color w:val="auto"/>
          <w:sz w:val="24"/>
        </w:rPr>
      </w:pPr>
      <w:r>
        <w:rPr>
          <w:rFonts w:hint="eastAsia" w:ascii="宋体" w:hAnsi="宋体" w:cs="宋体"/>
          <w:color w:val="auto"/>
          <w:sz w:val="24"/>
        </w:rPr>
        <w:t>3.5</w:t>
      </w:r>
      <w:r>
        <w:rPr>
          <w:rFonts w:hint="eastAsia" w:ascii="宋体" w:hAnsi="宋体" w:cs="宋体"/>
          <w:color w:val="auto"/>
          <w:sz w:val="24"/>
          <w:lang w:val="en-US" w:eastAsia="zh-CN"/>
        </w:rPr>
        <w:t xml:space="preserve"> </w:t>
      </w:r>
      <w:r>
        <w:rPr>
          <w:rFonts w:hint="eastAsia" w:ascii="宋体" w:hAnsi="宋体" w:cs="宋体"/>
          <w:color w:val="auto"/>
          <w:sz w:val="24"/>
        </w:rPr>
        <w:t>平等对待内外资企业和符合条件的破产重整企业</w:t>
      </w:r>
    </w:p>
    <w:p w14:paraId="413DB5C1">
      <w:pPr>
        <w:spacing w:line="360" w:lineRule="auto"/>
        <w:ind w:firstLine="480" w:firstLineChars="200"/>
        <w:rPr>
          <w:rFonts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19F1DD6F">
      <w:pPr>
        <w:spacing w:line="360" w:lineRule="auto"/>
        <w:rPr>
          <w:b/>
          <w:color w:val="auto"/>
        </w:rPr>
      </w:pPr>
      <w:r>
        <w:rPr>
          <w:rFonts w:hint="eastAsia" w:ascii="宋体" w:hAnsi="宋体" w:cs="宋体"/>
          <w:b/>
          <w:color w:val="auto"/>
          <w:sz w:val="24"/>
        </w:rPr>
        <w:t>4. 询问、质疑、投诉</w:t>
      </w:r>
    </w:p>
    <w:p w14:paraId="3E0D8ABA">
      <w:pPr>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4.1</w:t>
      </w:r>
      <w:r>
        <w:rPr>
          <w:rFonts w:hint="eastAsia" w:ascii="宋体" w:hAnsi="宋体" w:cs="宋体"/>
          <w:color w:val="auto"/>
          <w:sz w:val="24"/>
        </w:rPr>
        <w:t xml:space="preserve"> </w:t>
      </w:r>
      <w:r>
        <w:rPr>
          <w:rFonts w:hint="eastAsia" w:ascii="宋体" w:hAnsi="宋体" w:cs="宋体"/>
          <w:color w:val="auto"/>
          <w:sz w:val="24"/>
          <w:lang w:val="zh-CN"/>
        </w:rPr>
        <w:t>在线询问、质疑、投诉</w:t>
      </w:r>
    </w:p>
    <w:p w14:paraId="05F4FFC6">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5E84EA">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w:t>
      </w:r>
      <w:r>
        <w:rPr>
          <w:rFonts w:hint="eastAsia" w:ascii="宋体" w:hAnsi="宋体" w:cs="宋体"/>
          <w:color w:val="auto"/>
          <w:kern w:val="0"/>
          <w:sz w:val="24"/>
        </w:rPr>
        <w:t xml:space="preserve"> </w:t>
      </w:r>
      <w:r>
        <w:rPr>
          <w:rFonts w:hint="eastAsia" w:ascii="宋体" w:hAnsi="宋体" w:cs="宋体"/>
          <w:color w:val="auto"/>
          <w:kern w:val="0"/>
          <w:sz w:val="24"/>
          <w:lang w:val="zh-CN"/>
        </w:rPr>
        <w:t>供应商询问</w:t>
      </w:r>
    </w:p>
    <w:p w14:paraId="1F549063">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4A02D8">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w:t>
      </w:r>
      <w:r>
        <w:rPr>
          <w:rFonts w:hint="eastAsia" w:ascii="宋体" w:hAnsi="宋体" w:cs="宋体"/>
          <w:color w:val="auto"/>
          <w:kern w:val="0"/>
          <w:sz w:val="24"/>
        </w:rPr>
        <w:t xml:space="preserve"> </w:t>
      </w:r>
      <w:r>
        <w:rPr>
          <w:rFonts w:hint="eastAsia" w:ascii="宋体" w:hAnsi="宋体" w:cs="宋体"/>
          <w:color w:val="auto"/>
          <w:kern w:val="0"/>
          <w:sz w:val="24"/>
          <w:lang w:val="zh-CN"/>
        </w:rPr>
        <w:t>供应商质疑</w:t>
      </w:r>
    </w:p>
    <w:p w14:paraId="5531CE52">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.1提出质疑的供应商应当是参与所质疑项目采购活动的供应商。潜在供应商已依法获取其可质疑的招标文件的，可以对该文件提出质疑。</w:t>
      </w:r>
    </w:p>
    <w:p w14:paraId="23983311">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AF86814">
      <w:pPr>
        <w:spacing w:line="360" w:lineRule="auto"/>
        <w:ind w:firstLine="480" w:firstLineChars="200"/>
        <w:rPr>
          <w:rFonts w:ascii="宋体" w:hAnsi="宋体" w:cs="宋体"/>
          <w:color w:val="auto"/>
          <w:sz w:val="24"/>
        </w:rPr>
      </w:pPr>
      <w:r>
        <w:rPr>
          <w:rFonts w:hint="eastAsia" w:ascii="宋体" w:hAnsi="宋体" w:cs="宋体"/>
          <w:color w:val="auto"/>
          <w:sz w:val="24"/>
        </w:rPr>
        <w:t>4.3.2.1对招标文件提出质疑的，质疑期限为供应商获得招标文件之日或者招标文件公告期限届满之日起计算。</w:t>
      </w:r>
    </w:p>
    <w:p w14:paraId="33A2DA5F">
      <w:pPr>
        <w:spacing w:line="360" w:lineRule="auto"/>
        <w:ind w:left="479" w:leftChars="228"/>
        <w:rPr>
          <w:rFonts w:ascii="宋体" w:hAnsi="宋体" w:cs="宋体"/>
          <w:color w:val="auto"/>
          <w:sz w:val="24"/>
        </w:rPr>
      </w:pPr>
      <w:r>
        <w:rPr>
          <w:rFonts w:hint="eastAsia" w:ascii="宋体" w:hAnsi="宋体" w:cs="宋体"/>
          <w:color w:val="auto"/>
          <w:sz w:val="24"/>
        </w:rPr>
        <w:t>4.3.2.2对采购过程提出质疑的，质疑期限为各采购程序环节结束之日起计算。4.3.2.3对采购结果提出质疑的，质疑期限自采购结果公告期限届满之日起计算。</w:t>
      </w:r>
    </w:p>
    <w:p w14:paraId="7BB2C782">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4.3.3</w:t>
      </w:r>
      <w:r>
        <w:rPr>
          <w:rFonts w:hint="eastAsia" w:ascii="宋体" w:hAnsi="宋体" w:cs="宋体"/>
          <w:color w:val="auto"/>
          <w:sz w:val="24"/>
        </w:rPr>
        <w:t>供应商提出质疑应当提交质疑函和必要的证明材料。质疑函应当包括下列内容：</w:t>
      </w:r>
    </w:p>
    <w:p w14:paraId="023B456D">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4.3.3.1供应商的姓名或者名称、地址、邮编、联系人及联系电话；</w:t>
      </w:r>
    </w:p>
    <w:p w14:paraId="00B7EAB6">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4.3.3.2质疑项目的名称、编号；</w:t>
      </w:r>
    </w:p>
    <w:p w14:paraId="4A146349">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4.3.3.3具体、明确的质疑事项和与质疑事项相关的请求；</w:t>
      </w:r>
    </w:p>
    <w:p w14:paraId="3CFB0823">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4.3.3.4事实依据；</w:t>
      </w:r>
    </w:p>
    <w:p w14:paraId="2CBAC092">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4.3.3.5必要的法律依据；</w:t>
      </w:r>
    </w:p>
    <w:p w14:paraId="5E5C92A8">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4.3.3.6提出质疑的日期。</w:t>
      </w:r>
    </w:p>
    <w:p w14:paraId="2C40E1C4">
      <w:pPr>
        <w:spacing w:line="360" w:lineRule="auto"/>
        <w:ind w:left="479" w:leftChars="228"/>
        <w:rPr>
          <w:color w:val="auto"/>
        </w:rPr>
      </w:pPr>
      <w:r>
        <w:rPr>
          <w:rFonts w:hint="eastAsia"/>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5A7E5269">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4.3.4对同一采购程序环节的质疑，供应商须在法定质疑期内一次性提出。</w:t>
      </w:r>
    </w:p>
    <w:p w14:paraId="15534990">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FD430DB">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4.3.6询问或者质疑事项可能影响采购结果的，采购人应当暂停签订合同，已经签订合同的，应当中止履行合同。</w:t>
      </w:r>
    </w:p>
    <w:p w14:paraId="5134B259">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4.4</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供应商投诉</w:t>
      </w:r>
    </w:p>
    <w:p w14:paraId="608CADCA">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2B73AC5A">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4.4.2供应商投诉的事项不得超出已质疑事项的范围，基于质疑答复内容提出的投诉事项除外。</w:t>
      </w:r>
    </w:p>
    <w:p w14:paraId="0F87B0DB">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4.4.3供应商投诉应当有明确的请求和必要的证明材料。</w:t>
      </w:r>
    </w:p>
    <w:p w14:paraId="0E00F114">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4.4.4 以联合体形式参加政府采购活动的，其投诉应当由组成联合体的所有供应商共同提出。</w:t>
      </w:r>
    </w:p>
    <w:p w14:paraId="21BD663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1E3538E9">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76249E1B">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38058695">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投诉书范本及制作说明详见附件3。</w:t>
      </w:r>
    </w:p>
    <w:p w14:paraId="7685053C">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二、招标文件的构成、澄清、修改</w:t>
      </w:r>
    </w:p>
    <w:p w14:paraId="21A7D6F1">
      <w:pPr>
        <w:spacing w:line="360" w:lineRule="auto"/>
        <w:rPr>
          <w:rFonts w:ascii="宋体" w:hAnsi="宋体" w:cs="宋体"/>
          <w:b/>
          <w:color w:val="auto"/>
          <w:sz w:val="24"/>
        </w:rPr>
      </w:pPr>
      <w:r>
        <w:rPr>
          <w:rFonts w:hint="eastAsia" w:ascii="宋体" w:hAnsi="宋体" w:cs="宋体"/>
          <w:b/>
          <w:color w:val="auto"/>
          <w:sz w:val="24"/>
        </w:rPr>
        <w:t>5</w:t>
      </w:r>
      <w:r>
        <w:rPr>
          <w:rFonts w:hint="eastAsia" w:ascii="宋体" w:hAnsi="宋体" w:cs="宋体"/>
          <w:b/>
          <w:color w:val="auto"/>
          <w:sz w:val="24"/>
          <w:lang w:val="en-US" w:eastAsia="zh-CN"/>
        </w:rPr>
        <w:t xml:space="preserve">. </w:t>
      </w:r>
      <w:r>
        <w:rPr>
          <w:rFonts w:hint="eastAsia" w:ascii="宋体" w:hAnsi="宋体" w:cs="宋体"/>
          <w:b/>
          <w:color w:val="auto"/>
          <w:sz w:val="24"/>
        </w:rPr>
        <w:t>招标文件的构成</w:t>
      </w:r>
    </w:p>
    <w:p w14:paraId="77C249DC">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5.1 招标文件包括下列文件及附件：</w:t>
      </w:r>
    </w:p>
    <w:p w14:paraId="278EE3B1">
      <w:pPr>
        <w:pStyle w:val="32"/>
        <w:tabs>
          <w:tab w:val="left" w:pos="840"/>
        </w:tabs>
        <w:spacing w:line="360" w:lineRule="auto"/>
        <w:ind w:firstLine="960" w:firstLineChars="400"/>
        <w:rPr>
          <w:rFonts w:hAnsi="宋体" w:cs="宋体"/>
          <w:snapToGrid/>
          <w:color w:val="auto"/>
          <w:sz w:val="24"/>
          <w:szCs w:val="24"/>
          <w:lang w:val="zh-CN"/>
        </w:rPr>
      </w:pPr>
      <w:r>
        <w:rPr>
          <w:rFonts w:hint="eastAsia" w:hAnsi="宋体" w:cs="宋体"/>
          <w:snapToGrid/>
          <w:color w:val="auto"/>
          <w:sz w:val="24"/>
          <w:szCs w:val="24"/>
          <w:lang w:val="zh-CN"/>
        </w:rPr>
        <w:t>5.1.1招标公告；</w:t>
      </w:r>
    </w:p>
    <w:p w14:paraId="7182AECB">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w:t>
      </w:r>
      <w:r>
        <w:rPr>
          <w:rFonts w:hint="eastAsia" w:hAnsi="宋体" w:cs="宋体"/>
          <w:snapToGrid/>
          <w:color w:val="auto"/>
          <w:sz w:val="24"/>
          <w:szCs w:val="24"/>
          <w:lang w:val="zh-CN"/>
        </w:rPr>
        <w:t>.1.2投标人须知</w:t>
      </w:r>
      <w:r>
        <w:rPr>
          <w:rFonts w:hint="eastAsia" w:hAnsi="宋体" w:cs="宋体"/>
          <w:color w:val="auto"/>
          <w:sz w:val="24"/>
          <w:szCs w:val="24"/>
        </w:rPr>
        <w:t>；</w:t>
      </w:r>
    </w:p>
    <w:p w14:paraId="22F22308">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0CF44164">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62DAAE22">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3D33588D">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6D3A5D59">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0DC470DF">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14:paraId="15941EFC">
      <w:pPr>
        <w:pStyle w:val="12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32DE6D08">
      <w:pPr>
        <w:pStyle w:val="128"/>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3326789">
      <w:pPr>
        <w:adjustRightInd/>
        <w:spacing w:line="360" w:lineRule="auto"/>
        <w:jc w:val="center"/>
        <w:outlineLvl w:val="0"/>
        <w:rPr>
          <w:rFonts w:ascii="宋体" w:hAnsi="宋体" w:cs="宋体"/>
          <w:b/>
          <w:color w:val="auto"/>
          <w:sz w:val="32"/>
          <w:szCs w:val="21"/>
        </w:rPr>
      </w:pPr>
      <w:r>
        <w:rPr>
          <w:rFonts w:hint="eastAsia" w:ascii="宋体" w:hAnsi="宋体" w:cs="宋体"/>
          <w:b/>
          <w:color w:val="auto"/>
          <w:sz w:val="32"/>
          <w:szCs w:val="21"/>
        </w:rPr>
        <w:t>三、投标</w:t>
      </w:r>
    </w:p>
    <w:p w14:paraId="282A359F">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14:paraId="06A1E0AC">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74529A53">
      <w:pPr>
        <w:pStyle w:val="32"/>
        <w:numPr>
          <w:ilvl w:val="0"/>
          <w:numId w:val="3"/>
        </w:numPr>
        <w:spacing w:line="360" w:lineRule="auto"/>
        <w:rPr>
          <w:rFonts w:hAnsi="宋体" w:cs="宋体"/>
          <w:b/>
          <w:color w:val="auto"/>
          <w:sz w:val="24"/>
          <w:szCs w:val="24"/>
        </w:rPr>
      </w:pPr>
      <w:r>
        <w:rPr>
          <w:rFonts w:hint="eastAsia" w:hAnsi="宋体" w:cs="宋体"/>
          <w:b/>
          <w:color w:val="auto"/>
          <w:sz w:val="24"/>
          <w:szCs w:val="24"/>
        </w:rPr>
        <w:t>开标前答疑会或现场考察</w:t>
      </w:r>
    </w:p>
    <w:p w14:paraId="345BA0E9">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5C761E52">
      <w:pPr>
        <w:pStyle w:val="32"/>
        <w:numPr>
          <w:ilvl w:val="0"/>
          <w:numId w:val="3"/>
        </w:numPr>
        <w:spacing w:line="360" w:lineRule="auto"/>
        <w:ind w:left="0" w:leftChars="0" w:firstLine="0" w:firstLineChars="0"/>
        <w:rPr>
          <w:rFonts w:hAnsi="宋体" w:cs="宋体"/>
          <w:b/>
          <w:color w:val="auto"/>
          <w:sz w:val="24"/>
          <w:szCs w:val="24"/>
        </w:rPr>
      </w:pPr>
      <w:r>
        <w:rPr>
          <w:rFonts w:hint="eastAsia" w:hAnsi="宋体" w:cs="宋体"/>
          <w:b/>
          <w:color w:val="auto"/>
          <w:sz w:val="24"/>
          <w:szCs w:val="24"/>
        </w:rPr>
        <w:t>投标保证金</w:t>
      </w:r>
    </w:p>
    <w:p w14:paraId="0F26115C">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58D7291">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14:paraId="113260E2">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65D6062E">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14:paraId="14DADD42">
      <w:pPr>
        <w:snapToGrid w:val="0"/>
        <w:spacing w:line="360" w:lineRule="auto"/>
        <w:ind w:firstLine="482" w:firstLineChars="200"/>
        <w:rPr>
          <w:rFonts w:hint="eastAsia" w:hAnsi="宋体" w:cs="宋体"/>
          <w:b/>
          <w:color w:val="auto"/>
          <w:sz w:val="24"/>
          <w:szCs w:val="24"/>
        </w:rPr>
      </w:pPr>
      <w:r>
        <w:rPr>
          <w:rFonts w:hint="eastAsia" w:ascii="宋体" w:hAnsi="宋体" w:cs="宋体"/>
          <w:b/>
          <w:snapToGrid w:val="0"/>
          <w:color w:val="auto"/>
          <w:sz w:val="24"/>
          <w:highlight w:val="none"/>
        </w:rPr>
        <w:t>▲投标文件至少应包括以下文件。</w:t>
      </w:r>
    </w:p>
    <w:p w14:paraId="1A1662B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5E1043C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1C10360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3" w:name="_Hlk101259339"/>
      <w:r>
        <w:rPr>
          <w:rFonts w:hint="eastAsia" w:ascii="宋体" w:hAnsi="宋体" w:cs="宋体"/>
          <w:snapToGrid w:val="0"/>
          <w:color w:val="auto"/>
          <w:kern w:val="28"/>
          <w:sz w:val="24"/>
          <w:szCs w:val="20"/>
        </w:rPr>
        <w:t>联合协议</w:t>
      </w:r>
      <w:bookmarkEnd w:id="13"/>
      <w:r>
        <w:rPr>
          <w:rFonts w:hint="eastAsia" w:ascii="宋体" w:hAnsi="宋体" w:cs="宋体"/>
          <w:snapToGrid w:val="0"/>
          <w:color w:val="auto"/>
          <w:kern w:val="28"/>
          <w:sz w:val="24"/>
          <w:szCs w:val="20"/>
        </w:rPr>
        <w:t>（如果有)；</w:t>
      </w:r>
    </w:p>
    <w:p w14:paraId="0088C75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79B2BD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E8E6F3F">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2商务技术</w:t>
      </w:r>
      <w:r>
        <w:rPr>
          <w:rFonts w:hint="eastAsia" w:ascii="宋体" w:hAnsi="宋体" w:cs="宋体"/>
          <w:color w:val="auto"/>
          <w:sz w:val="24"/>
          <w:lang w:val="zh-CN"/>
        </w:rPr>
        <w:t>文件：</w:t>
      </w:r>
    </w:p>
    <w:p w14:paraId="29E48E8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438B7D3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7CE7200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647A6D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61F0CD8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3339DCD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64AFBBA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3B26673F">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3CC86744">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235CDF0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213EF88C">
      <w:pPr>
        <w:pStyle w:val="964"/>
        <w:adjustRightInd w:val="0"/>
        <w:spacing w:line="360" w:lineRule="auto"/>
        <w:ind w:firstLine="960" w:firstLineChars="400"/>
        <w:rPr>
          <w:color w:val="auto"/>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0679D9F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13E03A97">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31624A4D">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5AE5EDAA">
      <w:pPr>
        <w:spacing w:line="360" w:lineRule="auto"/>
        <w:ind w:firstLine="720" w:firstLineChars="300"/>
        <w:rPr>
          <w:color w:val="auto"/>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3E9948C5">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14C31050">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w:t>
      </w:r>
      <w:r>
        <w:rPr>
          <w:rFonts w:hint="eastAsia" w:ascii="宋体" w:hAnsi="宋体" w:cs="宋体"/>
          <w:color w:val="auto"/>
          <w:kern w:val="0"/>
          <w:sz w:val="24"/>
          <w:highlight w:val="none"/>
          <w:lang w:val="zh-CN"/>
        </w:rPr>
        <w:t>如果本项目分多个标项的，投标人应按所投标项提交相应的投标文件。</w:t>
      </w:r>
      <w:r>
        <w:rPr>
          <w:rFonts w:hint="eastAsia" w:ascii="宋体" w:hAnsi="宋体" w:cs="宋体"/>
          <w:color w:val="auto"/>
          <w:kern w:val="0"/>
          <w:sz w:val="24"/>
          <w:lang w:val="zh-CN"/>
        </w:rPr>
        <w:t>各投标人在编制投标文件时请按照招标文件第六部分规定的格式进行，混乱的编排导致投标文件被误读或评标委员会查找不到有效文件是投标人的风险。</w:t>
      </w:r>
    </w:p>
    <w:p w14:paraId="2332A167">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9ED9180">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6058AFAF">
      <w:pPr>
        <w:numPr>
          <w:ilvl w:val="0"/>
          <w:numId w:val="4"/>
        </w:numPr>
        <w:snapToGrid w:val="0"/>
        <w:spacing w:line="360" w:lineRule="auto"/>
        <w:rPr>
          <w:rFonts w:ascii="宋体" w:hAnsi="宋体" w:cs="宋体"/>
          <w:b/>
          <w:color w:val="auto"/>
          <w:sz w:val="24"/>
        </w:rPr>
      </w:pPr>
      <w:r>
        <w:rPr>
          <w:rFonts w:hint="eastAsia" w:ascii="宋体" w:hAnsi="宋体" w:cs="宋体"/>
          <w:b/>
          <w:color w:val="auto"/>
          <w:sz w:val="24"/>
        </w:rPr>
        <w:t>投标文件的签署、盖章</w:t>
      </w:r>
    </w:p>
    <w:p w14:paraId="4227EC30">
      <w:pPr>
        <w:pStyle w:val="128"/>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11841CD3">
      <w:pPr>
        <w:pStyle w:val="128"/>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3818FDD1">
      <w:pPr>
        <w:pStyle w:val="128"/>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76C53E86">
      <w:pPr>
        <w:pStyle w:val="128"/>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5322EF3B">
      <w:pPr>
        <w:pStyle w:val="128"/>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FA9A86B">
      <w:pPr>
        <w:pStyle w:val="128"/>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6C3F18EB">
      <w:pPr>
        <w:pStyle w:val="128"/>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17FB3590">
      <w:pPr>
        <w:pStyle w:val="32"/>
        <w:numPr>
          <w:ilvl w:val="0"/>
          <w:numId w:val="5"/>
        </w:numPr>
        <w:spacing w:line="360" w:lineRule="auto"/>
        <w:rPr>
          <w:rFonts w:hAnsi="宋体" w:cs="宋体"/>
          <w:b/>
          <w:color w:val="auto"/>
          <w:sz w:val="24"/>
          <w:szCs w:val="24"/>
        </w:rPr>
      </w:pPr>
      <w:r>
        <w:rPr>
          <w:rFonts w:hint="eastAsia" w:hAnsi="宋体" w:cs="宋体"/>
          <w:b/>
          <w:color w:val="auto"/>
          <w:sz w:val="24"/>
          <w:szCs w:val="24"/>
        </w:rPr>
        <w:t>备份投标文件</w:t>
      </w:r>
    </w:p>
    <w:p w14:paraId="6D601DE9">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5EDD25DD">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26CAE0CE">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6463E7C2">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157E8E43">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1A36BD77">
      <w:pPr>
        <w:pStyle w:val="128"/>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投标文件的无效处理</w:t>
      </w:r>
    </w:p>
    <w:p w14:paraId="541D5CAC">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621E5E64">
      <w:pPr>
        <w:pStyle w:val="128"/>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投标有效期</w:t>
      </w:r>
    </w:p>
    <w:p w14:paraId="26823788">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10505842">
      <w:pPr>
        <w:pStyle w:val="128"/>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57510AF3">
      <w:pPr>
        <w:pStyle w:val="128"/>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58D77B9F">
      <w:pPr>
        <w:pStyle w:val="128"/>
        <w:spacing w:before="0"/>
        <w:ind w:firstLine="480"/>
        <w:rPr>
          <w:rFonts w:ascii="宋体" w:hAnsi="宋体" w:cs="宋体"/>
          <w:color w:val="auto"/>
        </w:rPr>
      </w:pPr>
      <w:r>
        <w:rPr>
          <w:rFonts w:hint="eastAsia" w:ascii="宋体" w:hAnsi="宋体" w:cs="宋体"/>
          <w:color w:val="auto"/>
        </w:rPr>
        <w:t>17.4在投标截止时间起至投标有效期届满，供应商投标文件不可撤销。</w:t>
      </w:r>
    </w:p>
    <w:p w14:paraId="74E41B4E">
      <w:pPr>
        <w:pStyle w:val="128"/>
        <w:spacing w:before="0"/>
        <w:ind w:left="0" w:leftChars="0" w:firstLine="0" w:firstLineChars="0"/>
        <w:jc w:val="center"/>
        <w:rPr>
          <w:rFonts w:ascii="宋体" w:hAnsi="宋体" w:cs="宋体"/>
          <w:b/>
          <w:color w:val="auto"/>
          <w:sz w:val="32"/>
        </w:rPr>
      </w:pPr>
      <w:r>
        <w:rPr>
          <w:rFonts w:hint="eastAsia" w:ascii="宋体" w:hAnsi="宋体" w:cs="宋体"/>
          <w:b/>
          <w:color w:val="auto"/>
          <w:sz w:val="32"/>
        </w:rPr>
        <w:t>四、开标</w:t>
      </w:r>
    </w:p>
    <w:p w14:paraId="14A1693A">
      <w:pPr>
        <w:pStyle w:val="554"/>
        <w:spacing w:before="0" w:line="360" w:lineRule="auto"/>
        <w:ind w:left="0" w:leftChars="0" w:firstLine="0" w:firstLineChars="0"/>
        <w:contextualSpacing/>
        <w:rPr>
          <w:rFonts w:ascii="宋体" w:hAnsi="宋体" w:cs="宋体"/>
          <w:color w:val="auto"/>
          <w:sz w:val="24"/>
        </w:rPr>
      </w:pPr>
      <w:r>
        <w:rPr>
          <w:rFonts w:hint="eastAsia" w:ascii="宋体" w:hAnsi="宋体" w:cs="宋体"/>
          <w:b/>
          <w:color w:val="auto"/>
          <w:sz w:val="24"/>
          <w:szCs w:val="24"/>
        </w:rPr>
        <w:t>18.</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rPr>
        <w:t>开标</w:t>
      </w:r>
      <w:r>
        <w:rPr>
          <w:rFonts w:hint="eastAsia" w:ascii="宋体" w:hAnsi="宋体" w:cs="宋体"/>
          <w:color w:val="auto"/>
          <w:sz w:val="24"/>
        </w:rPr>
        <w:t xml:space="preserve"> </w:t>
      </w:r>
    </w:p>
    <w:p w14:paraId="0D1E302F">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2A962F3B">
      <w:pPr>
        <w:pStyle w:val="554"/>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717EEC0A">
      <w:pPr>
        <w:pStyle w:val="554"/>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1F161F14">
      <w:pPr>
        <w:pStyle w:val="128"/>
        <w:spacing w:before="0"/>
        <w:ind w:left="0" w:leftChars="0" w:firstLine="0" w:firstLineChars="0"/>
        <w:jc w:val="center"/>
        <w:rPr>
          <w:rFonts w:hint="eastAsia" w:ascii="宋体" w:hAnsi="宋体" w:cs="宋体"/>
          <w:b/>
          <w:color w:val="auto"/>
          <w:sz w:val="24"/>
        </w:rPr>
      </w:pPr>
      <w:r>
        <w:rPr>
          <w:rFonts w:hint="eastAsia" w:ascii="宋体" w:hAnsi="宋体" w:cs="宋体"/>
          <w:b/>
          <w:color w:val="auto"/>
          <w:sz w:val="32"/>
          <w:lang w:eastAsia="zh-CN"/>
        </w:rPr>
        <w:t>五</w:t>
      </w:r>
      <w:r>
        <w:rPr>
          <w:rFonts w:hint="eastAsia" w:ascii="宋体" w:hAnsi="宋体" w:cs="宋体"/>
          <w:b/>
          <w:color w:val="auto"/>
          <w:sz w:val="32"/>
        </w:rPr>
        <w:t>、</w:t>
      </w:r>
      <w:r>
        <w:rPr>
          <w:rFonts w:hint="eastAsia" w:ascii="宋体" w:hAnsi="宋体" w:cs="宋体"/>
          <w:b/>
          <w:color w:val="auto"/>
          <w:sz w:val="32"/>
          <w:lang w:eastAsia="zh-CN"/>
        </w:rPr>
        <w:t>资格审查</w:t>
      </w:r>
    </w:p>
    <w:p w14:paraId="78E9BDBB">
      <w:pPr>
        <w:widowControl/>
        <w:numPr>
          <w:ilvl w:val="0"/>
          <w:numId w:val="7"/>
        </w:numPr>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资格审查</w:t>
      </w:r>
    </w:p>
    <w:p w14:paraId="5312EBF7">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60EAE647">
      <w:pPr>
        <w:pStyle w:val="128"/>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7748246E">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3F4F75A8">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7FBBE97A">
      <w:pPr>
        <w:pStyle w:val="128"/>
        <w:numPr>
          <w:ilvl w:val="0"/>
          <w:numId w:val="7"/>
        </w:numPr>
        <w:spacing w:before="0"/>
        <w:ind w:firstLine="0" w:firstLineChars="0"/>
        <w:rPr>
          <w:rFonts w:ascii="宋体" w:hAnsi="宋体" w:cs="宋体"/>
          <w:b/>
          <w:color w:val="auto"/>
          <w:szCs w:val="24"/>
        </w:rPr>
      </w:pPr>
      <w:r>
        <w:rPr>
          <w:rFonts w:hint="eastAsia" w:ascii="宋体" w:hAnsi="宋体" w:cs="宋体"/>
          <w:b/>
          <w:color w:val="auto"/>
          <w:szCs w:val="24"/>
        </w:rPr>
        <w:t>信用信息查询</w:t>
      </w:r>
    </w:p>
    <w:p w14:paraId="3FE8105A">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4796F5B9">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6018452D">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61CB94F4">
      <w:pPr>
        <w:pStyle w:val="128"/>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062809E4">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六</w:t>
      </w:r>
      <w:r>
        <w:rPr>
          <w:rFonts w:hint="eastAsia" w:ascii="宋体" w:hAnsi="宋体" w:cs="宋体"/>
          <w:b/>
          <w:color w:val="auto"/>
          <w:sz w:val="32"/>
          <w:szCs w:val="32"/>
        </w:rPr>
        <w:t>、评标</w:t>
      </w:r>
    </w:p>
    <w:p w14:paraId="47487713">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70DC3134">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七</w:t>
      </w:r>
      <w:r>
        <w:rPr>
          <w:rFonts w:hint="eastAsia" w:ascii="宋体" w:hAnsi="宋体" w:cs="宋体"/>
          <w:b/>
          <w:color w:val="auto"/>
          <w:sz w:val="32"/>
          <w:szCs w:val="32"/>
        </w:rPr>
        <w:t>、定标</w:t>
      </w:r>
    </w:p>
    <w:p w14:paraId="1DABEFF0">
      <w:pPr>
        <w:pStyle w:val="24"/>
        <w:spacing w:line="360" w:lineRule="auto"/>
        <w:ind w:left="479" w:hanging="479" w:hangingChars="199"/>
        <w:rPr>
          <w:rFonts w:cs="宋体"/>
          <w:b/>
          <w:color w:val="auto"/>
        </w:rPr>
      </w:pPr>
      <w:r>
        <w:rPr>
          <w:rFonts w:hint="eastAsia" w:cs="宋体"/>
          <w:b/>
          <w:color w:val="auto"/>
        </w:rPr>
        <w:t>22. 确定中标供应商</w:t>
      </w:r>
    </w:p>
    <w:p w14:paraId="2063044B">
      <w:pPr>
        <w:pStyle w:val="128"/>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rPr>
        <w:t>。中标、成交通知书和中标、成交结果公告应当在规定时间内同时发出。</w:t>
      </w:r>
    </w:p>
    <w:p w14:paraId="7D3F394E">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5F7A3984">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745F2FFC">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E4BA75A">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0466ACAF">
      <w:pPr>
        <w:pStyle w:val="4"/>
        <w:tabs>
          <w:tab w:val="clear" w:pos="432"/>
        </w:tabs>
        <w:ind w:left="12" w:hanging="12"/>
        <w:rPr>
          <w:color w:val="auto"/>
        </w:rPr>
      </w:pPr>
      <w:r>
        <w:rPr>
          <w:rFonts w:hint="default" w:cs="仿宋_GB2312" w:asciiTheme="minorEastAsia" w:hAnsiTheme="minorEastAsia" w:eastAsiaTheme="minorEastAsia"/>
          <w:b/>
          <w:bCs/>
          <w:color w:val="auto"/>
          <w:kern w:val="2"/>
          <w:sz w:val="24"/>
          <w:szCs w:val="24"/>
          <w:lang w:val="zh-CN" w:eastAsia="zh-CN" w:bidi="ar-SA"/>
        </w:rPr>
        <w:t>24.</w:t>
      </w:r>
      <w:r>
        <w:rPr>
          <w:rFonts w:hint="default" w:cs="仿宋_GB2312" w:asciiTheme="minorEastAsia" w:hAnsiTheme="minorEastAsia" w:eastAsiaTheme="minorEastAsia"/>
          <w:b/>
          <w:bCs/>
          <w:color w:val="auto"/>
          <w:kern w:val="2"/>
          <w:sz w:val="24"/>
          <w:szCs w:val="24"/>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2DBFAAF0">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八</w:t>
      </w:r>
      <w:r>
        <w:rPr>
          <w:rFonts w:hint="eastAsia" w:ascii="宋体" w:hAnsi="宋体" w:cs="宋体"/>
          <w:b/>
          <w:color w:val="auto"/>
          <w:sz w:val="32"/>
        </w:rPr>
        <w:t>、合同授予</w:t>
      </w:r>
    </w:p>
    <w:p w14:paraId="7DE8DDE1">
      <w:pPr>
        <w:pStyle w:val="24"/>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5</w:t>
      </w:r>
      <w:r>
        <w:rPr>
          <w:rFonts w:hint="eastAsia" w:cs="宋体"/>
          <w:b/>
          <w:color w:val="auto"/>
        </w:rPr>
        <w:t>.</w:t>
      </w:r>
      <w:r>
        <w:rPr>
          <w:rFonts w:hint="eastAsia" w:cs="宋体"/>
          <w:b/>
          <w:color w:val="auto"/>
        </w:rPr>
        <w:t xml:space="preserve"> </w:t>
      </w:r>
      <w:r>
        <w:rPr>
          <w:rFonts w:hint="eastAsia" w:cs="宋体"/>
          <w:color w:val="auto"/>
        </w:rPr>
        <w:t>合同主要条款详见第五部分拟签订的合同文本。</w:t>
      </w:r>
    </w:p>
    <w:p w14:paraId="734254F3">
      <w:pPr>
        <w:pStyle w:val="24"/>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6</w:t>
      </w:r>
      <w:r>
        <w:rPr>
          <w:rFonts w:hint="eastAsia" w:cs="宋体"/>
          <w:b/>
          <w:color w:val="auto"/>
        </w:rPr>
        <w:t>.</w:t>
      </w:r>
      <w:r>
        <w:rPr>
          <w:rFonts w:hint="eastAsia" w:cs="宋体"/>
          <w:b/>
          <w:color w:val="auto"/>
        </w:rPr>
        <w:t xml:space="preserve"> 合同的签订</w:t>
      </w:r>
    </w:p>
    <w:p w14:paraId="1DD6F608">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A7389E2">
      <w:pPr>
        <w:pStyle w:val="128"/>
        <w:snapToGrid w:val="0"/>
        <w:spacing w:before="0"/>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lang w:val="en-US" w:eastAsia="zh-CN"/>
        </w:rPr>
        <w:t>6</w:t>
      </w:r>
      <w:r>
        <w:rPr>
          <w:rFonts w:hint="eastAsia" w:ascii="宋体" w:hAnsi="宋体" w:cs="宋体"/>
          <w:color w:val="auto"/>
          <w:kern w:val="0"/>
          <w:lang w:val="zh-CN"/>
        </w:rPr>
        <w:t>.2</w:t>
      </w:r>
      <w:r>
        <w:rPr>
          <w:rFonts w:hint="eastAsia" w:ascii="宋体" w:hAnsi="宋体" w:cs="宋体"/>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14:paraId="5329F89E">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.3</w:t>
      </w:r>
      <w:r>
        <w:rPr>
          <w:rFonts w:hint="eastAsia" w:ascii="宋体" w:hAnsi="宋体" w:cs="宋体"/>
          <w:color w:val="auto"/>
        </w:rPr>
        <w:t>如签订合同并生效后，供应商无故拒绝或延期，除按照合同条款处理外，列入不良行为记录一次，并给予通报。</w:t>
      </w:r>
    </w:p>
    <w:p w14:paraId="754A308D">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.4</w:t>
      </w:r>
      <w:r>
        <w:rPr>
          <w:rFonts w:hint="eastAsia" w:ascii="宋体" w:hAnsi="宋体" w:cs="宋体"/>
          <w:color w:val="auto"/>
        </w:rPr>
        <w:t>中标供应商拒绝与采购人签订合同的，采购人可以按照评审报告推荐的中标或者成交候选人名单排序，确定下一候选人为中标供应商，也可以重新开展政府采购活动。</w:t>
      </w:r>
    </w:p>
    <w:p w14:paraId="430C5FD2">
      <w:pPr>
        <w:pStyle w:val="128"/>
        <w:snapToGrid w:val="0"/>
        <w:spacing w:before="0" w:after="12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.5</w:t>
      </w:r>
      <w:r>
        <w:rPr>
          <w:rFonts w:hint="eastAsia" w:ascii="宋体" w:hAnsi="宋体" w:cs="宋体"/>
          <w:color w:val="auto"/>
        </w:rPr>
        <w:t>采购合同由采购人与中标供应商根据招标文件、投标文件等内容通过政府采购电子交易平台在线签订，自动备案。</w:t>
      </w:r>
    </w:p>
    <w:p w14:paraId="2B5AB4FD">
      <w:pPr>
        <w:pStyle w:val="24"/>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7</w:t>
      </w:r>
      <w:r>
        <w:rPr>
          <w:rFonts w:hint="eastAsia" w:cs="宋体"/>
          <w:b/>
          <w:color w:val="auto"/>
        </w:rPr>
        <w:t xml:space="preserve">. </w:t>
      </w:r>
      <w:r>
        <w:rPr>
          <w:rFonts w:hint="eastAsia" w:cs="宋体"/>
          <w:b/>
          <w:color w:val="auto"/>
        </w:rPr>
        <w:t>履约保证金</w:t>
      </w:r>
    </w:p>
    <w:p w14:paraId="6846833A">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0F2E4EEF">
      <w:pPr>
        <w:tabs>
          <w:tab w:val="left" w:pos="0"/>
        </w:tabs>
        <w:spacing w:line="360" w:lineRule="auto"/>
        <w:ind w:firstLine="482"/>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7423499F">
      <w:pPr>
        <w:pStyle w:val="4"/>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7B56F305">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374AC500">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lang w:eastAsia="zh-CN"/>
        </w:rPr>
        <w:t>九</w:t>
      </w:r>
      <w:r>
        <w:rPr>
          <w:rFonts w:hint="eastAsia" w:ascii="宋体" w:hAnsi="宋体" w:cs="宋体"/>
          <w:b/>
          <w:color w:val="auto"/>
          <w:sz w:val="32"/>
        </w:rPr>
        <w:t>、电子交易活动的中止</w:t>
      </w:r>
    </w:p>
    <w:p w14:paraId="6D056F4D">
      <w:pPr>
        <w:pStyle w:val="128"/>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hint="eastAsia" w:ascii="宋体" w:hAnsi="宋体" w:cs="宋体"/>
          <w:b/>
          <w:bCs/>
          <w:color w:val="auto"/>
          <w:kern w:val="2"/>
          <w:sz w:val="24"/>
          <w:szCs w:val="24"/>
          <w:lang w:val="en-US" w:eastAsia="zh-CN"/>
        </w:rPr>
        <w:t>9</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12277B5B">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.1电子交易平台发生故障而无法登录访问的； </w:t>
      </w:r>
    </w:p>
    <w:p w14:paraId="76FE5F92">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.2电子交易平台应用或数据库出现错误，不能进行正常操作的；</w:t>
      </w:r>
    </w:p>
    <w:p w14:paraId="46C0A8F6">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.3电子交易平台发现严重安全漏洞，有潜在泄密危险的；</w:t>
      </w:r>
    </w:p>
    <w:p w14:paraId="1D57D5D0">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.4病毒发作导致不能进行正常操作的； </w:t>
      </w:r>
    </w:p>
    <w:p w14:paraId="0A62EF8B">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.5其他无法保证电子交易的公平、公正和安全的情况。</w:t>
      </w:r>
    </w:p>
    <w:p w14:paraId="72A89311">
      <w:pPr>
        <w:pStyle w:val="128"/>
        <w:snapToGrid w:val="0"/>
        <w:spacing w:before="0"/>
        <w:ind w:firstLine="0" w:firstLineChars="0"/>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170B4B5D">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十</w:t>
      </w:r>
      <w:r>
        <w:rPr>
          <w:rFonts w:hint="eastAsia" w:ascii="宋体" w:hAnsi="宋体" w:cs="宋体"/>
          <w:b/>
          <w:color w:val="auto"/>
          <w:sz w:val="32"/>
        </w:rPr>
        <w:t>、验收</w:t>
      </w:r>
    </w:p>
    <w:p w14:paraId="4B3468E3">
      <w:pPr>
        <w:pStyle w:val="24"/>
        <w:spacing w:line="360" w:lineRule="auto"/>
        <w:ind w:firstLine="0" w:firstLineChars="0"/>
        <w:rPr>
          <w:rFonts w:cs="宋体"/>
          <w:b/>
          <w:color w:val="auto"/>
        </w:rPr>
      </w:pPr>
      <w:r>
        <w:rPr>
          <w:rFonts w:hint="eastAsia" w:cs="宋体"/>
          <w:b/>
          <w:color w:val="auto"/>
        </w:rPr>
        <w:t>3</w:t>
      </w:r>
      <w:r>
        <w:rPr>
          <w:rFonts w:hint="eastAsia" w:cs="宋体"/>
          <w:b/>
          <w:color w:val="auto"/>
          <w:lang w:val="en-US" w:eastAsia="zh-CN"/>
        </w:rPr>
        <w:t>1</w:t>
      </w:r>
      <w:r>
        <w:rPr>
          <w:rFonts w:hint="eastAsia" w:cs="宋体"/>
          <w:b/>
          <w:color w:val="auto"/>
        </w:rPr>
        <w:t>.</w:t>
      </w:r>
      <w:r>
        <w:rPr>
          <w:rFonts w:hint="eastAsia" w:cs="宋体"/>
          <w:b/>
          <w:color w:val="auto"/>
          <w:lang w:val="en-US" w:eastAsia="zh-CN"/>
        </w:rPr>
        <w:t xml:space="preserve"> </w:t>
      </w:r>
      <w:r>
        <w:rPr>
          <w:rFonts w:hint="eastAsia" w:cs="宋体"/>
          <w:b/>
          <w:color w:val="auto"/>
        </w:rPr>
        <w:t>验收</w:t>
      </w:r>
    </w:p>
    <w:p w14:paraId="1FB5ED9B">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CC0B5EE">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.2采购人可以邀请参加本项目的其他投标人或者第三方机构参与验收。参与验收的投标人或者第三方机构的意见作为验收书的参考资料一并存档。</w:t>
      </w:r>
    </w:p>
    <w:p w14:paraId="2398588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AB7370">
      <w:pPr>
        <w:tabs>
          <w:tab w:val="left" w:pos="0"/>
        </w:tabs>
        <w:spacing w:line="360" w:lineRule="auto"/>
        <w:ind w:firstLine="480"/>
        <w:rPr>
          <w:rFonts w:hint="eastAsia" w:ascii="宋体" w:hAnsi="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auto"/>
          <w:kern w:val="0"/>
          <w:sz w:val="24"/>
          <w:lang w:eastAsia="zh-CN"/>
        </w:rPr>
        <w:t>。</w:t>
      </w:r>
    </w:p>
    <w:bookmarkEnd w:id="8"/>
    <w:bookmarkEnd w:id="9"/>
    <w:bookmarkEnd w:id="10"/>
    <w:p w14:paraId="0D3CB227">
      <w:pPr>
        <w:widowControl/>
        <w:adjustRightInd/>
        <w:jc w:val="left"/>
        <w:rPr>
          <w:rFonts w:ascii="宋体" w:hAnsi="宋体" w:cs="宋体"/>
          <w:color w:val="auto"/>
          <w:kern w:val="0"/>
          <w:sz w:val="24"/>
        </w:rPr>
      </w:pPr>
      <w:bookmarkStart w:id="14" w:name="_Hlt74729768"/>
      <w:bookmarkEnd w:id="14"/>
      <w:bookmarkStart w:id="15" w:name="_Hlt68072998"/>
      <w:bookmarkEnd w:id="15"/>
      <w:bookmarkStart w:id="16" w:name="_Hlt68057669"/>
      <w:bookmarkEnd w:id="16"/>
      <w:bookmarkStart w:id="17" w:name="_Hlt68403820"/>
      <w:bookmarkEnd w:id="17"/>
      <w:bookmarkStart w:id="18" w:name="_Hlt74714665"/>
      <w:bookmarkEnd w:id="18"/>
      <w:bookmarkStart w:id="19" w:name="_Hlt75236290"/>
      <w:bookmarkEnd w:id="19"/>
      <w:bookmarkStart w:id="20" w:name="_Hlt74730295"/>
      <w:bookmarkEnd w:id="20"/>
      <w:bookmarkStart w:id="21" w:name="_Hlt68072990"/>
      <w:bookmarkEnd w:id="21"/>
      <w:bookmarkStart w:id="22" w:name="_Hlt75236011"/>
      <w:bookmarkEnd w:id="22"/>
      <w:bookmarkStart w:id="23" w:name="_Hlt74707468"/>
      <w:bookmarkEnd w:id="23"/>
      <w:bookmarkStart w:id="24" w:name="_Hlt75236101"/>
      <w:bookmarkEnd w:id="24"/>
      <w:bookmarkStart w:id="25" w:name="_Hlt68073093"/>
      <w:bookmarkEnd w:id="25"/>
      <w:bookmarkStart w:id="26" w:name="第四部分"/>
      <w:r>
        <w:rPr>
          <w:rFonts w:ascii="宋体" w:hAnsi="宋体" w:cs="宋体"/>
          <w:color w:val="auto"/>
          <w:kern w:val="0"/>
          <w:sz w:val="24"/>
        </w:rPr>
        <w:br w:type="page"/>
      </w:r>
    </w:p>
    <w:p w14:paraId="282849EF">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第三部分   采购需求</w:t>
      </w:r>
    </w:p>
    <w:p w14:paraId="320CE01D">
      <w:pPr>
        <w:snapToGrid w:val="0"/>
        <w:rPr>
          <w:rStyle w:val="962"/>
          <w:i w:val="0"/>
          <w:iCs w:val="0"/>
          <w:color w:val="auto"/>
        </w:rPr>
      </w:pPr>
      <w:r>
        <w:rPr>
          <w:rStyle w:val="962"/>
          <w:rFonts w:hint="eastAsia"/>
          <w:i w:val="0"/>
          <w:iCs w:val="0"/>
          <w:color w:val="auto"/>
        </w:rPr>
        <w:t>属于实质性要求条款的，请用符号“▲”标明，否则属于非实质性要求。“★”系产品采购项目中单一产品或核心产品。</w:t>
      </w:r>
    </w:p>
    <w:p w14:paraId="74B86617">
      <w:pPr>
        <w:pStyle w:val="4"/>
        <w:numPr>
          <w:ilvl w:val="0"/>
          <w:numId w:val="0"/>
        </w:numPr>
        <w:ind w:left="630" w:leftChars="0" w:hanging="63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kern w:val="2"/>
          <w:sz w:val="32"/>
          <w:szCs w:val="32"/>
          <w:lang w:val="zh-CN" w:eastAsia="zh-CN" w:bidi="ar-SA"/>
        </w:rPr>
        <w:t>（</w:t>
      </w:r>
      <w:r>
        <w:rPr>
          <w:rFonts w:hint="eastAsia" w:asciiTheme="minorEastAsia" w:hAnsiTheme="minorEastAsia" w:eastAsiaTheme="minorEastAsia" w:cstheme="minorEastAsia"/>
          <w:b/>
          <w:bCs/>
          <w:color w:val="auto"/>
          <w:kern w:val="2"/>
          <w:sz w:val="32"/>
          <w:szCs w:val="32"/>
          <w:lang w:val="en-US" w:eastAsia="zh-CN" w:bidi="ar-SA"/>
        </w:rPr>
        <w:t>一</w:t>
      </w:r>
      <w:r>
        <w:rPr>
          <w:rFonts w:hint="eastAsia" w:asciiTheme="minorEastAsia" w:hAnsiTheme="minorEastAsia" w:eastAsiaTheme="minorEastAsia" w:cstheme="minorEastAsia"/>
          <w:b/>
          <w:bCs/>
          <w:color w:val="auto"/>
          <w:kern w:val="2"/>
          <w:sz w:val="32"/>
          <w:szCs w:val="32"/>
          <w:lang w:val="zh-CN" w:eastAsia="zh-CN" w:bidi="ar-SA"/>
        </w:rPr>
        <w:t>）、</w:t>
      </w:r>
      <w:r>
        <w:rPr>
          <w:rFonts w:hint="eastAsia" w:asciiTheme="minorEastAsia" w:hAnsiTheme="minorEastAsia" w:eastAsiaTheme="minorEastAsia" w:cstheme="minorEastAsia"/>
          <w:color w:val="auto"/>
        </w:rPr>
        <w:t>招标一览表</w:t>
      </w:r>
    </w:p>
    <w:tbl>
      <w:tblPr>
        <w:tblStyle w:val="62"/>
        <w:tblW w:w="8327" w:type="dxa"/>
        <w:jc w:val="center"/>
        <w:tblLayout w:type="fixed"/>
        <w:tblCellMar>
          <w:top w:w="0" w:type="dxa"/>
          <w:left w:w="0" w:type="dxa"/>
          <w:bottom w:w="0" w:type="dxa"/>
          <w:right w:w="0" w:type="dxa"/>
        </w:tblCellMar>
      </w:tblPr>
      <w:tblGrid>
        <w:gridCol w:w="754"/>
        <w:gridCol w:w="4105"/>
        <w:gridCol w:w="1874"/>
        <w:gridCol w:w="680"/>
        <w:gridCol w:w="914"/>
      </w:tblGrid>
      <w:tr w14:paraId="552CDB6D">
        <w:tblPrEx>
          <w:tblCellMar>
            <w:top w:w="0" w:type="dxa"/>
            <w:left w:w="0" w:type="dxa"/>
            <w:bottom w:w="0" w:type="dxa"/>
            <w:right w:w="0" w:type="dxa"/>
          </w:tblCellMar>
        </w:tblPrEx>
        <w:trPr>
          <w:cantSplit/>
          <w:trHeight w:val="644"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300836">
            <w:pPr>
              <w:jc w:val="center"/>
              <w:rPr>
                <w:rFonts w:ascii="宋体" w:hAnsi="宋体" w:cs="宋体"/>
                <w:color w:val="auto"/>
                <w:sz w:val="24"/>
              </w:rPr>
            </w:pPr>
            <w:r>
              <w:rPr>
                <w:rFonts w:hint="eastAsia" w:ascii="宋体" w:hAnsi="宋体" w:cs="宋体"/>
                <w:color w:val="auto"/>
                <w:sz w:val="24"/>
              </w:rPr>
              <w:t>标项号</w:t>
            </w:r>
          </w:p>
        </w:tc>
        <w:tc>
          <w:tcPr>
            <w:tcW w:w="41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2FDAEC2">
            <w:pPr>
              <w:jc w:val="center"/>
              <w:rPr>
                <w:rFonts w:ascii="宋体" w:hAnsi="宋体" w:cs="宋体"/>
                <w:color w:val="auto"/>
                <w:sz w:val="24"/>
              </w:rPr>
            </w:pPr>
            <w:r>
              <w:rPr>
                <w:rFonts w:hint="eastAsia" w:ascii="宋体" w:hAnsi="宋体" w:cs="宋体"/>
                <w:color w:val="auto"/>
                <w:sz w:val="24"/>
              </w:rPr>
              <w:t>名称</w:t>
            </w:r>
          </w:p>
        </w:tc>
        <w:tc>
          <w:tcPr>
            <w:tcW w:w="18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11CDEA6">
            <w:pPr>
              <w:jc w:val="center"/>
              <w:rPr>
                <w:rFonts w:ascii="宋体" w:hAnsi="宋体" w:cs="宋体"/>
                <w:color w:val="auto"/>
                <w:sz w:val="24"/>
              </w:rPr>
            </w:pPr>
            <w:r>
              <w:rPr>
                <w:rFonts w:hint="eastAsia" w:ascii="宋体" w:hAnsi="宋体" w:cs="宋体"/>
                <w:color w:val="auto"/>
                <w:sz w:val="24"/>
              </w:rPr>
              <w:t>规格型号与参数</w:t>
            </w:r>
          </w:p>
        </w:tc>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0D93BA">
            <w:pPr>
              <w:jc w:val="center"/>
              <w:rPr>
                <w:rFonts w:ascii="宋体" w:hAnsi="宋体" w:cs="宋体"/>
                <w:color w:val="auto"/>
                <w:sz w:val="24"/>
              </w:rPr>
            </w:pPr>
            <w:r>
              <w:rPr>
                <w:rFonts w:hint="eastAsia" w:ascii="宋体" w:hAnsi="宋体" w:cs="宋体"/>
                <w:color w:val="auto"/>
                <w:sz w:val="24"/>
              </w:rPr>
              <w:t>单位</w:t>
            </w:r>
          </w:p>
        </w:tc>
        <w:tc>
          <w:tcPr>
            <w:tcW w:w="91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B525A67">
            <w:pPr>
              <w:jc w:val="center"/>
              <w:rPr>
                <w:rFonts w:ascii="宋体" w:hAnsi="宋体" w:cs="宋体"/>
                <w:color w:val="auto"/>
                <w:sz w:val="24"/>
              </w:rPr>
            </w:pPr>
            <w:r>
              <w:rPr>
                <w:rFonts w:hint="eastAsia" w:ascii="宋体" w:hAnsi="宋体" w:cs="宋体"/>
                <w:color w:val="auto"/>
                <w:sz w:val="24"/>
              </w:rPr>
              <w:t>数量</w:t>
            </w:r>
          </w:p>
        </w:tc>
      </w:tr>
      <w:tr w14:paraId="09EE777E">
        <w:tblPrEx>
          <w:tblCellMar>
            <w:top w:w="0" w:type="dxa"/>
            <w:left w:w="0" w:type="dxa"/>
            <w:bottom w:w="0" w:type="dxa"/>
            <w:right w:w="0" w:type="dxa"/>
          </w:tblCellMar>
        </w:tblPrEx>
        <w:trPr>
          <w:cantSplit/>
          <w:trHeight w:val="701"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283BBF">
            <w:pPr>
              <w:tabs>
                <w:tab w:val="left" w:pos="1418"/>
              </w:tabs>
              <w:snapToGrid w:val="0"/>
              <w:spacing w:before="50" w:after="50" w:line="288" w:lineRule="auto"/>
              <w:jc w:val="center"/>
              <w:rPr>
                <w:rFonts w:ascii="宋体" w:hAnsi="宋体" w:cs="宋体"/>
                <w:color w:val="auto"/>
                <w:spacing w:val="-6"/>
                <w:sz w:val="24"/>
              </w:rPr>
            </w:pPr>
            <w:r>
              <w:rPr>
                <w:rFonts w:hint="eastAsia" w:ascii="宋体" w:hAnsi="宋体" w:cs="宋体"/>
                <w:color w:val="auto"/>
                <w:spacing w:val="-6"/>
                <w:sz w:val="24"/>
              </w:rPr>
              <w:t>1</w:t>
            </w:r>
          </w:p>
        </w:tc>
        <w:tc>
          <w:tcPr>
            <w:tcW w:w="41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E2B5FE">
            <w:pPr>
              <w:jc w:val="center"/>
              <w:rPr>
                <w:rFonts w:ascii="宋体" w:hAnsi="宋体" w:cs="宋体"/>
                <w:color w:val="auto"/>
                <w:sz w:val="24"/>
              </w:rPr>
            </w:pPr>
            <w:r>
              <w:rPr>
                <w:rFonts w:hint="eastAsia" w:ascii="宋体" w:hAnsi="宋体" w:cs="宋体"/>
                <w:color w:val="auto"/>
                <w:sz w:val="24"/>
              </w:rPr>
              <w:t>萧山图书馆202</w:t>
            </w:r>
            <w:r>
              <w:rPr>
                <w:rFonts w:hint="eastAsia" w:ascii="宋体" w:hAnsi="宋体" w:cs="宋体"/>
                <w:color w:val="auto"/>
                <w:sz w:val="24"/>
                <w:lang w:val="en-US" w:eastAsia="zh-CN"/>
              </w:rPr>
              <w:t>6</w:t>
            </w:r>
            <w:r>
              <w:rPr>
                <w:rFonts w:hint="eastAsia" w:ascii="宋体" w:hAnsi="宋体" w:cs="宋体"/>
                <w:color w:val="auto"/>
                <w:sz w:val="24"/>
              </w:rPr>
              <w:t>年数字资源服务采购项目</w:t>
            </w:r>
          </w:p>
        </w:tc>
        <w:tc>
          <w:tcPr>
            <w:tcW w:w="18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A6A99C">
            <w:pPr>
              <w:jc w:val="center"/>
              <w:rPr>
                <w:rFonts w:ascii="宋体" w:hAnsi="宋体" w:cs="宋体"/>
                <w:color w:val="auto"/>
                <w:sz w:val="24"/>
              </w:rPr>
            </w:pPr>
            <w:r>
              <w:rPr>
                <w:rFonts w:hint="eastAsia" w:ascii="宋体" w:hAnsi="宋体" w:cs="宋体"/>
                <w:color w:val="auto"/>
                <w:sz w:val="24"/>
              </w:rPr>
              <w:t>详见招标需求</w:t>
            </w:r>
          </w:p>
        </w:tc>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7D4E90">
            <w:pPr>
              <w:jc w:val="center"/>
              <w:rPr>
                <w:rFonts w:ascii="宋体" w:hAnsi="宋体" w:cs="宋体"/>
                <w:color w:val="auto"/>
                <w:sz w:val="24"/>
              </w:rPr>
            </w:pPr>
            <w:r>
              <w:rPr>
                <w:rFonts w:hint="eastAsia" w:ascii="宋体" w:hAnsi="宋体" w:cs="宋体"/>
                <w:color w:val="auto"/>
                <w:sz w:val="24"/>
              </w:rPr>
              <w:t>项</w:t>
            </w:r>
          </w:p>
        </w:tc>
        <w:tc>
          <w:tcPr>
            <w:tcW w:w="9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139DFD">
            <w:pPr>
              <w:jc w:val="center"/>
              <w:rPr>
                <w:rFonts w:ascii="宋体" w:hAnsi="宋体" w:cs="宋体"/>
                <w:color w:val="auto"/>
                <w:sz w:val="24"/>
              </w:rPr>
            </w:pPr>
            <w:r>
              <w:rPr>
                <w:rFonts w:hint="eastAsia" w:ascii="宋体" w:hAnsi="宋体" w:cs="宋体"/>
                <w:color w:val="auto"/>
                <w:sz w:val="24"/>
              </w:rPr>
              <w:t>1</w:t>
            </w:r>
          </w:p>
        </w:tc>
      </w:tr>
    </w:tbl>
    <w:p w14:paraId="12017326">
      <w:pPr>
        <w:pStyle w:val="4"/>
        <w:numPr>
          <w:ilvl w:val="0"/>
          <w:numId w:val="0"/>
        </w:numPr>
        <w:ind w:left="630" w:leftChars="0" w:hanging="630" w:firstLineChars="0"/>
        <w:jc w:val="center"/>
        <w:rPr>
          <w:rFonts w:hint="eastAsia" w:ascii="宋体" w:hAnsi="宋体" w:eastAsia="宋体" w:cs="宋体"/>
          <w:color w:val="auto"/>
          <w:sz w:val="24"/>
          <w:szCs w:val="24"/>
        </w:rPr>
      </w:pPr>
      <w:r>
        <w:rPr>
          <w:rFonts w:hint="eastAsia" w:ascii="宋体" w:hAnsi="宋体" w:eastAsia="宋体" w:cs="宋体"/>
          <w:b/>
          <w:bCs/>
          <w:color w:val="auto"/>
          <w:kern w:val="2"/>
          <w:sz w:val="24"/>
          <w:szCs w:val="24"/>
          <w:lang w:val="zh-CN" w:eastAsia="zh-CN" w:bidi="ar-SA"/>
        </w:rPr>
        <w:t>（</w:t>
      </w:r>
      <w:r>
        <w:rPr>
          <w:rFonts w:hint="eastAsia" w:ascii="宋体" w:hAnsi="宋体" w:eastAsia="宋体" w:cs="宋体"/>
          <w:b/>
          <w:bCs/>
          <w:color w:val="auto"/>
          <w:kern w:val="2"/>
          <w:sz w:val="24"/>
          <w:szCs w:val="24"/>
          <w:lang w:val="en-US" w:eastAsia="zh-CN" w:bidi="ar-SA"/>
        </w:rPr>
        <w:t>二</w:t>
      </w:r>
      <w:r>
        <w:rPr>
          <w:rFonts w:hint="eastAsia" w:ascii="宋体" w:hAnsi="宋体" w:eastAsia="宋体" w:cs="宋体"/>
          <w:b/>
          <w:bCs/>
          <w:color w:val="auto"/>
          <w:kern w:val="2"/>
          <w:sz w:val="24"/>
          <w:szCs w:val="24"/>
          <w:lang w:val="zh-CN" w:eastAsia="zh-CN" w:bidi="ar-SA"/>
        </w:rPr>
        <w:t>）、</w:t>
      </w:r>
      <w:r>
        <w:rPr>
          <w:rFonts w:hint="eastAsia" w:ascii="宋体" w:hAnsi="宋体" w:eastAsia="宋体" w:cs="宋体"/>
          <w:color w:val="auto"/>
          <w:sz w:val="24"/>
          <w:szCs w:val="24"/>
        </w:rPr>
        <w:t>采购需求</w:t>
      </w:r>
    </w:p>
    <w:p w14:paraId="7A5C1C07">
      <w:pPr>
        <w:rPr>
          <w:rFonts w:hint="eastAsia" w:ascii="宋体" w:hAnsi="宋体" w:eastAsia="宋体" w:cs="宋体"/>
          <w:b/>
          <w:color w:val="auto"/>
          <w:sz w:val="24"/>
          <w:szCs w:val="24"/>
        </w:rPr>
      </w:pPr>
      <w:r>
        <w:rPr>
          <w:rFonts w:hint="eastAsia" w:ascii="宋体" w:hAnsi="宋体" w:eastAsia="宋体" w:cs="宋体"/>
          <w:b/>
          <w:color w:val="auto"/>
          <w:sz w:val="24"/>
          <w:szCs w:val="24"/>
        </w:rPr>
        <w:t>一、中国知网系列数据库资源服务</w:t>
      </w:r>
    </w:p>
    <w:p w14:paraId="58A163B3">
      <w:pPr>
        <w:rPr>
          <w:rFonts w:hint="eastAsia" w:ascii="宋体" w:hAnsi="宋体" w:eastAsia="宋体" w:cs="宋体"/>
          <w:color w:val="auto"/>
          <w:sz w:val="24"/>
          <w:szCs w:val="24"/>
        </w:rPr>
      </w:pPr>
      <w:r>
        <w:rPr>
          <w:rFonts w:hint="eastAsia" w:ascii="宋体" w:hAnsi="宋体" w:eastAsia="宋体" w:cs="宋体"/>
          <w:color w:val="auto"/>
          <w:sz w:val="24"/>
          <w:szCs w:val="24"/>
        </w:rPr>
        <w:t>1.1 采购内容</w:t>
      </w:r>
    </w:p>
    <w:tbl>
      <w:tblPr>
        <w:tblStyle w:val="62"/>
        <w:tblW w:w="9092"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421"/>
        <w:gridCol w:w="3402"/>
        <w:gridCol w:w="992"/>
        <w:gridCol w:w="850"/>
        <w:gridCol w:w="1276"/>
        <w:gridCol w:w="2151"/>
      </w:tblGrid>
      <w:tr w14:paraId="0331549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14:paraId="000AF39D">
            <w:pPr>
              <w:tabs>
                <w:tab w:val="left" w:pos="1418"/>
              </w:tabs>
              <w:snapToGrid w:val="0"/>
              <w:spacing w:before="50" w:after="50" w:line="288"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bidi="ar"/>
              </w:rPr>
              <w:t>序号</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14:paraId="3F3071DA">
            <w:pPr>
              <w:tabs>
                <w:tab w:val="left" w:pos="1418"/>
              </w:tabs>
              <w:snapToGrid w:val="0"/>
              <w:spacing w:before="50" w:after="50" w:line="288"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bidi="ar"/>
              </w:rPr>
              <w:t>内容</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408C8B4B">
            <w:pPr>
              <w:tabs>
                <w:tab w:val="left" w:pos="1418"/>
              </w:tabs>
              <w:snapToGrid w:val="0"/>
              <w:spacing w:before="50" w:after="50" w:line="288"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bidi="ar"/>
              </w:rPr>
              <w:t>服务模式</w:t>
            </w: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6AC88E37">
            <w:pPr>
              <w:tabs>
                <w:tab w:val="left" w:pos="1418"/>
              </w:tabs>
              <w:snapToGrid w:val="0"/>
              <w:spacing w:before="50" w:after="50" w:line="288"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bidi="ar"/>
              </w:rPr>
              <w:t>年度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B04C93F">
            <w:pPr>
              <w:tabs>
                <w:tab w:val="left" w:pos="1418"/>
              </w:tabs>
              <w:snapToGrid w:val="0"/>
              <w:spacing w:before="50" w:after="50" w:line="288"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bidi="ar"/>
              </w:rPr>
              <w:t>专辑/产品</w:t>
            </w:r>
          </w:p>
        </w:tc>
        <w:tc>
          <w:tcPr>
            <w:tcW w:w="2151" w:type="dxa"/>
            <w:tcBorders>
              <w:top w:val="single" w:color="auto" w:sz="4" w:space="0"/>
              <w:left w:val="single" w:color="auto" w:sz="4" w:space="0"/>
              <w:bottom w:val="single" w:color="auto" w:sz="4" w:space="0"/>
              <w:right w:val="single" w:color="auto" w:sz="4" w:space="0"/>
            </w:tcBorders>
            <w:shd w:val="clear" w:color="auto" w:fill="auto"/>
            <w:vAlign w:val="center"/>
          </w:tcPr>
          <w:p w14:paraId="71A933B3">
            <w:pPr>
              <w:tabs>
                <w:tab w:val="left" w:pos="1418"/>
              </w:tabs>
              <w:snapToGrid w:val="0"/>
              <w:spacing w:before="50" w:after="50" w:line="288"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bidi="ar"/>
              </w:rPr>
              <w:t>年度</w:t>
            </w:r>
          </w:p>
        </w:tc>
      </w:tr>
      <w:tr w14:paraId="472434F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14:paraId="1687C4CF">
            <w:pPr>
              <w:tabs>
                <w:tab w:val="left" w:pos="1418"/>
              </w:tabs>
              <w:snapToGrid w:val="0"/>
              <w:spacing w:before="50" w:after="50" w:line="288"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bidi="ar"/>
              </w:rPr>
              <w:t>1</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14:paraId="7195EE66">
            <w:pPr>
              <w:tabs>
                <w:tab w:val="left" w:pos="1418"/>
              </w:tabs>
              <w:snapToGrid w:val="0"/>
              <w:spacing w:before="50" w:after="50" w:line="288" w:lineRule="auto"/>
              <w:jc w:val="center"/>
              <w:rPr>
                <w:rFonts w:hint="eastAsia" w:ascii="宋体" w:hAnsi="宋体" w:eastAsia="宋体" w:cs="宋体"/>
                <w:color w:val="auto"/>
                <w:spacing w:val="-6"/>
                <w:sz w:val="24"/>
                <w:szCs w:val="24"/>
              </w:rPr>
            </w:pPr>
            <w:r>
              <w:rPr>
                <w:rFonts w:hint="eastAsia" w:ascii="宋体" w:hAnsi="宋体" w:eastAsia="宋体" w:cs="宋体"/>
                <w:color w:val="auto"/>
                <w:sz w:val="24"/>
                <w:szCs w:val="24"/>
                <w:lang w:bidi="ar"/>
              </w:rPr>
              <w:t>中国学术期刊（网络版）</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1620157E">
            <w:pPr>
              <w:tabs>
                <w:tab w:val="left" w:pos="1418"/>
              </w:tabs>
              <w:snapToGrid w:val="0"/>
              <w:spacing w:before="50" w:after="50" w:line="288"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bidi="ar"/>
              </w:rPr>
              <w:t>托管</w:t>
            </w: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67E53413">
            <w:pPr>
              <w:tabs>
                <w:tab w:val="left" w:pos="1418"/>
              </w:tabs>
              <w:snapToGrid w:val="0"/>
              <w:spacing w:before="50" w:after="50" w:line="288"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bidi="ar"/>
              </w:rPr>
              <w:t>2025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F0BAAAC">
            <w:pPr>
              <w:tabs>
                <w:tab w:val="left" w:pos="1418"/>
              </w:tabs>
              <w:snapToGrid w:val="0"/>
              <w:spacing w:before="50" w:after="50" w:line="288"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bidi="ar"/>
              </w:rPr>
              <w:t>ABCDEFGHIJ</w:t>
            </w:r>
          </w:p>
        </w:tc>
        <w:tc>
          <w:tcPr>
            <w:tcW w:w="2151" w:type="dxa"/>
            <w:tcBorders>
              <w:top w:val="single" w:color="auto" w:sz="4" w:space="0"/>
              <w:left w:val="single" w:color="auto" w:sz="4" w:space="0"/>
              <w:bottom w:val="single" w:color="auto" w:sz="4" w:space="0"/>
              <w:right w:val="single" w:color="auto" w:sz="4" w:space="0"/>
            </w:tcBorders>
            <w:shd w:val="clear" w:color="auto" w:fill="auto"/>
            <w:vAlign w:val="center"/>
          </w:tcPr>
          <w:p w14:paraId="5D9F664B">
            <w:pPr>
              <w:tabs>
                <w:tab w:val="left" w:pos="1418"/>
              </w:tabs>
              <w:snapToGrid w:val="0"/>
              <w:spacing w:before="50" w:after="50" w:line="288" w:lineRule="auto"/>
              <w:jc w:val="center"/>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lang w:bidi="ar"/>
              </w:rPr>
              <w:t>2025.9.1-2026.8.31</w:t>
            </w:r>
          </w:p>
        </w:tc>
      </w:tr>
      <w:tr w14:paraId="4331C82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14:paraId="5310F33F">
            <w:pPr>
              <w:tabs>
                <w:tab w:val="left" w:pos="1418"/>
              </w:tabs>
              <w:snapToGrid w:val="0"/>
              <w:spacing w:before="50" w:after="50" w:line="288"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bidi="ar"/>
              </w:rPr>
              <w:t>2</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14:paraId="4C5099F8">
            <w:pPr>
              <w:tabs>
                <w:tab w:val="left" w:pos="1418"/>
              </w:tabs>
              <w:snapToGrid w:val="0"/>
              <w:spacing w:before="50" w:after="50" w:line="288"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中国博士学位论文全文数据库</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7AB4C9E2">
            <w:pPr>
              <w:tabs>
                <w:tab w:val="left" w:pos="1418"/>
              </w:tabs>
              <w:snapToGrid w:val="0"/>
              <w:spacing w:before="50" w:after="50" w:line="288"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bidi="ar"/>
              </w:rPr>
              <w:t>托管</w:t>
            </w: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04B1DA8B">
            <w:pPr>
              <w:tabs>
                <w:tab w:val="left" w:pos="1418"/>
              </w:tabs>
              <w:snapToGrid w:val="0"/>
              <w:spacing w:before="50" w:after="50" w:line="288"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bidi="ar"/>
              </w:rPr>
              <w:t>2025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619A84A">
            <w:pPr>
              <w:tabs>
                <w:tab w:val="left" w:pos="1418"/>
              </w:tabs>
              <w:snapToGrid w:val="0"/>
              <w:spacing w:before="50" w:after="50" w:line="288"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bidi="ar"/>
              </w:rPr>
              <w:t>ABCDEFGHIJ</w:t>
            </w:r>
          </w:p>
        </w:tc>
        <w:tc>
          <w:tcPr>
            <w:tcW w:w="2151" w:type="dxa"/>
            <w:tcBorders>
              <w:top w:val="single" w:color="auto" w:sz="4" w:space="0"/>
              <w:left w:val="single" w:color="auto" w:sz="4" w:space="0"/>
              <w:bottom w:val="single" w:color="auto" w:sz="4" w:space="0"/>
              <w:right w:val="single" w:color="auto" w:sz="4" w:space="0"/>
            </w:tcBorders>
            <w:shd w:val="clear" w:color="auto" w:fill="auto"/>
          </w:tcPr>
          <w:p w14:paraId="1159F5A7">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2025.9.1-2026.8.31</w:t>
            </w:r>
          </w:p>
        </w:tc>
      </w:tr>
      <w:tr w14:paraId="4039DF8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14:paraId="67D9759C">
            <w:pPr>
              <w:tabs>
                <w:tab w:val="left" w:pos="1418"/>
              </w:tabs>
              <w:snapToGrid w:val="0"/>
              <w:spacing w:before="50" w:after="50" w:line="288"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bidi="ar"/>
              </w:rPr>
              <w:t>3</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14:paraId="1C81C6E7">
            <w:pPr>
              <w:tabs>
                <w:tab w:val="left" w:pos="1418"/>
              </w:tabs>
              <w:snapToGrid w:val="0"/>
              <w:spacing w:before="50" w:after="50" w:line="288"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中国优秀硕士学位论文全文数据库</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6EAC5D1C">
            <w:pPr>
              <w:tabs>
                <w:tab w:val="left" w:pos="1418"/>
              </w:tabs>
              <w:snapToGrid w:val="0"/>
              <w:spacing w:before="50" w:after="50" w:line="288"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bidi="ar"/>
              </w:rPr>
              <w:t>托管</w:t>
            </w: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657CDBFA">
            <w:pPr>
              <w:tabs>
                <w:tab w:val="left" w:pos="1418"/>
              </w:tabs>
              <w:snapToGrid w:val="0"/>
              <w:spacing w:before="50" w:after="50" w:line="288"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bidi="ar"/>
              </w:rPr>
              <w:t>2025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20FF9BD">
            <w:pPr>
              <w:tabs>
                <w:tab w:val="left" w:pos="1418"/>
              </w:tabs>
              <w:snapToGrid w:val="0"/>
              <w:spacing w:before="50" w:after="50" w:line="288"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bidi="ar"/>
              </w:rPr>
              <w:t>ABCDEFGHIJ</w:t>
            </w:r>
          </w:p>
        </w:tc>
        <w:tc>
          <w:tcPr>
            <w:tcW w:w="2151" w:type="dxa"/>
            <w:tcBorders>
              <w:top w:val="single" w:color="auto" w:sz="4" w:space="0"/>
              <w:left w:val="single" w:color="auto" w:sz="4" w:space="0"/>
              <w:bottom w:val="single" w:color="auto" w:sz="4" w:space="0"/>
              <w:right w:val="single" w:color="auto" w:sz="4" w:space="0"/>
            </w:tcBorders>
            <w:shd w:val="clear" w:color="auto" w:fill="auto"/>
          </w:tcPr>
          <w:p w14:paraId="39EC7B10">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2025.9.1-2026.8.31</w:t>
            </w:r>
          </w:p>
        </w:tc>
      </w:tr>
      <w:tr w14:paraId="2F64CFA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14:paraId="0740BF78">
            <w:pPr>
              <w:tabs>
                <w:tab w:val="left" w:pos="1418"/>
              </w:tabs>
              <w:snapToGrid w:val="0"/>
              <w:spacing w:before="50" w:after="50" w:line="288"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bidi="ar"/>
              </w:rPr>
              <w:t>4</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14:paraId="59FE2360">
            <w:pPr>
              <w:tabs>
                <w:tab w:val="left" w:pos="1418"/>
              </w:tabs>
              <w:snapToGrid w:val="0"/>
              <w:spacing w:before="50" w:after="50" w:line="288"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中国重要报纸全文数据库</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689F93BF">
            <w:pPr>
              <w:tabs>
                <w:tab w:val="left" w:pos="1418"/>
              </w:tabs>
              <w:snapToGrid w:val="0"/>
              <w:spacing w:before="50" w:after="50" w:line="288"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bidi="ar"/>
              </w:rPr>
              <w:t>托管</w:t>
            </w: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4CF404CA">
            <w:pPr>
              <w:tabs>
                <w:tab w:val="left" w:pos="1418"/>
              </w:tabs>
              <w:snapToGrid w:val="0"/>
              <w:spacing w:before="50" w:after="50" w:line="288"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bidi="ar"/>
              </w:rPr>
              <w:t>2025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868A3A2">
            <w:pPr>
              <w:tabs>
                <w:tab w:val="left" w:pos="1418"/>
              </w:tabs>
              <w:snapToGrid w:val="0"/>
              <w:spacing w:before="50" w:after="50" w:line="288"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bidi="ar"/>
              </w:rPr>
              <w:t>ABCDEFGHIJ</w:t>
            </w:r>
          </w:p>
        </w:tc>
        <w:tc>
          <w:tcPr>
            <w:tcW w:w="2151" w:type="dxa"/>
            <w:tcBorders>
              <w:top w:val="single" w:color="auto" w:sz="4" w:space="0"/>
              <w:left w:val="single" w:color="auto" w:sz="4" w:space="0"/>
              <w:bottom w:val="single" w:color="auto" w:sz="4" w:space="0"/>
              <w:right w:val="single" w:color="auto" w:sz="4" w:space="0"/>
            </w:tcBorders>
            <w:shd w:val="clear" w:color="auto" w:fill="auto"/>
          </w:tcPr>
          <w:p w14:paraId="715A470E">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2025.9.1-2026.8.31</w:t>
            </w:r>
          </w:p>
        </w:tc>
      </w:tr>
      <w:tr w14:paraId="050BEC9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14:paraId="4980401E">
            <w:pPr>
              <w:tabs>
                <w:tab w:val="left" w:pos="1418"/>
              </w:tabs>
              <w:snapToGrid w:val="0"/>
              <w:spacing w:before="50" w:after="50" w:line="288"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bidi="ar"/>
              </w:rPr>
              <w:t>5</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14:paraId="5828AD0B">
            <w:pPr>
              <w:tabs>
                <w:tab w:val="left" w:pos="1418"/>
              </w:tabs>
              <w:snapToGrid w:val="0"/>
              <w:spacing w:before="50" w:after="50" w:line="288"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中国重要会议论文全文数据库</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69051AA3">
            <w:pPr>
              <w:tabs>
                <w:tab w:val="left" w:pos="1418"/>
              </w:tabs>
              <w:snapToGrid w:val="0"/>
              <w:spacing w:before="50" w:after="50" w:line="288"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bidi="ar"/>
              </w:rPr>
              <w:t>托管</w:t>
            </w: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03DBC63F">
            <w:pPr>
              <w:tabs>
                <w:tab w:val="left" w:pos="1418"/>
              </w:tabs>
              <w:snapToGrid w:val="0"/>
              <w:spacing w:before="50" w:after="50" w:line="288"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bidi="ar"/>
              </w:rPr>
              <w:t>2025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1510900">
            <w:pPr>
              <w:tabs>
                <w:tab w:val="left" w:pos="1418"/>
              </w:tabs>
              <w:snapToGrid w:val="0"/>
              <w:spacing w:before="50" w:after="50" w:line="288"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bidi="ar"/>
              </w:rPr>
              <w:t>ABCDEFGHIJ</w:t>
            </w:r>
          </w:p>
        </w:tc>
        <w:tc>
          <w:tcPr>
            <w:tcW w:w="2151" w:type="dxa"/>
            <w:tcBorders>
              <w:top w:val="single" w:color="auto" w:sz="4" w:space="0"/>
              <w:left w:val="single" w:color="auto" w:sz="4" w:space="0"/>
              <w:bottom w:val="single" w:color="auto" w:sz="4" w:space="0"/>
              <w:right w:val="single" w:color="auto" w:sz="4" w:space="0"/>
            </w:tcBorders>
            <w:shd w:val="clear" w:color="auto" w:fill="auto"/>
          </w:tcPr>
          <w:p w14:paraId="3CD2FBA0">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2025.9.1-2026.8.31</w:t>
            </w:r>
          </w:p>
        </w:tc>
      </w:tr>
    </w:tbl>
    <w:p w14:paraId="23C62109">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A专辑：基础科学；      B专辑：工程科技Ⅰ辑；    C专辑：工程科技Ⅱ辑；  </w:t>
      </w:r>
    </w:p>
    <w:p w14:paraId="10EA0324">
      <w:pPr>
        <w:rPr>
          <w:rFonts w:hint="eastAsia" w:ascii="宋体" w:hAnsi="宋体" w:eastAsia="宋体" w:cs="宋体"/>
          <w:color w:val="auto"/>
          <w:sz w:val="24"/>
          <w:szCs w:val="24"/>
        </w:rPr>
      </w:pPr>
      <w:r>
        <w:rPr>
          <w:rFonts w:hint="eastAsia" w:ascii="宋体" w:hAnsi="宋体" w:eastAsia="宋体" w:cs="宋体"/>
          <w:color w:val="auto"/>
          <w:sz w:val="24"/>
          <w:szCs w:val="24"/>
        </w:rPr>
        <w:t>D专辑：农业科技；      E专辑：医药卫生科技；    F专辑：哲学与人文科学；</w:t>
      </w:r>
    </w:p>
    <w:p w14:paraId="3903E1E0">
      <w:pPr>
        <w:rPr>
          <w:rFonts w:hint="eastAsia" w:ascii="宋体" w:hAnsi="宋体" w:eastAsia="宋体" w:cs="宋体"/>
          <w:color w:val="auto"/>
          <w:sz w:val="24"/>
          <w:szCs w:val="24"/>
        </w:rPr>
      </w:pPr>
      <w:r>
        <w:rPr>
          <w:rFonts w:hint="eastAsia" w:ascii="宋体" w:hAnsi="宋体" w:eastAsia="宋体" w:cs="宋体"/>
          <w:color w:val="auto"/>
          <w:sz w:val="24"/>
          <w:szCs w:val="24"/>
        </w:rPr>
        <w:t>G专辑：社会科学Ⅰ辑；  H专辑：社会科学Ⅱ辑；    I专辑：信息科技；</w:t>
      </w:r>
    </w:p>
    <w:p w14:paraId="22FA0896">
      <w:pPr>
        <w:rPr>
          <w:rFonts w:hint="eastAsia" w:ascii="宋体" w:hAnsi="宋体" w:eastAsia="宋体" w:cs="宋体"/>
          <w:color w:val="auto"/>
          <w:sz w:val="24"/>
          <w:szCs w:val="24"/>
        </w:rPr>
      </w:pPr>
      <w:r>
        <w:rPr>
          <w:rFonts w:hint="eastAsia" w:ascii="宋体" w:hAnsi="宋体" w:eastAsia="宋体" w:cs="宋体"/>
          <w:color w:val="auto"/>
          <w:sz w:val="24"/>
          <w:szCs w:val="24"/>
        </w:rPr>
        <w:t>J专辑：经济与管理科学；</w:t>
      </w:r>
    </w:p>
    <w:p w14:paraId="7C78CFD4">
      <w:pPr>
        <w:spacing w:line="360" w:lineRule="auto"/>
        <w:rPr>
          <w:rFonts w:hint="eastAsia" w:ascii="宋体" w:hAnsi="宋体" w:eastAsia="宋体" w:cs="宋体"/>
          <w:b/>
          <w:color w:val="auto"/>
          <w:sz w:val="24"/>
          <w:szCs w:val="24"/>
        </w:rPr>
      </w:pPr>
    </w:p>
    <w:p w14:paraId="3E0FB46C">
      <w:pPr>
        <w:rPr>
          <w:rFonts w:hint="eastAsia" w:ascii="宋体" w:hAnsi="宋体" w:eastAsia="宋体" w:cs="宋体"/>
          <w:color w:val="auto"/>
          <w:sz w:val="24"/>
          <w:szCs w:val="24"/>
        </w:rPr>
      </w:pPr>
      <w:r>
        <w:rPr>
          <w:rFonts w:hint="eastAsia" w:ascii="宋体" w:hAnsi="宋体" w:eastAsia="宋体" w:cs="宋体"/>
          <w:color w:val="auto"/>
          <w:sz w:val="24"/>
          <w:szCs w:val="24"/>
        </w:rPr>
        <w:t>1.2 服务描述</w:t>
      </w:r>
    </w:p>
    <w:p w14:paraId="374E1ECE">
      <w:pPr>
        <w:rPr>
          <w:rFonts w:hint="eastAsia" w:ascii="宋体" w:hAnsi="宋体" w:eastAsia="宋体" w:cs="宋体"/>
          <w:b/>
          <w:color w:val="auto"/>
          <w:sz w:val="24"/>
          <w:szCs w:val="24"/>
        </w:rPr>
      </w:pPr>
    </w:p>
    <w:tbl>
      <w:tblPr>
        <w:tblStyle w:val="62"/>
        <w:tblW w:w="546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651"/>
        <w:gridCol w:w="7785"/>
      </w:tblGrid>
      <w:tr w14:paraId="50FE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004B05E9">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813" w:type="pct"/>
            <w:vAlign w:val="center"/>
          </w:tcPr>
          <w:p w14:paraId="1563B305">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要素</w:t>
            </w:r>
          </w:p>
        </w:tc>
        <w:tc>
          <w:tcPr>
            <w:tcW w:w="3833" w:type="pct"/>
            <w:vAlign w:val="center"/>
          </w:tcPr>
          <w:p w14:paraId="2B05306C">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参数</w:t>
            </w:r>
          </w:p>
        </w:tc>
      </w:tr>
      <w:tr w14:paraId="031B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5C018240">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13" w:type="pct"/>
            <w:vAlign w:val="center"/>
          </w:tcPr>
          <w:p w14:paraId="71F56294">
            <w:pPr>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购买内容</w:t>
            </w:r>
          </w:p>
        </w:tc>
        <w:tc>
          <w:tcPr>
            <w:tcW w:w="3833" w:type="pct"/>
          </w:tcPr>
          <w:p w14:paraId="73F04DC8">
            <w:pPr>
              <w:pStyle w:val="255"/>
              <w:spacing w:line="400" w:lineRule="exact"/>
              <w:ind w:firstLine="0" w:firstLineChars="0"/>
              <w:rPr>
                <w:rFonts w:hint="eastAsia" w:ascii="宋体" w:hAnsi="宋体" w:eastAsia="宋体" w:cs="宋体"/>
                <w:color w:val="auto"/>
                <w:kern w:val="0"/>
                <w:sz w:val="24"/>
                <w:szCs w:val="24"/>
              </w:rPr>
            </w:pPr>
            <w:r>
              <w:rPr>
                <w:rFonts w:hint="eastAsia" w:ascii="宋体" w:hAnsi="宋体" w:eastAsia="宋体" w:cs="宋体"/>
                <w:color w:val="auto"/>
                <w:sz w:val="24"/>
                <w:szCs w:val="24"/>
                <w:lang w:bidi="ar"/>
              </w:rPr>
              <w:t>学术期刊、博士论文、硕士论文、中国会议、报纸</w:t>
            </w:r>
          </w:p>
        </w:tc>
      </w:tr>
      <w:tr w14:paraId="2A12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3026EF19">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13" w:type="pct"/>
            <w:vAlign w:val="center"/>
          </w:tcPr>
          <w:p w14:paraId="085E135E">
            <w:pPr>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服务范围</w:t>
            </w:r>
          </w:p>
        </w:tc>
        <w:tc>
          <w:tcPr>
            <w:tcW w:w="3833" w:type="pct"/>
          </w:tcPr>
          <w:p w14:paraId="4C9CC1BE">
            <w:pPr>
              <w:spacing w:line="400" w:lineRule="exact"/>
              <w:rPr>
                <w:rFonts w:hint="eastAsia" w:ascii="宋体" w:hAnsi="宋体" w:eastAsia="宋体" w:cs="宋体"/>
                <w:color w:val="auto"/>
                <w:kern w:val="0"/>
                <w:sz w:val="24"/>
                <w:szCs w:val="24"/>
              </w:rPr>
            </w:pPr>
            <w:r>
              <w:rPr>
                <w:rFonts w:hint="eastAsia" w:ascii="宋体" w:hAnsi="宋体" w:eastAsia="宋体" w:cs="宋体"/>
                <w:color w:val="auto"/>
                <w:sz w:val="24"/>
                <w:szCs w:val="24"/>
              </w:rPr>
              <w:t>与萧山图书馆约定的IP范围内</w:t>
            </w:r>
          </w:p>
        </w:tc>
      </w:tr>
      <w:tr w14:paraId="7D06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667D3868">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13" w:type="pct"/>
            <w:vAlign w:val="center"/>
          </w:tcPr>
          <w:p w14:paraId="737C947F">
            <w:pPr>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服务时间</w:t>
            </w:r>
          </w:p>
        </w:tc>
        <w:tc>
          <w:tcPr>
            <w:tcW w:w="3833" w:type="pct"/>
          </w:tcPr>
          <w:p w14:paraId="21FE35F8">
            <w:pPr>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12个月（2025.9.1-2026.8.31）</w:t>
            </w:r>
          </w:p>
        </w:tc>
      </w:tr>
      <w:tr w14:paraId="4959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67D25755">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13" w:type="pct"/>
            <w:vAlign w:val="center"/>
          </w:tcPr>
          <w:p w14:paraId="684A806B">
            <w:pPr>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质保期</w:t>
            </w:r>
          </w:p>
        </w:tc>
        <w:tc>
          <w:tcPr>
            <w:tcW w:w="3833" w:type="pct"/>
          </w:tcPr>
          <w:p w14:paraId="426E17EB">
            <w:pPr>
              <w:spacing w:line="400" w:lineRule="exact"/>
              <w:rPr>
                <w:rFonts w:hint="eastAsia" w:ascii="宋体" w:hAnsi="宋体" w:eastAsia="宋体" w:cs="宋体"/>
                <w:color w:val="auto"/>
                <w:kern w:val="0"/>
                <w:sz w:val="24"/>
                <w:szCs w:val="24"/>
              </w:rPr>
            </w:pPr>
            <w:r>
              <w:rPr>
                <w:rFonts w:hint="eastAsia" w:ascii="宋体" w:hAnsi="宋体" w:eastAsia="宋体" w:cs="宋体"/>
                <w:color w:val="auto"/>
                <w:sz w:val="24"/>
                <w:szCs w:val="24"/>
              </w:rPr>
              <w:t>自第一次验收合格之日起12个月。质保期期间的维护、人工、差旅等一切费用由中标人承担。</w:t>
            </w:r>
          </w:p>
        </w:tc>
      </w:tr>
      <w:tr w14:paraId="34E2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006F7BAA">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813" w:type="pct"/>
            <w:vAlign w:val="center"/>
          </w:tcPr>
          <w:p w14:paraId="741340CE">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功能</w:t>
            </w:r>
          </w:p>
        </w:tc>
        <w:tc>
          <w:tcPr>
            <w:tcW w:w="3833" w:type="pct"/>
          </w:tcPr>
          <w:p w14:paraId="16F5CCC7">
            <w:pPr>
              <w:pStyle w:val="255"/>
              <w:spacing w:line="400" w:lineRule="exact"/>
              <w:ind w:firstLine="0" w:firstLineChars="0"/>
              <w:rPr>
                <w:rFonts w:hint="eastAsia" w:ascii="宋体" w:hAnsi="宋体" w:eastAsia="宋体" w:cs="宋体"/>
                <w:color w:val="auto"/>
                <w:kern w:val="0"/>
                <w:sz w:val="24"/>
                <w:szCs w:val="24"/>
              </w:rPr>
            </w:pPr>
            <w:r>
              <w:rPr>
                <w:rFonts w:hint="eastAsia" w:ascii="宋体" w:hAnsi="宋体" w:eastAsia="宋体" w:cs="宋体"/>
                <w:color w:val="auto"/>
                <w:sz w:val="24"/>
                <w:szCs w:val="24"/>
                <w:lang w:bidi="ar"/>
              </w:rPr>
              <w:t>大规模集成整合传播我国期刊、博士、硕士、报纸、中国会议等各类文献资源的大型全文数据库和二次文献数据库，以及由文献内容挖掘产生的知识元数据库。为各行各业读者提供专业的检索、浏览、下载学术文献的平台。</w:t>
            </w:r>
          </w:p>
        </w:tc>
      </w:tr>
      <w:tr w14:paraId="76A5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414DE949">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813" w:type="pct"/>
            <w:vAlign w:val="center"/>
          </w:tcPr>
          <w:p w14:paraId="2C16804D">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使用方式</w:t>
            </w:r>
          </w:p>
        </w:tc>
        <w:tc>
          <w:tcPr>
            <w:tcW w:w="3833" w:type="pct"/>
          </w:tcPr>
          <w:p w14:paraId="3B3DC573">
            <w:pPr>
              <w:widowControl/>
              <w:spacing w:line="4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云托管（镜像+包库）</w:t>
            </w:r>
          </w:p>
        </w:tc>
      </w:tr>
      <w:tr w14:paraId="1592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2FAC5A2F">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813" w:type="pct"/>
            <w:vAlign w:val="center"/>
          </w:tcPr>
          <w:p w14:paraId="2E1271B6">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更新频率</w:t>
            </w:r>
          </w:p>
        </w:tc>
        <w:tc>
          <w:tcPr>
            <w:tcW w:w="3833" w:type="pct"/>
          </w:tcPr>
          <w:p w14:paraId="2B98A156">
            <w:pPr>
              <w:widowControl/>
              <w:spacing w:line="4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日更新</w:t>
            </w:r>
          </w:p>
        </w:tc>
      </w:tr>
      <w:tr w14:paraId="1A28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512F7015">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813" w:type="pct"/>
            <w:vAlign w:val="center"/>
          </w:tcPr>
          <w:p w14:paraId="64F44C74">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bidi="ar"/>
              </w:rPr>
              <w:t>技术服务</w:t>
            </w:r>
          </w:p>
        </w:tc>
        <w:tc>
          <w:tcPr>
            <w:tcW w:w="3833" w:type="pct"/>
          </w:tcPr>
          <w:p w14:paraId="2EECF155">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1.提供7×24小时的技术支持服务。可以方便的通过电话、邮件以及其他方便的方式与技术支持联系，取得帮助；</w:t>
            </w:r>
          </w:p>
          <w:p w14:paraId="1C4E8818">
            <w:pPr>
              <w:widowControl/>
              <w:spacing w:line="400" w:lineRule="exact"/>
              <w:jc w:val="left"/>
              <w:rPr>
                <w:rFonts w:hint="eastAsia" w:ascii="宋体" w:hAnsi="宋体" w:eastAsia="宋体" w:cs="宋体"/>
                <w:color w:val="auto"/>
                <w:kern w:val="0"/>
                <w:sz w:val="24"/>
                <w:szCs w:val="24"/>
              </w:rPr>
            </w:pPr>
            <w:r>
              <w:rPr>
                <w:rFonts w:hint="eastAsia" w:ascii="宋体" w:hAnsi="宋体" w:eastAsia="宋体" w:cs="宋体"/>
                <w:color w:val="auto"/>
                <w:sz w:val="24"/>
                <w:szCs w:val="24"/>
                <w:lang w:bidi="ar"/>
              </w:rPr>
              <w:t>2.对于发现的软件自身功能问题，须免费提供支持、及时给予圆满解决；在远程维护无法解决问题的情况下，要派遣技术人员上门解决。在合同规定的服务期限之内，为用户免费提供各种技术服务，包括在线答疑、定期回访、软件更新、版本升级与技术培训。</w:t>
            </w:r>
          </w:p>
        </w:tc>
      </w:tr>
      <w:tr w14:paraId="01E7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06D7CE12">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813" w:type="pct"/>
            <w:vAlign w:val="center"/>
          </w:tcPr>
          <w:p w14:paraId="1AF3EE65">
            <w:pPr>
              <w:spacing w:line="40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rPr>
              <w:t>培训要求</w:t>
            </w:r>
          </w:p>
        </w:tc>
        <w:tc>
          <w:tcPr>
            <w:tcW w:w="3833" w:type="pct"/>
          </w:tcPr>
          <w:p w14:paraId="141F200D">
            <w:pPr>
              <w:spacing w:line="400" w:lineRule="exact"/>
              <w:rPr>
                <w:rFonts w:hint="eastAsia" w:ascii="宋体" w:hAnsi="宋体" w:eastAsia="宋体" w:cs="宋体"/>
                <w:color w:val="auto"/>
                <w:sz w:val="24"/>
                <w:szCs w:val="24"/>
                <w:lang w:bidi="ar"/>
              </w:rPr>
            </w:pPr>
            <w:r>
              <w:rPr>
                <w:rFonts w:hint="eastAsia" w:ascii="宋体" w:hAnsi="宋体" w:eastAsia="宋体" w:cs="宋体"/>
                <w:color w:val="auto"/>
                <w:sz w:val="24"/>
                <w:szCs w:val="24"/>
              </w:rPr>
              <w:t>1.提供线下活动，</w:t>
            </w:r>
            <w:r>
              <w:rPr>
                <w:rFonts w:hint="eastAsia" w:ascii="宋体" w:hAnsi="宋体" w:eastAsia="宋体" w:cs="宋体"/>
                <w:color w:val="auto"/>
                <w:sz w:val="24"/>
                <w:szCs w:val="24"/>
                <w:lang w:bidi="ar"/>
              </w:rPr>
              <w:t>根据用户实际需求定制主题，并承诺及时提供宣传计划和资料。</w:t>
            </w:r>
          </w:p>
          <w:p w14:paraId="57C73EFE">
            <w:pPr>
              <w:pStyle w:val="20"/>
              <w:rPr>
                <w:rFonts w:hint="eastAsia" w:ascii="宋体" w:hAnsi="宋体" w:eastAsia="宋体" w:cs="宋体"/>
                <w:color w:val="auto"/>
                <w:sz w:val="24"/>
                <w:szCs w:val="24"/>
              </w:rPr>
            </w:pPr>
            <w:r>
              <w:rPr>
                <w:rFonts w:hint="eastAsia" w:ascii="宋体" w:hAnsi="宋体" w:eastAsia="宋体" w:cs="宋体"/>
                <w:color w:val="auto"/>
                <w:sz w:val="24"/>
                <w:szCs w:val="24"/>
              </w:rPr>
              <w:t>2.提供读者培训服务。</w:t>
            </w:r>
          </w:p>
        </w:tc>
      </w:tr>
      <w:tr w14:paraId="0DF6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6A4D3871">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813" w:type="pct"/>
            <w:vAlign w:val="center"/>
          </w:tcPr>
          <w:p w14:paraId="3F4344C9">
            <w:pPr>
              <w:widowControl/>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其他要求</w:t>
            </w:r>
          </w:p>
        </w:tc>
        <w:tc>
          <w:tcPr>
            <w:tcW w:w="3833" w:type="pct"/>
          </w:tcPr>
          <w:p w14:paraId="75C1E6FB">
            <w:pPr>
              <w:widowControl/>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数据库因版权、著作权问题所引发的纠纷，均与用户无关，用户可以保留其追究供应商相关法律责任的权利。</w:t>
            </w:r>
          </w:p>
        </w:tc>
      </w:tr>
    </w:tbl>
    <w:p w14:paraId="689F3760">
      <w:pPr>
        <w:pStyle w:val="2"/>
        <w:rPr>
          <w:rFonts w:hint="eastAsia" w:ascii="宋体" w:hAnsi="宋体" w:eastAsia="宋体" w:cs="宋体"/>
          <w:color w:val="auto"/>
          <w:sz w:val="24"/>
          <w:szCs w:val="24"/>
        </w:rPr>
      </w:pPr>
    </w:p>
    <w:p w14:paraId="6D18BFA7">
      <w:pPr>
        <w:pStyle w:val="2"/>
        <w:rPr>
          <w:rFonts w:hint="eastAsia" w:ascii="宋体" w:hAnsi="宋体" w:eastAsia="宋体" w:cs="宋体"/>
          <w:color w:val="auto"/>
          <w:sz w:val="24"/>
          <w:szCs w:val="24"/>
        </w:rPr>
      </w:pPr>
      <w:r>
        <w:rPr>
          <w:rFonts w:hint="eastAsia" w:ascii="宋体" w:hAnsi="宋体" w:eastAsia="宋体" w:cs="宋体"/>
          <w:color w:val="auto"/>
          <w:sz w:val="24"/>
          <w:szCs w:val="24"/>
        </w:rPr>
        <w:t>其他信息：</w:t>
      </w:r>
    </w:p>
    <w:tbl>
      <w:tblPr>
        <w:tblStyle w:val="62"/>
        <w:tblW w:w="9243" w:type="dxa"/>
        <w:jc w:val="center"/>
        <w:tblLayout w:type="autofit"/>
        <w:tblCellMar>
          <w:top w:w="0" w:type="dxa"/>
          <w:left w:w="108" w:type="dxa"/>
          <w:bottom w:w="0" w:type="dxa"/>
          <w:right w:w="108" w:type="dxa"/>
        </w:tblCellMar>
      </w:tblPr>
      <w:tblGrid>
        <w:gridCol w:w="1135"/>
        <w:gridCol w:w="1276"/>
        <w:gridCol w:w="6832"/>
      </w:tblGrid>
      <w:tr w14:paraId="09C083EC">
        <w:tblPrEx>
          <w:tblCellMar>
            <w:top w:w="0" w:type="dxa"/>
            <w:left w:w="108" w:type="dxa"/>
            <w:bottom w:w="0" w:type="dxa"/>
            <w:right w:w="108" w:type="dxa"/>
          </w:tblCellMar>
        </w:tblPrEx>
        <w:trPr>
          <w:trHeight w:val="465" w:hRule="atLeast"/>
          <w:jc w:val="center"/>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4E63D347">
            <w:pPr>
              <w:widowControl/>
              <w:ind w:left="21" w:leftChars="1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采购内容</w:t>
            </w:r>
          </w:p>
        </w:tc>
        <w:tc>
          <w:tcPr>
            <w:tcW w:w="1276" w:type="dxa"/>
            <w:tcBorders>
              <w:top w:val="single" w:color="auto" w:sz="4" w:space="0"/>
              <w:left w:val="nil"/>
              <w:bottom w:val="single" w:color="auto" w:sz="4" w:space="0"/>
              <w:right w:val="single" w:color="auto" w:sz="4" w:space="0"/>
            </w:tcBorders>
            <w:shd w:val="clear" w:color="auto" w:fill="auto"/>
            <w:vAlign w:val="center"/>
          </w:tcPr>
          <w:p w14:paraId="55F1DE45">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功能模块</w:t>
            </w:r>
          </w:p>
        </w:tc>
        <w:tc>
          <w:tcPr>
            <w:tcW w:w="6832" w:type="dxa"/>
            <w:tcBorders>
              <w:top w:val="single" w:color="auto" w:sz="4" w:space="0"/>
              <w:left w:val="nil"/>
              <w:bottom w:val="single" w:color="auto" w:sz="4" w:space="0"/>
              <w:right w:val="single" w:color="auto" w:sz="4" w:space="0"/>
            </w:tcBorders>
            <w:shd w:val="clear" w:color="auto" w:fill="auto"/>
            <w:vAlign w:val="center"/>
          </w:tcPr>
          <w:p w14:paraId="09EDCAB5">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服务参数</w:t>
            </w:r>
          </w:p>
        </w:tc>
      </w:tr>
      <w:tr w14:paraId="4AD67DCA">
        <w:tblPrEx>
          <w:tblCellMar>
            <w:top w:w="0" w:type="dxa"/>
            <w:left w:w="108" w:type="dxa"/>
            <w:bottom w:w="0" w:type="dxa"/>
            <w:right w:w="108" w:type="dxa"/>
          </w:tblCellMar>
        </w:tblPrEx>
        <w:trPr>
          <w:trHeight w:val="765" w:hRule="atLeast"/>
          <w:jc w:val="center"/>
        </w:trPr>
        <w:tc>
          <w:tcPr>
            <w:tcW w:w="1135" w:type="dxa"/>
            <w:vMerge w:val="restart"/>
            <w:tcBorders>
              <w:top w:val="nil"/>
              <w:left w:val="single" w:color="auto" w:sz="4" w:space="0"/>
              <w:bottom w:val="single" w:color="auto" w:sz="4" w:space="0"/>
              <w:right w:val="single" w:color="auto" w:sz="4" w:space="0"/>
            </w:tcBorders>
            <w:shd w:val="clear" w:color="auto" w:fill="auto"/>
            <w:vAlign w:val="center"/>
          </w:tcPr>
          <w:p w14:paraId="58CCC45D">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1.中国学术期刊（网络版）</w:t>
            </w:r>
          </w:p>
        </w:tc>
        <w:tc>
          <w:tcPr>
            <w:tcW w:w="1276" w:type="dxa"/>
            <w:tcBorders>
              <w:top w:val="nil"/>
              <w:left w:val="nil"/>
              <w:bottom w:val="single" w:color="auto" w:sz="4" w:space="0"/>
              <w:right w:val="single" w:color="auto" w:sz="4" w:space="0"/>
            </w:tcBorders>
            <w:shd w:val="clear" w:color="auto" w:fill="auto"/>
            <w:vAlign w:val="center"/>
          </w:tcPr>
          <w:p w14:paraId="26B35124">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收录范围</w:t>
            </w:r>
          </w:p>
        </w:tc>
        <w:tc>
          <w:tcPr>
            <w:tcW w:w="6832" w:type="dxa"/>
            <w:tcBorders>
              <w:top w:val="nil"/>
              <w:left w:val="nil"/>
              <w:bottom w:val="single" w:color="auto" w:sz="4" w:space="0"/>
              <w:right w:val="single" w:color="auto" w:sz="4" w:space="0"/>
            </w:tcBorders>
            <w:shd w:val="clear" w:color="auto" w:fill="auto"/>
            <w:vAlign w:val="center"/>
          </w:tcPr>
          <w:p w14:paraId="4C605F86">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我国公开出版发行的学术期刊（含英文版）全文文献，包括基础与应用基础研究、技术研究、工程研究、工程与项目管理、技术开发、实用工程技术、行业技术发展与评论、高级科普、学科教育教学类期刊。</w:t>
            </w:r>
          </w:p>
        </w:tc>
      </w:tr>
      <w:tr w14:paraId="5BD5454A">
        <w:tblPrEx>
          <w:tblCellMar>
            <w:top w:w="0" w:type="dxa"/>
            <w:left w:w="108" w:type="dxa"/>
            <w:bottom w:w="0" w:type="dxa"/>
            <w:right w:w="108" w:type="dxa"/>
          </w:tblCellMar>
        </w:tblPrEx>
        <w:trPr>
          <w:trHeight w:val="840"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5F8F6669">
            <w:pPr>
              <w:widowControl/>
              <w:jc w:val="left"/>
              <w:rPr>
                <w:rFonts w:hint="eastAsia" w:ascii="宋体" w:hAnsi="宋体" w:eastAsia="宋体" w:cs="宋体"/>
                <w:b/>
                <w:bCs/>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14:paraId="6CA2135F">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文献更新</w:t>
            </w:r>
          </w:p>
        </w:tc>
        <w:tc>
          <w:tcPr>
            <w:tcW w:w="6832" w:type="dxa"/>
            <w:tcBorders>
              <w:top w:val="nil"/>
              <w:left w:val="nil"/>
              <w:bottom w:val="single" w:color="auto" w:sz="4" w:space="0"/>
              <w:right w:val="single" w:color="auto" w:sz="4" w:space="0"/>
            </w:tcBorders>
            <w:shd w:val="clear" w:color="auto" w:fill="auto"/>
            <w:vAlign w:val="center"/>
          </w:tcPr>
          <w:p w14:paraId="45E1B9F8">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截至202</w:t>
            </w:r>
            <w:r>
              <w:rPr>
                <w:rFonts w:hint="eastAsia" w:ascii="宋体" w:hAnsi="宋体" w:eastAsia="宋体" w:cs="宋体"/>
                <w:color w:val="auto"/>
                <w:kern w:val="0"/>
                <w:sz w:val="24"/>
                <w:szCs w:val="24"/>
                <w:lang w:eastAsia="zh"/>
              </w:rPr>
              <w:t>5</w:t>
            </w:r>
            <w:r>
              <w:rPr>
                <w:rFonts w:hint="eastAsia" w:ascii="宋体" w:hAnsi="宋体" w:eastAsia="宋体" w:cs="宋体"/>
                <w:color w:val="auto"/>
                <w:kern w:val="0"/>
                <w:sz w:val="24"/>
                <w:szCs w:val="24"/>
              </w:rPr>
              <w:t>年2月底，累计收录8</w:t>
            </w:r>
            <w:r>
              <w:rPr>
                <w:rFonts w:hint="eastAsia" w:ascii="宋体" w:hAnsi="宋体" w:eastAsia="宋体" w:cs="宋体"/>
                <w:color w:val="auto"/>
                <w:kern w:val="0"/>
                <w:sz w:val="24"/>
                <w:szCs w:val="24"/>
                <w:lang w:eastAsia="zh"/>
              </w:rPr>
              <w:t>5</w:t>
            </w:r>
            <w:r>
              <w:rPr>
                <w:rFonts w:hint="eastAsia" w:ascii="宋体" w:hAnsi="宋体" w:eastAsia="宋体" w:cs="宋体"/>
                <w:color w:val="auto"/>
                <w:kern w:val="0"/>
                <w:sz w:val="24"/>
                <w:szCs w:val="24"/>
              </w:rPr>
              <w:t>00余种期刊，中文全文文献总量达6</w:t>
            </w:r>
            <w:r>
              <w:rPr>
                <w:rFonts w:hint="eastAsia" w:ascii="宋体" w:hAnsi="宋体" w:eastAsia="宋体" w:cs="宋体"/>
                <w:color w:val="auto"/>
                <w:kern w:val="0"/>
                <w:sz w:val="24"/>
                <w:szCs w:val="24"/>
                <w:lang w:eastAsia="zh"/>
              </w:rPr>
              <w:t>400余万</w:t>
            </w:r>
            <w:r>
              <w:rPr>
                <w:rFonts w:hint="eastAsia" w:ascii="宋体" w:hAnsi="宋体" w:eastAsia="宋体" w:cs="宋体"/>
                <w:color w:val="auto"/>
                <w:kern w:val="0"/>
                <w:sz w:val="24"/>
                <w:szCs w:val="24"/>
              </w:rPr>
              <w:t>篇。其中，收录核心期刊1970余种。202</w:t>
            </w:r>
            <w:r>
              <w:rPr>
                <w:rFonts w:hint="eastAsia" w:ascii="宋体" w:hAnsi="宋体" w:eastAsia="宋体" w:cs="宋体"/>
                <w:color w:val="auto"/>
                <w:kern w:val="0"/>
                <w:sz w:val="24"/>
                <w:szCs w:val="24"/>
                <w:lang w:eastAsia="zh"/>
              </w:rPr>
              <w:t>5</w:t>
            </w:r>
            <w:r>
              <w:rPr>
                <w:rFonts w:hint="eastAsia" w:ascii="宋体" w:hAnsi="宋体" w:eastAsia="宋体" w:cs="宋体"/>
                <w:color w:val="auto"/>
                <w:kern w:val="0"/>
                <w:sz w:val="24"/>
                <w:szCs w:val="24"/>
              </w:rPr>
              <w:t>年计划出版期刊6884种，预计出版总文献量1</w:t>
            </w:r>
            <w:r>
              <w:rPr>
                <w:rFonts w:hint="eastAsia" w:ascii="宋体" w:hAnsi="宋体" w:eastAsia="宋体" w:cs="宋体"/>
                <w:color w:val="auto"/>
                <w:kern w:val="0"/>
                <w:sz w:val="24"/>
                <w:szCs w:val="24"/>
                <w:lang w:eastAsia="zh"/>
              </w:rPr>
              <w:t>65万</w:t>
            </w:r>
            <w:r>
              <w:rPr>
                <w:rFonts w:hint="eastAsia" w:ascii="宋体" w:hAnsi="宋体" w:eastAsia="宋体" w:cs="宋体"/>
                <w:color w:val="auto"/>
                <w:kern w:val="0"/>
                <w:sz w:val="24"/>
                <w:szCs w:val="24"/>
              </w:rPr>
              <w:t>余篇。</w:t>
            </w:r>
          </w:p>
        </w:tc>
      </w:tr>
      <w:tr w14:paraId="248B2257">
        <w:tblPrEx>
          <w:tblCellMar>
            <w:top w:w="0" w:type="dxa"/>
            <w:left w:w="108" w:type="dxa"/>
            <w:bottom w:w="0" w:type="dxa"/>
            <w:right w:w="108" w:type="dxa"/>
          </w:tblCellMar>
        </w:tblPrEx>
        <w:trPr>
          <w:trHeight w:val="705"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2BEB1945">
            <w:pPr>
              <w:widowControl/>
              <w:jc w:val="left"/>
              <w:rPr>
                <w:rFonts w:hint="eastAsia" w:ascii="宋体" w:hAnsi="宋体" w:eastAsia="宋体" w:cs="宋体"/>
                <w:b/>
                <w:bCs/>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14:paraId="29616BB5">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收录完整率</w:t>
            </w:r>
          </w:p>
        </w:tc>
        <w:tc>
          <w:tcPr>
            <w:tcW w:w="6832" w:type="dxa"/>
            <w:tcBorders>
              <w:top w:val="nil"/>
              <w:left w:val="nil"/>
              <w:bottom w:val="single" w:color="auto" w:sz="4" w:space="0"/>
              <w:right w:val="single" w:color="auto" w:sz="4" w:space="0"/>
            </w:tcBorders>
            <w:shd w:val="clear" w:color="auto" w:fill="auto"/>
            <w:vAlign w:val="center"/>
          </w:tcPr>
          <w:p w14:paraId="07B56720">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核心期刊、重要评价性数据库来源期刊完整率高于98%</w:t>
            </w:r>
          </w:p>
        </w:tc>
      </w:tr>
      <w:tr w14:paraId="13C0A021">
        <w:tblPrEx>
          <w:tblCellMar>
            <w:top w:w="0" w:type="dxa"/>
            <w:left w:w="108" w:type="dxa"/>
            <w:bottom w:w="0" w:type="dxa"/>
            <w:right w:w="108" w:type="dxa"/>
          </w:tblCellMar>
        </w:tblPrEx>
        <w:trPr>
          <w:trHeight w:val="720"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18F8DBA6">
            <w:pPr>
              <w:widowControl/>
              <w:jc w:val="left"/>
              <w:rPr>
                <w:rFonts w:hint="eastAsia" w:ascii="宋体" w:hAnsi="宋体" w:eastAsia="宋体" w:cs="宋体"/>
                <w:b/>
                <w:bCs/>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14:paraId="2EEC465B">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导航体系</w:t>
            </w:r>
          </w:p>
        </w:tc>
        <w:tc>
          <w:tcPr>
            <w:tcW w:w="6832" w:type="dxa"/>
            <w:tcBorders>
              <w:top w:val="nil"/>
              <w:left w:val="nil"/>
              <w:bottom w:val="single" w:color="auto" w:sz="4" w:space="0"/>
              <w:right w:val="single" w:color="auto" w:sz="4" w:space="0"/>
            </w:tcBorders>
            <w:shd w:val="clear" w:color="auto" w:fill="auto"/>
            <w:vAlign w:val="center"/>
          </w:tcPr>
          <w:p w14:paraId="463868C3">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学科导航、卓越期刊导航、数据库刊源导航、主办单位导航、出版周期导航、出版地导航、核心期刊导航、社科基金资助期刊导航。</w:t>
            </w:r>
          </w:p>
        </w:tc>
      </w:tr>
      <w:tr w14:paraId="52EBF3C9">
        <w:tblPrEx>
          <w:tblCellMar>
            <w:top w:w="0" w:type="dxa"/>
            <w:left w:w="108" w:type="dxa"/>
            <w:bottom w:w="0" w:type="dxa"/>
            <w:right w:w="108" w:type="dxa"/>
          </w:tblCellMar>
        </w:tblPrEx>
        <w:trPr>
          <w:trHeight w:val="765"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16C86363">
            <w:pPr>
              <w:widowControl/>
              <w:jc w:val="left"/>
              <w:rPr>
                <w:rFonts w:hint="eastAsia" w:ascii="宋体" w:hAnsi="宋体" w:eastAsia="宋体" w:cs="宋体"/>
                <w:b/>
                <w:bCs/>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14:paraId="0D1A91B3">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检索字段</w:t>
            </w:r>
          </w:p>
        </w:tc>
        <w:tc>
          <w:tcPr>
            <w:tcW w:w="6832" w:type="dxa"/>
            <w:tcBorders>
              <w:top w:val="nil"/>
              <w:left w:val="nil"/>
              <w:bottom w:val="single" w:color="auto" w:sz="4" w:space="0"/>
              <w:right w:val="single" w:color="auto" w:sz="4" w:space="0"/>
            </w:tcBorders>
            <w:shd w:val="clear" w:color="auto" w:fill="auto"/>
            <w:vAlign w:val="center"/>
          </w:tcPr>
          <w:p w14:paraId="1AA1AD45">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主题、篇关摘、篇名、关键词、摘要、小标题、全文、参考文献、中图分类号、DOI、栏目信息、基金、作者、第一作者、通讯作者、作者单位、第一单位、期刊名称、年、期、ISSN、CN、来源类别。</w:t>
            </w:r>
          </w:p>
        </w:tc>
      </w:tr>
      <w:tr w14:paraId="4D11D306">
        <w:tblPrEx>
          <w:tblCellMar>
            <w:top w:w="0" w:type="dxa"/>
            <w:left w:w="108" w:type="dxa"/>
            <w:bottom w:w="0" w:type="dxa"/>
            <w:right w:w="108" w:type="dxa"/>
          </w:tblCellMar>
        </w:tblPrEx>
        <w:trPr>
          <w:trHeight w:val="1590"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6DD3B4A9">
            <w:pPr>
              <w:widowControl/>
              <w:jc w:val="left"/>
              <w:rPr>
                <w:rFonts w:hint="eastAsia" w:ascii="宋体" w:hAnsi="宋体" w:eastAsia="宋体" w:cs="宋体"/>
                <w:b/>
                <w:bCs/>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14:paraId="5CF73270">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知网节模块</w:t>
            </w:r>
          </w:p>
        </w:tc>
        <w:tc>
          <w:tcPr>
            <w:tcW w:w="6832" w:type="dxa"/>
            <w:tcBorders>
              <w:top w:val="nil"/>
              <w:left w:val="nil"/>
              <w:bottom w:val="single" w:color="auto" w:sz="4" w:space="0"/>
              <w:right w:val="single" w:color="auto" w:sz="4" w:space="0"/>
            </w:tcBorders>
            <w:shd w:val="clear" w:color="auto" w:fill="auto"/>
            <w:vAlign w:val="center"/>
          </w:tcPr>
          <w:p w14:paraId="5C3C40CE">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知网节”是以揭示不同文献或知识之间的关联关系为目标，以某篇文献或者某个知识点为中心的知识网络。它通过文献或知识的聚类功能，将不同文献或知识之间的内在关系进行有机整合，将CNKI数据库中期刊、学位论文、报纸、会议论文、图书等不同类型的文献进行关联，在此基础上，进一步形成了文献知网节、作者知网节、基金知网节、机构知网节等，从而构建系统的知识网络和内容解释体系。</w:t>
            </w:r>
          </w:p>
        </w:tc>
      </w:tr>
      <w:tr w14:paraId="61C4D65E">
        <w:tblPrEx>
          <w:tblCellMar>
            <w:top w:w="0" w:type="dxa"/>
            <w:left w:w="108" w:type="dxa"/>
            <w:bottom w:w="0" w:type="dxa"/>
            <w:right w:w="108" w:type="dxa"/>
          </w:tblCellMar>
        </w:tblPrEx>
        <w:trPr>
          <w:trHeight w:val="1002"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197DE819">
            <w:pPr>
              <w:widowControl/>
              <w:jc w:val="left"/>
              <w:rPr>
                <w:rFonts w:hint="eastAsia" w:ascii="宋体" w:hAnsi="宋体" w:eastAsia="宋体" w:cs="宋体"/>
                <w:b/>
                <w:bCs/>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14:paraId="52A47E22">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检索结果处理</w:t>
            </w:r>
          </w:p>
        </w:tc>
        <w:tc>
          <w:tcPr>
            <w:tcW w:w="6832" w:type="dxa"/>
            <w:tcBorders>
              <w:top w:val="nil"/>
              <w:left w:val="nil"/>
              <w:bottom w:val="single" w:color="auto" w:sz="4" w:space="0"/>
              <w:right w:val="single" w:color="auto" w:sz="4" w:space="0"/>
            </w:tcBorders>
            <w:shd w:val="clear" w:color="auto" w:fill="auto"/>
            <w:vAlign w:val="center"/>
          </w:tcPr>
          <w:p w14:paraId="63813DC2">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通过分组排序检索结果进行进一步筛选，可按照科技、社科、主题（主要主题、次要主题）、发表年度、研究层次、期刊、来源类别、学科、基金、作者、机构、OA出版等条件进行分组聚类，并且对于检索结果还能够按照相关度、发表时间、被引频次、下载频次、综合进行排序。提供批量下载、按多种格式导出文献、可视化分析、在线阅读功能方便读者使用文献。</w:t>
            </w:r>
          </w:p>
        </w:tc>
      </w:tr>
      <w:tr w14:paraId="287F565B">
        <w:tblPrEx>
          <w:tblCellMar>
            <w:top w:w="0" w:type="dxa"/>
            <w:left w:w="108" w:type="dxa"/>
            <w:bottom w:w="0" w:type="dxa"/>
            <w:right w:w="108" w:type="dxa"/>
          </w:tblCellMar>
        </w:tblPrEx>
        <w:trPr>
          <w:trHeight w:val="1155"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35B8420C">
            <w:pPr>
              <w:widowControl/>
              <w:jc w:val="left"/>
              <w:rPr>
                <w:rFonts w:hint="eastAsia" w:ascii="宋体" w:hAnsi="宋体" w:eastAsia="宋体" w:cs="宋体"/>
                <w:b/>
                <w:bCs/>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14:paraId="6400F80F">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网络首发</w:t>
            </w:r>
          </w:p>
        </w:tc>
        <w:tc>
          <w:tcPr>
            <w:tcW w:w="6832" w:type="dxa"/>
            <w:tcBorders>
              <w:top w:val="nil"/>
              <w:left w:val="nil"/>
              <w:bottom w:val="single" w:color="auto" w:sz="4" w:space="0"/>
              <w:right w:val="single" w:color="auto" w:sz="4" w:space="0"/>
            </w:tcBorders>
            <w:shd w:val="clear" w:color="auto" w:fill="auto"/>
            <w:vAlign w:val="center"/>
          </w:tcPr>
          <w:p w14:paraId="37C9E6E5">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网络首发是指先将论文网络出版，按出版网址和发布时间确认论文首发权，之后将论文全部或其根文本在期刊印刷版出版的出版方式。按照首发时的编辑状态分为3种：录用定稿、排版定稿、整期定稿。2023年，中国知网遴选高质量期刊及学科特色期刊开展网络首发，年网络首发文献量19万篇，截至2023年12月底累计首发发文87万余篇，提升了高质量学术期刊的传播时效性。</w:t>
            </w:r>
          </w:p>
        </w:tc>
      </w:tr>
      <w:tr w14:paraId="38A2298B">
        <w:tblPrEx>
          <w:tblCellMar>
            <w:top w:w="0" w:type="dxa"/>
            <w:left w:w="108" w:type="dxa"/>
            <w:bottom w:w="0" w:type="dxa"/>
            <w:right w:w="108" w:type="dxa"/>
          </w:tblCellMar>
        </w:tblPrEx>
        <w:trPr>
          <w:trHeight w:val="330" w:hRule="atLeast"/>
          <w:jc w:val="center"/>
        </w:trPr>
        <w:tc>
          <w:tcPr>
            <w:tcW w:w="1135" w:type="dxa"/>
            <w:vMerge w:val="restart"/>
            <w:tcBorders>
              <w:top w:val="nil"/>
              <w:left w:val="single" w:color="auto" w:sz="4" w:space="0"/>
              <w:bottom w:val="single" w:color="auto" w:sz="4" w:space="0"/>
              <w:right w:val="single" w:color="auto" w:sz="4" w:space="0"/>
            </w:tcBorders>
            <w:shd w:val="clear" w:color="auto" w:fill="auto"/>
            <w:vAlign w:val="center"/>
          </w:tcPr>
          <w:p w14:paraId="5B22933A">
            <w:pPr>
              <w:widowControl/>
              <w:jc w:val="center"/>
              <w:rPr>
                <w:rFonts w:hint="eastAsia" w:ascii="宋体" w:hAnsi="宋体" w:eastAsia="宋体" w:cs="宋体"/>
                <w:b/>
                <w:bCs/>
                <w:color w:val="auto"/>
                <w:kern w:val="0"/>
                <w:sz w:val="24"/>
                <w:szCs w:val="24"/>
              </w:rPr>
            </w:pPr>
            <w:bookmarkStart w:id="27" w:name="RANGE!D11"/>
            <w:r>
              <w:rPr>
                <w:rFonts w:hint="eastAsia" w:ascii="宋体" w:hAnsi="宋体" w:eastAsia="宋体" w:cs="宋体"/>
                <w:b/>
                <w:bCs/>
                <w:color w:val="auto"/>
                <w:kern w:val="0"/>
                <w:sz w:val="24"/>
                <w:szCs w:val="24"/>
              </w:rPr>
              <w:t>2.中国博士学位论文全文数据库</w:t>
            </w:r>
            <w:bookmarkEnd w:id="27"/>
          </w:p>
        </w:tc>
        <w:tc>
          <w:tcPr>
            <w:tcW w:w="1276" w:type="dxa"/>
            <w:tcBorders>
              <w:top w:val="nil"/>
              <w:left w:val="nil"/>
              <w:bottom w:val="single" w:color="auto" w:sz="4" w:space="0"/>
              <w:right w:val="single" w:color="auto" w:sz="4" w:space="0"/>
            </w:tcBorders>
            <w:shd w:val="clear" w:color="auto" w:fill="auto"/>
            <w:vAlign w:val="center"/>
          </w:tcPr>
          <w:p w14:paraId="3552C3B5">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功能模块</w:t>
            </w:r>
          </w:p>
        </w:tc>
        <w:tc>
          <w:tcPr>
            <w:tcW w:w="6832" w:type="dxa"/>
            <w:tcBorders>
              <w:top w:val="nil"/>
              <w:left w:val="nil"/>
              <w:bottom w:val="single" w:color="auto" w:sz="4" w:space="0"/>
              <w:right w:val="single" w:color="auto" w:sz="4" w:space="0"/>
            </w:tcBorders>
            <w:shd w:val="clear" w:color="auto" w:fill="auto"/>
            <w:vAlign w:val="center"/>
          </w:tcPr>
          <w:p w14:paraId="70629800">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服务参数</w:t>
            </w:r>
          </w:p>
        </w:tc>
      </w:tr>
      <w:tr w14:paraId="6752D5DC">
        <w:tblPrEx>
          <w:tblCellMar>
            <w:top w:w="0" w:type="dxa"/>
            <w:left w:w="108" w:type="dxa"/>
            <w:bottom w:w="0" w:type="dxa"/>
            <w:right w:w="108" w:type="dxa"/>
          </w:tblCellMar>
        </w:tblPrEx>
        <w:trPr>
          <w:trHeight w:val="675"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162A5F18">
            <w:pPr>
              <w:widowControl/>
              <w:jc w:val="left"/>
              <w:rPr>
                <w:rFonts w:hint="eastAsia" w:ascii="宋体" w:hAnsi="宋体" w:eastAsia="宋体" w:cs="宋体"/>
                <w:b/>
                <w:bCs/>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14:paraId="0FD8030F">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收录范围</w:t>
            </w:r>
          </w:p>
        </w:tc>
        <w:tc>
          <w:tcPr>
            <w:tcW w:w="6832" w:type="dxa"/>
            <w:tcBorders>
              <w:top w:val="nil"/>
              <w:left w:val="nil"/>
              <w:bottom w:val="single" w:color="auto" w:sz="4" w:space="0"/>
              <w:right w:val="single" w:color="auto" w:sz="4" w:space="0"/>
            </w:tcBorders>
            <w:shd w:val="clear" w:color="auto" w:fill="auto"/>
            <w:vAlign w:val="center"/>
          </w:tcPr>
          <w:p w14:paraId="30B95B37">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具有博士学位授予权的研究生培养单位的博士学位论文（涉及国家保密的论文除外）。</w:t>
            </w:r>
          </w:p>
        </w:tc>
      </w:tr>
      <w:tr w14:paraId="75DC4DE7">
        <w:tblPrEx>
          <w:tblCellMar>
            <w:top w:w="0" w:type="dxa"/>
            <w:left w:w="108" w:type="dxa"/>
            <w:bottom w:w="0" w:type="dxa"/>
            <w:right w:w="108" w:type="dxa"/>
          </w:tblCellMar>
        </w:tblPrEx>
        <w:trPr>
          <w:trHeight w:val="675"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700D48D3">
            <w:pPr>
              <w:widowControl/>
              <w:jc w:val="left"/>
              <w:rPr>
                <w:rFonts w:hint="eastAsia" w:ascii="宋体" w:hAnsi="宋体" w:eastAsia="宋体" w:cs="宋体"/>
                <w:b/>
                <w:bCs/>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14:paraId="00A7250B">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文献总量</w:t>
            </w:r>
          </w:p>
        </w:tc>
        <w:tc>
          <w:tcPr>
            <w:tcW w:w="6832" w:type="dxa"/>
            <w:tcBorders>
              <w:top w:val="nil"/>
              <w:left w:val="nil"/>
              <w:bottom w:val="single" w:color="auto" w:sz="4" w:space="0"/>
              <w:right w:val="single" w:color="auto" w:sz="4" w:space="0"/>
            </w:tcBorders>
            <w:shd w:val="clear" w:color="auto" w:fill="auto"/>
            <w:vAlign w:val="center"/>
          </w:tcPr>
          <w:p w14:paraId="3C4A9891">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截止2024年11月，收录博士学位论文59.7万余篇。2025年计划出版3.8万篇。</w:t>
            </w:r>
          </w:p>
        </w:tc>
      </w:tr>
      <w:tr w14:paraId="77582643">
        <w:tblPrEx>
          <w:tblCellMar>
            <w:top w:w="0" w:type="dxa"/>
            <w:left w:w="108" w:type="dxa"/>
            <w:bottom w:w="0" w:type="dxa"/>
            <w:right w:w="108" w:type="dxa"/>
          </w:tblCellMar>
        </w:tblPrEx>
        <w:trPr>
          <w:trHeight w:val="510"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28DA8C85">
            <w:pPr>
              <w:widowControl/>
              <w:jc w:val="left"/>
              <w:rPr>
                <w:rFonts w:hint="eastAsia" w:ascii="宋体" w:hAnsi="宋体" w:eastAsia="宋体" w:cs="宋体"/>
                <w:b/>
                <w:bCs/>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14:paraId="3F7F923A">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收录完整率</w:t>
            </w:r>
          </w:p>
        </w:tc>
        <w:tc>
          <w:tcPr>
            <w:tcW w:w="6832" w:type="dxa"/>
            <w:tcBorders>
              <w:top w:val="nil"/>
              <w:left w:val="nil"/>
              <w:bottom w:val="single" w:color="auto" w:sz="4" w:space="0"/>
              <w:right w:val="single" w:color="auto" w:sz="4" w:space="0"/>
            </w:tcBorders>
            <w:shd w:val="clear" w:color="auto" w:fill="auto"/>
            <w:vAlign w:val="center"/>
          </w:tcPr>
          <w:p w14:paraId="22217A7E">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201</w:t>
            </w:r>
            <w:r>
              <w:rPr>
                <w:rFonts w:hint="eastAsia" w:ascii="宋体" w:hAnsi="宋体" w:eastAsia="宋体" w:cs="宋体"/>
                <w:color w:val="auto"/>
                <w:kern w:val="0"/>
                <w:sz w:val="24"/>
                <w:szCs w:val="24"/>
                <w:lang w:eastAsia="zh"/>
              </w:rPr>
              <w:t>7</w:t>
            </w:r>
            <w:r>
              <w:rPr>
                <w:rFonts w:hint="eastAsia" w:ascii="宋体" w:hAnsi="宋体" w:eastAsia="宋体" w:cs="宋体"/>
                <w:color w:val="auto"/>
                <w:kern w:val="0"/>
                <w:sz w:val="24"/>
                <w:szCs w:val="24"/>
              </w:rPr>
              <w:t>年、201</w:t>
            </w:r>
            <w:r>
              <w:rPr>
                <w:rFonts w:hint="eastAsia" w:ascii="宋体" w:hAnsi="宋体" w:eastAsia="宋体" w:cs="宋体"/>
                <w:color w:val="auto"/>
                <w:kern w:val="0"/>
                <w:sz w:val="24"/>
                <w:szCs w:val="24"/>
                <w:lang w:eastAsia="zh"/>
              </w:rPr>
              <w:t>8</w:t>
            </w:r>
            <w:r>
              <w:rPr>
                <w:rFonts w:hint="eastAsia" w:ascii="宋体" w:hAnsi="宋体" w:eastAsia="宋体" w:cs="宋体"/>
                <w:color w:val="auto"/>
                <w:kern w:val="0"/>
                <w:sz w:val="24"/>
                <w:szCs w:val="24"/>
              </w:rPr>
              <w:t>年、201</w:t>
            </w:r>
            <w:r>
              <w:rPr>
                <w:rFonts w:hint="eastAsia" w:ascii="宋体" w:hAnsi="宋体" w:eastAsia="宋体" w:cs="宋体"/>
                <w:color w:val="auto"/>
                <w:kern w:val="0"/>
                <w:sz w:val="24"/>
                <w:szCs w:val="24"/>
                <w:lang w:eastAsia="zh"/>
              </w:rPr>
              <w:t>9</w:t>
            </w:r>
            <w:r>
              <w:rPr>
                <w:rFonts w:hint="eastAsia" w:ascii="宋体" w:hAnsi="宋体" w:eastAsia="宋体" w:cs="宋体"/>
                <w:color w:val="auto"/>
                <w:kern w:val="0"/>
                <w:sz w:val="24"/>
                <w:szCs w:val="24"/>
              </w:rPr>
              <w:t>年、20</w:t>
            </w:r>
            <w:r>
              <w:rPr>
                <w:rFonts w:hint="eastAsia" w:ascii="宋体" w:hAnsi="宋体" w:eastAsia="宋体" w:cs="宋体"/>
                <w:color w:val="auto"/>
                <w:kern w:val="0"/>
                <w:sz w:val="24"/>
                <w:szCs w:val="24"/>
                <w:lang w:eastAsia="zh"/>
              </w:rPr>
              <w:t>20</w:t>
            </w:r>
            <w:r>
              <w:rPr>
                <w:rFonts w:hint="eastAsia" w:ascii="宋体" w:hAnsi="宋体" w:eastAsia="宋体" w:cs="宋体"/>
                <w:color w:val="auto"/>
                <w:kern w:val="0"/>
                <w:sz w:val="24"/>
                <w:szCs w:val="24"/>
              </w:rPr>
              <w:t>年、202</w:t>
            </w:r>
            <w:r>
              <w:rPr>
                <w:rFonts w:hint="eastAsia" w:ascii="宋体" w:hAnsi="宋体" w:eastAsia="宋体" w:cs="宋体"/>
                <w:color w:val="auto"/>
                <w:kern w:val="0"/>
                <w:sz w:val="24"/>
                <w:szCs w:val="24"/>
                <w:lang w:eastAsia="zh"/>
              </w:rPr>
              <w:t>1</w:t>
            </w:r>
            <w:r>
              <w:rPr>
                <w:rFonts w:hint="eastAsia" w:ascii="宋体" w:hAnsi="宋体" w:eastAsia="宋体" w:cs="宋体"/>
                <w:color w:val="auto"/>
                <w:kern w:val="0"/>
                <w:sz w:val="24"/>
                <w:szCs w:val="24"/>
              </w:rPr>
              <w:t>年、202</w:t>
            </w:r>
            <w:r>
              <w:rPr>
                <w:rFonts w:hint="eastAsia" w:ascii="宋体" w:hAnsi="宋体" w:eastAsia="宋体" w:cs="宋体"/>
                <w:color w:val="auto"/>
                <w:kern w:val="0"/>
                <w:sz w:val="24"/>
                <w:szCs w:val="24"/>
                <w:lang w:eastAsia="zh"/>
              </w:rPr>
              <w:t>2</w:t>
            </w:r>
            <w:r>
              <w:rPr>
                <w:rFonts w:hint="eastAsia" w:ascii="宋体" w:hAnsi="宋体" w:eastAsia="宋体" w:cs="宋体"/>
                <w:color w:val="auto"/>
                <w:kern w:val="0"/>
                <w:sz w:val="24"/>
                <w:szCs w:val="24"/>
              </w:rPr>
              <w:t>年、202</w:t>
            </w:r>
            <w:r>
              <w:rPr>
                <w:rFonts w:hint="eastAsia" w:ascii="宋体" w:hAnsi="宋体" w:eastAsia="宋体" w:cs="宋体"/>
                <w:color w:val="auto"/>
                <w:kern w:val="0"/>
                <w:sz w:val="24"/>
                <w:szCs w:val="24"/>
                <w:lang w:eastAsia="zh"/>
              </w:rPr>
              <w:t>3</w:t>
            </w:r>
            <w:r>
              <w:rPr>
                <w:rFonts w:hint="eastAsia" w:ascii="宋体" w:hAnsi="宋体" w:eastAsia="宋体" w:cs="宋体"/>
                <w:color w:val="auto"/>
                <w:kern w:val="0"/>
                <w:sz w:val="24"/>
                <w:szCs w:val="24"/>
              </w:rPr>
              <w:t>年、202</w:t>
            </w:r>
            <w:r>
              <w:rPr>
                <w:rFonts w:hint="eastAsia" w:ascii="宋体" w:hAnsi="宋体" w:eastAsia="宋体" w:cs="宋体"/>
                <w:color w:val="auto"/>
                <w:kern w:val="0"/>
                <w:sz w:val="24"/>
                <w:szCs w:val="24"/>
                <w:lang w:eastAsia="zh"/>
              </w:rPr>
              <w:t>4</w:t>
            </w:r>
            <w:r>
              <w:rPr>
                <w:rFonts w:hint="eastAsia" w:ascii="宋体" w:hAnsi="宋体" w:eastAsia="宋体" w:cs="宋体"/>
                <w:color w:val="auto"/>
                <w:kern w:val="0"/>
                <w:sz w:val="24"/>
                <w:szCs w:val="24"/>
              </w:rPr>
              <w:t>年博士学位论文出版数量占全国当年可公开出版的博士学位论文总量的85％以上。</w:t>
            </w:r>
          </w:p>
        </w:tc>
      </w:tr>
      <w:tr w14:paraId="4C1D63FC">
        <w:tblPrEx>
          <w:tblCellMar>
            <w:top w:w="0" w:type="dxa"/>
            <w:left w:w="108" w:type="dxa"/>
            <w:bottom w:w="0" w:type="dxa"/>
            <w:right w:w="108" w:type="dxa"/>
          </w:tblCellMar>
        </w:tblPrEx>
        <w:trPr>
          <w:trHeight w:val="510"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79DE5D10">
            <w:pPr>
              <w:widowControl/>
              <w:jc w:val="left"/>
              <w:rPr>
                <w:rFonts w:hint="eastAsia" w:ascii="宋体" w:hAnsi="宋体" w:eastAsia="宋体" w:cs="宋体"/>
                <w:b/>
                <w:bCs/>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14:paraId="0BD0C1DC">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导航体系</w:t>
            </w:r>
          </w:p>
        </w:tc>
        <w:tc>
          <w:tcPr>
            <w:tcW w:w="6832" w:type="dxa"/>
            <w:tcBorders>
              <w:top w:val="nil"/>
              <w:left w:val="nil"/>
              <w:bottom w:val="single" w:color="auto" w:sz="4" w:space="0"/>
              <w:right w:val="single" w:color="auto" w:sz="4" w:space="0"/>
            </w:tcBorders>
            <w:shd w:val="clear" w:color="auto" w:fill="auto"/>
            <w:vAlign w:val="center"/>
          </w:tcPr>
          <w:p w14:paraId="099235FC">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学位授予单位导航（包括一流高校及学科导航、地域导航、学术型学科专业导航、专业型学科专业导航）、文献分类导航（包括专辑专题导航、学科专业导航）。</w:t>
            </w:r>
          </w:p>
        </w:tc>
      </w:tr>
      <w:tr w14:paraId="0CE6A40B">
        <w:tblPrEx>
          <w:tblCellMar>
            <w:top w:w="0" w:type="dxa"/>
            <w:left w:w="108" w:type="dxa"/>
            <w:bottom w:w="0" w:type="dxa"/>
            <w:right w:w="108" w:type="dxa"/>
          </w:tblCellMar>
        </w:tblPrEx>
        <w:trPr>
          <w:trHeight w:val="510"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0FF0001D">
            <w:pPr>
              <w:widowControl/>
              <w:jc w:val="left"/>
              <w:rPr>
                <w:rFonts w:hint="eastAsia" w:ascii="宋体" w:hAnsi="宋体" w:eastAsia="宋体" w:cs="宋体"/>
                <w:b/>
                <w:bCs/>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14:paraId="596A75C9">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下载方式</w:t>
            </w:r>
          </w:p>
        </w:tc>
        <w:tc>
          <w:tcPr>
            <w:tcW w:w="6832" w:type="dxa"/>
            <w:tcBorders>
              <w:top w:val="nil"/>
              <w:left w:val="nil"/>
              <w:bottom w:val="single" w:color="auto" w:sz="4" w:space="0"/>
              <w:right w:val="single" w:color="auto" w:sz="4" w:space="0"/>
            </w:tcBorders>
            <w:shd w:val="clear" w:color="auto" w:fill="auto"/>
            <w:vAlign w:val="center"/>
          </w:tcPr>
          <w:p w14:paraId="05338DFE">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CAJ下载、PDF下载、章节下载（分页下载、分章下载）、在线阅读。</w:t>
            </w:r>
          </w:p>
        </w:tc>
      </w:tr>
      <w:tr w14:paraId="57C8B6DD">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566C7187">
            <w:pPr>
              <w:widowControl/>
              <w:jc w:val="left"/>
              <w:rPr>
                <w:rFonts w:hint="eastAsia" w:ascii="宋体" w:hAnsi="宋体" w:eastAsia="宋体" w:cs="宋体"/>
                <w:b/>
                <w:bCs/>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14:paraId="339D12ED">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检索字段 </w:t>
            </w:r>
          </w:p>
        </w:tc>
        <w:tc>
          <w:tcPr>
            <w:tcW w:w="6832" w:type="dxa"/>
            <w:tcBorders>
              <w:top w:val="nil"/>
              <w:left w:val="nil"/>
              <w:bottom w:val="single" w:color="auto" w:sz="4" w:space="0"/>
              <w:right w:val="single" w:color="auto" w:sz="4" w:space="0"/>
            </w:tcBorders>
            <w:shd w:val="clear" w:color="auto" w:fill="auto"/>
            <w:vAlign w:val="center"/>
          </w:tcPr>
          <w:p w14:paraId="300FBE19">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主题、篇关摘、关键词、题名、全文、作者、作者单位、导师、第一导师、学位授予单位、基金、摘要、目录、参考文献、中图分类号、学科专业名称、DOI。</w:t>
            </w:r>
          </w:p>
        </w:tc>
      </w:tr>
      <w:tr w14:paraId="646B749E">
        <w:tblPrEx>
          <w:tblCellMar>
            <w:top w:w="0" w:type="dxa"/>
            <w:left w:w="108" w:type="dxa"/>
            <w:bottom w:w="0" w:type="dxa"/>
            <w:right w:w="108" w:type="dxa"/>
          </w:tblCellMar>
        </w:tblPrEx>
        <w:trPr>
          <w:trHeight w:val="705"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2A9FF856">
            <w:pPr>
              <w:widowControl/>
              <w:jc w:val="left"/>
              <w:rPr>
                <w:rFonts w:hint="eastAsia" w:ascii="宋体" w:hAnsi="宋体" w:eastAsia="宋体" w:cs="宋体"/>
                <w:b/>
                <w:bCs/>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14:paraId="219B75CF">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知网节功能</w:t>
            </w:r>
          </w:p>
        </w:tc>
        <w:tc>
          <w:tcPr>
            <w:tcW w:w="6832" w:type="dxa"/>
            <w:tcBorders>
              <w:top w:val="nil"/>
              <w:left w:val="nil"/>
              <w:bottom w:val="single" w:color="auto" w:sz="4" w:space="0"/>
              <w:right w:val="single" w:color="auto" w:sz="4" w:space="0"/>
            </w:tcBorders>
            <w:shd w:val="clear" w:color="auto" w:fill="auto"/>
            <w:vAlign w:val="center"/>
          </w:tcPr>
          <w:p w14:paraId="752D3491">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节点文献的二级参考文献、参考文献、共引文献、同被引文献、引证文献、二级引证文献、相似文献、读者推荐、相关基金文献、关联作者、攻读期成果、相关视频，可以链接到期刊、学位论文、会议、报纸、专利、标准、年鉴、国际期刊、科技成果、图书等数据库使用。</w:t>
            </w:r>
          </w:p>
        </w:tc>
      </w:tr>
      <w:tr w14:paraId="7E9A5E08">
        <w:tblPrEx>
          <w:tblCellMar>
            <w:top w:w="0" w:type="dxa"/>
            <w:left w:w="108" w:type="dxa"/>
            <w:bottom w:w="0" w:type="dxa"/>
            <w:right w:w="108" w:type="dxa"/>
          </w:tblCellMar>
        </w:tblPrEx>
        <w:trPr>
          <w:trHeight w:val="885"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436EE6F4">
            <w:pPr>
              <w:widowControl/>
              <w:jc w:val="left"/>
              <w:rPr>
                <w:rFonts w:hint="eastAsia" w:ascii="宋体" w:hAnsi="宋体" w:eastAsia="宋体" w:cs="宋体"/>
                <w:b/>
                <w:bCs/>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14:paraId="0C32E9F4">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检索结果处理</w:t>
            </w:r>
          </w:p>
        </w:tc>
        <w:tc>
          <w:tcPr>
            <w:tcW w:w="6832" w:type="dxa"/>
            <w:tcBorders>
              <w:top w:val="nil"/>
              <w:left w:val="nil"/>
              <w:bottom w:val="single" w:color="auto" w:sz="4" w:space="0"/>
              <w:right w:val="single" w:color="auto" w:sz="4" w:space="0"/>
            </w:tcBorders>
            <w:shd w:val="clear" w:color="auto" w:fill="auto"/>
            <w:vAlign w:val="center"/>
          </w:tcPr>
          <w:p w14:paraId="50228B83">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通过分组排序检索结果进行进一步筛选，可按照主题（主要主题、次要主题）、学科、学位授予年度、研究层次、学位授予单位、基金、导师、学科专业等条件进行分组聚类，并且对于检索结果还能够按照相关度、出版时间、被引频次、下载频次、学位授予年度、综合等进行排序。还可以对结果进行批量下载、12种格式的文献导出。</w:t>
            </w:r>
          </w:p>
        </w:tc>
      </w:tr>
      <w:tr w14:paraId="79EC9ADB">
        <w:tblPrEx>
          <w:tblCellMar>
            <w:top w:w="0" w:type="dxa"/>
            <w:left w:w="108" w:type="dxa"/>
            <w:bottom w:w="0" w:type="dxa"/>
            <w:right w:w="108" w:type="dxa"/>
          </w:tblCellMar>
        </w:tblPrEx>
        <w:trPr>
          <w:trHeight w:val="375" w:hRule="atLeast"/>
          <w:jc w:val="center"/>
        </w:trPr>
        <w:tc>
          <w:tcPr>
            <w:tcW w:w="1135" w:type="dxa"/>
            <w:vMerge w:val="restart"/>
            <w:tcBorders>
              <w:top w:val="nil"/>
              <w:left w:val="single" w:color="auto" w:sz="4" w:space="0"/>
              <w:bottom w:val="single" w:color="auto" w:sz="4" w:space="0"/>
              <w:right w:val="single" w:color="auto" w:sz="4" w:space="0"/>
            </w:tcBorders>
            <w:shd w:val="clear" w:color="auto" w:fill="auto"/>
            <w:vAlign w:val="center"/>
          </w:tcPr>
          <w:p w14:paraId="44CB659D">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3.中国优秀硕士学位论文全文数据库</w:t>
            </w:r>
          </w:p>
        </w:tc>
        <w:tc>
          <w:tcPr>
            <w:tcW w:w="1276" w:type="dxa"/>
            <w:tcBorders>
              <w:top w:val="nil"/>
              <w:left w:val="nil"/>
              <w:bottom w:val="single" w:color="auto" w:sz="4" w:space="0"/>
              <w:right w:val="single" w:color="auto" w:sz="4" w:space="0"/>
            </w:tcBorders>
            <w:shd w:val="clear" w:color="auto" w:fill="auto"/>
            <w:vAlign w:val="center"/>
          </w:tcPr>
          <w:p w14:paraId="51BE9620">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功能模块</w:t>
            </w:r>
          </w:p>
        </w:tc>
        <w:tc>
          <w:tcPr>
            <w:tcW w:w="6832" w:type="dxa"/>
            <w:tcBorders>
              <w:top w:val="nil"/>
              <w:left w:val="nil"/>
              <w:bottom w:val="single" w:color="auto" w:sz="4" w:space="0"/>
              <w:right w:val="single" w:color="auto" w:sz="4" w:space="0"/>
            </w:tcBorders>
            <w:shd w:val="clear" w:color="auto" w:fill="auto"/>
            <w:vAlign w:val="center"/>
          </w:tcPr>
          <w:p w14:paraId="55C160ED">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服务参数</w:t>
            </w:r>
          </w:p>
        </w:tc>
      </w:tr>
      <w:tr w14:paraId="0F65E221">
        <w:tblPrEx>
          <w:tblCellMar>
            <w:top w:w="0" w:type="dxa"/>
            <w:left w:w="108" w:type="dxa"/>
            <w:bottom w:w="0" w:type="dxa"/>
            <w:right w:w="108" w:type="dxa"/>
          </w:tblCellMar>
        </w:tblPrEx>
        <w:trPr>
          <w:trHeight w:val="765"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3F77C279">
            <w:pPr>
              <w:widowControl/>
              <w:jc w:val="left"/>
              <w:rPr>
                <w:rFonts w:hint="eastAsia" w:ascii="宋体" w:hAnsi="宋体" w:eastAsia="宋体" w:cs="宋体"/>
                <w:b/>
                <w:bCs/>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14:paraId="42F58446">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收录范围</w:t>
            </w:r>
          </w:p>
        </w:tc>
        <w:tc>
          <w:tcPr>
            <w:tcW w:w="6832" w:type="dxa"/>
            <w:tcBorders>
              <w:top w:val="nil"/>
              <w:left w:val="nil"/>
              <w:bottom w:val="single" w:color="auto" w:sz="4" w:space="0"/>
              <w:right w:val="single" w:color="auto" w:sz="4" w:space="0"/>
            </w:tcBorders>
            <w:shd w:val="clear" w:color="auto" w:fill="auto"/>
            <w:vAlign w:val="center"/>
          </w:tcPr>
          <w:p w14:paraId="27FBCBE3">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具有硕士学位授予权的研究生培养单位的硕士学位论文。以优先保证文献质量为基本原则。</w:t>
            </w:r>
          </w:p>
        </w:tc>
      </w:tr>
      <w:tr w14:paraId="42E882B7">
        <w:tblPrEx>
          <w:tblCellMar>
            <w:top w:w="0" w:type="dxa"/>
            <w:left w:w="108" w:type="dxa"/>
            <w:bottom w:w="0" w:type="dxa"/>
            <w:right w:w="108" w:type="dxa"/>
          </w:tblCellMar>
        </w:tblPrEx>
        <w:trPr>
          <w:trHeight w:val="765"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3EB5C59F">
            <w:pPr>
              <w:widowControl/>
              <w:jc w:val="left"/>
              <w:rPr>
                <w:rFonts w:hint="eastAsia" w:ascii="宋体" w:hAnsi="宋体" w:eastAsia="宋体" w:cs="宋体"/>
                <w:b/>
                <w:bCs/>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14:paraId="4BBA5B40">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文献总量</w:t>
            </w:r>
          </w:p>
        </w:tc>
        <w:tc>
          <w:tcPr>
            <w:tcW w:w="6832" w:type="dxa"/>
            <w:tcBorders>
              <w:top w:val="nil"/>
              <w:left w:val="nil"/>
              <w:bottom w:val="single" w:color="auto" w:sz="4" w:space="0"/>
              <w:right w:val="single" w:color="auto" w:sz="4" w:space="0"/>
            </w:tcBorders>
            <w:shd w:val="clear" w:color="auto" w:fill="auto"/>
            <w:vAlign w:val="center"/>
          </w:tcPr>
          <w:p w14:paraId="48E2C907">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截止2024年11月，收录硕士学位论文625.4万余篇。2025年计划出版43.5万篇。</w:t>
            </w:r>
          </w:p>
        </w:tc>
      </w:tr>
      <w:tr w14:paraId="3EF15B21">
        <w:tblPrEx>
          <w:tblCellMar>
            <w:top w:w="0" w:type="dxa"/>
            <w:left w:w="108" w:type="dxa"/>
            <w:bottom w:w="0" w:type="dxa"/>
            <w:right w:w="108" w:type="dxa"/>
          </w:tblCellMar>
        </w:tblPrEx>
        <w:trPr>
          <w:trHeight w:val="765"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46264A25">
            <w:pPr>
              <w:widowControl/>
              <w:jc w:val="left"/>
              <w:rPr>
                <w:rFonts w:hint="eastAsia" w:ascii="宋体" w:hAnsi="宋体" w:eastAsia="宋体" w:cs="宋体"/>
                <w:b/>
                <w:bCs/>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14:paraId="2647E757">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收录完整率</w:t>
            </w:r>
          </w:p>
        </w:tc>
        <w:tc>
          <w:tcPr>
            <w:tcW w:w="6832" w:type="dxa"/>
            <w:tcBorders>
              <w:top w:val="nil"/>
              <w:left w:val="nil"/>
              <w:bottom w:val="single" w:color="auto" w:sz="4" w:space="0"/>
              <w:right w:val="single" w:color="auto" w:sz="4" w:space="0"/>
            </w:tcBorders>
            <w:shd w:val="clear" w:color="auto" w:fill="auto"/>
            <w:vAlign w:val="center"/>
          </w:tcPr>
          <w:p w14:paraId="14ADF04C">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201</w:t>
            </w:r>
            <w:r>
              <w:rPr>
                <w:rFonts w:hint="eastAsia" w:ascii="宋体" w:hAnsi="宋体" w:eastAsia="宋体" w:cs="宋体"/>
                <w:color w:val="auto"/>
                <w:kern w:val="0"/>
                <w:sz w:val="24"/>
                <w:szCs w:val="24"/>
                <w:lang w:eastAsia="zh"/>
              </w:rPr>
              <w:t>7</w:t>
            </w:r>
            <w:r>
              <w:rPr>
                <w:rFonts w:hint="eastAsia" w:ascii="宋体" w:hAnsi="宋体" w:eastAsia="宋体" w:cs="宋体"/>
                <w:color w:val="auto"/>
                <w:kern w:val="0"/>
                <w:sz w:val="24"/>
                <w:szCs w:val="24"/>
              </w:rPr>
              <w:t>年、201</w:t>
            </w:r>
            <w:r>
              <w:rPr>
                <w:rFonts w:hint="eastAsia" w:ascii="宋体" w:hAnsi="宋体" w:eastAsia="宋体" w:cs="宋体"/>
                <w:color w:val="auto"/>
                <w:kern w:val="0"/>
                <w:sz w:val="24"/>
                <w:szCs w:val="24"/>
                <w:lang w:eastAsia="zh"/>
              </w:rPr>
              <w:t>8</w:t>
            </w:r>
            <w:r>
              <w:rPr>
                <w:rFonts w:hint="eastAsia" w:ascii="宋体" w:hAnsi="宋体" w:eastAsia="宋体" w:cs="宋体"/>
                <w:color w:val="auto"/>
                <w:kern w:val="0"/>
                <w:sz w:val="24"/>
                <w:szCs w:val="24"/>
              </w:rPr>
              <w:t>年、201</w:t>
            </w:r>
            <w:r>
              <w:rPr>
                <w:rFonts w:hint="eastAsia" w:ascii="宋体" w:hAnsi="宋体" w:eastAsia="宋体" w:cs="宋体"/>
                <w:color w:val="auto"/>
                <w:kern w:val="0"/>
                <w:sz w:val="24"/>
                <w:szCs w:val="24"/>
                <w:lang w:eastAsia="zh"/>
              </w:rPr>
              <w:t>9</w:t>
            </w:r>
            <w:r>
              <w:rPr>
                <w:rFonts w:hint="eastAsia" w:ascii="宋体" w:hAnsi="宋体" w:eastAsia="宋体" w:cs="宋体"/>
                <w:color w:val="auto"/>
                <w:kern w:val="0"/>
                <w:sz w:val="24"/>
                <w:szCs w:val="24"/>
              </w:rPr>
              <w:t>年、20</w:t>
            </w:r>
            <w:r>
              <w:rPr>
                <w:rFonts w:hint="eastAsia" w:ascii="宋体" w:hAnsi="宋体" w:eastAsia="宋体" w:cs="宋体"/>
                <w:color w:val="auto"/>
                <w:kern w:val="0"/>
                <w:sz w:val="24"/>
                <w:szCs w:val="24"/>
                <w:lang w:eastAsia="zh"/>
              </w:rPr>
              <w:t>20</w:t>
            </w:r>
            <w:r>
              <w:rPr>
                <w:rFonts w:hint="eastAsia" w:ascii="宋体" w:hAnsi="宋体" w:eastAsia="宋体" w:cs="宋体"/>
                <w:color w:val="auto"/>
                <w:kern w:val="0"/>
                <w:sz w:val="24"/>
                <w:szCs w:val="24"/>
              </w:rPr>
              <w:t>年、202</w:t>
            </w:r>
            <w:r>
              <w:rPr>
                <w:rFonts w:hint="eastAsia" w:ascii="宋体" w:hAnsi="宋体" w:eastAsia="宋体" w:cs="宋体"/>
                <w:color w:val="auto"/>
                <w:kern w:val="0"/>
                <w:sz w:val="24"/>
                <w:szCs w:val="24"/>
                <w:lang w:eastAsia="zh"/>
              </w:rPr>
              <w:t>1</w:t>
            </w:r>
            <w:r>
              <w:rPr>
                <w:rFonts w:hint="eastAsia" w:ascii="宋体" w:hAnsi="宋体" w:eastAsia="宋体" w:cs="宋体"/>
                <w:color w:val="auto"/>
                <w:kern w:val="0"/>
                <w:sz w:val="24"/>
                <w:szCs w:val="24"/>
              </w:rPr>
              <w:t>年、202</w:t>
            </w:r>
            <w:r>
              <w:rPr>
                <w:rFonts w:hint="eastAsia" w:ascii="宋体" w:hAnsi="宋体" w:eastAsia="宋体" w:cs="宋体"/>
                <w:color w:val="auto"/>
                <w:kern w:val="0"/>
                <w:sz w:val="24"/>
                <w:szCs w:val="24"/>
                <w:lang w:eastAsia="zh"/>
              </w:rPr>
              <w:t>2</w:t>
            </w:r>
            <w:r>
              <w:rPr>
                <w:rFonts w:hint="eastAsia" w:ascii="宋体" w:hAnsi="宋体" w:eastAsia="宋体" w:cs="宋体"/>
                <w:color w:val="auto"/>
                <w:kern w:val="0"/>
                <w:sz w:val="24"/>
                <w:szCs w:val="24"/>
              </w:rPr>
              <w:t>年、202</w:t>
            </w:r>
            <w:r>
              <w:rPr>
                <w:rFonts w:hint="eastAsia" w:ascii="宋体" w:hAnsi="宋体" w:eastAsia="宋体" w:cs="宋体"/>
                <w:color w:val="auto"/>
                <w:kern w:val="0"/>
                <w:sz w:val="24"/>
                <w:szCs w:val="24"/>
                <w:lang w:eastAsia="zh"/>
              </w:rPr>
              <w:t>3</w:t>
            </w:r>
            <w:r>
              <w:rPr>
                <w:rFonts w:hint="eastAsia" w:ascii="宋体" w:hAnsi="宋体" w:eastAsia="宋体" w:cs="宋体"/>
                <w:color w:val="auto"/>
                <w:kern w:val="0"/>
                <w:sz w:val="24"/>
                <w:szCs w:val="24"/>
              </w:rPr>
              <w:t>年、202</w:t>
            </w:r>
            <w:r>
              <w:rPr>
                <w:rFonts w:hint="eastAsia" w:ascii="宋体" w:hAnsi="宋体" w:eastAsia="宋体" w:cs="宋体"/>
                <w:color w:val="auto"/>
                <w:kern w:val="0"/>
                <w:sz w:val="24"/>
                <w:szCs w:val="24"/>
                <w:lang w:eastAsia="zh"/>
              </w:rPr>
              <w:t>4</w:t>
            </w:r>
            <w:r>
              <w:rPr>
                <w:rFonts w:hint="eastAsia" w:ascii="宋体" w:hAnsi="宋体" w:eastAsia="宋体" w:cs="宋体"/>
                <w:color w:val="auto"/>
                <w:kern w:val="0"/>
                <w:sz w:val="24"/>
                <w:szCs w:val="24"/>
              </w:rPr>
              <w:t>年硕士学位论文出版数量占全国当年可公开出版的硕士学位论文总量的85％以上。</w:t>
            </w:r>
          </w:p>
        </w:tc>
      </w:tr>
      <w:tr w14:paraId="4FAE34E7">
        <w:tblPrEx>
          <w:tblCellMar>
            <w:top w:w="0" w:type="dxa"/>
            <w:left w:w="108" w:type="dxa"/>
            <w:bottom w:w="0" w:type="dxa"/>
            <w:right w:w="108" w:type="dxa"/>
          </w:tblCellMar>
        </w:tblPrEx>
        <w:trPr>
          <w:trHeight w:val="765"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15609F19">
            <w:pPr>
              <w:widowControl/>
              <w:jc w:val="left"/>
              <w:rPr>
                <w:rFonts w:hint="eastAsia" w:ascii="宋体" w:hAnsi="宋体" w:eastAsia="宋体" w:cs="宋体"/>
                <w:b/>
                <w:bCs/>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14:paraId="34C9E5E7">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导航体系</w:t>
            </w:r>
          </w:p>
        </w:tc>
        <w:tc>
          <w:tcPr>
            <w:tcW w:w="6832" w:type="dxa"/>
            <w:tcBorders>
              <w:top w:val="nil"/>
              <w:left w:val="nil"/>
              <w:bottom w:val="single" w:color="auto" w:sz="4" w:space="0"/>
              <w:right w:val="single" w:color="auto" w:sz="4" w:space="0"/>
            </w:tcBorders>
            <w:shd w:val="clear" w:color="auto" w:fill="auto"/>
            <w:vAlign w:val="center"/>
          </w:tcPr>
          <w:p w14:paraId="0A562E74">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学位授予单位导航（包括一流高校及学科导航、地域导航、学术型学科专业导航、专业型学科专业导航）、文献分类导航（包括专辑专题导航、学科专业导航）。</w:t>
            </w:r>
          </w:p>
        </w:tc>
      </w:tr>
      <w:tr w14:paraId="75730D33">
        <w:tblPrEx>
          <w:tblCellMar>
            <w:top w:w="0" w:type="dxa"/>
            <w:left w:w="108" w:type="dxa"/>
            <w:bottom w:w="0" w:type="dxa"/>
            <w:right w:w="108" w:type="dxa"/>
          </w:tblCellMar>
        </w:tblPrEx>
        <w:trPr>
          <w:trHeight w:val="750"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797615A8">
            <w:pPr>
              <w:widowControl/>
              <w:jc w:val="left"/>
              <w:rPr>
                <w:rFonts w:hint="eastAsia" w:ascii="宋体" w:hAnsi="宋体" w:eastAsia="宋体" w:cs="宋体"/>
                <w:b/>
                <w:bCs/>
                <w:color w:val="auto"/>
                <w:kern w:val="0"/>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D520566">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下载方式</w:t>
            </w:r>
          </w:p>
        </w:tc>
        <w:tc>
          <w:tcPr>
            <w:tcW w:w="6832" w:type="dxa"/>
            <w:tcBorders>
              <w:top w:val="nil"/>
              <w:left w:val="nil"/>
              <w:bottom w:val="single" w:color="auto" w:sz="4" w:space="0"/>
              <w:right w:val="single" w:color="auto" w:sz="4" w:space="0"/>
            </w:tcBorders>
            <w:shd w:val="clear" w:color="auto" w:fill="auto"/>
            <w:vAlign w:val="center"/>
          </w:tcPr>
          <w:p w14:paraId="25A82A27">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CAJ下载、PDF下载、章节下载（分页下载、分章下载）、在线阅读。</w:t>
            </w:r>
          </w:p>
        </w:tc>
      </w:tr>
      <w:tr w14:paraId="6EF73B37">
        <w:tblPrEx>
          <w:tblCellMar>
            <w:top w:w="0" w:type="dxa"/>
            <w:left w:w="108" w:type="dxa"/>
            <w:bottom w:w="0" w:type="dxa"/>
            <w:right w:w="108" w:type="dxa"/>
          </w:tblCellMar>
        </w:tblPrEx>
        <w:trPr>
          <w:trHeight w:val="750"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54ADC4B9">
            <w:pPr>
              <w:widowControl/>
              <w:jc w:val="left"/>
              <w:rPr>
                <w:rFonts w:hint="eastAsia" w:ascii="宋体" w:hAnsi="宋体" w:eastAsia="宋体" w:cs="宋体"/>
                <w:b/>
                <w:bCs/>
                <w:color w:val="auto"/>
                <w:kern w:val="0"/>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D8741A8">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检索字段 </w:t>
            </w:r>
          </w:p>
        </w:tc>
        <w:tc>
          <w:tcPr>
            <w:tcW w:w="6832" w:type="dxa"/>
            <w:tcBorders>
              <w:top w:val="nil"/>
              <w:left w:val="nil"/>
              <w:bottom w:val="single" w:color="auto" w:sz="4" w:space="0"/>
              <w:right w:val="single" w:color="auto" w:sz="4" w:space="0"/>
            </w:tcBorders>
            <w:shd w:val="clear" w:color="auto" w:fill="auto"/>
            <w:vAlign w:val="center"/>
          </w:tcPr>
          <w:p w14:paraId="2E9748B7">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主题、篇关摘、关键词、题名、全文、作者、作者单位、导师、第一导师、学位授予单位、基金、摘要、目录、参考文献、中图分类号、学科专业名称、DOI。</w:t>
            </w:r>
          </w:p>
        </w:tc>
      </w:tr>
      <w:tr w14:paraId="1B0B8524">
        <w:tblPrEx>
          <w:tblCellMar>
            <w:top w:w="0" w:type="dxa"/>
            <w:left w:w="108" w:type="dxa"/>
            <w:bottom w:w="0" w:type="dxa"/>
            <w:right w:w="108" w:type="dxa"/>
          </w:tblCellMar>
        </w:tblPrEx>
        <w:trPr>
          <w:trHeight w:val="750"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11F6E0AA">
            <w:pPr>
              <w:widowControl/>
              <w:jc w:val="left"/>
              <w:rPr>
                <w:rFonts w:hint="eastAsia" w:ascii="宋体" w:hAnsi="宋体" w:eastAsia="宋体" w:cs="宋体"/>
                <w:b/>
                <w:bCs/>
                <w:color w:val="auto"/>
                <w:kern w:val="0"/>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79C4440">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知网节功能</w:t>
            </w:r>
          </w:p>
        </w:tc>
        <w:tc>
          <w:tcPr>
            <w:tcW w:w="6832" w:type="dxa"/>
            <w:tcBorders>
              <w:top w:val="nil"/>
              <w:left w:val="nil"/>
              <w:bottom w:val="single" w:color="auto" w:sz="4" w:space="0"/>
              <w:right w:val="single" w:color="auto" w:sz="4" w:space="0"/>
            </w:tcBorders>
            <w:shd w:val="clear" w:color="auto" w:fill="auto"/>
            <w:vAlign w:val="center"/>
          </w:tcPr>
          <w:p w14:paraId="587367A9">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节点文献的二级参考文献、参考文献、共引文献、同被引文献、引证文献、二级引证文献、相似文献、读者推荐、相关基金文献、关联作者、攻读期成果、相关视频，可以链接到期刊、学位论文、会议、报纸数据库使用。</w:t>
            </w:r>
          </w:p>
        </w:tc>
      </w:tr>
      <w:tr w14:paraId="558A279A">
        <w:tblPrEx>
          <w:tblCellMar>
            <w:top w:w="0" w:type="dxa"/>
            <w:left w:w="108" w:type="dxa"/>
            <w:bottom w:w="0" w:type="dxa"/>
            <w:right w:w="108" w:type="dxa"/>
          </w:tblCellMar>
        </w:tblPrEx>
        <w:trPr>
          <w:trHeight w:val="1002"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2C3D2BC4">
            <w:pPr>
              <w:widowControl/>
              <w:jc w:val="left"/>
              <w:rPr>
                <w:rFonts w:hint="eastAsia" w:ascii="宋体" w:hAnsi="宋体" w:eastAsia="宋体" w:cs="宋体"/>
                <w:b/>
                <w:bCs/>
                <w:color w:val="auto"/>
                <w:kern w:val="0"/>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DD4438D">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检索结果处理</w:t>
            </w:r>
          </w:p>
        </w:tc>
        <w:tc>
          <w:tcPr>
            <w:tcW w:w="6832" w:type="dxa"/>
            <w:tcBorders>
              <w:top w:val="nil"/>
              <w:left w:val="nil"/>
              <w:bottom w:val="single" w:color="auto" w:sz="4" w:space="0"/>
              <w:right w:val="single" w:color="auto" w:sz="4" w:space="0"/>
            </w:tcBorders>
            <w:shd w:val="clear" w:color="auto" w:fill="auto"/>
            <w:vAlign w:val="center"/>
          </w:tcPr>
          <w:p w14:paraId="5E1CDB94">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通过分组排序检索结果进行进一步筛选，可按照主题（主要主题、次要主题）、学科、学位授予年度、研究层次、学位授予单位、导师、基金、学科专业等条件进行分组聚类，并且对于检索结果还能够按照相关度、出版时间、被引频次、下载频次、学位授予年度、综合等进行排序。还可以对结果进行批量下载、12种格式的文献导出。</w:t>
            </w:r>
          </w:p>
        </w:tc>
      </w:tr>
      <w:tr w14:paraId="3E4B3AF5">
        <w:tblPrEx>
          <w:tblCellMar>
            <w:top w:w="0" w:type="dxa"/>
            <w:left w:w="108" w:type="dxa"/>
            <w:bottom w:w="0" w:type="dxa"/>
            <w:right w:w="108" w:type="dxa"/>
          </w:tblCellMar>
        </w:tblPrEx>
        <w:trPr>
          <w:trHeight w:val="375" w:hRule="atLeast"/>
          <w:jc w:val="center"/>
        </w:trPr>
        <w:tc>
          <w:tcPr>
            <w:tcW w:w="1135" w:type="dxa"/>
            <w:vMerge w:val="restart"/>
            <w:tcBorders>
              <w:top w:val="nil"/>
              <w:left w:val="single" w:color="auto" w:sz="4" w:space="0"/>
              <w:bottom w:val="single" w:color="auto" w:sz="4" w:space="0"/>
              <w:right w:val="single" w:color="auto" w:sz="4" w:space="0"/>
            </w:tcBorders>
            <w:shd w:val="clear" w:color="auto" w:fill="auto"/>
            <w:vAlign w:val="center"/>
          </w:tcPr>
          <w:p w14:paraId="29A56EDA">
            <w:pPr>
              <w:widowControl/>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4.中国重要报纸全文数据库</w:t>
            </w:r>
          </w:p>
        </w:tc>
        <w:tc>
          <w:tcPr>
            <w:tcW w:w="1276" w:type="dxa"/>
            <w:tcBorders>
              <w:top w:val="nil"/>
              <w:left w:val="nil"/>
              <w:bottom w:val="single" w:color="auto" w:sz="4" w:space="0"/>
              <w:right w:val="single" w:color="auto" w:sz="4" w:space="0"/>
            </w:tcBorders>
            <w:shd w:val="clear" w:color="auto" w:fill="auto"/>
            <w:vAlign w:val="center"/>
          </w:tcPr>
          <w:p w14:paraId="2298D852">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功能模块</w:t>
            </w:r>
          </w:p>
        </w:tc>
        <w:tc>
          <w:tcPr>
            <w:tcW w:w="6832" w:type="dxa"/>
            <w:tcBorders>
              <w:top w:val="nil"/>
              <w:left w:val="nil"/>
              <w:bottom w:val="single" w:color="auto" w:sz="4" w:space="0"/>
              <w:right w:val="single" w:color="auto" w:sz="4" w:space="0"/>
            </w:tcBorders>
            <w:shd w:val="clear" w:color="auto" w:fill="auto"/>
            <w:vAlign w:val="center"/>
          </w:tcPr>
          <w:p w14:paraId="2B4972C1">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服务参数</w:t>
            </w:r>
          </w:p>
        </w:tc>
      </w:tr>
      <w:tr w14:paraId="5D0D61A0">
        <w:tblPrEx>
          <w:tblCellMar>
            <w:top w:w="0" w:type="dxa"/>
            <w:left w:w="108" w:type="dxa"/>
            <w:bottom w:w="0" w:type="dxa"/>
            <w:right w:w="108" w:type="dxa"/>
          </w:tblCellMar>
        </w:tblPrEx>
        <w:trPr>
          <w:trHeight w:val="645"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197FCB47">
            <w:pPr>
              <w:widowControl/>
              <w:jc w:val="left"/>
              <w:rPr>
                <w:rFonts w:hint="eastAsia"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14:paraId="4E33A867">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收录范围</w:t>
            </w:r>
          </w:p>
        </w:tc>
        <w:tc>
          <w:tcPr>
            <w:tcW w:w="6832" w:type="dxa"/>
            <w:tcBorders>
              <w:top w:val="nil"/>
              <w:left w:val="nil"/>
              <w:bottom w:val="single" w:color="auto" w:sz="4" w:space="0"/>
              <w:right w:val="single" w:color="auto" w:sz="4" w:space="0"/>
            </w:tcBorders>
            <w:shd w:val="clear" w:color="auto" w:fill="auto"/>
            <w:vAlign w:val="center"/>
          </w:tcPr>
          <w:p w14:paraId="63296538">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中央级各类报纸，各省、自治区、直辖市及其他地市级城市党报，以及面向全国公开发行的具有一定影响力的特色重要行业性报纸。</w:t>
            </w:r>
          </w:p>
        </w:tc>
      </w:tr>
      <w:tr w14:paraId="6E764E01">
        <w:tblPrEx>
          <w:tblCellMar>
            <w:top w:w="0" w:type="dxa"/>
            <w:left w:w="108" w:type="dxa"/>
            <w:bottom w:w="0" w:type="dxa"/>
            <w:right w:w="108" w:type="dxa"/>
          </w:tblCellMar>
        </w:tblPrEx>
        <w:trPr>
          <w:trHeight w:val="645"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6484FCF0">
            <w:pPr>
              <w:widowControl/>
              <w:jc w:val="left"/>
              <w:rPr>
                <w:rFonts w:hint="eastAsia"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14:paraId="5566C978">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导航体系</w:t>
            </w:r>
          </w:p>
        </w:tc>
        <w:tc>
          <w:tcPr>
            <w:tcW w:w="6832" w:type="dxa"/>
            <w:tcBorders>
              <w:top w:val="nil"/>
              <w:left w:val="nil"/>
              <w:bottom w:val="single" w:color="auto" w:sz="4" w:space="0"/>
              <w:right w:val="single" w:color="auto" w:sz="4" w:space="0"/>
            </w:tcBorders>
            <w:shd w:val="clear" w:color="auto" w:fill="auto"/>
            <w:vAlign w:val="center"/>
          </w:tcPr>
          <w:p w14:paraId="3D2734C9">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专辑导航、地域导航、报纸导航（级别、出版周期导航）。</w:t>
            </w:r>
          </w:p>
        </w:tc>
      </w:tr>
      <w:tr w14:paraId="3FE74B54">
        <w:tblPrEx>
          <w:tblCellMar>
            <w:top w:w="0" w:type="dxa"/>
            <w:left w:w="108" w:type="dxa"/>
            <w:bottom w:w="0" w:type="dxa"/>
            <w:right w:w="108" w:type="dxa"/>
          </w:tblCellMar>
        </w:tblPrEx>
        <w:trPr>
          <w:trHeight w:val="645"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75CAE45B">
            <w:pPr>
              <w:widowControl/>
              <w:jc w:val="left"/>
              <w:rPr>
                <w:rFonts w:hint="eastAsia"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14:paraId="600F44D4">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检索字段 </w:t>
            </w:r>
          </w:p>
        </w:tc>
        <w:tc>
          <w:tcPr>
            <w:tcW w:w="6832" w:type="dxa"/>
            <w:tcBorders>
              <w:top w:val="nil"/>
              <w:left w:val="nil"/>
              <w:bottom w:val="single" w:color="auto" w:sz="4" w:space="0"/>
              <w:right w:val="single" w:color="auto" w:sz="4" w:space="0"/>
            </w:tcBorders>
            <w:shd w:val="clear" w:color="auto" w:fill="auto"/>
            <w:vAlign w:val="center"/>
          </w:tcPr>
          <w:p w14:paraId="1B51610C">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主题、题名、关键词、小标题、作者、第一作者、作者单位、全文、报纸名称、报纸日期、更新时间、国内统一刊号、中图分类号、DOI。</w:t>
            </w:r>
          </w:p>
        </w:tc>
      </w:tr>
      <w:tr w14:paraId="3430F387">
        <w:tblPrEx>
          <w:tblCellMar>
            <w:top w:w="0" w:type="dxa"/>
            <w:left w:w="108" w:type="dxa"/>
            <w:bottom w:w="0" w:type="dxa"/>
            <w:right w:w="108" w:type="dxa"/>
          </w:tblCellMar>
        </w:tblPrEx>
        <w:trPr>
          <w:trHeight w:val="615"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06B77693">
            <w:pPr>
              <w:widowControl/>
              <w:jc w:val="left"/>
              <w:rPr>
                <w:rFonts w:hint="eastAsia"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14:paraId="57A3AFED">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知网节功能</w:t>
            </w:r>
          </w:p>
        </w:tc>
        <w:tc>
          <w:tcPr>
            <w:tcW w:w="6832" w:type="dxa"/>
            <w:tcBorders>
              <w:top w:val="nil"/>
              <w:left w:val="nil"/>
              <w:bottom w:val="single" w:color="auto" w:sz="4" w:space="0"/>
              <w:right w:val="single" w:color="auto" w:sz="4" w:space="0"/>
            </w:tcBorders>
            <w:shd w:val="clear" w:color="auto" w:fill="auto"/>
            <w:vAlign w:val="center"/>
          </w:tcPr>
          <w:p w14:paraId="2C83010C">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报纸文献的基本信息、相关文献推荐（相似文献、读者推荐、相关视频）、相关图书、相关工具书、作者知网节、关键词知网节，可以链接到期刊、博硕、会议、报纸、专利、标准、年鉴、国际期刊、科技成果、图书等数据库使用。</w:t>
            </w:r>
          </w:p>
        </w:tc>
      </w:tr>
      <w:tr w14:paraId="19009FEA">
        <w:tblPrEx>
          <w:tblCellMar>
            <w:top w:w="0" w:type="dxa"/>
            <w:left w:w="108" w:type="dxa"/>
            <w:bottom w:w="0" w:type="dxa"/>
            <w:right w:w="108" w:type="dxa"/>
          </w:tblCellMar>
        </w:tblPrEx>
        <w:trPr>
          <w:trHeight w:val="1335"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3E2FFF3B">
            <w:pPr>
              <w:widowControl/>
              <w:jc w:val="left"/>
              <w:rPr>
                <w:rFonts w:hint="eastAsia"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14:paraId="0A3D940F">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检索结果处理</w:t>
            </w:r>
          </w:p>
        </w:tc>
        <w:tc>
          <w:tcPr>
            <w:tcW w:w="6832" w:type="dxa"/>
            <w:tcBorders>
              <w:top w:val="nil"/>
              <w:left w:val="nil"/>
              <w:bottom w:val="single" w:color="auto" w:sz="4" w:space="0"/>
              <w:right w:val="single" w:color="auto" w:sz="4" w:space="0"/>
            </w:tcBorders>
            <w:shd w:val="clear" w:color="auto" w:fill="auto"/>
            <w:vAlign w:val="center"/>
          </w:tcPr>
          <w:p w14:paraId="1844473B">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对检索结果进行进一步的筛选，可以按照指标进行分组排序，包括按照科技、社科、主题（主要主题、次要主题）、学科、报纸名称、发表年度、作者、单位等进行分组浏览；按照相关度、报纸日期、下载频次、被引频次、综合进行排序浏览。</w:t>
            </w:r>
          </w:p>
        </w:tc>
      </w:tr>
      <w:tr w14:paraId="6031FC3D">
        <w:tblPrEx>
          <w:tblCellMar>
            <w:top w:w="0" w:type="dxa"/>
            <w:left w:w="108" w:type="dxa"/>
            <w:bottom w:w="0" w:type="dxa"/>
            <w:right w:w="108" w:type="dxa"/>
          </w:tblCellMar>
        </w:tblPrEx>
        <w:trPr>
          <w:trHeight w:val="435" w:hRule="atLeast"/>
          <w:jc w:val="center"/>
        </w:trPr>
        <w:tc>
          <w:tcPr>
            <w:tcW w:w="1135" w:type="dxa"/>
            <w:vMerge w:val="restart"/>
            <w:tcBorders>
              <w:top w:val="nil"/>
              <w:left w:val="single" w:color="auto" w:sz="4" w:space="0"/>
              <w:bottom w:val="single" w:color="auto" w:sz="4" w:space="0"/>
              <w:right w:val="single" w:color="auto" w:sz="4" w:space="0"/>
            </w:tcBorders>
            <w:shd w:val="clear" w:color="auto" w:fill="auto"/>
            <w:vAlign w:val="center"/>
          </w:tcPr>
          <w:p w14:paraId="3B20C7C2">
            <w:pPr>
              <w:widowControl/>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5.中国重要会议论文全文数据库</w:t>
            </w:r>
          </w:p>
        </w:tc>
        <w:tc>
          <w:tcPr>
            <w:tcW w:w="1276" w:type="dxa"/>
            <w:tcBorders>
              <w:top w:val="nil"/>
              <w:left w:val="nil"/>
              <w:bottom w:val="single" w:color="auto" w:sz="4" w:space="0"/>
              <w:right w:val="single" w:color="auto" w:sz="4" w:space="0"/>
            </w:tcBorders>
            <w:shd w:val="clear" w:color="auto" w:fill="auto"/>
            <w:vAlign w:val="center"/>
          </w:tcPr>
          <w:p w14:paraId="3C5E817F">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功能模块</w:t>
            </w:r>
          </w:p>
        </w:tc>
        <w:tc>
          <w:tcPr>
            <w:tcW w:w="6832" w:type="dxa"/>
            <w:tcBorders>
              <w:top w:val="nil"/>
              <w:left w:val="nil"/>
              <w:bottom w:val="single" w:color="auto" w:sz="4" w:space="0"/>
              <w:right w:val="single" w:color="auto" w:sz="4" w:space="0"/>
            </w:tcBorders>
            <w:shd w:val="clear" w:color="auto" w:fill="auto"/>
            <w:vAlign w:val="center"/>
          </w:tcPr>
          <w:p w14:paraId="4890D177">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服务参数</w:t>
            </w:r>
          </w:p>
        </w:tc>
      </w:tr>
      <w:tr w14:paraId="2C6DAE0A">
        <w:tblPrEx>
          <w:tblCellMar>
            <w:top w:w="0" w:type="dxa"/>
            <w:left w:w="108" w:type="dxa"/>
            <w:bottom w:w="0" w:type="dxa"/>
            <w:right w:w="108" w:type="dxa"/>
          </w:tblCellMar>
        </w:tblPrEx>
        <w:trPr>
          <w:trHeight w:val="1020"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2608601A">
            <w:pPr>
              <w:widowControl/>
              <w:jc w:val="left"/>
              <w:rPr>
                <w:rFonts w:hint="eastAsia"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14:paraId="23D34BB4">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文献来源</w:t>
            </w:r>
          </w:p>
        </w:tc>
        <w:tc>
          <w:tcPr>
            <w:tcW w:w="6832" w:type="dxa"/>
            <w:tcBorders>
              <w:top w:val="nil"/>
              <w:left w:val="nil"/>
              <w:bottom w:val="single" w:color="auto" w:sz="4" w:space="0"/>
              <w:right w:val="single" w:color="auto" w:sz="4" w:space="0"/>
            </w:tcBorders>
            <w:shd w:val="clear" w:color="auto" w:fill="auto"/>
            <w:vAlign w:val="center"/>
          </w:tcPr>
          <w:p w14:paraId="2AE00C16">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高校重点实验室、研究中心及院系主办的学术会议。</w:t>
            </w:r>
          </w:p>
          <w:p w14:paraId="51DC3518">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全国性学会及其分会、专业委员会主办的学术会议或论文评选。</w:t>
            </w:r>
          </w:p>
          <w:p w14:paraId="2FBCE89D">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全国性行业协会及其分会主办的行业活动或发布的行业报告。</w:t>
            </w:r>
          </w:p>
          <w:p w14:paraId="6285A38C">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地方性学会/协会主办的特色会议（选择性收录）。</w:t>
            </w:r>
          </w:p>
        </w:tc>
      </w:tr>
      <w:tr w14:paraId="75103C22">
        <w:tblPrEx>
          <w:tblCellMar>
            <w:top w:w="0" w:type="dxa"/>
            <w:left w:w="108" w:type="dxa"/>
            <w:bottom w:w="0" w:type="dxa"/>
            <w:right w:w="108" w:type="dxa"/>
          </w:tblCellMar>
        </w:tblPrEx>
        <w:trPr>
          <w:trHeight w:val="405"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6263B365">
            <w:pPr>
              <w:widowControl/>
              <w:jc w:val="left"/>
              <w:rPr>
                <w:rFonts w:hint="eastAsia"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14:paraId="0521E381">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文献总量</w:t>
            </w:r>
          </w:p>
        </w:tc>
        <w:tc>
          <w:tcPr>
            <w:tcW w:w="6832" w:type="dxa"/>
            <w:tcBorders>
              <w:top w:val="nil"/>
              <w:left w:val="nil"/>
              <w:bottom w:val="single" w:color="auto" w:sz="4" w:space="0"/>
              <w:right w:val="single" w:color="auto" w:sz="4" w:space="0"/>
            </w:tcBorders>
            <w:shd w:val="clear" w:color="auto" w:fill="auto"/>
            <w:vAlign w:val="center"/>
          </w:tcPr>
          <w:p w14:paraId="3B9B07D0">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截至202</w:t>
            </w:r>
            <w:r>
              <w:rPr>
                <w:rFonts w:hint="eastAsia" w:ascii="宋体" w:hAnsi="宋体" w:eastAsia="宋体" w:cs="宋体"/>
                <w:color w:val="auto"/>
                <w:kern w:val="0"/>
                <w:sz w:val="24"/>
                <w:szCs w:val="24"/>
                <w:lang w:eastAsia="zh"/>
              </w:rPr>
              <w:t>5</w:t>
            </w:r>
            <w:r>
              <w:rPr>
                <w:rFonts w:hint="eastAsia" w:ascii="宋体" w:hAnsi="宋体" w:eastAsia="宋体" w:cs="宋体"/>
                <w:color w:val="auto"/>
                <w:kern w:val="0"/>
                <w:sz w:val="24"/>
                <w:szCs w:val="24"/>
              </w:rPr>
              <w:t>年1月收录论文28</w:t>
            </w:r>
            <w:r>
              <w:rPr>
                <w:rFonts w:hint="eastAsia" w:ascii="宋体" w:hAnsi="宋体" w:eastAsia="宋体" w:cs="宋体"/>
                <w:color w:val="auto"/>
                <w:kern w:val="0"/>
                <w:sz w:val="24"/>
                <w:szCs w:val="24"/>
                <w:lang w:eastAsia="zh"/>
              </w:rPr>
              <w:t>9</w:t>
            </w:r>
            <w:r>
              <w:rPr>
                <w:rFonts w:hint="eastAsia" w:ascii="宋体" w:hAnsi="宋体" w:eastAsia="宋体" w:cs="宋体"/>
                <w:color w:val="auto"/>
                <w:kern w:val="0"/>
                <w:sz w:val="24"/>
                <w:szCs w:val="24"/>
              </w:rPr>
              <w:t>万余篇。202</w:t>
            </w:r>
            <w:r>
              <w:rPr>
                <w:rFonts w:hint="eastAsia" w:ascii="宋体" w:hAnsi="宋体" w:eastAsia="宋体" w:cs="宋体"/>
                <w:color w:val="auto"/>
                <w:kern w:val="0"/>
                <w:sz w:val="24"/>
                <w:szCs w:val="24"/>
                <w:lang w:eastAsia="zh"/>
              </w:rPr>
              <w:t>5</w:t>
            </w:r>
            <w:r>
              <w:rPr>
                <w:rFonts w:hint="eastAsia" w:ascii="宋体" w:hAnsi="宋体" w:eastAsia="宋体" w:cs="宋体"/>
                <w:color w:val="auto"/>
                <w:kern w:val="0"/>
                <w:sz w:val="24"/>
                <w:szCs w:val="24"/>
              </w:rPr>
              <w:t>年计划出版：80000篇。</w:t>
            </w:r>
          </w:p>
        </w:tc>
      </w:tr>
      <w:tr w14:paraId="6C32D146">
        <w:tblPrEx>
          <w:tblCellMar>
            <w:top w:w="0" w:type="dxa"/>
            <w:left w:w="108" w:type="dxa"/>
            <w:bottom w:w="0" w:type="dxa"/>
            <w:right w:w="108" w:type="dxa"/>
          </w:tblCellMar>
        </w:tblPrEx>
        <w:trPr>
          <w:trHeight w:val="405"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40256B84">
            <w:pPr>
              <w:widowControl/>
              <w:jc w:val="left"/>
              <w:rPr>
                <w:rFonts w:hint="eastAsia"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14:paraId="6121059F">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导航体系</w:t>
            </w:r>
          </w:p>
        </w:tc>
        <w:tc>
          <w:tcPr>
            <w:tcW w:w="6832" w:type="dxa"/>
            <w:tcBorders>
              <w:top w:val="nil"/>
              <w:left w:val="nil"/>
              <w:bottom w:val="single" w:color="auto" w:sz="4" w:space="0"/>
              <w:right w:val="single" w:color="auto" w:sz="4" w:space="0"/>
            </w:tcBorders>
            <w:shd w:val="clear" w:color="auto" w:fill="auto"/>
            <w:vAlign w:val="center"/>
          </w:tcPr>
          <w:p w14:paraId="6CAC9881">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文献分类导航、会议导航、论文集导航、主办单位导航。</w:t>
            </w:r>
          </w:p>
        </w:tc>
      </w:tr>
      <w:tr w14:paraId="50B7AA72">
        <w:tblPrEx>
          <w:tblCellMar>
            <w:top w:w="0" w:type="dxa"/>
            <w:left w:w="108" w:type="dxa"/>
            <w:bottom w:w="0" w:type="dxa"/>
            <w:right w:w="108" w:type="dxa"/>
          </w:tblCellMar>
        </w:tblPrEx>
        <w:trPr>
          <w:trHeight w:val="405"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4F67D568">
            <w:pPr>
              <w:widowControl/>
              <w:jc w:val="left"/>
              <w:rPr>
                <w:rFonts w:hint="eastAsia"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14:paraId="6DB39E90">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检索字段</w:t>
            </w:r>
          </w:p>
        </w:tc>
        <w:tc>
          <w:tcPr>
            <w:tcW w:w="6832" w:type="dxa"/>
            <w:tcBorders>
              <w:top w:val="nil"/>
              <w:left w:val="nil"/>
              <w:bottom w:val="single" w:color="auto" w:sz="4" w:space="0"/>
              <w:right w:val="single" w:color="auto" w:sz="4" w:space="0"/>
            </w:tcBorders>
            <w:shd w:val="clear" w:color="auto" w:fill="auto"/>
            <w:vAlign w:val="center"/>
          </w:tcPr>
          <w:p w14:paraId="4E32D0F9">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主题、篇关摘、篇名、关键词、摘要、作者、第一作者、单位、论文集名称、会议名称、主办单位、全文、参考文献、基金、小标题、中图分类号、DOI、会议时间、更新时间、报告级别、论文集类型、语种。</w:t>
            </w:r>
          </w:p>
        </w:tc>
      </w:tr>
      <w:tr w14:paraId="0434ABE6">
        <w:tblPrEx>
          <w:tblCellMar>
            <w:top w:w="0" w:type="dxa"/>
            <w:left w:w="108" w:type="dxa"/>
            <w:bottom w:w="0" w:type="dxa"/>
            <w:right w:w="108" w:type="dxa"/>
          </w:tblCellMar>
        </w:tblPrEx>
        <w:trPr>
          <w:trHeight w:val="935"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611E4D83">
            <w:pPr>
              <w:widowControl/>
              <w:jc w:val="left"/>
              <w:rPr>
                <w:rFonts w:hint="eastAsia"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14:paraId="3974F92C">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检索结果处理</w:t>
            </w:r>
          </w:p>
        </w:tc>
        <w:tc>
          <w:tcPr>
            <w:tcW w:w="6832" w:type="dxa"/>
            <w:tcBorders>
              <w:top w:val="nil"/>
              <w:left w:val="nil"/>
              <w:bottom w:val="single" w:color="auto" w:sz="4" w:space="0"/>
              <w:right w:val="single" w:color="auto" w:sz="4" w:space="0"/>
            </w:tcBorders>
            <w:shd w:val="clear" w:color="auto" w:fill="auto"/>
            <w:vAlign w:val="center"/>
          </w:tcPr>
          <w:p w14:paraId="6C94DBF0">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通过分组排序对检索结果进行进一步筛选，可以按照科技、社科、主题（主要主题、次要主题）、主办单位、学科、会议论文集、基金、作者、单位、发表年度等进行分组浏览，也可以按照会议召开时间、相关度、被引频次、下载频次等进行排序浏览。</w:t>
            </w:r>
          </w:p>
        </w:tc>
      </w:tr>
    </w:tbl>
    <w:p w14:paraId="0662223E">
      <w:pPr>
        <w:pStyle w:val="2"/>
        <w:rPr>
          <w:rFonts w:hint="eastAsia" w:ascii="宋体" w:hAnsi="宋体" w:eastAsia="宋体" w:cs="宋体"/>
          <w:color w:val="auto"/>
          <w:sz w:val="24"/>
          <w:szCs w:val="24"/>
        </w:rPr>
      </w:pPr>
    </w:p>
    <w:p w14:paraId="2BAE4656">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303AA930">
      <w:pPr>
        <w:rPr>
          <w:rFonts w:hint="eastAsia" w:ascii="宋体" w:hAnsi="宋体" w:eastAsia="宋体" w:cs="宋体"/>
          <w:b/>
          <w:color w:val="auto"/>
          <w:sz w:val="24"/>
          <w:szCs w:val="24"/>
        </w:rPr>
      </w:pPr>
      <w:r>
        <w:rPr>
          <w:rFonts w:hint="eastAsia" w:ascii="宋体" w:hAnsi="宋体" w:eastAsia="宋体" w:cs="宋体"/>
          <w:b/>
          <w:color w:val="auto"/>
          <w:sz w:val="24"/>
          <w:szCs w:val="24"/>
        </w:rPr>
        <w:t>二、爱迪科森网上报告厅及少儿多媒体图书馆资源服务</w:t>
      </w:r>
    </w:p>
    <w:p w14:paraId="16FB9AC5">
      <w:pPr>
        <w:rPr>
          <w:rFonts w:hint="eastAsia" w:ascii="宋体" w:hAnsi="宋体" w:eastAsia="宋体" w:cs="宋体"/>
          <w:color w:val="auto"/>
          <w:sz w:val="24"/>
          <w:szCs w:val="24"/>
        </w:rPr>
      </w:pPr>
    </w:p>
    <w:p w14:paraId="09D07913">
      <w:pPr>
        <w:rPr>
          <w:rFonts w:hint="eastAsia" w:ascii="宋体" w:hAnsi="宋体" w:eastAsia="宋体" w:cs="宋体"/>
          <w:color w:val="auto"/>
          <w:sz w:val="24"/>
          <w:szCs w:val="24"/>
        </w:rPr>
      </w:pPr>
      <w:r>
        <w:rPr>
          <w:rFonts w:hint="eastAsia" w:ascii="宋体" w:hAnsi="宋体" w:eastAsia="宋体" w:cs="宋体"/>
          <w:color w:val="auto"/>
          <w:sz w:val="24"/>
          <w:szCs w:val="24"/>
        </w:rPr>
        <w:t>服务范围：与萧山图书馆约定的IP范围内</w:t>
      </w:r>
    </w:p>
    <w:p w14:paraId="5659F9E5">
      <w:pPr>
        <w:rPr>
          <w:rFonts w:hint="eastAsia" w:ascii="宋体" w:hAnsi="宋体" w:eastAsia="宋体" w:cs="宋体"/>
          <w:color w:val="auto"/>
          <w:sz w:val="24"/>
          <w:szCs w:val="24"/>
        </w:rPr>
      </w:pPr>
      <w:r>
        <w:rPr>
          <w:rFonts w:hint="eastAsia" w:ascii="宋体" w:hAnsi="宋体" w:eastAsia="宋体" w:cs="宋体"/>
          <w:color w:val="auto"/>
          <w:sz w:val="24"/>
          <w:szCs w:val="24"/>
        </w:rPr>
        <w:t>服务时间：12个月</w:t>
      </w:r>
    </w:p>
    <w:p w14:paraId="6E7335CC">
      <w:pPr>
        <w:rPr>
          <w:rFonts w:hint="eastAsia" w:ascii="宋体" w:hAnsi="宋体" w:eastAsia="宋体" w:cs="宋体"/>
          <w:color w:val="auto"/>
          <w:sz w:val="24"/>
          <w:szCs w:val="24"/>
        </w:rPr>
      </w:pPr>
      <w:r>
        <w:rPr>
          <w:rFonts w:hint="eastAsia" w:ascii="宋体" w:hAnsi="宋体" w:eastAsia="宋体" w:cs="宋体"/>
          <w:color w:val="auto"/>
          <w:sz w:val="24"/>
          <w:szCs w:val="24"/>
        </w:rPr>
        <w:t>使用方式：云托管（包库使用）</w:t>
      </w:r>
    </w:p>
    <w:p w14:paraId="27056F33">
      <w:pPr>
        <w:rPr>
          <w:rFonts w:hint="eastAsia" w:ascii="宋体" w:hAnsi="宋体" w:eastAsia="宋体" w:cs="宋体"/>
          <w:color w:val="auto"/>
          <w:sz w:val="24"/>
          <w:szCs w:val="24"/>
        </w:rPr>
      </w:pPr>
    </w:p>
    <w:p w14:paraId="0EAEE860">
      <w:pPr>
        <w:spacing w:line="420" w:lineRule="exac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2.1 网上报告厅</w:t>
      </w:r>
    </w:p>
    <w:p w14:paraId="6715708E">
      <w:pPr>
        <w:rPr>
          <w:rFonts w:hint="eastAsia" w:ascii="宋体" w:hAnsi="宋体" w:eastAsia="宋体" w:cs="宋体"/>
          <w:color w:val="auto"/>
          <w:sz w:val="24"/>
          <w:szCs w:val="24"/>
        </w:rPr>
      </w:pPr>
      <w:r>
        <w:rPr>
          <w:rFonts w:hint="eastAsia" w:ascii="宋体" w:hAnsi="宋体" w:eastAsia="宋体" w:cs="宋体"/>
          <w:b/>
          <w:bCs/>
          <w:color w:val="auto"/>
          <w:sz w:val="24"/>
          <w:szCs w:val="24"/>
        </w:rPr>
        <w:t>2.1.1 资源要求</w:t>
      </w:r>
    </w:p>
    <w:p w14:paraId="3C8BF4F1">
      <w:pPr>
        <w:numPr>
          <w:ilvl w:val="0"/>
          <w:numId w:val="8"/>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供应商所提供的平台应以综合素质提升为产品理念，其所有应用功能应按照用户的使用兴趣与学习习惯进行设计，并与全面的、有效的提升用户专业素质和综合素养的视频学习资源相结合。</w:t>
      </w:r>
    </w:p>
    <w:p w14:paraId="604096F8">
      <w:pPr>
        <w:numPr>
          <w:ilvl w:val="0"/>
          <w:numId w:val="8"/>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平台视频资源应满足用户学习的需求，应包含“学术报告”和“学术鉴赏”两大资源板块。其中“学术报告”部分应包括综合素质、营销系列、医学系列、心理健康、文史系列、外语学习、体育系列、农林系列、理工系列、就业择业、经管系列、教育培训、法律视点、党政系列共计14大学术报告系列，视频总计不少于22000篇；“学术鉴赏”包括旅游地理、军事系列、探索发现、对话四大栏目，视频总计不少于3500篇。</w:t>
      </w:r>
    </w:p>
    <w:p w14:paraId="28EC84A2">
      <w:pPr>
        <w:numPr>
          <w:ilvl w:val="0"/>
          <w:numId w:val="8"/>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课程资源要求要与优秀版权资源方合作，要求供应商产品的收录合作单位应包括但不限于北京大学音像出版社有限公司、清华大学出版社有限公司、北京师范大学出版社（集团）有限公司，其它优秀版权资源方应包括但不限于中国农业科学技术出版社有限公司、中国中医药出版社有限公司等优秀资源版权方，且供应商必须提供合作单位相关的授权文件。用以保证资源的质量。要求供应商必须有自行拍摄研发课程的能力，能提供课程定制服务。</w:t>
      </w:r>
    </w:p>
    <w:p w14:paraId="14A8FAD8">
      <w:pPr>
        <w:numPr>
          <w:ilvl w:val="0"/>
          <w:numId w:val="8"/>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要求供应商提供的视频资源为mp4格式，支持本地缓存播放。近2年视频资源支持提供1080P以上分辨率高清文件。</w:t>
      </w:r>
    </w:p>
    <w:p w14:paraId="31ABE897">
      <w:pPr>
        <w:numPr>
          <w:ilvl w:val="0"/>
          <w:numId w:val="8"/>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要求供应商每年更新累积必须超过4000篇，便于以后采购更新。</w:t>
      </w:r>
    </w:p>
    <w:p w14:paraId="2B06C492">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2.1.2 功能要求</w:t>
      </w:r>
    </w:p>
    <w:p w14:paraId="3DAFD51A">
      <w:pPr>
        <w:numPr>
          <w:ilvl w:val="0"/>
          <w:numId w:val="9"/>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支持手机端访问。要求供应商提供手机WAP版、微信小程序版的访问方式，实现资源内容的移动学习功能。</w:t>
      </w:r>
    </w:p>
    <w:p w14:paraId="1D8F2BE7">
      <w:pPr>
        <w:numPr>
          <w:ilvl w:val="0"/>
          <w:numId w:val="9"/>
        </w:numPr>
        <w:rPr>
          <w:rFonts w:hint="eastAsia" w:ascii="宋体" w:hAnsi="宋体" w:eastAsia="宋体" w:cs="宋体"/>
          <w:color w:val="auto"/>
          <w:sz w:val="24"/>
          <w:szCs w:val="24"/>
        </w:rPr>
      </w:pPr>
      <w:r>
        <w:rPr>
          <w:rFonts w:hint="eastAsia" w:ascii="宋体" w:hAnsi="宋体" w:eastAsia="宋体" w:cs="宋体"/>
          <w:color w:val="auto"/>
          <w:sz w:val="24"/>
          <w:szCs w:val="24"/>
        </w:rPr>
        <w:t>WAP端平台应支持绑定机构官方微信公众号，用户通过入口直接输入账号和密码即可进入观看。</w:t>
      </w:r>
    </w:p>
    <w:p w14:paraId="1893EE26">
      <w:pPr>
        <w:numPr>
          <w:ilvl w:val="0"/>
          <w:numId w:val="9"/>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每个课程应包含视频、视频封面、课程简介、讲师简介、视频选集及相关课程等内容，方便用户找到核心内容，快速吸收知识点，增强学习效果。</w:t>
      </w:r>
    </w:p>
    <w:p w14:paraId="7E23E83D">
      <w:pPr>
        <w:numPr>
          <w:ilvl w:val="0"/>
          <w:numId w:val="9"/>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应提供学习笔记功能，用户可以发布合规的笔记内容，</w:t>
      </w:r>
      <w:r>
        <w:rPr>
          <w:rFonts w:hint="eastAsia" w:ascii="宋体" w:hAnsi="宋体" w:eastAsia="宋体" w:cs="宋体"/>
          <w:color w:val="auto"/>
          <w:sz w:val="24"/>
          <w:szCs w:val="24"/>
        </w:rPr>
        <w:t xml:space="preserve"> 支持收录他人的公开笔记。帮助用户记录知识点与学习心得。</w:t>
      </w:r>
    </w:p>
    <w:p w14:paraId="42917474">
      <w:pPr>
        <w:numPr>
          <w:ilvl w:val="0"/>
          <w:numId w:val="9"/>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视频播放功能支持全屏播放、倍速播放、单集循环播放、截图等，并提供收藏、点赞和分享功能，帮助用户更加全面、便捷、流畅的学习使用。</w:t>
      </w:r>
    </w:p>
    <w:p w14:paraId="612D6F90">
      <w:pPr>
        <w:numPr>
          <w:ilvl w:val="0"/>
          <w:numId w:val="9"/>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提供全库检索功能，</w:t>
      </w:r>
      <w:r>
        <w:rPr>
          <w:rFonts w:hint="eastAsia" w:ascii="宋体" w:hAnsi="宋体" w:eastAsia="宋体" w:cs="宋体"/>
          <w:color w:val="auto"/>
          <w:sz w:val="24"/>
          <w:szCs w:val="24"/>
        </w:rPr>
        <w:t>用户可通过关键词检索课程、视频、专题、讲师信息，以便高效、便捷、精准的检索出多维度匹配内容。</w:t>
      </w:r>
    </w:p>
    <w:p w14:paraId="271DD6F5">
      <w:pPr>
        <w:numPr>
          <w:ilvl w:val="0"/>
          <w:numId w:val="9"/>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平台应针对不同程度的用户，进行个性化的信息管理，提供个人中心功能。用户可以根据自身情况，注册相关个人信息，选择感兴趣的资源学习。</w:t>
      </w:r>
    </w:p>
    <w:p w14:paraId="3ECC4135">
      <w:pPr>
        <w:numPr>
          <w:ilvl w:val="0"/>
          <w:numId w:val="9"/>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满足后台辅助管理功能。通过管理员账号登录后台管理系统，实现课程资源数量、访问情况、播放情况的及时查询。</w:t>
      </w:r>
    </w:p>
    <w:p w14:paraId="3CEE5DAE">
      <w:pPr>
        <w:spacing w:line="360" w:lineRule="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2.1.3 技术要求</w:t>
      </w:r>
    </w:p>
    <w:p w14:paraId="1F8CA45F">
      <w:pPr>
        <w:numPr>
          <w:ilvl w:val="0"/>
          <w:numId w:val="10"/>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为使平台具备更高的安全性、稳定性，平台开发语言应该采用与Web紧密结合的完全面向对象的C#；网站技术采用 ASP.NET。</w:t>
      </w:r>
    </w:p>
    <w:p w14:paraId="718A80EA">
      <w:pPr>
        <w:numPr>
          <w:ilvl w:val="0"/>
          <w:numId w:val="10"/>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平台应具备及时的数据在线发布服务技术，保证与数据源同步更新。</w:t>
      </w:r>
    </w:p>
    <w:p w14:paraId="698077E2">
      <w:pPr>
        <w:numPr>
          <w:ilvl w:val="0"/>
          <w:numId w:val="10"/>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要求供应商在国内至少3台备用服务器，确保使用者正常使用。</w:t>
      </w:r>
    </w:p>
    <w:p w14:paraId="00840215">
      <w:pPr>
        <w:numPr>
          <w:ilvl w:val="0"/>
          <w:numId w:val="10"/>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平台应具备数据加密技术，以保证视频课程的安全性，防止视频课程被非法传播。</w:t>
      </w:r>
    </w:p>
    <w:p w14:paraId="63507F19">
      <w:pPr>
        <w:spacing w:line="420" w:lineRule="exact"/>
        <w:rPr>
          <w:rFonts w:hint="eastAsia" w:ascii="宋体" w:hAnsi="宋体" w:eastAsia="宋体" w:cs="宋体"/>
          <w:b/>
          <w:bCs/>
          <w:color w:val="auto"/>
          <w:kern w:val="0"/>
          <w:sz w:val="24"/>
          <w:szCs w:val="24"/>
        </w:rPr>
      </w:pPr>
    </w:p>
    <w:p w14:paraId="2228C704">
      <w:pPr>
        <w:spacing w:line="420" w:lineRule="exac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2.2 少儿多媒体图书馆</w:t>
      </w:r>
    </w:p>
    <w:p w14:paraId="116796BC">
      <w:pP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2.2.1 资源要求</w:t>
      </w:r>
    </w:p>
    <w:p w14:paraId="4E0E5934">
      <w:pPr>
        <w:numPr>
          <w:ilvl w:val="0"/>
          <w:numId w:val="11"/>
        </w:numPr>
        <w:rPr>
          <w:rFonts w:hint="eastAsia" w:ascii="宋体" w:hAnsi="宋体" w:eastAsia="宋体" w:cs="宋体"/>
          <w:color w:val="auto"/>
          <w:sz w:val="24"/>
          <w:szCs w:val="24"/>
        </w:rPr>
      </w:pPr>
      <w:r>
        <w:rPr>
          <w:rFonts w:hint="eastAsia" w:ascii="宋体" w:hAnsi="宋体" w:eastAsia="宋体" w:cs="宋体"/>
          <w:color w:val="auto"/>
          <w:sz w:val="24"/>
          <w:szCs w:val="24"/>
        </w:rPr>
        <w:t>要求供应商产品面向儿童、教师、家长三大人群，资源内容应当结合每个年龄段成长不同需求提供资源内容。资源整体划分为“国学文化、科普百科、艺术培养、中小课堂、益智互动、家校共育、绘声绘色”七大类别。具体资源内容如下：</w:t>
      </w:r>
    </w:p>
    <w:p w14:paraId="1780EE7E">
      <w:pPr>
        <w:numPr>
          <w:ilvl w:val="1"/>
          <w:numId w:val="11"/>
        </w:numPr>
        <w:rPr>
          <w:rFonts w:hint="eastAsia" w:ascii="宋体" w:hAnsi="宋体" w:eastAsia="宋体" w:cs="宋体"/>
          <w:color w:val="auto"/>
          <w:sz w:val="24"/>
          <w:szCs w:val="24"/>
        </w:rPr>
      </w:pPr>
      <w:r>
        <w:rPr>
          <w:rFonts w:hint="eastAsia" w:ascii="宋体" w:hAnsi="宋体" w:eastAsia="宋体" w:cs="宋体"/>
          <w:color w:val="auto"/>
          <w:sz w:val="24"/>
          <w:szCs w:val="24"/>
        </w:rPr>
        <w:t>“国学文化”分类，应当包含启蒙读物、诗词歌赋方面的资源内容。</w:t>
      </w:r>
    </w:p>
    <w:p w14:paraId="484A2001">
      <w:pPr>
        <w:numPr>
          <w:ilvl w:val="1"/>
          <w:numId w:val="11"/>
        </w:numPr>
        <w:rPr>
          <w:rFonts w:hint="eastAsia" w:ascii="宋体" w:hAnsi="宋体" w:eastAsia="宋体" w:cs="宋体"/>
          <w:color w:val="auto"/>
          <w:sz w:val="24"/>
          <w:szCs w:val="24"/>
        </w:rPr>
      </w:pPr>
      <w:r>
        <w:rPr>
          <w:rFonts w:hint="eastAsia" w:ascii="宋体" w:hAnsi="宋体" w:eastAsia="宋体" w:cs="宋体"/>
          <w:color w:val="auto"/>
          <w:sz w:val="24"/>
          <w:szCs w:val="24"/>
        </w:rPr>
        <w:t>“科普百科”分类，应当包含多彩世界、植物乐园、探索自然、奇趣动物、科学实验室、历史科技、人体奥秘、生活科普方面的资源内容。</w:t>
      </w:r>
    </w:p>
    <w:p w14:paraId="5EBAA419">
      <w:pPr>
        <w:numPr>
          <w:ilvl w:val="1"/>
          <w:numId w:val="11"/>
        </w:numPr>
        <w:rPr>
          <w:rFonts w:hint="eastAsia" w:ascii="宋体" w:hAnsi="宋体" w:eastAsia="宋体" w:cs="宋体"/>
          <w:color w:val="auto"/>
          <w:sz w:val="24"/>
          <w:szCs w:val="24"/>
        </w:rPr>
      </w:pPr>
      <w:r>
        <w:rPr>
          <w:rFonts w:hint="eastAsia" w:ascii="宋体" w:hAnsi="宋体" w:eastAsia="宋体" w:cs="宋体"/>
          <w:color w:val="auto"/>
          <w:sz w:val="24"/>
          <w:szCs w:val="24"/>
        </w:rPr>
        <w:t>“艺术培养”分类，应当包含绘本室、音乐厅、舞蹈室、观影方面的资源内容。</w:t>
      </w:r>
    </w:p>
    <w:p w14:paraId="393635D7">
      <w:pPr>
        <w:numPr>
          <w:ilvl w:val="1"/>
          <w:numId w:val="11"/>
        </w:numPr>
        <w:rPr>
          <w:rFonts w:hint="eastAsia" w:ascii="宋体" w:hAnsi="宋体" w:eastAsia="宋体" w:cs="宋体"/>
          <w:color w:val="auto"/>
          <w:sz w:val="24"/>
          <w:szCs w:val="24"/>
        </w:rPr>
      </w:pPr>
      <w:r>
        <w:rPr>
          <w:rFonts w:hint="eastAsia" w:ascii="宋体" w:hAnsi="宋体" w:eastAsia="宋体" w:cs="宋体"/>
          <w:color w:val="auto"/>
          <w:sz w:val="24"/>
          <w:szCs w:val="24"/>
        </w:rPr>
        <w:t>“中小课堂”分类，应当包含名人思想、幼小、初中、阅读指导、课外延伸方面的资源内容。</w:t>
      </w:r>
    </w:p>
    <w:p w14:paraId="6FBC3C04">
      <w:pPr>
        <w:numPr>
          <w:ilvl w:val="1"/>
          <w:numId w:val="11"/>
        </w:numPr>
        <w:rPr>
          <w:rFonts w:hint="eastAsia" w:ascii="宋体" w:hAnsi="宋体" w:eastAsia="宋体" w:cs="宋体"/>
          <w:color w:val="auto"/>
          <w:sz w:val="24"/>
          <w:szCs w:val="24"/>
        </w:rPr>
      </w:pPr>
      <w:r>
        <w:rPr>
          <w:rFonts w:hint="eastAsia" w:ascii="宋体" w:hAnsi="宋体" w:eastAsia="宋体" w:cs="宋体"/>
          <w:color w:val="auto"/>
          <w:sz w:val="24"/>
          <w:szCs w:val="24"/>
        </w:rPr>
        <w:t>“益智互动”分类，应当包含神奇巧手、嗨学互动、手脑训练、动画动漫方面的资源内容。</w:t>
      </w:r>
    </w:p>
    <w:p w14:paraId="23574729">
      <w:pPr>
        <w:numPr>
          <w:ilvl w:val="1"/>
          <w:numId w:val="11"/>
        </w:numPr>
        <w:rPr>
          <w:rFonts w:hint="eastAsia" w:ascii="宋体" w:hAnsi="宋体" w:eastAsia="宋体" w:cs="宋体"/>
          <w:color w:val="auto"/>
          <w:sz w:val="24"/>
          <w:szCs w:val="24"/>
        </w:rPr>
      </w:pPr>
      <w:r>
        <w:rPr>
          <w:rFonts w:hint="eastAsia" w:ascii="宋体" w:hAnsi="宋体" w:eastAsia="宋体" w:cs="宋体"/>
          <w:color w:val="auto"/>
          <w:sz w:val="24"/>
          <w:szCs w:val="24"/>
        </w:rPr>
        <w:t>“家校共育”分类，应当包含教师培养、教学探究、幼师教案、父母聚焦、父母课堂、育儿知识方面的资源内容。为幼师提供专业性的教案和课程资源，有效提高幼师的知识、职业、综合素质等方面能力。同时也为家长提供专业且科学的家庭教育课程，利于家长掌握科学的教育方法，育儿育己的同时潜移默化地影响孩子的正向成长。</w:t>
      </w:r>
    </w:p>
    <w:p w14:paraId="6651C456">
      <w:pPr>
        <w:numPr>
          <w:ilvl w:val="1"/>
          <w:numId w:val="11"/>
        </w:numPr>
        <w:rPr>
          <w:rFonts w:hint="eastAsia" w:ascii="宋体" w:hAnsi="宋体" w:eastAsia="宋体" w:cs="宋体"/>
          <w:color w:val="auto"/>
          <w:sz w:val="24"/>
          <w:szCs w:val="24"/>
        </w:rPr>
      </w:pPr>
      <w:r>
        <w:rPr>
          <w:rFonts w:hint="eastAsia" w:ascii="宋体" w:hAnsi="宋体" w:eastAsia="宋体" w:cs="宋体"/>
          <w:color w:val="auto"/>
          <w:sz w:val="24"/>
          <w:szCs w:val="24"/>
        </w:rPr>
        <w:t>“绘声绘色”分类，应当包含绘导读、绘阅读、绘创意、绘语文、绘英语、绘动手方面的资源内容。</w:t>
      </w:r>
    </w:p>
    <w:p w14:paraId="69E60C47">
      <w:pPr>
        <w:numPr>
          <w:ilvl w:val="0"/>
          <w:numId w:val="11"/>
        </w:numPr>
        <w:rPr>
          <w:rFonts w:hint="eastAsia" w:ascii="宋体" w:hAnsi="宋体" w:eastAsia="宋体" w:cs="宋体"/>
          <w:color w:val="auto"/>
          <w:sz w:val="24"/>
          <w:szCs w:val="24"/>
        </w:rPr>
      </w:pPr>
      <w:r>
        <w:rPr>
          <w:rFonts w:hint="eastAsia" w:ascii="宋体" w:hAnsi="宋体" w:eastAsia="宋体" w:cs="宋体"/>
          <w:color w:val="auto"/>
          <w:sz w:val="24"/>
          <w:szCs w:val="24"/>
        </w:rPr>
        <w:t>为保证课程的丰富性，要求课程资源支持在线观看，并且数据总量要在15000篇以上， 要求供应商每年更新累积必须达到3000篇，以便于今后采购更新。</w:t>
      </w:r>
    </w:p>
    <w:p w14:paraId="3971F55B">
      <w:pPr>
        <w:numPr>
          <w:ilvl w:val="0"/>
          <w:numId w:val="11"/>
        </w:numPr>
        <w:rPr>
          <w:rFonts w:hint="eastAsia" w:ascii="宋体" w:hAnsi="宋体" w:eastAsia="宋体" w:cs="宋体"/>
          <w:color w:val="auto"/>
          <w:sz w:val="24"/>
          <w:szCs w:val="24"/>
        </w:rPr>
      </w:pPr>
      <w:r>
        <w:rPr>
          <w:rFonts w:hint="eastAsia" w:ascii="宋体" w:hAnsi="宋体" w:eastAsia="宋体" w:cs="宋体"/>
          <w:color w:val="auto"/>
          <w:sz w:val="24"/>
          <w:szCs w:val="24"/>
        </w:rPr>
        <w:t>要求供应商必须有自行拍摄研发课程的能力。能提供课程定制服务。保证平台有自主研发的原创课程资源。</w:t>
      </w:r>
    </w:p>
    <w:p w14:paraId="63DE7DAC">
      <w:pPr>
        <w:numPr>
          <w:ilvl w:val="0"/>
          <w:numId w:val="11"/>
        </w:numPr>
        <w:rPr>
          <w:rFonts w:hint="eastAsia" w:ascii="宋体" w:hAnsi="宋体" w:eastAsia="宋体" w:cs="宋体"/>
          <w:color w:val="auto"/>
          <w:sz w:val="24"/>
          <w:szCs w:val="24"/>
        </w:rPr>
      </w:pPr>
      <w:r>
        <w:rPr>
          <w:rFonts w:hint="eastAsia" w:ascii="宋体" w:hAnsi="宋体" w:eastAsia="宋体" w:cs="宋体"/>
          <w:color w:val="auto"/>
          <w:sz w:val="24"/>
          <w:szCs w:val="24"/>
        </w:rPr>
        <w:t>要求供应商提供的课程资源是MP4格式，支持本地缓存播放。</w:t>
      </w:r>
    </w:p>
    <w:p w14:paraId="6988129D">
      <w:pPr>
        <w:numPr>
          <w:ilvl w:val="0"/>
          <w:numId w:val="11"/>
        </w:numPr>
        <w:rPr>
          <w:rFonts w:hint="eastAsia" w:ascii="宋体" w:hAnsi="宋体" w:eastAsia="宋体" w:cs="宋体"/>
          <w:color w:val="auto"/>
          <w:sz w:val="24"/>
          <w:szCs w:val="24"/>
        </w:rPr>
      </w:pPr>
      <w:r>
        <w:rPr>
          <w:rFonts w:hint="eastAsia" w:ascii="宋体" w:hAnsi="宋体" w:eastAsia="宋体" w:cs="宋体"/>
          <w:color w:val="auto"/>
          <w:sz w:val="24"/>
          <w:szCs w:val="24"/>
        </w:rPr>
        <w:t>课程资源要求要与优秀版权资源方的合作，且供应商必须提供合作单位的授权文件</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rPr>
        <w:t>用以保证课程资源的</w:t>
      </w:r>
      <w:r>
        <w:rPr>
          <w:rFonts w:hint="eastAsia" w:ascii="宋体" w:hAnsi="宋体" w:eastAsia="宋体" w:cs="宋体"/>
          <w:color w:val="auto"/>
          <w:sz w:val="24"/>
          <w:szCs w:val="24"/>
          <w:lang w:eastAsia="zh-Hans"/>
        </w:rPr>
        <w:t>版权</w:t>
      </w:r>
      <w:r>
        <w:rPr>
          <w:rFonts w:hint="eastAsia" w:ascii="宋体" w:hAnsi="宋体" w:eastAsia="宋体" w:cs="宋体"/>
          <w:color w:val="auto"/>
          <w:sz w:val="24"/>
          <w:szCs w:val="24"/>
        </w:rPr>
        <w:t>。</w:t>
      </w:r>
    </w:p>
    <w:p w14:paraId="243EF6CA">
      <w:pPr>
        <w:spacing w:line="360" w:lineRule="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2.2.2 功能要求</w:t>
      </w:r>
    </w:p>
    <w:p w14:paraId="1E8E707D">
      <w:pPr>
        <w:numPr>
          <w:ilvl w:val="0"/>
          <w:numId w:val="12"/>
        </w:numPr>
        <w:rPr>
          <w:rFonts w:hint="eastAsia" w:ascii="宋体" w:hAnsi="宋体" w:eastAsia="宋体" w:cs="宋体"/>
          <w:color w:val="auto"/>
          <w:sz w:val="24"/>
          <w:szCs w:val="24"/>
        </w:rPr>
      </w:pPr>
      <w:r>
        <w:rPr>
          <w:rFonts w:hint="eastAsia" w:ascii="宋体" w:hAnsi="宋体" w:eastAsia="宋体" w:cs="宋体"/>
          <w:color w:val="auto"/>
          <w:sz w:val="24"/>
          <w:szCs w:val="24"/>
        </w:rPr>
        <w:t>支持手机端访问。要求供应商提供手机WAP版、微信小程序版的访问方式，实现资源内容的移动学习功能。</w:t>
      </w:r>
    </w:p>
    <w:p w14:paraId="597E1B5D">
      <w:pPr>
        <w:numPr>
          <w:ilvl w:val="0"/>
          <w:numId w:val="12"/>
        </w:numPr>
        <w:rPr>
          <w:rFonts w:hint="eastAsia" w:ascii="宋体" w:hAnsi="宋体" w:eastAsia="宋体" w:cs="宋体"/>
          <w:color w:val="auto"/>
          <w:sz w:val="24"/>
          <w:szCs w:val="24"/>
        </w:rPr>
      </w:pPr>
      <w:r>
        <w:rPr>
          <w:rFonts w:hint="eastAsia" w:ascii="宋体" w:hAnsi="宋体" w:eastAsia="宋体" w:cs="宋体"/>
          <w:color w:val="auto"/>
          <w:sz w:val="24"/>
          <w:szCs w:val="24"/>
        </w:rPr>
        <w:t>提供全库检索功能。用户可通过关键词实现课程内容检索，高效、系统地检索出匹配内容来进行点击学习。</w:t>
      </w:r>
    </w:p>
    <w:p w14:paraId="55ECA237">
      <w:pPr>
        <w:numPr>
          <w:ilvl w:val="0"/>
          <w:numId w:val="12"/>
        </w:numPr>
        <w:rPr>
          <w:rFonts w:hint="eastAsia" w:ascii="宋体" w:hAnsi="宋体" w:eastAsia="宋体" w:cs="宋体"/>
          <w:color w:val="auto"/>
          <w:sz w:val="24"/>
          <w:szCs w:val="24"/>
        </w:rPr>
      </w:pPr>
      <w:r>
        <w:rPr>
          <w:rFonts w:hint="eastAsia" w:ascii="宋体" w:hAnsi="宋体" w:eastAsia="宋体" w:cs="宋体"/>
          <w:color w:val="auto"/>
          <w:sz w:val="24"/>
          <w:szCs w:val="24"/>
        </w:rPr>
        <w:t>WAP端平台应支持绑定机构官方微信公众号，用户通过入口直接输入账号和密码即可进入观看。</w:t>
      </w:r>
    </w:p>
    <w:p w14:paraId="7217F33E">
      <w:pPr>
        <w:numPr>
          <w:ilvl w:val="0"/>
          <w:numId w:val="12"/>
        </w:numPr>
        <w:rPr>
          <w:rFonts w:hint="eastAsia" w:ascii="宋体" w:hAnsi="宋体" w:eastAsia="宋体" w:cs="宋体"/>
          <w:color w:val="auto"/>
          <w:sz w:val="24"/>
          <w:szCs w:val="24"/>
        </w:rPr>
      </w:pPr>
      <w:r>
        <w:rPr>
          <w:rFonts w:hint="eastAsia" w:ascii="宋体" w:hAnsi="宋体" w:eastAsia="宋体" w:cs="宋体"/>
          <w:color w:val="auto"/>
          <w:sz w:val="24"/>
          <w:szCs w:val="24"/>
        </w:rPr>
        <w:t>每个课程应包含视频、选集列表等内容，方便用户找到核心内容，快速吸收知识点。</w:t>
      </w:r>
    </w:p>
    <w:p w14:paraId="1BDB7482">
      <w:pPr>
        <w:numPr>
          <w:ilvl w:val="0"/>
          <w:numId w:val="12"/>
        </w:numPr>
        <w:rPr>
          <w:rFonts w:hint="eastAsia" w:ascii="宋体" w:hAnsi="宋体" w:eastAsia="宋体" w:cs="宋体"/>
          <w:color w:val="auto"/>
          <w:sz w:val="24"/>
          <w:szCs w:val="24"/>
        </w:rPr>
      </w:pPr>
      <w:r>
        <w:rPr>
          <w:rFonts w:hint="eastAsia" w:ascii="宋体" w:hAnsi="宋体" w:eastAsia="宋体" w:cs="宋体"/>
          <w:color w:val="auto"/>
          <w:sz w:val="24"/>
          <w:szCs w:val="24"/>
        </w:rPr>
        <w:t>视频播放功能支持全屏播放、倍速播放、单集循环播放、截图等，并提供标记喜欢和分享功能。同时提供相关推荐课程模块，帮助用户找到更多兴趣内容，更加全面、便捷、流畅的学习使用。</w:t>
      </w:r>
    </w:p>
    <w:p w14:paraId="4D1150C1">
      <w:pPr>
        <w:numPr>
          <w:ilvl w:val="0"/>
          <w:numId w:val="12"/>
        </w:numPr>
        <w:rPr>
          <w:rFonts w:hint="eastAsia" w:ascii="宋体" w:hAnsi="宋体" w:eastAsia="宋体" w:cs="宋体"/>
          <w:color w:val="auto"/>
          <w:sz w:val="24"/>
          <w:szCs w:val="24"/>
        </w:rPr>
      </w:pPr>
      <w:r>
        <w:rPr>
          <w:rFonts w:hint="eastAsia" w:ascii="宋体" w:hAnsi="宋体" w:eastAsia="宋体" w:cs="宋体"/>
          <w:color w:val="auto"/>
          <w:sz w:val="24"/>
          <w:szCs w:val="24"/>
        </w:rPr>
        <w:t>平台为用户提供个人中心功能。用户可以根据自身情况，注册相关个人信息，选择感兴趣的课程。</w:t>
      </w:r>
    </w:p>
    <w:p w14:paraId="2C53D86D">
      <w:pPr>
        <w:pStyle w:val="255"/>
        <w:numPr>
          <w:ilvl w:val="0"/>
          <w:numId w:val="12"/>
        </w:numPr>
        <w:ind w:firstLineChars="0"/>
        <w:rPr>
          <w:rFonts w:hint="eastAsia" w:ascii="宋体" w:hAnsi="宋体" w:eastAsia="宋体" w:cs="宋体"/>
          <w:color w:val="auto"/>
          <w:sz w:val="24"/>
          <w:szCs w:val="24"/>
        </w:rPr>
      </w:pPr>
      <w:r>
        <w:rPr>
          <w:rFonts w:hint="eastAsia" w:ascii="宋体" w:hAnsi="宋体" w:eastAsia="宋体" w:cs="宋体"/>
          <w:color w:val="auto"/>
          <w:sz w:val="24"/>
          <w:szCs w:val="24"/>
        </w:rPr>
        <w:t>满足后台辅助管理功能。通过管理员账号登录后台管理系统，实现课程资源数量、访问情况、播放情况的及时查询。</w:t>
      </w:r>
    </w:p>
    <w:p w14:paraId="27A29F0C">
      <w:pPr>
        <w:pStyle w:val="255"/>
        <w:numPr>
          <w:ilvl w:val="2"/>
          <w:numId w:val="13"/>
        </w:numPr>
        <w:ind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技术要求</w:t>
      </w:r>
    </w:p>
    <w:p w14:paraId="24BC53D9">
      <w:pPr>
        <w:numPr>
          <w:ilvl w:val="0"/>
          <w:numId w:val="14"/>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根据IP地址段提供网络服务，版权问题由供应商负责。</w:t>
      </w:r>
      <w:r>
        <w:rPr>
          <w:rFonts w:hint="eastAsia" w:ascii="宋体" w:hAnsi="宋体" w:eastAsia="宋体" w:cs="宋体"/>
          <w:color w:val="auto"/>
          <w:sz w:val="24"/>
          <w:szCs w:val="24"/>
        </w:rPr>
        <w:tab/>
      </w:r>
    </w:p>
    <w:p w14:paraId="67E9600E">
      <w:pPr>
        <w:numPr>
          <w:ilvl w:val="0"/>
          <w:numId w:val="14"/>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供应商须每半年对图书馆回访一次，了解用户使用情况并解答疑难问题，负责产品合同期内的免费维护。</w:t>
      </w:r>
      <w:r>
        <w:rPr>
          <w:rFonts w:hint="eastAsia" w:ascii="宋体" w:hAnsi="宋体" w:eastAsia="宋体" w:cs="宋体"/>
          <w:color w:val="auto"/>
          <w:sz w:val="24"/>
          <w:szCs w:val="24"/>
        </w:rPr>
        <w:tab/>
      </w:r>
    </w:p>
    <w:p w14:paraId="47D698C0">
      <w:pPr>
        <w:rPr>
          <w:rFonts w:hint="eastAsia" w:ascii="宋体" w:hAnsi="宋体" w:eastAsia="宋体" w:cs="宋体"/>
          <w:color w:val="auto"/>
          <w:sz w:val="24"/>
          <w:szCs w:val="24"/>
        </w:rPr>
      </w:pPr>
      <w:r>
        <w:rPr>
          <w:rFonts w:hint="eastAsia" w:ascii="宋体" w:hAnsi="宋体" w:eastAsia="宋体" w:cs="宋体"/>
          <w:color w:val="auto"/>
          <w:sz w:val="24"/>
          <w:szCs w:val="24"/>
        </w:rPr>
        <w:t>供应商须提供7*24小时免费服务电话。电话无法解决时，48小时内提供上门服务。</w:t>
      </w:r>
    </w:p>
    <w:p w14:paraId="214C1D8D">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6344C40E">
      <w:pPr>
        <w:rPr>
          <w:rFonts w:hint="eastAsia" w:ascii="宋体" w:hAnsi="宋体" w:eastAsia="宋体" w:cs="宋体"/>
          <w:color w:val="auto"/>
          <w:sz w:val="24"/>
          <w:szCs w:val="24"/>
        </w:rPr>
      </w:pPr>
    </w:p>
    <w:p w14:paraId="126D9A40">
      <w:pP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三、万方数据资源服务 </w:t>
      </w:r>
    </w:p>
    <w:p w14:paraId="279EC82B">
      <w:pPr>
        <w:rPr>
          <w:rFonts w:hint="eastAsia" w:ascii="宋体" w:hAnsi="宋体" w:eastAsia="宋体" w:cs="宋体"/>
          <w:color w:val="auto"/>
          <w:sz w:val="24"/>
          <w:szCs w:val="24"/>
        </w:rPr>
      </w:pPr>
    </w:p>
    <w:p w14:paraId="481BD07F">
      <w:pPr>
        <w:rPr>
          <w:rFonts w:hint="eastAsia" w:ascii="宋体" w:hAnsi="宋体" w:eastAsia="宋体" w:cs="宋体"/>
          <w:color w:val="auto"/>
          <w:sz w:val="24"/>
          <w:szCs w:val="24"/>
        </w:rPr>
      </w:pPr>
      <w:r>
        <w:rPr>
          <w:rFonts w:hint="eastAsia" w:ascii="宋体" w:hAnsi="宋体" w:eastAsia="宋体" w:cs="宋体"/>
          <w:color w:val="auto"/>
          <w:sz w:val="24"/>
          <w:szCs w:val="24"/>
        </w:rPr>
        <w:t>服务范围：与萧山图书馆约定的IP范围内</w:t>
      </w:r>
    </w:p>
    <w:p w14:paraId="196EF67F">
      <w:pPr>
        <w:rPr>
          <w:rFonts w:hint="eastAsia" w:ascii="宋体" w:hAnsi="宋体" w:eastAsia="宋体" w:cs="宋体"/>
          <w:color w:val="auto"/>
          <w:sz w:val="24"/>
          <w:szCs w:val="24"/>
        </w:rPr>
      </w:pPr>
      <w:r>
        <w:rPr>
          <w:rFonts w:hint="eastAsia" w:ascii="宋体" w:hAnsi="宋体" w:eastAsia="宋体" w:cs="宋体"/>
          <w:color w:val="auto"/>
          <w:sz w:val="24"/>
          <w:szCs w:val="24"/>
        </w:rPr>
        <w:t>服务时间：12个月</w:t>
      </w:r>
    </w:p>
    <w:p w14:paraId="099978FD">
      <w:pPr>
        <w:rPr>
          <w:rFonts w:hint="eastAsia" w:ascii="宋体" w:hAnsi="宋体" w:eastAsia="宋体" w:cs="宋体"/>
          <w:color w:val="auto"/>
          <w:sz w:val="24"/>
          <w:szCs w:val="24"/>
        </w:rPr>
      </w:pPr>
      <w:r>
        <w:rPr>
          <w:rFonts w:hint="eastAsia" w:ascii="宋体" w:hAnsi="宋体" w:eastAsia="宋体" w:cs="宋体"/>
          <w:color w:val="auto"/>
          <w:sz w:val="24"/>
          <w:szCs w:val="24"/>
        </w:rPr>
        <w:t>使用方式：云托管（包库使用）</w:t>
      </w:r>
    </w:p>
    <w:p w14:paraId="094BB7AE">
      <w:pPr>
        <w:rPr>
          <w:rFonts w:hint="eastAsia" w:ascii="宋体" w:hAnsi="宋体" w:eastAsia="宋体" w:cs="宋体"/>
          <w:color w:val="auto"/>
          <w:sz w:val="24"/>
          <w:szCs w:val="24"/>
        </w:rPr>
      </w:pPr>
    </w:p>
    <w:p w14:paraId="328F99D7">
      <w:pPr>
        <w:autoSpaceDE w:val="0"/>
        <w:autoSpaceDN w:val="0"/>
        <w:adjustRightInd w:val="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1、中国学术期刊数据库技术指标</w:t>
      </w:r>
    </w:p>
    <w:p w14:paraId="4A0D8A79">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1.全库数量：8700余种的期刊，核心期刊3500种；1.63亿篇文献，年增300万篇。</w:t>
      </w:r>
    </w:p>
    <w:p w14:paraId="048614BC">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2.学科覆盖范围：按中图分类法进行分类，覆盖各个学科领域。</w:t>
      </w:r>
    </w:p>
    <w:p w14:paraId="26D61C6E">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3.更新频率：每天更新。</w:t>
      </w:r>
    </w:p>
    <w:p w14:paraId="7F0D8146">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4.检索字段：提供期刊论文的检索和期刊的检索。期刊论文提供题名、作者、作者单位、关键词、摘要、刊名、基金、论文年份的检索，期刊提供刊名、ISSN、CN、期刊主办单位的检索。</w:t>
      </w:r>
    </w:p>
    <w:p w14:paraId="4425480D">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二次检索：提供三种形式的二次检索：直接修改检索表达式、聚类、缩小检索范围重新检索。期刊论文提供核心收录、发表年份、语种、刊名、出版状态、学科、作者、机构聚类，缩小检索范围提供标题、作者、关键词、刊名、年份范围检索。期刊检索提供学科、核心收录、出版周期聚类，缩小检索范围提供期刊刊名、ISSN、CN、期刊主办单位检索。</w:t>
      </w:r>
    </w:p>
    <w:p w14:paraId="6549EAAB">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6.检索结果标记：展示文献类型、刊名、作者、摘要、关键词以及论文的核心收录情况。展示期刊的核心收录情况、主办单位、ISSN号、CN号、期刊的影响因子、文献量、被引量、下载量。</w:t>
      </w:r>
    </w:p>
    <w:p w14:paraId="5FBC9B0E">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7.检索策略：简单检索+逐步限定+推荐。用户输入简单检索词开始，在得到的检索结果中通过聚类、排序以及综合系统推荐的检索词，逐步限定，得到结果。这种方法符合使用者行为，检索效果好。</w:t>
      </w:r>
    </w:p>
    <w:p w14:paraId="6195485E">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检索结果排序：相关度、出版时间、被引量、下载量、热度、经典论文优先这六种排序方式。这些排序方式综合考虑了相关度、核心刊收录情况、被引次数、发表时间、用户下载量、文摘阅读量等指标，排序效果较好，满足大多数人群需要。</w:t>
      </w:r>
    </w:p>
    <w:p w14:paraId="370627A6">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9.保存题录：提供参考文献、文本、XML、NoteExpress、Refworks、EndNote等多种格式以及自定义格式。</w:t>
      </w:r>
    </w:p>
    <w:p w14:paraId="022BDB8F">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10.导航体系：语种、学科、刊名首字母、核心收录、收录地区、出版周期、优先出版、来源数据库。</w:t>
      </w:r>
    </w:p>
    <w:p w14:paraId="67929EAA">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11.知识关联：提供“相关论文”、“相关图书”、“相关学者”、“相关主题”、“相关机构”、“相关学者”等服务。</w:t>
      </w:r>
    </w:p>
    <w:p w14:paraId="7EDDD5EB">
      <w:pPr>
        <w:autoSpaceDE w:val="0"/>
        <w:autoSpaceDN w:val="0"/>
        <w:adjustRightInd w:val="0"/>
        <w:ind w:firstLine="480" w:firstLineChars="200"/>
        <w:jc w:val="left"/>
        <w:rPr>
          <w:rFonts w:hint="eastAsia" w:ascii="宋体" w:hAnsi="宋体" w:eastAsia="宋体" w:cs="宋体"/>
          <w:color w:val="auto"/>
          <w:sz w:val="24"/>
          <w:szCs w:val="24"/>
        </w:rPr>
      </w:pPr>
      <w:bookmarkStart w:id="28" w:name="_Toc483579832"/>
    </w:p>
    <w:p w14:paraId="1F649A60">
      <w:pPr>
        <w:autoSpaceDE w:val="0"/>
        <w:autoSpaceDN w:val="0"/>
        <w:adjustRightInd w:val="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2、万方医学网</w:t>
      </w:r>
    </w:p>
    <w:p w14:paraId="71830E0B">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1．期刊种类齐全：内容涵盖所有学科领域核心期刊收齐率最高，是医学领域种类最齐全、涵盖数据最多的医学高端学术平台。</w:t>
      </w:r>
    </w:p>
    <w:p w14:paraId="4BBEAC8A">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2.使用方便：可直接转化成文本格式，方便、高效。</w:t>
      </w:r>
    </w:p>
    <w:p w14:paraId="6CEDFD60">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3.检索方式多样：可按整刊检索，以及分类、简单、高级、跨库、专业、二次检索，提供主题、篇名、关键词、摘要、作者、单位、中图分类等多种检索字段。</w:t>
      </w:r>
    </w:p>
    <w:p w14:paraId="011E4484">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4.实用性强：免费提供二次文献——摘要信息。</w:t>
      </w:r>
    </w:p>
    <w:p w14:paraId="01371A27">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5.知识挖掘深入：提供相关度排序（相关度优先、新论文优先、经典论文优先）、引文连接（引用文献、被引用文献、同类文献连接、相关博文）等知识挖掘功能，具备知识元数据库、扩展词数据库等知识库。</w:t>
      </w:r>
    </w:p>
    <w:p w14:paraId="39F3055D">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6.更新频率高：按周全量更新。</w:t>
      </w:r>
    </w:p>
    <w:p w14:paraId="3B2192CB">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7.结果显示可定制：支持安更新时间、词频、标题、数据库等排序显示。</w:t>
      </w:r>
    </w:p>
    <w:p w14:paraId="12094459">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8.界面清晰：多种分类入口，满足不同阅读习惯。</w:t>
      </w:r>
    </w:p>
    <w:p w14:paraId="088FD291">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9.提供机构馆以及个人馆的相关个性化服务，可以尽可能的帮助用户准确的表达检索需求，从而得到最精准定位的检索结果。</w:t>
      </w:r>
    </w:p>
    <w:p w14:paraId="108DBC0D">
      <w:pPr>
        <w:autoSpaceDE w:val="0"/>
        <w:autoSpaceDN w:val="0"/>
        <w:adjustRightInd w:val="0"/>
        <w:jc w:val="left"/>
        <w:rPr>
          <w:rFonts w:hint="eastAsia" w:ascii="宋体" w:hAnsi="宋体" w:eastAsia="宋体" w:cs="宋体"/>
          <w:b/>
          <w:bCs/>
          <w:color w:val="auto"/>
          <w:sz w:val="24"/>
          <w:szCs w:val="24"/>
        </w:rPr>
      </w:pPr>
    </w:p>
    <w:p w14:paraId="2873FB1E">
      <w:pPr>
        <w:autoSpaceDE w:val="0"/>
        <w:autoSpaceDN w:val="0"/>
        <w:adjustRightInd w:val="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3、中国科技成果数据库技术指标</w:t>
      </w:r>
      <w:bookmarkEnd w:id="28"/>
    </w:p>
    <w:p w14:paraId="047570D0">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1.全库数量：收录成果67万多项。</w:t>
      </w:r>
    </w:p>
    <w:p w14:paraId="287596E8">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2.数据范围：涵盖新技术、新产品、新工艺、新材料、新设计等众多学科领域。</w:t>
      </w:r>
    </w:p>
    <w:p w14:paraId="422B16BA">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3.收录范围：国家、省市、地方的成果公报、登记成果及推广成果等。 </w:t>
      </w:r>
    </w:p>
    <w:p w14:paraId="0A13AC40">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4.检索字段：题名、完成人、完成单位、关键词、摘要。</w:t>
      </w:r>
    </w:p>
    <w:p w14:paraId="2FC3BC16">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5.检索结果标记：成果名、摘要、时间、成果类别、地区、项目年度编号、应用行业、中图分类号、关键词。</w:t>
      </w:r>
    </w:p>
    <w:p w14:paraId="0313719C">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6.导航体系：行业分类、学科分类、地区分类。</w:t>
      </w:r>
    </w:p>
    <w:p w14:paraId="1BFA2A71">
      <w:pPr>
        <w:autoSpaceDE w:val="0"/>
        <w:autoSpaceDN w:val="0"/>
        <w:adjustRightInd w:val="0"/>
        <w:jc w:val="left"/>
        <w:rPr>
          <w:rFonts w:hint="eastAsia" w:ascii="宋体" w:hAnsi="宋体" w:eastAsia="宋体" w:cs="宋体"/>
          <w:color w:val="auto"/>
          <w:sz w:val="24"/>
          <w:szCs w:val="24"/>
        </w:rPr>
      </w:pPr>
    </w:p>
    <w:p w14:paraId="673AF071">
      <w:pPr>
        <w:autoSpaceDE w:val="0"/>
        <w:autoSpaceDN w:val="0"/>
        <w:adjustRightInd w:val="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4、中外专利数据库技术指标</w:t>
      </w:r>
    </w:p>
    <w:p w14:paraId="5B270327">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1.全库数量：收录了国内专利4700万余条，国外专利1.1亿余条。</w:t>
      </w:r>
    </w:p>
    <w:p w14:paraId="02B0E2C9">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2.收录范围：收录范围涉及十一国两组织，其中十一国为：中国、美国、澳大利亚、加拿大、瑞士、德国、法国、英国、日本、韩国、俄罗斯；两组织为：世界专利组织、欧洲专利局。</w:t>
      </w:r>
    </w:p>
    <w:p w14:paraId="56F8F6E9">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3.检索字段：专利名称、摘要、关键词、申请号、公开号、分类号、主分类号、申请人、发明人、专利权人。</w:t>
      </w:r>
    </w:p>
    <w:p w14:paraId="282523D6">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4.检索结果标记：专利名称、专利类型、申请（专利）号、专利申请日期、申请（专利权）人、专利摘要</w:t>
      </w:r>
      <w:bookmarkStart w:id="29" w:name="OLE_LINK2"/>
      <w:r>
        <w:rPr>
          <w:rFonts w:hint="eastAsia" w:ascii="宋体" w:hAnsi="宋体" w:eastAsia="宋体" w:cs="宋体"/>
          <w:color w:val="auto"/>
          <w:sz w:val="24"/>
          <w:szCs w:val="24"/>
        </w:rPr>
        <w:t>（部分）</w:t>
      </w:r>
      <w:bookmarkEnd w:id="29"/>
      <w:r>
        <w:rPr>
          <w:rFonts w:hint="eastAsia" w:ascii="宋体" w:hAnsi="宋体" w:eastAsia="宋体" w:cs="宋体"/>
          <w:color w:val="auto"/>
          <w:sz w:val="24"/>
          <w:szCs w:val="24"/>
        </w:rPr>
        <w:t>。</w:t>
      </w:r>
    </w:p>
    <w:p w14:paraId="33DC9565">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5.检索策略：简单检索+逐步限定+推荐。用户输入简单检索词开始，在得到的检索结果中通过聚类、排序以及综合系统推荐的检索词，逐步限定，得到结果。这种方法符合使用者行为，检索效果好。</w:t>
      </w:r>
    </w:p>
    <w:p w14:paraId="305C1690">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6.检索结果排序：支持相关度、申请时间、公开时间、下载量、热度排序方式。</w:t>
      </w:r>
    </w:p>
    <w:p w14:paraId="57DA681B">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7.保存题录：提供参考文献、文本、XML、NoteExpress、Refworks、EndNote等多种格式，支持自定义导出。</w:t>
      </w:r>
    </w:p>
    <w:p w14:paraId="70D8ACD2">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8.知识关联：提供“相关论文”、“相关图书”、“相关学者”、“相关主题”、“相关机构”、“相关学者”等服务。</w:t>
      </w:r>
    </w:p>
    <w:p w14:paraId="436AEC66">
      <w:pPr>
        <w:spacing w:line="360" w:lineRule="auto"/>
        <w:rPr>
          <w:rFonts w:hint="eastAsia" w:ascii="宋体" w:hAnsi="宋体" w:eastAsia="宋体" w:cs="宋体"/>
          <w:b/>
          <w:color w:val="auto"/>
          <w:kern w:val="0"/>
          <w:sz w:val="24"/>
          <w:szCs w:val="24"/>
        </w:rPr>
      </w:pPr>
    </w:p>
    <w:p w14:paraId="77FBE57C">
      <w:pPr>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售后服务</w:t>
      </w:r>
    </w:p>
    <w:p w14:paraId="159FBD7C">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具备独立的数据安装、更新和系统维护能力，可为用户的系统管理员提供技术方面的培训和指导；另外设有专人负责数据库使用的培训工作，可根据用户需求提供培训课程。</w:t>
      </w:r>
    </w:p>
    <w:p w14:paraId="2C350634">
      <w:pPr>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rPr>
        <w:t>（一</w:t>
      </w:r>
      <w:r>
        <w:rPr>
          <w:rFonts w:hint="eastAsia" w:ascii="宋体" w:hAnsi="宋体" w:eastAsia="宋体" w:cs="宋体"/>
          <w:b/>
          <w:color w:val="auto"/>
          <w:sz w:val="24"/>
          <w:szCs w:val="24"/>
          <w:lang w:val="zh-CN"/>
        </w:rPr>
        <w:t>）服务内容</w:t>
      </w:r>
    </w:p>
    <w:p w14:paraId="093BCFA9">
      <w:pPr>
        <w:pStyle w:val="255"/>
        <w:numPr>
          <w:ilvl w:val="0"/>
          <w:numId w:val="15"/>
        </w:numPr>
        <w:autoSpaceDE w:val="0"/>
        <w:autoSpaceDN w:val="0"/>
        <w:adjustRightInd w:val="0"/>
        <w:spacing w:line="360" w:lineRule="auto"/>
        <w:ind w:left="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数据更新：镜像用户合同期内按月更新，学位论文数据库按季度更新，提供网络更新或上门更新；网络用户的更新参照万方数据站点更新。</w:t>
      </w:r>
    </w:p>
    <w:p w14:paraId="569A46E8">
      <w:pPr>
        <w:pStyle w:val="255"/>
        <w:numPr>
          <w:ilvl w:val="0"/>
          <w:numId w:val="15"/>
        </w:numPr>
        <w:autoSpaceDE w:val="0"/>
        <w:autoSpaceDN w:val="0"/>
        <w:adjustRightInd w:val="0"/>
        <w:spacing w:line="360" w:lineRule="auto"/>
        <w:ind w:left="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系统维护：向用户提供24小时电话及EMAIL支持服务，以保证用户的正常使用，安排专人对项目专项服务，从事不定期的预防性系统维护；若远程技术支持无法解决的问题，承诺在2小时内为用户开通临时网络帐号，并于24小时内上门服务，保证用户访问正常。</w:t>
      </w:r>
    </w:p>
    <w:p w14:paraId="779F1B2E">
      <w:pPr>
        <w:pStyle w:val="255"/>
        <w:numPr>
          <w:ilvl w:val="0"/>
          <w:numId w:val="15"/>
        </w:numPr>
        <w:autoSpaceDE w:val="0"/>
        <w:autoSpaceDN w:val="0"/>
        <w:adjustRightInd w:val="0"/>
        <w:spacing w:line="360" w:lineRule="auto"/>
        <w:ind w:left="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培训活动：在合同期内，为用户相关技术人员、业务管理人员、读者和终端用户免费提供必要的技术培训、文献检索培训。根据用户需求，每年最多提供3次的免费培训活动。</w:t>
      </w:r>
    </w:p>
    <w:tbl>
      <w:tblPr>
        <w:tblStyle w:val="6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6"/>
        <w:gridCol w:w="2694"/>
        <w:gridCol w:w="3402"/>
      </w:tblGrid>
      <w:tr w14:paraId="64FD3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2376" w:type="dxa"/>
            <w:vAlign w:val="center"/>
          </w:tcPr>
          <w:p w14:paraId="2DE298F1">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对象</w:t>
            </w:r>
          </w:p>
        </w:tc>
        <w:tc>
          <w:tcPr>
            <w:tcW w:w="2694" w:type="dxa"/>
            <w:vAlign w:val="center"/>
          </w:tcPr>
          <w:p w14:paraId="6912184F">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内容</w:t>
            </w:r>
          </w:p>
        </w:tc>
        <w:tc>
          <w:tcPr>
            <w:tcW w:w="3402" w:type="dxa"/>
            <w:vAlign w:val="center"/>
          </w:tcPr>
          <w:p w14:paraId="763B88D4">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r>
      <w:tr w14:paraId="72640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2376" w:type="dxa"/>
            <w:vAlign w:val="center"/>
          </w:tcPr>
          <w:p w14:paraId="6029CA2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技术及系统管理人员</w:t>
            </w:r>
          </w:p>
        </w:tc>
        <w:tc>
          <w:tcPr>
            <w:tcW w:w="2694" w:type="dxa"/>
            <w:vAlign w:val="center"/>
          </w:tcPr>
          <w:p w14:paraId="3E3DFD8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技术培训</w:t>
            </w:r>
          </w:p>
        </w:tc>
        <w:tc>
          <w:tcPr>
            <w:tcW w:w="3402" w:type="dxa"/>
            <w:vAlign w:val="center"/>
          </w:tcPr>
          <w:p w14:paraId="6B352F4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系统升级时提供培训</w:t>
            </w:r>
          </w:p>
        </w:tc>
      </w:tr>
      <w:tr w14:paraId="6D9C5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2376" w:type="dxa"/>
            <w:vAlign w:val="center"/>
          </w:tcPr>
          <w:p w14:paraId="02D2B7D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业务管理人员</w:t>
            </w:r>
          </w:p>
        </w:tc>
        <w:tc>
          <w:tcPr>
            <w:tcW w:w="2694" w:type="dxa"/>
            <w:vAlign w:val="center"/>
          </w:tcPr>
          <w:p w14:paraId="68E27B4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文献资源专业知识</w:t>
            </w:r>
          </w:p>
        </w:tc>
        <w:tc>
          <w:tcPr>
            <w:tcW w:w="3402" w:type="dxa"/>
            <w:vAlign w:val="center"/>
          </w:tcPr>
          <w:p w14:paraId="53A149E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用户提出需求</w:t>
            </w:r>
          </w:p>
        </w:tc>
      </w:tr>
      <w:tr w14:paraId="6B6DE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2376" w:type="dxa"/>
            <w:tcBorders>
              <w:bottom w:val="single" w:color="auto" w:sz="4" w:space="0"/>
            </w:tcBorders>
            <w:vAlign w:val="center"/>
          </w:tcPr>
          <w:p w14:paraId="22FC601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终端用户</w:t>
            </w:r>
          </w:p>
        </w:tc>
        <w:tc>
          <w:tcPr>
            <w:tcW w:w="2694" w:type="dxa"/>
            <w:tcBorders>
              <w:bottom w:val="single" w:color="auto" w:sz="4" w:space="0"/>
            </w:tcBorders>
            <w:vAlign w:val="center"/>
          </w:tcPr>
          <w:p w14:paraId="47005B3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检索、查新等使用方法</w:t>
            </w:r>
          </w:p>
        </w:tc>
        <w:tc>
          <w:tcPr>
            <w:tcW w:w="3402" w:type="dxa"/>
            <w:tcBorders>
              <w:bottom w:val="single" w:color="auto" w:sz="4" w:space="0"/>
            </w:tcBorders>
            <w:vAlign w:val="center"/>
          </w:tcPr>
          <w:p w14:paraId="73B7C0D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用户提出需求</w:t>
            </w:r>
          </w:p>
        </w:tc>
      </w:tr>
      <w:tr w14:paraId="7A020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2376" w:type="dxa"/>
            <w:tcBorders>
              <w:top w:val="single" w:color="auto" w:sz="4" w:space="0"/>
            </w:tcBorders>
            <w:vAlign w:val="center"/>
          </w:tcPr>
          <w:p w14:paraId="72691CA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读者</w:t>
            </w:r>
          </w:p>
        </w:tc>
        <w:tc>
          <w:tcPr>
            <w:tcW w:w="2694" w:type="dxa"/>
            <w:tcBorders>
              <w:top w:val="single" w:color="auto" w:sz="4" w:space="0"/>
            </w:tcBorders>
            <w:vAlign w:val="center"/>
          </w:tcPr>
          <w:p w14:paraId="457C89A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检索、使用</w:t>
            </w:r>
          </w:p>
        </w:tc>
        <w:tc>
          <w:tcPr>
            <w:tcW w:w="3402" w:type="dxa"/>
            <w:tcBorders>
              <w:top w:val="single" w:color="auto" w:sz="4" w:space="0"/>
            </w:tcBorders>
            <w:vAlign w:val="center"/>
          </w:tcPr>
          <w:p w14:paraId="55BACAC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用户提出需求</w:t>
            </w:r>
          </w:p>
        </w:tc>
      </w:tr>
    </w:tbl>
    <w:p w14:paraId="3A557200">
      <w:pPr>
        <w:pStyle w:val="255"/>
        <w:numPr>
          <w:ilvl w:val="0"/>
          <w:numId w:val="15"/>
        </w:numPr>
        <w:autoSpaceDE w:val="0"/>
        <w:autoSpaceDN w:val="0"/>
        <w:adjustRightInd w:val="0"/>
        <w:spacing w:line="360" w:lineRule="auto"/>
        <w:ind w:left="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软件升级：在合同期内，如果由于服务软件发生升级，应在3个工作日内通知用户，并在用户同意的前提下，为用户免费提供新版本软件；如果用户希望继续使用原来版本的软件，应保证该系统能够正常运行。</w:t>
      </w:r>
    </w:p>
    <w:p w14:paraId="7B0340D7">
      <w:pPr>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rPr>
        <w:t>（二）应急维修时间安排</w:t>
      </w:r>
      <w:r>
        <w:rPr>
          <w:rFonts w:hint="eastAsia" w:ascii="宋体" w:hAnsi="宋体" w:eastAsia="宋体" w:cs="宋体"/>
          <w:b/>
          <w:color w:val="auto"/>
          <w:sz w:val="24"/>
          <w:szCs w:val="24"/>
          <w:lang w:val="zh-CN"/>
        </w:rPr>
        <w:t xml:space="preserve"> </w:t>
      </w:r>
    </w:p>
    <w:p w14:paraId="46DB65F3">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向用户提供24小时电话及EMAIL支持服务，以保证用户的正常使用。当数据发生丢失或系统损坏出现故障时，技术人员接到用户通知后，1小时内回复用户，2小时内通过电话指导或网络远程控制，指导用户恢复故障；若确实需要上门服务的，24小时内安排技术人员上门服务。</w:t>
      </w:r>
    </w:p>
    <w:p w14:paraId="69E30034">
      <w:pPr>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rPr>
        <w:t>（三）维修服务收费标准</w:t>
      </w:r>
      <w:r>
        <w:rPr>
          <w:rFonts w:hint="eastAsia" w:ascii="宋体" w:hAnsi="宋体" w:eastAsia="宋体" w:cs="宋体"/>
          <w:b/>
          <w:color w:val="auto"/>
          <w:sz w:val="24"/>
          <w:szCs w:val="24"/>
          <w:lang w:val="zh-CN"/>
        </w:rPr>
        <w:t xml:space="preserve"> </w:t>
      </w:r>
    </w:p>
    <w:p w14:paraId="448BBE6E">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为保障系统的良好运行，在合同期内，为用户免费提供电话技术咨询、网络远程技术支持、故障恢复和数据恢复等支持服务，免费提供与本系统有关的软件升级服务。</w:t>
      </w:r>
    </w:p>
    <w:p w14:paraId="40155F3F">
      <w:pPr>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rPr>
        <w:t>（四）其它服务承诺</w:t>
      </w:r>
      <w:r>
        <w:rPr>
          <w:rFonts w:hint="eastAsia" w:ascii="宋体" w:hAnsi="宋体" w:eastAsia="宋体" w:cs="宋体"/>
          <w:b/>
          <w:color w:val="auto"/>
          <w:sz w:val="24"/>
          <w:szCs w:val="24"/>
          <w:lang w:val="zh-CN"/>
        </w:rPr>
        <w:t xml:space="preserve"> </w:t>
      </w:r>
    </w:p>
    <w:p w14:paraId="0EF3D333">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版权声明：对于“万方数据资源系统” 本身导致的版权纠纷，用户不承担连带责任。</w:t>
      </w:r>
    </w:p>
    <w:p w14:paraId="5581BD42">
      <w:pPr>
        <w:rPr>
          <w:rFonts w:hint="eastAsia" w:ascii="宋体" w:hAnsi="宋体" w:eastAsia="宋体" w:cs="宋体"/>
          <w:color w:val="auto"/>
          <w:sz w:val="24"/>
          <w:szCs w:val="24"/>
        </w:rPr>
      </w:pPr>
    </w:p>
    <w:p w14:paraId="4380F377">
      <w:pPr>
        <w:rPr>
          <w:rFonts w:hint="eastAsia" w:ascii="宋体" w:hAnsi="宋体" w:eastAsia="宋体" w:cs="宋体"/>
          <w:color w:val="auto"/>
          <w:sz w:val="24"/>
          <w:szCs w:val="24"/>
        </w:rPr>
      </w:pPr>
    </w:p>
    <w:p w14:paraId="039B64CD">
      <w:pPr>
        <w:rPr>
          <w:rFonts w:hint="eastAsia" w:ascii="宋体" w:hAnsi="宋体" w:eastAsia="宋体" w:cs="宋体"/>
          <w:color w:val="auto"/>
          <w:sz w:val="24"/>
          <w:szCs w:val="24"/>
        </w:rPr>
      </w:pPr>
    </w:p>
    <w:p w14:paraId="0BD27CEE">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0C3F0948">
      <w:pPr>
        <w:rPr>
          <w:rFonts w:hint="eastAsia" w:ascii="宋体" w:hAnsi="宋体" w:eastAsia="宋体" w:cs="宋体"/>
          <w:color w:val="auto"/>
          <w:sz w:val="24"/>
          <w:szCs w:val="24"/>
        </w:rPr>
      </w:pPr>
    </w:p>
    <w:p w14:paraId="7C122DC8">
      <w:pPr>
        <w:rPr>
          <w:rFonts w:hint="eastAsia" w:ascii="宋体" w:hAnsi="宋体" w:eastAsia="宋体" w:cs="宋体"/>
          <w:b/>
          <w:color w:val="auto"/>
          <w:sz w:val="24"/>
          <w:szCs w:val="24"/>
        </w:rPr>
      </w:pPr>
      <w:r>
        <w:rPr>
          <w:rFonts w:hint="eastAsia" w:ascii="宋体" w:hAnsi="宋体" w:eastAsia="宋体" w:cs="宋体"/>
          <w:b/>
          <w:color w:val="auto"/>
          <w:sz w:val="24"/>
          <w:szCs w:val="24"/>
        </w:rPr>
        <w:t>四、维普资讯资源服务</w:t>
      </w:r>
    </w:p>
    <w:p w14:paraId="60B2367B">
      <w:pPr>
        <w:rPr>
          <w:rFonts w:hint="eastAsia" w:ascii="宋体" w:hAnsi="宋体" w:eastAsia="宋体" w:cs="宋体"/>
          <w:color w:val="auto"/>
          <w:sz w:val="24"/>
          <w:szCs w:val="24"/>
        </w:rPr>
      </w:pPr>
    </w:p>
    <w:p w14:paraId="1AE4BAA2">
      <w:pPr>
        <w:rPr>
          <w:rFonts w:hint="eastAsia" w:ascii="宋体" w:hAnsi="宋体" w:eastAsia="宋体" w:cs="宋体"/>
          <w:color w:val="auto"/>
          <w:sz w:val="24"/>
          <w:szCs w:val="24"/>
        </w:rPr>
      </w:pPr>
      <w:r>
        <w:rPr>
          <w:rFonts w:hint="eastAsia" w:ascii="宋体" w:hAnsi="宋体" w:eastAsia="宋体" w:cs="宋体"/>
          <w:color w:val="auto"/>
          <w:sz w:val="24"/>
          <w:szCs w:val="24"/>
        </w:rPr>
        <w:t>服务范围：与萧山图书馆约定的IP范围内</w:t>
      </w:r>
    </w:p>
    <w:p w14:paraId="11D41A4A">
      <w:pPr>
        <w:rPr>
          <w:rFonts w:hint="eastAsia" w:ascii="宋体" w:hAnsi="宋体" w:eastAsia="宋体" w:cs="宋体"/>
          <w:color w:val="auto"/>
          <w:sz w:val="24"/>
          <w:szCs w:val="24"/>
        </w:rPr>
      </w:pPr>
      <w:r>
        <w:rPr>
          <w:rFonts w:hint="eastAsia" w:ascii="宋体" w:hAnsi="宋体" w:eastAsia="宋体" w:cs="宋体"/>
          <w:color w:val="auto"/>
          <w:sz w:val="24"/>
          <w:szCs w:val="24"/>
        </w:rPr>
        <w:t>服务时间：12个月</w:t>
      </w:r>
    </w:p>
    <w:p w14:paraId="55B9259A">
      <w:pPr>
        <w:rPr>
          <w:rFonts w:hint="eastAsia" w:ascii="宋体" w:hAnsi="宋体" w:eastAsia="宋体" w:cs="宋体"/>
          <w:color w:val="auto"/>
          <w:sz w:val="24"/>
          <w:szCs w:val="24"/>
        </w:rPr>
      </w:pPr>
      <w:r>
        <w:rPr>
          <w:rFonts w:hint="eastAsia" w:ascii="宋体" w:hAnsi="宋体" w:eastAsia="宋体" w:cs="宋体"/>
          <w:color w:val="auto"/>
          <w:sz w:val="24"/>
          <w:szCs w:val="24"/>
        </w:rPr>
        <w:t>使用方式：云托管（包库使用）</w:t>
      </w:r>
    </w:p>
    <w:p w14:paraId="26EFEA99">
      <w:pPr>
        <w:rPr>
          <w:rFonts w:hint="eastAsia" w:ascii="宋体" w:hAnsi="宋体" w:eastAsia="宋体" w:cs="宋体"/>
          <w:color w:val="auto"/>
          <w:sz w:val="24"/>
          <w:szCs w:val="24"/>
        </w:rPr>
      </w:pPr>
    </w:p>
    <w:p w14:paraId="5B28DD96">
      <w:pPr>
        <w:rPr>
          <w:rFonts w:hint="eastAsia" w:ascii="宋体" w:hAnsi="宋体" w:eastAsia="宋体" w:cs="宋体"/>
          <w:b/>
          <w:color w:val="auto"/>
          <w:sz w:val="24"/>
          <w:szCs w:val="24"/>
        </w:rPr>
      </w:pPr>
      <w:r>
        <w:rPr>
          <w:rFonts w:hint="eastAsia" w:ascii="宋体" w:hAnsi="宋体" w:eastAsia="宋体" w:cs="宋体"/>
          <w:b/>
          <w:color w:val="auto"/>
          <w:sz w:val="24"/>
          <w:szCs w:val="24"/>
        </w:rPr>
        <w:t>4.1 中国科学指标数据库</w:t>
      </w:r>
    </w:p>
    <w:p w14:paraId="10B12709">
      <w:pPr>
        <w:rPr>
          <w:rFonts w:hint="eastAsia" w:ascii="宋体" w:hAnsi="宋体" w:eastAsia="宋体" w:cs="宋体"/>
          <w:color w:val="auto"/>
          <w:sz w:val="24"/>
          <w:szCs w:val="24"/>
        </w:rPr>
      </w:pPr>
    </w:p>
    <w:p w14:paraId="49C9B635">
      <w:pPr>
        <w:rPr>
          <w:rFonts w:hint="eastAsia" w:ascii="宋体" w:hAnsi="宋体" w:eastAsia="宋体" w:cs="宋体"/>
          <w:b/>
          <w:color w:val="auto"/>
          <w:sz w:val="24"/>
          <w:szCs w:val="24"/>
        </w:rPr>
      </w:pPr>
      <w:r>
        <w:rPr>
          <w:rFonts w:hint="eastAsia" w:ascii="宋体" w:hAnsi="宋体" w:eastAsia="宋体" w:cs="宋体"/>
          <w:b/>
          <w:color w:val="auto"/>
          <w:sz w:val="24"/>
          <w:szCs w:val="24"/>
        </w:rPr>
        <w:t>4.1.1内容清单</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68"/>
        <w:gridCol w:w="5153"/>
      </w:tblGrid>
      <w:tr w14:paraId="61F2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A5FEC9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68" w:type="dxa"/>
            <w:vAlign w:val="center"/>
          </w:tcPr>
          <w:p w14:paraId="2D05295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功能内容</w:t>
            </w:r>
          </w:p>
        </w:tc>
        <w:tc>
          <w:tcPr>
            <w:tcW w:w="5153" w:type="dxa"/>
            <w:vAlign w:val="center"/>
          </w:tcPr>
          <w:p w14:paraId="3A0EB99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实质性需求描述</w:t>
            </w:r>
          </w:p>
        </w:tc>
      </w:tr>
      <w:tr w14:paraId="089D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5F1CDA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268" w:type="dxa"/>
            <w:vAlign w:val="center"/>
          </w:tcPr>
          <w:p w14:paraId="486AA8D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分类、标引体系</w:t>
            </w:r>
          </w:p>
        </w:tc>
        <w:tc>
          <w:tcPr>
            <w:tcW w:w="5153" w:type="dxa"/>
            <w:vAlign w:val="center"/>
          </w:tcPr>
          <w:p w14:paraId="3EDB92D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期刊和文献均按照《中国图书馆分类法》做人工标引，每篇文献入类时以文献内容特征为依据，科学准确，保证查全率和数据统计准确性。</w:t>
            </w:r>
          </w:p>
        </w:tc>
      </w:tr>
      <w:tr w14:paraId="5E70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1B6ECD0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268" w:type="dxa"/>
            <w:vAlign w:val="center"/>
          </w:tcPr>
          <w:p w14:paraId="04BBEFB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引文统计能力</w:t>
            </w:r>
          </w:p>
        </w:tc>
        <w:tc>
          <w:tcPr>
            <w:tcW w:w="5153" w:type="dxa"/>
            <w:vAlign w:val="center"/>
          </w:tcPr>
          <w:p w14:paraId="38E904F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具备从学者、地区、机构、期刊等多维度进行引文数据计算与统计的能力。</w:t>
            </w:r>
          </w:p>
        </w:tc>
      </w:tr>
      <w:tr w14:paraId="76DB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1BFADA6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268" w:type="dxa"/>
            <w:vAlign w:val="center"/>
          </w:tcPr>
          <w:p w14:paraId="019917E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引文分析能力</w:t>
            </w:r>
          </w:p>
        </w:tc>
        <w:tc>
          <w:tcPr>
            <w:tcW w:w="5153" w:type="dxa"/>
            <w:vAlign w:val="center"/>
          </w:tcPr>
          <w:p w14:paraId="6936D02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运用科学文献计量法，设计指标分析工具，对引文数据进行定量分析的能力。</w:t>
            </w:r>
          </w:p>
        </w:tc>
      </w:tr>
      <w:tr w14:paraId="0AA6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096D27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268" w:type="dxa"/>
            <w:vAlign w:val="center"/>
          </w:tcPr>
          <w:p w14:paraId="1515BE9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定量分析指标</w:t>
            </w:r>
          </w:p>
        </w:tc>
        <w:tc>
          <w:tcPr>
            <w:tcW w:w="5153" w:type="dxa"/>
            <w:vAlign w:val="center"/>
          </w:tcPr>
          <w:p w14:paraId="7E3D244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发文量、被引量、篇均被引值、学科基线、研究前沿、高被引论文、热点论文等</w:t>
            </w:r>
          </w:p>
        </w:tc>
      </w:tr>
      <w:tr w14:paraId="608EE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9CBFF8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268" w:type="dxa"/>
            <w:vAlign w:val="center"/>
          </w:tcPr>
          <w:p w14:paraId="621664E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指标体系</w:t>
            </w:r>
          </w:p>
        </w:tc>
        <w:tc>
          <w:tcPr>
            <w:tcW w:w="5153" w:type="dxa"/>
            <w:vAlign w:val="center"/>
          </w:tcPr>
          <w:p w14:paraId="102B19F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中国国内论文科学指标分析、中国海外论文科学指标分析、中国地区科技指标综合分析</w:t>
            </w:r>
          </w:p>
        </w:tc>
      </w:tr>
      <w:tr w14:paraId="1B21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48E928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268" w:type="dxa"/>
            <w:vAlign w:val="center"/>
          </w:tcPr>
          <w:p w14:paraId="4C990EB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指标排序</w:t>
            </w:r>
          </w:p>
        </w:tc>
        <w:tc>
          <w:tcPr>
            <w:tcW w:w="5153" w:type="dxa"/>
            <w:vAlign w:val="center"/>
          </w:tcPr>
          <w:p w14:paraId="26D6D7C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支持按照发文量、被引量、篇均被引值等不同指标进行结果排序。</w:t>
            </w:r>
          </w:p>
        </w:tc>
      </w:tr>
      <w:tr w14:paraId="61A6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6C33F1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268" w:type="dxa"/>
            <w:vAlign w:val="center"/>
          </w:tcPr>
          <w:p w14:paraId="3B57675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指标对比</w:t>
            </w:r>
          </w:p>
        </w:tc>
        <w:tc>
          <w:tcPr>
            <w:tcW w:w="5153" w:type="dxa"/>
            <w:vAlign w:val="center"/>
          </w:tcPr>
          <w:p w14:paraId="23251BC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提供学者、地区、机构、期刊等维度，同类型对象比较、分析功能。</w:t>
            </w:r>
          </w:p>
        </w:tc>
      </w:tr>
      <w:tr w14:paraId="3994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5F3AAC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268" w:type="dxa"/>
            <w:vAlign w:val="center"/>
          </w:tcPr>
          <w:p w14:paraId="2FEC3F6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超链接</w:t>
            </w:r>
          </w:p>
        </w:tc>
        <w:tc>
          <w:tcPr>
            <w:tcW w:w="5153" w:type="dxa"/>
            <w:vAlign w:val="center"/>
          </w:tcPr>
          <w:p w14:paraId="154956D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作者、地区、机构、刊名等字段及发文量、被引量等指标均提供相关超链，指向相关期刊或文献。</w:t>
            </w:r>
          </w:p>
        </w:tc>
      </w:tr>
      <w:tr w14:paraId="485AD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D6DF89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268" w:type="dxa"/>
            <w:vAlign w:val="center"/>
          </w:tcPr>
          <w:p w14:paraId="4EE69C0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数据范围</w:t>
            </w:r>
          </w:p>
        </w:tc>
        <w:tc>
          <w:tcPr>
            <w:tcW w:w="5153" w:type="dxa"/>
            <w:vAlign w:val="center"/>
          </w:tcPr>
          <w:p w14:paraId="7FFDD82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4500余种中文核心期刊及国外知名数据库收录的中文期刊</w:t>
            </w:r>
          </w:p>
        </w:tc>
      </w:tr>
      <w:tr w14:paraId="65BC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042529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268" w:type="dxa"/>
            <w:vAlign w:val="center"/>
          </w:tcPr>
          <w:p w14:paraId="6B6698E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数据总量</w:t>
            </w:r>
          </w:p>
        </w:tc>
        <w:tc>
          <w:tcPr>
            <w:tcW w:w="5153" w:type="dxa"/>
            <w:vAlign w:val="center"/>
          </w:tcPr>
          <w:p w14:paraId="5A03FAE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2400余万篇左右</w:t>
            </w:r>
          </w:p>
        </w:tc>
      </w:tr>
      <w:tr w14:paraId="2EF7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90B220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268" w:type="dxa"/>
            <w:vAlign w:val="center"/>
          </w:tcPr>
          <w:p w14:paraId="0B245AC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数据时效</w:t>
            </w:r>
          </w:p>
        </w:tc>
        <w:tc>
          <w:tcPr>
            <w:tcW w:w="5153" w:type="dxa"/>
            <w:vAlign w:val="center"/>
          </w:tcPr>
          <w:p w14:paraId="0CBC4D8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回溯近10年</w:t>
            </w:r>
          </w:p>
        </w:tc>
      </w:tr>
      <w:tr w14:paraId="7154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79A203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268" w:type="dxa"/>
            <w:vAlign w:val="center"/>
          </w:tcPr>
          <w:p w14:paraId="4ED39A1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学科范围</w:t>
            </w:r>
          </w:p>
        </w:tc>
        <w:tc>
          <w:tcPr>
            <w:tcW w:w="5153" w:type="dxa"/>
            <w:vAlign w:val="center"/>
          </w:tcPr>
          <w:p w14:paraId="26CBBE6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社会科学、自然科学、工程技术、农业科学、医药卫生、经济管理、教育科学和图书情报等八大专辑，35个一级学科，457个二级学科。</w:t>
            </w:r>
          </w:p>
        </w:tc>
      </w:tr>
    </w:tbl>
    <w:p w14:paraId="423F070E">
      <w:pPr>
        <w:rPr>
          <w:rFonts w:hint="eastAsia" w:ascii="宋体" w:hAnsi="宋体" w:eastAsia="宋体" w:cs="宋体"/>
          <w:color w:val="auto"/>
          <w:sz w:val="24"/>
          <w:szCs w:val="24"/>
        </w:rPr>
      </w:pPr>
    </w:p>
    <w:p w14:paraId="099554D0">
      <w:pPr>
        <w:rPr>
          <w:rFonts w:hint="eastAsia" w:ascii="宋体" w:hAnsi="宋体" w:eastAsia="宋体" w:cs="宋体"/>
          <w:color w:val="auto"/>
          <w:sz w:val="24"/>
          <w:szCs w:val="24"/>
        </w:rPr>
      </w:pPr>
    </w:p>
    <w:p w14:paraId="27EDCB08">
      <w:pPr>
        <w:rPr>
          <w:rFonts w:hint="eastAsia" w:ascii="宋体" w:hAnsi="宋体" w:eastAsia="宋体" w:cs="宋体"/>
          <w:color w:val="auto"/>
          <w:sz w:val="24"/>
          <w:szCs w:val="24"/>
        </w:rPr>
      </w:pPr>
    </w:p>
    <w:p w14:paraId="5D2A2EE9">
      <w:pPr>
        <w:rPr>
          <w:rFonts w:hint="eastAsia" w:ascii="宋体" w:hAnsi="宋体" w:eastAsia="宋体" w:cs="宋体"/>
          <w:color w:val="auto"/>
          <w:sz w:val="24"/>
          <w:szCs w:val="24"/>
        </w:rPr>
      </w:pPr>
    </w:p>
    <w:p w14:paraId="2FC52BCA">
      <w:pPr>
        <w:rPr>
          <w:rFonts w:hint="eastAsia" w:ascii="宋体" w:hAnsi="宋体" w:eastAsia="宋体" w:cs="宋体"/>
          <w:color w:val="auto"/>
          <w:sz w:val="24"/>
          <w:szCs w:val="24"/>
        </w:rPr>
      </w:pPr>
    </w:p>
    <w:p w14:paraId="0391D44D">
      <w:pPr>
        <w:rPr>
          <w:rFonts w:hint="eastAsia" w:ascii="宋体" w:hAnsi="宋体" w:eastAsia="宋体" w:cs="宋体"/>
          <w:color w:val="auto"/>
          <w:sz w:val="24"/>
          <w:szCs w:val="24"/>
        </w:rPr>
      </w:pPr>
    </w:p>
    <w:p w14:paraId="31988C72">
      <w:pPr>
        <w:rPr>
          <w:rFonts w:hint="eastAsia" w:ascii="宋体" w:hAnsi="宋体" w:eastAsia="宋体" w:cs="宋体"/>
          <w:color w:val="auto"/>
          <w:sz w:val="24"/>
          <w:szCs w:val="24"/>
        </w:rPr>
      </w:pPr>
    </w:p>
    <w:p w14:paraId="6AF409E3">
      <w:pPr>
        <w:rPr>
          <w:rFonts w:hint="eastAsia" w:ascii="宋体" w:hAnsi="宋体" w:eastAsia="宋体" w:cs="宋体"/>
          <w:color w:val="auto"/>
          <w:sz w:val="24"/>
          <w:szCs w:val="24"/>
        </w:rPr>
      </w:pPr>
    </w:p>
    <w:p w14:paraId="40E35BD8">
      <w:pPr>
        <w:rPr>
          <w:rFonts w:hint="eastAsia" w:ascii="宋体" w:hAnsi="宋体" w:eastAsia="宋体" w:cs="宋体"/>
          <w:color w:val="auto"/>
          <w:sz w:val="24"/>
          <w:szCs w:val="24"/>
        </w:rPr>
      </w:pPr>
    </w:p>
    <w:p w14:paraId="6D4754B8">
      <w:pPr>
        <w:rPr>
          <w:rFonts w:hint="eastAsia" w:ascii="宋体" w:hAnsi="宋体" w:eastAsia="宋体" w:cs="宋体"/>
          <w:b/>
          <w:color w:val="auto"/>
          <w:sz w:val="24"/>
          <w:szCs w:val="24"/>
        </w:rPr>
      </w:pPr>
      <w:r>
        <w:rPr>
          <w:rFonts w:hint="eastAsia" w:ascii="宋体" w:hAnsi="宋体" w:eastAsia="宋体" w:cs="宋体"/>
          <w:b/>
          <w:color w:val="auto"/>
          <w:sz w:val="24"/>
          <w:szCs w:val="24"/>
        </w:rPr>
        <w:t>4.1.2 技术指标</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929"/>
        <w:gridCol w:w="5455"/>
      </w:tblGrid>
      <w:tr w14:paraId="0F53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6489FC3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688" w:type="dxa"/>
            <w:vAlign w:val="center"/>
          </w:tcPr>
          <w:p w14:paraId="1C9DE76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指标项目</w:t>
            </w:r>
          </w:p>
        </w:tc>
        <w:tc>
          <w:tcPr>
            <w:tcW w:w="5011" w:type="dxa"/>
            <w:vAlign w:val="center"/>
          </w:tcPr>
          <w:p w14:paraId="70C34C4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技术指标条款</w:t>
            </w:r>
          </w:p>
        </w:tc>
      </w:tr>
      <w:tr w14:paraId="2ED6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restart"/>
            <w:vAlign w:val="center"/>
          </w:tcPr>
          <w:p w14:paraId="0A3615A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688" w:type="dxa"/>
            <w:vMerge w:val="restart"/>
            <w:vAlign w:val="center"/>
          </w:tcPr>
          <w:p w14:paraId="57EA41D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系统架构</w:t>
            </w:r>
          </w:p>
        </w:tc>
        <w:tc>
          <w:tcPr>
            <w:tcW w:w="5011" w:type="dxa"/>
            <w:vAlign w:val="center"/>
          </w:tcPr>
          <w:p w14:paraId="50ECFDE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系统采用B/S方式部署，能够满足各平台使用。系统兼容性能好，管理方便。</w:t>
            </w:r>
          </w:p>
        </w:tc>
      </w:tr>
      <w:tr w14:paraId="0877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vAlign w:val="center"/>
          </w:tcPr>
          <w:p w14:paraId="63488BA4">
            <w:pPr>
              <w:jc w:val="center"/>
              <w:rPr>
                <w:rFonts w:hint="eastAsia" w:ascii="宋体" w:hAnsi="宋体" w:eastAsia="宋体" w:cs="宋体"/>
                <w:color w:val="auto"/>
                <w:sz w:val="24"/>
                <w:szCs w:val="24"/>
              </w:rPr>
            </w:pPr>
          </w:p>
        </w:tc>
        <w:tc>
          <w:tcPr>
            <w:tcW w:w="2688" w:type="dxa"/>
            <w:vMerge w:val="continue"/>
            <w:vAlign w:val="center"/>
          </w:tcPr>
          <w:p w14:paraId="7121EC0A">
            <w:pPr>
              <w:jc w:val="center"/>
              <w:rPr>
                <w:rFonts w:hint="eastAsia" w:ascii="宋体" w:hAnsi="宋体" w:eastAsia="宋体" w:cs="宋体"/>
                <w:color w:val="auto"/>
                <w:sz w:val="24"/>
                <w:szCs w:val="24"/>
              </w:rPr>
            </w:pPr>
          </w:p>
        </w:tc>
        <w:tc>
          <w:tcPr>
            <w:tcW w:w="5011" w:type="dxa"/>
            <w:vAlign w:val="center"/>
          </w:tcPr>
          <w:p w14:paraId="3D69373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系统架构具备开放性，可提供完整规范的开发接口，能够满足主流平台和跨平台快速应用开发的需求。</w:t>
            </w:r>
          </w:p>
        </w:tc>
      </w:tr>
      <w:tr w14:paraId="7F0A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restart"/>
            <w:vAlign w:val="center"/>
          </w:tcPr>
          <w:p w14:paraId="5C40C08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688" w:type="dxa"/>
            <w:vMerge w:val="restart"/>
            <w:vAlign w:val="center"/>
          </w:tcPr>
          <w:p w14:paraId="3B27941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系统平台</w:t>
            </w:r>
          </w:p>
        </w:tc>
        <w:tc>
          <w:tcPr>
            <w:tcW w:w="5011" w:type="dxa"/>
            <w:vAlign w:val="center"/>
          </w:tcPr>
          <w:p w14:paraId="786969B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系统支持各类windows操作系统环境，包括Windows 2000，windows 2003，windows7，windows 10等主流操作系统。</w:t>
            </w:r>
          </w:p>
        </w:tc>
      </w:tr>
      <w:tr w14:paraId="196D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vAlign w:val="center"/>
          </w:tcPr>
          <w:p w14:paraId="4345798D">
            <w:pPr>
              <w:jc w:val="center"/>
              <w:rPr>
                <w:rFonts w:hint="eastAsia" w:ascii="宋体" w:hAnsi="宋体" w:eastAsia="宋体" w:cs="宋体"/>
                <w:color w:val="auto"/>
                <w:sz w:val="24"/>
                <w:szCs w:val="24"/>
              </w:rPr>
            </w:pPr>
          </w:p>
        </w:tc>
        <w:tc>
          <w:tcPr>
            <w:tcW w:w="2688" w:type="dxa"/>
            <w:vMerge w:val="continue"/>
            <w:vAlign w:val="center"/>
          </w:tcPr>
          <w:p w14:paraId="5B54DED4">
            <w:pPr>
              <w:jc w:val="center"/>
              <w:rPr>
                <w:rFonts w:hint="eastAsia" w:ascii="宋体" w:hAnsi="宋体" w:eastAsia="宋体" w:cs="宋体"/>
                <w:color w:val="auto"/>
                <w:sz w:val="24"/>
                <w:szCs w:val="24"/>
              </w:rPr>
            </w:pPr>
          </w:p>
        </w:tc>
        <w:tc>
          <w:tcPr>
            <w:tcW w:w="5011" w:type="dxa"/>
            <w:vAlign w:val="center"/>
          </w:tcPr>
          <w:p w14:paraId="61F5453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据库系统具备良好的数据和索引的压缩技术，具有较低的空间膨胀率；在系统硬件资源允许的条件下，对超大型数据库及结构化/非结构化复杂查询实现响应的时间能够达到秒级，并且不随文件数量增大而效率降低，数据库规模仅受硬件资源的限制。</w:t>
            </w:r>
          </w:p>
        </w:tc>
      </w:tr>
      <w:tr w14:paraId="7DD6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restart"/>
            <w:vAlign w:val="center"/>
          </w:tcPr>
          <w:p w14:paraId="21025D4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688" w:type="dxa"/>
            <w:vMerge w:val="restart"/>
            <w:vAlign w:val="center"/>
          </w:tcPr>
          <w:p w14:paraId="72C13CE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数据处理能力</w:t>
            </w:r>
          </w:p>
        </w:tc>
        <w:tc>
          <w:tcPr>
            <w:tcW w:w="5011" w:type="dxa"/>
            <w:vAlign w:val="center"/>
          </w:tcPr>
          <w:p w14:paraId="7A49D75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人工标引，元数据字段完整、准确。</w:t>
            </w:r>
          </w:p>
        </w:tc>
      </w:tr>
      <w:tr w14:paraId="2549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vAlign w:val="center"/>
          </w:tcPr>
          <w:p w14:paraId="35E7727B">
            <w:pPr>
              <w:jc w:val="center"/>
              <w:rPr>
                <w:rFonts w:hint="eastAsia" w:ascii="宋体" w:hAnsi="宋体" w:eastAsia="宋体" w:cs="宋体"/>
                <w:color w:val="auto"/>
                <w:sz w:val="24"/>
                <w:szCs w:val="24"/>
              </w:rPr>
            </w:pPr>
          </w:p>
        </w:tc>
        <w:tc>
          <w:tcPr>
            <w:tcW w:w="2688" w:type="dxa"/>
            <w:vMerge w:val="continue"/>
            <w:vAlign w:val="center"/>
          </w:tcPr>
          <w:p w14:paraId="0B1FA8EF">
            <w:pPr>
              <w:jc w:val="center"/>
              <w:rPr>
                <w:rFonts w:hint="eastAsia" w:ascii="宋体" w:hAnsi="宋体" w:eastAsia="宋体" w:cs="宋体"/>
                <w:color w:val="auto"/>
                <w:sz w:val="24"/>
                <w:szCs w:val="24"/>
              </w:rPr>
            </w:pPr>
          </w:p>
        </w:tc>
        <w:tc>
          <w:tcPr>
            <w:tcW w:w="5011" w:type="dxa"/>
            <w:vAlign w:val="center"/>
          </w:tcPr>
          <w:p w14:paraId="58A0A0E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收录范围内，期刊年、卷、期完备，文献文后参考文献数据完整、准确。</w:t>
            </w:r>
          </w:p>
        </w:tc>
      </w:tr>
      <w:tr w14:paraId="0036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vAlign w:val="center"/>
          </w:tcPr>
          <w:p w14:paraId="178E4E44">
            <w:pPr>
              <w:jc w:val="center"/>
              <w:rPr>
                <w:rFonts w:hint="eastAsia" w:ascii="宋体" w:hAnsi="宋体" w:eastAsia="宋体" w:cs="宋体"/>
                <w:color w:val="auto"/>
                <w:sz w:val="24"/>
                <w:szCs w:val="24"/>
              </w:rPr>
            </w:pPr>
          </w:p>
        </w:tc>
        <w:tc>
          <w:tcPr>
            <w:tcW w:w="2688" w:type="dxa"/>
            <w:vMerge w:val="continue"/>
            <w:vAlign w:val="center"/>
          </w:tcPr>
          <w:p w14:paraId="495D48DD">
            <w:pPr>
              <w:jc w:val="center"/>
              <w:rPr>
                <w:rFonts w:hint="eastAsia" w:ascii="宋体" w:hAnsi="宋体" w:eastAsia="宋体" w:cs="宋体"/>
                <w:color w:val="auto"/>
                <w:sz w:val="24"/>
                <w:szCs w:val="24"/>
              </w:rPr>
            </w:pPr>
          </w:p>
        </w:tc>
        <w:tc>
          <w:tcPr>
            <w:tcW w:w="5011" w:type="dxa"/>
            <w:vAlign w:val="center"/>
          </w:tcPr>
          <w:p w14:paraId="1AC12F0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所提供的电子期刊数据无版权隐患，不存在版权纠纷。</w:t>
            </w:r>
          </w:p>
        </w:tc>
      </w:tr>
      <w:tr w14:paraId="3524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vAlign w:val="center"/>
          </w:tcPr>
          <w:p w14:paraId="3CCAB63E">
            <w:pPr>
              <w:jc w:val="center"/>
              <w:rPr>
                <w:rFonts w:hint="eastAsia" w:ascii="宋体" w:hAnsi="宋体" w:eastAsia="宋体" w:cs="宋体"/>
                <w:color w:val="auto"/>
                <w:sz w:val="24"/>
                <w:szCs w:val="24"/>
              </w:rPr>
            </w:pPr>
          </w:p>
        </w:tc>
        <w:tc>
          <w:tcPr>
            <w:tcW w:w="2688" w:type="dxa"/>
            <w:vMerge w:val="continue"/>
            <w:vAlign w:val="center"/>
          </w:tcPr>
          <w:p w14:paraId="47BE3494">
            <w:pPr>
              <w:jc w:val="center"/>
              <w:rPr>
                <w:rFonts w:hint="eastAsia" w:ascii="宋体" w:hAnsi="宋体" w:eastAsia="宋体" w:cs="宋体"/>
                <w:color w:val="auto"/>
                <w:sz w:val="24"/>
                <w:szCs w:val="24"/>
              </w:rPr>
            </w:pPr>
          </w:p>
        </w:tc>
        <w:tc>
          <w:tcPr>
            <w:tcW w:w="5011" w:type="dxa"/>
            <w:vAlign w:val="center"/>
          </w:tcPr>
          <w:p w14:paraId="66F3E1A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无并发用户数限制，无故障运行时间大于8000小时，系统恢复时间小于2小时。</w:t>
            </w:r>
          </w:p>
        </w:tc>
      </w:tr>
      <w:tr w14:paraId="2F6C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restart"/>
            <w:vAlign w:val="center"/>
          </w:tcPr>
          <w:p w14:paraId="4559F51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688" w:type="dxa"/>
            <w:vMerge w:val="restart"/>
            <w:vAlign w:val="center"/>
          </w:tcPr>
          <w:p w14:paraId="271D42A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功能设计</w:t>
            </w:r>
          </w:p>
        </w:tc>
        <w:tc>
          <w:tcPr>
            <w:tcW w:w="5011" w:type="dxa"/>
            <w:vAlign w:val="center"/>
          </w:tcPr>
          <w:p w14:paraId="2893212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具有简洁、易用的用户使用平台，支持用户按多种途径的内容浏览。</w:t>
            </w:r>
          </w:p>
        </w:tc>
      </w:tr>
      <w:tr w14:paraId="7CD4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vAlign w:val="center"/>
          </w:tcPr>
          <w:p w14:paraId="62D225D6">
            <w:pPr>
              <w:jc w:val="center"/>
              <w:rPr>
                <w:rFonts w:hint="eastAsia" w:ascii="宋体" w:hAnsi="宋体" w:eastAsia="宋体" w:cs="宋体"/>
                <w:color w:val="auto"/>
                <w:sz w:val="24"/>
                <w:szCs w:val="24"/>
              </w:rPr>
            </w:pPr>
          </w:p>
        </w:tc>
        <w:tc>
          <w:tcPr>
            <w:tcW w:w="2688" w:type="dxa"/>
            <w:vMerge w:val="continue"/>
            <w:vAlign w:val="center"/>
          </w:tcPr>
          <w:p w14:paraId="33027F59">
            <w:pPr>
              <w:jc w:val="center"/>
              <w:rPr>
                <w:rFonts w:hint="eastAsia" w:ascii="宋体" w:hAnsi="宋体" w:eastAsia="宋体" w:cs="宋体"/>
                <w:color w:val="auto"/>
                <w:sz w:val="24"/>
                <w:szCs w:val="24"/>
              </w:rPr>
            </w:pPr>
          </w:p>
        </w:tc>
        <w:tc>
          <w:tcPr>
            <w:tcW w:w="5011" w:type="dxa"/>
            <w:vAlign w:val="center"/>
          </w:tcPr>
          <w:p w14:paraId="01DC55C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结合《中国图书馆分类法》，提供常用学科分类。</w:t>
            </w:r>
          </w:p>
        </w:tc>
      </w:tr>
      <w:tr w14:paraId="2A06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vAlign w:val="center"/>
          </w:tcPr>
          <w:p w14:paraId="72ADD098">
            <w:pPr>
              <w:jc w:val="center"/>
              <w:rPr>
                <w:rFonts w:hint="eastAsia" w:ascii="宋体" w:hAnsi="宋体" w:eastAsia="宋体" w:cs="宋体"/>
                <w:color w:val="auto"/>
                <w:sz w:val="24"/>
                <w:szCs w:val="24"/>
              </w:rPr>
            </w:pPr>
          </w:p>
        </w:tc>
        <w:tc>
          <w:tcPr>
            <w:tcW w:w="2688" w:type="dxa"/>
            <w:vMerge w:val="continue"/>
            <w:vAlign w:val="center"/>
          </w:tcPr>
          <w:p w14:paraId="112849A3">
            <w:pPr>
              <w:jc w:val="center"/>
              <w:rPr>
                <w:rFonts w:hint="eastAsia" w:ascii="宋体" w:hAnsi="宋体" w:eastAsia="宋体" w:cs="宋体"/>
                <w:color w:val="auto"/>
                <w:sz w:val="24"/>
                <w:szCs w:val="24"/>
              </w:rPr>
            </w:pPr>
          </w:p>
        </w:tc>
        <w:tc>
          <w:tcPr>
            <w:tcW w:w="5011" w:type="dxa"/>
            <w:vAlign w:val="center"/>
          </w:tcPr>
          <w:p w14:paraId="519DB3C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操作界面风格统一。界面操作简单，流程清晰。</w:t>
            </w:r>
            <w:r>
              <w:rPr>
                <w:rFonts w:hint="eastAsia" w:ascii="宋体" w:hAnsi="宋体" w:eastAsia="宋体" w:cs="宋体"/>
                <w:color w:val="auto"/>
                <w:sz w:val="24"/>
                <w:szCs w:val="24"/>
              </w:rPr>
              <w:t>可以根据数字图书馆推广的需要，提供统一的、个性化定制系统功能和用户界面。</w:t>
            </w:r>
          </w:p>
        </w:tc>
      </w:tr>
      <w:tr w14:paraId="6C63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restart"/>
            <w:vAlign w:val="center"/>
          </w:tcPr>
          <w:p w14:paraId="5DB4154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688" w:type="dxa"/>
            <w:vMerge w:val="restart"/>
            <w:vAlign w:val="center"/>
          </w:tcPr>
          <w:p w14:paraId="60A1A62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数据管理能力</w:t>
            </w:r>
          </w:p>
        </w:tc>
        <w:tc>
          <w:tcPr>
            <w:tcW w:w="5011" w:type="dxa"/>
            <w:vAlign w:val="center"/>
          </w:tcPr>
          <w:p w14:paraId="3470F49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系统兼容性能好，管理方便，有良好的后台管理功能。</w:t>
            </w:r>
          </w:p>
        </w:tc>
      </w:tr>
      <w:tr w14:paraId="3284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vAlign w:val="center"/>
          </w:tcPr>
          <w:p w14:paraId="3F0A2392">
            <w:pPr>
              <w:jc w:val="center"/>
              <w:rPr>
                <w:rFonts w:hint="eastAsia" w:ascii="宋体" w:hAnsi="宋体" w:eastAsia="宋体" w:cs="宋体"/>
                <w:color w:val="auto"/>
                <w:sz w:val="24"/>
                <w:szCs w:val="24"/>
              </w:rPr>
            </w:pPr>
          </w:p>
        </w:tc>
        <w:tc>
          <w:tcPr>
            <w:tcW w:w="2688" w:type="dxa"/>
            <w:vMerge w:val="continue"/>
            <w:vAlign w:val="center"/>
          </w:tcPr>
          <w:p w14:paraId="0303618C">
            <w:pPr>
              <w:jc w:val="center"/>
              <w:rPr>
                <w:rFonts w:hint="eastAsia" w:ascii="宋体" w:hAnsi="宋体" w:eastAsia="宋体" w:cs="宋体"/>
                <w:color w:val="auto"/>
                <w:sz w:val="24"/>
                <w:szCs w:val="24"/>
              </w:rPr>
            </w:pPr>
          </w:p>
        </w:tc>
        <w:tc>
          <w:tcPr>
            <w:tcW w:w="5011" w:type="dxa"/>
            <w:vAlign w:val="center"/>
          </w:tcPr>
          <w:p w14:paraId="33C1F29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具备智能的统计分析功能，包括：时间分析、用户分析等。</w:t>
            </w:r>
          </w:p>
        </w:tc>
      </w:tr>
      <w:tr w14:paraId="5E6D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vAlign w:val="center"/>
          </w:tcPr>
          <w:p w14:paraId="2FAD07CC">
            <w:pPr>
              <w:jc w:val="center"/>
              <w:rPr>
                <w:rFonts w:hint="eastAsia" w:ascii="宋体" w:hAnsi="宋体" w:eastAsia="宋体" w:cs="宋体"/>
                <w:color w:val="auto"/>
                <w:sz w:val="24"/>
                <w:szCs w:val="24"/>
              </w:rPr>
            </w:pPr>
          </w:p>
        </w:tc>
        <w:tc>
          <w:tcPr>
            <w:tcW w:w="2688" w:type="dxa"/>
            <w:vMerge w:val="continue"/>
            <w:vAlign w:val="center"/>
          </w:tcPr>
          <w:p w14:paraId="1C10E03F">
            <w:pPr>
              <w:jc w:val="center"/>
              <w:rPr>
                <w:rFonts w:hint="eastAsia" w:ascii="宋体" w:hAnsi="宋体" w:eastAsia="宋体" w:cs="宋体"/>
                <w:color w:val="auto"/>
                <w:sz w:val="24"/>
                <w:szCs w:val="24"/>
              </w:rPr>
            </w:pPr>
          </w:p>
        </w:tc>
        <w:tc>
          <w:tcPr>
            <w:tcW w:w="5011" w:type="dxa"/>
            <w:vAlign w:val="center"/>
          </w:tcPr>
          <w:p w14:paraId="4E77A12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提供便捷、适用的服务方式，保证最终用户的方便阅读。</w:t>
            </w:r>
          </w:p>
        </w:tc>
      </w:tr>
      <w:tr w14:paraId="74D0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vAlign w:val="center"/>
          </w:tcPr>
          <w:p w14:paraId="2A65F8E9">
            <w:pPr>
              <w:jc w:val="center"/>
              <w:rPr>
                <w:rFonts w:hint="eastAsia" w:ascii="宋体" w:hAnsi="宋体" w:eastAsia="宋体" w:cs="宋体"/>
                <w:color w:val="auto"/>
                <w:sz w:val="24"/>
                <w:szCs w:val="24"/>
              </w:rPr>
            </w:pPr>
          </w:p>
        </w:tc>
        <w:tc>
          <w:tcPr>
            <w:tcW w:w="2688" w:type="dxa"/>
            <w:vMerge w:val="continue"/>
            <w:vAlign w:val="center"/>
          </w:tcPr>
          <w:p w14:paraId="250AC748">
            <w:pPr>
              <w:jc w:val="center"/>
              <w:rPr>
                <w:rFonts w:hint="eastAsia" w:ascii="宋体" w:hAnsi="宋体" w:eastAsia="宋体" w:cs="宋体"/>
                <w:color w:val="auto"/>
                <w:sz w:val="24"/>
                <w:szCs w:val="24"/>
              </w:rPr>
            </w:pPr>
          </w:p>
        </w:tc>
        <w:tc>
          <w:tcPr>
            <w:tcW w:w="5011" w:type="dxa"/>
            <w:vAlign w:val="center"/>
          </w:tcPr>
          <w:p w14:paraId="298BD75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提供电子期刊的中国机读目录CNMARC数据。</w:t>
            </w:r>
          </w:p>
        </w:tc>
      </w:tr>
      <w:tr w14:paraId="57CC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restart"/>
            <w:vAlign w:val="center"/>
          </w:tcPr>
          <w:p w14:paraId="707BC0A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688" w:type="dxa"/>
            <w:vMerge w:val="restart"/>
            <w:vAlign w:val="center"/>
          </w:tcPr>
          <w:p w14:paraId="569A1E9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系统维护</w:t>
            </w:r>
          </w:p>
        </w:tc>
        <w:tc>
          <w:tcPr>
            <w:tcW w:w="5011" w:type="dxa"/>
            <w:vAlign w:val="center"/>
          </w:tcPr>
          <w:p w14:paraId="71940D3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系统具备7*24连续服务能力，具备异常监控系统。</w:t>
            </w:r>
          </w:p>
        </w:tc>
      </w:tr>
      <w:tr w14:paraId="58B90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vAlign w:val="center"/>
          </w:tcPr>
          <w:p w14:paraId="4F1D186F">
            <w:pPr>
              <w:jc w:val="center"/>
              <w:rPr>
                <w:rFonts w:hint="eastAsia" w:ascii="宋体" w:hAnsi="宋体" w:eastAsia="宋体" w:cs="宋体"/>
                <w:color w:val="auto"/>
                <w:sz w:val="24"/>
                <w:szCs w:val="24"/>
              </w:rPr>
            </w:pPr>
          </w:p>
        </w:tc>
        <w:tc>
          <w:tcPr>
            <w:tcW w:w="2688" w:type="dxa"/>
            <w:vMerge w:val="continue"/>
            <w:vAlign w:val="center"/>
          </w:tcPr>
          <w:p w14:paraId="2A3F2D32">
            <w:pPr>
              <w:jc w:val="center"/>
              <w:rPr>
                <w:rFonts w:hint="eastAsia" w:ascii="宋体" w:hAnsi="宋体" w:eastAsia="宋体" w:cs="宋体"/>
                <w:color w:val="auto"/>
                <w:sz w:val="24"/>
                <w:szCs w:val="24"/>
              </w:rPr>
            </w:pPr>
          </w:p>
        </w:tc>
        <w:tc>
          <w:tcPr>
            <w:tcW w:w="5011" w:type="dxa"/>
            <w:vAlign w:val="center"/>
          </w:tcPr>
          <w:p w14:paraId="54B5ACF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提供本地镜像服务，售后工程师团队提供点对点的安装、更新和维护服务。</w:t>
            </w:r>
          </w:p>
        </w:tc>
      </w:tr>
      <w:tr w14:paraId="01A9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vAlign w:val="center"/>
          </w:tcPr>
          <w:p w14:paraId="4E0EED90">
            <w:pPr>
              <w:jc w:val="center"/>
              <w:rPr>
                <w:rFonts w:hint="eastAsia" w:ascii="宋体" w:hAnsi="宋体" w:eastAsia="宋体" w:cs="宋体"/>
                <w:color w:val="auto"/>
                <w:sz w:val="24"/>
                <w:szCs w:val="24"/>
              </w:rPr>
            </w:pPr>
          </w:p>
        </w:tc>
        <w:tc>
          <w:tcPr>
            <w:tcW w:w="2688" w:type="dxa"/>
            <w:vMerge w:val="continue"/>
            <w:vAlign w:val="center"/>
          </w:tcPr>
          <w:p w14:paraId="2DBC8DAC">
            <w:pPr>
              <w:jc w:val="center"/>
              <w:rPr>
                <w:rFonts w:hint="eastAsia" w:ascii="宋体" w:hAnsi="宋体" w:eastAsia="宋体" w:cs="宋体"/>
                <w:color w:val="auto"/>
                <w:sz w:val="24"/>
                <w:szCs w:val="24"/>
              </w:rPr>
            </w:pPr>
          </w:p>
        </w:tc>
        <w:tc>
          <w:tcPr>
            <w:tcW w:w="5011" w:type="dxa"/>
            <w:vAlign w:val="center"/>
          </w:tcPr>
          <w:p w14:paraId="3593C99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当镜像数据发生故障时，可提供互联网在线服务，确保在突发性事件时用户能够获得不间断服务。</w:t>
            </w:r>
          </w:p>
        </w:tc>
      </w:tr>
    </w:tbl>
    <w:p w14:paraId="5C869900">
      <w:pPr>
        <w:rPr>
          <w:rFonts w:hint="eastAsia" w:ascii="宋体" w:hAnsi="宋体" w:eastAsia="宋体" w:cs="宋体"/>
          <w:color w:val="auto"/>
          <w:sz w:val="24"/>
          <w:szCs w:val="24"/>
        </w:rPr>
      </w:pPr>
    </w:p>
    <w:p w14:paraId="32A887A5">
      <w:pPr>
        <w:rPr>
          <w:rFonts w:hint="eastAsia" w:ascii="宋体" w:hAnsi="宋体" w:eastAsia="宋体" w:cs="宋体"/>
          <w:color w:val="auto"/>
          <w:sz w:val="24"/>
          <w:szCs w:val="24"/>
        </w:rPr>
      </w:pPr>
    </w:p>
    <w:p w14:paraId="06688070">
      <w:pPr>
        <w:rPr>
          <w:rFonts w:hint="eastAsia" w:ascii="宋体" w:hAnsi="宋体" w:eastAsia="宋体" w:cs="宋体"/>
          <w:b/>
          <w:color w:val="auto"/>
          <w:sz w:val="24"/>
          <w:szCs w:val="24"/>
        </w:rPr>
      </w:pPr>
      <w:r>
        <w:rPr>
          <w:rFonts w:hint="eastAsia" w:ascii="宋体" w:hAnsi="宋体" w:eastAsia="宋体" w:cs="宋体"/>
          <w:b/>
          <w:color w:val="auto"/>
          <w:sz w:val="24"/>
          <w:szCs w:val="24"/>
        </w:rPr>
        <w:t>4.2 中文科技期刊数据库（全文版）</w:t>
      </w:r>
    </w:p>
    <w:p w14:paraId="33220FB7">
      <w:pPr>
        <w:rPr>
          <w:rFonts w:hint="eastAsia" w:ascii="宋体" w:hAnsi="宋体" w:eastAsia="宋体" w:cs="宋体"/>
          <w:color w:val="auto"/>
          <w:sz w:val="24"/>
          <w:szCs w:val="24"/>
        </w:rPr>
      </w:pPr>
    </w:p>
    <w:p w14:paraId="721404B4">
      <w:pPr>
        <w:rPr>
          <w:rFonts w:hint="eastAsia" w:ascii="宋体" w:hAnsi="宋体" w:eastAsia="宋体" w:cs="宋体"/>
          <w:b/>
          <w:color w:val="auto"/>
          <w:sz w:val="24"/>
          <w:szCs w:val="24"/>
        </w:rPr>
      </w:pPr>
      <w:r>
        <w:rPr>
          <w:rFonts w:hint="eastAsia" w:ascii="宋体" w:hAnsi="宋体" w:eastAsia="宋体" w:cs="宋体"/>
          <w:b/>
          <w:color w:val="auto"/>
          <w:sz w:val="24"/>
          <w:szCs w:val="24"/>
        </w:rPr>
        <w:t>4.2.1 内容清单</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68"/>
        <w:gridCol w:w="5153"/>
      </w:tblGrid>
      <w:tr w14:paraId="4AF9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Align w:val="center"/>
          </w:tcPr>
          <w:p w14:paraId="05055A3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68" w:type="dxa"/>
            <w:vAlign w:val="center"/>
          </w:tcPr>
          <w:p w14:paraId="3961B36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功能内容</w:t>
            </w:r>
          </w:p>
        </w:tc>
        <w:tc>
          <w:tcPr>
            <w:tcW w:w="5153" w:type="dxa"/>
            <w:vAlign w:val="center"/>
          </w:tcPr>
          <w:p w14:paraId="742BAF8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实质性需求描述</w:t>
            </w:r>
          </w:p>
        </w:tc>
      </w:tr>
      <w:tr w14:paraId="26A4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3210B4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268" w:type="dxa"/>
            <w:vAlign w:val="center"/>
          </w:tcPr>
          <w:p w14:paraId="55BB39D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分类、标引体系</w:t>
            </w:r>
          </w:p>
        </w:tc>
        <w:tc>
          <w:tcPr>
            <w:tcW w:w="5153" w:type="dxa"/>
            <w:vAlign w:val="center"/>
          </w:tcPr>
          <w:p w14:paraId="0AA63DF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期刊和文献均按照《中国图书馆分类法》做人工标引，每篇文献入类时以文献内容特征为依据，科学准确，保证查全率和数据统计准确性。</w:t>
            </w:r>
          </w:p>
        </w:tc>
      </w:tr>
      <w:tr w14:paraId="6422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D694AC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268" w:type="dxa"/>
            <w:vAlign w:val="center"/>
          </w:tcPr>
          <w:p w14:paraId="1B657BA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文献检索能力</w:t>
            </w:r>
          </w:p>
        </w:tc>
        <w:tc>
          <w:tcPr>
            <w:tcW w:w="5153" w:type="dxa"/>
            <w:vAlign w:val="center"/>
          </w:tcPr>
          <w:p w14:paraId="1F4639B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提供基于文献题录各字段的文本检索能力。</w:t>
            </w:r>
          </w:p>
        </w:tc>
      </w:tr>
      <w:tr w14:paraId="7E13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B4EFB8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268" w:type="dxa"/>
            <w:vAlign w:val="center"/>
          </w:tcPr>
          <w:p w14:paraId="701465D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全文保障能力</w:t>
            </w:r>
          </w:p>
        </w:tc>
        <w:tc>
          <w:tcPr>
            <w:tcW w:w="5153" w:type="dxa"/>
            <w:vAlign w:val="center"/>
          </w:tcPr>
          <w:p w14:paraId="59932C3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提供基于期刊的文献全文下载获取能力。</w:t>
            </w:r>
          </w:p>
        </w:tc>
      </w:tr>
      <w:tr w14:paraId="2044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CEDEAB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268" w:type="dxa"/>
            <w:vAlign w:val="center"/>
          </w:tcPr>
          <w:p w14:paraId="0E532C6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个性化服务</w:t>
            </w:r>
          </w:p>
        </w:tc>
        <w:tc>
          <w:tcPr>
            <w:tcW w:w="5153" w:type="dxa"/>
            <w:vAlign w:val="center"/>
          </w:tcPr>
          <w:p w14:paraId="27DB39C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检索历史</w:t>
            </w:r>
          </w:p>
        </w:tc>
      </w:tr>
      <w:tr w14:paraId="59F5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11485E6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268" w:type="dxa"/>
            <w:vAlign w:val="center"/>
          </w:tcPr>
          <w:p w14:paraId="205B36D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特色服务</w:t>
            </w:r>
          </w:p>
        </w:tc>
        <w:tc>
          <w:tcPr>
            <w:tcW w:w="5153" w:type="dxa"/>
            <w:vAlign w:val="center"/>
          </w:tcPr>
          <w:p w14:paraId="6654B01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基金资助情况、期刊被国内外数据库收录情况查询和导航、在线阅读、相似文献聚类和展示</w:t>
            </w:r>
          </w:p>
        </w:tc>
      </w:tr>
      <w:tr w14:paraId="0447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C65940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268" w:type="dxa"/>
            <w:vAlign w:val="center"/>
          </w:tcPr>
          <w:p w14:paraId="1FEDE09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检索方式</w:t>
            </w:r>
          </w:p>
        </w:tc>
        <w:tc>
          <w:tcPr>
            <w:tcW w:w="5153" w:type="dxa"/>
            <w:vAlign w:val="center"/>
          </w:tcPr>
          <w:p w14:paraId="03CDABD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基本检索、传统检索、高级检索、期刊检索</w:t>
            </w:r>
          </w:p>
        </w:tc>
      </w:tr>
      <w:tr w14:paraId="24DC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7D026F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268" w:type="dxa"/>
            <w:vAlign w:val="center"/>
          </w:tcPr>
          <w:p w14:paraId="4773C25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检索入口</w:t>
            </w:r>
          </w:p>
        </w:tc>
        <w:tc>
          <w:tcPr>
            <w:tcW w:w="5153" w:type="dxa"/>
            <w:vAlign w:val="center"/>
          </w:tcPr>
          <w:p w14:paraId="3EF3AA6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任意字段、题名或关键词、题名、关键词、文摘、作者、第一作者、机构、刊名、分类号、参考文献、作者简介、基金资助、栏目信息</w:t>
            </w:r>
          </w:p>
        </w:tc>
      </w:tr>
      <w:tr w14:paraId="4503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56EE31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268" w:type="dxa"/>
            <w:vAlign w:val="center"/>
          </w:tcPr>
          <w:p w14:paraId="4A0ADF1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输出字段</w:t>
            </w:r>
          </w:p>
        </w:tc>
        <w:tc>
          <w:tcPr>
            <w:tcW w:w="5153" w:type="dxa"/>
            <w:vAlign w:val="center"/>
          </w:tcPr>
          <w:p w14:paraId="1E1C76B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题名、作者、刊名、机构、文摘、ISSN、CN号、关键词、分类号、馆藏号、网址</w:t>
            </w:r>
          </w:p>
        </w:tc>
      </w:tr>
      <w:tr w14:paraId="4099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5FCA70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268" w:type="dxa"/>
            <w:vAlign w:val="center"/>
          </w:tcPr>
          <w:p w14:paraId="389FBDC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超链接</w:t>
            </w:r>
          </w:p>
        </w:tc>
        <w:tc>
          <w:tcPr>
            <w:tcW w:w="5153" w:type="dxa"/>
            <w:vAlign w:val="center"/>
          </w:tcPr>
          <w:p w14:paraId="63409B7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作者，机构，刊名，关键词，分类号，相似文献，参考文献，引证文献，耦合文献，高被引文献</w:t>
            </w:r>
          </w:p>
        </w:tc>
      </w:tr>
      <w:tr w14:paraId="0CA6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CD5E5E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268" w:type="dxa"/>
            <w:vAlign w:val="center"/>
          </w:tcPr>
          <w:p w14:paraId="64E1A3A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特殊检索字段</w:t>
            </w:r>
          </w:p>
        </w:tc>
        <w:tc>
          <w:tcPr>
            <w:tcW w:w="5153" w:type="dxa"/>
            <w:vAlign w:val="center"/>
          </w:tcPr>
          <w:p w14:paraId="3F50750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基金资助、作者简介、栏目信息</w:t>
            </w:r>
          </w:p>
        </w:tc>
      </w:tr>
      <w:tr w14:paraId="3AA7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854337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268" w:type="dxa"/>
            <w:vAlign w:val="center"/>
          </w:tcPr>
          <w:p w14:paraId="31483E3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特殊检索能力</w:t>
            </w:r>
          </w:p>
        </w:tc>
        <w:tc>
          <w:tcPr>
            <w:tcW w:w="5153" w:type="dxa"/>
            <w:vAlign w:val="center"/>
          </w:tcPr>
          <w:p w14:paraId="3B86BA5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支持中英文、繁简体混合检索，支持截词、逻辑组配检索、同义词检索、同名作者检索等</w:t>
            </w:r>
          </w:p>
        </w:tc>
      </w:tr>
      <w:tr w14:paraId="0BC9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171B4B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268" w:type="dxa"/>
            <w:vAlign w:val="center"/>
          </w:tcPr>
          <w:p w14:paraId="422E391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统计功能</w:t>
            </w:r>
          </w:p>
        </w:tc>
        <w:tc>
          <w:tcPr>
            <w:tcW w:w="5153" w:type="dxa"/>
            <w:vAlign w:val="center"/>
          </w:tcPr>
          <w:p w14:paraId="025180E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具有可远程登陆查看的最详细的统计功能。可按时间段、IP段、用户名进行数据统计。</w:t>
            </w:r>
          </w:p>
        </w:tc>
      </w:tr>
      <w:tr w14:paraId="1A8B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84F3CD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2268" w:type="dxa"/>
            <w:vAlign w:val="center"/>
          </w:tcPr>
          <w:p w14:paraId="72DD421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期刊收录量</w:t>
            </w:r>
          </w:p>
        </w:tc>
        <w:tc>
          <w:tcPr>
            <w:tcW w:w="5153" w:type="dxa"/>
            <w:vAlign w:val="center"/>
          </w:tcPr>
          <w:p w14:paraId="2D3D0F9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总量15000余种。其中，现刊9300余种。</w:t>
            </w:r>
          </w:p>
        </w:tc>
      </w:tr>
      <w:tr w14:paraId="08AB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A93C99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2268" w:type="dxa"/>
            <w:vAlign w:val="center"/>
          </w:tcPr>
          <w:p w14:paraId="42A91A8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文献总量</w:t>
            </w:r>
          </w:p>
        </w:tc>
        <w:tc>
          <w:tcPr>
            <w:tcW w:w="5153" w:type="dxa"/>
            <w:vAlign w:val="center"/>
          </w:tcPr>
          <w:p w14:paraId="6C6C0FE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7800余万篇</w:t>
            </w:r>
          </w:p>
        </w:tc>
      </w:tr>
      <w:tr w14:paraId="097A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286D86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2268" w:type="dxa"/>
            <w:vAlign w:val="center"/>
          </w:tcPr>
          <w:p w14:paraId="4A2950B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回溯年限</w:t>
            </w:r>
          </w:p>
        </w:tc>
        <w:tc>
          <w:tcPr>
            <w:tcW w:w="5153" w:type="dxa"/>
            <w:vAlign w:val="center"/>
          </w:tcPr>
          <w:p w14:paraId="2E0B7AF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1989年，部分回溯至1920年。</w:t>
            </w:r>
          </w:p>
        </w:tc>
      </w:tr>
      <w:tr w14:paraId="3A56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D36863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2268" w:type="dxa"/>
            <w:vAlign w:val="center"/>
          </w:tcPr>
          <w:p w14:paraId="1FC6B33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学科范围</w:t>
            </w:r>
          </w:p>
        </w:tc>
        <w:tc>
          <w:tcPr>
            <w:tcW w:w="5153" w:type="dxa"/>
            <w:vAlign w:val="center"/>
          </w:tcPr>
          <w:p w14:paraId="24D5D4F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社会科学、自然科学、工程技术、农业科学、医药卫生、经济管理、教育科学和图书情报等八大专辑，35个一级学科。</w:t>
            </w:r>
          </w:p>
        </w:tc>
      </w:tr>
    </w:tbl>
    <w:p w14:paraId="342DF190">
      <w:pPr>
        <w:rPr>
          <w:rFonts w:hint="eastAsia" w:ascii="宋体" w:hAnsi="宋体" w:eastAsia="宋体" w:cs="宋体"/>
          <w:color w:val="auto"/>
          <w:sz w:val="24"/>
          <w:szCs w:val="24"/>
        </w:rPr>
      </w:pPr>
    </w:p>
    <w:p w14:paraId="62EC8475">
      <w:pPr>
        <w:rPr>
          <w:rFonts w:hint="eastAsia" w:ascii="宋体" w:hAnsi="宋体" w:eastAsia="宋体" w:cs="宋体"/>
          <w:b/>
          <w:color w:val="auto"/>
          <w:sz w:val="24"/>
          <w:szCs w:val="24"/>
        </w:rPr>
      </w:pPr>
      <w:r>
        <w:rPr>
          <w:rFonts w:hint="eastAsia" w:ascii="宋体" w:hAnsi="宋体" w:eastAsia="宋体" w:cs="宋体"/>
          <w:b/>
          <w:color w:val="auto"/>
          <w:sz w:val="24"/>
          <w:szCs w:val="24"/>
        </w:rPr>
        <w:t>4.2.2 技术指标</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929"/>
        <w:gridCol w:w="5455"/>
      </w:tblGrid>
      <w:tr w14:paraId="76F5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26A274E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688" w:type="dxa"/>
            <w:vAlign w:val="center"/>
          </w:tcPr>
          <w:p w14:paraId="416C0AE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指标项目</w:t>
            </w:r>
          </w:p>
        </w:tc>
        <w:tc>
          <w:tcPr>
            <w:tcW w:w="5011" w:type="dxa"/>
            <w:vAlign w:val="center"/>
          </w:tcPr>
          <w:p w14:paraId="68EA135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技术指标条款</w:t>
            </w:r>
          </w:p>
        </w:tc>
      </w:tr>
      <w:tr w14:paraId="7128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restart"/>
            <w:vAlign w:val="center"/>
          </w:tcPr>
          <w:p w14:paraId="42F1731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688" w:type="dxa"/>
            <w:vMerge w:val="restart"/>
            <w:vAlign w:val="center"/>
          </w:tcPr>
          <w:p w14:paraId="43D9266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系统架构</w:t>
            </w:r>
          </w:p>
        </w:tc>
        <w:tc>
          <w:tcPr>
            <w:tcW w:w="5011" w:type="dxa"/>
            <w:vAlign w:val="center"/>
          </w:tcPr>
          <w:p w14:paraId="7CA215B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系统采用B/S方式部署，能够满足各平台使用。系统兼容性能好，管理方便。</w:t>
            </w:r>
          </w:p>
        </w:tc>
      </w:tr>
      <w:tr w14:paraId="02EB6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vAlign w:val="center"/>
          </w:tcPr>
          <w:p w14:paraId="36EFDF90">
            <w:pPr>
              <w:jc w:val="center"/>
              <w:rPr>
                <w:rFonts w:hint="eastAsia" w:ascii="宋体" w:hAnsi="宋体" w:eastAsia="宋体" w:cs="宋体"/>
                <w:color w:val="auto"/>
                <w:sz w:val="24"/>
                <w:szCs w:val="24"/>
              </w:rPr>
            </w:pPr>
          </w:p>
        </w:tc>
        <w:tc>
          <w:tcPr>
            <w:tcW w:w="2688" w:type="dxa"/>
            <w:vMerge w:val="continue"/>
            <w:vAlign w:val="center"/>
          </w:tcPr>
          <w:p w14:paraId="2B6056EE">
            <w:pPr>
              <w:jc w:val="center"/>
              <w:rPr>
                <w:rFonts w:hint="eastAsia" w:ascii="宋体" w:hAnsi="宋体" w:eastAsia="宋体" w:cs="宋体"/>
                <w:color w:val="auto"/>
                <w:sz w:val="24"/>
                <w:szCs w:val="24"/>
              </w:rPr>
            </w:pPr>
          </w:p>
        </w:tc>
        <w:tc>
          <w:tcPr>
            <w:tcW w:w="5011" w:type="dxa"/>
            <w:vAlign w:val="center"/>
          </w:tcPr>
          <w:p w14:paraId="29F3A41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系统架构具备开放性，可提供完整规范的开发接口，能够满足主流平台和跨平台快速应用开发的需求。</w:t>
            </w:r>
          </w:p>
        </w:tc>
      </w:tr>
      <w:tr w14:paraId="5E84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restart"/>
            <w:vAlign w:val="center"/>
          </w:tcPr>
          <w:p w14:paraId="1C45426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688" w:type="dxa"/>
            <w:vMerge w:val="restart"/>
            <w:vAlign w:val="center"/>
          </w:tcPr>
          <w:p w14:paraId="2810ED6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系统平台</w:t>
            </w:r>
          </w:p>
        </w:tc>
        <w:tc>
          <w:tcPr>
            <w:tcW w:w="5011" w:type="dxa"/>
            <w:vAlign w:val="center"/>
          </w:tcPr>
          <w:p w14:paraId="2C6FF7D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系统支持各类windows操作系统环境，包括Windows 2000，windows 2003，windows7，windows 10等主流操作系统。</w:t>
            </w:r>
          </w:p>
        </w:tc>
      </w:tr>
      <w:tr w14:paraId="7D30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vAlign w:val="center"/>
          </w:tcPr>
          <w:p w14:paraId="1D470FF4">
            <w:pPr>
              <w:jc w:val="center"/>
              <w:rPr>
                <w:rFonts w:hint="eastAsia" w:ascii="宋体" w:hAnsi="宋体" w:eastAsia="宋体" w:cs="宋体"/>
                <w:color w:val="auto"/>
                <w:sz w:val="24"/>
                <w:szCs w:val="24"/>
              </w:rPr>
            </w:pPr>
          </w:p>
        </w:tc>
        <w:tc>
          <w:tcPr>
            <w:tcW w:w="2688" w:type="dxa"/>
            <w:vMerge w:val="continue"/>
            <w:vAlign w:val="center"/>
          </w:tcPr>
          <w:p w14:paraId="4A3BD6F6">
            <w:pPr>
              <w:jc w:val="center"/>
              <w:rPr>
                <w:rFonts w:hint="eastAsia" w:ascii="宋体" w:hAnsi="宋体" w:eastAsia="宋体" w:cs="宋体"/>
                <w:color w:val="auto"/>
                <w:sz w:val="24"/>
                <w:szCs w:val="24"/>
              </w:rPr>
            </w:pPr>
          </w:p>
        </w:tc>
        <w:tc>
          <w:tcPr>
            <w:tcW w:w="5011" w:type="dxa"/>
            <w:vAlign w:val="center"/>
          </w:tcPr>
          <w:p w14:paraId="74B2749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据库系统具备良好的数据和索引的压缩技术，具有较低的空间膨胀率；在系统硬件资源允许的条件下，对超大型数据库及结构化/非结构化复杂查询实现响应的时间能够达到秒级，并且不随文件数量增大而效率降低，数据库规模仅受硬件资源的限制。</w:t>
            </w:r>
          </w:p>
        </w:tc>
      </w:tr>
      <w:tr w14:paraId="4558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restart"/>
            <w:vAlign w:val="center"/>
          </w:tcPr>
          <w:p w14:paraId="3FD2658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688" w:type="dxa"/>
            <w:vMerge w:val="restart"/>
            <w:vAlign w:val="center"/>
          </w:tcPr>
          <w:p w14:paraId="058D2BD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数据处理能力</w:t>
            </w:r>
          </w:p>
        </w:tc>
        <w:tc>
          <w:tcPr>
            <w:tcW w:w="5011" w:type="dxa"/>
            <w:vAlign w:val="center"/>
          </w:tcPr>
          <w:p w14:paraId="13D74AA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电子期刊内容完整，保持印刷期刊的原版原貌；保留原印刷期刊的全部信息，采用人机相结合的半自动标引；数据压缩技术先进，占用存储空间小。</w:t>
            </w:r>
          </w:p>
        </w:tc>
      </w:tr>
      <w:tr w14:paraId="4F35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vAlign w:val="center"/>
          </w:tcPr>
          <w:p w14:paraId="68EC8820">
            <w:pPr>
              <w:jc w:val="center"/>
              <w:rPr>
                <w:rFonts w:hint="eastAsia" w:ascii="宋体" w:hAnsi="宋体" w:eastAsia="宋体" w:cs="宋体"/>
                <w:color w:val="auto"/>
                <w:sz w:val="24"/>
                <w:szCs w:val="24"/>
              </w:rPr>
            </w:pPr>
          </w:p>
        </w:tc>
        <w:tc>
          <w:tcPr>
            <w:tcW w:w="2688" w:type="dxa"/>
            <w:vMerge w:val="continue"/>
            <w:vAlign w:val="center"/>
          </w:tcPr>
          <w:p w14:paraId="552F1B8D">
            <w:pPr>
              <w:jc w:val="center"/>
              <w:rPr>
                <w:rFonts w:hint="eastAsia" w:ascii="宋体" w:hAnsi="宋体" w:eastAsia="宋体" w:cs="宋体"/>
                <w:color w:val="auto"/>
                <w:sz w:val="24"/>
                <w:szCs w:val="24"/>
              </w:rPr>
            </w:pPr>
          </w:p>
        </w:tc>
        <w:tc>
          <w:tcPr>
            <w:tcW w:w="5011" w:type="dxa"/>
            <w:vAlign w:val="center"/>
          </w:tcPr>
          <w:p w14:paraId="0B40C79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期刊年、卷、期完备，元数据字段完整、准确。</w:t>
            </w:r>
          </w:p>
        </w:tc>
      </w:tr>
      <w:tr w14:paraId="6E6C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vAlign w:val="center"/>
          </w:tcPr>
          <w:p w14:paraId="5BBD5D0B">
            <w:pPr>
              <w:jc w:val="center"/>
              <w:rPr>
                <w:rFonts w:hint="eastAsia" w:ascii="宋体" w:hAnsi="宋体" w:eastAsia="宋体" w:cs="宋体"/>
                <w:color w:val="auto"/>
                <w:sz w:val="24"/>
                <w:szCs w:val="24"/>
              </w:rPr>
            </w:pPr>
          </w:p>
        </w:tc>
        <w:tc>
          <w:tcPr>
            <w:tcW w:w="2688" w:type="dxa"/>
            <w:vMerge w:val="continue"/>
            <w:vAlign w:val="center"/>
          </w:tcPr>
          <w:p w14:paraId="0AA7573A">
            <w:pPr>
              <w:jc w:val="center"/>
              <w:rPr>
                <w:rFonts w:hint="eastAsia" w:ascii="宋体" w:hAnsi="宋体" w:eastAsia="宋体" w:cs="宋体"/>
                <w:color w:val="auto"/>
                <w:sz w:val="24"/>
                <w:szCs w:val="24"/>
              </w:rPr>
            </w:pPr>
          </w:p>
        </w:tc>
        <w:tc>
          <w:tcPr>
            <w:tcW w:w="5011" w:type="dxa"/>
            <w:vAlign w:val="center"/>
          </w:tcPr>
          <w:p w14:paraId="50C9F29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所提供的电子期刊数据无版权隐患，不存在版权纠纷。</w:t>
            </w:r>
          </w:p>
        </w:tc>
      </w:tr>
      <w:tr w14:paraId="5015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vAlign w:val="center"/>
          </w:tcPr>
          <w:p w14:paraId="45F6FEB6">
            <w:pPr>
              <w:jc w:val="center"/>
              <w:rPr>
                <w:rFonts w:hint="eastAsia" w:ascii="宋体" w:hAnsi="宋体" w:eastAsia="宋体" w:cs="宋体"/>
                <w:color w:val="auto"/>
                <w:sz w:val="24"/>
                <w:szCs w:val="24"/>
              </w:rPr>
            </w:pPr>
          </w:p>
        </w:tc>
        <w:tc>
          <w:tcPr>
            <w:tcW w:w="2688" w:type="dxa"/>
            <w:vMerge w:val="continue"/>
            <w:vAlign w:val="center"/>
          </w:tcPr>
          <w:p w14:paraId="2F966642">
            <w:pPr>
              <w:jc w:val="center"/>
              <w:rPr>
                <w:rFonts w:hint="eastAsia" w:ascii="宋体" w:hAnsi="宋体" w:eastAsia="宋体" w:cs="宋体"/>
                <w:color w:val="auto"/>
                <w:sz w:val="24"/>
                <w:szCs w:val="24"/>
              </w:rPr>
            </w:pPr>
          </w:p>
        </w:tc>
        <w:tc>
          <w:tcPr>
            <w:tcW w:w="5011" w:type="dxa"/>
            <w:vAlign w:val="center"/>
          </w:tcPr>
          <w:p w14:paraId="37DDB92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无并发用户数限制，无故障运行时间大于8000小时，系统恢复时间小于2小时。</w:t>
            </w:r>
          </w:p>
        </w:tc>
      </w:tr>
      <w:tr w14:paraId="24F6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restart"/>
            <w:vAlign w:val="center"/>
          </w:tcPr>
          <w:p w14:paraId="55E4E23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688" w:type="dxa"/>
            <w:vMerge w:val="restart"/>
            <w:vAlign w:val="center"/>
          </w:tcPr>
          <w:p w14:paraId="48C67C3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功能设计</w:t>
            </w:r>
          </w:p>
        </w:tc>
        <w:tc>
          <w:tcPr>
            <w:tcW w:w="5011" w:type="dxa"/>
            <w:vAlign w:val="center"/>
          </w:tcPr>
          <w:p w14:paraId="0197507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具有简洁、易用的用户使用平台，支持用户按多种途径的内容浏览。提供包括在线阅读、下载全文和文献传递等多种渠道的原文保障服务方式。</w:t>
            </w:r>
          </w:p>
        </w:tc>
      </w:tr>
      <w:tr w14:paraId="0C98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vAlign w:val="center"/>
          </w:tcPr>
          <w:p w14:paraId="0E7BD933">
            <w:pPr>
              <w:jc w:val="center"/>
              <w:rPr>
                <w:rFonts w:hint="eastAsia" w:ascii="宋体" w:hAnsi="宋体" w:eastAsia="宋体" w:cs="宋体"/>
                <w:color w:val="auto"/>
                <w:sz w:val="24"/>
                <w:szCs w:val="24"/>
              </w:rPr>
            </w:pPr>
          </w:p>
        </w:tc>
        <w:tc>
          <w:tcPr>
            <w:tcW w:w="2688" w:type="dxa"/>
            <w:vMerge w:val="continue"/>
            <w:vAlign w:val="center"/>
          </w:tcPr>
          <w:p w14:paraId="40483E33">
            <w:pPr>
              <w:jc w:val="center"/>
              <w:rPr>
                <w:rFonts w:hint="eastAsia" w:ascii="宋体" w:hAnsi="宋体" w:eastAsia="宋体" w:cs="宋体"/>
                <w:color w:val="auto"/>
                <w:sz w:val="24"/>
                <w:szCs w:val="24"/>
              </w:rPr>
            </w:pPr>
          </w:p>
        </w:tc>
        <w:tc>
          <w:tcPr>
            <w:tcW w:w="5011" w:type="dxa"/>
            <w:vAlign w:val="center"/>
          </w:tcPr>
          <w:p w14:paraId="2E87035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电子期刊提供常用分类；支持题名、作者、机构、刊名等字段单项检索，提供高级组合检索功能。</w:t>
            </w:r>
          </w:p>
        </w:tc>
      </w:tr>
      <w:tr w14:paraId="18BF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vAlign w:val="center"/>
          </w:tcPr>
          <w:p w14:paraId="537A5B38">
            <w:pPr>
              <w:jc w:val="center"/>
              <w:rPr>
                <w:rFonts w:hint="eastAsia" w:ascii="宋体" w:hAnsi="宋体" w:eastAsia="宋体" w:cs="宋体"/>
                <w:color w:val="auto"/>
                <w:sz w:val="24"/>
                <w:szCs w:val="24"/>
              </w:rPr>
            </w:pPr>
          </w:p>
        </w:tc>
        <w:tc>
          <w:tcPr>
            <w:tcW w:w="2688" w:type="dxa"/>
            <w:vMerge w:val="continue"/>
            <w:vAlign w:val="center"/>
          </w:tcPr>
          <w:p w14:paraId="180A51C2">
            <w:pPr>
              <w:jc w:val="center"/>
              <w:rPr>
                <w:rFonts w:hint="eastAsia" w:ascii="宋体" w:hAnsi="宋体" w:eastAsia="宋体" w:cs="宋体"/>
                <w:color w:val="auto"/>
                <w:sz w:val="24"/>
                <w:szCs w:val="24"/>
              </w:rPr>
            </w:pPr>
          </w:p>
        </w:tc>
        <w:tc>
          <w:tcPr>
            <w:tcW w:w="5011" w:type="dxa"/>
            <w:vAlign w:val="center"/>
          </w:tcPr>
          <w:p w14:paraId="5EEF2DD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可输出多种通用格式的数据资源，如PDF、TXT、HTML等常见文件格式，具备良好的易用性。计算机本地阅读文献全文，只需安装任意一款通用、免费的阅读软件即可。</w:t>
            </w:r>
          </w:p>
        </w:tc>
      </w:tr>
      <w:tr w14:paraId="44E7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vAlign w:val="center"/>
          </w:tcPr>
          <w:p w14:paraId="759991E2">
            <w:pPr>
              <w:jc w:val="center"/>
              <w:rPr>
                <w:rFonts w:hint="eastAsia" w:ascii="宋体" w:hAnsi="宋体" w:eastAsia="宋体" w:cs="宋体"/>
                <w:color w:val="auto"/>
                <w:sz w:val="24"/>
                <w:szCs w:val="24"/>
              </w:rPr>
            </w:pPr>
          </w:p>
        </w:tc>
        <w:tc>
          <w:tcPr>
            <w:tcW w:w="2688" w:type="dxa"/>
            <w:vMerge w:val="continue"/>
            <w:vAlign w:val="center"/>
          </w:tcPr>
          <w:p w14:paraId="1F7E8C94">
            <w:pPr>
              <w:jc w:val="center"/>
              <w:rPr>
                <w:rFonts w:hint="eastAsia" w:ascii="宋体" w:hAnsi="宋体" w:eastAsia="宋体" w:cs="宋体"/>
                <w:color w:val="auto"/>
                <w:sz w:val="24"/>
                <w:szCs w:val="24"/>
              </w:rPr>
            </w:pPr>
          </w:p>
        </w:tc>
        <w:tc>
          <w:tcPr>
            <w:tcW w:w="5011" w:type="dxa"/>
            <w:vAlign w:val="center"/>
          </w:tcPr>
          <w:p w14:paraId="54E3DEC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操作界面风格统一。界面操作简单，流程清晰。</w:t>
            </w:r>
            <w:r>
              <w:rPr>
                <w:rFonts w:hint="eastAsia" w:ascii="宋体" w:hAnsi="宋体" w:eastAsia="宋体" w:cs="宋体"/>
                <w:color w:val="auto"/>
                <w:sz w:val="24"/>
                <w:szCs w:val="24"/>
              </w:rPr>
              <w:t>可以根据数字图书馆推广工程的需要，提供统一的、个性化定制系统功能和用户界面。</w:t>
            </w:r>
          </w:p>
        </w:tc>
      </w:tr>
      <w:tr w14:paraId="4444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restart"/>
            <w:vAlign w:val="center"/>
          </w:tcPr>
          <w:p w14:paraId="01D6379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688" w:type="dxa"/>
            <w:vMerge w:val="restart"/>
            <w:vAlign w:val="center"/>
          </w:tcPr>
          <w:p w14:paraId="121EB8A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数据管理能力</w:t>
            </w:r>
          </w:p>
        </w:tc>
        <w:tc>
          <w:tcPr>
            <w:tcW w:w="5011" w:type="dxa"/>
            <w:vAlign w:val="center"/>
          </w:tcPr>
          <w:p w14:paraId="3F9EA5A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系统兼容性能好，管理方便，具有良好的后台管理功能，可实现电子期刊的分类、期刊推荐、阅读排行、用户管理等功能。</w:t>
            </w:r>
          </w:p>
        </w:tc>
      </w:tr>
      <w:tr w14:paraId="6B60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vAlign w:val="center"/>
          </w:tcPr>
          <w:p w14:paraId="20CBA0CC">
            <w:pPr>
              <w:jc w:val="center"/>
              <w:rPr>
                <w:rFonts w:hint="eastAsia" w:ascii="宋体" w:hAnsi="宋体" w:eastAsia="宋体" w:cs="宋体"/>
                <w:color w:val="auto"/>
                <w:sz w:val="24"/>
                <w:szCs w:val="24"/>
              </w:rPr>
            </w:pPr>
          </w:p>
        </w:tc>
        <w:tc>
          <w:tcPr>
            <w:tcW w:w="2688" w:type="dxa"/>
            <w:vMerge w:val="continue"/>
            <w:vAlign w:val="center"/>
          </w:tcPr>
          <w:p w14:paraId="3EE46F7A">
            <w:pPr>
              <w:jc w:val="center"/>
              <w:rPr>
                <w:rFonts w:hint="eastAsia" w:ascii="宋体" w:hAnsi="宋体" w:eastAsia="宋体" w:cs="宋体"/>
                <w:color w:val="auto"/>
                <w:sz w:val="24"/>
                <w:szCs w:val="24"/>
              </w:rPr>
            </w:pPr>
          </w:p>
        </w:tc>
        <w:tc>
          <w:tcPr>
            <w:tcW w:w="5011" w:type="dxa"/>
            <w:vAlign w:val="center"/>
          </w:tcPr>
          <w:p w14:paraId="5C956C1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具备智能的统计分析功能，包括：时间分析、用户分析、检索分析、使用量分析、下载量分析等。</w:t>
            </w:r>
          </w:p>
        </w:tc>
      </w:tr>
      <w:tr w14:paraId="284E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vAlign w:val="center"/>
          </w:tcPr>
          <w:p w14:paraId="75FBC24B">
            <w:pPr>
              <w:jc w:val="center"/>
              <w:rPr>
                <w:rFonts w:hint="eastAsia" w:ascii="宋体" w:hAnsi="宋体" w:eastAsia="宋体" w:cs="宋体"/>
                <w:color w:val="auto"/>
                <w:sz w:val="24"/>
                <w:szCs w:val="24"/>
              </w:rPr>
            </w:pPr>
          </w:p>
        </w:tc>
        <w:tc>
          <w:tcPr>
            <w:tcW w:w="2688" w:type="dxa"/>
            <w:vMerge w:val="continue"/>
            <w:vAlign w:val="center"/>
          </w:tcPr>
          <w:p w14:paraId="5659A4DD">
            <w:pPr>
              <w:jc w:val="center"/>
              <w:rPr>
                <w:rFonts w:hint="eastAsia" w:ascii="宋体" w:hAnsi="宋体" w:eastAsia="宋体" w:cs="宋体"/>
                <w:color w:val="auto"/>
                <w:sz w:val="24"/>
                <w:szCs w:val="24"/>
              </w:rPr>
            </w:pPr>
          </w:p>
        </w:tc>
        <w:tc>
          <w:tcPr>
            <w:tcW w:w="5011" w:type="dxa"/>
            <w:vAlign w:val="center"/>
          </w:tcPr>
          <w:p w14:paraId="4816A89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具备加密、信息安全传递等技术，实现数字内容的可控传播，能够防止电子期刊的非法拷贝、非法打印和传播。</w:t>
            </w:r>
          </w:p>
        </w:tc>
      </w:tr>
      <w:tr w14:paraId="7EAE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vAlign w:val="center"/>
          </w:tcPr>
          <w:p w14:paraId="71616073">
            <w:pPr>
              <w:jc w:val="center"/>
              <w:rPr>
                <w:rFonts w:hint="eastAsia" w:ascii="宋体" w:hAnsi="宋体" w:eastAsia="宋体" w:cs="宋体"/>
                <w:color w:val="auto"/>
                <w:sz w:val="24"/>
                <w:szCs w:val="24"/>
              </w:rPr>
            </w:pPr>
          </w:p>
        </w:tc>
        <w:tc>
          <w:tcPr>
            <w:tcW w:w="2688" w:type="dxa"/>
            <w:vMerge w:val="continue"/>
            <w:vAlign w:val="center"/>
          </w:tcPr>
          <w:p w14:paraId="3FBE0547">
            <w:pPr>
              <w:jc w:val="center"/>
              <w:rPr>
                <w:rFonts w:hint="eastAsia" w:ascii="宋体" w:hAnsi="宋体" w:eastAsia="宋体" w:cs="宋体"/>
                <w:color w:val="auto"/>
                <w:sz w:val="24"/>
                <w:szCs w:val="24"/>
              </w:rPr>
            </w:pPr>
          </w:p>
        </w:tc>
        <w:tc>
          <w:tcPr>
            <w:tcW w:w="5011" w:type="dxa"/>
            <w:vAlign w:val="center"/>
          </w:tcPr>
          <w:p w14:paraId="77DD450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提供电子期刊的中国机读目录CNMARC数据。</w:t>
            </w:r>
          </w:p>
        </w:tc>
      </w:tr>
      <w:tr w14:paraId="30D6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restart"/>
            <w:vAlign w:val="center"/>
          </w:tcPr>
          <w:p w14:paraId="074DF23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688" w:type="dxa"/>
            <w:vMerge w:val="restart"/>
            <w:vAlign w:val="center"/>
          </w:tcPr>
          <w:p w14:paraId="5451FAA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系统维护</w:t>
            </w:r>
          </w:p>
        </w:tc>
        <w:tc>
          <w:tcPr>
            <w:tcW w:w="5011" w:type="dxa"/>
            <w:vAlign w:val="center"/>
          </w:tcPr>
          <w:p w14:paraId="6808B36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系统具备7*24连续服务能力，具备异常监控系统，随机监控系统状态，不会因为运行时间增加而造成性能下降。</w:t>
            </w:r>
          </w:p>
        </w:tc>
      </w:tr>
      <w:tr w14:paraId="2BA1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vAlign w:val="center"/>
          </w:tcPr>
          <w:p w14:paraId="28AB413D">
            <w:pPr>
              <w:jc w:val="center"/>
              <w:rPr>
                <w:rFonts w:hint="eastAsia" w:ascii="宋体" w:hAnsi="宋体" w:eastAsia="宋体" w:cs="宋体"/>
                <w:color w:val="auto"/>
                <w:sz w:val="24"/>
                <w:szCs w:val="24"/>
              </w:rPr>
            </w:pPr>
          </w:p>
        </w:tc>
        <w:tc>
          <w:tcPr>
            <w:tcW w:w="2688" w:type="dxa"/>
            <w:vMerge w:val="continue"/>
            <w:vAlign w:val="center"/>
          </w:tcPr>
          <w:p w14:paraId="4CF285B8">
            <w:pPr>
              <w:jc w:val="center"/>
              <w:rPr>
                <w:rFonts w:hint="eastAsia" w:ascii="宋体" w:hAnsi="宋体" w:eastAsia="宋体" w:cs="宋体"/>
                <w:color w:val="auto"/>
                <w:sz w:val="24"/>
                <w:szCs w:val="24"/>
              </w:rPr>
            </w:pPr>
          </w:p>
        </w:tc>
        <w:tc>
          <w:tcPr>
            <w:tcW w:w="5011" w:type="dxa"/>
            <w:vAlign w:val="center"/>
          </w:tcPr>
          <w:p w14:paraId="0F00C56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提供本地镜像服务，售后工程师团队提供点对点的安装、更新、维护服务。</w:t>
            </w:r>
          </w:p>
        </w:tc>
      </w:tr>
      <w:tr w14:paraId="4971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vAlign w:val="center"/>
          </w:tcPr>
          <w:p w14:paraId="78594903">
            <w:pPr>
              <w:jc w:val="center"/>
              <w:rPr>
                <w:rFonts w:hint="eastAsia" w:ascii="宋体" w:hAnsi="宋体" w:eastAsia="宋体" w:cs="宋体"/>
                <w:color w:val="auto"/>
                <w:sz w:val="24"/>
                <w:szCs w:val="24"/>
              </w:rPr>
            </w:pPr>
          </w:p>
        </w:tc>
        <w:tc>
          <w:tcPr>
            <w:tcW w:w="2688" w:type="dxa"/>
            <w:vMerge w:val="continue"/>
            <w:vAlign w:val="center"/>
          </w:tcPr>
          <w:p w14:paraId="1452ECE8">
            <w:pPr>
              <w:jc w:val="center"/>
              <w:rPr>
                <w:rFonts w:hint="eastAsia" w:ascii="宋体" w:hAnsi="宋体" w:eastAsia="宋体" w:cs="宋体"/>
                <w:color w:val="auto"/>
                <w:sz w:val="24"/>
                <w:szCs w:val="24"/>
              </w:rPr>
            </w:pPr>
          </w:p>
        </w:tc>
        <w:tc>
          <w:tcPr>
            <w:tcW w:w="5011" w:type="dxa"/>
            <w:vAlign w:val="center"/>
          </w:tcPr>
          <w:p w14:paraId="4C573AA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当镜像数据发生故障时，可提供互联网在线服务，确保在突发性事件时用户能够获得不间断服务。</w:t>
            </w:r>
          </w:p>
        </w:tc>
      </w:tr>
    </w:tbl>
    <w:p w14:paraId="308E7823">
      <w:pPr>
        <w:rPr>
          <w:rFonts w:hint="eastAsia" w:ascii="宋体" w:hAnsi="宋体" w:eastAsia="宋体" w:cs="宋体"/>
          <w:color w:val="auto"/>
          <w:sz w:val="24"/>
          <w:szCs w:val="24"/>
        </w:rPr>
      </w:pPr>
    </w:p>
    <w:p w14:paraId="3292C613">
      <w:pPr>
        <w:snapToGrid w:val="0"/>
        <w:rPr>
          <w:rFonts w:ascii="宋体" w:hAnsi="宋体" w:cs="宋体"/>
          <w:b/>
          <w:color w:val="auto"/>
          <w:sz w:val="24"/>
        </w:rPr>
      </w:pPr>
      <w:r>
        <w:rPr>
          <w:rFonts w:hint="eastAsia" w:asciiTheme="minorEastAsia" w:hAnsiTheme="minorEastAsia" w:eastAsiaTheme="minorEastAsia" w:cstheme="minorEastAsia"/>
          <w:color w:val="auto"/>
          <w:lang w:val="en-US" w:eastAsia="zh-CN"/>
        </w:rPr>
        <w:t>五、</w:t>
      </w:r>
      <w:r>
        <w:rPr>
          <w:rFonts w:hint="eastAsia" w:ascii="宋体" w:hAnsi="宋体" w:cs="宋体"/>
          <w:b/>
          <w:color w:val="auto"/>
          <w:sz w:val="24"/>
        </w:rPr>
        <w:t>商务需求</w:t>
      </w:r>
    </w:p>
    <w:p w14:paraId="47CE3794">
      <w:pPr>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bCs/>
          <w:color w:val="auto"/>
          <w:sz w:val="24"/>
        </w:rPr>
        <w:t>▲</w:t>
      </w:r>
      <w:r>
        <w:rPr>
          <w:rFonts w:hint="eastAsia" w:ascii="宋体" w:hAnsi="宋体" w:cs="宋体"/>
          <w:b/>
          <w:color w:val="auto"/>
          <w:sz w:val="24"/>
        </w:rPr>
        <w:t>服务期：1年</w:t>
      </w:r>
      <w:r>
        <w:rPr>
          <w:rFonts w:hint="eastAsia" w:ascii="宋体" w:hAnsi="宋体" w:cs="宋体"/>
          <w:color w:val="auto"/>
          <w:sz w:val="24"/>
        </w:rPr>
        <w:t>（具体起止日期从合同签订之日算起）。</w:t>
      </w:r>
    </w:p>
    <w:p w14:paraId="12D40CD2">
      <w:pPr>
        <w:ind w:firstLine="480" w:firstLineChars="200"/>
        <w:rPr>
          <w:rFonts w:ascii="宋体" w:hAnsi="宋体" w:cs="宋体"/>
          <w:bCs/>
          <w:color w:val="auto"/>
          <w:sz w:val="24"/>
        </w:rPr>
      </w:pPr>
      <w:r>
        <w:rPr>
          <w:rFonts w:hint="eastAsia" w:ascii="宋体" w:hAnsi="宋体" w:cs="宋体"/>
          <w:color w:val="auto"/>
          <w:sz w:val="24"/>
        </w:rPr>
        <w:t>(2)</w:t>
      </w:r>
      <w:r>
        <w:rPr>
          <w:rFonts w:hint="eastAsia" w:ascii="宋体" w:hAnsi="宋体" w:cs="宋体"/>
          <w:bCs/>
          <w:color w:val="auto"/>
          <w:sz w:val="24"/>
        </w:rPr>
        <w:t>▲</w:t>
      </w:r>
      <w:r>
        <w:rPr>
          <w:rFonts w:hint="eastAsia" w:ascii="宋体" w:hAnsi="宋体" w:cs="宋体"/>
          <w:b/>
          <w:color w:val="auto"/>
          <w:sz w:val="24"/>
        </w:rPr>
        <w:t>付款方式：</w:t>
      </w:r>
      <w:r>
        <w:rPr>
          <w:rFonts w:hint="eastAsia" w:ascii="宋体" w:hAnsi="宋体" w:cs="宋体"/>
          <w:color w:val="auto"/>
          <w:sz w:val="24"/>
        </w:rPr>
        <w:t>合同签订后一个月内支付合同价的</w:t>
      </w:r>
      <w:r>
        <w:rPr>
          <w:rFonts w:ascii="宋体" w:hAnsi="宋体" w:cs="宋体"/>
          <w:color w:val="auto"/>
          <w:sz w:val="24"/>
        </w:rPr>
        <w:t>7</w:t>
      </w:r>
      <w:r>
        <w:rPr>
          <w:rFonts w:hint="eastAsia" w:ascii="宋体" w:hAnsi="宋体" w:cs="宋体"/>
          <w:color w:val="auto"/>
          <w:sz w:val="24"/>
        </w:rPr>
        <w:t>0%为预付款，余款按采购人要求完成后支付。</w:t>
      </w:r>
    </w:p>
    <w:p w14:paraId="161F1A02">
      <w:pPr>
        <w:autoSpaceDE w:val="0"/>
        <w:autoSpaceDN w:val="0"/>
        <w:snapToGrid w:val="0"/>
        <w:spacing w:line="360" w:lineRule="auto"/>
        <w:ind w:firstLine="480" w:firstLineChars="200"/>
        <w:textAlignment w:val="bottom"/>
        <w:rPr>
          <w:rFonts w:ascii="宋体" w:hAnsi="宋体" w:cs="宋体"/>
          <w:bCs/>
          <w:color w:val="auto"/>
          <w:sz w:val="24"/>
        </w:rPr>
      </w:pPr>
      <w:r>
        <w:rPr>
          <w:rFonts w:hint="eastAsia" w:ascii="宋体" w:hAnsi="宋体" w:cs="宋体"/>
          <w:bCs/>
          <w:color w:val="auto"/>
          <w:sz w:val="24"/>
        </w:rPr>
        <w:t>注：</w:t>
      </w:r>
    </w:p>
    <w:p w14:paraId="4EEFF09B">
      <w:pPr>
        <w:autoSpaceDE w:val="0"/>
        <w:autoSpaceDN w:val="0"/>
        <w:snapToGrid w:val="0"/>
        <w:spacing w:line="360" w:lineRule="auto"/>
        <w:ind w:firstLine="480" w:firstLineChars="200"/>
        <w:textAlignment w:val="bottom"/>
        <w:rPr>
          <w:rFonts w:ascii="宋体" w:hAnsi="宋体" w:cs="宋体"/>
          <w:bCs/>
          <w:color w:val="auto"/>
          <w:sz w:val="24"/>
        </w:rPr>
      </w:pPr>
      <w:r>
        <w:rPr>
          <w:rFonts w:hint="eastAsia" w:ascii="宋体" w:hAnsi="宋体" w:cs="宋体"/>
          <w:bCs/>
          <w:color w:val="auto"/>
          <w:sz w:val="24"/>
        </w:rPr>
        <w:t>1、除采购文件标注的参考品牌外，欢迎其它能满足本项目技术需求且性能与所注品牌相当的产品参与。</w:t>
      </w:r>
    </w:p>
    <w:p w14:paraId="5D30414B">
      <w:pPr>
        <w:autoSpaceDE w:val="0"/>
        <w:autoSpaceDN w:val="0"/>
        <w:snapToGrid w:val="0"/>
        <w:spacing w:line="360" w:lineRule="auto"/>
        <w:ind w:firstLine="480" w:firstLineChars="200"/>
        <w:textAlignment w:val="bottom"/>
        <w:rPr>
          <w:rFonts w:ascii="宋体" w:hAnsi="宋体" w:cs="宋体"/>
          <w:bCs/>
          <w:color w:val="auto"/>
          <w:sz w:val="24"/>
        </w:rPr>
      </w:pPr>
      <w:r>
        <w:rPr>
          <w:rFonts w:hint="eastAsia" w:ascii="宋体" w:hAnsi="宋体" w:cs="宋体"/>
          <w:bCs/>
          <w:color w:val="auto"/>
          <w:sz w:val="24"/>
        </w:rPr>
        <w:t>2、如有附图，仅作参考。</w:t>
      </w:r>
    </w:p>
    <w:p w14:paraId="1B7CF71D">
      <w:pPr>
        <w:autoSpaceDE w:val="0"/>
        <w:autoSpaceDN w:val="0"/>
        <w:snapToGrid w:val="0"/>
        <w:spacing w:line="360" w:lineRule="auto"/>
        <w:ind w:firstLine="480" w:firstLineChars="200"/>
        <w:textAlignment w:val="bottom"/>
        <w:rPr>
          <w:rFonts w:ascii="宋体" w:hAnsi="宋体" w:cs="宋体"/>
          <w:bCs/>
          <w:color w:val="auto"/>
          <w:sz w:val="24"/>
        </w:rPr>
      </w:pPr>
      <w:r>
        <w:rPr>
          <w:rFonts w:hint="eastAsia" w:ascii="宋体" w:hAnsi="宋体" w:cs="宋体"/>
          <w:bCs/>
          <w:color w:val="auto"/>
          <w:sz w:val="24"/>
        </w:rPr>
        <w:t>3、采购文件中打▲内容为实质性要求，不允许有负偏离，否则将以涉及无效响应条款作无效响应。</w:t>
      </w:r>
    </w:p>
    <w:p w14:paraId="069532CC">
      <w:pPr>
        <w:autoSpaceDE w:val="0"/>
        <w:autoSpaceDN w:val="0"/>
        <w:snapToGrid w:val="0"/>
        <w:spacing w:line="360" w:lineRule="auto"/>
        <w:ind w:firstLine="480" w:firstLineChars="200"/>
        <w:textAlignment w:val="bottom"/>
        <w:rPr>
          <w:rFonts w:ascii="宋体" w:hAnsi="宋体" w:cs="宋体"/>
          <w:bCs/>
          <w:color w:val="auto"/>
          <w:sz w:val="24"/>
        </w:rPr>
      </w:pPr>
      <w:r>
        <w:rPr>
          <w:rFonts w:hint="eastAsia" w:ascii="宋体" w:hAnsi="宋体" w:cs="宋体"/>
          <w:bCs/>
          <w:color w:val="auto"/>
          <w:sz w:val="24"/>
        </w:rPr>
        <w:t>4、成交供应商所提供的货物、服务须与响应承诺一致，不得以次充好、偷工减料，若在项目验收中发现有上述情况，将向有关部门举报，根据相关规定进行处理。</w:t>
      </w:r>
    </w:p>
    <w:p w14:paraId="5F939034">
      <w:pPr>
        <w:rPr>
          <w:rFonts w:hint="eastAsia" w:asciiTheme="minorEastAsia" w:hAnsiTheme="minorEastAsia" w:eastAsiaTheme="minorEastAsia" w:cstheme="minorEastAsia"/>
          <w:color w:val="auto"/>
          <w:lang w:val="en-US" w:eastAsia="zh-CN"/>
        </w:rPr>
      </w:pPr>
    </w:p>
    <w:p w14:paraId="067F699E">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w:t>
      </w:r>
    </w:p>
    <w:p w14:paraId="41A3E548">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1、如有附图，仅作参考。</w:t>
      </w:r>
    </w:p>
    <w:p w14:paraId="625D5543">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2、打▲内容为实质性要求，不允许有负偏离，否则将以涉及无效投标条款作无效投标。</w:t>
      </w:r>
    </w:p>
    <w:p w14:paraId="1B3D8CF7">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3、中标人所提供的货物、服务须与投标承诺一致，不得以次充好、偷工减料，若在项目验收中发现有上述情况，将向有关部门举报，根据相关规定进行处理。</w:t>
      </w:r>
    </w:p>
    <w:p w14:paraId="37BEDE4D">
      <w:pP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br w:type="page"/>
      </w:r>
    </w:p>
    <w:p w14:paraId="516F02DE">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30" w:name="_Toc184310303"/>
      <w:bookmarkEnd w:id="30"/>
      <w:bookmarkStart w:id="31" w:name="_Toc184308046"/>
      <w:bookmarkEnd w:id="31"/>
      <w:bookmarkStart w:id="32" w:name="_Toc184314467"/>
      <w:bookmarkEnd w:id="32"/>
      <w:bookmarkStart w:id="33" w:name="_Toc184312107"/>
      <w:bookmarkEnd w:id="33"/>
      <w:bookmarkStart w:id="34" w:name="_Toc184314454"/>
      <w:bookmarkEnd w:id="34"/>
      <w:bookmarkStart w:id="35" w:name="_Toc184313263"/>
      <w:bookmarkEnd w:id="35"/>
      <w:bookmarkStart w:id="36" w:name="_Toc184312137"/>
      <w:bookmarkEnd w:id="36"/>
      <w:bookmarkStart w:id="37" w:name="_Toc184310296"/>
      <w:bookmarkEnd w:id="37"/>
      <w:bookmarkStart w:id="38" w:name="_Toc184308058"/>
      <w:bookmarkEnd w:id="38"/>
      <w:bookmarkStart w:id="39" w:name="_Toc184312103"/>
      <w:bookmarkEnd w:id="39"/>
      <w:bookmarkStart w:id="40" w:name="_Toc184308067"/>
      <w:bookmarkEnd w:id="40"/>
      <w:bookmarkStart w:id="41" w:name="_Toc184312071"/>
      <w:bookmarkEnd w:id="41"/>
      <w:bookmarkStart w:id="42" w:name="_Toc184313291"/>
      <w:bookmarkEnd w:id="42"/>
      <w:bookmarkStart w:id="43" w:name="_Toc184313274"/>
      <w:bookmarkEnd w:id="43"/>
      <w:bookmarkStart w:id="44" w:name="_Toc184308062"/>
      <w:bookmarkEnd w:id="44"/>
      <w:bookmarkStart w:id="45" w:name="_Toc184312123"/>
      <w:bookmarkEnd w:id="45"/>
      <w:bookmarkStart w:id="46" w:name="_Toc184314464"/>
      <w:bookmarkEnd w:id="46"/>
      <w:bookmarkStart w:id="47" w:name="_Toc184314476"/>
      <w:bookmarkEnd w:id="47"/>
      <w:bookmarkStart w:id="48" w:name="_Toc184308039"/>
      <w:bookmarkEnd w:id="48"/>
      <w:bookmarkStart w:id="49" w:name="_Toc184312093"/>
      <w:bookmarkEnd w:id="49"/>
      <w:bookmarkStart w:id="50" w:name="_Toc184313243"/>
      <w:bookmarkEnd w:id="50"/>
      <w:bookmarkStart w:id="51" w:name="_Toc184312104"/>
      <w:bookmarkEnd w:id="51"/>
      <w:bookmarkStart w:id="52" w:name="_Toc184308055"/>
      <w:bookmarkEnd w:id="52"/>
      <w:bookmarkStart w:id="53" w:name="_Toc184314479"/>
      <w:bookmarkEnd w:id="53"/>
      <w:bookmarkStart w:id="54" w:name="_Toc184308049"/>
      <w:bookmarkEnd w:id="54"/>
      <w:bookmarkStart w:id="55" w:name="_Toc184312110"/>
      <w:bookmarkEnd w:id="55"/>
      <w:bookmarkStart w:id="56" w:name="_Toc184310274"/>
      <w:bookmarkEnd w:id="56"/>
      <w:bookmarkStart w:id="57" w:name="_Toc184314465"/>
      <w:bookmarkEnd w:id="57"/>
      <w:bookmarkStart w:id="58" w:name="_Toc184313245"/>
      <w:bookmarkEnd w:id="58"/>
      <w:bookmarkStart w:id="59" w:name="_Toc184308042"/>
      <w:bookmarkEnd w:id="59"/>
      <w:bookmarkStart w:id="60" w:name="_Toc184312070"/>
      <w:bookmarkEnd w:id="60"/>
      <w:bookmarkStart w:id="61" w:name="_Toc184308078"/>
      <w:bookmarkEnd w:id="61"/>
      <w:bookmarkStart w:id="62" w:name="_Toc184313304"/>
      <w:bookmarkEnd w:id="62"/>
      <w:bookmarkStart w:id="63" w:name="_Toc184314459"/>
      <w:bookmarkEnd w:id="63"/>
      <w:bookmarkStart w:id="64" w:name="_Toc184310285"/>
      <w:bookmarkEnd w:id="64"/>
      <w:bookmarkStart w:id="65" w:name="_Toc184308101"/>
      <w:bookmarkEnd w:id="65"/>
      <w:bookmarkStart w:id="66" w:name="_Toc184312077"/>
      <w:bookmarkEnd w:id="66"/>
      <w:bookmarkStart w:id="67" w:name="_Toc184313249"/>
      <w:bookmarkEnd w:id="67"/>
      <w:bookmarkStart w:id="68" w:name="_Toc184312139"/>
      <w:bookmarkEnd w:id="68"/>
      <w:bookmarkStart w:id="69" w:name="_Toc184314442"/>
      <w:bookmarkEnd w:id="69"/>
      <w:bookmarkStart w:id="70" w:name="_Toc184310272"/>
      <w:bookmarkEnd w:id="70"/>
      <w:bookmarkStart w:id="71" w:name="_Toc184308077"/>
      <w:bookmarkEnd w:id="71"/>
      <w:bookmarkStart w:id="72" w:name="_Toc184314439"/>
      <w:bookmarkEnd w:id="72"/>
      <w:bookmarkStart w:id="73" w:name="_Toc184312086"/>
      <w:bookmarkEnd w:id="73"/>
      <w:bookmarkStart w:id="74" w:name="_Toc184313279"/>
      <w:bookmarkEnd w:id="74"/>
      <w:bookmarkStart w:id="75" w:name="_Toc184314478"/>
      <w:bookmarkEnd w:id="75"/>
      <w:bookmarkStart w:id="76" w:name="_Toc184314422"/>
      <w:bookmarkEnd w:id="76"/>
      <w:bookmarkStart w:id="77" w:name="_Toc184314423"/>
      <w:bookmarkEnd w:id="77"/>
      <w:bookmarkStart w:id="78" w:name="_Toc184310319"/>
      <w:bookmarkEnd w:id="78"/>
      <w:bookmarkStart w:id="79" w:name="_Toc184308090"/>
      <w:bookmarkEnd w:id="79"/>
      <w:bookmarkStart w:id="80" w:name="_Toc184308080"/>
      <w:bookmarkEnd w:id="80"/>
      <w:bookmarkStart w:id="81" w:name="_Toc184313238"/>
      <w:bookmarkEnd w:id="81"/>
      <w:bookmarkStart w:id="82" w:name="_Toc184312084"/>
      <w:bookmarkEnd w:id="82"/>
      <w:bookmarkStart w:id="83" w:name="_Toc184312072"/>
      <w:bookmarkEnd w:id="83"/>
      <w:bookmarkStart w:id="84" w:name="_Toc184310283"/>
      <w:bookmarkEnd w:id="84"/>
      <w:bookmarkStart w:id="85" w:name="_Toc184314447"/>
      <w:bookmarkEnd w:id="85"/>
      <w:bookmarkStart w:id="86" w:name="_Toc184310275"/>
      <w:bookmarkEnd w:id="86"/>
      <w:bookmarkStart w:id="87" w:name="_Toc184313252"/>
      <w:bookmarkEnd w:id="87"/>
      <w:bookmarkStart w:id="88" w:name="_Toc184312119"/>
      <w:bookmarkEnd w:id="88"/>
      <w:bookmarkStart w:id="89" w:name="_Toc184313250"/>
      <w:bookmarkEnd w:id="89"/>
      <w:bookmarkStart w:id="90" w:name="_Toc184312105"/>
      <w:bookmarkEnd w:id="90"/>
      <w:bookmarkStart w:id="91" w:name="_Toc184310321"/>
      <w:bookmarkEnd w:id="91"/>
      <w:bookmarkStart w:id="92" w:name="_Toc184312067"/>
      <w:bookmarkEnd w:id="92"/>
      <w:bookmarkStart w:id="93" w:name="_Toc184313254"/>
      <w:bookmarkEnd w:id="93"/>
      <w:bookmarkStart w:id="94" w:name="_Toc184308083"/>
      <w:bookmarkEnd w:id="94"/>
      <w:bookmarkStart w:id="95" w:name="_Toc184314451"/>
      <w:bookmarkEnd w:id="95"/>
      <w:bookmarkStart w:id="96" w:name="_Toc184310282"/>
      <w:bookmarkEnd w:id="96"/>
      <w:bookmarkStart w:id="97" w:name="_Toc184310278"/>
      <w:bookmarkEnd w:id="97"/>
      <w:bookmarkStart w:id="98" w:name="_Toc184313271"/>
      <w:bookmarkEnd w:id="98"/>
      <w:bookmarkStart w:id="99" w:name="_Toc184308099"/>
      <w:bookmarkEnd w:id="99"/>
      <w:bookmarkStart w:id="100" w:name="_Toc184313282"/>
      <w:bookmarkEnd w:id="100"/>
      <w:bookmarkStart w:id="101" w:name="_Toc184310338"/>
      <w:bookmarkEnd w:id="101"/>
      <w:bookmarkStart w:id="102" w:name="_Toc184310331"/>
      <w:bookmarkEnd w:id="102"/>
      <w:bookmarkStart w:id="103" w:name="_Toc184314468"/>
      <w:bookmarkEnd w:id="103"/>
      <w:bookmarkStart w:id="104" w:name="_Toc184313253"/>
      <w:bookmarkEnd w:id="104"/>
      <w:bookmarkStart w:id="105" w:name="_Toc184310273"/>
      <w:bookmarkEnd w:id="105"/>
      <w:bookmarkStart w:id="106" w:name="_Toc184314434"/>
      <w:bookmarkEnd w:id="106"/>
      <w:bookmarkStart w:id="107" w:name="_Toc184308066"/>
      <w:bookmarkEnd w:id="107"/>
      <w:bookmarkStart w:id="108" w:name="_Toc184314475"/>
      <w:bookmarkEnd w:id="108"/>
      <w:bookmarkStart w:id="109" w:name="_Toc184308096"/>
      <w:bookmarkEnd w:id="109"/>
      <w:bookmarkStart w:id="110" w:name="_Toc184313272"/>
      <w:bookmarkEnd w:id="110"/>
      <w:bookmarkStart w:id="111" w:name="_Toc184314452"/>
      <w:bookmarkEnd w:id="111"/>
      <w:bookmarkStart w:id="112" w:name="_Toc184313281"/>
      <w:bookmarkEnd w:id="112"/>
      <w:bookmarkStart w:id="113" w:name="_Toc184308073"/>
      <w:bookmarkEnd w:id="113"/>
      <w:bookmarkStart w:id="114" w:name="_Toc184313241"/>
      <w:bookmarkEnd w:id="114"/>
      <w:bookmarkStart w:id="115" w:name="_Toc184313261"/>
      <w:bookmarkEnd w:id="115"/>
      <w:bookmarkStart w:id="116" w:name="_Toc184310280"/>
      <w:bookmarkEnd w:id="116"/>
      <w:bookmarkStart w:id="117" w:name="_Toc184314457"/>
      <w:bookmarkEnd w:id="117"/>
      <w:bookmarkStart w:id="118" w:name="_Toc184310302"/>
      <w:bookmarkEnd w:id="118"/>
      <w:bookmarkStart w:id="119" w:name="_Toc184313244"/>
      <w:bookmarkEnd w:id="119"/>
      <w:bookmarkStart w:id="120" w:name="_Toc184312131"/>
      <w:bookmarkEnd w:id="120"/>
      <w:bookmarkStart w:id="121" w:name="_Toc184313256"/>
      <w:bookmarkEnd w:id="121"/>
      <w:bookmarkStart w:id="122" w:name="_Toc184313266"/>
      <w:bookmarkEnd w:id="122"/>
      <w:bookmarkStart w:id="123" w:name="_Toc184314458"/>
      <w:bookmarkEnd w:id="123"/>
      <w:bookmarkStart w:id="124" w:name="_Toc184310304"/>
      <w:bookmarkEnd w:id="124"/>
      <w:bookmarkStart w:id="125" w:name="_Toc184312080"/>
      <w:bookmarkEnd w:id="125"/>
      <w:bookmarkStart w:id="126" w:name="_Toc184308051"/>
      <w:bookmarkEnd w:id="126"/>
      <w:bookmarkStart w:id="127" w:name="_Toc184313295"/>
      <w:bookmarkEnd w:id="127"/>
      <w:bookmarkStart w:id="128" w:name="_Toc184310291"/>
      <w:bookmarkEnd w:id="128"/>
      <w:bookmarkStart w:id="129" w:name="_Toc184310287"/>
      <w:bookmarkEnd w:id="129"/>
      <w:bookmarkStart w:id="130" w:name="_Toc184313298"/>
      <w:bookmarkEnd w:id="130"/>
      <w:bookmarkStart w:id="131" w:name="_Toc184314437"/>
      <w:bookmarkEnd w:id="131"/>
      <w:bookmarkStart w:id="132" w:name="_Toc184308093"/>
      <w:bookmarkEnd w:id="132"/>
      <w:bookmarkStart w:id="133" w:name="_Toc184313283"/>
      <w:bookmarkEnd w:id="133"/>
      <w:bookmarkStart w:id="134" w:name="_Toc184313300"/>
      <w:bookmarkEnd w:id="134"/>
      <w:bookmarkStart w:id="135" w:name="_Toc184308085"/>
      <w:bookmarkEnd w:id="135"/>
      <w:bookmarkStart w:id="136" w:name="_Toc184314410"/>
      <w:bookmarkEnd w:id="136"/>
      <w:bookmarkStart w:id="137" w:name="_Toc184314446"/>
      <w:bookmarkEnd w:id="137"/>
      <w:bookmarkStart w:id="138" w:name="_Toc184312085"/>
      <w:bookmarkEnd w:id="138"/>
      <w:bookmarkStart w:id="139" w:name="_Toc184314427"/>
      <w:bookmarkEnd w:id="139"/>
      <w:bookmarkStart w:id="140" w:name="_Toc184308081"/>
      <w:bookmarkEnd w:id="140"/>
      <w:bookmarkStart w:id="141" w:name="_Toc184314443"/>
      <w:bookmarkEnd w:id="141"/>
      <w:bookmarkStart w:id="142" w:name="_Toc184312126"/>
      <w:bookmarkEnd w:id="142"/>
      <w:bookmarkStart w:id="143" w:name="_Toc184310335"/>
      <w:bookmarkEnd w:id="143"/>
      <w:bookmarkStart w:id="144" w:name="_Toc184308048"/>
      <w:bookmarkEnd w:id="144"/>
      <w:bookmarkStart w:id="145" w:name="_Toc184314433"/>
      <w:bookmarkEnd w:id="145"/>
      <w:bookmarkStart w:id="146" w:name="_Toc184312096"/>
      <w:bookmarkEnd w:id="146"/>
      <w:bookmarkStart w:id="147" w:name="_Toc184310297"/>
      <w:bookmarkEnd w:id="147"/>
      <w:bookmarkStart w:id="148" w:name="_Toc184312121"/>
      <w:bookmarkEnd w:id="148"/>
      <w:bookmarkStart w:id="149" w:name="_Toc184310327"/>
      <w:bookmarkEnd w:id="149"/>
      <w:bookmarkStart w:id="150" w:name="_Toc184312106"/>
      <w:bookmarkEnd w:id="150"/>
      <w:bookmarkStart w:id="151" w:name="_Toc184313299"/>
      <w:bookmarkEnd w:id="151"/>
      <w:bookmarkStart w:id="152" w:name="_Toc184312138"/>
      <w:bookmarkEnd w:id="152"/>
      <w:bookmarkStart w:id="153" w:name="_Toc184312102"/>
      <w:bookmarkEnd w:id="153"/>
      <w:bookmarkStart w:id="154" w:name="_Toc184312130"/>
      <w:bookmarkEnd w:id="154"/>
      <w:bookmarkStart w:id="155" w:name="_Toc184308103"/>
      <w:bookmarkEnd w:id="155"/>
      <w:bookmarkStart w:id="156" w:name="_Toc184308037"/>
      <w:bookmarkEnd w:id="156"/>
      <w:bookmarkStart w:id="157" w:name="_Toc184314445"/>
      <w:bookmarkEnd w:id="157"/>
      <w:bookmarkStart w:id="158" w:name="_Toc184312108"/>
      <w:bookmarkEnd w:id="158"/>
      <w:bookmarkStart w:id="159" w:name="_Toc184312078"/>
      <w:bookmarkEnd w:id="159"/>
      <w:bookmarkStart w:id="160" w:name="_Toc184308087"/>
      <w:bookmarkEnd w:id="160"/>
      <w:bookmarkStart w:id="161" w:name="_Toc184310277"/>
      <w:bookmarkEnd w:id="161"/>
      <w:bookmarkStart w:id="162" w:name="_Toc184312120"/>
      <w:bookmarkEnd w:id="162"/>
      <w:bookmarkStart w:id="163" w:name="_Toc184310307"/>
      <w:bookmarkEnd w:id="163"/>
      <w:bookmarkStart w:id="164" w:name="_Toc184313303"/>
      <w:bookmarkEnd w:id="164"/>
      <w:bookmarkStart w:id="165" w:name="_Toc184313242"/>
      <w:bookmarkEnd w:id="165"/>
      <w:bookmarkStart w:id="166" w:name="_Toc184312075"/>
      <w:bookmarkEnd w:id="166"/>
      <w:bookmarkStart w:id="167" w:name="_Toc184313273"/>
      <w:bookmarkEnd w:id="167"/>
      <w:bookmarkStart w:id="168" w:name="_Toc184313286"/>
      <w:bookmarkEnd w:id="168"/>
      <w:bookmarkStart w:id="169" w:name="_Toc184312113"/>
      <w:bookmarkEnd w:id="169"/>
      <w:bookmarkStart w:id="170" w:name="_Toc184308088"/>
      <w:bookmarkEnd w:id="170"/>
      <w:bookmarkStart w:id="171" w:name="_Toc184313294"/>
      <w:bookmarkEnd w:id="171"/>
      <w:bookmarkStart w:id="172" w:name="_Toc184308043"/>
      <w:bookmarkEnd w:id="172"/>
      <w:bookmarkStart w:id="173" w:name="_Toc184310309"/>
      <w:bookmarkEnd w:id="173"/>
      <w:bookmarkStart w:id="174" w:name="_Toc184308089"/>
      <w:bookmarkEnd w:id="174"/>
      <w:bookmarkStart w:id="175" w:name="_Toc184308064"/>
      <w:bookmarkEnd w:id="175"/>
      <w:bookmarkStart w:id="176" w:name="_Toc184313308"/>
      <w:bookmarkEnd w:id="176"/>
      <w:bookmarkStart w:id="177" w:name="_Toc184312115"/>
      <w:bookmarkEnd w:id="177"/>
      <w:bookmarkStart w:id="178" w:name="_Toc184314469"/>
      <w:bookmarkEnd w:id="178"/>
      <w:bookmarkStart w:id="179" w:name="_Toc184308075"/>
      <w:bookmarkEnd w:id="179"/>
      <w:bookmarkStart w:id="180" w:name="_Toc184310284"/>
      <w:bookmarkEnd w:id="180"/>
      <w:bookmarkStart w:id="181" w:name="_Toc184312127"/>
      <w:bookmarkEnd w:id="181"/>
      <w:bookmarkStart w:id="182" w:name="_Toc184314417"/>
      <w:bookmarkEnd w:id="182"/>
      <w:bookmarkStart w:id="183" w:name="_Toc184312089"/>
      <w:bookmarkEnd w:id="183"/>
      <w:bookmarkStart w:id="184" w:name="_Toc184312094"/>
      <w:bookmarkEnd w:id="184"/>
      <w:bookmarkStart w:id="185" w:name="_Toc184312117"/>
      <w:bookmarkEnd w:id="185"/>
      <w:bookmarkStart w:id="186" w:name="_Toc184308040"/>
      <w:bookmarkEnd w:id="186"/>
      <w:bookmarkStart w:id="187" w:name="_Toc184308106"/>
      <w:bookmarkEnd w:id="187"/>
      <w:bookmarkStart w:id="188" w:name="_Toc184308045"/>
      <w:bookmarkEnd w:id="188"/>
      <w:bookmarkStart w:id="189" w:name="_Toc184308107"/>
      <w:bookmarkEnd w:id="189"/>
      <w:bookmarkStart w:id="190" w:name="_Toc184312068"/>
      <w:bookmarkEnd w:id="190"/>
      <w:bookmarkStart w:id="191" w:name="_Toc184314429"/>
      <w:bookmarkEnd w:id="191"/>
      <w:bookmarkStart w:id="192" w:name="_Toc184312124"/>
      <w:bookmarkEnd w:id="192"/>
      <w:bookmarkStart w:id="193" w:name="_Toc184313292"/>
      <w:bookmarkEnd w:id="193"/>
      <w:bookmarkStart w:id="194" w:name="_Toc184310289"/>
      <w:bookmarkEnd w:id="194"/>
      <w:bookmarkStart w:id="195" w:name="_Toc184312133"/>
      <w:bookmarkEnd w:id="195"/>
      <w:bookmarkStart w:id="196" w:name="_Toc184312073"/>
      <w:bookmarkEnd w:id="196"/>
      <w:bookmarkStart w:id="197" w:name="_Toc184312125"/>
      <w:bookmarkEnd w:id="197"/>
      <w:bookmarkStart w:id="198" w:name="_Toc184310288"/>
      <w:bookmarkEnd w:id="198"/>
      <w:bookmarkStart w:id="199" w:name="_Toc184308061"/>
      <w:bookmarkEnd w:id="199"/>
      <w:bookmarkStart w:id="200" w:name="_Toc184310337"/>
      <w:bookmarkEnd w:id="200"/>
      <w:bookmarkStart w:id="201" w:name="_Toc184310333"/>
      <w:bookmarkEnd w:id="201"/>
      <w:bookmarkStart w:id="202" w:name="_Toc184310300"/>
      <w:bookmarkEnd w:id="202"/>
      <w:bookmarkStart w:id="203" w:name="_Toc184310336"/>
      <w:bookmarkEnd w:id="203"/>
      <w:bookmarkStart w:id="204" w:name="_Toc184310293"/>
      <w:bookmarkEnd w:id="204"/>
      <w:bookmarkStart w:id="205" w:name="_Toc184313277"/>
      <w:bookmarkEnd w:id="205"/>
      <w:bookmarkStart w:id="206" w:name="_Toc184308086"/>
      <w:bookmarkEnd w:id="206"/>
      <w:bookmarkStart w:id="207" w:name="_Toc184310340"/>
      <w:bookmarkEnd w:id="207"/>
      <w:bookmarkStart w:id="208" w:name="_Toc184313285"/>
      <w:bookmarkEnd w:id="208"/>
      <w:bookmarkStart w:id="209" w:name="_Toc184310294"/>
      <w:bookmarkEnd w:id="209"/>
      <w:bookmarkStart w:id="210" w:name="_Toc184314412"/>
      <w:bookmarkEnd w:id="210"/>
      <w:bookmarkStart w:id="211" w:name="_Toc184308044"/>
      <w:bookmarkEnd w:id="211"/>
      <w:bookmarkStart w:id="212" w:name="_Toc184314460"/>
      <w:bookmarkEnd w:id="212"/>
      <w:bookmarkStart w:id="213" w:name="_Toc184312114"/>
      <w:bookmarkEnd w:id="213"/>
      <w:bookmarkStart w:id="214" w:name="_Toc184310308"/>
      <w:bookmarkEnd w:id="214"/>
      <w:bookmarkStart w:id="215" w:name="_Toc184313257"/>
      <w:bookmarkEnd w:id="215"/>
      <w:bookmarkStart w:id="216" w:name="_Toc184312135"/>
      <w:bookmarkEnd w:id="216"/>
      <w:bookmarkStart w:id="217" w:name="_Toc184308072"/>
      <w:bookmarkEnd w:id="217"/>
      <w:bookmarkStart w:id="218" w:name="_Toc184308054"/>
      <w:bookmarkEnd w:id="218"/>
      <w:bookmarkStart w:id="219" w:name="_Toc184310295"/>
      <w:bookmarkEnd w:id="219"/>
      <w:bookmarkStart w:id="220" w:name="_Toc184312099"/>
      <w:bookmarkEnd w:id="220"/>
      <w:bookmarkStart w:id="221" w:name="_Toc184312092"/>
      <w:bookmarkEnd w:id="221"/>
      <w:bookmarkStart w:id="222" w:name="_Toc184308098"/>
      <w:bookmarkEnd w:id="222"/>
      <w:bookmarkStart w:id="223" w:name="_Toc184314481"/>
      <w:bookmarkEnd w:id="223"/>
      <w:bookmarkStart w:id="224" w:name="_Toc184310281"/>
      <w:bookmarkEnd w:id="224"/>
      <w:bookmarkStart w:id="225" w:name="_Toc184308076"/>
      <w:bookmarkEnd w:id="225"/>
      <w:bookmarkStart w:id="226" w:name="_Toc184313255"/>
      <w:bookmarkEnd w:id="226"/>
      <w:bookmarkStart w:id="227" w:name="_Toc184313307"/>
      <w:bookmarkEnd w:id="227"/>
      <w:bookmarkStart w:id="228" w:name="_Toc184308079"/>
      <w:bookmarkEnd w:id="228"/>
      <w:bookmarkStart w:id="229" w:name="_Toc184314435"/>
      <w:bookmarkEnd w:id="229"/>
      <w:bookmarkStart w:id="230" w:name="_Toc184312116"/>
      <w:bookmarkEnd w:id="230"/>
      <w:bookmarkStart w:id="231" w:name="_Toc184314414"/>
      <w:bookmarkEnd w:id="231"/>
      <w:bookmarkStart w:id="232" w:name="_Toc184312134"/>
      <w:bookmarkEnd w:id="232"/>
      <w:bookmarkStart w:id="233" w:name="_Toc184314463"/>
      <w:bookmarkEnd w:id="233"/>
      <w:bookmarkStart w:id="234" w:name="_Toc184310328"/>
      <w:bookmarkEnd w:id="234"/>
      <w:bookmarkStart w:id="235" w:name="_Toc184314438"/>
      <w:bookmarkEnd w:id="235"/>
      <w:bookmarkStart w:id="236" w:name="_Toc184313302"/>
      <w:bookmarkEnd w:id="236"/>
      <w:bookmarkStart w:id="237" w:name="_Toc184310326"/>
      <w:bookmarkEnd w:id="237"/>
      <w:bookmarkStart w:id="238" w:name="_Toc184312097"/>
      <w:bookmarkEnd w:id="238"/>
      <w:bookmarkStart w:id="239" w:name="_Toc184310290"/>
      <w:bookmarkEnd w:id="239"/>
      <w:bookmarkStart w:id="240" w:name="_Toc184313240"/>
      <w:bookmarkEnd w:id="240"/>
      <w:bookmarkStart w:id="241" w:name="_Toc184313287"/>
      <w:bookmarkEnd w:id="241"/>
      <w:bookmarkStart w:id="242" w:name="_Toc184310323"/>
      <w:bookmarkEnd w:id="242"/>
      <w:bookmarkStart w:id="243" w:name="_Toc184313262"/>
      <w:bookmarkEnd w:id="243"/>
      <w:bookmarkStart w:id="244" w:name="_Toc184308105"/>
      <w:bookmarkEnd w:id="244"/>
      <w:bookmarkStart w:id="245" w:name="_Toc184308092"/>
      <w:bookmarkEnd w:id="245"/>
      <w:bookmarkStart w:id="246" w:name="_Toc184313270"/>
      <w:bookmarkEnd w:id="246"/>
      <w:bookmarkStart w:id="247" w:name="_Toc184308095"/>
      <w:bookmarkEnd w:id="247"/>
      <w:bookmarkStart w:id="248" w:name="_Toc184312083"/>
      <w:bookmarkEnd w:id="248"/>
      <w:bookmarkStart w:id="249" w:name="_Toc184308071"/>
      <w:bookmarkEnd w:id="249"/>
      <w:bookmarkStart w:id="250" w:name="_Toc184308053"/>
      <w:bookmarkEnd w:id="250"/>
      <w:bookmarkStart w:id="251" w:name="_Toc184313301"/>
      <w:bookmarkEnd w:id="251"/>
      <w:bookmarkStart w:id="252" w:name="_Toc184314470"/>
      <w:bookmarkEnd w:id="252"/>
      <w:bookmarkStart w:id="253" w:name="_Toc184310341"/>
      <w:bookmarkEnd w:id="253"/>
      <w:bookmarkStart w:id="254" w:name="_Toc184312112"/>
      <w:bookmarkEnd w:id="254"/>
      <w:bookmarkStart w:id="255" w:name="_Toc184312132"/>
      <w:bookmarkEnd w:id="255"/>
      <w:bookmarkStart w:id="256" w:name="_Toc184313248"/>
      <w:bookmarkEnd w:id="256"/>
      <w:bookmarkStart w:id="257" w:name="_Toc184314415"/>
      <w:bookmarkEnd w:id="257"/>
      <w:bookmarkStart w:id="258" w:name="_Toc184308069"/>
      <w:bookmarkEnd w:id="258"/>
      <w:bookmarkStart w:id="259" w:name="_Toc184310317"/>
      <w:bookmarkEnd w:id="259"/>
      <w:bookmarkStart w:id="260" w:name="_Toc184314432"/>
      <w:bookmarkEnd w:id="260"/>
      <w:bookmarkStart w:id="261" w:name="_Toc184310276"/>
      <w:bookmarkEnd w:id="261"/>
      <w:bookmarkStart w:id="262" w:name="_Toc184314473"/>
      <w:bookmarkEnd w:id="262"/>
      <w:bookmarkStart w:id="263" w:name="_Toc184312095"/>
      <w:bookmarkEnd w:id="263"/>
      <w:bookmarkStart w:id="264" w:name="_Toc184314450"/>
      <w:bookmarkEnd w:id="264"/>
      <w:bookmarkStart w:id="265" w:name="_Toc184314428"/>
      <w:bookmarkEnd w:id="265"/>
      <w:bookmarkStart w:id="266" w:name="_Toc184313269"/>
      <w:bookmarkEnd w:id="266"/>
      <w:bookmarkStart w:id="267" w:name="_Toc184308097"/>
      <w:bookmarkEnd w:id="267"/>
      <w:bookmarkStart w:id="268" w:name="_Toc184312069"/>
      <w:bookmarkEnd w:id="268"/>
      <w:bookmarkStart w:id="269" w:name="_Toc184312076"/>
      <w:bookmarkEnd w:id="269"/>
      <w:bookmarkStart w:id="270" w:name="_Toc184310315"/>
      <w:bookmarkEnd w:id="270"/>
      <w:bookmarkStart w:id="271" w:name="_Toc184312074"/>
      <w:bookmarkEnd w:id="271"/>
      <w:bookmarkStart w:id="272" w:name="_Toc184310343"/>
      <w:bookmarkEnd w:id="272"/>
      <w:bookmarkStart w:id="273" w:name="_Toc184312091"/>
      <w:bookmarkEnd w:id="273"/>
      <w:bookmarkStart w:id="274" w:name="_Toc184310339"/>
      <w:bookmarkEnd w:id="274"/>
      <w:bookmarkStart w:id="275" w:name="_Toc184312122"/>
      <w:bookmarkEnd w:id="275"/>
      <w:bookmarkStart w:id="276" w:name="_Toc184314425"/>
      <w:bookmarkEnd w:id="276"/>
      <w:bookmarkStart w:id="277" w:name="_Toc184310313"/>
      <w:bookmarkEnd w:id="277"/>
      <w:bookmarkStart w:id="278" w:name="_Toc184308084"/>
      <w:bookmarkEnd w:id="278"/>
      <w:bookmarkStart w:id="279" w:name="_Toc184308104"/>
      <w:bookmarkEnd w:id="279"/>
      <w:bookmarkStart w:id="280" w:name="_Toc184312098"/>
      <w:bookmarkEnd w:id="280"/>
      <w:bookmarkStart w:id="281" w:name="_Toc184314430"/>
      <w:bookmarkEnd w:id="281"/>
      <w:bookmarkStart w:id="282" w:name="_Toc184314441"/>
      <w:bookmarkEnd w:id="282"/>
      <w:bookmarkStart w:id="283" w:name="_Toc184313297"/>
      <w:bookmarkEnd w:id="283"/>
      <w:bookmarkStart w:id="284" w:name="_Toc184314418"/>
      <w:bookmarkEnd w:id="284"/>
      <w:bookmarkStart w:id="285" w:name="_Toc184312101"/>
      <w:bookmarkEnd w:id="285"/>
      <w:bookmarkStart w:id="286" w:name="_Toc184308082"/>
      <w:bookmarkEnd w:id="286"/>
      <w:bookmarkStart w:id="287" w:name="_Toc184313296"/>
      <w:bookmarkEnd w:id="287"/>
      <w:bookmarkStart w:id="288" w:name="_Toc184314477"/>
      <w:bookmarkEnd w:id="288"/>
      <w:bookmarkStart w:id="289" w:name="_Toc184314461"/>
      <w:bookmarkEnd w:id="289"/>
      <w:bookmarkStart w:id="290" w:name="_Toc184313280"/>
      <w:bookmarkEnd w:id="290"/>
      <w:bookmarkStart w:id="291" w:name="_Toc184308047"/>
      <w:bookmarkEnd w:id="291"/>
      <w:bookmarkStart w:id="292" w:name="_Toc184314453"/>
      <w:bookmarkEnd w:id="292"/>
      <w:bookmarkStart w:id="293" w:name="_Toc184308094"/>
      <w:bookmarkEnd w:id="293"/>
      <w:bookmarkStart w:id="294" w:name="_Toc184308041"/>
      <w:bookmarkEnd w:id="294"/>
      <w:bookmarkStart w:id="295" w:name="_Toc184312136"/>
      <w:bookmarkEnd w:id="295"/>
      <w:bookmarkStart w:id="296" w:name="_Toc184314426"/>
      <w:bookmarkEnd w:id="296"/>
      <w:bookmarkStart w:id="297" w:name="_Toc184308060"/>
      <w:bookmarkEnd w:id="297"/>
      <w:bookmarkStart w:id="298" w:name="_Toc184310298"/>
      <w:bookmarkEnd w:id="298"/>
      <w:bookmarkStart w:id="299" w:name="_Toc184312082"/>
      <w:bookmarkEnd w:id="299"/>
      <w:bookmarkStart w:id="300" w:name="_Toc184314482"/>
      <w:bookmarkEnd w:id="300"/>
      <w:bookmarkStart w:id="301" w:name="_Toc184310316"/>
      <w:bookmarkEnd w:id="301"/>
      <w:bookmarkStart w:id="302" w:name="_Toc184312129"/>
      <w:bookmarkEnd w:id="302"/>
      <w:bookmarkStart w:id="303" w:name="_Toc184310312"/>
      <w:bookmarkEnd w:id="303"/>
      <w:bookmarkStart w:id="304" w:name="_Toc184314419"/>
      <w:bookmarkEnd w:id="304"/>
      <w:bookmarkStart w:id="305" w:name="_Toc184310286"/>
      <w:bookmarkEnd w:id="305"/>
      <w:bookmarkStart w:id="306" w:name="_Toc184314416"/>
      <w:bookmarkEnd w:id="306"/>
      <w:bookmarkStart w:id="307" w:name="_Toc184313284"/>
      <w:bookmarkEnd w:id="307"/>
      <w:bookmarkStart w:id="308" w:name="_Toc184310329"/>
      <w:bookmarkEnd w:id="308"/>
      <w:bookmarkStart w:id="309" w:name="_Toc184310330"/>
      <w:bookmarkEnd w:id="309"/>
      <w:bookmarkStart w:id="310" w:name="_Toc184313259"/>
      <w:bookmarkEnd w:id="310"/>
      <w:bookmarkStart w:id="311" w:name="_Toc184313268"/>
      <w:bookmarkEnd w:id="311"/>
      <w:bookmarkStart w:id="312" w:name="_Toc184313251"/>
      <w:bookmarkEnd w:id="312"/>
      <w:bookmarkStart w:id="313" w:name="_Toc184314413"/>
      <w:bookmarkEnd w:id="313"/>
      <w:bookmarkStart w:id="314" w:name="_Toc184313293"/>
      <w:bookmarkEnd w:id="314"/>
      <w:bookmarkStart w:id="315" w:name="_Toc184313278"/>
      <w:bookmarkEnd w:id="315"/>
      <w:bookmarkStart w:id="316" w:name="_Toc184310311"/>
      <w:bookmarkEnd w:id="316"/>
      <w:bookmarkStart w:id="317" w:name="_Toc184310310"/>
      <w:bookmarkEnd w:id="317"/>
      <w:bookmarkStart w:id="318" w:name="_Toc184312118"/>
      <w:bookmarkEnd w:id="318"/>
      <w:bookmarkStart w:id="319" w:name="_Toc184312087"/>
      <w:bookmarkEnd w:id="319"/>
      <w:bookmarkStart w:id="320" w:name="_Toc184310320"/>
      <w:bookmarkEnd w:id="320"/>
      <w:bookmarkStart w:id="321" w:name="_Toc184312109"/>
      <w:bookmarkEnd w:id="321"/>
      <w:bookmarkStart w:id="322" w:name="_Toc184308070"/>
      <w:bookmarkEnd w:id="322"/>
      <w:bookmarkStart w:id="323" w:name="_Toc184312111"/>
      <w:bookmarkEnd w:id="323"/>
      <w:bookmarkStart w:id="324" w:name="_Toc184310332"/>
      <w:bookmarkEnd w:id="324"/>
      <w:bookmarkStart w:id="325" w:name="_Toc184313264"/>
      <w:bookmarkEnd w:id="325"/>
      <w:bookmarkStart w:id="326" w:name="_Toc184310306"/>
      <w:bookmarkEnd w:id="326"/>
      <w:bookmarkStart w:id="327" w:name="_Toc184313310"/>
      <w:bookmarkEnd w:id="327"/>
      <w:bookmarkStart w:id="328" w:name="_Toc184314431"/>
      <w:bookmarkEnd w:id="328"/>
      <w:bookmarkStart w:id="329" w:name="_Toc184314411"/>
      <w:bookmarkEnd w:id="329"/>
      <w:bookmarkStart w:id="330" w:name="_Toc184310324"/>
      <w:bookmarkEnd w:id="330"/>
      <w:bookmarkStart w:id="331" w:name="_Toc184310318"/>
      <w:bookmarkEnd w:id="331"/>
      <w:bookmarkStart w:id="332" w:name="_Toc184314449"/>
      <w:bookmarkEnd w:id="332"/>
      <w:bookmarkStart w:id="333" w:name="_Toc184313246"/>
      <w:bookmarkEnd w:id="333"/>
      <w:bookmarkStart w:id="334" w:name="_Toc184314474"/>
      <w:bookmarkEnd w:id="334"/>
      <w:bookmarkStart w:id="335" w:name="_Toc184314436"/>
      <w:bookmarkEnd w:id="335"/>
      <w:bookmarkStart w:id="336" w:name="_Toc184310301"/>
      <w:bookmarkEnd w:id="336"/>
      <w:bookmarkStart w:id="337" w:name="_Toc184310342"/>
      <w:bookmarkEnd w:id="337"/>
      <w:bookmarkStart w:id="338" w:name="_Toc184314466"/>
      <w:bookmarkEnd w:id="338"/>
      <w:bookmarkStart w:id="339" w:name="_Toc184308091"/>
      <w:bookmarkEnd w:id="339"/>
      <w:bookmarkStart w:id="340" w:name="_Toc184314421"/>
      <w:bookmarkEnd w:id="340"/>
      <w:bookmarkStart w:id="341" w:name="_Toc184308057"/>
      <w:bookmarkEnd w:id="341"/>
      <w:bookmarkStart w:id="342" w:name="_Toc184310292"/>
      <w:bookmarkEnd w:id="342"/>
      <w:bookmarkStart w:id="343" w:name="_Toc184308102"/>
      <w:bookmarkEnd w:id="343"/>
      <w:bookmarkStart w:id="344" w:name="_Toc184313288"/>
      <w:bookmarkEnd w:id="344"/>
      <w:bookmarkStart w:id="345" w:name="_Toc184310299"/>
      <w:bookmarkEnd w:id="345"/>
      <w:bookmarkStart w:id="346" w:name="_Toc184314455"/>
      <w:bookmarkEnd w:id="346"/>
      <w:bookmarkStart w:id="347" w:name="_Toc184312090"/>
      <w:bookmarkEnd w:id="347"/>
      <w:bookmarkStart w:id="348" w:name="_Toc184312081"/>
      <w:bookmarkEnd w:id="348"/>
      <w:bookmarkStart w:id="349" w:name="_Toc184310334"/>
      <w:bookmarkEnd w:id="349"/>
      <w:bookmarkStart w:id="350" w:name="_Toc184313267"/>
      <w:bookmarkEnd w:id="350"/>
      <w:bookmarkStart w:id="351" w:name="_Toc184308065"/>
      <w:bookmarkEnd w:id="351"/>
      <w:bookmarkStart w:id="352" w:name="_Toc184313289"/>
      <w:bookmarkEnd w:id="352"/>
      <w:bookmarkStart w:id="353" w:name="_Toc184310279"/>
      <w:bookmarkEnd w:id="353"/>
      <w:bookmarkStart w:id="354" w:name="_Toc184308036"/>
      <w:bookmarkEnd w:id="354"/>
      <w:bookmarkStart w:id="355" w:name="_Toc184308056"/>
      <w:bookmarkEnd w:id="355"/>
      <w:bookmarkStart w:id="356" w:name="_Toc184308068"/>
      <w:bookmarkEnd w:id="356"/>
      <w:bookmarkStart w:id="357" w:name="_Toc184314424"/>
      <w:bookmarkEnd w:id="357"/>
      <w:bookmarkStart w:id="358" w:name="_Toc184314420"/>
      <w:bookmarkEnd w:id="358"/>
      <w:bookmarkStart w:id="359" w:name="_Toc184314440"/>
      <w:bookmarkEnd w:id="359"/>
      <w:bookmarkStart w:id="360" w:name="_Toc184313306"/>
      <w:bookmarkEnd w:id="360"/>
      <w:bookmarkStart w:id="361" w:name="_Toc184310305"/>
      <w:bookmarkEnd w:id="361"/>
      <w:bookmarkStart w:id="362" w:name="_Toc184310325"/>
      <w:bookmarkEnd w:id="362"/>
      <w:bookmarkStart w:id="363" w:name="_Toc184312088"/>
      <w:bookmarkEnd w:id="363"/>
      <w:bookmarkStart w:id="364" w:name="_Toc184314462"/>
      <w:bookmarkEnd w:id="364"/>
      <w:bookmarkStart w:id="365" w:name="_Toc184310322"/>
      <w:bookmarkEnd w:id="365"/>
      <w:bookmarkStart w:id="366" w:name="_Toc184312128"/>
      <w:bookmarkEnd w:id="366"/>
      <w:bookmarkStart w:id="367" w:name="_Toc184308038"/>
      <w:bookmarkEnd w:id="367"/>
      <w:bookmarkStart w:id="368" w:name="_Toc184313305"/>
      <w:bookmarkEnd w:id="368"/>
      <w:bookmarkStart w:id="369" w:name="_Toc184314456"/>
      <w:bookmarkEnd w:id="369"/>
      <w:bookmarkStart w:id="370" w:name="_Toc184308050"/>
      <w:bookmarkEnd w:id="370"/>
      <w:bookmarkStart w:id="371" w:name="_Toc184308074"/>
      <w:bookmarkEnd w:id="371"/>
      <w:bookmarkStart w:id="372" w:name="_Toc184313290"/>
      <w:bookmarkEnd w:id="372"/>
      <w:bookmarkStart w:id="373" w:name="_Toc184313276"/>
      <w:bookmarkEnd w:id="373"/>
      <w:bookmarkStart w:id="374" w:name="_Toc184310344"/>
      <w:bookmarkEnd w:id="374"/>
      <w:bookmarkStart w:id="375" w:name="_Toc184313309"/>
      <w:bookmarkEnd w:id="375"/>
      <w:bookmarkStart w:id="376" w:name="_Toc184313239"/>
      <w:bookmarkEnd w:id="376"/>
      <w:bookmarkStart w:id="377" w:name="_Toc184314444"/>
      <w:bookmarkEnd w:id="377"/>
      <w:bookmarkStart w:id="378" w:name="_Toc184314448"/>
      <w:bookmarkEnd w:id="378"/>
      <w:bookmarkStart w:id="379" w:name="_Toc184313265"/>
      <w:bookmarkEnd w:id="379"/>
      <w:bookmarkStart w:id="380" w:name="_Toc184312079"/>
      <w:bookmarkEnd w:id="380"/>
      <w:bookmarkStart w:id="381" w:name="_Toc184314471"/>
      <w:bookmarkEnd w:id="381"/>
      <w:bookmarkStart w:id="382" w:name="_Toc184308063"/>
      <w:bookmarkEnd w:id="382"/>
      <w:bookmarkStart w:id="383" w:name="_Toc184312100"/>
      <w:bookmarkEnd w:id="383"/>
      <w:bookmarkStart w:id="384" w:name="_Toc184308100"/>
      <w:bookmarkEnd w:id="384"/>
      <w:bookmarkStart w:id="385" w:name="_Toc184308059"/>
      <w:bookmarkEnd w:id="385"/>
      <w:bookmarkStart w:id="386" w:name="_Toc184313247"/>
      <w:bookmarkEnd w:id="386"/>
      <w:bookmarkStart w:id="387" w:name="_Toc184313260"/>
      <w:bookmarkEnd w:id="387"/>
      <w:bookmarkStart w:id="388" w:name="_Toc184308108"/>
      <w:bookmarkEnd w:id="388"/>
      <w:bookmarkStart w:id="389" w:name="_Toc184313258"/>
      <w:bookmarkEnd w:id="389"/>
      <w:bookmarkStart w:id="390" w:name="_Toc184314480"/>
      <w:bookmarkEnd w:id="390"/>
      <w:bookmarkStart w:id="391" w:name="_Toc184314472"/>
      <w:bookmarkEnd w:id="391"/>
      <w:bookmarkStart w:id="392" w:name="_Toc184310314"/>
      <w:bookmarkEnd w:id="392"/>
      <w:bookmarkStart w:id="393" w:name="_Toc184308052"/>
      <w:bookmarkEnd w:id="393"/>
      <w:bookmarkStart w:id="394" w:name="_Toc184313275"/>
      <w:bookmarkEnd w:id="394"/>
      <w:r>
        <w:rPr>
          <w:rFonts w:hint="eastAsia" w:ascii="宋体" w:hAnsi="宋体" w:cs="宋体"/>
          <w:b/>
          <w:color w:val="auto"/>
          <w:sz w:val="36"/>
          <w:szCs w:val="36"/>
        </w:rPr>
        <w:t>评标办法</w:t>
      </w:r>
    </w:p>
    <w:p w14:paraId="7836700D">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bookmarkEnd w:id="26"/>
    <w:p w14:paraId="2AA6781C">
      <w:pPr>
        <w:widowControl/>
        <w:ind w:firstLine="482" w:firstLineChars="200"/>
        <w:jc w:val="left"/>
        <w:rPr>
          <w:rFonts w:ascii="宋体" w:hAnsi="宋体" w:cs="宋体"/>
          <w:b/>
          <w:bCs/>
          <w:color w:val="auto"/>
          <w:sz w:val="24"/>
        </w:rPr>
      </w:pPr>
      <w:bookmarkStart w:id="395" w:name="第五部分"/>
      <w:bookmarkStart w:id="396" w:name="_Toc86217003"/>
      <w:r>
        <w:rPr>
          <w:rFonts w:hint="eastAsia" w:ascii="宋体" w:hAnsi="宋体" w:cs="宋体"/>
          <w:b/>
          <w:bCs/>
          <w:color w:val="auto"/>
          <w:sz w:val="24"/>
        </w:rPr>
        <w:t>1、商务资信（9分）</w:t>
      </w:r>
    </w:p>
    <w:tbl>
      <w:tblPr>
        <w:tblStyle w:val="62"/>
        <w:tblpPr w:leftFromText="180" w:rightFromText="180" w:vertAnchor="text" w:horzAnchor="page" w:tblpX="1475" w:tblpY="384"/>
        <w:tblOverlap w:val="never"/>
        <w:tblW w:w="9168" w:type="dxa"/>
        <w:tblInd w:w="0" w:type="dxa"/>
        <w:tblLayout w:type="fixed"/>
        <w:tblCellMar>
          <w:top w:w="0" w:type="dxa"/>
          <w:left w:w="108" w:type="dxa"/>
          <w:bottom w:w="0" w:type="dxa"/>
          <w:right w:w="108" w:type="dxa"/>
        </w:tblCellMar>
      </w:tblPr>
      <w:tblGrid>
        <w:gridCol w:w="770"/>
        <w:gridCol w:w="457"/>
        <w:gridCol w:w="6225"/>
        <w:gridCol w:w="735"/>
        <w:gridCol w:w="981"/>
      </w:tblGrid>
      <w:tr w14:paraId="4CDF441A">
        <w:tblPrEx>
          <w:tblCellMar>
            <w:top w:w="0" w:type="dxa"/>
            <w:left w:w="108" w:type="dxa"/>
            <w:bottom w:w="0" w:type="dxa"/>
            <w:right w:w="108" w:type="dxa"/>
          </w:tblCellMar>
        </w:tblPrEx>
        <w:trPr>
          <w:trHeight w:val="506" w:hRule="atLeast"/>
        </w:trPr>
        <w:tc>
          <w:tcPr>
            <w:tcW w:w="770" w:type="dxa"/>
            <w:tcBorders>
              <w:top w:val="single" w:color="auto" w:sz="8" w:space="0"/>
              <w:left w:val="single" w:color="auto" w:sz="8" w:space="0"/>
              <w:bottom w:val="single" w:color="auto" w:sz="4" w:space="0"/>
              <w:right w:val="single" w:color="auto" w:sz="4" w:space="0"/>
            </w:tcBorders>
            <w:vAlign w:val="center"/>
          </w:tcPr>
          <w:p w14:paraId="472CA1C8">
            <w:pPr>
              <w:widowControl/>
              <w:jc w:val="center"/>
              <w:rPr>
                <w:rFonts w:ascii="宋体" w:hAnsi="宋体" w:cs="宋体"/>
                <w:bCs/>
                <w:color w:val="auto"/>
                <w:kern w:val="0"/>
                <w:sz w:val="24"/>
              </w:rPr>
            </w:pPr>
            <w:r>
              <w:rPr>
                <w:rFonts w:hint="eastAsia" w:ascii="宋体" w:hAnsi="宋体" w:cs="宋体"/>
                <w:bCs/>
                <w:color w:val="auto"/>
                <w:kern w:val="0"/>
                <w:sz w:val="24"/>
              </w:rPr>
              <w:t>序号</w:t>
            </w:r>
          </w:p>
        </w:tc>
        <w:tc>
          <w:tcPr>
            <w:tcW w:w="6682" w:type="dxa"/>
            <w:gridSpan w:val="2"/>
            <w:tcBorders>
              <w:top w:val="single" w:color="auto" w:sz="8" w:space="0"/>
              <w:left w:val="nil"/>
              <w:bottom w:val="single" w:color="auto" w:sz="4" w:space="0"/>
              <w:right w:val="single" w:color="auto" w:sz="4" w:space="0"/>
            </w:tcBorders>
            <w:vAlign w:val="center"/>
          </w:tcPr>
          <w:p w14:paraId="1B2F57FC">
            <w:pPr>
              <w:widowControl/>
              <w:jc w:val="center"/>
              <w:rPr>
                <w:rFonts w:ascii="宋体" w:hAnsi="宋体" w:cs="宋体"/>
                <w:bCs/>
                <w:color w:val="auto"/>
                <w:kern w:val="0"/>
                <w:sz w:val="24"/>
              </w:rPr>
            </w:pPr>
            <w:r>
              <w:rPr>
                <w:rFonts w:hint="eastAsia" w:ascii="宋体" w:hAnsi="宋体" w:cs="宋体"/>
                <w:bCs/>
                <w:color w:val="auto"/>
                <w:kern w:val="0"/>
                <w:sz w:val="24"/>
              </w:rPr>
              <w:t>评分内容和标准</w:t>
            </w:r>
          </w:p>
        </w:tc>
        <w:tc>
          <w:tcPr>
            <w:tcW w:w="735" w:type="dxa"/>
            <w:tcBorders>
              <w:top w:val="single" w:color="auto" w:sz="8" w:space="0"/>
              <w:left w:val="nil"/>
              <w:bottom w:val="single" w:color="auto" w:sz="4" w:space="0"/>
              <w:right w:val="single" w:color="auto" w:sz="4" w:space="0"/>
            </w:tcBorders>
            <w:vAlign w:val="center"/>
          </w:tcPr>
          <w:p w14:paraId="3A0DC6D1">
            <w:pPr>
              <w:widowControl/>
              <w:jc w:val="center"/>
              <w:rPr>
                <w:rFonts w:ascii="宋体" w:hAnsi="宋体" w:cs="宋体"/>
                <w:bCs/>
                <w:color w:val="auto"/>
                <w:kern w:val="0"/>
                <w:sz w:val="24"/>
              </w:rPr>
            </w:pPr>
            <w:r>
              <w:rPr>
                <w:rFonts w:hint="eastAsia" w:ascii="宋体" w:hAnsi="宋体" w:cs="宋体"/>
                <w:bCs/>
                <w:color w:val="auto"/>
                <w:kern w:val="0"/>
                <w:sz w:val="24"/>
              </w:rPr>
              <w:t>分值</w:t>
            </w:r>
          </w:p>
          <w:p w14:paraId="48D47C77">
            <w:pPr>
              <w:widowControl/>
              <w:jc w:val="center"/>
              <w:rPr>
                <w:rFonts w:ascii="宋体" w:hAnsi="宋体" w:cs="宋体"/>
                <w:bCs/>
                <w:color w:val="auto"/>
                <w:kern w:val="0"/>
                <w:sz w:val="24"/>
              </w:rPr>
            </w:pPr>
            <w:r>
              <w:rPr>
                <w:rFonts w:hint="eastAsia" w:ascii="宋体" w:hAnsi="宋体" w:cs="宋体"/>
                <w:bCs/>
                <w:color w:val="auto"/>
                <w:kern w:val="0"/>
                <w:sz w:val="24"/>
              </w:rPr>
              <w:t>区间</w:t>
            </w:r>
          </w:p>
        </w:tc>
        <w:tc>
          <w:tcPr>
            <w:tcW w:w="981" w:type="dxa"/>
            <w:tcBorders>
              <w:top w:val="single" w:color="auto" w:sz="8" w:space="0"/>
              <w:left w:val="nil"/>
              <w:bottom w:val="single" w:color="auto" w:sz="4" w:space="0"/>
              <w:right w:val="single" w:color="auto" w:sz="4" w:space="0"/>
            </w:tcBorders>
            <w:vAlign w:val="center"/>
          </w:tcPr>
          <w:p w14:paraId="377C0999">
            <w:pPr>
              <w:widowControl/>
              <w:jc w:val="center"/>
              <w:rPr>
                <w:rFonts w:ascii="宋体" w:hAnsi="宋体" w:cs="宋体"/>
                <w:bCs/>
                <w:color w:val="auto"/>
                <w:kern w:val="0"/>
                <w:sz w:val="24"/>
              </w:rPr>
            </w:pPr>
            <w:r>
              <w:rPr>
                <w:rFonts w:hint="eastAsia" w:ascii="宋体" w:hAnsi="宋体" w:cs="宋体"/>
                <w:bCs/>
                <w:color w:val="auto"/>
                <w:kern w:val="0"/>
                <w:sz w:val="24"/>
              </w:rPr>
              <w:t>主观/客观分</w:t>
            </w:r>
          </w:p>
        </w:tc>
      </w:tr>
      <w:tr w14:paraId="3E199F4A">
        <w:tblPrEx>
          <w:tblCellMar>
            <w:top w:w="0" w:type="dxa"/>
            <w:left w:w="108" w:type="dxa"/>
            <w:bottom w:w="0" w:type="dxa"/>
            <w:right w:w="108" w:type="dxa"/>
          </w:tblCellMar>
        </w:tblPrEx>
        <w:trPr>
          <w:trHeight w:val="404" w:hRule="atLeast"/>
        </w:trPr>
        <w:tc>
          <w:tcPr>
            <w:tcW w:w="770" w:type="dxa"/>
            <w:tcBorders>
              <w:left w:val="single" w:color="auto" w:sz="4" w:space="0"/>
              <w:right w:val="single" w:color="auto" w:sz="4" w:space="0"/>
            </w:tcBorders>
            <w:vAlign w:val="center"/>
          </w:tcPr>
          <w:p w14:paraId="6A846BB5">
            <w:pPr>
              <w:widowControl/>
              <w:jc w:val="left"/>
              <w:rPr>
                <w:rFonts w:ascii="宋体" w:hAnsi="宋体" w:cs="宋体"/>
                <w:bCs/>
                <w:color w:val="auto"/>
                <w:kern w:val="0"/>
                <w:sz w:val="24"/>
              </w:rPr>
            </w:pPr>
          </w:p>
        </w:tc>
        <w:tc>
          <w:tcPr>
            <w:tcW w:w="457" w:type="dxa"/>
            <w:tcBorders>
              <w:top w:val="single" w:color="auto" w:sz="4" w:space="0"/>
              <w:left w:val="single" w:color="auto" w:sz="4" w:space="0"/>
              <w:bottom w:val="single" w:color="auto" w:sz="4" w:space="0"/>
              <w:right w:val="single" w:color="auto" w:sz="4" w:space="0"/>
            </w:tcBorders>
            <w:vAlign w:val="center"/>
          </w:tcPr>
          <w:p w14:paraId="5D472CDF">
            <w:pPr>
              <w:widowControl/>
              <w:jc w:val="center"/>
              <w:rPr>
                <w:rFonts w:ascii="宋体" w:hAnsi="宋体" w:cs="宋体"/>
                <w:bCs/>
                <w:color w:val="auto"/>
                <w:kern w:val="0"/>
                <w:sz w:val="24"/>
              </w:rPr>
            </w:pPr>
            <w:r>
              <w:rPr>
                <w:rFonts w:hint="eastAsia" w:ascii="宋体" w:hAnsi="宋体" w:cs="宋体"/>
                <w:bCs/>
                <w:color w:val="auto"/>
                <w:kern w:val="0"/>
                <w:sz w:val="24"/>
              </w:rPr>
              <w:t>1</w:t>
            </w:r>
          </w:p>
        </w:tc>
        <w:tc>
          <w:tcPr>
            <w:tcW w:w="6225" w:type="dxa"/>
            <w:tcBorders>
              <w:top w:val="single" w:color="auto" w:sz="4" w:space="0"/>
              <w:left w:val="nil"/>
              <w:bottom w:val="single" w:color="auto" w:sz="4" w:space="0"/>
              <w:right w:val="single" w:color="auto" w:sz="4" w:space="0"/>
            </w:tcBorders>
            <w:vAlign w:val="center"/>
          </w:tcPr>
          <w:p w14:paraId="0B86E437">
            <w:pPr>
              <w:widowControl/>
              <w:jc w:val="left"/>
              <w:rPr>
                <w:rFonts w:ascii="宋体" w:hAnsi="宋体" w:cs="宋体"/>
                <w:color w:val="auto"/>
                <w:kern w:val="0"/>
                <w:sz w:val="24"/>
              </w:rPr>
            </w:pPr>
            <w:r>
              <w:rPr>
                <w:rFonts w:hint="eastAsia" w:ascii="宋体" w:hAnsi="宋体" w:cs="宋体"/>
                <w:color w:val="auto"/>
                <w:kern w:val="0"/>
                <w:sz w:val="24"/>
              </w:rPr>
              <w:t>投标人自202</w:t>
            </w:r>
            <w:r>
              <w:rPr>
                <w:rFonts w:hint="eastAsia" w:ascii="宋体" w:hAnsi="宋体" w:cs="宋体"/>
                <w:color w:val="auto"/>
                <w:kern w:val="0"/>
                <w:sz w:val="24"/>
                <w:lang w:val="en-US" w:eastAsia="zh-CN"/>
              </w:rPr>
              <w:t>2</w:t>
            </w:r>
            <w:r>
              <w:rPr>
                <w:rFonts w:hint="eastAsia" w:ascii="宋体" w:hAnsi="宋体" w:cs="宋体"/>
                <w:color w:val="auto"/>
                <w:kern w:val="0"/>
                <w:sz w:val="24"/>
              </w:rPr>
              <w:t>年1月1日以来具有同类业绩，每个业绩得0.5分，最高得2分。</w:t>
            </w:r>
          </w:p>
        </w:tc>
        <w:tc>
          <w:tcPr>
            <w:tcW w:w="735" w:type="dxa"/>
            <w:tcBorders>
              <w:top w:val="single" w:color="auto" w:sz="4" w:space="0"/>
              <w:left w:val="nil"/>
              <w:bottom w:val="single" w:color="auto" w:sz="4" w:space="0"/>
              <w:right w:val="single" w:color="auto" w:sz="4" w:space="0"/>
            </w:tcBorders>
            <w:vAlign w:val="center"/>
          </w:tcPr>
          <w:p w14:paraId="7EB3CEAB">
            <w:pPr>
              <w:widowControl/>
              <w:jc w:val="left"/>
              <w:rPr>
                <w:rFonts w:ascii="宋体" w:hAnsi="宋体" w:cs="宋体"/>
                <w:color w:val="auto"/>
                <w:kern w:val="0"/>
                <w:sz w:val="24"/>
              </w:rPr>
            </w:pPr>
            <w:r>
              <w:rPr>
                <w:rFonts w:hint="eastAsia" w:ascii="宋体" w:hAnsi="宋体" w:cs="宋体"/>
                <w:color w:val="auto"/>
                <w:kern w:val="0"/>
                <w:sz w:val="24"/>
              </w:rPr>
              <w:t>0-2分</w:t>
            </w:r>
          </w:p>
        </w:tc>
        <w:tc>
          <w:tcPr>
            <w:tcW w:w="981" w:type="dxa"/>
            <w:tcBorders>
              <w:top w:val="single" w:color="auto" w:sz="4" w:space="0"/>
              <w:left w:val="nil"/>
              <w:bottom w:val="single" w:color="auto" w:sz="4" w:space="0"/>
              <w:right w:val="single" w:color="auto" w:sz="4" w:space="0"/>
            </w:tcBorders>
            <w:vAlign w:val="center"/>
          </w:tcPr>
          <w:p w14:paraId="46B6097A">
            <w:pPr>
              <w:widowControl/>
              <w:jc w:val="center"/>
              <w:rPr>
                <w:rFonts w:ascii="宋体" w:hAnsi="宋体" w:cs="宋体"/>
                <w:bCs/>
                <w:color w:val="auto"/>
                <w:kern w:val="0"/>
                <w:sz w:val="24"/>
              </w:rPr>
            </w:pPr>
            <w:r>
              <w:rPr>
                <w:rFonts w:hint="eastAsia" w:ascii="宋体" w:hAnsi="宋体" w:cs="宋体"/>
                <w:bCs/>
                <w:color w:val="auto"/>
                <w:kern w:val="0"/>
                <w:sz w:val="24"/>
              </w:rPr>
              <w:t>客观分</w:t>
            </w:r>
          </w:p>
        </w:tc>
      </w:tr>
      <w:tr w14:paraId="5E0D42B0">
        <w:tblPrEx>
          <w:tblCellMar>
            <w:top w:w="0" w:type="dxa"/>
            <w:left w:w="108" w:type="dxa"/>
            <w:bottom w:w="0" w:type="dxa"/>
            <w:right w:w="108" w:type="dxa"/>
          </w:tblCellMar>
        </w:tblPrEx>
        <w:trPr>
          <w:trHeight w:val="404" w:hRule="atLeast"/>
        </w:trPr>
        <w:tc>
          <w:tcPr>
            <w:tcW w:w="770" w:type="dxa"/>
            <w:tcBorders>
              <w:left w:val="single" w:color="auto" w:sz="4" w:space="0"/>
              <w:right w:val="single" w:color="auto" w:sz="4" w:space="0"/>
            </w:tcBorders>
            <w:vAlign w:val="center"/>
          </w:tcPr>
          <w:p w14:paraId="13D6DD68">
            <w:pPr>
              <w:widowControl/>
              <w:jc w:val="left"/>
              <w:rPr>
                <w:rFonts w:ascii="宋体" w:hAnsi="宋体" w:cs="宋体"/>
                <w:bCs/>
                <w:color w:val="auto"/>
                <w:kern w:val="0"/>
                <w:sz w:val="24"/>
              </w:rPr>
            </w:pPr>
            <w:r>
              <w:rPr>
                <w:rFonts w:hint="eastAsia" w:ascii="宋体" w:hAnsi="宋体" w:cs="宋体"/>
                <w:b/>
                <w:bCs/>
                <w:color w:val="auto"/>
                <w:sz w:val="24"/>
              </w:rPr>
              <w:t>商务</w:t>
            </w:r>
          </w:p>
        </w:tc>
        <w:tc>
          <w:tcPr>
            <w:tcW w:w="457" w:type="dxa"/>
            <w:tcBorders>
              <w:top w:val="single" w:color="auto" w:sz="4" w:space="0"/>
              <w:left w:val="single" w:color="auto" w:sz="4" w:space="0"/>
              <w:bottom w:val="single" w:color="auto" w:sz="4" w:space="0"/>
              <w:right w:val="single" w:color="auto" w:sz="4" w:space="0"/>
            </w:tcBorders>
            <w:vAlign w:val="center"/>
          </w:tcPr>
          <w:p w14:paraId="1A5CE681">
            <w:pPr>
              <w:widowControl/>
              <w:jc w:val="center"/>
              <w:rPr>
                <w:rFonts w:ascii="宋体" w:hAnsi="宋体" w:cs="宋体"/>
                <w:bCs/>
                <w:color w:val="auto"/>
                <w:kern w:val="0"/>
                <w:sz w:val="24"/>
              </w:rPr>
            </w:pPr>
            <w:r>
              <w:rPr>
                <w:rFonts w:hint="eastAsia" w:ascii="宋体" w:hAnsi="宋体" w:cs="宋体"/>
                <w:bCs/>
                <w:color w:val="auto"/>
                <w:kern w:val="0"/>
                <w:sz w:val="24"/>
              </w:rPr>
              <w:t>2</w:t>
            </w:r>
          </w:p>
        </w:tc>
        <w:tc>
          <w:tcPr>
            <w:tcW w:w="6225" w:type="dxa"/>
            <w:tcBorders>
              <w:top w:val="single" w:color="auto" w:sz="4" w:space="0"/>
              <w:left w:val="nil"/>
              <w:bottom w:val="single" w:color="auto" w:sz="4" w:space="0"/>
              <w:right w:val="single" w:color="auto" w:sz="4" w:space="0"/>
            </w:tcBorders>
            <w:vAlign w:val="center"/>
          </w:tcPr>
          <w:p w14:paraId="16FA3607">
            <w:pPr>
              <w:rPr>
                <w:rFonts w:ascii="宋体" w:hAnsi="宋体" w:cs="宋体"/>
                <w:color w:val="auto"/>
                <w:kern w:val="0"/>
                <w:sz w:val="24"/>
              </w:rPr>
            </w:pPr>
            <w:r>
              <w:rPr>
                <w:rFonts w:hint="eastAsia" w:ascii="宋体" w:hAnsi="宋体" w:cs="宋体"/>
                <w:color w:val="auto"/>
                <w:kern w:val="0"/>
                <w:sz w:val="24"/>
              </w:rPr>
              <w:t>投标人具有 质量管理体系认证、 环境管理体系认证、 职业健康安全管理体系认证的，每项得1分，最高得3分。（证书需在有效期内，提供复印件加盖公章，否则不得分）</w:t>
            </w:r>
          </w:p>
        </w:tc>
        <w:tc>
          <w:tcPr>
            <w:tcW w:w="735" w:type="dxa"/>
            <w:tcBorders>
              <w:top w:val="single" w:color="auto" w:sz="4" w:space="0"/>
              <w:left w:val="nil"/>
              <w:bottom w:val="single" w:color="auto" w:sz="4" w:space="0"/>
              <w:right w:val="single" w:color="auto" w:sz="4" w:space="0"/>
            </w:tcBorders>
            <w:vAlign w:val="center"/>
          </w:tcPr>
          <w:p w14:paraId="5CBE3B1C">
            <w:pPr>
              <w:widowControl/>
              <w:jc w:val="left"/>
              <w:rPr>
                <w:rFonts w:ascii="宋体" w:hAnsi="宋体" w:cs="宋体"/>
                <w:color w:val="auto"/>
                <w:kern w:val="0"/>
                <w:sz w:val="24"/>
              </w:rPr>
            </w:pPr>
            <w:r>
              <w:rPr>
                <w:rFonts w:hint="eastAsia" w:ascii="宋体" w:hAnsi="宋体" w:cs="宋体"/>
                <w:color w:val="auto"/>
                <w:kern w:val="0"/>
                <w:sz w:val="24"/>
              </w:rPr>
              <w:t>0-3分</w:t>
            </w:r>
          </w:p>
        </w:tc>
        <w:tc>
          <w:tcPr>
            <w:tcW w:w="981" w:type="dxa"/>
            <w:tcBorders>
              <w:top w:val="single" w:color="auto" w:sz="4" w:space="0"/>
              <w:left w:val="nil"/>
              <w:bottom w:val="single" w:color="auto" w:sz="4" w:space="0"/>
              <w:right w:val="single" w:color="auto" w:sz="4" w:space="0"/>
            </w:tcBorders>
            <w:vAlign w:val="center"/>
          </w:tcPr>
          <w:p w14:paraId="0392471C">
            <w:pPr>
              <w:widowControl/>
              <w:jc w:val="center"/>
              <w:rPr>
                <w:rFonts w:ascii="宋体" w:hAnsi="宋体" w:cs="宋体"/>
                <w:bCs/>
                <w:color w:val="auto"/>
                <w:kern w:val="0"/>
                <w:sz w:val="24"/>
              </w:rPr>
            </w:pPr>
            <w:r>
              <w:rPr>
                <w:rFonts w:hint="eastAsia" w:ascii="宋体" w:hAnsi="宋体" w:cs="宋体"/>
                <w:bCs/>
                <w:color w:val="auto"/>
                <w:kern w:val="0"/>
                <w:sz w:val="24"/>
              </w:rPr>
              <w:t>客观分</w:t>
            </w:r>
          </w:p>
        </w:tc>
      </w:tr>
      <w:tr w14:paraId="02440269">
        <w:tblPrEx>
          <w:tblCellMar>
            <w:top w:w="0" w:type="dxa"/>
            <w:left w:w="108" w:type="dxa"/>
            <w:bottom w:w="0" w:type="dxa"/>
            <w:right w:w="108" w:type="dxa"/>
          </w:tblCellMar>
        </w:tblPrEx>
        <w:trPr>
          <w:trHeight w:val="404" w:hRule="atLeast"/>
        </w:trPr>
        <w:tc>
          <w:tcPr>
            <w:tcW w:w="770" w:type="dxa"/>
            <w:tcBorders>
              <w:left w:val="single" w:color="auto" w:sz="4" w:space="0"/>
              <w:bottom w:val="single" w:color="auto" w:sz="4" w:space="0"/>
              <w:right w:val="single" w:color="auto" w:sz="4" w:space="0"/>
            </w:tcBorders>
            <w:vAlign w:val="center"/>
          </w:tcPr>
          <w:p w14:paraId="1F9A2345">
            <w:pPr>
              <w:widowControl/>
              <w:jc w:val="left"/>
              <w:rPr>
                <w:rFonts w:ascii="宋体" w:hAnsi="宋体" w:cs="宋体"/>
                <w:bCs/>
                <w:color w:val="auto"/>
                <w:kern w:val="0"/>
                <w:sz w:val="24"/>
              </w:rPr>
            </w:pPr>
          </w:p>
        </w:tc>
        <w:tc>
          <w:tcPr>
            <w:tcW w:w="457" w:type="dxa"/>
            <w:tcBorders>
              <w:top w:val="single" w:color="auto" w:sz="4" w:space="0"/>
              <w:left w:val="single" w:color="auto" w:sz="4" w:space="0"/>
              <w:bottom w:val="single" w:color="auto" w:sz="4" w:space="0"/>
              <w:right w:val="single" w:color="auto" w:sz="4" w:space="0"/>
            </w:tcBorders>
            <w:vAlign w:val="center"/>
          </w:tcPr>
          <w:p w14:paraId="0DD2CA36">
            <w:pPr>
              <w:widowControl/>
              <w:jc w:val="center"/>
              <w:rPr>
                <w:rFonts w:ascii="宋体" w:hAnsi="宋体" w:cs="宋体"/>
                <w:bCs/>
                <w:color w:val="auto"/>
                <w:kern w:val="0"/>
                <w:sz w:val="24"/>
              </w:rPr>
            </w:pPr>
            <w:r>
              <w:rPr>
                <w:rFonts w:hint="eastAsia" w:ascii="宋体" w:hAnsi="宋体" w:cs="宋体"/>
                <w:bCs/>
                <w:color w:val="auto"/>
                <w:kern w:val="0"/>
                <w:sz w:val="24"/>
              </w:rPr>
              <w:t>3</w:t>
            </w:r>
          </w:p>
        </w:tc>
        <w:tc>
          <w:tcPr>
            <w:tcW w:w="6225" w:type="dxa"/>
            <w:tcBorders>
              <w:top w:val="single" w:color="auto" w:sz="4" w:space="0"/>
              <w:left w:val="nil"/>
              <w:bottom w:val="single" w:color="auto" w:sz="4" w:space="0"/>
              <w:right w:val="single" w:color="auto" w:sz="4" w:space="0"/>
            </w:tcBorders>
            <w:vAlign w:val="center"/>
          </w:tcPr>
          <w:p w14:paraId="673F7440">
            <w:pPr>
              <w:rPr>
                <w:rFonts w:ascii="宋体" w:hAnsi="宋体" w:cs="宋体"/>
                <w:color w:val="auto"/>
                <w:kern w:val="0"/>
                <w:sz w:val="24"/>
              </w:rPr>
            </w:pPr>
            <w:r>
              <w:rPr>
                <w:rFonts w:hint="eastAsia" w:ascii="宋体" w:hAnsi="宋体" w:cs="宋体"/>
                <w:color w:val="auto"/>
                <w:sz w:val="24"/>
              </w:rPr>
              <w:t>投标人具有同类相关的软件著作权登记证书的，每提供一个得2分，最多不超过4分。须提供上述证书复印件并加盖投标人公章，</w:t>
            </w:r>
            <w:r>
              <w:rPr>
                <w:rFonts w:hint="eastAsia" w:ascii="宋体" w:hAnsi="宋体" w:cs="宋体"/>
                <w:b/>
                <w:color w:val="auto"/>
                <w:sz w:val="24"/>
              </w:rPr>
              <w:t>不提供不得分</w:t>
            </w:r>
            <w:r>
              <w:rPr>
                <w:rFonts w:hint="eastAsia" w:ascii="宋体" w:hAnsi="宋体" w:cs="宋体"/>
                <w:color w:val="auto"/>
                <w:sz w:val="24"/>
              </w:rPr>
              <w:t>。</w:t>
            </w:r>
          </w:p>
        </w:tc>
        <w:tc>
          <w:tcPr>
            <w:tcW w:w="735" w:type="dxa"/>
            <w:tcBorders>
              <w:top w:val="single" w:color="auto" w:sz="4" w:space="0"/>
              <w:left w:val="nil"/>
              <w:bottom w:val="single" w:color="auto" w:sz="4" w:space="0"/>
              <w:right w:val="single" w:color="auto" w:sz="4" w:space="0"/>
            </w:tcBorders>
            <w:vAlign w:val="center"/>
          </w:tcPr>
          <w:p w14:paraId="3FA75747">
            <w:pPr>
              <w:widowControl/>
              <w:jc w:val="left"/>
              <w:rPr>
                <w:rFonts w:ascii="宋体" w:hAnsi="宋体" w:cs="宋体"/>
                <w:color w:val="auto"/>
                <w:kern w:val="0"/>
                <w:sz w:val="24"/>
              </w:rPr>
            </w:pPr>
            <w:r>
              <w:rPr>
                <w:rFonts w:hint="eastAsia" w:ascii="宋体" w:hAnsi="宋体" w:cs="宋体"/>
                <w:color w:val="auto"/>
                <w:kern w:val="0"/>
                <w:sz w:val="24"/>
              </w:rPr>
              <w:t>0-4分</w:t>
            </w:r>
          </w:p>
        </w:tc>
        <w:tc>
          <w:tcPr>
            <w:tcW w:w="981" w:type="dxa"/>
            <w:tcBorders>
              <w:top w:val="single" w:color="auto" w:sz="4" w:space="0"/>
              <w:left w:val="nil"/>
              <w:bottom w:val="single" w:color="auto" w:sz="4" w:space="0"/>
              <w:right w:val="single" w:color="auto" w:sz="4" w:space="0"/>
            </w:tcBorders>
            <w:vAlign w:val="center"/>
          </w:tcPr>
          <w:p w14:paraId="0AA46E0E">
            <w:pPr>
              <w:widowControl/>
              <w:jc w:val="center"/>
              <w:rPr>
                <w:rFonts w:ascii="宋体" w:hAnsi="宋体" w:cs="宋体"/>
                <w:bCs/>
                <w:color w:val="auto"/>
                <w:kern w:val="0"/>
                <w:sz w:val="24"/>
              </w:rPr>
            </w:pPr>
            <w:r>
              <w:rPr>
                <w:rFonts w:hint="eastAsia" w:ascii="宋体" w:hAnsi="宋体" w:cs="宋体"/>
                <w:bCs/>
                <w:color w:val="auto"/>
                <w:kern w:val="0"/>
                <w:sz w:val="24"/>
              </w:rPr>
              <w:t>客观分</w:t>
            </w:r>
          </w:p>
        </w:tc>
      </w:tr>
    </w:tbl>
    <w:p w14:paraId="6594704C">
      <w:pPr>
        <w:widowControl/>
        <w:ind w:firstLine="482" w:firstLineChars="200"/>
        <w:jc w:val="left"/>
        <w:rPr>
          <w:rFonts w:ascii="宋体" w:hAnsi="宋体" w:cs="宋体"/>
          <w:b/>
          <w:bCs/>
          <w:color w:val="auto"/>
          <w:sz w:val="24"/>
        </w:rPr>
      </w:pPr>
    </w:p>
    <w:p w14:paraId="47B4E75E">
      <w:pPr>
        <w:spacing w:before="74" w:line="232" w:lineRule="auto"/>
        <w:ind w:left="94"/>
        <w:rPr>
          <w:rFonts w:ascii="宋体" w:hAnsi="宋体" w:cs="宋体"/>
          <w:color w:val="auto"/>
          <w:sz w:val="24"/>
        </w:rPr>
      </w:pPr>
      <w:r>
        <w:rPr>
          <w:rFonts w:hint="eastAsia" w:ascii="宋体" w:hAnsi="宋体" w:cs="宋体"/>
          <w:b/>
          <w:bCs/>
          <w:color w:val="auto"/>
          <w:sz w:val="24"/>
        </w:rPr>
        <w:t>2、</w:t>
      </w:r>
      <w:r>
        <w:rPr>
          <w:rFonts w:hint="eastAsia" w:ascii="宋体" w:hAnsi="宋体" w:cs="宋体"/>
          <w:color w:val="auto"/>
          <w:spacing w:val="2"/>
          <w:sz w:val="24"/>
        </w:rPr>
        <w:t>技术部</w:t>
      </w:r>
      <w:r>
        <w:rPr>
          <w:rFonts w:hint="eastAsia" w:ascii="宋体" w:hAnsi="宋体" w:cs="宋体"/>
          <w:color w:val="auto"/>
          <w:spacing w:val="1"/>
          <w:sz w:val="24"/>
        </w:rPr>
        <w:t>分 (71分)</w:t>
      </w:r>
    </w:p>
    <w:p w14:paraId="3E3B802A">
      <w:pPr>
        <w:spacing w:line="144" w:lineRule="exact"/>
        <w:rPr>
          <w:rFonts w:ascii="宋体" w:hAnsi="宋体" w:cs="宋体"/>
          <w:color w:val="auto"/>
          <w:sz w:val="24"/>
        </w:rPr>
      </w:pPr>
    </w:p>
    <w:tbl>
      <w:tblPr>
        <w:tblStyle w:val="62"/>
        <w:tblW w:w="9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527"/>
        <w:gridCol w:w="6030"/>
        <w:gridCol w:w="868"/>
        <w:gridCol w:w="1008"/>
      </w:tblGrid>
      <w:tr w14:paraId="00B9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68" w:type="dxa"/>
            <w:vAlign w:val="center"/>
          </w:tcPr>
          <w:p w14:paraId="31456F49">
            <w:pPr>
              <w:widowControl/>
              <w:jc w:val="center"/>
              <w:rPr>
                <w:rFonts w:ascii="宋体" w:hAnsi="宋体" w:cs="宋体"/>
                <w:b/>
                <w:bCs/>
                <w:color w:val="auto"/>
                <w:kern w:val="0"/>
                <w:sz w:val="24"/>
              </w:rPr>
            </w:pPr>
            <w:r>
              <w:rPr>
                <w:rFonts w:hint="eastAsia" w:ascii="宋体" w:hAnsi="宋体" w:cs="宋体"/>
                <w:b/>
                <w:bCs/>
                <w:color w:val="auto"/>
                <w:kern w:val="0"/>
                <w:sz w:val="24"/>
              </w:rPr>
              <w:t>项  目</w:t>
            </w:r>
          </w:p>
        </w:tc>
        <w:tc>
          <w:tcPr>
            <w:tcW w:w="527" w:type="dxa"/>
            <w:vAlign w:val="center"/>
          </w:tcPr>
          <w:p w14:paraId="2C0B65FF">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6030" w:type="dxa"/>
            <w:vAlign w:val="center"/>
          </w:tcPr>
          <w:p w14:paraId="7F4043A2">
            <w:pPr>
              <w:widowControl/>
              <w:jc w:val="center"/>
              <w:rPr>
                <w:rFonts w:ascii="宋体" w:hAnsi="宋体" w:cs="宋体"/>
                <w:b/>
                <w:bCs/>
                <w:color w:val="auto"/>
                <w:kern w:val="0"/>
                <w:sz w:val="24"/>
              </w:rPr>
            </w:pPr>
            <w:r>
              <w:rPr>
                <w:rFonts w:hint="eastAsia" w:ascii="宋体" w:hAnsi="宋体" w:cs="宋体"/>
                <w:b/>
                <w:bCs/>
                <w:color w:val="auto"/>
                <w:kern w:val="0"/>
                <w:sz w:val="24"/>
              </w:rPr>
              <w:t>评分内容和标准</w:t>
            </w:r>
          </w:p>
        </w:tc>
        <w:tc>
          <w:tcPr>
            <w:tcW w:w="868" w:type="dxa"/>
            <w:vAlign w:val="center"/>
          </w:tcPr>
          <w:p w14:paraId="4734FFD6">
            <w:pPr>
              <w:widowControl/>
              <w:jc w:val="center"/>
              <w:rPr>
                <w:rFonts w:ascii="宋体" w:hAnsi="宋体" w:cs="宋体"/>
                <w:b/>
                <w:bCs/>
                <w:color w:val="auto"/>
                <w:kern w:val="0"/>
                <w:sz w:val="24"/>
              </w:rPr>
            </w:pPr>
            <w:r>
              <w:rPr>
                <w:rFonts w:hint="eastAsia" w:ascii="宋体" w:hAnsi="宋体" w:cs="宋体"/>
                <w:b/>
                <w:bCs/>
                <w:color w:val="auto"/>
                <w:kern w:val="0"/>
                <w:sz w:val="24"/>
              </w:rPr>
              <w:t>分值</w:t>
            </w:r>
          </w:p>
        </w:tc>
        <w:tc>
          <w:tcPr>
            <w:tcW w:w="1008" w:type="dxa"/>
            <w:vAlign w:val="center"/>
          </w:tcPr>
          <w:p w14:paraId="4C7B8F72">
            <w:pPr>
              <w:widowControl/>
              <w:jc w:val="center"/>
              <w:rPr>
                <w:rFonts w:ascii="宋体" w:hAnsi="宋体" w:cs="宋体"/>
                <w:b/>
                <w:bCs/>
                <w:color w:val="auto"/>
                <w:kern w:val="0"/>
                <w:sz w:val="24"/>
              </w:rPr>
            </w:pPr>
            <w:r>
              <w:rPr>
                <w:rFonts w:hint="eastAsia" w:ascii="宋体" w:hAnsi="宋体" w:cs="宋体"/>
                <w:bCs/>
                <w:color w:val="auto"/>
                <w:kern w:val="0"/>
                <w:sz w:val="24"/>
              </w:rPr>
              <w:t>主观/客观分</w:t>
            </w:r>
          </w:p>
        </w:tc>
      </w:tr>
      <w:tr w14:paraId="6D80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768" w:type="dxa"/>
            <w:vMerge w:val="restart"/>
            <w:shd w:val="clear" w:color="auto" w:fill="auto"/>
            <w:vAlign w:val="center"/>
          </w:tcPr>
          <w:p w14:paraId="3DB2BBAB">
            <w:pPr>
              <w:widowControl/>
              <w:jc w:val="center"/>
              <w:rPr>
                <w:rFonts w:ascii="宋体" w:hAnsi="宋体" w:cs="宋体"/>
                <w:color w:val="auto"/>
                <w:kern w:val="0"/>
                <w:sz w:val="24"/>
              </w:rPr>
            </w:pPr>
            <w:r>
              <w:rPr>
                <w:rFonts w:hint="eastAsia" w:ascii="宋体" w:hAnsi="宋体" w:cs="宋体"/>
                <w:color w:val="auto"/>
                <w:kern w:val="0"/>
                <w:sz w:val="24"/>
              </w:rPr>
              <w:t>技术分</w:t>
            </w:r>
          </w:p>
        </w:tc>
        <w:tc>
          <w:tcPr>
            <w:tcW w:w="527" w:type="dxa"/>
            <w:shd w:val="clear" w:color="auto" w:fill="auto"/>
            <w:vAlign w:val="center"/>
          </w:tcPr>
          <w:p w14:paraId="6D9CFE21">
            <w:pPr>
              <w:widowControl/>
              <w:jc w:val="center"/>
              <w:rPr>
                <w:rFonts w:ascii="宋体" w:hAnsi="宋体" w:cs="宋体"/>
                <w:color w:val="auto"/>
                <w:kern w:val="0"/>
                <w:sz w:val="24"/>
              </w:rPr>
            </w:pPr>
            <w:r>
              <w:rPr>
                <w:rFonts w:hint="eastAsia" w:ascii="宋体" w:hAnsi="宋体" w:cs="宋体"/>
                <w:color w:val="auto"/>
                <w:kern w:val="0"/>
                <w:sz w:val="24"/>
              </w:rPr>
              <w:t>4</w:t>
            </w:r>
          </w:p>
        </w:tc>
        <w:tc>
          <w:tcPr>
            <w:tcW w:w="6030" w:type="dxa"/>
            <w:shd w:val="clear" w:color="000000" w:fill="auto"/>
            <w:vAlign w:val="center"/>
          </w:tcPr>
          <w:p w14:paraId="1B476F33">
            <w:pPr>
              <w:pStyle w:val="24"/>
              <w:widowControl/>
              <w:snapToGrid w:val="0"/>
              <w:spacing w:line="360" w:lineRule="auto"/>
              <w:ind w:firstLine="0" w:firstLineChars="0"/>
              <w:rPr>
                <w:rFonts w:cs="宋体"/>
                <w:color w:val="auto"/>
                <w:kern w:val="0"/>
              </w:rPr>
            </w:pPr>
            <w:r>
              <w:rPr>
                <w:rFonts w:hint="eastAsia" w:cs="宋体"/>
                <w:color w:val="auto"/>
                <w:kern w:val="0"/>
              </w:rPr>
              <w:t xml:space="preserve">投标的整体方案与采购需求的吻合程度，应答是否详尽、明晰，是否满足招标文件要求；内容是否完整齐全、表述准确、条理清晰，内容无前后矛盾，符合招标文件要求。 </w:t>
            </w:r>
          </w:p>
          <w:p w14:paraId="79EB569B">
            <w:pPr>
              <w:snapToGrid w:val="0"/>
              <w:spacing w:line="360" w:lineRule="auto"/>
              <w:rPr>
                <w:rFonts w:ascii="宋体" w:hAnsi="宋体" w:cs="宋体"/>
                <w:color w:val="auto"/>
                <w:sz w:val="24"/>
              </w:rPr>
            </w:pPr>
            <w:r>
              <w:rPr>
                <w:rFonts w:hint="eastAsia" w:ascii="宋体" w:hAnsi="宋体" w:cs="宋体"/>
                <w:color w:val="auto"/>
                <w:sz w:val="24"/>
              </w:rPr>
              <w:t>内容完整、表述准确、无前后矛盾的得5分；</w:t>
            </w:r>
          </w:p>
          <w:p w14:paraId="2C29E4D3">
            <w:pPr>
              <w:snapToGrid w:val="0"/>
              <w:spacing w:line="360" w:lineRule="auto"/>
              <w:rPr>
                <w:rFonts w:ascii="宋体" w:hAnsi="宋体" w:cs="宋体"/>
                <w:color w:val="auto"/>
                <w:sz w:val="24"/>
              </w:rPr>
            </w:pPr>
            <w:r>
              <w:rPr>
                <w:rFonts w:hint="eastAsia" w:ascii="宋体" w:hAnsi="宋体" w:cs="宋体"/>
                <w:color w:val="auto"/>
                <w:sz w:val="24"/>
              </w:rPr>
              <w:t>内容完整度高、表述较准确、无前后矛盾的得4分</w:t>
            </w:r>
          </w:p>
          <w:p w14:paraId="590FFF98">
            <w:pPr>
              <w:snapToGrid w:val="0"/>
              <w:spacing w:line="360" w:lineRule="auto"/>
              <w:rPr>
                <w:rFonts w:ascii="宋体" w:hAnsi="宋体" w:cs="宋体"/>
                <w:color w:val="auto"/>
                <w:sz w:val="24"/>
              </w:rPr>
            </w:pPr>
            <w:r>
              <w:rPr>
                <w:rFonts w:hint="eastAsia" w:ascii="宋体" w:hAnsi="宋体" w:cs="宋体"/>
                <w:color w:val="auto"/>
                <w:sz w:val="24"/>
              </w:rPr>
              <w:t>内容基本齐全、表述较准确、前后矛盾较少的得3分；</w:t>
            </w:r>
          </w:p>
          <w:p w14:paraId="060778D0">
            <w:pPr>
              <w:snapToGrid w:val="0"/>
              <w:spacing w:line="360" w:lineRule="auto"/>
              <w:rPr>
                <w:rFonts w:ascii="宋体" w:hAnsi="宋体" w:cs="宋体"/>
                <w:color w:val="auto"/>
                <w:sz w:val="24"/>
              </w:rPr>
            </w:pPr>
            <w:r>
              <w:rPr>
                <w:rFonts w:hint="eastAsia" w:ascii="宋体" w:hAnsi="宋体" w:cs="宋体"/>
                <w:color w:val="auto"/>
                <w:sz w:val="24"/>
              </w:rPr>
              <w:t>内容完整度较差、表述较差、前后矛盾较多的得2分；</w:t>
            </w:r>
          </w:p>
          <w:p w14:paraId="05A3503D">
            <w:pPr>
              <w:widowControl/>
              <w:jc w:val="left"/>
              <w:rPr>
                <w:rFonts w:ascii="宋体" w:hAnsi="宋体" w:cs="宋体"/>
                <w:color w:val="auto"/>
                <w:kern w:val="0"/>
                <w:sz w:val="24"/>
              </w:rPr>
            </w:pPr>
            <w:r>
              <w:rPr>
                <w:rFonts w:hint="eastAsia" w:ascii="宋体" w:hAnsi="宋体" w:cs="宋体"/>
                <w:color w:val="auto"/>
                <w:sz w:val="24"/>
              </w:rPr>
              <w:t>内容欠缺、表述不准确、内容前后矛盾多的得1分。</w:t>
            </w:r>
          </w:p>
        </w:tc>
        <w:tc>
          <w:tcPr>
            <w:tcW w:w="868" w:type="dxa"/>
            <w:vAlign w:val="center"/>
          </w:tcPr>
          <w:p w14:paraId="5F7FB1AC">
            <w:pPr>
              <w:spacing w:line="276" w:lineRule="auto"/>
              <w:jc w:val="center"/>
              <w:rPr>
                <w:rFonts w:ascii="宋体" w:hAnsi="宋体" w:cs="宋体"/>
                <w:color w:val="auto"/>
                <w:kern w:val="0"/>
                <w:sz w:val="24"/>
              </w:rPr>
            </w:pPr>
            <w:r>
              <w:rPr>
                <w:rFonts w:hint="eastAsia" w:ascii="宋体" w:hAnsi="宋体" w:cs="宋体"/>
                <w:color w:val="auto"/>
                <w:kern w:val="0"/>
                <w:sz w:val="24"/>
                <w:lang w:bidi="ar"/>
              </w:rPr>
              <w:t>0-5分</w:t>
            </w:r>
          </w:p>
        </w:tc>
        <w:tc>
          <w:tcPr>
            <w:tcW w:w="1008" w:type="dxa"/>
            <w:vAlign w:val="center"/>
          </w:tcPr>
          <w:p w14:paraId="40159030">
            <w:pPr>
              <w:spacing w:line="276" w:lineRule="auto"/>
              <w:jc w:val="center"/>
              <w:rPr>
                <w:rFonts w:ascii="宋体" w:hAnsi="宋体" w:cs="宋体"/>
                <w:color w:val="auto"/>
                <w:kern w:val="0"/>
                <w:sz w:val="24"/>
              </w:rPr>
            </w:pPr>
            <w:r>
              <w:rPr>
                <w:rFonts w:hint="eastAsia" w:ascii="宋体" w:hAnsi="宋体" w:cs="宋体"/>
                <w:color w:val="auto"/>
                <w:kern w:val="0"/>
                <w:sz w:val="24"/>
              </w:rPr>
              <w:t>主观分</w:t>
            </w:r>
          </w:p>
        </w:tc>
      </w:tr>
      <w:tr w14:paraId="6B0B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68" w:type="dxa"/>
            <w:vMerge w:val="continue"/>
            <w:vAlign w:val="center"/>
          </w:tcPr>
          <w:p w14:paraId="2FABDE14">
            <w:pPr>
              <w:widowControl/>
              <w:jc w:val="center"/>
              <w:rPr>
                <w:rFonts w:ascii="宋体" w:hAnsi="宋体" w:cs="宋体"/>
                <w:color w:val="auto"/>
                <w:kern w:val="0"/>
                <w:sz w:val="24"/>
              </w:rPr>
            </w:pPr>
          </w:p>
        </w:tc>
        <w:tc>
          <w:tcPr>
            <w:tcW w:w="527" w:type="dxa"/>
            <w:vAlign w:val="center"/>
          </w:tcPr>
          <w:p w14:paraId="32ACC212">
            <w:pPr>
              <w:widowControl/>
              <w:jc w:val="center"/>
              <w:rPr>
                <w:rFonts w:ascii="宋体" w:hAnsi="宋体" w:cs="宋体"/>
                <w:color w:val="auto"/>
                <w:kern w:val="0"/>
                <w:sz w:val="24"/>
              </w:rPr>
            </w:pPr>
            <w:r>
              <w:rPr>
                <w:rFonts w:hint="eastAsia" w:ascii="宋体" w:hAnsi="宋体" w:cs="宋体"/>
                <w:color w:val="auto"/>
                <w:kern w:val="0"/>
                <w:sz w:val="24"/>
              </w:rPr>
              <w:t>5</w:t>
            </w:r>
          </w:p>
        </w:tc>
        <w:tc>
          <w:tcPr>
            <w:tcW w:w="6030" w:type="dxa"/>
            <w:shd w:val="clear" w:color="000000" w:fill="auto"/>
            <w:vAlign w:val="center"/>
          </w:tcPr>
          <w:p w14:paraId="20412601">
            <w:pPr>
              <w:widowControl/>
              <w:jc w:val="left"/>
              <w:textAlignment w:val="center"/>
              <w:rPr>
                <w:rFonts w:ascii="宋体" w:hAnsi="宋体" w:cs="宋体"/>
                <w:color w:val="auto"/>
                <w:sz w:val="24"/>
              </w:rPr>
            </w:pPr>
            <w:r>
              <w:rPr>
                <w:rFonts w:hint="eastAsia" w:ascii="宋体" w:hAnsi="宋体" w:cs="宋体"/>
                <w:color w:val="auto"/>
                <w:sz w:val="24"/>
              </w:rPr>
              <w:t>关于资源的投标响应情况。完全符合要求的得16分，每一项负偏离或者每一项不符合条款或者每一项不响应条款，扣2分，扣完为止。</w:t>
            </w:r>
          </w:p>
        </w:tc>
        <w:tc>
          <w:tcPr>
            <w:tcW w:w="868" w:type="dxa"/>
            <w:vAlign w:val="center"/>
          </w:tcPr>
          <w:p w14:paraId="575D53CD">
            <w:pPr>
              <w:spacing w:line="276" w:lineRule="auto"/>
              <w:jc w:val="center"/>
              <w:rPr>
                <w:rFonts w:ascii="宋体" w:hAnsi="宋体" w:cs="宋体"/>
                <w:color w:val="auto"/>
                <w:kern w:val="0"/>
                <w:sz w:val="24"/>
                <w:lang w:bidi="ar"/>
              </w:rPr>
            </w:pPr>
            <w:r>
              <w:rPr>
                <w:rFonts w:hint="eastAsia" w:ascii="宋体" w:hAnsi="宋体" w:cs="宋体"/>
                <w:color w:val="auto"/>
                <w:kern w:val="0"/>
                <w:sz w:val="24"/>
                <w:lang w:bidi="ar"/>
              </w:rPr>
              <w:t>0-16分</w:t>
            </w:r>
          </w:p>
        </w:tc>
        <w:tc>
          <w:tcPr>
            <w:tcW w:w="1008" w:type="dxa"/>
            <w:vAlign w:val="center"/>
          </w:tcPr>
          <w:p w14:paraId="154BF099">
            <w:pPr>
              <w:spacing w:line="276" w:lineRule="auto"/>
              <w:jc w:val="center"/>
              <w:rPr>
                <w:rFonts w:ascii="宋体" w:hAnsi="宋体" w:cs="宋体"/>
                <w:color w:val="auto"/>
                <w:kern w:val="0"/>
                <w:sz w:val="24"/>
              </w:rPr>
            </w:pPr>
            <w:r>
              <w:rPr>
                <w:rFonts w:hint="eastAsia" w:ascii="宋体" w:hAnsi="宋体" w:cs="宋体"/>
                <w:color w:val="auto"/>
                <w:kern w:val="0"/>
                <w:sz w:val="24"/>
              </w:rPr>
              <w:t>客观分</w:t>
            </w:r>
          </w:p>
        </w:tc>
      </w:tr>
      <w:tr w14:paraId="1477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68" w:type="dxa"/>
            <w:vMerge w:val="continue"/>
            <w:vAlign w:val="center"/>
          </w:tcPr>
          <w:p w14:paraId="7AFED34C">
            <w:pPr>
              <w:widowControl/>
              <w:jc w:val="center"/>
              <w:rPr>
                <w:rFonts w:ascii="宋体" w:hAnsi="宋体" w:cs="宋体"/>
                <w:color w:val="auto"/>
                <w:kern w:val="0"/>
                <w:sz w:val="24"/>
              </w:rPr>
            </w:pPr>
          </w:p>
        </w:tc>
        <w:tc>
          <w:tcPr>
            <w:tcW w:w="527" w:type="dxa"/>
            <w:vAlign w:val="center"/>
          </w:tcPr>
          <w:p w14:paraId="5C14EFC2">
            <w:pPr>
              <w:widowControl/>
              <w:jc w:val="center"/>
              <w:rPr>
                <w:rFonts w:ascii="宋体" w:hAnsi="宋体" w:cs="宋体"/>
                <w:color w:val="auto"/>
                <w:kern w:val="0"/>
                <w:sz w:val="24"/>
              </w:rPr>
            </w:pPr>
            <w:r>
              <w:rPr>
                <w:rFonts w:hint="eastAsia" w:ascii="宋体" w:hAnsi="宋体" w:cs="宋体"/>
                <w:color w:val="auto"/>
                <w:kern w:val="0"/>
                <w:sz w:val="24"/>
              </w:rPr>
              <w:t>6</w:t>
            </w:r>
          </w:p>
        </w:tc>
        <w:tc>
          <w:tcPr>
            <w:tcW w:w="6030" w:type="dxa"/>
            <w:shd w:val="clear" w:color="000000" w:fill="auto"/>
            <w:vAlign w:val="center"/>
          </w:tcPr>
          <w:p w14:paraId="3B77F354">
            <w:pPr>
              <w:pStyle w:val="24"/>
              <w:widowControl/>
              <w:snapToGrid w:val="0"/>
              <w:spacing w:line="360" w:lineRule="auto"/>
              <w:ind w:firstLine="0" w:firstLineChars="0"/>
              <w:rPr>
                <w:rFonts w:cs="宋体"/>
                <w:color w:val="auto"/>
                <w:kern w:val="0"/>
                <w:lang w:bidi="ar"/>
              </w:rPr>
            </w:pPr>
            <w:r>
              <w:rPr>
                <w:rFonts w:hint="eastAsia" w:cs="宋体"/>
                <w:color w:val="auto"/>
                <w:kern w:val="0"/>
                <w:lang w:bidi="ar"/>
              </w:rPr>
              <w:t>根据投标人提出的优惠条件和承诺情况。</w:t>
            </w:r>
          </w:p>
          <w:p w14:paraId="4B5608A9">
            <w:pPr>
              <w:snapToGrid w:val="0"/>
              <w:spacing w:line="360" w:lineRule="auto"/>
              <w:rPr>
                <w:rFonts w:ascii="宋体" w:hAnsi="宋体" w:cs="宋体"/>
                <w:color w:val="auto"/>
                <w:sz w:val="24"/>
              </w:rPr>
            </w:pPr>
            <w:r>
              <w:rPr>
                <w:rFonts w:hint="eastAsia" w:ascii="宋体" w:hAnsi="宋体" w:cs="宋体"/>
                <w:color w:val="auto"/>
                <w:sz w:val="24"/>
              </w:rPr>
              <w:t>内容完整、表述准确、无前后矛盾的得5分；</w:t>
            </w:r>
          </w:p>
          <w:p w14:paraId="1208536B">
            <w:pPr>
              <w:snapToGrid w:val="0"/>
              <w:spacing w:line="360" w:lineRule="auto"/>
              <w:rPr>
                <w:rFonts w:ascii="宋体" w:hAnsi="宋体" w:cs="宋体"/>
                <w:color w:val="auto"/>
                <w:sz w:val="24"/>
              </w:rPr>
            </w:pPr>
            <w:r>
              <w:rPr>
                <w:rFonts w:hint="eastAsia" w:ascii="宋体" w:hAnsi="宋体" w:cs="宋体"/>
                <w:color w:val="auto"/>
                <w:sz w:val="24"/>
              </w:rPr>
              <w:t>内容完整度高、表述较准确、无前后矛盾的得4分</w:t>
            </w:r>
          </w:p>
          <w:p w14:paraId="63D195DB">
            <w:pPr>
              <w:snapToGrid w:val="0"/>
              <w:spacing w:line="360" w:lineRule="auto"/>
              <w:rPr>
                <w:rFonts w:ascii="宋体" w:hAnsi="宋体" w:cs="宋体"/>
                <w:color w:val="auto"/>
                <w:sz w:val="24"/>
              </w:rPr>
            </w:pPr>
            <w:r>
              <w:rPr>
                <w:rFonts w:hint="eastAsia" w:ascii="宋体" w:hAnsi="宋体" w:cs="宋体"/>
                <w:color w:val="auto"/>
                <w:sz w:val="24"/>
              </w:rPr>
              <w:t>内容基本齐全、表述较准确、前后矛盾较少的得3分；</w:t>
            </w:r>
          </w:p>
          <w:p w14:paraId="2A0CFBCB">
            <w:pPr>
              <w:snapToGrid w:val="0"/>
              <w:spacing w:line="360" w:lineRule="auto"/>
              <w:rPr>
                <w:rFonts w:ascii="宋体" w:hAnsi="宋体" w:cs="宋体"/>
                <w:color w:val="auto"/>
                <w:sz w:val="24"/>
              </w:rPr>
            </w:pPr>
            <w:r>
              <w:rPr>
                <w:rFonts w:hint="eastAsia" w:ascii="宋体" w:hAnsi="宋体" w:cs="宋体"/>
                <w:color w:val="auto"/>
                <w:sz w:val="24"/>
              </w:rPr>
              <w:t>内容完整度较差、表述较差、前后矛盾较多的得2分；</w:t>
            </w:r>
          </w:p>
          <w:p w14:paraId="0542DE0B">
            <w:pPr>
              <w:widowControl/>
              <w:jc w:val="left"/>
              <w:textAlignment w:val="center"/>
              <w:rPr>
                <w:rFonts w:ascii="宋体" w:hAnsi="宋体" w:cs="宋体"/>
                <w:color w:val="auto"/>
                <w:kern w:val="0"/>
                <w:sz w:val="24"/>
              </w:rPr>
            </w:pPr>
            <w:r>
              <w:rPr>
                <w:rFonts w:hint="eastAsia" w:ascii="宋体" w:hAnsi="宋体" w:cs="宋体"/>
                <w:color w:val="auto"/>
                <w:sz w:val="24"/>
              </w:rPr>
              <w:t>内容欠缺、表述不准确、内容前后矛盾多的得1分。</w:t>
            </w:r>
          </w:p>
        </w:tc>
        <w:tc>
          <w:tcPr>
            <w:tcW w:w="868" w:type="dxa"/>
            <w:vAlign w:val="center"/>
          </w:tcPr>
          <w:p w14:paraId="01EAA1FE">
            <w:pPr>
              <w:spacing w:line="276" w:lineRule="auto"/>
              <w:jc w:val="center"/>
              <w:rPr>
                <w:rFonts w:ascii="宋体" w:hAnsi="宋体" w:cs="宋体"/>
                <w:color w:val="auto"/>
                <w:kern w:val="0"/>
                <w:sz w:val="24"/>
              </w:rPr>
            </w:pPr>
            <w:r>
              <w:rPr>
                <w:rFonts w:hint="eastAsia" w:ascii="宋体" w:hAnsi="宋体" w:cs="宋体"/>
                <w:color w:val="auto"/>
                <w:kern w:val="0"/>
                <w:sz w:val="24"/>
                <w:lang w:bidi="ar"/>
              </w:rPr>
              <w:t>0-5分</w:t>
            </w:r>
          </w:p>
        </w:tc>
        <w:tc>
          <w:tcPr>
            <w:tcW w:w="1008" w:type="dxa"/>
            <w:vAlign w:val="center"/>
          </w:tcPr>
          <w:p w14:paraId="4C5FC79A">
            <w:pPr>
              <w:spacing w:line="276" w:lineRule="auto"/>
              <w:jc w:val="center"/>
              <w:rPr>
                <w:rFonts w:ascii="宋体" w:hAnsi="宋体" w:cs="宋体"/>
                <w:color w:val="auto"/>
                <w:kern w:val="0"/>
                <w:sz w:val="24"/>
              </w:rPr>
            </w:pPr>
            <w:r>
              <w:rPr>
                <w:rFonts w:hint="eastAsia" w:ascii="宋体" w:hAnsi="宋体" w:cs="宋体"/>
                <w:color w:val="auto"/>
                <w:kern w:val="0"/>
                <w:sz w:val="24"/>
              </w:rPr>
              <w:t>主观分</w:t>
            </w:r>
          </w:p>
        </w:tc>
      </w:tr>
      <w:tr w14:paraId="4E6D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8" w:type="dxa"/>
            <w:vMerge w:val="continue"/>
            <w:shd w:val="clear" w:color="auto" w:fill="auto"/>
            <w:vAlign w:val="center"/>
          </w:tcPr>
          <w:p w14:paraId="203946F7">
            <w:pPr>
              <w:widowControl/>
              <w:jc w:val="center"/>
              <w:rPr>
                <w:rFonts w:ascii="宋体" w:hAnsi="宋体" w:cs="宋体"/>
                <w:color w:val="auto"/>
                <w:kern w:val="0"/>
                <w:sz w:val="24"/>
              </w:rPr>
            </w:pPr>
          </w:p>
        </w:tc>
        <w:tc>
          <w:tcPr>
            <w:tcW w:w="527" w:type="dxa"/>
            <w:shd w:val="clear" w:color="auto" w:fill="auto"/>
            <w:vAlign w:val="center"/>
          </w:tcPr>
          <w:p w14:paraId="33225D7D">
            <w:pPr>
              <w:widowControl/>
              <w:jc w:val="center"/>
              <w:rPr>
                <w:rFonts w:ascii="宋体" w:hAnsi="宋体" w:cs="宋体"/>
                <w:color w:val="auto"/>
                <w:kern w:val="0"/>
                <w:sz w:val="24"/>
              </w:rPr>
            </w:pPr>
            <w:r>
              <w:rPr>
                <w:rFonts w:hint="eastAsia" w:ascii="宋体" w:hAnsi="宋体" w:cs="宋体"/>
                <w:color w:val="auto"/>
                <w:kern w:val="0"/>
                <w:sz w:val="24"/>
              </w:rPr>
              <w:t>7</w:t>
            </w:r>
          </w:p>
        </w:tc>
        <w:tc>
          <w:tcPr>
            <w:tcW w:w="6030" w:type="dxa"/>
            <w:shd w:val="clear" w:color="000000" w:fill="auto"/>
            <w:vAlign w:val="center"/>
          </w:tcPr>
          <w:p w14:paraId="7FBF1F1B">
            <w:pPr>
              <w:pStyle w:val="24"/>
              <w:widowControl/>
              <w:snapToGrid w:val="0"/>
              <w:spacing w:line="360" w:lineRule="auto"/>
              <w:ind w:firstLine="0" w:firstLineChars="0"/>
              <w:rPr>
                <w:rFonts w:cs="宋体"/>
                <w:color w:val="auto"/>
              </w:rPr>
            </w:pPr>
            <w:r>
              <w:rPr>
                <w:rFonts w:hint="eastAsia" w:cs="宋体"/>
                <w:color w:val="auto"/>
              </w:rPr>
              <w:t>针对故障的响应、响应时间、处理方案的合理可行性进行。</w:t>
            </w:r>
          </w:p>
          <w:p w14:paraId="30A014B9">
            <w:pPr>
              <w:snapToGrid w:val="0"/>
              <w:spacing w:line="360" w:lineRule="auto"/>
              <w:rPr>
                <w:rFonts w:ascii="宋体" w:hAnsi="宋体" w:cs="宋体"/>
                <w:color w:val="auto"/>
                <w:sz w:val="24"/>
              </w:rPr>
            </w:pPr>
            <w:r>
              <w:rPr>
                <w:rFonts w:hint="eastAsia" w:ascii="宋体" w:hAnsi="宋体" w:cs="宋体"/>
                <w:color w:val="auto"/>
                <w:sz w:val="24"/>
              </w:rPr>
              <w:t>内容完整、表述准确、无前后矛盾的得5分；</w:t>
            </w:r>
          </w:p>
          <w:p w14:paraId="7298151F">
            <w:pPr>
              <w:snapToGrid w:val="0"/>
              <w:spacing w:line="360" w:lineRule="auto"/>
              <w:rPr>
                <w:rFonts w:ascii="宋体" w:hAnsi="宋体" w:cs="宋体"/>
                <w:color w:val="auto"/>
                <w:sz w:val="24"/>
              </w:rPr>
            </w:pPr>
            <w:r>
              <w:rPr>
                <w:rFonts w:hint="eastAsia" w:ascii="宋体" w:hAnsi="宋体" w:cs="宋体"/>
                <w:color w:val="auto"/>
                <w:sz w:val="24"/>
              </w:rPr>
              <w:t>内容完整度高、表述较准确、无前后矛盾的得4分</w:t>
            </w:r>
          </w:p>
          <w:p w14:paraId="2D4E3152">
            <w:pPr>
              <w:snapToGrid w:val="0"/>
              <w:spacing w:line="360" w:lineRule="auto"/>
              <w:rPr>
                <w:rFonts w:ascii="宋体" w:hAnsi="宋体" w:cs="宋体"/>
                <w:color w:val="auto"/>
                <w:sz w:val="24"/>
              </w:rPr>
            </w:pPr>
            <w:r>
              <w:rPr>
                <w:rFonts w:hint="eastAsia" w:ascii="宋体" w:hAnsi="宋体" w:cs="宋体"/>
                <w:color w:val="auto"/>
                <w:sz w:val="24"/>
              </w:rPr>
              <w:t>内容基本齐全、表述较准确、前后矛盾较少的得3分；</w:t>
            </w:r>
          </w:p>
          <w:p w14:paraId="76D988ED">
            <w:pPr>
              <w:snapToGrid w:val="0"/>
              <w:spacing w:line="360" w:lineRule="auto"/>
              <w:rPr>
                <w:rFonts w:ascii="宋体" w:hAnsi="宋体" w:cs="宋体"/>
                <w:color w:val="auto"/>
                <w:sz w:val="24"/>
              </w:rPr>
            </w:pPr>
            <w:r>
              <w:rPr>
                <w:rFonts w:hint="eastAsia" w:ascii="宋体" w:hAnsi="宋体" w:cs="宋体"/>
                <w:color w:val="auto"/>
                <w:sz w:val="24"/>
              </w:rPr>
              <w:t>内容完整度较差、表述较差、前后矛盾较多的得2分；</w:t>
            </w:r>
          </w:p>
          <w:p w14:paraId="1846D7B9">
            <w:pPr>
              <w:widowControl/>
              <w:jc w:val="left"/>
              <w:rPr>
                <w:rFonts w:ascii="宋体" w:hAnsi="宋体" w:cs="宋体"/>
                <w:color w:val="auto"/>
                <w:kern w:val="0"/>
                <w:sz w:val="24"/>
              </w:rPr>
            </w:pPr>
            <w:r>
              <w:rPr>
                <w:rFonts w:hint="eastAsia" w:ascii="宋体" w:hAnsi="宋体" w:cs="宋体"/>
                <w:color w:val="auto"/>
                <w:sz w:val="24"/>
              </w:rPr>
              <w:t>内容欠缺、表述不准确、内容前后矛盾多的得1分。</w:t>
            </w:r>
          </w:p>
        </w:tc>
        <w:tc>
          <w:tcPr>
            <w:tcW w:w="868" w:type="dxa"/>
            <w:vAlign w:val="center"/>
          </w:tcPr>
          <w:p w14:paraId="739E17A0">
            <w:pPr>
              <w:spacing w:line="276" w:lineRule="auto"/>
              <w:jc w:val="center"/>
              <w:rPr>
                <w:rFonts w:ascii="宋体" w:hAnsi="宋体" w:cs="宋体"/>
                <w:color w:val="auto"/>
                <w:kern w:val="0"/>
                <w:sz w:val="24"/>
              </w:rPr>
            </w:pPr>
            <w:r>
              <w:rPr>
                <w:rFonts w:hint="eastAsia" w:ascii="宋体" w:hAnsi="宋体" w:cs="宋体"/>
                <w:color w:val="auto"/>
                <w:kern w:val="0"/>
                <w:sz w:val="24"/>
                <w:lang w:bidi="ar"/>
              </w:rPr>
              <w:t>0-5分</w:t>
            </w:r>
          </w:p>
        </w:tc>
        <w:tc>
          <w:tcPr>
            <w:tcW w:w="1008" w:type="dxa"/>
            <w:vAlign w:val="center"/>
          </w:tcPr>
          <w:p w14:paraId="16270FDC">
            <w:pPr>
              <w:spacing w:line="276" w:lineRule="auto"/>
              <w:jc w:val="center"/>
              <w:rPr>
                <w:rFonts w:ascii="宋体" w:hAnsi="宋体" w:cs="宋体"/>
                <w:color w:val="auto"/>
                <w:kern w:val="0"/>
                <w:sz w:val="24"/>
              </w:rPr>
            </w:pPr>
            <w:r>
              <w:rPr>
                <w:rFonts w:hint="eastAsia" w:ascii="宋体" w:hAnsi="宋体" w:cs="宋体"/>
                <w:color w:val="auto"/>
                <w:kern w:val="0"/>
                <w:sz w:val="24"/>
              </w:rPr>
              <w:t>主观分</w:t>
            </w:r>
          </w:p>
        </w:tc>
      </w:tr>
      <w:tr w14:paraId="3F66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68" w:type="dxa"/>
            <w:vMerge w:val="continue"/>
            <w:shd w:val="clear" w:color="auto" w:fill="auto"/>
            <w:vAlign w:val="center"/>
          </w:tcPr>
          <w:p w14:paraId="2B729072">
            <w:pPr>
              <w:widowControl/>
              <w:jc w:val="center"/>
              <w:rPr>
                <w:rFonts w:ascii="宋体" w:hAnsi="宋体" w:cs="宋体"/>
                <w:color w:val="auto"/>
                <w:kern w:val="0"/>
                <w:sz w:val="24"/>
              </w:rPr>
            </w:pPr>
          </w:p>
        </w:tc>
        <w:tc>
          <w:tcPr>
            <w:tcW w:w="527" w:type="dxa"/>
            <w:shd w:val="clear" w:color="auto" w:fill="auto"/>
            <w:vAlign w:val="center"/>
          </w:tcPr>
          <w:p w14:paraId="4CC6621A">
            <w:pPr>
              <w:widowControl/>
              <w:jc w:val="center"/>
              <w:rPr>
                <w:rFonts w:ascii="宋体" w:hAnsi="宋体" w:cs="宋体"/>
                <w:color w:val="auto"/>
                <w:kern w:val="0"/>
                <w:sz w:val="24"/>
              </w:rPr>
            </w:pPr>
            <w:r>
              <w:rPr>
                <w:rFonts w:hint="eastAsia" w:ascii="宋体" w:hAnsi="宋体" w:cs="宋体"/>
                <w:color w:val="auto"/>
                <w:kern w:val="0"/>
                <w:sz w:val="24"/>
              </w:rPr>
              <w:t>8</w:t>
            </w:r>
          </w:p>
        </w:tc>
        <w:tc>
          <w:tcPr>
            <w:tcW w:w="6030" w:type="dxa"/>
            <w:shd w:val="clear" w:color="000000" w:fill="auto"/>
            <w:vAlign w:val="center"/>
          </w:tcPr>
          <w:p w14:paraId="1E9CA49C">
            <w:pPr>
              <w:snapToGrid w:val="0"/>
              <w:spacing w:line="360" w:lineRule="auto"/>
              <w:rPr>
                <w:rFonts w:ascii="宋体" w:hAnsi="宋体" w:cs="宋体"/>
                <w:color w:val="auto"/>
                <w:sz w:val="24"/>
              </w:rPr>
            </w:pPr>
            <w:r>
              <w:rPr>
                <w:rFonts w:hint="eastAsia" w:ascii="宋体" w:hAnsi="宋体" w:cs="宋体"/>
                <w:color w:val="auto"/>
                <w:kern w:val="0"/>
                <w:sz w:val="24"/>
                <w:lang w:bidi="ar"/>
              </w:rPr>
              <w:t>根据投标人组织实施方案的科学性、合理性和可操作性。</w:t>
            </w:r>
            <w:r>
              <w:rPr>
                <w:rFonts w:hint="eastAsia" w:ascii="宋体" w:hAnsi="宋体" w:cs="宋体"/>
                <w:color w:val="auto"/>
                <w:sz w:val="24"/>
              </w:rPr>
              <w:t>内容完整、表述准确、无前后矛盾的得5分；</w:t>
            </w:r>
          </w:p>
          <w:p w14:paraId="373CA7EF">
            <w:pPr>
              <w:snapToGrid w:val="0"/>
              <w:spacing w:line="360" w:lineRule="auto"/>
              <w:rPr>
                <w:rFonts w:ascii="宋体" w:hAnsi="宋体" w:cs="宋体"/>
                <w:color w:val="auto"/>
                <w:sz w:val="24"/>
              </w:rPr>
            </w:pPr>
            <w:r>
              <w:rPr>
                <w:rFonts w:hint="eastAsia" w:ascii="宋体" w:hAnsi="宋体" w:cs="宋体"/>
                <w:color w:val="auto"/>
                <w:sz w:val="24"/>
              </w:rPr>
              <w:t>内容完整度高、表述较准确、无前后矛盾的得4分</w:t>
            </w:r>
          </w:p>
          <w:p w14:paraId="76691D7B">
            <w:pPr>
              <w:snapToGrid w:val="0"/>
              <w:spacing w:line="360" w:lineRule="auto"/>
              <w:rPr>
                <w:rFonts w:ascii="宋体" w:hAnsi="宋体" w:cs="宋体"/>
                <w:color w:val="auto"/>
                <w:sz w:val="24"/>
              </w:rPr>
            </w:pPr>
            <w:r>
              <w:rPr>
                <w:rFonts w:hint="eastAsia" w:ascii="宋体" w:hAnsi="宋体" w:cs="宋体"/>
                <w:color w:val="auto"/>
                <w:sz w:val="24"/>
              </w:rPr>
              <w:t>内容基本齐全、表述较准确、前后矛盾较少的得3分；</w:t>
            </w:r>
          </w:p>
          <w:p w14:paraId="076A59BF">
            <w:pPr>
              <w:snapToGrid w:val="0"/>
              <w:spacing w:line="360" w:lineRule="auto"/>
              <w:rPr>
                <w:rFonts w:ascii="宋体" w:hAnsi="宋体" w:cs="宋体"/>
                <w:color w:val="auto"/>
                <w:sz w:val="24"/>
              </w:rPr>
            </w:pPr>
            <w:r>
              <w:rPr>
                <w:rFonts w:hint="eastAsia" w:ascii="宋体" w:hAnsi="宋体" w:cs="宋体"/>
                <w:color w:val="auto"/>
                <w:sz w:val="24"/>
              </w:rPr>
              <w:t>内容完整度较差、表述较差、前后矛盾较多的得2分；</w:t>
            </w:r>
          </w:p>
          <w:p w14:paraId="5A3210CB">
            <w:pPr>
              <w:widowControl/>
              <w:jc w:val="left"/>
              <w:textAlignment w:val="center"/>
              <w:rPr>
                <w:rFonts w:ascii="宋体" w:hAnsi="宋体" w:cs="宋体"/>
                <w:color w:val="auto"/>
                <w:kern w:val="0"/>
                <w:sz w:val="24"/>
              </w:rPr>
            </w:pPr>
            <w:r>
              <w:rPr>
                <w:rFonts w:hint="eastAsia" w:ascii="宋体" w:hAnsi="宋体" w:cs="宋体"/>
                <w:color w:val="auto"/>
                <w:sz w:val="24"/>
              </w:rPr>
              <w:t>内容欠缺、表述不准确、内容前后矛盾多的得1分。</w:t>
            </w:r>
          </w:p>
        </w:tc>
        <w:tc>
          <w:tcPr>
            <w:tcW w:w="868" w:type="dxa"/>
            <w:vAlign w:val="center"/>
          </w:tcPr>
          <w:p w14:paraId="4AAE3896">
            <w:pPr>
              <w:spacing w:line="276" w:lineRule="auto"/>
              <w:jc w:val="center"/>
              <w:rPr>
                <w:rFonts w:ascii="宋体" w:hAnsi="宋体" w:cs="宋体"/>
                <w:color w:val="auto"/>
                <w:kern w:val="0"/>
                <w:sz w:val="24"/>
              </w:rPr>
            </w:pPr>
            <w:r>
              <w:rPr>
                <w:rFonts w:hint="eastAsia" w:ascii="宋体" w:hAnsi="宋体" w:cs="宋体"/>
                <w:color w:val="auto"/>
                <w:kern w:val="0"/>
                <w:sz w:val="24"/>
                <w:lang w:bidi="ar"/>
              </w:rPr>
              <w:t>0-5分</w:t>
            </w:r>
          </w:p>
        </w:tc>
        <w:tc>
          <w:tcPr>
            <w:tcW w:w="1008" w:type="dxa"/>
            <w:vAlign w:val="center"/>
          </w:tcPr>
          <w:p w14:paraId="121B79DF">
            <w:pPr>
              <w:spacing w:line="276" w:lineRule="auto"/>
              <w:jc w:val="center"/>
              <w:rPr>
                <w:rFonts w:ascii="宋体" w:hAnsi="宋体" w:cs="宋体"/>
                <w:color w:val="auto"/>
                <w:kern w:val="0"/>
                <w:sz w:val="24"/>
              </w:rPr>
            </w:pPr>
            <w:r>
              <w:rPr>
                <w:rFonts w:hint="eastAsia" w:ascii="宋体" w:hAnsi="宋体" w:cs="宋体"/>
                <w:color w:val="auto"/>
                <w:kern w:val="0"/>
                <w:sz w:val="24"/>
              </w:rPr>
              <w:t>主观分</w:t>
            </w:r>
          </w:p>
        </w:tc>
      </w:tr>
      <w:tr w14:paraId="4EEE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68" w:type="dxa"/>
            <w:vMerge w:val="continue"/>
            <w:shd w:val="clear" w:color="auto" w:fill="auto"/>
            <w:vAlign w:val="center"/>
          </w:tcPr>
          <w:p w14:paraId="118A6125">
            <w:pPr>
              <w:widowControl/>
              <w:jc w:val="center"/>
              <w:rPr>
                <w:rFonts w:ascii="宋体" w:hAnsi="宋体" w:cs="宋体"/>
                <w:color w:val="auto"/>
                <w:kern w:val="0"/>
                <w:sz w:val="24"/>
              </w:rPr>
            </w:pPr>
          </w:p>
        </w:tc>
        <w:tc>
          <w:tcPr>
            <w:tcW w:w="527" w:type="dxa"/>
            <w:shd w:val="clear" w:color="auto" w:fill="auto"/>
            <w:vAlign w:val="center"/>
          </w:tcPr>
          <w:p w14:paraId="25BEF47F">
            <w:pPr>
              <w:widowControl/>
              <w:jc w:val="center"/>
              <w:rPr>
                <w:rFonts w:ascii="宋体" w:hAnsi="宋体" w:cs="宋体"/>
                <w:color w:val="auto"/>
                <w:kern w:val="0"/>
                <w:sz w:val="24"/>
              </w:rPr>
            </w:pPr>
            <w:r>
              <w:rPr>
                <w:rFonts w:hint="eastAsia" w:ascii="宋体" w:hAnsi="宋体" w:cs="宋体"/>
                <w:color w:val="auto"/>
                <w:kern w:val="0"/>
                <w:sz w:val="24"/>
              </w:rPr>
              <w:t>9</w:t>
            </w:r>
          </w:p>
        </w:tc>
        <w:tc>
          <w:tcPr>
            <w:tcW w:w="6030" w:type="dxa"/>
            <w:shd w:val="clear" w:color="000000" w:fill="auto"/>
            <w:vAlign w:val="center"/>
          </w:tcPr>
          <w:p w14:paraId="2D2F0011">
            <w:pPr>
              <w:snapToGrid w:val="0"/>
              <w:spacing w:line="360" w:lineRule="auto"/>
              <w:rPr>
                <w:rFonts w:ascii="宋体" w:hAnsi="宋体" w:cs="宋体"/>
                <w:color w:val="auto"/>
                <w:sz w:val="24"/>
              </w:rPr>
            </w:pPr>
            <w:r>
              <w:rPr>
                <w:rFonts w:hint="eastAsia" w:ascii="宋体" w:hAnsi="宋体" w:cs="宋体"/>
                <w:color w:val="auto"/>
                <w:kern w:val="0"/>
                <w:sz w:val="24"/>
                <w:lang w:bidi="ar"/>
              </w:rPr>
              <w:t>根据投标人提供的确保服务质量的方法和措施。</w:t>
            </w:r>
            <w:r>
              <w:rPr>
                <w:rFonts w:hint="eastAsia" w:ascii="宋体" w:hAnsi="宋体" w:cs="宋体"/>
                <w:color w:val="auto"/>
                <w:kern w:val="0"/>
              </w:rPr>
              <w:t>方案内</w:t>
            </w:r>
            <w:r>
              <w:rPr>
                <w:rFonts w:hint="eastAsia" w:ascii="宋体" w:hAnsi="宋体" w:cs="宋体"/>
                <w:color w:val="auto"/>
                <w:sz w:val="24"/>
              </w:rPr>
              <w:t>内容完整、表述准确、无前后矛盾的得5分；</w:t>
            </w:r>
          </w:p>
          <w:p w14:paraId="1753EBE3">
            <w:pPr>
              <w:snapToGrid w:val="0"/>
              <w:spacing w:line="360" w:lineRule="auto"/>
              <w:rPr>
                <w:rFonts w:ascii="宋体" w:hAnsi="宋体" w:cs="宋体"/>
                <w:color w:val="auto"/>
                <w:sz w:val="24"/>
              </w:rPr>
            </w:pPr>
            <w:r>
              <w:rPr>
                <w:rFonts w:hint="eastAsia" w:ascii="宋体" w:hAnsi="宋体" w:cs="宋体"/>
                <w:color w:val="auto"/>
                <w:sz w:val="24"/>
              </w:rPr>
              <w:t>内容完整度高、表述较准确、无前后矛盾的得4分</w:t>
            </w:r>
          </w:p>
          <w:p w14:paraId="6DB13303">
            <w:pPr>
              <w:snapToGrid w:val="0"/>
              <w:spacing w:line="360" w:lineRule="auto"/>
              <w:rPr>
                <w:rFonts w:ascii="宋体" w:hAnsi="宋体" w:cs="宋体"/>
                <w:color w:val="auto"/>
                <w:sz w:val="24"/>
              </w:rPr>
            </w:pPr>
            <w:r>
              <w:rPr>
                <w:rFonts w:hint="eastAsia" w:ascii="宋体" w:hAnsi="宋体" w:cs="宋体"/>
                <w:color w:val="auto"/>
                <w:sz w:val="24"/>
              </w:rPr>
              <w:t>内容基本齐全、表述较准确、前后矛盾较少的得3分；</w:t>
            </w:r>
          </w:p>
          <w:p w14:paraId="3FC7364A">
            <w:pPr>
              <w:snapToGrid w:val="0"/>
              <w:spacing w:line="360" w:lineRule="auto"/>
              <w:rPr>
                <w:rFonts w:ascii="宋体" w:hAnsi="宋体" w:cs="宋体"/>
                <w:color w:val="auto"/>
                <w:sz w:val="24"/>
              </w:rPr>
            </w:pPr>
            <w:r>
              <w:rPr>
                <w:rFonts w:hint="eastAsia" w:ascii="宋体" w:hAnsi="宋体" w:cs="宋体"/>
                <w:color w:val="auto"/>
                <w:sz w:val="24"/>
              </w:rPr>
              <w:t>内容完整度较差、表述较差、前后矛盾较多的得2分；</w:t>
            </w:r>
          </w:p>
          <w:p w14:paraId="04FCA47F">
            <w:pPr>
              <w:widowControl/>
              <w:rPr>
                <w:rFonts w:ascii="宋体" w:hAnsi="宋体" w:cs="宋体"/>
                <w:color w:val="auto"/>
                <w:kern w:val="0"/>
                <w:sz w:val="24"/>
              </w:rPr>
            </w:pPr>
            <w:r>
              <w:rPr>
                <w:rFonts w:hint="eastAsia" w:ascii="宋体" w:hAnsi="宋体" w:cs="宋体"/>
                <w:color w:val="auto"/>
                <w:sz w:val="24"/>
              </w:rPr>
              <w:t>内容欠缺、表述不准确、内容前后矛盾多的得1分。</w:t>
            </w:r>
          </w:p>
        </w:tc>
        <w:tc>
          <w:tcPr>
            <w:tcW w:w="868" w:type="dxa"/>
            <w:vAlign w:val="center"/>
          </w:tcPr>
          <w:p w14:paraId="0EA56D1B">
            <w:pPr>
              <w:spacing w:line="276" w:lineRule="auto"/>
              <w:jc w:val="center"/>
              <w:rPr>
                <w:rFonts w:ascii="宋体" w:hAnsi="宋体" w:cs="宋体"/>
                <w:color w:val="auto"/>
                <w:kern w:val="0"/>
                <w:sz w:val="24"/>
              </w:rPr>
            </w:pPr>
            <w:r>
              <w:rPr>
                <w:rFonts w:hint="eastAsia" w:ascii="宋体" w:hAnsi="宋体" w:cs="宋体"/>
                <w:color w:val="auto"/>
                <w:kern w:val="0"/>
                <w:sz w:val="24"/>
                <w:lang w:bidi="ar"/>
              </w:rPr>
              <w:t>0-5分</w:t>
            </w:r>
          </w:p>
        </w:tc>
        <w:tc>
          <w:tcPr>
            <w:tcW w:w="1008" w:type="dxa"/>
            <w:vAlign w:val="center"/>
          </w:tcPr>
          <w:p w14:paraId="6F976A1A">
            <w:pPr>
              <w:spacing w:line="276" w:lineRule="auto"/>
              <w:jc w:val="center"/>
              <w:rPr>
                <w:rFonts w:ascii="宋体" w:hAnsi="宋体" w:cs="宋体"/>
                <w:color w:val="auto"/>
                <w:kern w:val="0"/>
                <w:sz w:val="24"/>
              </w:rPr>
            </w:pPr>
            <w:r>
              <w:rPr>
                <w:rFonts w:hint="eastAsia" w:ascii="宋体" w:hAnsi="宋体" w:cs="宋体"/>
                <w:color w:val="auto"/>
                <w:kern w:val="0"/>
                <w:sz w:val="24"/>
              </w:rPr>
              <w:t>主观分</w:t>
            </w:r>
          </w:p>
        </w:tc>
      </w:tr>
      <w:tr w14:paraId="510C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8" w:type="dxa"/>
            <w:vMerge w:val="continue"/>
            <w:shd w:val="clear" w:color="auto" w:fill="auto"/>
            <w:vAlign w:val="center"/>
          </w:tcPr>
          <w:p w14:paraId="51FAB5BE">
            <w:pPr>
              <w:widowControl/>
              <w:jc w:val="center"/>
              <w:rPr>
                <w:rFonts w:ascii="宋体" w:hAnsi="宋体" w:cs="宋体"/>
                <w:color w:val="auto"/>
                <w:kern w:val="0"/>
                <w:sz w:val="24"/>
              </w:rPr>
            </w:pPr>
          </w:p>
        </w:tc>
        <w:tc>
          <w:tcPr>
            <w:tcW w:w="527" w:type="dxa"/>
            <w:shd w:val="clear" w:color="auto" w:fill="auto"/>
            <w:vAlign w:val="center"/>
          </w:tcPr>
          <w:p w14:paraId="3F8C6711">
            <w:pPr>
              <w:widowControl/>
              <w:jc w:val="center"/>
              <w:rPr>
                <w:rFonts w:ascii="宋体" w:hAnsi="宋体" w:cs="宋体"/>
                <w:color w:val="auto"/>
                <w:kern w:val="0"/>
                <w:sz w:val="24"/>
              </w:rPr>
            </w:pPr>
            <w:r>
              <w:rPr>
                <w:rFonts w:hint="eastAsia" w:ascii="宋体" w:hAnsi="宋体" w:cs="宋体"/>
                <w:color w:val="auto"/>
                <w:kern w:val="0"/>
                <w:sz w:val="24"/>
              </w:rPr>
              <w:t>10</w:t>
            </w:r>
          </w:p>
        </w:tc>
        <w:tc>
          <w:tcPr>
            <w:tcW w:w="6030" w:type="dxa"/>
            <w:shd w:val="clear" w:color="000000" w:fill="auto"/>
            <w:vAlign w:val="center"/>
          </w:tcPr>
          <w:p w14:paraId="3C14FA2A">
            <w:pPr>
              <w:pStyle w:val="24"/>
              <w:widowControl/>
              <w:snapToGrid w:val="0"/>
              <w:spacing w:line="360" w:lineRule="auto"/>
              <w:ind w:firstLine="0" w:firstLineChars="0"/>
              <w:rPr>
                <w:rFonts w:cs="宋体"/>
                <w:color w:val="auto"/>
                <w:kern w:val="0"/>
                <w:lang w:bidi="ar"/>
              </w:rPr>
            </w:pPr>
            <w:r>
              <w:rPr>
                <w:rFonts w:hint="eastAsia" w:cs="宋体"/>
                <w:color w:val="auto"/>
                <w:kern w:val="0"/>
                <w:lang w:bidi="ar"/>
              </w:rPr>
              <w:t>根据投标人对系统建设整体方案进行打分：投标人提供详细的系统设计方案，包括系统架构、系统性能、系统安全、关键技术应用设计等方案，根据方案的科学性、合理性、可行性 。</w:t>
            </w:r>
          </w:p>
          <w:p w14:paraId="73BA8022">
            <w:pPr>
              <w:snapToGrid w:val="0"/>
              <w:spacing w:line="360" w:lineRule="auto"/>
              <w:rPr>
                <w:rFonts w:ascii="宋体" w:hAnsi="宋体" w:cs="宋体"/>
                <w:color w:val="auto"/>
                <w:sz w:val="24"/>
              </w:rPr>
            </w:pPr>
            <w:r>
              <w:rPr>
                <w:rFonts w:hint="eastAsia" w:ascii="宋体" w:hAnsi="宋体" w:cs="宋体"/>
                <w:color w:val="auto"/>
                <w:sz w:val="24"/>
              </w:rPr>
              <w:t>内容完整、表述准确、无前后矛盾的得5分；</w:t>
            </w:r>
          </w:p>
          <w:p w14:paraId="4708435D">
            <w:pPr>
              <w:snapToGrid w:val="0"/>
              <w:spacing w:line="360" w:lineRule="auto"/>
              <w:rPr>
                <w:rFonts w:ascii="宋体" w:hAnsi="宋体" w:cs="宋体"/>
                <w:color w:val="auto"/>
                <w:sz w:val="24"/>
              </w:rPr>
            </w:pPr>
            <w:r>
              <w:rPr>
                <w:rFonts w:hint="eastAsia" w:ascii="宋体" w:hAnsi="宋体" w:cs="宋体"/>
                <w:color w:val="auto"/>
                <w:sz w:val="24"/>
              </w:rPr>
              <w:t>内容完整度高、表述较准确、无前后矛盾的得4分</w:t>
            </w:r>
          </w:p>
          <w:p w14:paraId="2C453FA9">
            <w:pPr>
              <w:snapToGrid w:val="0"/>
              <w:spacing w:line="360" w:lineRule="auto"/>
              <w:rPr>
                <w:rFonts w:ascii="宋体" w:hAnsi="宋体" w:cs="宋体"/>
                <w:color w:val="auto"/>
                <w:sz w:val="24"/>
              </w:rPr>
            </w:pPr>
            <w:r>
              <w:rPr>
                <w:rFonts w:hint="eastAsia" w:ascii="宋体" w:hAnsi="宋体" w:cs="宋体"/>
                <w:color w:val="auto"/>
                <w:sz w:val="24"/>
              </w:rPr>
              <w:t>内容基本齐全、表述较准确、前后矛盾较少的得3分；</w:t>
            </w:r>
          </w:p>
          <w:p w14:paraId="1E875BC8">
            <w:pPr>
              <w:snapToGrid w:val="0"/>
              <w:spacing w:line="360" w:lineRule="auto"/>
              <w:rPr>
                <w:rFonts w:ascii="宋体" w:hAnsi="宋体" w:cs="宋体"/>
                <w:color w:val="auto"/>
                <w:sz w:val="24"/>
              </w:rPr>
            </w:pPr>
            <w:r>
              <w:rPr>
                <w:rFonts w:hint="eastAsia" w:ascii="宋体" w:hAnsi="宋体" w:cs="宋体"/>
                <w:color w:val="auto"/>
                <w:sz w:val="24"/>
              </w:rPr>
              <w:t>内容完整度较差、表述较差、前后矛盾较多的得2分；</w:t>
            </w:r>
          </w:p>
          <w:p w14:paraId="7FFEDE11">
            <w:pPr>
              <w:widowControl/>
              <w:tabs>
                <w:tab w:val="left" w:pos="4872"/>
              </w:tabs>
              <w:jc w:val="left"/>
              <w:rPr>
                <w:rFonts w:ascii="宋体" w:hAnsi="宋体" w:cs="宋体"/>
                <w:color w:val="auto"/>
                <w:kern w:val="0"/>
                <w:sz w:val="24"/>
              </w:rPr>
            </w:pPr>
            <w:r>
              <w:rPr>
                <w:rFonts w:hint="eastAsia" w:ascii="宋体" w:hAnsi="宋体" w:cs="宋体"/>
                <w:color w:val="auto"/>
                <w:sz w:val="24"/>
              </w:rPr>
              <w:t>内容欠缺、表述不准确、内容前后矛盾多的得1分。</w:t>
            </w:r>
          </w:p>
        </w:tc>
        <w:tc>
          <w:tcPr>
            <w:tcW w:w="868" w:type="dxa"/>
            <w:vAlign w:val="center"/>
          </w:tcPr>
          <w:p w14:paraId="33A7A79D">
            <w:pPr>
              <w:spacing w:line="276" w:lineRule="auto"/>
              <w:jc w:val="center"/>
              <w:rPr>
                <w:rFonts w:ascii="宋体" w:hAnsi="宋体" w:cs="宋体"/>
                <w:color w:val="auto"/>
                <w:kern w:val="0"/>
                <w:sz w:val="24"/>
              </w:rPr>
            </w:pPr>
            <w:r>
              <w:rPr>
                <w:rFonts w:hint="eastAsia" w:ascii="宋体" w:hAnsi="宋体" w:cs="宋体"/>
                <w:color w:val="auto"/>
                <w:kern w:val="0"/>
                <w:sz w:val="24"/>
                <w:lang w:bidi="ar"/>
              </w:rPr>
              <w:t>0-5分</w:t>
            </w:r>
          </w:p>
        </w:tc>
        <w:tc>
          <w:tcPr>
            <w:tcW w:w="1008" w:type="dxa"/>
            <w:vAlign w:val="center"/>
          </w:tcPr>
          <w:p w14:paraId="73A0ABD4">
            <w:pPr>
              <w:spacing w:line="276" w:lineRule="auto"/>
              <w:jc w:val="center"/>
              <w:rPr>
                <w:rFonts w:ascii="宋体" w:hAnsi="宋体" w:cs="宋体"/>
                <w:color w:val="auto"/>
                <w:kern w:val="0"/>
                <w:sz w:val="24"/>
              </w:rPr>
            </w:pPr>
            <w:r>
              <w:rPr>
                <w:rFonts w:hint="eastAsia" w:ascii="宋体" w:hAnsi="宋体" w:cs="宋体"/>
                <w:color w:val="auto"/>
                <w:kern w:val="0"/>
                <w:sz w:val="24"/>
              </w:rPr>
              <w:t>主观分</w:t>
            </w:r>
          </w:p>
        </w:tc>
      </w:tr>
      <w:tr w14:paraId="436E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68" w:type="dxa"/>
            <w:vMerge w:val="continue"/>
            <w:shd w:val="clear" w:color="auto" w:fill="auto"/>
            <w:vAlign w:val="center"/>
          </w:tcPr>
          <w:p w14:paraId="2943EA0D">
            <w:pPr>
              <w:widowControl/>
              <w:jc w:val="center"/>
              <w:rPr>
                <w:rFonts w:ascii="宋体" w:hAnsi="宋体" w:cs="宋体"/>
                <w:color w:val="auto"/>
                <w:kern w:val="0"/>
                <w:sz w:val="24"/>
              </w:rPr>
            </w:pPr>
          </w:p>
        </w:tc>
        <w:tc>
          <w:tcPr>
            <w:tcW w:w="527" w:type="dxa"/>
            <w:shd w:val="clear" w:color="auto" w:fill="auto"/>
            <w:vAlign w:val="center"/>
          </w:tcPr>
          <w:p w14:paraId="10B3A361">
            <w:pPr>
              <w:widowControl/>
              <w:jc w:val="center"/>
              <w:rPr>
                <w:rFonts w:ascii="宋体" w:hAnsi="宋体" w:cs="宋体"/>
                <w:color w:val="auto"/>
                <w:kern w:val="0"/>
                <w:sz w:val="24"/>
              </w:rPr>
            </w:pPr>
            <w:r>
              <w:rPr>
                <w:rFonts w:hint="eastAsia" w:ascii="宋体" w:hAnsi="宋体" w:cs="宋体"/>
                <w:color w:val="auto"/>
                <w:kern w:val="0"/>
                <w:sz w:val="24"/>
              </w:rPr>
              <w:t>11</w:t>
            </w:r>
          </w:p>
        </w:tc>
        <w:tc>
          <w:tcPr>
            <w:tcW w:w="6030" w:type="dxa"/>
            <w:shd w:val="clear" w:color="000000" w:fill="auto"/>
            <w:vAlign w:val="center"/>
          </w:tcPr>
          <w:p w14:paraId="4BE44B0D">
            <w:pPr>
              <w:pStyle w:val="24"/>
              <w:widowControl/>
              <w:snapToGrid w:val="0"/>
              <w:spacing w:line="360" w:lineRule="auto"/>
              <w:ind w:firstLine="0" w:firstLineChars="0"/>
              <w:rPr>
                <w:rFonts w:cs="宋体"/>
                <w:color w:val="auto"/>
              </w:rPr>
            </w:pPr>
            <w:r>
              <w:rPr>
                <w:rFonts w:hint="eastAsia" w:cs="宋体"/>
                <w:color w:val="auto"/>
              </w:rPr>
              <w:t>对本项目理解和关键点分析：（根据投标人对投标项目的理解程度、综合分析、难点把握等情况）</w:t>
            </w:r>
          </w:p>
          <w:p w14:paraId="1B548ED1">
            <w:pPr>
              <w:snapToGrid w:val="0"/>
              <w:spacing w:line="360" w:lineRule="auto"/>
              <w:rPr>
                <w:rFonts w:ascii="宋体" w:hAnsi="宋体" w:cs="宋体"/>
                <w:color w:val="auto"/>
                <w:sz w:val="24"/>
              </w:rPr>
            </w:pPr>
            <w:r>
              <w:rPr>
                <w:rFonts w:hint="eastAsia" w:ascii="宋体" w:hAnsi="宋体" w:cs="宋体"/>
                <w:color w:val="auto"/>
                <w:sz w:val="24"/>
              </w:rPr>
              <w:t>内容完整、表述准确、无前后矛盾的得5分；</w:t>
            </w:r>
          </w:p>
          <w:p w14:paraId="3561447E">
            <w:pPr>
              <w:snapToGrid w:val="0"/>
              <w:spacing w:line="360" w:lineRule="auto"/>
              <w:rPr>
                <w:rFonts w:ascii="宋体" w:hAnsi="宋体" w:cs="宋体"/>
                <w:color w:val="auto"/>
                <w:sz w:val="24"/>
              </w:rPr>
            </w:pPr>
            <w:r>
              <w:rPr>
                <w:rFonts w:hint="eastAsia" w:ascii="宋体" w:hAnsi="宋体" w:cs="宋体"/>
                <w:color w:val="auto"/>
                <w:sz w:val="24"/>
              </w:rPr>
              <w:t>内容完整度高、表述较准确、无前后矛盾的得4分</w:t>
            </w:r>
          </w:p>
          <w:p w14:paraId="32826AD3">
            <w:pPr>
              <w:snapToGrid w:val="0"/>
              <w:spacing w:line="360" w:lineRule="auto"/>
              <w:rPr>
                <w:rFonts w:ascii="宋体" w:hAnsi="宋体" w:cs="宋体"/>
                <w:color w:val="auto"/>
                <w:sz w:val="24"/>
              </w:rPr>
            </w:pPr>
            <w:r>
              <w:rPr>
                <w:rFonts w:hint="eastAsia" w:ascii="宋体" w:hAnsi="宋体" w:cs="宋体"/>
                <w:color w:val="auto"/>
                <w:sz w:val="24"/>
              </w:rPr>
              <w:t>内容基本齐全、表述较准确、前后矛盾较少的得3分；</w:t>
            </w:r>
          </w:p>
          <w:p w14:paraId="2E3A5D7B">
            <w:pPr>
              <w:snapToGrid w:val="0"/>
              <w:spacing w:line="360" w:lineRule="auto"/>
              <w:rPr>
                <w:rFonts w:ascii="宋体" w:hAnsi="宋体" w:cs="宋体"/>
                <w:color w:val="auto"/>
                <w:sz w:val="24"/>
              </w:rPr>
            </w:pPr>
            <w:r>
              <w:rPr>
                <w:rFonts w:hint="eastAsia" w:ascii="宋体" w:hAnsi="宋体" w:cs="宋体"/>
                <w:color w:val="auto"/>
                <w:sz w:val="24"/>
              </w:rPr>
              <w:t>内容完整度较差、表述较差、前后矛盾较多的得2分；</w:t>
            </w:r>
          </w:p>
          <w:p w14:paraId="0BB4A10F">
            <w:pPr>
              <w:widowControl/>
              <w:jc w:val="left"/>
              <w:rPr>
                <w:rFonts w:ascii="宋体" w:hAnsi="宋体" w:cs="宋体"/>
                <w:color w:val="auto"/>
                <w:kern w:val="0"/>
                <w:sz w:val="24"/>
              </w:rPr>
            </w:pPr>
            <w:r>
              <w:rPr>
                <w:rFonts w:hint="eastAsia" w:ascii="宋体" w:hAnsi="宋体" w:cs="宋体"/>
                <w:color w:val="auto"/>
                <w:sz w:val="24"/>
              </w:rPr>
              <w:t>内容欠缺、表述不准确、内容前后矛盾多的得1分。</w:t>
            </w:r>
          </w:p>
        </w:tc>
        <w:tc>
          <w:tcPr>
            <w:tcW w:w="868" w:type="dxa"/>
            <w:vAlign w:val="center"/>
          </w:tcPr>
          <w:p w14:paraId="4C65F7BE">
            <w:pPr>
              <w:spacing w:line="276" w:lineRule="auto"/>
              <w:jc w:val="center"/>
              <w:rPr>
                <w:rFonts w:ascii="宋体" w:hAnsi="宋体" w:cs="宋体"/>
                <w:color w:val="auto"/>
                <w:kern w:val="0"/>
                <w:sz w:val="24"/>
              </w:rPr>
            </w:pPr>
            <w:r>
              <w:rPr>
                <w:rFonts w:hint="eastAsia" w:ascii="宋体" w:hAnsi="宋体" w:cs="宋体"/>
                <w:color w:val="auto"/>
                <w:kern w:val="0"/>
                <w:sz w:val="24"/>
                <w:lang w:bidi="ar"/>
              </w:rPr>
              <w:t>0-5分</w:t>
            </w:r>
          </w:p>
        </w:tc>
        <w:tc>
          <w:tcPr>
            <w:tcW w:w="1008" w:type="dxa"/>
            <w:vAlign w:val="center"/>
          </w:tcPr>
          <w:p w14:paraId="28210B34">
            <w:pPr>
              <w:spacing w:line="276" w:lineRule="auto"/>
              <w:jc w:val="center"/>
              <w:rPr>
                <w:rFonts w:ascii="宋体" w:hAnsi="宋体" w:cs="宋体"/>
                <w:color w:val="auto"/>
                <w:kern w:val="0"/>
                <w:sz w:val="24"/>
              </w:rPr>
            </w:pPr>
            <w:r>
              <w:rPr>
                <w:rFonts w:hint="eastAsia" w:ascii="宋体" w:hAnsi="宋体" w:cs="宋体"/>
                <w:color w:val="auto"/>
                <w:kern w:val="0"/>
                <w:sz w:val="24"/>
              </w:rPr>
              <w:t>主观分</w:t>
            </w:r>
          </w:p>
        </w:tc>
      </w:tr>
      <w:tr w14:paraId="16E7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8" w:type="dxa"/>
            <w:vMerge w:val="continue"/>
            <w:shd w:val="clear" w:color="auto" w:fill="auto"/>
            <w:vAlign w:val="center"/>
          </w:tcPr>
          <w:p w14:paraId="4210FBF8">
            <w:pPr>
              <w:widowControl/>
              <w:jc w:val="center"/>
              <w:rPr>
                <w:rFonts w:ascii="宋体" w:hAnsi="宋体" w:cs="宋体"/>
                <w:color w:val="auto"/>
                <w:kern w:val="0"/>
                <w:sz w:val="24"/>
              </w:rPr>
            </w:pPr>
          </w:p>
        </w:tc>
        <w:tc>
          <w:tcPr>
            <w:tcW w:w="527" w:type="dxa"/>
            <w:shd w:val="clear" w:color="auto" w:fill="auto"/>
            <w:vAlign w:val="center"/>
          </w:tcPr>
          <w:p w14:paraId="602D018E">
            <w:pPr>
              <w:widowControl/>
              <w:jc w:val="center"/>
              <w:rPr>
                <w:rFonts w:ascii="宋体" w:hAnsi="宋体" w:cs="宋体"/>
                <w:color w:val="auto"/>
                <w:kern w:val="0"/>
                <w:sz w:val="24"/>
              </w:rPr>
            </w:pPr>
            <w:r>
              <w:rPr>
                <w:rFonts w:hint="eastAsia" w:ascii="宋体" w:hAnsi="宋体" w:cs="宋体"/>
                <w:color w:val="auto"/>
                <w:kern w:val="0"/>
                <w:sz w:val="24"/>
              </w:rPr>
              <w:t>12</w:t>
            </w:r>
          </w:p>
        </w:tc>
        <w:tc>
          <w:tcPr>
            <w:tcW w:w="6030" w:type="dxa"/>
            <w:shd w:val="clear" w:color="000000" w:fill="auto"/>
            <w:vAlign w:val="center"/>
          </w:tcPr>
          <w:p w14:paraId="0BC793F8">
            <w:pPr>
              <w:pStyle w:val="24"/>
              <w:widowControl/>
              <w:snapToGrid w:val="0"/>
              <w:spacing w:line="360" w:lineRule="auto"/>
              <w:ind w:firstLine="0" w:firstLineChars="0"/>
              <w:rPr>
                <w:rFonts w:cs="宋体"/>
                <w:color w:val="auto"/>
              </w:rPr>
            </w:pPr>
            <w:r>
              <w:rPr>
                <w:rFonts w:hint="eastAsia" w:cs="宋体"/>
                <w:color w:val="auto"/>
              </w:rPr>
              <w:t>项目完成总体设计方案：根据投标人对投标项目总体方案（含资源投入，组织架构，工作计划及保障措施），综合考虑科学性、可靠性、成熟性、合理性等情况。</w:t>
            </w:r>
          </w:p>
          <w:p w14:paraId="029385AF">
            <w:pPr>
              <w:snapToGrid w:val="0"/>
              <w:spacing w:line="360" w:lineRule="auto"/>
              <w:rPr>
                <w:rFonts w:ascii="宋体" w:hAnsi="宋体" w:cs="宋体"/>
                <w:color w:val="auto"/>
                <w:sz w:val="24"/>
              </w:rPr>
            </w:pPr>
            <w:r>
              <w:rPr>
                <w:rFonts w:hint="eastAsia" w:ascii="宋体" w:hAnsi="宋体" w:cs="宋体"/>
                <w:color w:val="auto"/>
                <w:sz w:val="24"/>
              </w:rPr>
              <w:t>内容完整、表述准确、无前后矛盾的得5分；</w:t>
            </w:r>
          </w:p>
          <w:p w14:paraId="0871184F">
            <w:pPr>
              <w:snapToGrid w:val="0"/>
              <w:spacing w:line="360" w:lineRule="auto"/>
              <w:rPr>
                <w:rFonts w:ascii="宋体" w:hAnsi="宋体" w:cs="宋体"/>
                <w:color w:val="auto"/>
                <w:sz w:val="24"/>
              </w:rPr>
            </w:pPr>
            <w:r>
              <w:rPr>
                <w:rFonts w:hint="eastAsia" w:ascii="宋体" w:hAnsi="宋体" w:cs="宋体"/>
                <w:color w:val="auto"/>
                <w:sz w:val="24"/>
              </w:rPr>
              <w:t>内容完整度高、表述较准确、无前后矛盾的得4分</w:t>
            </w:r>
          </w:p>
          <w:p w14:paraId="118C27C1">
            <w:pPr>
              <w:snapToGrid w:val="0"/>
              <w:spacing w:line="360" w:lineRule="auto"/>
              <w:rPr>
                <w:rFonts w:ascii="宋体" w:hAnsi="宋体" w:cs="宋体"/>
                <w:color w:val="auto"/>
                <w:sz w:val="24"/>
              </w:rPr>
            </w:pPr>
            <w:r>
              <w:rPr>
                <w:rFonts w:hint="eastAsia" w:ascii="宋体" w:hAnsi="宋体" w:cs="宋体"/>
                <w:color w:val="auto"/>
                <w:sz w:val="24"/>
              </w:rPr>
              <w:t>内容基本齐全、表述较准确、前后矛盾较少的得3分；</w:t>
            </w:r>
          </w:p>
          <w:p w14:paraId="59B54CEC">
            <w:pPr>
              <w:snapToGrid w:val="0"/>
              <w:spacing w:line="360" w:lineRule="auto"/>
              <w:rPr>
                <w:rFonts w:ascii="宋体" w:hAnsi="宋体" w:cs="宋体"/>
                <w:color w:val="auto"/>
                <w:sz w:val="24"/>
              </w:rPr>
            </w:pPr>
            <w:r>
              <w:rPr>
                <w:rFonts w:hint="eastAsia" w:ascii="宋体" w:hAnsi="宋体" w:cs="宋体"/>
                <w:color w:val="auto"/>
                <w:sz w:val="24"/>
              </w:rPr>
              <w:t>内容完整度较差、表述较差、前后矛盾较多的得2分；</w:t>
            </w:r>
          </w:p>
          <w:p w14:paraId="6D1BD80B">
            <w:pPr>
              <w:widowControl/>
              <w:jc w:val="left"/>
              <w:rPr>
                <w:rFonts w:ascii="宋体" w:hAnsi="宋体" w:cs="宋体"/>
                <w:color w:val="auto"/>
                <w:kern w:val="0"/>
                <w:sz w:val="24"/>
              </w:rPr>
            </w:pPr>
            <w:r>
              <w:rPr>
                <w:rFonts w:hint="eastAsia" w:ascii="宋体" w:hAnsi="宋体" w:cs="宋体"/>
                <w:color w:val="auto"/>
                <w:sz w:val="24"/>
              </w:rPr>
              <w:t>内容欠缺、表述不准确、内容前后矛盾多的得1分。</w:t>
            </w:r>
          </w:p>
        </w:tc>
        <w:tc>
          <w:tcPr>
            <w:tcW w:w="868" w:type="dxa"/>
            <w:vAlign w:val="center"/>
          </w:tcPr>
          <w:p w14:paraId="244A5685">
            <w:pPr>
              <w:spacing w:line="276" w:lineRule="auto"/>
              <w:jc w:val="center"/>
              <w:rPr>
                <w:rFonts w:ascii="宋体" w:hAnsi="宋体" w:cs="宋体"/>
                <w:color w:val="auto"/>
                <w:kern w:val="0"/>
                <w:sz w:val="24"/>
              </w:rPr>
            </w:pPr>
            <w:r>
              <w:rPr>
                <w:rFonts w:hint="eastAsia" w:ascii="宋体" w:hAnsi="宋体" w:cs="宋体"/>
                <w:color w:val="auto"/>
                <w:kern w:val="0"/>
                <w:sz w:val="24"/>
                <w:lang w:bidi="ar"/>
              </w:rPr>
              <w:t>0-5分</w:t>
            </w:r>
          </w:p>
        </w:tc>
        <w:tc>
          <w:tcPr>
            <w:tcW w:w="1008" w:type="dxa"/>
            <w:vAlign w:val="center"/>
          </w:tcPr>
          <w:p w14:paraId="39A96729">
            <w:pPr>
              <w:spacing w:line="276" w:lineRule="auto"/>
              <w:jc w:val="center"/>
              <w:rPr>
                <w:rFonts w:ascii="宋体" w:hAnsi="宋体" w:cs="宋体"/>
                <w:color w:val="auto"/>
                <w:kern w:val="0"/>
                <w:sz w:val="24"/>
              </w:rPr>
            </w:pPr>
            <w:r>
              <w:rPr>
                <w:rFonts w:hint="eastAsia" w:ascii="宋体" w:hAnsi="宋体" w:cs="宋体"/>
                <w:color w:val="auto"/>
                <w:kern w:val="0"/>
                <w:sz w:val="24"/>
              </w:rPr>
              <w:t>主观分</w:t>
            </w:r>
          </w:p>
        </w:tc>
      </w:tr>
      <w:tr w14:paraId="4BCF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8" w:type="dxa"/>
            <w:vMerge w:val="continue"/>
            <w:shd w:val="clear" w:color="auto" w:fill="auto"/>
            <w:vAlign w:val="center"/>
          </w:tcPr>
          <w:p w14:paraId="2E459961">
            <w:pPr>
              <w:widowControl/>
              <w:jc w:val="center"/>
              <w:rPr>
                <w:rFonts w:ascii="宋体" w:hAnsi="宋体" w:cs="宋体"/>
                <w:color w:val="auto"/>
                <w:kern w:val="0"/>
                <w:sz w:val="24"/>
              </w:rPr>
            </w:pPr>
          </w:p>
        </w:tc>
        <w:tc>
          <w:tcPr>
            <w:tcW w:w="527" w:type="dxa"/>
            <w:shd w:val="clear" w:color="auto" w:fill="auto"/>
            <w:vAlign w:val="center"/>
          </w:tcPr>
          <w:p w14:paraId="326D1C13">
            <w:pPr>
              <w:widowControl/>
              <w:jc w:val="center"/>
              <w:rPr>
                <w:rFonts w:ascii="宋体" w:hAnsi="宋体" w:cs="宋体"/>
                <w:color w:val="auto"/>
                <w:kern w:val="0"/>
                <w:sz w:val="24"/>
              </w:rPr>
            </w:pPr>
            <w:r>
              <w:rPr>
                <w:rFonts w:hint="eastAsia" w:ascii="宋体" w:hAnsi="宋体" w:cs="宋体"/>
                <w:color w:val="auto"/>
                <w:kern w:val="0"/>
                <w:sz w:val="24"/>
              </w:rPr>
              <w:t>13</w:t>
            </w:r>
          </w:p>
        </w:tc>
        <w:tc>
          <w:tcPr>
            <w:tcW w:w="6030" w:type="dxa"/>
            <w:shd w:val="clear" w:color="000000" w:fill="auto"/>
            <w:vAlign w:val="center"/>
          </w:tcPr>
          <w:p w14:paraId="0F56D6D1">
            <w:pPr>
              <w:pStyle w:val="24"/>
              <w:widowControl/>
              <w:snapToGrid w:val="0"/>
              <w:spacing w:line="360" w:lineRule="auto"/>
              <w:ind w:firstLine="0" w:firstLineChars="0"/>
              <w:rPr>
                <w:rFonts w:cs="宋体"/>
                <w:color w:val="auto"/>
              </w:rPr>
            </w:pPr>
            <w:r>
              <w:rPr>
                <w:rFonts w:hint="eastAsia" w:cs="宋体"/>
                <w:color w:val="auto"/>
              </w:rPr>
              <w:t>对本项目的合理化建议.</w:t>
            </w:r>
          </w:p>
          <w:p w14:paraId="62616D18">
            <w:pPr>
              <w:snapToGrid w:val="0"/>
              <w:spacing w:line="360" w:lineRule="auto"/>
              <w:rPr>
                <w:rFonts w:ascii="宋体" w:hAnsi="宋体" w:cs="宋体"/>
                <w:color w:val="auto"/>
                <w:sz w:val="24"/>
              </w:rPr>
            </w:pPr>
            <w:r>
              <w:rPr>
                <w:rFonts w:hint="eastAsia" w:ascii="宋体" w:hAnsi="宋体" w:cs="宋体"/>
                <w:color w:val="auto"/>
                <w:sz w:val="24"/>
              </w:rPr>
              <w:t>内容完整、表述准确、无前后矛盾的得5分；</w:t>
            </w:r>
          </w:p>
          <w:p w14:paraId="6EBE8CA8">
            <w:pPr>
              <w:snapToGrid w:val="0"/>
              <w:spacing w:line="360" w:lineRule="auto"/>
              <w:rPr>
                <w:rFonts w:ascii="宋体" w:hAnsi="宋体" w:cs="宋体"/>
                <w:color w:val="auto"/>
                <w:sz w:val="24"/>
              </w:rPr>
            </w:pPr>
            <w:r>
              <w:rPr>
                <w:rFonts w:hint="eastAsia" w:ascii="宋体" w:hAnsi="宋体" w:cs="宋体"/>
                <w:color w:val="auto"/>
                <w:sz w:val="24"/>
              </w:rPr>
              <w:t>内容完整度高、表述较准确、无前后矛盾的得4分</w:t>
            </w:r>
          </w:p>
          <w:p w14:paraId="3F46106E">
            <w:pPr>
              <w:snapToGrid w:val="0"/>
              <w:spacing w:line="360" w:lineRule="auto"/>
              <w:rPr>
                <w:rFonts w:ascii="宋体" w:hAnsi="宋体" w:cs="宋体"/>
                <w:color w:val="auto"/>
                <w:sz w:val="24"/>
              </w:rPr>
            </w:pPr>
            <w:r>
              <w:rPr>
                <w:rFonts w:hint="eastAsia" w:ascii="宋体" w:hAnsi="宋体" w:cs="宋体"/>
                <w:color w:val="auto"/>
                <w:sz w:val="24"/>
              </w:rPr>
              <w:t>内容基本齐全、表述较准确、前后矛盾较少的得3分；</w:t>
            </w:r>
          </w:p>
          <w:p w14:paraId="7B7FCD63">
            <w:pPr>
              <w:snapToGrid w:val="0"/>
              <w:spacing w:line="360" w:lineRule="auto"/>
              <w:rPr>
                <w:rFonts w:ascii="宋体" w:hAnsi="宋体" w:cs="宋体"/>
                <w:color w:val="auto"/>
                <w:sz w:val="24"/>
              </w:rPr>
            </w:pPr>
            <w:r>
              <w:rPr>
                <w:rFonts w:hint="eastAsia" w:ascii="宋体" w:hAnsi="宋体" w:cs="宋体"/>
                <w:color w:val="auto"/>
                <w:sz w:val="24"/>
              </w:rPr>
              <w:t>内容完整度较差、表述较差、前后矛盾较多的得2分；</w:t>
            </w:r>
          </w:p>
          <w:p w14:paraId="6CCBECDF">
            <w:pPr>
              <w:spacing w:line="276" w:lineRule="auto"/>
              <w:rPr>
                <w:rFonts w:ascii="宋体" w:hAnsi="宋体" w:cs="宋体"/>
                <w:color w:val="auto"/>
                <w:kern w:val="0"/>
                <w:sz w:val="24"/>
              </w:rPr>
            </w:pPr>
            <w:r>
              <w:rPr>
                <w:rFonts w:hint="eastAsia" w:ascii="宋体" w:hAnsi="宋体" w:cs="宋体"/>
                <w:color w:val="auto"/>
                <w:sz w:val="24"/>
              </w:rPr>
              <w:t>内容欠缺、表述不准确、内容前后矛盾多的得1分。</w:t>
            </w:r>
          </w:p>
        </w:tc>
        <w:tc>
          <w:tcPr>
            <w:tcW w:w="868" w:type="dxa"/>
            <w:vAlign w:val="center"/>
          </w:tcPr>
          <w:p w14:paraId="6FB99A18">
            <w:pPr>
              <w:spacing w:line="276" w:lineRule="auto"/>
              <w:jc w:val="center"/>
              <w:rPr>
                <w:rFonts w:ascii="宋体" w:hAnsi="宋体" w:cs="宋体"/>
                <w:color w:val="auto"/>
                <w:kern w:val="0"/>
                <w:sz w:val="24"/>
              </w:rPr>
            </w:pPr>
            <w:r>
              <w:rPr>
                <w:rFonts w:hint="eastAsia" w:ascii="宋体" w:hAnsi="宋体" w:cs="宋体"/>
                <w:color w:val="auto"/>
                <w:kern w:val="0"/>
                <w:sz w:val="24"/>
                <w:lang w:bidi="ar"/>
              </w:rPr>
              <w:t>0-5分</w:t>
            </w:r>
          </w:p>
        </w:tc>
        <w:tc>
          <w:tcPr>
            <w:tcW w:w="1008" w:type="dxa"/>
            <w:vAlign w:val="center"/>
          </w:tcPr>
          <w:p w14:paraId="5E22357F">
            <w:pPr>
              <w:spacing w:line="276" w:lineRule="auto"/>
              <w:jc w:val="center"/>
              <w:rPr>
                <w:rFonts w:ascii="宋体" w:hAnsi="宋体" w:cs="宋体"/>
                <w:color w:val="auto"/>
                <w:sz w:val="24"/>
              </w:rPr>
            </w:pPr>
            <w:r>
              <w:rPr>
                <w:rFonts w:hint="eastAsia" w:ascii="宋体" w:hAnsi="宋体" w:cs="宋体"/>
                <w:color w:val="auto"/>
                <w:kern w:val="0"/>
                <w:sz w:val="24"/>
              </w:rPr>
              <w:t>主观分</w:t>
            </w:r>
          </w:p>
        </w:tc>
      </w:tr>
    </w:tbl>
    <w:p w14:paraId="420690D8">
      <w:pPr>
        <w:rPr>
          <w:rFonts w:ascii="宋体" w:hAnsi="宋体" w:cs="宋体"/>
          <w:color w:val="auto"/>
          <w:sz w:val="24"/>
        </w:rPr>
      </w:pPr>
    </w:p>
    <w:p w14:paraId="75474F7E">
      <w:pPr>
        <w:widowControl/>
        <w:spacing w:line="360" w:lineRule="auto"/>
        <w:ind w:firstLine="480" w:firstLineChars="200"/>
        <w:rPr>
          <w:rFonts w:ascii="宋体" w:hAnsi="宋体" w:cs="宋体"/>
          <w:color w:val="auto"/>
          <w:sz w:val="24"/>
        </w:rPr>
      </w:pPr>
      <w:r>
        <w:rPr>
          <w:rFonts w:hint="eastAsia" w:ascii="宋体" w:hAnsi="宋体" w:cs="宋体"/>
          <w:color w:val="auto"/>
          <w:sz w:val="24"/>
        </w:rPr>
        <w:t>3、价格分（30分）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7E75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343161D0">
            <w:pPr>
              <w:widowControl/>
              <w:ind w:firstLine="480" w:firstLineChars="200"/>
              <w:rPr>
                <w:rFonts w:ascii="宋体" w:hAnsi="宋体" w:cs="宋体"/>
                <w:color w:val="auto"/>
                <w:sz w:val="24"/>
              </w:rPr>
            </w:pPr>
            <w:r>
              <w:rPr>
                <w:rFonts w:hint="eastAsia" w:ascii="宋体" w:hAnsi="宋体" w:cs="宋体"/>
                <w:color w:val="auto"/>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77B1DCBC">
            <w:pPr>
              <w:widowControl/>
              <w:jc w:val="center"/>
              <w:rPr>
                <w:rFonts w:ascii="宋体" w:hAnsi="宋体" w:cs="宋体"/>
                <w:color w:val="auto"/>
                <w:sz w:val="24"/>
              </w:rPr>
            </w:pPr>
            <w:r>
              <w:rPr>
                <w:rFonts w:hint="eastAsia" w:ascii="宋体" w:hAnsi="宋体" w:cs="宋体"/>
                <w:color w:val="auto"/>
                <w:sz w:val="24"/>
              </w:rPr>
              <w:t>计算方法</w:t>
            </w:r>
          </w:p>
        </w:tc>
      </w:tr>
      <w:tr w14:paraId="3A94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55BB6FD7">
            <w:pPr>
              <w:widowControl/>
              <w:jc w:val="center"/>
              <w:rPr>
                <w:rFonts w:ascii="宋体" w:hAnsi="宋体" w:cs="宋体"/>
                <w:color w:val="auto"/>
                <w:sz w:val="24"/>
              </w:rPr>
            </w:pPr>
            <w:r>
              <w:rPr>
                <w:rFonts w:hint="eastAsia" w:ascii="宋体" w:hAnsi="宋体" w:cs="宋体"/>
                <w:color w:val="auto"/>
                <w:sz w:val="24"/>
              </w:rPr>
              <w:t>价格权值=0.30</w:t>
            </w:r>
          </w:p>
        </w:tc>
        <w:tc>
          <w:tcPr>
            <w:tcW w:w="6599" w:type="dxa"/>
            <w:tcBorders>
              <w:top w:val="single" w:color="auto" w:sz="4" w:space="0"/>
              <w:left w:val="single" w:color="auto" w:sz="4" w:space="0"/>
              <w:bottom w:val="single" w:color="auto" w:sz="4" w:space="0"/>
              <w:right w:val="single" w:color="auto" w:sz="4" w:space="0"/>
            </w:tcBorders>
            <w:noWrap/>
            <w:vAlign w:val="center"/>
          </w:tcPr>
          <w:p w14:paraId="27659337">
            <w:pPr>
              <w:widowControl/>
              <w:rPr>
                <w:rFonts w:ascii="宋体" w:hAnsi="宋体" w:cs="宋体"/>
                <w:color w:val="auto"/>
                <w:sz w:val="24"/>
              </w:rPr>
            </w:pPr>
            <w:r>
              <w:rPr>
                <w:rFonts w:hint="eastAsia" w:ascii="宋体" w:hAnsi="宋体" w:cs="宋体"/>
                <w:color w:val="auto"/>
                <w:sz w:val="24"/>
              </w:rPr>
              <w:t>最低有效投标价格为评标基准价</w:t>
            </w:r>
          </w:p>
          <w:p w14:paraId="6C0BCF8E">
            <w:pPr>
              <w:widowControl/>
              <w:rPr>
                <w:rFonts w:ascii="宋体" w:hAnsi="宋体" w:cs="宋体"/>
                <w:color w:val="auto"/>
                <w:sz w:val="24"/>
              </w:rPr>
            </w:pPr>
            <w:r>
              <w:rPr>
                <w:rFonts w:hint="eastAsia" w:ascii="宋体" w:hAnsi="宋体" w:cs="宋体"/>
                <w:color w:val="auto"/>
                <w:sz w:val="24"/>
              </w:rPr>
              <w:t>投标报价得分=(评标基准价／投标报价)×价格权值×100</w:t>
            </w:r>
          </w:p>
          <w:p w14:paraId="5F19E2B8">
            <w:pPr>
              <w:widowControl/>
              <w:rPr>
                <w:rFonts w:ascii="宋体" w:hAnsi="宋体" w:cs="宋体"/>
                <w:color w:val="auto"/>
                <w:sz w:val="24"/>
              </w:rPr>
            </w:pPr>
            <w:r>
              <w:rPr>
                <w:rFonts w:hint="eastAsia" w:ascii="宋体" w:hAnsi="宋体" w:cs="宋体"/>
                <w:color w:val="auto"/>
                <w:sz w:val="24"/>
              </w:rPr>
              <w:t>（计算得分保留小数点后2位）</w:t>
            </w:r>
          </w:p>
        </w:tc>
      </w:tr>
    </w:tbl>
    <w:p w14:paraId="2EA73D40">
      <w:pPr>
        <w:spacing w:line="360" w:lineRule="auto"/>
        <w:rPr>
          <w:rFonts w:ascii="宋体" w:hAnsi="宋体" w:cs="宋体"/>
          <w:color w:val="auto"/>
          <w:sz w:val="24"/>
        </w:rPr>
      </w:pPr>
      <w:r>
        <w:rPr>
          <w:rFonts w:hint="eastAsia" w:ascii="宋体" w:hAnsi="宋体" w:cs="宋体"/>
          <w:color w:val="auto"/>
          <w:sz w:val="20"/>
          <w:szCs w:val="20"/>
          <w:shd w:val="clear" w:color="auto" w:fill="FFFFFF"/>
        </w:rPr>
        <w:t>*</w:t>
      </w:r>
      <w:r>
        <w:rPr>
          <w:rFonts w:hint="eastAsia" w:ascii="宋体" w:hAnsi="宋体" w:cs="宋体"/>
          <w:color w:val="auto"/>
          <w:sz w:val="24"/>
        </w:rPr>
        <w:t xml:space="preserve">备注：1、投标人编制投标文件（商务技术文件部分）时，建议按此目录（序号和内容）提供评标标准相应的商务技术资料。 </w:t>
      </w:r>
    </w:p>
    <w:p w14:paraId="662F300C">
      <w:pPr>
        <w:spacing w:line="360" w:lineRule="auto"/>
        <w:rPr>
          <w:rFonts w:ascii="宋体" w:hAnsi="宋体" w:cs="宋体"/>
          <w:color w:val="auto"/>
          <w:sz w:val="24"/>
        </w:rPr>
      </w:pPr>
      <w:r>
        <w:rPr>
          <w:rFonts w:hint="eastAsia" w:ascii="宋体" w:hAnsi="宋体" w:cs="宋体"/>
          <w:color w:val="auto"/>
          <w:sz w:val="24"/>
        </w:rPr>
        <w:t>2、评分条款中涉及的业绩、荣誉、人员、社保等分公司均有效。涉及社保、劳动关系证明关系的，如人员为法人代表，则无需提供相关证明</w:t>
      </w:r>
      <w:r>
        <w:rPr>
          <w:rFonts w:ascii="宋体" w:hAnsi="宋体" w:cs="宋体"/>
          <w:color w:val="auto"/>
          <w:sz w:val="24"/>
        </w:rPr>
        <w:t>，提供营业执照及身份证</w:t>
      </w:r>
      <w:r>
        <w:rPr>
          <w:rFonts w:hint="eastAsia" w:ascii="宋体" w:hAnsi="宋体" w:cs="宋体"/>
          <w:color w:val="auto"/>
          <w:sz w:val="24"/>
        </w:rPr>
        <w:t>。</w:t>
      </w:r>
    </w:p>
    <w:p w14:paraId="50C3D536">
      <w:pPr>
        <w:spacing w:line="360" w:lineRule="auto"/>
        <w:rPr>
          <w:rFonts w:ascii="宋体" w:hAnsi="宋体" w:cs="宋体"/>
          <w:color w:val="auto"/>
          <w:sz w:val="24"/>
        </w:rPr>
      </w:pPr>
      <w:r>
        <w:rPr>
          <w:rFonts w:hint="eastAsia" w:ascii="宋体" w:hAnsi="宋体" w:cs="宋体"/>
          <w:color w:val="auto"/>
          <w:sz w:val="24"/>
        </w:rPr>
        <w:t>3、投标文件中如附有外文资料，必须逐一对应翻译成中文并加盖投标人公章后附在相关外文资料后面，否则外文资料不予认可。</w:t>
      </w:r>
    </w:p>
    <w:p w14:paraId="4B643926">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62F7153A">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2EAC7CEA">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5AFE7634">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1CD0C4F8">
      <w:pPr>
        <w:spacing w:line="360" w:lineRule="auto"/>
        <w:outlineLvl w:val="0"/>
        <w:rPr>
          <w:rFonts w:ascii="宋体" w:hAnsi="宋体" w:cs="宋体"/>
          <w:b/>
          <w:color w:val="auto"/>
          <w:sz w:val="32"/>
          <w:szCs w:val="32"/>
        </w:rPr>
      </w:pPr>
      <w:r>
        <w:rPr>
          <w:rFonts w:hint="eastAsia" w:ascii="宋体" w:hAnsi="宋体" w:cs="宋体"/>
          <w:b/>
          <w:color w:val="auto"/>
          <w:sz w:val="32"/>
          <w:szCs w:val="32"/>
        </w:rPr>
        <w:t>三、评标程序</w:t>
      </w:r>
    </w:p>
    <w:p w14:paraId="4B5B6D8F">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4CB164A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77C9F851">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3A6E0FA8">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00F6D4DB">
      <w:pPr>
        <w:pStyle w:val="128"/>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0E82D9B5">
      <w:pPr>
        <w:pStyle w:val="128"/>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257F7329">
      <w:pPr>
        <w:pStyle w:val="128"/>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239E0043">
      <w:pPr>
        <w:pStyle w:val="128"/>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07BF3004">
      <w:pPr>
        <w:pStyle w:val="128"/>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5429004B">
      <w:pPr>
        <w:pStyle w:val="128"/>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57E2E36">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11DA9668">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61C82A90">
      <w:pPr>
        <w:pStyle w:val="128"/>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91B4119">
      <w:pPr>
        <w:pStyle w:val="128"/>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672BF944">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A2B002">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79EE65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w:t>
      </w:r>
      <w:r>
        <w:rPr>
          <w:rFonts w:hint="eastAsia" w:ascii="宋体" w:hAnsi="宋体" w:cs="宋体"/>
          <w:bCs/>
          <w:color w:val="auto"/>
          <w:kern w:val="0"/>
          <w:sz w:val="24"/>
        </w:rPr>
        <w:t>6</w:t>
      </w:r>
      <w:r>
        <w:rPr>
          <w:rFonts w:hint="eastAsia" w:ascii="宋体" w:hAnsi="宋体" w:cs="宋体"/>
          <w:b/>
          <w:color w:val="auto"/>
          <w:kern w:val="0"/>
          <w:sz w:val="24"/>
        </w:rPr>
        <w:t>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B575C51">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5C2F389B">
      <w:pPr>
        <w:pStyle w:val="128"/>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4DADE39">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71CEE99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1DC2366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785DF8E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0E50144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061CA40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695DA48A">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705AEBB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w:t>
      </w:r>
      <w:r>
        <w:rPr>
          <w:rFonts w:hint="eastAsia" w:ascii="宋体" w:hAnsi="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0129579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2E81769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6799A04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42B8ACA6">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0BF6E79C">
      <w:pPr>
        <w:spacing w:line="360" w:lineRule="auto"/>
        <w:ind w:firstLine="480" w:firstLineChars="200"/>
        <w:rPr>
          <w:color w:val="auto"/>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25E746C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投标人仅提交备份投标文件，未在电子交易平台传输递交投标文件的，投标无效；</w:t>
      </w:r>
    </w:p>
    <w:p w14:paraId="46B4ABA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144025A8">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2558E88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6</w:t>
      </w:r>
      <w:r>
        <w:rPr>
          <w:rFonts w:hint="eastAsia" w:ascii="宋体" w:hAnsi="宋体" w:cs="宋体"/>
          <w:color w:val="auto"/>
          <w:kern w:val="0"/>
          <w:sz w:val="24"/>
        </w:rPr>
        <w:t>法律、法规、规章（适用本市的）及省级以上规范性文件（适用本市的）规定的其他无效情形。</w:t>
      </w:r>
    </w:p>
    <w:p w14:paraId="301B3147">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0BED327F">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14:paraId="6BED4310">
      <w:pPr>
        <w:pStyle w:val="24"/>
        <w:snapToGrid w:val="0"/>
        <w:spacing w:line="360" w:lineRule="auto"/>
        <w:rPr>
          <w:rFonts w:cs="宋体"/>
          <w:color w:val="auto"/>
        </w:rPr>
      </w:pPr>
      <w:r>
        <w:rPr>
          <w:rFonts w:hint="eastAsia" w:cs="宋体"/>
          <w:color w:val="auto"/>
        </w:rPr>
        <w:t>5.2出现影响采购公正的违法、违规行为的；</w:t>
      </w:r>
    </w:p>
    <w:p w14:paraId="4F429379">
      <w:pPr>
        <w:pStyle w:val="24"/>
        <w:snapToGrid w:val="0"/>
        <w:spacing w:line="360" w:lineRule="auto"/>
        <w:rPr>
          <w:rFonts w:cs="宋体"/>
          <w:color w:val="auto"/>
        </w:rPr>
      </w:pPr>
      <w:r>
        <w:rPr>
          <w:rFonts w:hint="eastAsia" w:cs="宋体"/>
          <w:color w:val="auto"/>
        </w:rPr>
        <w:t>5.3投标人的报价均超过了采购预算，采购人不能支付的；</w:t>
      </w:r>
    </w:p>
    <w:p w14:paraId="47C2CDBC">
      <w:pPr>
        <w:pStyle w:val="24"/>
        <w:snapToGrid w:val="0"/>
        <w:spacing w:line="360" w:lineRule="auto"/>
        <w:rPr>
          <w:rFonts w:cs="宋体"/>
          <w:color w:val="auto"/>
        </w:rPr>
      </w:pPr>
      <w:r>
        <w:rPr>
          <w:rFonts w:hint="eastAsia" w:cs="宋体"/>
          <w:color w:val="auto"/>
        </w:rPr>
        <w:t>5.4因重大变故，采购任务取消的。</w:t>
      </w:r>
    </w:p>
    <w:p w14:paraId="3CAC8A14">
      <w:pPr>
        <w:pStyle w:val="24"/>
        <w:snapToGrid w:val="0"/>
        <w:spacing w:line="360" w:lineRule="auto"/>
        <w:rPr>
          <w:rFonts w:cs="宋体"/>
          <w:color w:val="auto"/>
        </w:rPr>
      </w:pPr>
      <w:r>
        <w:rPr>
          <w:rFonts w:hint="eastAsia" w:cs="宋体"/>
          <w:color w:val="auto"/>
        </w:rPr>
        <w:t>废标后，采购代理机构应当将废标理由通知所有投标人。</w:t>
      </w:r>
    </w:p>
    <w:p w14:paraId="22EA3342">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C4F7F16">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2585F43D">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14:paraId="0233C6EC">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68292972">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72865562">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1A1D8838">
      <w:pPr>
        <w:spacing w:line="360" w:lineRule="auto"/>
        <w:ind w:firstLine="420"/>
        <w:outlineLvl w:val="0"/>
        <w:rPr>
          <w:rFonts w:cs="宋体"/>
          <w:color w:val="auto"/>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sz w:val="24"/>
        </w:rPr>
        <w:t>5</w:t>
      </w:r>
      <w:r>
        <w:rPr>
          <w:rFonts w:hint="eastAsia" w:cs="宋体"/>
          <w:color w:val="auto"/>
          <w:sz w:val="24"/>
        </w:rPr>
        <w:t>政府采购当事人有其他违反政府采购法或者政府采购法实施条例等法律法规规定的行为，经改正后仍然影响或者可能影响中标结果或者依法被认定为中标无效的，依照7.1-7.4规定处理。</w:t>
      </w:r>
    </w:p>
    <w:p w14:paraId="40F3ACE5">
      <w:pPr>
        <w:rPr>
          <w:rFonts w:cs="宋体"/>
          <w:color w:val="auto"/>
        </w:rPr>
      </w:pPr>
      <w:r>
        <w:rPr>
          <w:rFonts w:hint="eastAsia" w:cs="宋体"/>
          <w:color w:val="auto"/>
        </w:rPr>
        <w:br w:type="page"/>
      </w:r>
    </w:p>
    <w:p w14:paraId="4787931C">
      <w:pPr>
        <w:numPr>
          <w:ilvl w:val="0"/>
          <w:numId w:val="16"/>
        </w:num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拟签订的合同文本</w:t>
      </w:r>
    </w:p>
    <w:p w14:paraId="30679599">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45696E79">
      <w:pPr>
        <w:pStyle w:val="4"/>
        <w:ind w:left="0" w:firstLine="0"/>
        <w:rPr>
          <w:color w:val="auto"/>
        </w:rPr>
      </w:pPr>
    </w:p>
    <w:p w14:paraId="4770425B">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70BDC28B">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39B9BF25">
      <w:pPr>
        <w:pStyle w:val="699"/>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7147D10D">
      <w:pPr>
        <w:spacing w:before="120" w:line="22" w:lineRule="atLeast"/>
        <w:rPr>
          <w:rFonts w:ascii="宋体" w:hAnsi="宋体" w:cs="宋体"/>
          <w:color w:val="auto"/>
          <w:sz w:val="24"/>
        </w:rPr>
      </w:pPr>
    </w:p>
    <w:p w14:paraId="3AA3E882">
      <w:pPr>
        <w:pStyle w:val="4"/>
        <w:rPr>
          <w:color w:val="auto"/>
        </w:rPr>
      </w:pPr>
    </w:p>
    <w:p w14:paraId="18842C32">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15990579">
      <w:pPr>
        <w:pStyle w:val="596"/>
        <w:spacing w:before="120" w:line="22" w:lineRule="atLeast"/>
        <w:rPr>
          <w:rFonts w:ascii="宋体" w:hAnsi="宋体" w:eastAsia="宋体" w:cs="宋体"/>
          <w:color w:val="auto"/>
          <w:szCs w:val="24"/>
        </w:rPr>
      </w:pPr>
    </w:p>
    <w:p w14:paraId="6F8037F0">
      <w:pPr>
        <w:pStyle w:val="596"/>
        <w:spacing w:before="120" w:line="22" w:lineRule="atLeast"/>
        <w:rPr>
          <w:rFonts w:ascii="宋体" w:hAnsi="宋体" w:eastAsia="宋体" w:cs="宋体"/>
          <w:color w:val="auto"/>
          <w:szCs w:val="24"/>
        </w:rPr>
      </w:pPr>
    </w:p>
    <w:p w14:paraId="2C3BC172">
      <w:pPr>
        <w:rPr>
          <w:rFonts w:ascii="宋体" w:hAnsi="宋体" w:cs="宋体"/>
          <w:color w:val="auto"/>
          <w:sz w:val="24"/>
        </w:rPr>
      </w:pPr>
    </w:p>
    <w:p w14:paraId="03727125">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50031E66">
      <w:pPr>
        <w:spacing w:before="120" w:line="22" w:lineRule="atLeast"/>
        <w:rPr>
          <w:rFonts w:ascii="宋体" w:hAnsi="宋体" w:cs="宋体"/>
          <w:color w:val="auto"/>
          <w:sz w:val="24"/>
        </w:rPr>
      </w:pPr>
    </w:p>
    <w:p w14:paraId="5F586BE5">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0FA8F22A">
      <w:pPr>
        <w:spacing w:before="120" w:line="22" w:lineRule="atLeast"/>
        <w:rPr>
          <w:rFonts w:ascii="宋体" w:hAnsi="宋体" w:cs="宋体"/>
          <w:color w:val="auto"/>
          <w:sz w:val="24"/>
        </w:rPr>
      </w:pPr>
    </w:p>
    <w:p w14:paraId="088928B2">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2505CD7A">
      <w:pPr>
        <w:spacing w:before="120" w:line="22" w:lineRule="atLeast"/>
        <w:rPr>
          <w:rFonts w:ascii="宋体" w:hAnsi="宋体" w:cs="宋体"/>
          <w:color w:val="auto"/>
          <w:sz w:val="24"/>
        </w:rPr>
      </w:pPr>
    </w:p>
    <w:p w14:paraId="29FA50C8">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A8BC86F">
      <w:pPr>
        <w:rPr>
          <w:rFonts w:ascii="宋体" w:hAnsi="宋体" w:cs="宋体"/>
          <w:b/>
          <w:color w:val="auto"/>
          <w:sz w:val="24"/>
        </w:rPr>
      </w:pPr>
      <w:r>
        <w:rPr>
          <w:rFonts w:ascii="宋体" w:hAnsi="宋体" w:cs="宋体"/>
          <w:b/>
          <w:color w:val="auto"/>
          <w:sz w:val="24"/>
        </w:rPr>
        <w:br w:type="page"/>
      </w:r>
    </w:p>
    <w:p w14:paraId="02437DB2">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75AF7FDF">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0F6D9AD2">
      <w:pPr>
        <w:spacing w:line="560" w:lineRule="exact"/>
        <w:ind w:firstLine="482" w:firstLineChars="200"/>
        <w:outlineLvl w:val="0"/>
        <w:rPr>
          <w:rFonts w:ascii="宋体" w:hAnsi="宋体"/>
          <w:color w:val="auto"/>
          <w:sz w:val="24"/>
        </w:rPr>
      </w:pPr>
      <w:bookmarkStart w:id="397" w:name="_Toc19273"/>
      <w:bookmarkStart w:id="398" w:name="_Toc22967"/>
      <w:bookmarkStart w:id="399" w:name="_Toc20421"/>
      <w:bookmarkStart w:id="400" w:name="_Toc28855"/>
      <w:bookmarkStart w:id="401" w:name="_Toc15367"/>
      <w:r>
        <w:rPr>
          <w:rFonts w:ascii="宋体" w:hAnsi="宋体"/>
          <w:b/>
          <w:color w:val="auto"/>
          <w:sz w:val="24"/>
        </w:rPr>
        <w:t xml:space="preserve">1.1 </w:t>
      </w:r>
      <w:r>
        <w:rPr>
          <w:rFonts w:hint="eastAsia" w:ascii="宋体" w:hAnsi="宋体"/>
          <w:b/>
          <w:color w:val="auto"/>
          <w:sz w:val="24"/>
        </w:rPr>
        <w:t>合同组成部分</w:t>
      </w:r>
      <w:bookmarkEnd w:id="397"/>
      <w:bookmarkEnd w:id="398"/>
      <w:bookmarkEnd w:id="399"/>
      <w:bookmarkEnd w:id="400"/>
      <w:bookmarkEnd w:id="401"/>
    </w:p>
    <w:p w14:paraId="70623C28">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50DEC3F">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006EBBA1">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19E5F067">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3C2B5A51">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409D84B5">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6BD0847F">
      <w:pPr>
        <w:spacing w:line="560" w:lineRule="exact"/>
        <w:ind w:firstLine="482" w:firstLineChars="200"/>
        <w:outlineLvl w:val="0"/>
        <w:rPr>
          <w:rFonts w:ascii="宋体" w:hAnsi="宋体"/>
          <w:b/>
          <w:color w:val="auto"/>
          <w:sz w:val="24"/>
        </w:rPr>
      </w:pPr>
      <w:bookmarkStart w:id="402" w:name="_Toc18585"/>
      <w:bookmarkStart w:id="403" w:name="_Toc6311"/>
      <w:bookmarkStart w:id="404" w:name="_Toc6773"/>
      <w:bookmarkStart w:id="405" w:name="_Toc22185"/>
      <w:bookmarkStart w:id="406" w:name="_Toc2918"/>
      <w:r>
        <w:rPr>
          <w:rFonts w:ascii="宋体" w:hAnsi="宋体"/>
          <w:b/>
          <w:color w:val="auto"/>
          <w:sz w:val="24"/>
        </w:rPr>
        <w:t xml:space="preserve">1.2 </w:t>
      </w:r>
      <w:r>
        <w:rPr>
          <w:rFonts w:hint="eastAsia" w:ascii="宋体" w:hAnsi="宋体"/>
          <w:b/>
          <w:color w:val="auto"/>
          <w:sz w:val="24"/>
        </w:rPr>
        <w:t>标的</w:t>
      </w:r>
      <w:bookmarkEnd w:id="402"/>
      <w:bookmarkEnd w:id="403"/>
      <w:bookmarkEnd w:id="404"/>
      <w:bookmarkEnd w:id="405"/>
      <w:bookmarkEnd w:id="406"/>
    </w:p>
    <w:p w14:paraId="5636EFD8">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508575E8">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920A3D8">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1BC68D3A">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4B7CA2D6">
      <w:pPr>
        <w:pStyle w:val="957"/>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14:paraId="625AA2A7">
      <w:pPr>
        <w:spacing w:line="560" w:lineRule="exact"/>
        <w:ind w:firstLine="480" w:firstLineChars="200"/>
        <w:rPr>
          <w:rFonts w:ascii="宋体" w:hAnsi="宋体" w:cs="宋体"/>
          <w:color w:val="auto"/>
          <w:sz w:val="24"/>
          <w:u w:val="single"/>
        </w:rPr>
      </w:pPr>
      <w:bookmarkStart w:id="407" w:name="_Toc4929"/>
      <w:bookmarkStart w:id="408" w:name="_Toc21124"/>
      <w:bookmarkStart w:id="409" w:name="_Toc1386"/>
      <w:bookmarkStart w:id="410" w:name="_Toc5635"/>
      <w:bookmarkStart w:id="411" w:name="_Toc13918"/>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5E5E0212">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2D6C6E7D">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2BB8A0ED">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7"/>
      <w:bookmarkEnd w:id="408"/>
      <w:bookmarkEnd w:id="409"/>
      <w:bookmarkEnd w:id="410"/>
      <w:bookmarkEnd w:id="411"/>
    </w:p>
    <w:p w14:paraId="46221628">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45D472B5">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3FD43DE4">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E80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DAD1E9">
            <w:pPr>
              <w:pStyle w:val="317"/>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34391D6F">
            <w:pPr>
              <w:pStyle w:val="317"/>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210A48B1">
            <w:pPr>
              <w:pStyle w:val="317"/>
              <w:spacing w:line="560" w:lineRule="exact"/>
              <w:jc w:val="center"/>
              <w:rPr>
                <w:rFonts w:hAnsi="宋体"/>
                <w:color w:val="auto"/>
                <w:sz w:val="24"/>
                <w:szCs w:val="24"/>
              </w:rPr>
            </w:pPr>
            <w:r>
              <w:rPr>
                <w:rFonts w:hAnsi="宋体"/>
                <w:color w:val="auto"/>
                <w:sz w:val="24"/>
                <w:szCs w:val="24"/>
              </w:rPr>
              <w:t>分项价格</w:t>
            </w:r>
          </w:p>
        </w:tc>
      </w:tr>
      <w:tr w14:paraId="12A6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19B83D">
            <w:pPr>
              <w:pStyle w:val="317"/>
              <w:spacing w:line="560" w:lineRule="exact"/>
              <w:ind w:firstLine="200"/>
              <w:jc w:val="center"/>
              <w:rPr>
                <w:rFonts w:hAnsi="宋体"/>
                <w:color w:val="auto"/>
                <w:sz w:val="24"/>
                <w:szCs w:val="24"/>
              </w:rPr>
            </w:pPr>
          </w:p>
        </w:tc>
        <w:tc>
          <w:tcPr>
            <w:tcW w:w="3402" w:type="dxa"/>
            <w:vAlign w:val="center"/>
          </w:tcPr>
          <w:p w14:paraId="557C78BD">
            <w:pPr>
              <w:pStyle w:val="317"/>
              <w:spacing w:line="560" w:lineRule="exact"/>
              <w:ind w:firstLine="200"/>
              <w:jc w:val="center"/>
              <w:rPr>
                <w:rFonts w:hAnsi="宋体"/>
                <w:color w:val="auto"/>
                <w:sz w:val="24"/>
                <w:szCs w:val="24"/>
              </w:rPr>
            </w:pPr>
          </w:p>
        </w:tc>
        <w:tc>
          <w:tcPr>
            <w:tcW w:w="2552" w:type="dxa"/>
            <w:vAlign w:val="center"/>
          </w:tcPr>
          <w:p w14:paraId="3401F86C">
            <w:pPr>
              <w:pStyle w:val="317"/>
              <w:spacing w:line="560" w:lineRule="exact"/>
              <w:ind w:firstLine="200"/>
              <w:jc w:val="center"/>
              <w:rPr>
                <w:rFonts w:hAnsi="宋体"/>
                <w:color w:val="auto"/>
                <w:sz w:val="24"/>
                <w:szCs w:val="24"/>
              </w:rPr>
            </w:pPr>
          </w:p>
        </w:tc>
      </w:tr>
      <w:tr w14:paraId="35B1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569241">
            <w:pPr>
              <w:pStyle w:val="317"/>
              <w:spacing w:line="560" w:lineRule="exact"/>
              <w:ind w:firstLine="200"/>
              <w:jc w:val="center"/>
              <w:rPr>
                <w:rFonts w:hAnsi="宋体"/>
                <w:color w:val="auto"/>
                <w:sz w:val="24"/>
                <w:szCs w:val="24"/>
              </w:rPr>
            </w:pPr>
          </w:p>
        </w:tc>
        <w:tc>
          <w:tcPr>
            <w:tcW w:w="3402" w:type="dxa"/>
            <w:vAlign w:val="center"/>
          </w:tcPr>
          <w:p w14:paraId="22EDE32F">
            <w:pPr>
              <w:pStyle w:val="317"/>
              <w:spacing w:line="560" w:lineRule="exact"/>
              <w:ind w:firstLine="200"/>
              <w:jc w:val="center"/>
              <w:rPr>
                <w:rFonts w:hAnsi="宋体"/>
                <w:color w:val="auto"/>
                <w:sz w:val="24"/>
                <w:szCs w:val="24"/>
              </w:rPr>
            </w:pPr>
          </w:p>
        </w:tc>
        <w:tc>
          <w:tcPr>
            <w:tcW w:w="2552" w:type="dxa"/>
            <w:vAlign w:val="center"/>
          </w:tcPr>
          <w:p w14:paraId="4E47E2F8">
            <w:pPr>
              <w:pStyle w:val="317"/>
              <w:spacing w:line="560" w:lineRule="exact"/>
              <w:ind w:firstLine="200"/>
              <w:jc w:val="center"/>
              <w:rPr>
                <w:rFonts w:hAnsi="宋体"/>
                <w:color w:val="auto"/>
                <w:sz w:val="24"/>
                <w:szCs w:val="24"/>
              </w:rPr>
            </w:pPr>
          </w:p>
        </w:tc>
      </w:tr>
      <w:tr w14:paraId="57D1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0C0C41">
            <w:pPr>
              <w:pStyle w:val="317"/>
              <w:spacing w:line="560" w:lineRule="exact"/>
              <w:ind w:firstLine="200"/>
              <w:jc w:val="center"/>
              <w:rPr>
                <w:rFonts w:hAnsi="宋体"/>
                <w:color w:val="auto"/>
                <w:sz w:val="24"/>
                <w:szCs w:val="24"/>
              </w:rPr>
            </w:pPr>
          </w:p>
        </w:tc>
        <w:tc>
          <w:tcPr>
            <w:tcW w:w="3402" w:type="dxa"/>
            <w:vAlign w:val="center"/>
          </w:tcPr>
          <w:p w14:paraId="22EAEFE9">
            <w:pPr>
              <w:pStyle w:val="317"/>
              <w:spacing w:line="560" w:lineRule="exact"/>
              <w:ind w:firstLine="200"/>
              <w:jc w:val="center"/>
              <w:rPr>
                <w:rFonts w:hAnsi="宋体"/>
                <w:color w:val="auto"/>
                <w:sz w:val="24"/>
                <w:szCs w:val="24"/>
              </w:rPr>
            </w:pPr>
          </w:p>
        </w:tc>
        <w:tc>
          <w:tcPr>
            <w:tcW w:w="2552" w:type="dxa"/>
            <w:vAlign w:val="center"/>
          </w:tcPr>
          <w:p w14:paraId="34F454B5">
            <w:pPr>
              <w:pStyle w:val="317"/>
              <w:spacing w:line="560" w:lineRule="exact"/>
              <w:ind w:firstLine="200"/>
              <w:jc w:val="center"/>
              <w:rPr>
                <w:rFonts w:hAnsi="宋体"/>
                <w:color w:val="auto"/>
                <w:sz w:val="24"/>
                <w:szCs w:val="24"/>
              </w:rPr>
            </w:pPr>
          </w:p>
        </w:tc>
      </w:tr>
      <w:tr w14:paraId="0521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97A90B">
            <w:pPr>
              <w:pStyle w:val="317"/>
              <w:spacing w:line="560" w:lineRule="exact"/>
              <w:ind w:firstLine="200"/>
              <w:jc w:val="center"/>
              <w:rPr>
                <w:rFonts w:hAnsi="宋体"/>
                <w:color w:val="auto"/>
                <w:sz w:val="24"/>
                <w:szCs w:val="24"/>
              </w:rPr>
            </w:pPr>
          </w:p>
        </w:tc>
        <w:tc>
          <w:tcPr>
            <w:tcW w:w="3402" w:type="dxa"/>
            <w:vAlign w:val="center"/>
          </w:tcPr>
          <w:p w14:paraId="687A8945">
            <w:pPr>
              <w:pStyle w:val="317"/>
              <w:spacing w:line="560" w:lineRule="exact"/>
              <w:ind w:firstLine="200"/>
              <w:jc w:val="center"/>
              <w:rPr>
                <w:rFonts w:hAnsi="宋体"/>
                <w:color w:val="auto"/>
                <w:sz w:val="24"/>
                <w:szCs w:val="24"/>
              </w:rPr>
            </w:pPr>
          </w:p>
        </w:tc>
        <w:tc>
          <w:tcPr>
            <w:tcW w:w="2552" w:type="dxa"/>
            <w:vAlign w:val="center"/>
          </w:tcPr>
          <w:p w14:paraId="775BC954">
            <w:pPr>
              <w:pStyle w:val="317"/>
              <w:spacing w:line="560" w:lineRule="exact"/>
              <w:ind w:firstLine="200"/>
              <w:jc w:val="center"/>
              <w:rPr>
                <w:rFonts w:hAnsi="宋体"/>
                <w:color w:val="auto"/>
                <w:sz w:val="24"/>
                <w:szCs w:val="24"/>
              </w:rPr>
            </w:pPr>
          </w:p>
        </w:tc>
      </w:tr>
      <w:tr w14:paraId="3F89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814E161">
            <w:pPr>
              <w:pStyle w:val="317"/>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543E8308">
            <w:pPr>
              <w:pStyle w:val="317"/>
              <w:spacing w:line="560" w:lineRule="exact"/>
              <w:ind w:firstLine="200"/>
              <w:jc w:val="center"/>
              <w:rPr>
                <w:rFonts w:hAnsi="宋体"/>
                <w:color w:val="auto"/>
                <w:sz w:val="24"/>
                <w:szCs w:val="24"/>
              </w:rPr>
            </w:pPr>
          </w:p>
        </w:tc>
      </w:tr>
    </w:tbl>
    <w:p w14:paraId="16DF92C2">
      <w:pPr>
        <w:spacing w:line="560" w:lineRule="exact"/>
        <w:ind w:firstLine="480" w:firstLineChars="200"/>
        <w:rPr>
          <w:rFonts w:ascii="宋体" w:hAnsi="宋体"/>
          <w:color w:val="auto"/>
          <w:sz w:val="24"/>
        </w:rPr>
      </w:pPr>
      <w:bookmarkStart w:id="412" w:name="_Toc30158"/>
      <w:bookmarkStart w:id="413" w:name="_Toc30506"/>
      <w:bookmarkStart w:id="414" w:name="_Toc26916"/>
      <w:bookmarkStart w:id="415" w:name="_Toc14993"/>
      <w:bookmarkStart w:id="416" w:name="_Toc3654"/>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165A1091">
      <w:pPr>
        <w:pStyle w:val="4"/>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2"/>
    <w:bookmarkEnd w:id="413"/>
    <w:bookmarkEnd w:id="414"/>
    <w:bookmarkEnd w:id="415"/>
    <w:bookmarkEnd w:id="416"/>
    <w:p w14:paraId="6145D34D">
      <w:pPr>
        <w:pStyle w:val="957"/>
        <w:spacing w:before="0" w:beforeAutospacing="0" w:after="0" w:afterAutospacing="0" w:line="360" w:lineRule="auto"/>
        <w:ind w:firstLine="480"/>
        <w:rPr>
          <w:b/>
          <w:color w:val="auto"/>
        </w:rPr>
      </w:pPr>
      <w:bookmarkStart w:id="417" w:name="_Toc31421"/>
      <w:bookmarkStart w:id="418" w:name="_Toc11108"/>
      <w:bookmarkStart w:id="419" w:name="_Toc4760"/>
      <w:bookmarkStart w:id="420" w:name="_Toc3625"/>
      <w:bookmarkStart w:id="421" w:name="_Toc8772"/>
      <w:r>
        <w:rPr>
          <w:rFonts w:hint="eastAsia"/>
          <w:b/>
          <w:color w:val="auto"/>
        </w:rPr>
        <w:t>1.4履约保证金</w:t>
      </w:r>
    </w:p>
    <w:p w14:paraId="1A84642B">
      <w:pPr>
        <w:pStyle w:val="957"/>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195B1F30">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379FA7F">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9923513">
      <w:pPr>
        <w:pStyle w:val="4"/>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8C74D6F">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1C083961">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1.5预付款</w:t>
      </w:r>
    </w:p>
    <w:p w14:paraId="27CDD34B">
      <w:pPr>
        <w:pStyle w:val="957"/>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4F12DE4B">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5490415">
      <w:pPr>
        <w:pStyle w:val="957"/>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7E159E4B">
      <w:pPr>
        <w:pStyle w:val="957"/>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1D3B2330">
      <w:pPr>
        <w:pStyle w:val="957"/>
        <w:spacing w:before="0" w:beforeAutospacing="0" w:after="0" w:afterAutospacing="0" w:line="360" w:lineRule="auto"/>
        <w:ind w:firstLine="480"/>
        <w:rPr>
          <w:b/>
          <w:bCs/>
          <w:color w:val="auto"/>
        </w:rPr>
      </w:pPr>
      <w:r>
        <w:rPr>
          <w:rFonts w:hint="eastAsia"/>
          <w:b/>
          <w:bCs/>
          <w:color w:val="auto"/>
        </w:rPr>
        <w:t>1.6资金支付</w:t>
      </w:r>
    </w:p>
    <w:p w14:paraId="536958B8">
      <w:pPr>
        <w:pStyle w:val="957"/>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8F9DA1D">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5FA86BC3">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7"/>
      <w:bookmarkEnd w:id="418"/>
      <w:bookmarkEnd w:id="419"/>
      <w:bookmarkEnd w:id="420"/>
      <w:bookmarkEnd w:id="421"/>
    </w:p>
    <w:p w14:paraId="33E21DB2">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712EEB9A">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351E74BC">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11AB0532">
      <w:pPr>
        <w:spacing w:line="560" w:lineRule="exact"/>
        <w:ind w:firstLine="480" w:firstLineChars="200"/>
        <w:outlineLvl w:val="0"/>
        <w:rPr>
          <w:rFonts w:ascii="宋体" w:hAnsi="宋体"/>
          <w:bCs/>
          <w:color w:val="auto"/>
          <w:sz w:val="24"/>
        </w:rPr>
      </w:pPr>
      <w:bookmarkStart w:id="422" w:name="_Toc5698"/>
      <w:bookmarkStart w:id="423" w:name="_Toc3079"/>
      <w:bookmarkStart w:id="424" w:name="_Toc8586"/>
      <w:bookmarkStart w:id="425" w:name="_Toc24662"/>
      <w:bookmarkStart w:id="426" w:name="_Toc2375"/>
      <w:r>
        <w:rPr>
          <w:rFonts w:hint="eastAsia" w:ascii="宋体" w:hAnsi="宋体"/>
          <w:bCs/>
          <w:color w:val="auto"/>
          <w:sz w:val="24"/>
        </w:rPr>
        <w:t>1.7.4若服务</w:t>
      </w:r>
      <w:r>
        <w:rPr>
          <w:rFonts w:hint="eastAsia"/>
          <w:bCs/>
          <w:color w:val="auto"/>
          <w:sz w:val="24"/>
        </w:rPr>
        <w:t>涉及货物的，则货物的：</w:t>
      </w:r>
    </w:p>
    <w:p w14:paraId="4E8733D0">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4807D170">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558D0A09">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11C0E1E2">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2"/>
      <w:bookmarkEnd w:id="423"/>
      <w:bookmarkEnd w:id="424"/>
      <w:bookmarkEnd w:id="425"/>
      <w:bookmarkEnd w:id="426"/>
    </w:p>
    <w:p w14:paraId="30B66207">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2548F596">
      <w:pPr>
        <w:pStyle w:val="4"/>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7ACCBD37">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520CAF4A">
      <w:pPr>
        <w:spacing w:line="560" w:lineRule="exact"/>
        <w:ind w:firstLine="480" w:firstLineChars="200"/>
        <w:rPr>
          <w:rFonts w:ascii="宋体" w:hAnsi="宋体" w:cs="宋体"/>
          <w:color w:val="auto"/>
          <w:sz w:val="24"/>
        </w:rPr>
      </w:pPr>
      <w:bookmarkStart w:id="427" w:name="_Toc26807"/>
      <w:bookmarkStart w:id="428" w:name="_Toc32454"/>
      <w:bookmarkStart w:id="429" w:name="_Toc30329"/>
      <w:bookmarkStart w:id="430" w:name="_Toc18683"/>
      <w:bookmarkStart w:id="431" w:name="_Toc949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8640A92">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76184EC">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F806CD9">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7"/>
    <w:bookmarkEnd w:id="428"/>
    <w:bookmarkEnd w:id="429"/>
    <w:bookmarkEnd w:id="430"/>
    <w:bookmarkEnd w:id="431"/>
    <w:p w14:paraId="0D920C91">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3A64D0BB">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3B12B1A9">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31E4D2DB">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78A82CF1">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0A2E6004">
      <w:pPr>
        <w:spacing w:line="560" w:lineRule="exact"/>
        <w:ind w:firstLine="480" w:firstLineChars="200"/>
        <w:rPr>
          <w:rFonts w:ascii="宋体" w:hAnsi="宋体"/>
          <w:color w:val="auto"/>
          <w:sz w:val="24"/>
          <w:lang w:val="zh-CN"/>
        </w:rPr>
      </w:pPr>
      <w:r>
        <w:rPr>
          <w:rFonts w:hint="eastAsia" w:ascii="宋体" w:hAnsi="宋体" w:cs="宋体"/>
          <w:color w:val="auto"/>
          <w:sz w:val="24"/>
        </w:rPr>
        <w:t>本合同自双方当事人盖章签字时生效。</w:t>
      </w:r>
    </w:p>
    <w:p w14:paraId="0479B40E">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7320C867">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6AA4BD79">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4A4189B5">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2E63F70C">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0E668E07">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7F20380C">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0AAE6223">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25FC1511">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1BFC8048">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6667B7F3">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2D42920E">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3AAE6085">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5CBA5619">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66C4A944">
      <w:pPr>
        <w:pStyle w:val="699"/>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3E77DAE8">
      <w:pPr>
        <w:spacing w:line="560" w:lineRule="exact"/>
        <w:ind w:firstLine="482" w:firstLineChars="200"/>
        <w:outlineLvl w:val="0"/>
        <w:rPr>
          <w:rFonts w:ascii="宋体" w:hAnsi="宋体"/>
          <w:b/>
          <w:color w:val="auto"/>
          <w:sz w:val="24"/>
        </w:rPr>
      </w:pPr>
      <w:bookmarkStart w:id="432" w:name="_Toc14021"/>
      <w:bookmarkStart w:id="433" w:name="_Toc5228"/>
      <w:bookmarkStart w:id="434" w:name="_Toc31297"/>
      <w:bookmarkStart w:id="435" w:name="_Toc19680"/>
      <w:bookmarkStart w:id="436" w:name="_Toc25079"/>
      <w:r>
        <w:rPr>
          <w:rFonts w:ascii="宋体" w:hAnsi="宋体"/>
          <w:b/>
          <w:color w:val="auto"/>
          <w:sz w:val="24"/>
        </w:rPr>
        <w:t>2.1 定义</w:t>
      </w:r>
      <w:bookmarkEnd w:id="432"/>
      <w:bookmarkEnd w:id="433"/>
      <w:bookmarkEnd w:id="434"/>
      <w:bookmarkEnd w:id="435"/>
      <w:bookmarkEnd w:id="436"/>
    </w:p>
    <w:p w14:paraId="1E8A5A30">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0403944C">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356ACAA0">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2A85849">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3AD3F286">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3A9CECD8">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A52FCC8">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5F53CD3A">
      <w:pPr>
        <w:spacing w:line="560" w:lineRule="exact"/>
        <w:ind w:firstLine="482" w:firstLineChars="200"/>
        <w:outlineLvl w:val="0"/>
        <w:rPr>
          <w:rFonts w:ascii="宋体" w:hAnsi="宋体"/>
          <w:b/>
          <w:color w:val="auto"/>
          <w:sz w:val="24"/>
        </w:rPr>
      </w:pPr>
      <w:bookmarkStart w:id="437" w:name="_Toc31402"/>
      <w:bookmarkStart w:id="438" w:name="_Toc23289"/>
      <w:bookmarkStart w:id="439" w:name="_Toc16752"/>
      <w:bookmarkStart w:id="440" w:name="_Toc3769"/>
      <w:bookmarkStart w:id="441" w:name="_Toc19539"/>
      <w:r>
        <w:rPr>
          <w:rFonts w:ascii="宋体" w:hAnsi="宋体"/>
          <w:b/>
          <w:color w:val="auto"/>
          <w:sz w:val="24"/>
        </w:rPr>
        <w:t>2.2 技术规范</w:t>
      </w:r>
      <w:bookmarkEnd w:id="437"/>
      <w:bookmarkEnd w:id="438"/>
      <w:bookmarkEnd w:id="439"/>
      <w:bookmarkEnd w:id="440"/>
      <w:bookmarkEnd w:id="441"/>
    </w:p>
    <w:p w14:paraId="4B435B90">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32220770">
      <w:pPr>
        <w:spacing w:line="560" w:lineRule="exact"/>
        <w:ind w:firstLine="482" w:firstLineChars="200"/>
        <w:outlineLvl w:val="0"/>
        <w:rPr>
          <w:rFonts w:ascii="宋体" w:hAnsi="宋体"/>
          <w:b/>
          <w:color w:val="auto"/>
          <w:sz w:val="24"/>
        </w:rPr>
      </w:pPr>
      <w:bookmarkStart w:id="442" w:name="_Toc13673"/>
      <w:bookmarkStart w:id="443" w:name="_Toc27945"/>
      <w:bookmarkStart w:id="444" w:name="_Toc9161"/>
      <w:bookmarkStart w:id="445" w:name="_Toc12412"/>
      <w:bookmarkStart w:id="446" w:name="_Toc4133"/>
      <w:r>
        <w:rPr>
          <w:rFonts w:ascii="宋体" w:hAnsi="宋体"/>
          <w:b/>
          <w:color w:val="auto"/>
          <w:sz w:val="24"/>
        </w:rPr>
        <w:t>2.3 知识产权</w:t>
      </w:r>
      <w:bookmarkEnd w:id="442"/>
      <w:bookmarkEnd w:id="443"/>
      <w:bookmarkEnd w:id="444"/>
      <w:bookmarkEnd w:id="445"/>
      <w:bookmarkEnd w:id="446"/>
    </w:p>
    <w:p w14:paraId="61E9D085">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0C8488C7">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3ACD9842">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27928133">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5738E62E">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653214E9">
      <w:pPr>
        <w:spacing w:line="560" w:lineRule="exact"/>
        <w:ind w:firstLine="482" w:firstLineChars="200"/>
        <w:outlineLvl w:val="0"/>
        <w:rPr>
          <w:rFonts w:ascii="宋体" w:hAnsi="宋体"/>
          <w:b/>
          <w:color w:val="auto"/>
          <w:sz w:val="24"/>
        </w:rPr>
      </w:pPr>
      <w:bookmarkStart w:id="447" w:name="_Toc22011"/>
      <w:bookmarkStart w:id="448" w:name="_Toc15447"/>
      <w:bookmarkStart w:id="449" w:name="_Toc32670"/>
      <w:bookmarkStart w:id="450" w:name="_Toc26555"/>
      <w:bookmarkStart w:id="451" w:name="_Toc31233"/>
      <w:r>
        <w:rPr>
          <w:rFonts w:ascii="宋体" w:hAnsi="宋体"/>
          <w:b/>
          <w:color w:val="auto"/>
          <w:sz w:val="24"/>
        </w:rPr>
        <w:t>2.5 结算方式和付款条件</w:t>
      </w:r>
      <w:bookmarkEnd w:id="447"/>
      <w:bookmarkEnd w:id="448"/>
      <w:bookmarkEnd w:id="449"/>
      <w:bookmarkEnd w:id="450"/>
      <w:bookmarkEnd w:id="451"/>
    </w:p>
    <w:p w14:paraId="412B8C0A">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7CC9FA40">
      <w:pPr>
        <w:spacing w:line="560" w:lineRule="exact"/>
        <w:ind w:firstLine="482" w:firstLineChars="200"/>
        <w:outlineLvl w:val="0"/>
        <w:rPr>
          <w:rFonts w:ascii="宋体" w:hAnsi="宋体"/>
          <w:b/>
          <w:color w:val="auto"/>
          <w:sz w:val="24"/>
        </w:rPr>
      </w:pPr>
      <w:bookmarkStart w:id="452" w:name="_Toc18990"/>
      <w:bookmarkStart w:id="453" w:name="_Toc16163"/>
      <w:bookmarkStart w:id="454" w:name="_Toc13467"/>
      <w:bookmarkStart w:id="455" w:name="_Toc30507"/>
      <w:bookmarkStart w:id="456" w:name="_Toc13154"/>
      <w:r>
        <w:rPr>
          <w:rFonts w:ascii="宋体" w:hAnsi="宋体"/>
          <w:b/>
          <w:color w:val="auto"/>
          <w:sz w:val="24"/>
        </w:rPr>
        <w:t>2.6 技术资料和保密义务</w:t>
      </w:r>
      <w:bookmarkEnd w:id="452"/>
      <w:bookmarkEnd w:id="453"/>
      <w:bookmarkEnd w:id="454"/>
      <w:bookmarkEnd w:id="455"/>
      <w:bookmarkEnd w:id="456"/>
    </w:p>
    <w:p w14:paraId="088F696E">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2ED40116">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6EA4311E">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29143F7E">
      <w:pPr>
        <w:spacing w:line="560" w:lineRule="exact"/>
        <w:ind w:firstLine="482" w:firstLineChars="200"/>
        <w:outlineLvl w:val="0"/>
        <w:rPr>
          <w:rFonts w:ascii="宋体" w:hAnsi="宋体"/>
          <w:b/>
          <w:color w:val="auto"/>
          <w:sz w:val="24"/>
        </w:rPr>
      </w:pPr>
      <w:bookmarkStart w:id="457" w:name="_Toc19069"/>
      <w:r>
        <w:rPr>
          <w:rFonts w:ascii="宋体" w:hAnsi="宋体"/>
          <w:b/>
          <w:color w:val="auto"/>
          <w:sz w:val="24"/>
        </w:rPr>
        <w:t xml:space="preserve">2.7 </w:t>
      </w:r>
      <w:r>
        <w:rPr>
          <w:rFonts w:hint="eastAsia" w:ascii="宋体" w:hAnsi="宋体"/>
          <w:b/>
          <w:color w:val="auto"/>
          <w:sz w:val="24"/>
        </w:rPr>
        <w:t>质量保证</w:t>
      </w:r>
      <w:bookmarkEnd w:id="457"/>
    </w:p>
    <w:p w14:paraId="3D17BE36">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059DC7B2">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59FDB86B">
      <w:pPr>
        <w:spacing w:line="560" w:lineRule="exact"/>
        <w:ind w:firstLine="482" w:firstLineChars="200"/>
        <w:outlineLvl w:val="0"/>
        <w:rPr>
          <w:rFonts w:ascii="宋体" w:hAnsi="宋体"/>
          <w:b/>
          <w:color w:val="auto"/>
          <w:sz w:val="24"/>
        </w:rPr>
      </w:pPr>
      <w:bookmarkStart w:id="458" w:name="_Toc22267"/>
      <w:r>
        <w:rPr>
          <w:rFonts w:ascii="宋体" w:hAnsi="宋体"/>
          <w:b/>
          <w:color w:val="auto"/>
          <w:sz w:val="24"/>
        </w:rPr>
        <w:t xml:space="preserve">2.8 </w:t>
      </w:r>
      <w:r>
        <w:rPr>
          <w:rFonts w:hint="eastAsia" w:ascii="宋体" w:hAnsi="宋体"/>
          <w:b/>
          <w:color w:val="auto"/>
          <w:sz w:val="24"/>
        </w:rPr>
        <w:t>延迟履行</w:t>
      </w:r>
      <w:bookmarkEnd w:id="458"/>
    </w:p>
    <w:p w14:paraId="40F4D698">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4CE566FB">
      <w:pPr>
        <w:spacing w:line="560" w:lineRule="exact"/>
        <w:ind w:firstLine="482" w:firstLineChars="200"/>
        <w:outlineLvl w:val="0"/>
        <w:rPr>
          <w:rFonts w:ascii="宋体" w:hAnsi="宋体"/>
          <w:b/>
          <w:color w:val="auto"/>
          <w:sz w:val="24"/>
        </w:rPr>
      </w:pPr>
      <w:bookmarkStart w:id="459" w:name="_Toc10611"/>
      <w:r>
        <w:rPr>
          <w:rFonts w:ascii="宋体" w:hAnsi="宋体"/>
          <w:b/>
          <w:color w:val="auto"/>
          <w:sz w:val="24"/>
        </w:rPr>
        <w:t xml:space="preserve">2.9 </w:t>
      </w:r>
      <w:r>
        <w:rPr>
          <w:rFonts w:hint="eastAsia" w:ascii="宋体" w:hAnsi="宋体"/>
          <w:b/>
          <w:color w:val="auto"/>
          <w:sz w:val="24"/>
        </w:rPr>
        <w:t>合同变更</w:t>
      </w:r>
      <w:bookmarkEnd w:id="459"/>
    </w:p>
    <w:p w14:paraId="527844D7">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4530356C">
      <w:pPr>
        <w:spacing w:line="560" w:lineRule="exact"/>
        <w:ind w:firstLine="482" w:firstLineChars="200"/>
        <w:outlineLvl w:val="0"/>
        <w:rPr>
          <w:rFonts w:ascii="宋体" w:hAnsi="宋体"/>
          <w:b/>
          <w:color w:val="auto"/>
          <w:sz w:val="24"/>
        </w:rPr>
      </w:pPr>
      <w:bookmarkStart w:id="460" w:name="_Toc21830"/>
      <w:bookmarkStart w:id="461" w:name="_Toc42"/>
      <w:bookmarkStart w:id="462" w:name="_Toc23368"/>
      <w:bookmarkStart w:id="463" w:name="_Toc10663"/>
      <w:bookmarkStart w:id="464" w:name="_Toc26689"/>
      <w:r>
        <w:rPr>
          <w:rFonts w:ascii="宋体" w:hAnsi="宋体"/>
          <w:b/>
          <w:color w:val="auto"/>
          <w:sz w:val="24"/>
        </w:rPr>
        <w:t>2.10 合同转让和分包</w:t>
      </w:r>
      <w:bookmarkEnd w:id="460"/>
      <w:bookmarkEnd w:id="461"/>
      <w:bookmarkEnd w:id="462"/>
      <w:bookmarkEnd w:id="463"/>
      <w:bookmarkEnd w:id="464"/>
    </w:p>
    <w:p w14:paraId="13E0DA3C">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35379671">
      <w:pPr>
        <w:spacing w:line="560" w:lineRule="exact"/>
        <w:ind w:firstLine="482" w:firstLineChars="200"/>
        <w:outlineLvl w:val="0"/>
        <w:rPr>
          <w:rFonts w:ascii="宋体" w:hAnsi="宋体"/>
          <w:b/>
          <w:color w:val="auto"/>
          <w:sz w:val="24"/>
        </w:rPr>
      </w:pPr>
      <w:bookmarkStart w:id="465" w:name="_Toc25571"/>
      <w:bookmarkStart w:id="466" w:name="_Toc32494"/>
      <w:bookmarkStart w:id="467" w:name="_Toc4720"/>
      <w:bookmarkStart w:id="468" w:name="_Toc26633"/>
      <w:bookmarkStart w:id="469" w:name="_Toc14371"/>
      <w:r>
        <w:rPr>
          <w:rFonts w:ascii="宋体" w:hAnsi="宋体"/>
          <w:b/>
          <w:color w:val="auto"/>
          <w:sz w:val="24"/>
        </w:rPr>
        <w:t>2.11 不可抗力</w:t>
      </w:r>
      <w:bookmarkEnd w:id="465"/>
      <w:bookmarkEnd w:id="466"/>
      <w:bookmarkEnd w:id="467"/>
      <w:bookmarkEnd w:id="468"/>
      <w:bookmarkEnd w:id="469"/>
    </w:p>
    <w:p w14:paraId="31FA9A4B">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0795E377">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0C6787AE">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1AEF2EB7">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4D9E4DD8">
      <w:pPr>
        <w:spacing w:line="560" w:lineRule="exact"/>
        <w:ind w:firstLine="482" w:firstLineChars="200"/>
        <w:outlineLvl w:val="0"/>
        <w:rPr>
          <w:rFonts w:ascii="宋体" w:hAnsi="宋体"/>
          <w:b/>
          <w:color w:val="auto"/>
          <w:sz w:val="24"/>
        </w:rPr>
      </w:pPr>
      <w:bookmarkStart w:id="470" w:name="_Toc3638"/>
      <w:bookmarkStart w:id="471" w:name="_Toc14115"/>
      <w:bookmarkStart w:id="472" w:name="_Toc25783"/>
      <w:bookmarkStart w:id="473" w:name="_Toc23854"/>
      <w:bookmarkStart w:id="474" w:name="_Toc24465"/>
      <w:r>
        <w:rPr>
          <w:rFonts w:ascii="宋体" w:hAnsi="宋体"/>
          <w:b/>
          <w:color w:val="auto"/>
          <w:sz w:val="24"/>
        </w:rPr>
        <w:t>2.12 税费</w:t>
      </w:r>
      <w:bookmarkEnd w:id="470"/>
      <w:bookmarkEnd w:id="471"/>
      <w:bookmarkEnd w:id="472"/>
      <w:bookmarkEnd w:id="473"/>
      <w:bookmarkEnd w:id="474"/>
    </w:p>
    <w:p w14:paraId="62C72422">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0736A739">
      <w:pPr>
        <w:spacing w:line="560" w:lineRule="exact"/>
        <w:ind w:firstLine="482" w:firstLineChars="200"/>
        <w:outlineLvl w:val="0"/>
        <w:rPr>
          <w:rFonts w:ascii="宋体" w:hAnsi="宋体"/>
          <w:b/>
          <w:color w:val="auto"/>
          <w:sz w:val="24"/>
        </w:rPr>
      </w:pPr>
      <w:bookmarkStart w:id="475" w:name="_Toc7315"/>
      <w:bookmarkStart w:id="476" w:name="_Toc26883"/>
      <w:bookmarkStart w:id="477" w:name="_Toc25525"/>
      <w:bookmarkStart w:id="478" w:name="_Toc14814"/>
      <w:bookmarkStart w:id="479" w:name="_Toc30105"/>
      <w:r>
        <w:rPr>
          <w:rFonts w:ascii="宋体" w:hAnsi="宋体"/>
          <w:b/>
          <w:color w:val="auto"/>
          <w:sz w:val="24"/>
        </w:rPr>
        <w:t>2.13 乙方破产</w:t>
      </w:r>
      <w:bookmarkEnd w:id="475"/>
      <w:bookmarkEnd w:id="476"/>
      <w:bookmarkEnd w:id="477"/>
      <w:bookmarkEnd w:id="478"/>
      <w:bookmarkEnd w:id="479"/>
    </w:p>
    <w:p w14:paraId="3C6B1F28">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14AF043A">
      <w:pPr>
        <w:spacing w:line="560" w:lineRule="exact"/>
        <w:ind w:firstLine="482" w:firstLineChars="200"/>
        <w:outlineLvl w:val="0"/>
        <w:rPr>
          <w:rFonts w:ascii="宋体" w:hAnsi="宋体"/>
          <w:b/>
          <w:color w:val="auto"/>
          <w:sz w:val="24"/>
        </w:rPr>
      </w:pPr>
      <w:bookmarkStart w:id="480" w:name="_Toc2016"/>
      <w:bookmarkStart w:id="481" w:name="_Toc23323"/>
      <w:bookmarkStart w:id="482" w:name="_Toc1123"/>
      <w:r>
        <w:rPr>
          <w:rFonts w:ascii="宋体" w:hAnsi="宋体"/>
          <w:b/>
          <w:color w:val="auto"/>
          <w:sz w:val="24"/>
        </w:rPr>
        <w:t>2.14 合同中止、终止</w:t>
      </w:r>
      <w:bookmarkEnd w:id="480"/>
      <w:bookmarkEnd w:id="481"/>
      <w:bookmarkEnd w:id="482"/>
    </w:p>
    <w:p w14:paraId="26869B6A">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4A3D319E">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39BA1C1">
      <w:pPr>
        <w:spacing w:line="560" w:lineRule="exact"/>
        <w:ind w:firstLine="482" w:firstLineChars="200"/>
        <w:outlineLvl w:val="0"/>
        <w:rPr>
          <w:rFonts w:ascii="宋体" w:hAnsi="宋体"/>
          <w:b/>
          <w:color w:val="auto"/>
          <w:sz w:val="24"/>
        </w:rPr>
      </w:pPr>
      <w:bookmarkStart w:id="483" w:name="_Toc1969"/>
      <w:bookmarkStart w:id="484" w:name="_Toc17363"/>
      <w:bookmarkStart w:id="485" w:name="_Toc14525"/>
      <w:r>
        <w:rPr>
          <w:rFonts w:ascii="宋体" w:hAnsi="宋体"/>
          <w:b/>
          <w:color w:val="auto"/>
          <w:sz w:val="24"/>
        </w:rPr>
        <w:t>2.15 检验和验收</w:t>
      </w:r>
      <w:bookmarkEnd w:id="483"/>
      <w:bookmarkEnd w:id="484"/>
      <w:bookmarkEnd w:id="485"/>
    </w:p>
    <w:p w14:paraId="22E0C91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30F54FFD">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19F62BE">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4E3C1810">
      <w:pPr>
        <w:spacing w:line="560" w:lineRule="exact"/>
        <w:ind w:firstLine="482" w:firstLineChars="200"/>
        <w:outlineLvl w:val="0"/>
        <w:rPr>
          <w:rFonts w:ascii="宋体" w:hAnsi="宋体"/>
          <w:b/>
          <w:color w:val="auto"/>
          <w:sz w:val="24"/>
        </w:rPr>
      </w:pPr>
      <w:bookmarkStart w:id="486" w:name="_Toc25198"/>
      <w:bookmarkStart w:id="487" w:name="_Toc31892"/>
      <w:bookmarkStart w:id="488" w:name="_Toc9808"/>
      <w:bookmarkStart w:id="489" w:name="_Toc12666"/>
      <w:bookmarkStart w:id="490" w:name="_Toc2308"/>
      <w:r>
        <w:rPr>
          <w:rFonts w:ascii="宋体" w:hAnsi="宋体"/>
          <w:b/>
          <w:color w:val="auto"/>
          <w:sz w:val="24"/>
        </w:rPr>
        <w:t>2.16 通知和送达</w:t>
      </w:r>
      <w:bookmarkEnd w:id="486"/>
      <w:bookmarkEnd w:id="487"/>
      <w:bookmarkEnd w:id="488"/>
      <w:bookmarkEnd w:id="489"/>
      <w:bookmarkEnd w:id="490"/>
    </w:p>
    <w:p w14:paraId="57E09354">
      <w:pPr>
        <w:spacing w:line="560" w:lineRule="exact"/>
        <w:ind w:firstLine="480" w:firstLineChars="200"/>
        <w:rPr>
          <w:rFonts w:ascii="宋体" w:hAnsi="宋体"/>
          <w:color w:val="auto"/>
          <w:sz w:val="24"/>
        </w:rPr>
      </w:pPr>
      <w:bookmarkStart w:id="491" w:name="_Toc18401"/>
      <w:bookmarkStart w:id="492"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708B5563">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1"/>
      <w:bookmarkEnd w:id="492"/>
    </w:p>
    <w:p w14:paraId="6CB64A94">
      <w:pPr>
        <w:spacing w:line="560" w:lineRule="exact"/>
        <w:ind w:firstLine="482" w:firstLineChars="200"/>
        <w:outlineLvl w:val="0"/>
        <w:rPr>
          <w:rFonts w:ascii="宋体" w:hAnsi="宋体"/>
          <w:b/>
          <w:color w:val="auto"/>
          <w:sz w:val="24"/>
        </w:rPr>
      </w:pPr>
      <w:bookmarkStart w:id="493" w:name="_Toc28906"/>
      <w:bookmarkStart w:id="494" w:name="_Toc20808"/>
      <w:bookmarkStart w:id="495" w:name="_Toc12254"/>
      <w:bookmarkStart w:id="496" w:name="_Toc27644"/>
      <w:bookmarkStart w:id="497" w:name="_Toc5063"/>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493"/>
      <w:bookmarkEnd w:id="494"/>
      <w:bookmarkEnd w:id="495"/>
      <w:bookmarkEnd w:id="496"/>
      <w:bookmarkEnd w:id="497"/>
    </w:p>
    <w:p w14:paraId="0A6543AA">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6407AF17">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3BCAE46B">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1B1E1C55">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40B45481">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3093E7BD">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72EF58ED">
      <w:pPr>
        <w:spacing w:line="360" w:lineRule="auto"/>
        <w:jc w:val="center"/>
        <w:outlineLvl w:val="0"/>
        <w:rPr>
          <w:rFonts w:ascii="宋体" w:hAnsi="宋体" w:cs="宋体"/>
          <w:b/>
          <w:color w:val="auto"/>
          <w:sz w:val="24"/>
        </w:rPr>
      </w:pPr>
      <w:r>
        <w:rPr>
          <w:rFonts w:hint="eastAsia" w:ascii="宋体" w:hAnsi="宋体" w:cs="宋体"/>
          <w:b/>
          <w:color w:val="auto"/>
          <w:sz w:val="24"/>
        </w:rPr>
        <w:t>第三部分  合同专用条款</w:t>
      </w:r>
    </w:p>
    <w:p w14:paraId="3BE0828E">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45C3A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53864AD1">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7DF1860C">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2190C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ACCD491">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17809666">
            <w:pPr>
              <w:spacing w:line="360" w:lineRule="auto"/>
              <w:rPr>
                <w:rFonts w:ascii="宋体" w:hAnsi="宋体" w:cs="宋体"/>
                <w:color w:val="auto"/>
                <w:sz w:val="24"/>
              </w:rPr>
            </w:pPr>
          </w:p>
        </w:tc>
      </w:tr>
      <w:tr w14:paraId="03934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B7D21D">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7DFB7AA6">
            <w:pPr>
              <w:spacing w:line="360" w:lineRule="auto"/>
              <w:rPr>
                <w:rFonts w:ascii="宋体" w:hAnsi="宋体" w:cs="宋体"/>
                <w:color w:val="auto"/>
                <w:sz w:val="24"/>
              </w:rPr>
            </w:pPr>
          </w:p>
        </w:tc>
      </w:tr>
      <w:tr w14:paraId="59D92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1451EE">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1E996D67">
            <w:pPr>
              <w:spacing w:line="360" w:lineRule="auto"/>
              <w:rPr>
                <w:rFonts w:ascii="宋体" w:hAnsi="宋体" w:cs="宋体"/>
                <w:color w:val="auto"/>
                <w:sz w:val="24"/>
              </w:rPr>
            </w:pPr>
          </w:p>
        </w:tc>
      </w:tr>
      <w:tr w14:paraId="3B60D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672BB7">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25EA9735">
            <w:pPr>
              <w:spacing w:line="360" w:lineRule="auto"/>
              <w:rPr>
                <w:rFonts w:ascii="宋体" w:hAnsi="宋体" w:cs="宋体"/>
                <w:color w:val="auto"/>
                <w:sz w:val="24"/>
              </w:rPr>
            </w:pPr>
          </w:p>
        </w:tc>
      </w:tr>
      <w:tr w14:paraId="49D87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A4935DB">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1F0B98C7">
            <w:pPr>
              <w:spacing w:line="360" w:lineRule="auto"/>
              <w:rPr>
                <w:rFonts w:ascii="宋体" w:hAnsi="宋体" w:cs="宋体"/>
                <w:color w:val="auto"/>
                <w:sz w:val="24"/>
              </w:rPr>
            </w:pPr>
          </w:p>
        </w:tc>
      </w:tr>
      <w:tr w14:paraId="04FC9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7EF6D8">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1A748AEF">
            <w:pPr>
              <w:spacing w:line="360" w:lineRule="auto"/>
              <w:rPr>
                <w:rFonts w:ascii="宋体" w:hAnsi="宋体" w:cs="宋体"/>
                <w:color w:val="auto"/>
                <w:sz w:val="24"/>
              </w:rPr>
            </w:pPr>
          </w:p>
        </w:tc>
      </w:tr>
      <w:tr w14:paraId="5E07D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4AF9E5">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0A05967F">
            <w:pPr>
              <w:spacing w:line="360" w:lineRule="auto"/>
              <w:rPr>
                <w:rFonts w:ascii="宋体" w:hAnsi="宋体" w:cs="宋体"/>
                <w:color w:val="auto"/>
                <w:sz w:val="24"/>
              </w:rPr>
            </w:pPr>
          </w:p>
        </w:tc>
      </w:tr>
      <w:tr w14:paraId="74480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FA543F">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3DA0036B">
            <w:pPr>
              <w:spacing w:line="360" w:lineRule="auto"/>
              <w:rPr>
                <w:rFonts w:ascii="宋体" w:hAnsi="宋体" w:cs="宋体"/>
                <w:color w:val="auto"/>
                <w:sz w:val="24"/>
              </w:rPr>
            </w:pPr>
          </w:p>
        </w:tc>
      </w:tr>
      <w:tr w14:paraId="40E2D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3D8B5A">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75E3BC7B">
            <w:pPr>
              <w:spacing w:line="360" w:lineRule="auto"/>
              <w:rPr>
                <w:rFonts w:ascii="宋体" w:hAnsi="宋体" w:cs="宋体"/>
                <w:color w:val="auto"/>
                <w:sz w:val="24"/>
              </w:rPr>
            </w:pPr>
          </w:p>
        </w:tc>
      </w:tr>
      <w:tr w14:paraId="349D5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20285C">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3FE64E70">
            <w:pPr>
              <w:spacing w:line="360" w:lineRule="auto"/>
              <w:rPr>
                <w:rFonts w:ascii="宋体" w:hAnsi="宋体" w:cs="宋体"/>
                <w:color w:val="auto"/>
                <w:sz w:val="24"/>
              </w:rPr>
            </w:pPr>
          </w:p>
        </w:tc>
      </w:tr>
      <w:tr w14:paraId="17088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7C48A60">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790BB6D0">
            <w:pPr>
              <w:spacing w:line="360" w:lineRule="auto"/>
              <w:rPr>
                <w:rFonts w:ascii="宋体" w:hAnsi="宋体" w:cs="宋体"/>
                <w:color w:val="auto"/>
                <w:sz w:val="24"/>
              </w:rPr>
            </w:pPr>
          </w:p>
        </w:tc>
      </w:tr>
      <w:tr w14:paraId="5475E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5245C6">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465D2C0D">
            <w:pPr>
              <w:spacing w:line="360" w:lineRule="auto"/>
              <w:rPr>
                <w:rFonts w:ascii="宋体" w:hAnsi="宋体" w:cs="宋体"/>
                <w:color w:val="auto"/>
                <w:sz w:val="24"/>
              </w:rPr>
            </w:pPr>
          </w:p>
        </w:tc>
      </w:tr>
      <w:tr w14:paraId="1A66F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E250FF">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16929E1D">
            <w:pPr>
              <w:spacing w:line="360" w:lineRule="auto"/>
              <w:rPr>
                <w:rFonts w:ascii="宋体" w:hAnsi="宋体" w:cs="宋体"/>
                <w:color w:val="auto"/>
                <w:sz w:val="24"/>
              </w:rPr>
            </w:pPr>
          </w:p>
        </w:tc>
      </w:tr>
      <w:tr w14:paraId="2BF8E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681B012">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0C7D930C">
            <w:pPr>
              <w:spacing w:line="360" w:lineRule="auto"/>
              <w:rPr>
                <w:rFonts w:ascii="宋体" w:hAnsi="宋体" w:cs="宋体"/>
                <w:color w:val="auto"/>
                <w:sz w:val="24"/>
              </w:rPr>
            </w:pPr>
          </w:p>
        </w:tc>
      </w:tr>
      <w:tr w14:paraId="06BD0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BFE8651">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12ED02CC">
            <w:pPr>
              <w:spacing w:line="360" w:lineRule="auto"/>
              <w:rPr>
                <w:rFonts w:ascii="宋体" w:hAnsi="宋体" w:cs="宋体"/>
                <w:color w:val="auto"/>
                <w:sz w:val="24"/>
              </w:rPr>
            </w:pPr>
          </w:p>
        </w:tc>
      </w:tr>
      <w:tr w14:paraId="40AAC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650D20">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6B584E32">
            <w:pPr>
              <w:spacing w:line="360" w:lineRule="auto"/>
              <w:ind w:left="-420" w:leftChars="-200" w:right="-420" w:rightChars="-200" w:firstLine="480" w:firstLineChars="200"/>
              <w:rPr>
                <w:rFonts w:ascii="宋体" w:hAnsi="宋体" w:cs="宋体"/>
                <w:color w:val="auto"/>
                <w:sz w:val="24"/>
              </w:rPr>
            </w:pPr>
          </w:p>
        </w:tc>
      </w:tr>
      <w:tr w14:paraId="3FDFD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60F13F2">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17C19827">
            <w:pPr>
              <w:spacing w:line="360" w:lineRule="auto"/>
              <w:ind w:left="-420" w:leftChars="-200" w:right="-420" w:rightChars="-200" w:firstLine="480" w:firstLineChars="200"/>
              <w:rPr>
                <w:rFonts w:ascii="宋体" w:hAnsi="宋体" w:cs="宋体"/>
                <w:color w:val="auto"/>
                <w:sz w:val="24"/>
              </w:rPr>
            </w:pPr>
          </w:p>
        </w:tc>
      </w:tr>
      <w:tr w14:paraId="3B9CD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47A9AC">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3E8D7EE5">
            <w:pPr>
              <w:spacing w:line="360" w:lineRule="auto"/>
              <w:rPr>
                <w:rFonts w:ascii="宋体" w:hAnsi="宋体" w:cs="宋体"/>
                <w:color w:val="auto"/>
                <w:sz w:val="24"/>
              </w:rPr>
            </w:pPr>
          </w:p>
        </w:tc>
      </w:tr>
      <w:tr w14:paraId="34038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49F7588A">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tcPr>
          <w:p w14:paraId="2BE09CFB">
            <w:pPr>
              <w:spacing w:line="360" w:lineRule="auto"/>
              <w:rPr>
                <w:rFonts w:ascii="宋体" w:hAnsi="宋体" w:cs="宋体"/>
                <w:color w:val="auto"/>
                <w:sz w:val="24"/>
              </w:rPr>
            </w:pPr>
          </w:p>
        </w:tc>
      </w:tr>
      <w:tr w14:paraId="60767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32772A">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24AB6C9E">
            <w:pPr>
              <w:spacing w:line="360" w:lineRule="auto"/>
              <w:rPr>
                <w:rFonts w:ascii="宋体" w:hAnsi="宋体" w:cs="宋体"/>
                <w:color w:val="auto"/>
                <w:sz w:val="24"/>
              </w:rPr>
            </w:pPr>
          </w:p>
        </w:tc>
      </w:tr>
      <w:tr w14:paraId="63470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B5D78B">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043AB794">
            <w:pPr>
              <w:spacing w:line="360" w:lineRule="auto"/>
              <w:rPr>
                <w:rFonts w:ascii="宋体" w:hAnsi="宋体" w:cs="宋体"/>
                <w:color w:val="auto"/>
                <w:sz w:val="24"/>
              </w:rPr>
            </w:pPr>
          </w:p>
        </w:tc>
      </w:tr>
      <w:tr w14:paraId="00733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4067F394">
            <w:pPr>
              <w:spacing w:line="360" w:lineRule="auto"/>
              <w:rPr>
                <w:rFonts w:ascii="宋体" w:hAnsi="宋体" w:cs="宋体"/>
                <w:color w:val="auto"/>
                <w:sz w:val="24"/>
              </w:rPr>
            </w:pPr>
            <w:r>
              <w:rPr>
                <w:rFonts w:hint="eastAsia" w:ascii="宋体" w:hAnsi="宋体" w:cs="宋体"/>
                <w:color w:val="auto"/>
                <w:sz w:val="24"/>
              </w:rPr>
              <w:t>2.19</w:t>
            </w:r>
          </w:p>
        </w:tc>
        <w:tc>
          <w:tcPr>
            <w:tcW w:w="8149" w:type="dxa"/>
          </w:tcPr>
          <w:p w14:paraId="5C09DDBD">
            <w:pPr>
              <w:spacing w:line="360" w:lineRule="auto"/>
              <w:rPr>
                <w:rFonts w:ascii="宋体" w:hAnsi="宋体" w:cs="宋体"/>
                <w:color w:val="auto"/>
                <w:sz w:val="24"/>
              </w:rPr>
            </w:pPr>
          </w:p>
        </w:tc>
      </w:tr>
    </w:tbl>
    <w:p w14:paraId="4D50E396">
      <w:pPr>
        <w:rPr>
          <w:rFonts w:ascii="宋体" w:hAnsi="宋体" w:cs="宋体"/>
          <w:b/>
          <w:color w:val="auto"/>
          <w:sz w:val="36"/>
          <w:szCs w:val="20"/>
        </w:rPr>
      </w:pPr>
      <w:r>
        <w:rPr>
          <w:rFonts w:hint="eastAsia" w:ascii="宋体" w:hAnsi="宋体" w:cs="宋体"/>
          <w:b/>
          <w:color w:val="auto"/>
          <w:sz w:val="36"/>
          <w:szCs w:val="20"/>
        </w:rPr>
        <w:br w:type="page"/>
      </w:r>
    </w:p>
    <w:p w14:paraId="284A2614">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5"/>
      <w:r>
        <w:rPr>
          <w:rFonts w:hint="eastAsia" w:ascii="宋体" w:hAnsi="宋体" w:cs="宋体"/>
          <w:b/>
          <w:color w:val="auto"/>
          <w:sz w:val="36"/>
          <w:szCs w:val="20"/>
        </w:rPr>
        <w:t xml:space="preserve"> </w:t>
      </w:r>
      <w:bookmarkEnd w:id="396"/>
      <w:r>
        <w:rPr>
          <w:rFonts w:hint="eastAsia" w:ascii="宋体" w:hAnsi="宋体" w:cs="宋体"/>
          <w:b/>
          <w:color w:val="auto"/>
          <w:sz w:val="36"/>
          <w:szCs w:val="20"/>
        </w:rPr>
        <w:t>应提交的有关格式范例</w:t>
      </w:r>
    </w:p>
    <w:p w14:paraId="16281DDE">
      <w:pPr>
        <w:spacing w:line="360" w:lineRule="auto"/>
        <w:jc w:val="center"/>
        <w:outlineLvl w:val="0"/>
        <w:rPr>
          <w:rFonts w:ascii="宋体" w:hAnsi="宋体" w:cs="宋体"/>
          <w:b/>
          <w:color w:val="auto"/>
          <w:kern w:val="0"/>
          <w:sz w:val="36"/>
          <w:szCs w:val="36"/>
        </w:rPr>
      </w:pPr>
    </w:p>
    <w:p w14:paraId="73D5909D">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31DC9CB7">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56F9C033">
      <w:pPr>
        <w:spacing w:line="360" w:lineRule="auto"/>
        <w:jc w:val="center"/>
        <w:outlineLvl w:val="0"/>
        <w:rPr>
          <w:rFonts w:ascii="宋体" w:hAnsi="宋体" w:cs="宋体"/>
          <w:b/>
          <w:color w:val="auto"/>
          <w:kern w:val="0"/>
          <w:sz w:val="36"/>
          <w:szCs w:val="36"/>
        </w:rPr>
      </w:pPr>
    </w:p>
    <w:p w14:paraId="26331971">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514101D1">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4F922397">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643FEC63">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79ED0646">
      <w:pPr>
        <w:rPr>
          <w:rFonts w:ascii="宋体" w:hAnsi="宋体" w:cs="宋体"/>
          <w:b/>
          <w:color w:val="auto"/>
          <w:kern w:val="0"/>
          <w:sz w:val="32"/>
          <w:szCs w:val="32"/>
        </w:rPr>
      </w:pPr>
      <w:r>
        <w:rPr>
          <w:rFonts w:hint="eastAsia" w:ascii="宋体" w:hAnsi="宋体" w:cs="宋体"/>
          <w:b/>
          <w:color w:val="auto"/>
          <w:kern w:val="0"/>
          <w:sz w:val="32"/>
          <w:szCs w:val="32"/>
        </w:rPr>
        <w:br w:type="page"/>
      </w:r>
    </w:p>
    <w:p w14:paraId="33BAC821">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一、 符合参加政府采购活动应当具备的一般条件的承诺函</w:t>
      </w:r>
    </w:p>
    <w:p w14:paraId="7B67D335">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B6D44F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07B6F28F">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2DD4918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085266A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3363685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23EFBF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2833F58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6080012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02114A1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4A4E73D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6835D65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21A9EE2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21A59DC7">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73D6C1B9">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24587D3">
      <w:pPr>
        <w:snapToGrid w:val="0"/>
        <w:spacing w:line="360" w:lineRule="auto"/>
        <w:ind w:right="480" w:firstLine="559" w:firstLineChars="233"/>
        <w:jc w:val="left"/>
        <w:rPr>
          <w:rFonts w:ascii="宋体" w:hAnsi="宋体" w:cs="宋体"/>
          <w:color w:val="auto"/>
        </w:rPr>
      </w:pPr>
      <w:r>
        <w:rPr>
          <w:rFonts w:hint="eastAsia" w:cs="仿宋_GB2312" w:asciiTheme="minorEastAsia" w:hAnsiTheme="minorEastAsia" w:eastAsiaTheme="minorEastAsia"/>
          <w:color w:val="auto"/>
          <w:sz w:val="24"/>
        </w:rPr>
        <w:t>注：根据《</w:t>
      </w:r>
      <w:r>
        <w:rPr>
          <w:rFonts w:cs="仿宋_GB2312" w:asciiTheme="minorEastAsia" w:hAnsiTheme="minorEastAsia" w:eastAsiaTheme="minorEastAsia"/>
          <w:color w:val="auto"/>
          <w:sz w:val="24"/>
        </w:rPr>
        <w:t>关于规范政府采购供应商资格设定及资格审查的通知</w:t>
      </w:r>
      <w:r>
        <w:rPr>
          <w:rFonts w:hint="eastAsia" w:cs="仿宋_GB2312" w:asciiTheme="minorEastAsia" w:hAnsiTheme="minorEastAsia" w:eastAsiaTheme="minorEastAsia"/>
          <w:color w:val="auto"/>
          <w:sz w:val="24"/>
        </w:rPr>
        <w:t>》（</w:t>
      </w:r>
      <w:r>
        <w:rPr>
          <w:rFonts w:cs="仿宋_GB2312" w:asciiTheme="minorEastAsia" w:hAnsiTheme="minorEastAsia" w:eastAsiaTheme="minorEastAsia"/>
          <w:color w:val="auto"/>
          <w:sz w:val="24"/>
        </w:rPr>
        <w:t>浙财采监[2013]24号</w:t>
      </w:r>
      <w:r>
        <w:rPr>
          <w:rFonts w:hint="eastAsia" w:cs="仿宋_GB2312" w:asciiTheme="minorEastAsia" w:hAnsiTheme="minorEastAsia" w:eastAsiaTheme="minorEastAsia"/>
          <w:color w:val="auto"/>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5CE06D6">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2363830B">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2AE1F389">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20F67B5C">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3C36F5B8">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2B3309CE">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r>
        <w:rPr>
          <w:rFonts w:hint="eastAsia" w:ascii="宋体" w:hAnsi="宋体" w:cs="宋体"/>
          <w:b/>
          <w:color w:val="auto"/>
          <w:sz w:val="24"/>
        </w:rPr>
        <w:t xml:space="preserve">    </w:t>
      </w:r>
    </w:p>
    <w:p w14:paraId="731D2F50">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062AE689">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10B3453B">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6E3BEBAF">
      <w:pPr>
        <w:rPr>
          <w:rFonts w:ascii="宋体" w:hAnsi="宋体" w:cs="宋体"/>
          <w:b/>
          <w:color w:val="auto"/>
          <w:kern w:val="0"/>
          <w:sz w:val="36"/>
          <w:szCs w:val="36"/>
        </w:rPr>
      </w:pPr>
      <w:r>
        <w:rPr>
          <w:rFonts w:hint="eastAsia" w:ascii="宋体" w:hAnsi="宋体" w:cs="宋体"/>
          <w:b/>
          <w:color w:val="auto"/>
          <w:kern w:val="0"/>
          <w:sz w:val="36"/>
          <w:szCs w:val="36"/>
        </w:rPr>
        <w:br w:type="page"/>
      </w:r>
    </w:p>
    <w:p w14:paraId="28060D58">
      <w:pPr>
        <w:spacing w:line="360" w:lineRule="auto"/>
        <w:ind w:right="420"/>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0249AA1A">
      <w:pPr>
        <w:spacing w:line="360" w:lineRule="auto"/>
        <w:jc w:val="center"/>
        <w:outlineLvl w:val="0"/>
        <w:rPr>
          <w:rFonts w:ascii="宋体" w:hAnsi="宋体" w:cs="宋体"/>
          <w:b/>
          <w:color w:val="auto"/>
          <w:kern w:val="0"/>
          <w:sz w:val="24"/>
        </w:rPr>
      </w:pPr>
    </w:p>
    <w:p w14:paraId="52779C7B">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2CE1ABFA">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1F08463A">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6EB6A772">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285B84DC">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1E343392">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4CF648E8">
      <w:pPr>
        <w:rPr>
          <w:rFonts w:ascii="宋体" w:hAnsi="宋体" w:cs="宋体"/>
          <w:b/>
          <w:color w:val="auto"/>
          <w:kern w:val="0"/>
          <w:sz w:val="32"/>
          <w:szCs w:val="32"/>
        </w:rPr>
      </w:pPr>
      <w:r>
        <w:rPr>
          <w:rFonts w:hint="eastAsia" w:ascii="宋体" w:hAnsi="宋体" w:cs="宋体"/>
          <w:b/>
          <w:color w:val="auto"/>
          <w:kern w:val="0"/>
          <w:sz w:val="32"/>
          <w:szCs w:val="32"/>
        </w:rPr>
        <w:br w:type="page"/>
      </w:r>
    </w:p>
    <w:p w14:paraId="2A979CD5">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9EE1EC2">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A3D23F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1BD8471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56DCF07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5F95C32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1917657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3891A46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98" w:name="_Hlk101257010"/>
      <w:r>
        <w:rPr>
          <w:rFonts w:hint="eastAsia" w:ascii="宋体" w:hAnsi="宋体" w:cs="宋体"/>
          <w:color w:val="auto"/>
          <w:sz w:val="24"/>
        </w:rPr>
        <w:t>（如果有)</w:t>
      </w:r>
      <w:bookmarkEnd w:id="498"/>
      <w:r>
        <w:rPr>
          <w:rFonts w:hint="eastAsia" w:ascii="宋体" w:hAnsi="宋体" w:cs="宋体"/>
          <w:snapToGrid w:val="0"/>
          <w:color w:val="auto"/>
          <w:kern w:val="28"/>
          <w:sz w:val="24"/>
          <w:szCs w:val="20"/>
        </w:rPr>
        <w:t>；</w:t>
      </w:r>
    </w:p>
    <w:p w14:paraId="19B3FC1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14C1397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31D97560">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D7722C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303C8F0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4A84B35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1B92DF8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4AF997F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00F3BA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78CE542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543EA347">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A645A7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11AEE05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60F83C0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2FAC99D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25CB6B4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5A3B54B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1B965BD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1B69F3C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1A39195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21EA3AA0">
      <w:pPr>
        <w:numPr>
          <w:ilvl w:val="0"/>
          <w:numId w:val="17"/>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16BEFF7">
      <w:pPr>
        <w:numPr>
          <w:ilvl w:val="0"/>
          <w:numId w:val="17"/>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31CFFF9B">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18BDA38B">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71595375">
      <w:pPr>
        <w:snapToGrid w:val="0"/>
        <w:spacing w:line="360" w:lineRule="auto"/>
        <w:ind w:left="420" w:leftChars="200" w:firstLine="4200" w:firstLineChars="1750"/>
        <w:rPr>
          <w:rFonts w:ascii="宋体" w:hAnsi="宋体" w:cs="宋体"/>
          <w:color w:val="auto"/>
          <w:kern w:val="0"/>
          <w:sz w:val="24"/>
          <w:u w:val="single"/>
        </w:rPr>
      </w:pPr>
    </w:p>
    <w:p w14:paraId="0C5E692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0A9E341">
      <w:pPr>
        <w:rPr>
          <w:rFonts w:ascii="宋体" w:hAnsi="宋体" w:cs="宋体"/>
          <w:b/>
          <w:color w:val="auto"/>
          <w:kern w:val="0"/>
          <w:sz w:val="32"/>
          <w:szCs w:val="32"/>
        </w:rPr>
      </w:pPr>
      <w:r>
        <w:rPr>
          <w:rFonts w:hint="eastAsia" w:ascii="宋体" w:hAnsi="宋体" w:cs="宋体"/>
          <w:b/>
          <w:color w:val="auto"/>
          <w:kern w:val="0"/>
          <w:sz w:val="32"/>
          <w:szCs w:val="32"/>
        </w:rPr>
        <w:br w:type="page"/>
      </w:r>
    </w:p>
    <w:p w14:paraId="30C73D05">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359A0F1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23D399B8">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p>
    <w:p w14:paraId="182AA543">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195BF3D">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5B8D30B4">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3C769E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35FE136">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38303E95">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14:paraId="38F2DE97">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70598A7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9422276">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7911F064">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236C144">
      <w:pPr>
        <w:snapToGrid w:val="0"/>
        <w:spacing w:line="360" w:lineRule="auto"/>
        <w:rPr>
          <w:rFonts w:ascii="宋体" w:hAnsi="宋体" w:cs="宋体"/>
          <w:color w:val="auto"/>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78AD115">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BB7081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E9455AA">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6D752451">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6FB7613">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177484FB">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63CE64A3">
      <w:pPr>
        <w:pStyle w:val="146"/>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A70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ECEA987">
            <w:pPr>
              <w:pStyle w:val="146"/>
              <w:adjustRightInd w:val="0"/>
              <w:spacing w:line="360" w:lineRule="auto"/>
              <w:rPr>
                <w:rFonts w:hAnsi="宋体" w:cs="宋体"/>
                <w:bCs/>
                <w:color w:val="auto"/>
                <w:sz w:val="24"/>
              </w:rPr>
            </w:pPr>
            <w:r>
              <w:rPr>
                <w:rFonts w:hint="eastAsia" w:hAnsi="宋体" w:cs="宋体"/>
                <w:bCs/>
                <w:color w:val="auto"/>
                <w:sz w:val="24"/>
              </w:rPr>
              <w:t>正面：                                 反面：</w:t>
            </w:r>
          </w:p>
          <w:p w14:paraId="044CD4DB">
            <w:pPr>
              <w:pStyle w:val="146"/>
              <w:adjustRightInd w:val="0"/>
              <w:spacing w:line="360" w:lineRule="auto"/>
              <w:rPr>
                <w:rFonts w:hAnsi="宋体" w:cs="宋体"/>
                <w:bCs/>
                <w:color w:val="auto"/>
                <w:sz w:val="24"/>
              </w:rPr>
            </w:pPr>
          </w:p>
        </w:tc>
      </w:tr>
    </w:tbl>
    <w:p w14:paraId="7633AD9C">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ADD85BB">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3A73B569">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471C2BD">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4D0BA147">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61882904">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08BBB561">
      <w:pPr>
        <w:snapToGrid w:val="0"/>
        <w:spacing w:line="360" w:lineRule="auto"/>
        <w:rPr>
          <w:rFonts w:ascii="宋体" w:hAnsi="宋体" w:cs="宋体"/>
          <w:color w:val="auto"/>
          <w:kern w:val="0"/>
          <w:sz w:val="24"/>
        </w:rPr>
      </w:pPr>
    </w:p>
    <w:p w14:paraId="155633AA">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2FEE59F1">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339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5D1C41D">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序号</w:t>
            </w:r>
          </w:p>
        </w:tc>
        <w:tc>
          <w:tcPr>
            <w:tcW w:w="4991" w:type="dxa"/>
            <w:vAlign w:val="center"/>
          </w:tcPr>
          <w:p w14:paraId="0FC48C9C">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实质性要求</w:t>
            </w:r>
          </w:p>
        </w:tc>
        <w:tc>
          <w:tcPr>
            <w:tcW w:w="2551" w:type="dxa"/>
            <w:vAlign w:val="center"/>
          </w:tcPr>
          <w:p w14:paraId="5C49B6D6">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需要提供的符合性审查资料</w:t>
            </w:r>
          </w:p>
        </w:tc>
        <w:tc>
          <w:tcPr>
            <w:tcW w:w="1418" w:type="dxa"/>
            <w:vAlign w:val="center"/>
          </w:tcPr>
          <w:p w14:paraId="569DF79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B4C3768">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页码位置</w:t>
            </w:r>
          </w:p>
        </w:tc>
      </w:tr>
      <w:tr w14:paraId="74D1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1B5679">
            <w:pPr>
              <w:jc w:val="center"/>
              <w:rPr>
                <w:rFonts w:ascii="宋体" w:hAnsi="宋体" w:cs="宋体"/>
                <w:b w:val="0"/>
                <w:bCs/>
                <w:color w:val="auto"/>
                <w:sz w:val="24"/>
              </w:rPr>
            </w:pPr>
            <w:r>
              <w:rPr>
                <w:rFonts w:hint="eastAsia" w:ascii="宋体" w:hAnsi="宋体" w:cs="宋体"/>
                <w:color w:val="auto"/>
                <w:sz w:val="24"/>
                <w:highlight w:val="none"/>
              </w:rPr>
              <w:t>1</w:t>
            </w:r>
          </w:p>
        </w:tc>
        <w:tc>
          <w:tcPr>
            <w:tcW w:w="4991" w:type="dxa"/>
            <w:vAlign w:val="top"/>
          </w:tcPr>
          <w:p w14:paraId="57EF8586">
            <w:pPr>
              <w:spacing w:line="360" w:lineRule="auto"/>
              <w:rPr>
                <w:rFonts w:ascii="宋体" w:hAnsi="宋体" w:cs="宋体"/>
                <w:b w:val="0"/>
                <w:bCs/>
                <w:color w:val="auto"/>
                <w:sz w:val="24"/>
              </w:rPr>
            </w:pPr>
            <w:r>
              <w:rPr>
                <w:rFonts w:hint="eastAsia" w:ascii="宋体" w:hAnsi="宋体" w:cs="宋体"/>
                <w:color w:val="auto"/>
                <w:sz w:val="24"/>
                <w:highlight w:val="none"/>
              </w:rPr>
              <w:t>投标文件按照招标文件要求签署、盖章。</w:t>
            </w:r>
          </w:p>
        </w:tc>
        <w:tc>
          <w:tcPr>
            <w:tcW w:w="2551" w:type="dxa"/>
            <w:vAlign w:val="center"/>
          </w:tcPr>
          <w:p w14:paraId="60D14407">
            <w:pPr>
              <w:rPr>
                <w:rFonts w:ascii="宋体" w:hAnsi="宋体" w:cs="宋体"/>
                <w:b w:val="0"/>
                <w:bCs/>
                <w:color w:val="auto"/>
                <w:sz w:val="24"/>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3137E7F1">
            <w:pPr>
              <w:rPr>
                <w:rFonts w:ascii="宋体" w:hAnsi="宋体" w:cs="宋体"/>
                <w:color w:val="auto"/>
                <w:sz w:val="24"/>
                <w:highlight w:val="none"/>
              </w:rPr>
            </w:pPr>
          </w:p>
          <w:p w14:paraId="7D66B893">
            <w:pPr>
              <w:rPr>
                <w:rFonts w:ascii="宋体" w:hAnsi="宋体" w:cs="宋体"/>
                <w:color w:val="auto"/>
                <w:sz w:val="24"/>
                <w:highlight w:val="none"/>
              </w:rPr>
            </w:pPr>
            <w:r>
              <w:rPr>
                <w:rFonts w:hint="eastAsia" w:ascii="宋体" w:hAnsi="宋体" w:cs="宋体"/>
                <w:color w:val="auto"/>
                <w:sz w:val="24"/>
                <w:highlight w:val="none"/>
              </w:rPr>
              <w:t>见投标文件</w:t>
            </w:r>
          </w:p>
          <w:p w14:paraId="3897F768">
            <w:pPr>
              <w:rPr>
                <w:rFonts w:ascii="宋体" w:hAnsi="宋体" w:cs="宋体"/>
                <w:b w:val="0"/>
                <w:bCs/>
                <w:color w:val="auto"/>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231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A1C53C">
            <w:pPr>
              <w:jc w:val="center"/>
              <w:rPr>
                <w:rFonts w:ascii="宋体" w:hAnsi="宋体" w:cs="宋体"/>
                <w:b w:val="0"/>
                <w:bCs/>
                <w:color w:val="auto"/>
                <w:sz w:val="24"/>
              </w:rPr>
            </w:pPr>
            <w:r>
              <w:rPr>
                <w:rFonts w:hint="eastAsia" w:ascii="宋体" w:hAnsi="宋体" w:cs="宋体"/>
                <w:color w:val="auto"/>
                <w:sz w:val="24"/>
                <w:highlight w:val="none"/>
              </w:rPr>
              <w:t>2</w:t>
            </w:r>
          </w:p>
        </w:tc>
        <w:tc>
          <w:tcPr>
            <w:tcW w:w="4991" w:type="dxa"/>
            <w:vAlign w:val="top"/>
          </w:tcPr>
          <w:p w14:paraId="63420D35">
            <w:pPr>
              <w:spacing w:line="360" w:lineRule="auto"/>
              <w:rPr>
                <w:rFonts w:ascii="宋体" w:hAnsi="宋体" w:cs="宋体"/>
                <w:b w:val="0"/>
                <w:bCs/>
                <w:color w:val="auto"/>
                <w:sz w:val="24"/>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545B928">
            <w:pPr>
              <w:rPr>
                <w:rFonts w:ascii="宋体" w:hAnsi="宋体" w:cs="宋体"/>
                <w:b w:val="0"/>
                <w:bCs/>
                <w:color w:val="auto"/>
                <w:sz w:val="24"/>
              </w:rPr>
            </w:pPr>
            <w:r>
              <w:rPr>
                <w:rFonts w:hint="eastAsia" w:ascii="宋体" w:hAnsi="宋体" w:cs="宋体"/>
                <w:color w:val="auto"/>
                <w:sz w:val="24"/>
                <w:highlight w:val="none"/>
              </w:rPr>
              <w:t>投标函</w:t>
            </w:r>
          </w:p>
        </w:tc>
        <w:tc>
          <w:tcPr>
            <w:tcW w:w="1418" w:type="dxa"/>
            <w:vAlign w:val="top"/>
          </w:tcPr>
          <w:p w14:paraId="20A22210">
            <w:pPr>
              <w:rPr>
                <w:rFonts w:ascii="宋体" w:hAnsi="宋体" w:cs="宋体"/>
                <w:b w:val="0"/>
                <w:bCs/>
                <w:color w:val="auto"/>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077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2E4640">
            <w:pPr>
              <w:jc w:val="center"/>
              <w:rPr>
                <w:rFonts w:ascii="宋体" w:hAnsi="宋体" w:cs="宋体"/>
                <w:b w:val="0"/>
                <w:bCs/>
                <w:color w:val="auto"/>
                <w:sz w:val="24"/>
              </w:rPr>
            </w:pPr>
            <w:r>
              <w:rPr>
                <w:rFonts w:hint="eastAsia" w:ascii="宋体" w:hAnsi="宋体" w:cs="宋体"/>
                <w:b w:val="0"/>
                <w:bCs w:val="0"/>
                <w:color w:val="auto"/>
                <w:sz w:val="24"/>
                <w:highlight w:val="none"/>
                <w:lang w:val="en-US" w:eastAsia="zh-CN"/>
              </w:rPr>
              <w:t>3</w:t>
            </w:r>
          </w:p>
        </w:tc>
        <w:tc>
          <w:tcPr>
            <w:tcW w:w="4991" w:type="dxa"/>
            <w:vAlign w:val="top"/>
          </w:tcPr>
          <w:p w14:paraId="13A4ABB9">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5AFB700B">
            <w:pPr>
              <w:spacing w:line="360" w:lineRule="auto"/>
              <w:rPr>
                <w:rFonts w:ascii="宋体" w:hAnsi="宋体" w:cs="宋体"/>
                <w:b w:val="0"/>
                <w:bCs/>
                <w:color w:val="auto"/>
                <w:sz w:val="24"/>
              </w:rPr>
            </w:pPr>
          </w:p>
        </w:tc>
        <w:tc>
          <w:tcPr>
            <w:tcW w:w="2551" w:type="dxa"/>
            <w:vAlign w:val="center"/>
          </w:tcPr>
          <w:p w14:paraId="79FEE0FF">
            <w:pPr>
              <w:rPr>
                <w:rFonts w:ascii="宋体" w:hAnsi="宋体" w:cs="宋体"/>
                <w:b w:val="0"/>
                <w:bCs/>
                <w:color w:val="auto"/>
                <w:sz w:val="24"/>
              </w:rPr>
            </w:pPr>
            <w:r>
              <w:rPr>
                <w:rFonts w:hint="eastAsia" w:ascii="宋体" w:hAnsi="宋体" w:cs="宋体"/>
                <w:b w:val="0"/>
                <w:bCs w:val="0"/>
                <w:color w:val="auto"/>
                <w:sz w:val="24"/>
                <w:highlight w:val="none"/>
                <w:lang w:val="en-US" w:eastAsia="zh-CN"/>
              </w:rPr>
              <w:t>投标文件</w:t>
            </w:r>
          </w:p>
        </w:tc>
        <w:tc>
          <w:tcPr>
            <w:tcW w:w="1418" w:type="dxa"/>
            <w:vAlign w:val="top"/>
          </w:tcPr>
          <w:p w14:paraId="5EBD86FC">
            <w:pPr>
              <w:rPr>
                <w:rFonts w:ascii="宋体" w:hAnsi="宋体" w:cs="宋体"/>
                <w:b w:val="0"/>
                <w:bCs/>
                <w:color w:val="auto"/>
              </w:rPr>
            </w:pPr>
            <w:r>
              <w:rPr>
                <w:rFonts w:hint="eastAsia" w:ascii="宋体" w:hAnsi="宋体" w:cs="宋体"/>
                <w:b w:val="0"/>
                <w:bCs w:val="0"/>
                <w:color w:val="auto"/>
                <w:sz w:val="24"/>
                <w:highlight w:val="none"/>
                <w:lang w:val="en-US" w:eastAsia="zh-CN"/>
              </w:rPr>
              <w:t>/</w:t>
            </w:r>
          </w:p>
        </w:tc>
      </w:tr>
      <w:tr w14:paraId="5917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883BAF">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35E8903">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842543A">
            <w:pPr>
              <w:rPr>
                <w:rFonts w:hint="eastAsia" w:ascii="宋体" w:hAnsi="宋体" w:cs="宋体"/>
                <w:b/>
                <w:bCs/>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13557B28">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396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915716">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0F3C8DFE">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C68010B">
            <w:pPr>
              <w:rPr>
                <w:rFonts w:hint="eastAsia" w:ascii="宋体" w:hAnsi="宋体" w:cs="宋体"/>
                <w:b/>
                <w:bCs/>
                <w:color w:val="auto"/>
                <w:sz w:val="24"/>
                <w:highlight w:val="none"/>
                <w:lang w:val="en-US" w:eastAsia="zh-CN"/>
              </w:rPr>
            </w:pPr>
          </w:p>
        </w:tc>
        <w:tc>
          <w:tcPr>
            <w:tcW w:w="1418" w:type="dxa"/>
            <w:vAlign w:val="top"/>
          </w:tcPr>
          <w:p w14:paraId="37F97B48">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92F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4EE593">
            <w:pPr>
              <w:jc w:val="center"/>
              <w:rPr>
                <w:rFonts w:hint="eastAsia" w:ascii="宋体" w:hAnsi="宋体" w:cs="宋体"/>
                <w:b/>
                <w:bCs/>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07848391">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27FDCADA">
            <w:pPr>
              <w:rPr>
                <w:rFonts w:hint="eastAsia" w:ascii="宋体" w:hAnsi="宋体" w:cs="宋体"/>
                <w:b/>
                <w:bCs/>
                <w:color w:val="auto"/>
                <w:sz w:val="24"/>
                <w:highlight w:val="none"/>
                <w:lang w:val="en-US" w:eastAsia="zh-CN"/>
              </w:rPr>
            </w:pPr>
          </w:p>
        </w:tc>
        <w:tc>
          <w:tcPr>
            <w:tcW w:w="1418" w:type="dxa"/>
            <w:vAlign w:val="top"/>
          </w:tcPr>
          <w:p w14:paraId="2406A836">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21CB108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7325C14">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55118B8D">
      <w:pPr>
        <w:snapToGrid w:val="0"/>
        <w:spacing w:line="360" w:lineRule="auto"/>
        <w:jc w:val="left"/>
        <w:rPr>
          <w:rFonts w:ascii="宋体" w:hAnsi="宋体" w:cs="宋体"/>
          <w:b w:val="0"/>
          <w:bCs/>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5BD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BB57AF8">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4C407824">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32E76017">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3B41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1968AE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4CA3797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1ECFEDC">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1BC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7CD95C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598F4C6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72F2A23">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C8F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00EFB0A">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19D3F310">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03C62108">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44A61CBE">
      <w:pPr>
        <w:rPr>
          <w:rFonts w:ascii="宋体" w:hAnsi="宋体" w:cs="宋体"/>
          <w:b/>
          <w:color w:val="auto"/>
          <w:kern w:val="0"/>
          <w:sz w:val="32"/>
          <w:szCs w:val="32"/>
        </w:rPr>
      </w:pPr>
      <w:r>
        <w:rPr>
          <w:rFonts w:hint="eastAsia" w:ascii="宋体" w:hAnsi="宋体" w:cs="宋体"/>
          <w:b/>
          <w:color w:val="auto"/>
          <w:kern w:val="0"/>
          <w:sz w:val="32"/>
          <w:szCs w:val="32"/>
        </w:rPr>
        <w:br w:type="page"/>
      </w:r>
    </w:p>
    <w:p w14:paraId="2F820527">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D5F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43EDAD">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B51CB03">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32465204">
            <w:pPr>
              <w:spacing w:line="360" w:lineRule="auto"/>
              <w:jc w:val="center"/>
              <w:rPr>
                <w:rFonts w:ascii="宋体" w:hAnsi="宋体" w:cs="宋体"/>
                <w:b/>
                <w:color w:val="auto"/>
                <w:sz w:val="24"/>
              </w:rPr>
            </w:pPr>
          </w:p>
          <w:p w14:paraId="5562C2A6">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5A2964D">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387D83A">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1EB03A3">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A5D8E32">
            <w:pPr>
              <w:spacing w:line="360" w:lineRule="auto"/>
              <w:jc w:val="center"/>
              <w:rPr>
                <w:rFonts w:ascii="宋体" w:hAnsi="宋体" w:cs="宋体"/>
                <w:b/>
                <w:color w:val="auto"/>
                <w:sz w:val="24"/>
              </w:rPr>
            </w:pPr>
          </w:p>
          <w:p w14:paraId="61C3EEA0">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0E6D9622">
            <w:pPr>
              <w:spacing w:line="360" w:lineRule="auto"/>
              <w:jc w:val="center"/>
              <w:rPr>
                <w:rFonts w:ascii="宋体" w:hAnsi="宋体" w:cs="宋体"/>
                <w:b/>
                <w:color w:val="auto"/>
                <w:sz w:val="24"/>
              </w:rPr>
            </w:pPr>
          </w:p>
        </w:tc>
      </w:tr>
      <w:tr w14:paraId="4B62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BE2612">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5F1DEBB">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2190251">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7607A5B">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DF0C0AF">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77F53BE">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AF9FB79">
            <w:pPr>
              <w:spacing w:line="360" w:lineRule="auto"/>
              <w:jc w:val="center"/>
              <w:rPr>
                <w:rFonts w:ascii="宋体" w:hAnsi="宋体" w:cs="宋体"/>
                <w:color w:val="auto"/>
                <w:sz w:val="24"/>
              </w:rPr>
            </w:pPr>
          </w:p>
        </w:tc>
      </w:tr>
      <w:tr w14:paraId="2E5D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E7DA11">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A316D2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4777931">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4C858A2">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9863B2E">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F9F84E4">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2CCF8F5">
            <w:pPr>
              <w:spacing w:line="360" w:lineRule="auto"/>
              <w:jc w:val="center"/>
              <w:rPr>
                <w:rFonts w:ascii="宋体" w:hAnsi="宋体" w:cs="宋体"/>
                <w:color w:val="auto"/>
                <w:sz w:val="24"/>
              </w:rPr>
            </w:pPr>
          </w:p>
        </w:tc>
      </w:tr>
      <w:tr w14:paraId="26B0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D9A2BC">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7B3C63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6457A33">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A5A1262">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D51166E">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9C8E153">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BE54A7C">
            <w:pPr>
              <w:spacing w:line="360" w:lineRule="auto"/>
              <w:jc w:val="center"/>
              <w:rPr>
                <w:rFonts w:ascii="宋体" w:hAnsi="宋体" w:cs="宋体"/>
                <w:color w:val="auto"/>
                <w:sz w:val="24"/>
              </w:rPr>
            </w:pPr>
          </w:p>
        </w:tc>
      </w:tr>
    </w:tbl>
    <w:p w14:paraId="47CBD7D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E19F663">
      <w:pPr>
        <w:jc w:val="center"/>
        <w:rPr>
          <w:rFonts w:ascii="宋体" w:hAnsi="宋体" w:cs="宋体"/>
          <w:b/>
          <w:color w:val="auto"/>
          <w:kern w:val="0"/>
          <w:sz w:val="32"/>
          <w:szCs w:val="32"/>
        </w:rPr>
      </w:pPr>
    </w:p>
    <w:p w14:paraId="61423FB4">
      <w:pPr>
        <w:jc w:val="center"/>
        <w:rPr>
          <w:rFonts w:ascii="宋体" w:hAnsi="宋体" w:cs="宋体"/>
          <w:b/>
          <w:color w:val="auto"/>
          <w:kern w:val="0"/>
          <w:sz w:val="32"/>
          <w:szCs w:val="32"/>
        </w:rPr>
      </w:pPr>
    </w:p>
    <w:p w14:paraId="667FB34C">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709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294C2F">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0BE08B5E">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55FB603E">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71B8BE62">
            <w:pPr>
              <w:jc w:val="center"/>
              <w:rPr>
                <w:rFonts w:ascii="宋体" w:hAnsi="宋体" w:cs="宋体"/>
                <w:b/>
                <w:bCs/>
                <w:color w:val="auto"/>
                <w:sz w:val="24"/>
              </w:rPr>
            </w:pPr>
            <w:r>
              <w:rPr>
                <w:rFonts w:hint="eastAsia" w:ascii="宋体" w:hAnsi="宋体" w:cs="宋体"/>
                <w:b/>
                <w:bCs/>
                <w:color w:val="auto"/>
                <w:sz w:val="24"/>
              </w:rPr>
              <w:t>偏离说明</w:t>
            </w:r>
          </w:p>
        </w:tc>
      </w:tr>
      <w:tr w14:paraId="18A2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17C473">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038DFE45">
            <w:pPr>
              <w:jc w:val="center"/>
              <w:rPr>
                <w:rFonts w:ascii="宋体" w:hAnsi="宋体" w:cs="宋体"/>
                <w:b/>
                <w:color w:val="auto"/>
                <w:kern w:val="0"/>
                <w:sz w:val="32"/>
                <w:szCs w:val="32"/>
              </w:rPr>
            </w:pPr>
          </w:p>
        </w:tc>
        <w:tc>
          <w:tcPr>
            <w:tcW w:w="3546" w:type="dxa"/>
          </w:tcPr>
          <w:p w14:paraId="46EB663C">
            <w:pPr>
              <w:jc w:val="center"/>
              <w:rPr>
                <w:rFonts w:ascii="宋体" w:hAnsi="宋体" w:cs="宋体"/>
                <w:b/>
                <w:color w:val="auto"/>
                <w:kern w:val="0"/>
                <w:sz w:val="32"/>
                <w:szCs w:val="32"/>
              </w:rPr>
            </w:pPr>
          </w:p>
        </w:tc>
        <w:tc>
          <w:tcPr>
            <w:tcW w:w="1276" w:type="dxa"/>
          </w:tcPr>
          <w:p w14:paraId="10EBD300">
            <w:pPr>
              <w:jc w:val="center"/>
              <w:rPr>
                <w:rFonts w:ascii="宋体" w:hAnsi="宋体" w:cs="宋体"/>
                <w:b/>
                <w:color w:val="auto"/>
                <w:kern w:val="0"/>
                <w:sz w:val="32"/>
                <w:szCs w:val="32"/>
              </w:rPr>
            </w:pPr>
          </w:p>
        </w:tc>
      </w:tr>
      <w:tr w14:paraId="3D3D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E00EE0">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3F1F86C9">
            <w:pPr>
              <w:jc w:val="center"/>
              <w:rPr>
                <w:rFonts w:ascii="宋体" w:hAnsi="宋体" w:cs="宋体"/>
                <w:b/>
                <w:color w:val="auto"/>
                <w:kern w:val="0"/>
                <w:sz w:val="32"/>
                <w:szCs w:val="32"/>
              </w:rPr>
            </w:pPr>
          </w:p>
        </w:tc>
        <w:tc>
          <w:tcPr>
            <w:tcW w:w="3546" w:type="dxa"/>
          </w:tcPr>
          <w:p w14:paraId="47184387">
            <w:pPr>
              <w:jc w:val="center"/>
              <w:rPr>
                <w:rFonts w:ascii="宋体" w:hAnsi="宋体" w:cs="宋体"/>
                <w:b/>
                <w:color w:val="auto"/>
                <w:kern w:val="0"/>
                <w:sz w:val="32"/>
                <w:szCs w:val="32"/>
              </w:rPr>
            </w:pPr>
          </w:p>
        </w:tc>
        <w:tc>
          <w:tcPr>
            <w:tcW w:w="1276" w:type="dxa"/>
          </w:tcPr>
          <w:p w14:paraId="69A7ED52">
            <w:pPr>
              <w:jc w:val="center"/>
              <w:rPr>
                <w:rFonts w:ascii="宋体" w:hAnsi="宋体" w:cs="宋体"/>
                <w:b/>
                <w:color w:val="auto"/>
                <w:kern w:val="0"/>
                <w:sz w:val="32"/>
                <w:szCs w:val="32"/>
              </w:rPr>
            </w:pPr>
          </w:p>
        </w:tc>
      </w:tr>
      <w:tr w14:paraId="566E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062630">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6F943178">
            <w:pPr>
              <w:jc w:val="center"/>
              <w:rPr>
                <w:rFonts w:ascii="宋体" w:hAnsi="宋体" w:cs="宋体"/>
                <w:b/>
                <w:color w:val="auto"/>
                <w:kern w:val="0"/>
                <w:sz w:val="32"/>
                <w:szCs w:val="32"/>
              </w:rPr>
            </w:pPr>
          </w:p>
        </w:tc>
        <w:tc>
          <w:tcPr>
            <w:tcW w:w="3546" w:type="dxa"/>
          </w:tcPr>
          <w:p w14:paraId="0DCD8468">
            <w:pPr>
              <w:jc w:val="center"/>
              <w:rPr>
                <w:rFonts w:ascii="宋体" w:hAnsi="宋体" w:cs="宋体"/>
                <w:b/>
                <w:color w:val="auto"/>
                <w:kern w:val="0"/>
                <w:sz w:val="32"/>
                <w:szCs w:val="32"/>
              </w:rPr>
            </w:pPr>
          </w:p>
        </w:tc>
        <w:tc>
          <w:tcPr>
            <w:tcW w:w="1276" w:type="dxa"/>
          </w:tcPr>
          <w:p w14:paraId="113CB6B9">
            <w:pPr>
              <w:jc w:val="center"/>
              <w:rPr>
                <w:rFonts w:ascii="宋体" w:hAnsi="宋体" w:cs="宋体"/>
                <w:b/>
                <w:color w:val="auto"/>
                <w:kern w:val="0"/>
                <w:sz w:val="32"/>
                <w:szCs w:val="32"/>
              </w:rPr>
            </w:pPr>
          </w:p>
        </w:tc>
      </w:tr>
    </w:tbl>
    <w:p w14:paraId="47C9C41A">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3FD0B418">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77C9DDF8">
      <w:pPr>
        <w:numPr>
          <w:ilvl w:val="0"/>
          <w:numId w:val="0"/>
        </w:numPr>
        <w:spacing w:line="360" w:lineRule="auto"/>
        <w:ind w:right="420"/>
        <w:rPr>
          <w:color w:val="auto"/>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5306AF8A">
      <w:pPr>
        <w:rPr>
          <w:rFonts w:ascii="宋体" w:hAnsi="宋体" w:cs="宋体"/>
          <w:b/>
          <w:bCs/>
          <w:color w:val="auto"/>
          <w:sz w:val="32"/>
          <w:szCs w:val="32"/>
        </w:rPr>
      </w:pPr>
      <w:r>
        <w:rPr>
          <w:rFonts w:hint="eastAsia" w:ascii="宋体" w:hAnsi="宋体" w:cs="宋体"/>
          <w:b/>
          <w:bCs/>
          <w:color w:val="auto"/>
          <w:sz w:val="32"/>
          <w:szCs w:val="32"/>
        </w:rPr>
        <w:br w:type="page"/>
      </w:r>
    </w:p>
    <w:p w14:paraId="75683B8F">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5E7C90D0">
      <w:pPr>
        <w:snapToGrid w:val="0"/>
        <w:spacing w:line="360" w:lineRule="auto"/>
        <w:rPr>
          <w:rFonts w:ascii="宋体" w:hAnsi="宋体" w:cs="宋体"/>
          <w:color w:val="auto"/>
          <w:sz w:val="24"/>
        </w:rPr>
      </w:pPr>
    </w:p>
    <w:p w14:paraId="61D3291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DABDC8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540D75C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044CACD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246534A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3F7B6B2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46831683">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3FE9276F">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7F283ED6">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098DA0F7">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38C783EE">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073CF37C">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30760C19">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2A426A53">
      <w:pPr>
        <w:spacing w:line="360" w:lineRule="auto"/>
        <w:jc w:val="center"/>
        <w:rPr>
          <w:rFonts w:ascii="宋体" w:hAnsi="宋体" w:cs="宋体"/>
          <w:b/>
          <w:bCs/>
          <w:color w:val="auto"/>
          <w:sz w:val="24"/>
        </w:rPr>
      </w:pPr>
    </w:p>
    <w:p w14:paraId="3F55BD8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2932A5A">
      <w:pPr>
        <w:rPr>
          <w:rFonts w:ascii="宋体" w:hAnsi="宋体" w:cs="宋体"/>
          <w:b/>
          <w:color w:val="auto"/>
          <w:kern w:val="0"/>
          <w:sz w:val="36"/>
          <w:szCs w:val="36"/>
        </w:rPr>
      </w:pPr>
      <w:r>
        <w:rPr>
          <w:rFonts w:hint="eastAsia" w:ascii="宋体" w:hAnsi="宋体" w:cs="宋体"/>
          <w:b/>
          <w:color w:val="auto"/>
          <w:kern w:val="0"/>
          <w:sz w:val="36"/>
          <w:szCs w:val="36"/>
        </w:rPr>
        <w:br w:type="page"/>
      </w:r>
    </w:p>
    <w:p w14:paraId="5280A52D">
      <w:pPr>
        <w:jc w:val="center"/>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42757CEA">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20537152">
      <w:pPr>
        <w:spacing w:line="360" w:lineRule="auto"/>
        <w:jc w:val="center"/>
        <w:outlineLvl w:val="0"/>
        <w:rPr>
          <w:rFonts w:ascii="宋体" w:hAnsi="宋体" w:cs="宋体"/>
          <w:b/>
          <w:color w:val="auto"/>
          <w:kern w:val="0"/>
          <w:sz w:val="36"/>
          <w:szCs w:val="36"/>
        </w:rPr>
      </w:pPr>
    </w:p>
    <w:p w14:paraId="506B5BC6">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1D9D6678">
      <w:pPr>
        <w:snapToGrid w:val="0"/>
        <w:spacing w:line="360" w:lineRule="auto"/>
        <w:rPr>
          <w:color w:val="auto"/>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2A461E8A">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6949C915">
      <w:pPr>
        <w:rPr>
          <w:rFonts w:hint="eastAsia" w:ascii="宋体" w:hAnsi="宋体" w:eastAsia="宋体" w:cs="宋体"/>
          <w:color w:val="auto"/>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0A574DCE">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5326A0A3">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FDF4353">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47999E4E">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670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36C8306">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07F0470D">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57B3C5B1">
            <w:pPr>
              <w:spacing w:line="360" w:lineRule="auto"/>
              <w:jc w:val="center"/>
              <w:rPr>
                <w:rFonts w:ascii="宋体" w:hAnsi="宋体" w:cs="宋体"/>
                <w:b/>
                <w:color w:val="auto"/>
                <w:sz w:val="24"/>
              </w:rPr>
            </w:pPr>
          </w:p>
          <w:p w14:paraId="01495210">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7692C030">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3E32859C">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796B761E">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42CBD452">
            <w:pPr>
              <w:spacing w:line="360" w:lineRule="auto"/>
              <w:jc w:val="center"/>
              <w:rPr>
                <w:rFonts w:ascii="宋体" w:hAnsi="宋体" w:cs="宋体"/>
                <w:b/>
                <w:color w:val="auto"/>
                <w:sz w:val="24"/>
              </w:rPr>
            </w:pPr>
          </w:p>
          <w:p w14:paraId="54C6CB0D">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2A86BA54">
            <w:pPr>
              <w:spacing w:line="360" w:lineRule="auto"/>
              <w:jc w:val="center"/>
              <w:rPr>
                <w:rFonts w:ascii="宋体" w:hAnsi="宋体" w:cs="宋体"/>
                <w:b/>
                <w:color w:val="auto"/>
                <w:sz w:val="24"/>
              </w:rPr>
            </w:pPr>
          </w:p>
          <w:p w14:paraId="7D2849B9">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6DE309A0">
            <w:pPr>
              <w:spacing w:line="360" w:lineRule="auto"/>
              <w:jc w:val="center"/>
              <w:rPr>
                <w:rFonts w:ascii="宋体" w:hAnsi="宋体" w:cs="宋体"/>
                <w:b/>
                <w:color w:val="auto"/>
                <w:sz w:val="24"/>
              </w:rPr>
            </w:pPr>
          </w:p>
        </w:tc>
      </w:tr>
      <w:tr w14:paraId="6F33D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9AB8E7D">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750BC19D">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7FA45C2B">
            <w:pPr>
              <w:snapToGrid w:val="0"/>
              <w:spacing w:line="360" w:lineRule="auto"/>
              <w:jc w:val="center"/>
              <w:rPr>
                <w:rFonts w:ascii="宋体" w:hAnsi="宋体" w:cs="宋体"/>
                <w:color w:val="auto"/>
                <w:sz w:val="24"/>
              </w:rPr>
            </w:pPr>
          </w:p>
        </w:tc>
        <w:tc>
          <w:tcPr>
            <w:tcW w:w="2410" w:type="dxa"/>
            <w:vAlign w:val="center"/>
          </w:tcPr>
          <w:p w14:paraId="4A604368">
            <w:pPr>
              <w:snapToGrid w:val="0"/>
              <w:spacing w:line="360" w:lineRule="auto"/>
              <w:jc w:val="center"/>
              <w:rPr>
                <w:rFonts w:ascii="宋体" w:hAnsi="宋体" w:cs="宋体"/>
                <w:color w:val="auto"/>
                <w:sz w:val="24"/>
              </w:rPr>
            </w:pPr>
          </w:p>
        </w:tc>
        <w:tc>
          <w:tcPr>
            <w:tcW w:w="2268" w:type="dxa"/>
            <w:vAlign w:val="center"/>
          </w:tcPr>
          <w:p w14:paraId="14AE0D19">
            <w:pPr>
              <w:snapToGrid w:val="0"/>
              <w:spacing w:line="360" w:lineRule="auto"/>
              <w:jc w:val="center"/>
              <w:rPr>
                <w:rFonts w:ascii="宋体" w:hAnsi="宋体" w:cs="宋体"/>
                <w:color w:val="auto"/>
                <w:sz w:val="24"/>
              </w:rPr>
            </w:pPr>
          </w:p>
        </w:tc>
        <w:tc>
          <w:tcPr>
            <w:tcW w:w="2126" w:type="dxa"/>
            <w:vAlign w:val="center"/>
          </w:tcPr>
          <w:p w14:paraId="57718FFD">
            <w:pPr>
              <w:spacing w:line="360" w:lineRule="auto"/>
              <w:jc w:val="center"/>
              <w:rPr>
                <w:rFonts w:ascii="宋体" w:hAnsi="宋体" w:cs="宋体"/>
                <w:color w:val="auto"/>
                <w:sz w:val="24"/>
              </w:rPr>
            </w:pPr>
          </w:p>
        </w:tc>
        <w:tc>
          <w:tcPr>
            <w:tcW w:w="2127" w:type="dxa"/>
          </w:tcPr>
          <w:p w14:paraId="51F64F96">
            <w:pPr>
              <w:spacing w:line="360" w:lineRule="auto"/>
              <w:jc w:val="center"/>
              <w:rPr>
                <w:rFonts w:ascii="宋体" w:hAnsi="宋体" w:cs="宋体"/>
                <w:color w:val="auto"/>
                <w:sz w:val="24"/>
              </w:rPr>
            </w:pPr>
          </w:p>
        </w:tc>
        <w:tc>
          <w:tcPr>
            <w:tcW w:w="2126" w:type="dxa"/>
            <w:vAlign w:val="center"/>
          </w:tcPr>
          <w:p w14:paraId="35A8855F">
            <w:pPr>
              <w:spacing w:line="360" w:lineRule="auto"/>
              <w:jc w:val="center"/>
              <w:rPr>
                <w:rFonts w:ascii="宋体" w:hAnsi="宋体" w:cs="宋体"/>
                <w:color w:val="auto"/>
                <w:sz w:val="24"/>
              </w:rPr>
            </w:pPr>
          </w:p>
        </w:tc>
      </w:tr>
      <w:tr w14:paraId="3287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CB4355A">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3EB5DDD2">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2EF51DD8">
            <w:pPr>
              <w:snapToGrid w:val="0"/>
              <w:spacing w:line="360" w:lineRule="auto"/>
              <w:jc w:val="center"/>
              <w:rPr>
                <w:rFonts w:ascii="宋体" w:hAnsi="宋体" w:cs="宋体"/>
                <w:color w:val="auto"/>
                <w:sz w:val="24"/>
              </w:rPr>
            </w:pPr>
          </w:p>
        </w:tc>
        <w:tc>
          <w:tcPr>
            <w:tcW w:w="2410" w:type="dxa"/>
            <w:vAlign w:val="center"/>
          </w:tcPr>
          <w:p w14:paraId="2ADBF6F4">
            <w:pPr>
              <w:snapToGrid w:val="0"/>
              <w:spacing w:line="360" w:lineRule="auto"/>
              <w:jc w:val="center"/>
              <w:rPr>
                <w:rFonts w:ascii="宋体" w:hAnsi="宋体" w:cs="宋体"/>
                <w:color w:val="auto"/>
                <w:sz w:val="24"/>
              </w:rPr>
            </w:pPr>
          </w:p>
        </w:tc>
        <w:tc>
          <w:tcPr>
            <w:tcW w:w="2268" w:type="dxa"/>
            <w:vAlign w:val="center"/>
          </w:tcPr>
          <w:p w14:paraId="7E103BE6">
            <w:pPr>
              <w:snapToGrid w:val="0"/>
              <w:spacing w:line="360" w:lineRule="auto"/>
              <w:jc w:val="center"/>
              <w:rPr>
                <w:rFonts w:ascii="宋体" w:hAnsi="宋体" w:cs="宋体"/>
                <w:color w:val="auto"/>
                <w:sz w:val="24"/>
              </w:rPr>
            </w:pPr>
          </w:p>
        </w:tc>
        <w:tc>
          <w:tcPr>
            <w:tcW w:w="2126" w:type="dxa"/>
            <w:vAlign w:val="center"/>
          </w:tcPr>
          <w:p w14:paraId="0114291E">
            <w:pPr>
              <w:spacing w:line="360" w:lineRule="auto"/>
              <w:jc w:val="center"/>
              <w:rPr>
                <w:rFonts w:ascii="宋体" w:hAnsi="宋体" w:cs="宋体"/>
                <w:color w:val="auto"/>
                <w:sz w:val="24"/>
              </w:rPr>
            </w:pPr>
          </w:p>
        </w:tc>
        <w:tc>
          <w:tcPr>
            <w:tcW w:w="2127" w:type="dxa"/>
          </w:tcPr>
          <w:p w14:paraId="61966486">
            <w:pPr>
              <w:spacing w:line="360" w:lineRule="auto"/>
              <w:jc w:val="center"/>
              <w:rPr>
                <w:rFonts w:ascii="宋体" w:hAnsi="宋体" w:cs="宋体"/>
                <w:color w:val="auto"/>
                <w:sz w:val="24"/>
              </w:rPr>
            </w:pPr>
          </w:p>
        </w:tc>
        <w:tc>
          <w:tcPr>
            <w:tcW w:w="2126" w:type="dxa"/>
            <w:vAlign w:val="center"/>
          </w:tcPr>
          <w:p w14:paraId="070ACE15">
            <w:pPr>
              <w:spacing w:line="360" w:lineRule="auto"/>
              <w:jc w:val="center"/>
              <w:rPr>
                <w:rFonts w:ascii="宋体" w:hAnsi="宋体" w:cs="宋体"/>
                <w:color w:val="auto"/>
                <w:sz w:val="24"/>
              </w:rPr>
            </w:pPr>
          </w:p>
        </w:tc>
      </w:tr>
      <w:tr w14:paraId="0B2D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1EEEF8">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54B7A51E">
            <w:pPr>
              <w:snapToGrid w:val="0"/>
              <w:spacing w:line="360" w:lineRule="auto"/>
              <w:jc w:val="center"/>
              <w:rPr>
                <w:rFonts w:ascii="宋体" w:hAnsi="宋体" w:cs="宋体"/>
                <w:color w:val="auto"/>
                <w:sz w:val="24"/>
              </w:rPr>
            </w:pPr>
          </w:p>
        </w:tc>
        <w:tc>
          <w:tcPr>
            <w:tcW w:w="2268" w:type="dxa"/>
            <w:vAlign w:val="center"/>
          </w:tcPr>
          <w:p w14:paraId="34216C99">
            <w:pPr>
              <w:snapToGrid w:val="0"/>
              <w:spacing w:line="360" w:lineRule="auto"/>
              <w:jc w:val="center"/>
              <w:rPr>
                <w:rFonts w:ascii="宋体" w:hAnsi="宋体" w:cs="宋体"/>
                <w:color w:val="auto"/>
                <w:sz w:val="24"/>
              </w:rPr>
            </w:pPr>
          </w:p>
        </w:tc>
        <w:tc>
          <w:tcPr>
            <w:tcW w:w="2410" w:type="dxa"/>
            <w:vAlign w:val="center"/>
          </w:tcPr>
          <w:p w14:paraId="71CAF8AF">
            <w:pPr>
              <w:snapToGrid w:val="0"/>
              <w:spacing w:line="360" w:lineRule="auto"/>
              <w:jc w:val="center"/>
              <w:rPr>
                <w:rFonts w:ascii="宋体" w:hAnsi="宋体" w:cs="宋体"/>
                <w:color w:val="auto"/>
                <w:sz w:val="24"/>
              </w:rPr>
            </w:pPr>
          </w:p>
        </w:tc>
        <w:tc>
          <w:tcPr>
            <w:tcW w:w="2268" w:type="dxa"/>
            <w:vAlign w:val="center"/>
          </w:tcPr>
          <w:p w14:paraId="3E36E746">
            <w:pPr>
              <w:snapToGrid w:val="0"/>
              <w:spacing w:line="360" w:lineRule="auto"/>
              <w:jc w:val="center"/>
              <w:rPr>
                <w:rFonts w:ascii="宋体" w:hAnsi="宋体" w:cs="宋体"/>
                <w:color w:val="auto"/>
                <w:sz w:val="24"/>
              </w:rPr>
            </w:pPr>
          </w:p>
        </w:tc>
        <w:tc>
          <w:tcPr>
            <w:tcW w:w="2126" w:type="dxa"/>
            <w:vAlign w:val="center"/>
          </w:tcPr>
          <w:p w14:paraId="45AC196C">
            <w:pPr>
              <w:spacing w:line="360" w:lineRule="auto"/>
              <w:jc w:val="center"/>
              <w:rPr>
                <w:rFonts w:ascii="宋体" w:hAnsi="宋体" w:cs="宋体"/>
                <w:color w:val="auto"/>
                <w:sz w:val="24"/>
              </w:rPr>
            </w:pPr>
          </w:p>
        </w:tc>
        <w:tc>
          <w:tcPr>
            <w:tcW w:w="2127" w:type="dxa"/>
          </w:tcPr>
          <w:p w14:paraId="3AD82715">
            <w:pPr>
              <w:spacing w:line="360" w:lineRule="auto"/>
              <w:jc w:val="center"/>
              <w:rPr>
                <w:rFonts w:ascii="宋体" w:hAnsi="宋体" w:cs="宋体"/>
                <w:color w:val="auto"/>
                <w:sz w:val="24"/>
              </w:rPr>
            </w:pPr>
          </w:p>
        </w:tc>
        <w:tc>
          <w:tcPr>
            <w:tcW w:w="2126" w:type="dxa"/>
            <w:vAlign w:val="center"/>
          </w:tcPr>
          <w:p w14:paraId="11001891">
            <w:pPr>
              <w:spacing w:line="360" w:lineRule="auto"/>
              <w:jc w:val="center"/>
              <w:rPr>
                <w:rFonts w:ascii="宋体" w:hAnsi="宋体" w:cs="宋体"/>
                <w:color w:val="auto"/>
                <w:sz w:val="24"/>
              </w:rPr>
            </w:pPr>
          </w:p>
        </w:tc>
      </w:tr>
      <w:tr w14:paraId="2DF6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4F6953">
            <w:pPr>
              <w:spacing w:line="360" w:lineRule="auto"/>
              <w:jc w:val="center"/>
              <w:rPr>
                <w:rFonts w:ascii="宋体" w:hAnsi="宋体" w:cs="宋体"/>
                <w:color w:val="auto"/>
                <w:sz w:val="24"/>
              </w:rPr>
            </w:pPr>
          </w:p>
        </w:tc>
        <w:tc>
          <w:tcPr>
            <w:tcW w:w="992" w:type="dxa"/>
            <w:vAlign w:val="center"/>
          </w:tcPr>
          <w:p w14:paraId="77D63B8B">
            <w:pPr>
              <w:snapToGrid w:val="0"/>
              <w:spacing w:line="360" w:lineRule="auto"/>
              <w:jc w:val="center"/>
              <w:rPr>
                <w:rFonts w:ascii="宋体" w:hAnsi="宋体" w:cs="宋体"/>
                <w:color w:val="auto"/>
                <w:sz w:val="24"/>
              </w:rPr>
            </w:pPr>
          </w:p>
        </w:tc>
        <w:tc>
          <w:tcPr>
            <w:tcW w:w="2268" w:type="dxa"/>
            <w:vAlign w:val="center"/>
          </w:tcPr>
          <w:p w14:paraId="637AA284">
            <w:pPr>
              <w:snapToGrid w:val="0"/>
              <w:spacing w:line="360" w:lineRule="auto"/>
              <w:jc w:val="center"/>
              <w:rPr>
                <w:rFonts w:ascii="宋体" w:hAnsi="宋体" w:cs="宋体"/>
                <w:color w:val="auto"/>
                <w:sz w:val="24"/>
              </w:rPr>
            </w:pPr>
          </w:p>
        </w:tc>
        <w:tc>
          <w:tcPr>
            <w:tcW w:w="2410" w:type="dxa"/>
            <w:vAlign w:val="center"/>
          </w:tcPr>
          <w:p w14:paraId="589D4C02">
            <w:pPr>
              <w:snapToGrid w:val="0"/>
              <w:spacing w:line="360" w:lineRule="auto"/>
              <w:jc w:val="center"/>
              <w:rPr>
                <w:rFonts w:ascii="宋体" w:hAnsi="宋体" w:cs="宋体"/>
                <w:color w:val="auto"/>
                <w:sz w:val="24"/>
              </w:rPr>
            </w:pPr>
          </w:p>
        </w:tc>
        <w:tc>
          <w:tcPr>
            <w:tcW w:w="2268" w:type="dxa"/>
            <w:vAlign w:val="center"/>
          </w:tcPr>
          <w:p w14:paraId="3CD0731D">
            <w:pPr>
              <w:snapToGrid w:val="0"/>
              <w:spacing w:line="360" w:lineRule="auto"/>
              <w:jc w:val="center"/>
              <w:rPr>
                <w:rFonts w:ascii="宋体" w:hAnsi="宋体" w:cs="宋体"/>
                <w:color w:val="auto"/>
                <w:sz w:val="24"/>
              </w:rPr>
            </w:pPr>
          </w:p>
        </w:tc>
        <w:tc>
          <w:tcPr>
            <w:tcW w:w="2126" w:type="dxa"/>
            <w:vAlign w:val="center"/>
          </w:tcPr>
          <w:p w14:paraId="648023E9">
            <w:pPr>
              <w:spacing w:line="360" w:lineRule="auto"/>
              <w:jc w:val="center"/>
              <w:rPr>
                <w:rFonts w:ascii="宋体" w:hAnsi="宋体" w:cs="宋体"/>
                <w:color w:val="auto"/>
                <w:sz w:val="24"/>
              </w:rPr>
            </w:pPr>
          </w:p>
        </w:tc>
        <w:tc>
          <w:tcPr>
            <w:tcW w:w="2127" w:type="dxa"/>
          </w:tcPr>
          <w:p w14:paraId="50866FEF">
            <w:pPr>
              <w:spacing w:line="360" w:lineRule="auto"/>
              <w:jc w:val="center"/>
              <w:rPr>
                <w:rFonts w:ascii="宋体" w:hAnsi="宋体" w:cs="宋体"/>
                <w:color w:val="auto"/>
                <w:sz w:val="24"/>
              </w:rPr>
            </w:pPr>
          </w:p>
        </w:tc>
        <w:tc>
          <w:tcPr>
            <w:tcW w:w="2126" w:type="dxa"/>
            <w:vAlign w:val="center"/>
          </w:tcPr>
          <w:p w14:paraId="3283278B">
            <w:pPr>
              <w:spacing w:line="360" w:lineRule="auto"/>
              <w:jc w:val="center"/>
              <w:rPr>
                <w:rFonts w:ascii="宋体" w:hAnsi="宋体" w:cs="宋体"/>
                <w:color w:val="auto"/>
                <w:sz w:val="24"/>
              </w:rPr>
            </w:pPr>
          </w:p>
        </w:tc>
      </w:tr>
      <w:tr w14:paraId="1631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DDA4359">
            <w:pPr>
              <w:spacing w:line="360" w:lineRule="auto"/>
              <w:jc w:val="center"/>
              <w:rPr>
                <w:rFonts w:ascii="宋体" w:hAnsi="宋体" w:cs="宋体"/>
                <w:color w:val="auto"/>
                <w:sz w:val="24"/>
              </w:rPr>
            </w:pPr>
          </w:p>
        </w:tc>
        <w:tc>
          <w:tcPr>
            <w:tcW w:w="992" w:type="dxa"/>
            <w:vAlign w:val="center"/>
          </w:tcPr>
          <w:p w14:paraId="7EB78DD4">
            <w:pPr>
              <w:snapToGrid w:val="0"/>
              <w:spacing w:line="360" w:lineRule="auto"/>
              <w:jc w:val="center"/>
              <w:rPr>
                <w:rFonts w:ascii="宋体" w:hAnsi="宋体" w:cs="宋体"/>
                <w:color w:val="auto"/>
                <w:sz w:val="24"/>
              </w:rPr>
            </w:pPr>
          </w:p>
        </w:tc>
        <w:tc>
          <w:tcPr>
            <w:tcW w:w="2268" w:type="dxa"/>
            <w:vAlign w:val="center"/>
          </w:tcPr>
          <w:p w14:paraId="5E6F09E4">
            <w:pPr>
              <w:snapToGrid w:val="0"/>
              <w:spacing w:line="360" w:lineRule="auto"/>
              <w:jc w:val="center"/>
              <w:rPr>
                <w:rFonts w:ascii="宋体" w:hAnsi="宋体" w:cs="宋体"/>
                <w:color w:val="auto"/>
                <w:sz w:val="24"/>
              </w:rPr>
            </w:pPr>
          </w:p>
        </w:tc>
        <w:tc>
          <w:tcPr>
            <w:tcW w:w="2410" w:type="dxa"/>
            <w:vAlign w:val="center"/>
          </w:tcPr>
          <w:p w14:paraId="0A7B4124">
            <w:pPr>
              <w:snapToGrid w:val="0"/>
              <w:spacing w:line="360" w:lineRule="auto"/>
              <w:jc w:val="center"/>
              <w:rPr>
                <w:rFonts w:ascii="宋体" w:hAnsi="宋体" w:cs="宋体"/>
                <w:color w:val="auto"/>
                <w:sz w:val="24"/>
              </w:rPr>
            </w:pPr>
          </w:p>
        </w:tc>
        <w:tc>
          <w:tcPr>
            <w:tcW w:w="2268" w:type="dxa"/>
            <w:vAlign w:val="center"/>
          </w:tcPr>
          <w:p w14:paraId="71C9D6D5">
            <w:pPr>
              <w:snapToGrid w:val="0"/>
              <w:spacing w:line="360" w:lineRule="auto"/>
              <w:jc w:val="center"/>
              <w:rPr>
                <w:rFonts w:ascii="宋体" w:hAnsi="宋体" w:cs="宋体"/>
                <w:color w:val="auto"/>
                <w:sz w:val="24"/>
              </w:rPr>
            </w:pPr>
          </w:p>
        </w:tc>
        <w:tc>
          <w:tcPr>
            <w:tcW w:w="2126" w:type="dxa"/>
            <w:vAlign w:val="center"/>
          </w:tcPr>
          <w:p w14:paraId="1ADBFEE6">
            <w:pPr>
              <w:spacing w:line="360" w:lineRule="auto"/>
              <w:jc w:val="center"/>
              <w:rPr>
                <w:rFonts w:ascii="宋体" w:hAnsi="宋体" w:cs="宋体"/>
                <w:color w:val="auto"/>
                <w:sz w:val="24"/>
              </w:rPr>
            </w:pPr>
          </w:p>
        </w:tc>
        <w:tc>
          <w:tcPr>
            <w:tcW w:w="2127" w:type="dxa"/>
          </w:tcPr>
          <w:p w14:paraId="75D9CCA9">
            <w:pPr>
              <w:spacing w:line="360" w:lineRule="auto"/>
              <w:jc w:val="center"/>
              <w:rPr>
                <w:rFonts w:ascii="宋体" w:hAnsi="宋体" w:cs="宋体"/>
                <w:color w:val="auto"/>
                <w:sz w:val="24"/>
              </w:rPr>
            </w:pPr>
          </w:p>
        </w:tc>
        <w:tc>
          <w:tcPr>
            <w:tcW w:w="2126" w:type="dxa"/>
            <w:vAlign w:val="center"/>
          </w:tcPr>
          <w:p w14:paraId="1CE0A968">
            <w:pPr>
              <w:spacing w:line="360" w:lineRule="auto"/>
              <w:jc w:val="center"/>
              <w:rPr>
                <w:rFonts w:ascii="宋体" w:hAnsi="宋体" w:cs="宋体"/>
                <w:color w:val="auto"/>
                <w:sz w:val="24"/>
              </w:rPr>
            </w:pPr>
          </w:p>
        </w:tc>
      </w:tr>
      <w:tr w14:paraId="2D61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2B2D042">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14:paraId="6D2EF909">
            <w:pPr>
              <w:spacing w:line="360" w:lineRule="auto"/>
              <w:jc w:val="center"/>
              <w:rPr>
                <w:rFonts w:ascii="宋体" w:hAnsi="宋体" w:cs="宋体"/>
                <w:color w:val="auto"/>
                <w:sz w:val="24"/>
              </w:rPr>
            </w:pPr>
          </w:p>
        </w:tc>
      </w:tr>
      <w:tr w14:paraId="45C8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016422E">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14:paraId="68E989A7">
            <w:pPr>
              <w:spacing w:line="360" w:lineRule="auto"/>
              <w:jc w:val="center"/>
              <w:rPr>
                <w:rFonts w:ascii="宋体" w:hAnsi="宋体" w:cs="宋体"/>
                <w:color w:val="auto"/>
                <w:sz w:val="24"/>
              </w:rPr>
            </w:pPr>
          </w:p>
        </w:tc>
      </w:tr>
    </w:tbl>
    <w:p w14:paraId="582C0D14">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7C2B5DB0">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686F87F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4B2A4F4">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CC15981">
      <w:pPr>
        <w:rPr>
          <w:rFonts w:hint="eastAsia" w:ascii="宋体" w:hAnsi="宋体" w:eastAsia="宋体" w:cs="宋体"/>
          <w:color w:val="auto"/>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07F4B04A">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562B483B">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02855ABE">
      <w:pPr>
        <w:pStyle w:val="690"/>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rPr>
      </w:pPr>
    </w:p>
    <w:p w14:paraId="5BADF9A7">
      <w:pPr>
        <w:pStyle w:val="690"/>
        <w:keepNext w:val="0"/>
        <w:pageBreakBefore w:val="0"/>
        <w:tabs>
          <w:tab w:val="clear" w:pos="720"/>
        </w:tabs>
        <w:snapToGrid w:val="0"/>
        <w:spacing w:before="120" w:after="120"/>
        <w:jc w:val="center"/>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99" w:name="_Hlk101259491"/>
      <w:r>
        <w:rPr>
          <w:rFonts w:hint="eastAsia" w:ascii="宋体" w:hAnsi="宋体" w:eastAsia="宋体" w:cs="宋体"/>
          <w:color w:val="auto"/>
          <w:sz w:val="32"/>
          <w:szCs w:val="32"/>
        </w:rPr>
        <w:t>（如果有）</w:t>
      </w:r>
      <w:bookmarkEnd w:id="499"/>
    </w:p>
    <w:p w14:paraId="4EAE8BC5">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037E3074">
      <w:pPr>
        <w:rPr>
          <w:color w:val="auto"/>
        </w:rPr>
      </w:pPr>
      <w:r>
        <w:rPr>
          <w:rFonts w:hint="eastAsia" w:ascii="宋体" w:hAnsi="宋体" w:cs="宋体"/>
          <w:b/>
          <w:color w:val="auto"/>
          <w:sz w:val="24"/>
        </w:rPr>
        <w:br w:type="page"/>
      </w:r>
    </w:p>
    <w:p w14:paraId="2DBEE8CE">
      <w:pPr>
        <w:pStyle w:val="3"/>
        <w:keepNext w:val="0"/>
        <w:keepLines w:val="0"/>
        <w:pageBreakBefore/>
        <w:widowControl/>
        <w:spacing w:before="100" w:beforeAutospacing="1" w:after="100" w:afterAutospacing="1" w:line="360" w:lineRule="auto"/>
        <w:jc w:val="center"/>
        <w:rPr>
          <w:rFonts w:ascii="宋体" w:hAnsi="宋体" w:cs="宋体"/>
          <w:color w:val="auto"/>
          <w:sz w:val="32"/>
          <w:szCs w:val="32"/>
        </w:rPr>
      </w:pPr>
      <w:r>
        <w:rPr>
          <w:rFonts w:hint="eastAsia" w:ascii="宋体" w:hAnsi="宋体" w:cs="宋体"/>
          <w:color w:val="auto"/>
          <w:sz w:val="32"/>
          <w:szCs w:val="32"/>
        </w:rPr>
        <w:t>附件</w:t>
      </w:r>
    </w:p>
    <w:p w14:paraId="0562F20A">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附件1：</w:t>
      </w:r>
    </w:p>
    <w:p w14:paraId="20293E7C">
      <w:pPr>
        <w:spacing w:line="360" w:lineRule="auto"/>
        <w:jc w:val="center"/>
        <w:rPr>
          <w:rFonts w:ascii="宋体" w:hAnsi="宋体" w:cs="宋体"/>
          <w:b/>
          <w:color w:val="auto"/>
          <w:spacing w:val="6"/>
          <w:sz w:val="32"/>
          <w:szCs w:val="32"/>
        </w:rPr>
      </w:pPr>
      <w:bookmarkStart w:id="500" w:name="OLE_LINK13"/>
      <w:bookmarkStart w:id="501" w:name="OLE_LINK14"/>
      <w:r>
        <w:rPr>
          <w:rFonts w:hint="eastAsia" w:ascii="宋体" w:hAnsi="宋体" w:cs="宋体"/>
          <w:b/>
          <w:color w:val="auto"/>
          <w:spacing w:val="6"/>
          <w:sz w:val="32"/>
          <w:szCs w:val="32"/>
        </w:rPr>
        <w:t>残疾人福利性单位声明函</w:t>
      </w:r>
    </w:p>
    <w:bookmarkEnd w:id="500"/>
    <w:bookmarkEnd w:id="501"/>
    <w:p w14:paraId="48BFCD5A">
      <w:pPr>
        <w:spacing w:line="360" w:lineRule="auto"/>
        <w:rPr>
          <w:rFonts w:ascii="宋体" w:hAnsi="宋体" w:cs="宋体"/>
          <w:b/>
          <w:color w:val="auto"/>
          <w:spacing w:val="6"/>
          <w:sz w:val="30"/>
          <w:szCs w:val="30"/>
        </w:rPr>
      </w:pPr>
    </w:p>
    <w:p w14:paraId="7CADC75B">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2CCD75C5">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1C209276">
      <w:pPr>
        <w:spacing w:line="360" w:lineRule="auto"/>
        <w:ind w:firstLine="480" w:firstLineChars="200"/>
        <w:rPr>
          <w:rFonts w:ascii="宋体" w:hAnsi="宋体" w:cs="宋体"/>
          <w:color w:val="auto"/>
          <w:sz w:val="24"/>
        </w:rPr>
      </w:pPr>
    </w:p>
    <w:p w14:paraId="67739308">
      <w:pPr>
        <w:spacing w:line="360" w:lineRule="auto"/>
        <w:ind w:firstLine="480" w:firstLineChars="200"/>
        <w:rPr>
          <w:rFonts w:ascii="宋体" w:hAnsi="宋体" w:cs="宋体"/>
          <w:color w:val="auto"/>
          <w:sz w:val="24"/>
        </w:rPr>
      </w:pPr>
    </w:p>
    <w:p w14:paraId="5B4154E7">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40DF7BFF">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32027D60">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3C809CDA">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219F62D1">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24A9FC50">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E997AEC">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2C4292D4">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6ED3D1C">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374E8FFB">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99F83C5">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12D6056F">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25D3978E">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ABEEE4C">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3B2DA7B">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76652AF5">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617C0ABE">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368D883C">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422D12A4">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ED4EEED">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08DD8EAD">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0DBDC681">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BFBADDB">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256F3682">
      <w:pPr>
        <w:snapToGrid w:val="0"/>
        <w:spacing w:line="360" w:lineRule="auto"/>
        <w:rPr>
          <w:rFonts w:ascii="宋体" w:hAnsi="宋体" w:cs="宋体"/>
          <w:color w:val="auto"/>
          <w:sz w:val="24"/>
        </w:rPr>
      </w:pPr>
      <w:r>
        <w:rPr>
          <w:rFonts w:hint="eastAsia" w:ascii="宋体" w:hAnsi="宋体" w:cs="宋体"/>
          <w:color w:val="auto"/>
          <w:sz w:val="24"/>
        </w:rPr>
        <w:t>……</w:t>
      </w:r>
    </w:p>
    <w:p w14:paraId="0A0C062C">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F631536">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2880C0D2">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6DA3324D">
      <w:pPr>
        <w:spacing w:line="360" w:lineRule="auto"/>
        <w:rPr>
          <w:rFonts w:ascii="宋体" w:hAnsi="宋体" w:cs="宋体"/>
          <w:color w:val="auto"/>
          <w:sz w:val="24"/>
        </w:rPr>
      </w:pPr>
      <w:r>
        <w:rPr>
          <w:rFonts w:hint="eastAsia" w:ascii="宋体" w:hAnsi="宋体" w:cs="宋体"/>
          <w:color w:val="auto"/>
          <w:sz w:val="24"/>
        </w:rPr>
        <w:t xml:space="preserve">日期：    </w:t>
      </w:r>
    </w:p>
    <w:p w14:paraId="796AC38E">
      <w:pPr>
        <w:spacing w:line="360" w:lineRule="auto"/>
        <w:rPr>
          <w:rFonts w:ascii="宋体" w:hAnsi="宋体" w:cs="宋体"/>
          <w:b/>
          <w:color w:val="auto"/>
          <w:sz w:val="24"/>
        </w:rPr>
      </w:pPr>
      <w:r>
        <w:rPr>
          <w:rFonts w:hint="eastAsia" w:ascii="宋体" w:hAnsi="宋体" w:cs="宋体"/>
          <w:b/>
          <w:color w:val="auto"/>
          <w:sz w:val="24"/>
        </w:rPr>
        <w:t>质疑函制作说明：</w:t>
      </w:r>
    </w:p>
    <w:p w14:paraId="474F1BB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D69316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4614FD0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3DD957F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018C6B4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0E06761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36D7426D">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0843630C">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9FBF1B1">
      <w:pPr>
        <w:spacing w:line="360" w:lineRule="auto"/>
        <w:jc w:val="center"/>
        <w:rPr>
          <w:rFonts w:ascii="宋体" w:hAnsi="宋体" w:cs="宋体"/>
          <w:b/>
          <w:color w:val="auto"/>
          <w:sz w:val="24"/>
        </w:rPr>
      </w:pPr>
    </w:p>
    <w:p w14:paraId="6DD70142">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77E0984E">
      <w:pPr>
        <w:spacing w:line="360" w:lineRule="auto"/>
        <w:rPr>
          <w:rFonts w:ascii="宋体" w:hAnsi="宋体" w:cs="宋体"/>
          <w:color w:val="auto"/>
          <w:sz w:val="24"/>
        </w:rPr>
      </w:pPr>
      <w:r>
        <w:rPr>
          <w:rFonts w:hint="eastAsia" w:ascii="宋体" w:hAnsi="宋体" w:cs="宋体"/>
          <w:color w:val="auto"/>
          <w:sz w:val="24"/>
        </w:rPr>
        <w:t>一、投诉相关主体基本情况</w:t>
      </w:r>
    </w:p>
    <w:p w14:paraId="1FF12F55">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7A02CAC6">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6AB04B9">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D9EFCE8">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73B0258A">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044783B">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0E5426AD">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814969A">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12F6D94">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32BF13D">
      <w:pPr>
        <w:spacing w:line="360" w:lineRule="auto"/>
        <w:rPr>
          <w:rFonts w:ascii="宋体" w:hAnsi="宋体" w:cs="宋体"/>
          <w:color w:val="auto"/>
          <w:sz w:val="24"/>
        </w:rPr>
      </w:pPr>
      <w:r>
        <w:rPr>
          <w:rFonts w:hint="eastAsia" w:ascii="宋体" w:hAnsi="宋体" w:cs="宋体"/>
          <w:color w:val="auto"/>
          <w:sz w:val="24"/>
        </w:rPr>
        <w:t>被投诉人2</w:t>
      </w:r>
    </w:p>
    <w:p w14:paraId="7AE162E0">
      <w:pPr>
        <w:spacing w:line="360" w:lineRule="auto"/>
        <w:rPr>
          <w:rFonts w:ascii="宋体" w:hAnsi="宋体" w:cs="宋体"/>
          <w:color w:val="auto"/>
          <w:sz w:val="24"/>
          <w:u w:val="dotted"/>
        </w:rPr>
      </w:pPr>
      <w:r>
        <w:rPr>
          <w:rFonts w:hint="eastAsia" w:ascii="宋体" w:hAnsi="宋体" w:cs="宋体"/>
          <w:color w:val="auto"/>
          <w:sz w:val="24"/>
        </w:rPr>
        <w:t>……</w:t>
      </w:r>
    </w:p>
    <w:p w14:paraId="715CB56B">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67C868D">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6C0DE37">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789B3C9">
      <w:pPr>
        <w:spacing w:line="360" w:lineRule="auto"/>
        <w:rPr>
          <w:rFonts w:ascii="宋体" w:hAnsi="宋体" w:cs="宋体"/>
          <w:color w:val="auto"/>
          <w:sz w:val="24"/>
        </w:rPr>
      </w:pPr>
      <w:r>
        <w:rPr>
          <w:rFonts w:hint="eastAsia" w:ascii="宋体" w:hAnsi="宋体" w:cs="宋体"/>
          <w:color w:val="auto"/>
          <w:sz w:val="24"/>
        </w:rPr>
        <w:t>二、投诉项目基本情况</w:t>
      </w:r>
    </w:p>
    <w:p w14:paraId="431B1D46">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490F534E">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59EA8A69">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D7628D4">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117BA94A">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960A42B">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5C8D698F">
      <w:pPr>
        <w:spacing w:line="360" w:lineRule="auto"/>
        <w:rPr>
          <w:rFonts w:ascii="宋体" w:hAnsi="宋体" w:cs="宋体"/>
          <w:color w:val="auto"/>
          <w:sz w:val="24"/>
        </w:rPr>
      </w:pPr>
      <w:r>
        <w:rPr>
          <w:rFonts w:hint="eastAsia" w:ascii="宋体" w:hAnsi="宋体" w:cs="宋体"/>
          <w:color w:val="auto"/>
          <w:sz w:val="24"/>
        </w:rPr>
        <w:t>三、质疑基本情况</w:t>
      </w:r>
    </w:p>
    <w:p w14:paraId="1FB601BB">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7417AF0F">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4375103E">
      <w:pPr>
        <w:spacing w:line="360" w:lineRule="auto"/>
        <w:rPr>
          <w:rFonts w:ascii="宋体" w:hAnsi="宋体" w:cs="宋体"/>
          <w:color w:val="auto"/>
          <w:sz w:val="24"/>
        </w:rPr>
      </w:pPr>
      <w:r>
        <w:rPr>
          <w:rFonts w:hint="eastAsia" w:ascii="宋体" w:hAnsi="宋体" w:cs="宋体"/>
          <w:color w:val="auto"/>
          <w:sz w:val="24"/>
        </w:rPr>
        <w:t>四、投诉事项具体内容</w:t>
      </w:r>
    </w:p>
    <w:p w14:paraId="67B91874">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6DE72100">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5BEFD1C">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A9CE630">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71123DC5">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1621050">
      <w:pPr>
        <w:spacing w:line="360" w:lineRule="auto"/>
        <w:rPr>
          <w:rFonts w:ascii="宋体" w:hAnsi="宋体" w:cs="宋体"/>
          <w:color w:val="auto"/>
          <w:sz w:val="24"/>
          <w:u w:val="dotted"/>
        </w:rPr>
      </w:pPr>
      <w:r>
        <w:rPr>
          <w:rFonts w:hint="eastAsia" w:ascii="宋体" w:hAnsi="宋体" w:cs="宋体"/>
          <w:color w:val="auto"/>
          <w:sz w:val="24"/>
        </w:rPr>
        <w:t>投诉事项2</w:t>
      </w:r>
      <w:r>
        <w:rPr>
          <w:rFonts w:hint="eastAsia" w:ascii="宋体" w:hAnsi="宋体" w:cs="宋体"/>
          <w:color w:val="auto"/>
          <w:sz w:val="24"/>
          <w:lang w:eastAsia="zh-CN"/>
        </w:rPr>
        <w:t>：</w:t>
      </w:r>
      <w:r>
        <w:rPr>
          <w:rFonts w:hint="eastAsia" w:ascii="宋体" w:hAnsi="宋体" w:cs="宋体"/>
          <w:color w:val="auto"/>
          <w:sz w:val="24"/>
        </w:rPr>
        <w:t>……</w:t>
      </w:r>
    </w:p>
    <w:p w14:paraId="244FFF94">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518B1EBA">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879F400">
      <w:pPr>
        <w:spacing w:line="360" w:lineRule="auto"/>
        <w:rPr>
          <w:rFonts w:ascii="宋体" w:hAnsi="宋体" w:cs="宋体"/>
          <w:color w:val="auto"/>
          <w:sz w:val="24"/>
          <w:u w:val="single"/>
        </w:rPr>
      </w:pPr>
      <w:r>
        <w:rPr>
          <w:rFonts w:hint="eastAsia" w:ascii="宋体" w:hAnsi="宋体" w:cs="宋体"/>
          <w:color w:val="auto"/>
          <w:sz w:val="24"/>
        </w:rPr>
        <w:t xml:space="preserve">                                                                                                    </w:t>
      </w:r>
    </w:p>
    <w:p w14:paraId="1EF3B30F">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00C42CEC">
      <w:pPr>
        <w:spacing w:line="360" w:lineRule="auto"/>
        <w:rPr>
          <w:rFonts w:ascii="宋体" w:hAnsi="宋体" w:cs="宋体"/>
          <w:b/>
          <w:color w:val="auto"/>
          <w:sz w:val="24"/>
        </w:rPr>
      </w:pPr>
      <w:r>
        <w:rPr>
          <w:rFonts w:hint="eastAsia" w:ascii="宋体" w:hAnsi="宋体" w:cs="宋体"/>
          <w:color w:val="auto"/>
          <w:sz w:val="24"/>
        </w:rPr>
        <w:t xml:space="preserve">日期：    </w:t>
      </w:r>
    </w:p>
    <w:p w14:paraId="564946A9">
      <w:pPr>
        <w:spacing w:line="360" w:lineRule="auto"/>
        <w:rPr>
          <w:rFonts w:ascii="宋体" w:hAnsi="宋体" w:cs="宋体"/>
          <w:b/>
          <w:color w:val="auto"/>
          <w:sz w:val="24"/>
        </w:rPr>
      </w:pPr>
      <w:r>
        <w:rPr>
          <w:rFonts w:hint="eastAsia" w:ascii="宋体" w:hAnsi="宋体" w:cs="宋体"/>
          <w:b/>
          <w:color w:val="auto"/>
          <w:sz w:val="24"/>
        </w:rPr>
        <w:t>投诉书制作说明：</w:t>
      </w:r>
    </w:p>
    <w:p w14:paraId="41AFC02C">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4F2696F2">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61C90E8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5F73234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1A915E9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272D5D3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067B2673">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6B737A50">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4179D241">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1D822273">
      <w:pPr>
        <w:spacing w:line="360" w:lineRule="auto"/>
        <w:rPr>
          <w:rFonts w:ascii="宋体" w:hAnsi="宋体" w:cs="宋体"/>
          <w:color w:val="auto"/>
          <w:sz w:val="24"/>
          <w:u w:val="single"/>
        </w:rPr>
      </w:pPr>
    </w:p>
    <w:p w14:paraId="4B6AEEA2">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50A9B6EC">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58B917D9">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235C069B">
      <w:pPr>
        <w:spacing w:line="360" w:lineRule="auto"/>
        <w:ind w:firstLine="494"/>
        <w:rPr>
          <w:rFonts w:ascii="宋体" w:hAnsi="宋体" w:cs="宋体"/>
          <w:color w:val="auto"/>
          <w:sz w:val="24"/>
        </w:rPr>
      </w:pPr>
    </w:p>
    <w:p w14:paraId="018B55A3">
      <w:pPr>
        <w:spacing w:line="360" w:lineRule="auto"/>
        <w:ind w:firstLine="494"/>
        <w:rPr>
          <w:rFonts w:ascii="宋体" w:hAnsi="宋体" w:cs="宋体"/>
          <w:color w:val="auto"/>
          <w:sz w:val="24"/>
        </w:rPr>
      </w:pPr>
    </w:p>
    <w:p w14:paraId="30C18E2F">
      <w:pPr>
        <w:spacing w:line="360" w:lineRule="auto"/>
        <w:rPr>
          <w:rFonts w:ascii="宋体" w:hAnsi="宋体" w:cs="宋体"/>
          <w:color w:val="auto"/>
          <w:sz w:val="24"/>
        </w:rPr>
      </w:pPr>
    </w:p>
    <w:p w14:paraId="043D41DD">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5E1EED35">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599383CE">
      <w:pPr>
        <w:rPr>
          <w:rFonts w:ascii="宋体" w:hAnsi="宋体" w:cs="宋体"/>
          <w:color w:val="auto"/>
          <w:sz w:val="24"/>
        </w:rPr>
      </w:pPr>
      <w:r>
        <w:rPr>
          <w:rFonts w:hint="eastAsia" w:ascii="宋体" w:hAnsi="宋体" w:cs="宋体"/>
          <w:b/>
          <w:bCs/>
          <w:color w:val="auto"/>
          <w:sz w:val="24"/>
        </w:rPr>
        <w:t>附：</w:t>
      </w:r>
    </w:p>
    <w:p w14:paraId="003D9128">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2D8963D8">
      <w:pPr>
        <w:autoSpaceDE w:val="0"/>
        <w:autoSpaceDN w:val="0"/>
        <w:jc w:val="center"/>
        <w:rPr>
          <w:rFonts w:ascii="宋体" w:hAnsi="宋体" w:cs="宋体"/>
          <w:b/>
          <w:color w:val="auto"/>
          <w:spacing w:val="6"/>
          <w:sz w:val="32"/>
          <w:szCs w:val="32"/>
        </w:rPr>
      </w:pPr>
    </w:p>
    <w:p w14:paraId="03194F21">
      <w:pPr>
        <w:autoSpaceDE w:val="0"/>
        <w:autoSpaceDN w:val="0"/>
        <w:jc w:val="center"/>
        <w:rPr>
          <w:rFonts w:ascii="宋体" w:hAnsi="宋体" w:cs="宋体"/>
          <w:b/>
          <w:color w:val="auto"/>
          <w:spacing w:val="6"/>
          <w:sz w:val="32"/>
          <w:szCs w:val="32"/>
        </w:rPr>
      </w:pPr>
    </w:p>
    <w:p w14:paraId="0BDB2E10">
      <w:pPr>
        <w:autoSpaceDE w:val="0"/>
        <w:autoSpaceDN w:val="0"/>
        <w:jc w:val="center"/>
        <w:rPr>
          <w:rFonts w:ascii="宋体" w:hAnsi="宋体" w:cs="宋体"/>
          <w:b/>
          <w:color w:val="auto"/>
          <w:spacing w:val="6"/>
          <w:sz w:val="32"/>
          <w:szCs w:val="32"/>
        </w:rPr>
      </w:pPr>
    </w:p>
    <w:p w14:paraId="65611A4A">
      <w:pPr>
        <w:autoSpaceDE w:val="0"/>
        <w:autoSpaceDN w:val="0"/>
        <w:jc w:val="center"/>
        <w:rPr>
          <w:rFonts w:ascii="宋体" w:hAnsi="宋体" w:cs="宋体"/>
          <w:b/>
          <w:color w:val="auto"/>
          <w:spacing w:val="6"/>
          <w:sz w:val="32"/>
          <w:szCs w:val="32"/>
        </w:rPr>
      </w:pPr>
    </w:p>
    <w:p w14:paraId="12B58B50">
      <w:pPr>
        <w:autoSpaceDE w:val="0"/>
        <w:autoSpaceDN w:val="0"/>
        <w:jc w:val="center"/>
        <w:rPr>
          <w:rFonts w:ascii="宋体" w:hAnsi="宋体" w:cs="宋体"/>
          <w:b/>
          <w:color w:val="auto"/>
          <w:spacing w:val="6"/>
          <w:sz w:val="32"/>
          <w:szCs w:val="32"/>
        </w:rPr>
      </w:pPr>
    </w:p>
    <w:p w14:paraId="38ECE824">
      <w:pPr>
        <w:autoSpaceDE w:val="0"/>
        <w:autoSpaceDN w:val="0"/>
        <w:jc w:val="center"/>
        <w:rPr>
          <w:rFonts w:ascii="宋体" w:hAnsi="宋体" w:cs="宋体"/>
          <w:b/>
          <w:color w:val="auto"/>
          <w:spacing w:val="6"/>
          <w:sz w:val="32"/>
          <w:szCs w:val="32"/>
        </w:rPr>
      </w:pPr>
    </w:p>
    <w:p w14:paraId="57E7749D">
      <w:pPr>
        <w:autoSpaceDE w:val="0"/>
        <w:autoSpaceDN w:val="0"/>
        <w:jc w:val="center"/>
        <w:rPr>
          <w:rFonts w:ascii="宋体" w:hAnsi="宋体" w:cs="宋体"/>
          <w:b/>
          <w:color w:val="auto"/>
          <w:spacing w:val="6"/>
          <w:sz w:val="32"/>
          <w:szCs w:val="32"/>
        </w:rPr>
      </w:pPr>
    </w:p>
    <w:p w14:paraId="1D40C014">
      <w:pPr>
        <w:autoSpaceDE w:val="0"/>
        <w:autoSpaceDN w:val="0"/>
        <w:jc w:val="center"/>
        <w:rPr>
          <w:rFonts w:ascii="宋体" w:hAnsi="宋体" w:cs="宋体"/>
          <w:b/>
          <w:color w:val="auto"/>
          <w:spacing w:val="6"/>
          <w:sz w:val="32"/>
          <w:szCs w:val="32"/>
        </w:rPr>
      </w:pPr>
    </w:p>
    <w:p w14:paraId="660E1CD3">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6565FE81">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6448A3C4">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38BDA40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20832FA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293019D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4040F01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56CC4E14">
      <w:pPr>
        <w:snapToGrid w:val="0"/>
        <w:spacing w:line="360" w:lineRule="auto"/>
        <w:ind w:firstLine="576"/>
        <w:rPr>
          <w:rFonts w:ascii="宋体" w:hAnsi="宋体" w:cs="宋体"/>
          <w:color w:val="auto"/>
          <w:kern w:val="0"/>
          <w:sz w:val="24"/>
          <w:lang w:val="zh-CN"/>
        </w:rPr>
      </w:pPr>
      <w:bookmarkStart w:id="502"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F57FFC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512018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02"/>
    <w:p w14:paraId="5215412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6EDD5467">
      <w:pPr>
        <w:snapToGrid w:val="0"/>
        <w:spacing w:line="360" w:lineRule="auto"/>
        <w:ind w:firstLine="576"/>
        <w:rPr>
          <w:rFonts w:ascii="宋体" w:hAnsi="宋体" w:cs="宋体"/>
          <w:b/>
          <w:color w:val="auto"/>
          <w:kern w:val="0"/>
          <w:sz w:val="24"/>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8A2E04A">
      <w:pPr>
        <w:snapToGrid w:val="0"/>
        <w:spacing w:line="360" w:lineRule="auto"/>
        <w:ind w:firstLine="576"/>
        <w:rPr>
          <w:rFonts w:ascii="宋体" w:hAnsi="宋体" w:cs="宋体"/>
          <w:color w:val="auto"/>
          <w:kern w:val="0"/>
          <w:sz w:val="24"/>
          <w:lang w:val="zh-CN"/>
        </w:rPr>
      </w:pPr>
      <w:sdt>
        <w:sdtPr>
          <w:rPr>
            <w:rFonts w:hint="eastAsia" w:ascii="宋体" w:hAnsi="宋体" w:cs="宋体"/>
            <w:color w:val="auto"/>
            <w:kern w:val="0"/>
            <w:sz w:val="24"/>
            <w:highlight w:val="none"/>
          </w:rPr>
          <w:id w:val="14746446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5D0D5BD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7A2D8D9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76B9AE7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094CC3F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1AD087F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38A294D7">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1B97BC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2611337">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F0F5643">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53BB6CD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C2C3116">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2A1418F8">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1C55BD3A">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2CBDBD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w:t>
      </w:r>
      <w:r>
        <w:rPr>
          <w:rFonts w:hint="eastAsia" w:ascii="宋体" w:hAnsi="宋体" w:cs="宋体"/>
          <w:color w:val="auto"/>
          <w:kern w:val="0"/>
          <w:sz w:val="24"/>
          <w:highlight w:val="none"/>
          <w:lang w:val="zh-CN"/>
        </w:rPr>
        <w:t>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99EB9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7EC75B19">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45B71CB0">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7247647F">
      <w:pPr>
        <w:pStyle w:val="4"/>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6069CAB">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35AFBC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p>
    <w:p w14:paraId="21147D29">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5195E2F">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0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03"/>
    </w:p>
    <w:p w14:paraId="4FA8FB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D086CA2">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235420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F17D9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418F9B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20AC84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FC6D58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DA46A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D0D86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4929DCA">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3CFB6A6D">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012F842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C4A0FC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E932E0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8FCE9C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9535390">
      <w:pPr>
        <w:rPr>
          <w:rFonts w:ascii="宋体" w:hAnsi="宋体" w:cs="宋体"/>
          <w:b/>
          <w:color w:val="auto"/>
          <w:sz w:val="36"/>
          <w:szCs w:val="20"/>
        </w:rPr>
      </w:pPr>
      <w:r>
        <w:rPr>
          <w:rFonts w:hint="eastAsia" w:ascii="宋体" w:hAnsi="宋体" w:cs="宋体"/>
          <w:b/>
          <w:color w:val="auto"/>
          <w:sz w:val="36"/>
          <w:szCs w:val="20"/>
        </w:rPr>
        <w:br w:type="page"/>
      </w:r>
    </w:p>
    <w:p w14:paraId="610F1635">
      <w:pPr>
        <w:spacing w:line="360" w:lineRule="auto"/>
        <w:jc w:val="left"/>
        <w:outlineLvl w:val="0"/>
        <w:rPr>
          <w:rFonts w:ascii="宋体" w:hAnsi="宋体" w:cs="宋体"/>
          <w:b/>
          <w:color w:val="auto"/>
          <w:sz w:val="32"/>
          <w:szCs w:val="18"/>
        </w:rPr>
      </w:pPr>
      <w:r>
        <w:rPr>
          <w:rFonts w:hint="eastAsia" w:ascii="宋体" w:hAnsi="宋体" w:cs="宋体"/>
          <w:b/>
          <w:color w:val="auto"/>
          <w:sz w:val="32"/>
          <w:szCs w:val="18"/>
        </w:rPr>
        <w:t>附件</w:t>
      </w:r>
      <w:r>
        <w:rPr>
          <w:rFonts w:ascii="宋体" w:hAnsi="宋体" w:cs="宋体"/>
          <w:b/>
          <w:color w:val="auto"/>
          <w:sz w:val="32"/>
          <w:szCs w:val="18"/>
        </w:rPr>
        <w:t>7</w:t>
      </w:r>
      <w:r>
        <w:rPr>
          <w:rFonts w:hint="eastAsia" w:ascii="宋体" w:hAnsi="宋体" w:cs="宋体"/>
          <w:b/>
          <w:color w:val="auto"/>
          <w:sz w:val="32"/>
          <w:szCs w:val="18"/>
        </w:rPr>
        <w:t>：中小企业声明函</w:t>
      </w:r>
    </w:p>
    <w:p w14:paraId="3E60D1BF">
      <w:pPr>
        <w:spacing w:line="360" w:lineRule="auto"/>
        <w:jc w:val="center"/>
        <w:rPr>
          <w:rFonts w:ascii="宋体" w:hAnsi="宋体" w:cs="宋体"/>
          <w:color w:val="auto"/>
          <w:sz w:val="24"/>
          <w:u w:val="single"/>
        </w:rPr>
      </w:pPr>
    </w:p>
    <w:p w14:paraId="659298E6">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2C98C84C">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433EEBB8">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6CF78291">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45F94B51">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05E8CB2C">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0A473B80">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45C3FF8A">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7717F457">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43480FE5">
      <w:pPr>
        <w:spacing w:line="360" w:lineRule="auto"/>
        <w:ind w:firstLine="310" w:firstLineChars="147"/>
        <w:jc w:val="left"/>
        <w:rPr>
          <w:rFonts w:ascii="宋体" w:hAnsi="宋体" w:cs="宋体"/>
          <w:color w:val="auto"/>
          <w:sz w:val="24"/>
        </w:rPr>
      </w:pPr>
      <w:r>
        <w:rPr>
          <w:rFonts w:hint="eastAsia" w:ascii="宋体" w:hAnsi="宋体" w:cs="宋体"/>
          <w:b/>
          <w:color w:val="auto"/>
          <w:szCs w:val="21"/>
        </w:rPr>
        <w:t>从业人员、营业收入、资产总额填报上一年度数据，无上一年度数据的新成立企业可不填报。</w:t>
      </w:r>
    </w:p>
    <w:p w14:paraId="535C060B">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3EDC39E5">
      <w:pPr>
        <w:numPr>
          <w:ilvl w:val="0"/>
          <w:numId w:val="0"/>
        </w:numPr>
        <w:spacing w:line="360" w:lineRule="auto"/>
        <w:ind w:right="420" w:rightChars="0" w:firstLine="420" w:firstLineChars="0"/>
        <w:rPr>
          <w:rFonts w:ascii="宋体" w:hAnsi="宋体" w:cs="宋体"/>
          <w:color w:val="auto"/>
          <w:sz w:val="24"/>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4AB3BA01">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DD420B8">
      <w:pPr>
        <w:rPr>
          <w:color w:val="auto"/>
        </w:rPr>
      </w:pPr>
      <w:r>
        <w:rPr>
          <w:rFonts w:hint="eastAsia"/>
          <w:color w:val="auto"/>
        </w:rPr>
        <w:br w:type="page"/>
      </w:r>
    </w:p>
    <w:p w14:paraId="4E0AF6B0">
      <w:pPr>
        <w:pStyle w:val="4"/>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246E86B8">
      <w:pPr>
        <w:spacing w:line="360" w:lineRule="auto"/>
        <w:rPr>
          <w:rFonts w:hint="eastAsia"/>
          <w:color w:val="auto"/>
        </w:rPr>
      </w:pPr>
      <w:r>
        <w:rPr>
          <w:rFonts w:hint="eastAsia" w:ascii="宋体" w:hAnsi="宋体" w:eastAsia="宋体" w:cs="宋体"/>
          <w:color w:val="auto"/>
          <w:kern w:val="0"/>
          <w:sz w:val="24"/>
          <w:szCs w:val="24"/>
        </w:rPr>
        <w:t>各行业划型标准为：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1A715F1B">
      <w:pPr>
        <w:pStyle w:val="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6D75012E">
      <w:pPr>
        <w:jc w:val="center"/>
        <w:rPr>
          <w:color w:val="auto"/>
          <w:sz w:val="40"/>
          <w:highlight w:val="none"/>
        </w:rPr>
      </w:pPr>
      <w:r>
        <w:rPr>
          <w:rFonts w:hint="eastAsia"/>
          <w:color w:val="auto"/>
          <w:sz w:val="40"/>
          <w:highlight w:val="none"/>
        </w:rPr>
        <w:t>样品（演示）授权委托书</w:t>
      </w:r>
    </w:p>
    <w:p w14:paraId="40FC81DD">
      <w:pPr>
        <w:jc w:val="center"/>
        <w:rPr>
          <w:color w:val="auto"/>
          <w:sz w:val="40"/>
        </w:rPr>
      </w:pPr>
    </w:p>
    <w:p w14:paraId="56B3DE7A">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14:paraId="13EFF290">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14:paraId="21578FD6">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14:paraId="0BFD9A5D">
      <w:pPr>
        <w:snapToGrid w:val="0"/>
        <w:spacing w:line="360" w:lineRule="auto"/>
        <w:rPr>
          <w:rFonts w:cs="仿宋"/>
          <w:color w:val="auto"/>
          <w:lang w:val="zh-CN"/>
        </w:rPr>
      </w:pPr>
      <w:r>
        <w:rPr>
          <w:rFonts w:hint="eastAsia" w:cs="仿宋"/>
          <w:color w:val="auto"/>
          <w:lang w:val="zh-CN"/>
        </w:rPr>
        <w:t xml:space="preserve">  </w:t>
      </w:r>
    </w:p>
    <w:p w14:paraId="4F17F561">
      <w:pPr>
        <w:snapToGrid w:val="0"/>
        <w:spacing w:line="360" w:lineRule="auto"/>
        <w:rPr>
          <w:rFonts w:cs="仿宋"/>
          <w:color w:val="auto"/>
        </w:rPr>
      </w:pPr>
      <w:r>
        <w:rPr>
          <w:rFonts w:hint="eastAsia" w:cs="仿宋"/>
          <w:color w:val="auto"/>
          <w:lang w:val="zh-CN"/>
        </w:rPr>
        <w:t xml:space="preserve">    特此告知。</w:t>
      </w:r>
    </w:p>
    <w:p w14:paraId="70C0E032">
      <w:pPr>
        <w:snapToGrid w:val="0"/>
        <w:spacing w:line="360" w:lineRule="auto"/>
        <w:rPr>
          <w:rFonts w:cs="仿宋"/>
          <w:color w:val="auto"/>
        </w:rPr>
      </w:pPr>
      <w:r>
        <w:rPr>
          <w:rFonts w:hint="eastAsia" w:cs="仿宋"/>
          <w:color w:val="auto"/>
          <w:lang w:val="zh-CN"/>
        </w:rPr>
        <w:t xml:space="preserve">                                                  投标人名称(公章)：</w:t>
      </w:r>
    </w:p>
    <w:p w14:paraId="2F37534B">
      <w:pPr>
        <w:snapToGrid w:val="0"/>
        <w:spacing w:line="360" w:lineRule="auto"/>
        <w:rPr>
          <w:rFonts w:cs="仿宋"/>
          <w:color w:val="auto"/>
        </w:rPr>
      </w:pPr>
      <w:r>
        <w:rPr>
          <w:rFonts w:hint="eastAsia" w:cs="仿宋"/>
          <w:color w:val="auto"/>
          <w:lang w:val="zh-CN"/>
        </w:rPr>
        <w:t xml:space="preserve">                                                  </w:t>
      </w:r>
    </w:p>
    <w:p w14:paraId="7CD604AB">
      <w:pPr>
        <w:snapToGrid w:val="0"/>
        <w:spacing w:line="360" w:lineRule="auto"/>
        <w:ind w:right="240"/>
        <w:jc w:val="right"/>
        <w:rPr>
          <w:rFonts w:cs="仿宋"/>
          <w:color w:val="auto"/>
          <w:lang w:val="zh-CN"/>
        </w:rPr>
      </w:pPr>
      <w:r>
        <w:rPr>
          <w:rFonts w:hint="eastAsia" w:cs="仿宋"/>
          <w:color w:val="auto"/>
          <w:lang w:val="zh-CN"/>
        </w:rPr>
        <w:t>签发日期：  年  月   日</w:t>
      </w:r>
    </w:p>
    <w:p w14:paraId="2EF409BC">
      <w:pPr>
        <w:snapToGrid w:val="0"/>
        <w:spacing w:line="360" w:lineRule="auto"/>
        <w:ind w:right="240"/>
        <w:jc w:val="right"/>
        <w:rPr>
          <w:rFonts w:cs="仿宋"/>
          <w:color w:val="auto"/>
          <w:lang w:val="zh-CN"/>
        </w:rPr>
      </w:pPr>
    </w:p>
    <w:p w14:paraId="69511997">
      <w:pPr>
        <w:snapToGrid w:val="0"/>
        <w:spacing w:line="360" w:lineRule="auto"/>
        <w:ind w:right="1920"/>
        <w:rPr>
          <w:rFonts w:cs="仿宋"/>
          <w:color w:val="auto"/>
          <w:lang w:val="zh-CN"/>
        </w:rPr>
      </w:pPr>
    </w:p>
    <w:p w14:paraId="1318B4C5">
      <w:pPr>
        <w:snapToGrid w:val="0"/>
        <w:spacing w:line="360" w:lineRule="auto"/>
        <w:ind w:right="240"/>
        <w:jc w:val="right"/>
        <w:rPr>
          <w:rFonts w:cs="仿宋"/>
          <w:color w:val="auto"/>
          <w:lang w:val="zh-CN"/>
        </w:rPr>
      </w:pPr>
    </w:p>
    <w:p w14:paraId="51677F6E">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14:paraId="1307839A">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14:paraId="688A07D4">
      <w:pPr>
        <w:spacing w:line="360" w:lineRule="auto"/>
        <w:rPr>
          <w:rFonts w:ascii="宋体" w:hAnsi="宋体" w:cs="宋体"/>
          <w:bCs/>
          <w:color w:val="auto"/>
          <w:sz w:val="24"/>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p w14:paraId="55FAC00D">
      <w:pPr>
        <w:spacing w:line="360" w:lineRule="auto"/>
        <w:rPr>
          <w:rFonts w:ascii="宋体" w:hAnsi="宋体" w:cs="宋体"/>
          <w:bCs/>
          <w:color w:val="auto"/>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B352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AA417">
    <w:pPr>
      <w:pStyle w:val="39"/>
      <w:framePr w:wrap="around" w:vAnchor="text" w:hAnchor="margin" w:xAlign="right" w:y="1"/>
      <w:rPr>
        <w:rStyle w:val="72"/>
      </w:rPr>
    </w:pPr>
    <w:r>
      <w:fldChar w:fldCharType="begin"/>
    </w:r>
    <w:r>
      <w:rPr>
        <w:rStyle w:val="72"/>
      </w:rPr>
      <w:instrText xml:space="preserve">PAGE  </w:instrText>
    </w:r>
    <w:r>
      <w:fldChar w:fldCharType="end"/>
    </w:r>
  </w:p>
  <w:p w14:paraId="7D49037A">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2282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4" w:name="_Toc164085800"/>
    <w:bookmarkStart w:id="505" w:name="_Toc131845147"/>
    <w:bookmarkStart w:id="506" w:name="_Toc91899912"/>
    <w:bookmarkStart w:id="507" w:name="_Toc36110187"/>
    <w:r>
      <w:rPr>
        <w:rFonts w:hint="eastAsia" w:ascii="仿宋_GB2312" w:eastAsia="仿宋_GB2312"/>
        <w:kern w:val="0"/>
        <w:szCs w:val="21"/>
      </w:rPr>
      <w:t xml:space="preserve"> 页</w:t>
    </w:r>
    <w:bookmarkEnd w:id="504"/>
    <w:bookmarkEnd w:id="505"/>
    <w:bookmarkEnd w:id="506"/>
    <w:bookmarkEnd w:id="50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BF9EE">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5C4ED">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6F624"/>
    <w:multiLevelType w:val="multilevel"/>
    <w:tmpl w:val="8646F624"/>
    <w:lvl w:ilvl="0" w:tentative="0">
      <w:start w:val="1"/>
      <w:numFmt w:val="decimal"/>
      <w:lvlText w:val="%1)"/>
      <w:lvlJc w:val="left"/>
      <w:pPr>
        <w:ind w:left="425" w:hanging="425"/>
      </w:pPr>
      <w:rPr>
        <w:rFonts w:hint="default"/>
      </w:rPr>
    </w:lvl>
    <w:lvl w:ilvl="1" w:tentative="0">
      <w:start w:val="1"/>
      <w:numFmt w:val="lowerLetter"/>
      <w:lvlText w:val="%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987C97E4"/>
    <w:multiLevelType w:val="singleLevel"/>
    <w:tmpl w:val="987C97E4"/>
    <w:lvl w:ilvl="0" w:tentative="0">
      <w:start w:val="1"/>
      <w:numFmt w:val="decimal"/>
      <w:lvlText w:val="%1)"/>
      <w:lvlJc w:val="left"/>
      <w:pPr>
        <w:ind w:left="420" w:hanging="420"/>
      </w:pPr>
      <w:rPr>
        <w:rFonts w:hint="default"/>
      </w:rPr>
    </w:lvl>
  </w:abstractNum>
  <w:abstractNum w:abstractNumId="2">
    <w:nsid w:val="AB7C8421"/>
    <w:multiLevelType w:val="singleLevel"/>
    <w:tmpl w:val="AB7C8421"/>
    <w:lvl w:ilvl="0" w:tentative="0">
      <w:start w:val="19"/>
      <w:numFmt w:val="decimal"/>
      <w:suff w:val="space"/>
      <w:lvlText w:val="%1."/>
      <w:lvlJc w:val="left"/>
    </w:lvl>
  </w:abstractNum>
  <w:abstractNum w:abstractNumId="3">
    <w:nsid w:val="D5131716"/>
    <w:multiLevelType w:val="singleLevel"/>
    <w:tmpl w:val="D5131716"/>
    <w:lvl w:ilvl="0" w:tentative="0">
      <w:start w:val="5"/>
      <w:numFmt w:val="decimal"/>
      <w:suff w:val="nothing"/>
      <w:lvlText w:val="%1、"/>
      <w:lvlJc w:val="left"/>
    </w:lvl>
  </w:abstractNum>
  <w:abstractNum w:abstractNumId="4">
    <w:nsid w:val="D57498BB"/>
    <w:multiLevelType w:val="singleLevel"/>
    <w:tmpl w:val="D57498BB"/>
    <w:lvl w:ilvl="0" w:tentative="0">
      <w:start w:val="2"/>
      <w:numFmt w:val="decimal"/>
      <w:suff w:val="space"/>
      <w:lvlText w:val="%1."/>
      <w:lvlJc w:val="left"/>
    </w:lvl>
  </w:abstractNum>
  <w:abstractNum w:abstractNumId="5">
    <w:nsid w:val="DF7B5DEF"/>
    <w:multiLevelType w:val="singleLevel"/>
    <w:tmpl w:val="DF7B5DEF"/>
    <w:lvl w:ilvl="0" w:tentative="0">
      <w:start w:val="5"/>
      <w:numFmt w:val="chineseCounting"/>
      <w:suff w:val="space"/>
      <w:lvlText w:val="第%1部分"/>
      <w:lvlJc w:val="left"/>
      <w:rPr>
        <w:rFonts w:hint="eastAsia"/>
      </w:rPr>
    </w:lvl>
  </w:abstractNum>
  <w:abstractNum w:abstractNumId="6">
    <w:nsid w:val="E7F7D621"/>
    <w:multiLevelType w:val="singleLevel"/>
    <w:tmpl w:val="E7F7D621"/>
    <w:lvl w:ilvl="0" w:tentative="0">
      <w:start w:val="4"/>
      <w:numFmt w:val="decimal"/>
      <w:lvlText w:val="%1."/>
      <w:lvlJc w:val="left"/>
      <w:pPr>
        <w:tabs>
          <w:tab w:val="left" w:pos="312"/>
        </w:tabs>
      </w:pPr>
    </w:lvl>
  </w:abstractNum>
  <w:abstractNum w:abstractNumId="7">
    <w:nsid w:val="EFBE0E82"/>
    <w:multiLevelType w:val="singleLevel"/>
    <w:tmpl w:val="EFBE0E82"/>
    <w:lvl w:ilvl="0" w:tentative="0">
      <w:start w:val="16"/>
      <w:numFmt w:val="decimal"/>
      <w:suff w:val="space"/>
      <w:lvlText w:val="%1."/>
      <w:lvlJc w:val="left"/>
    </w:lvl>
  </w:abstractNum>
  <w:abstractNum w:abstractNumId="8">
    <w:nsid w:val="F79E0EA8"/>
    <w:multiLevelType w:val="singleLevel"/>
    <w:tmpl w:val="F79E0EA8"/>
    <w:lvl w:ilvl="0" w:tentative="0">
      <w:start w:val="13"/>
      <w:numFmt w:val="decimal"/>
      <w:suff w:val="space"/>
      <w:lvlText w:val="%1."/>
      <w:lvlJc w:val="left"/>
    </w:lvl>
  </w:abstractNum>
  <w:abstractNum w:abstractNumId="9">
    <w:nsid w:val="FBFE8AFF"/>
    <w:multiLevelType w:val="singleLevel"/>
    <w:tmpl w:val="FBFE8AFF"/>
    <w:lvl w:ilvl="0" w:tentative="0">
      <w:start w:val="8"/>
      <w:numFmt w:val="decimal"/>
      <w:suff w:val="space"/>
      <w:lvlText w:val="%1."/>
      <w:lvlJc w:val="left"/>
    </w:lvl>
  </w:abstractNum>
  <w:abstractNum w:abstractNumId="10">
    <w:nsid w:val="0FEE9483"/>
    <w:multiLevelType w:val="singleLevel"/>
    <w:tmpl w:val="0FEE9483"/>
    <w:lvl w:ilvl="0" w:tentative="0">
      <w:start w:val="1"/>
      <w:numFmt w:val="decimal"/>
      <w:lvlText w:val="%1)"/>
      <w:lvlJc w:val="left"/>
      <w:pPr>
        <w:ind w:left="420" w:hanging="420"/>
      </w:pPr>
      <w:rPr>
        <w:rFonts w:hint="default"/>
      </w:rPr>
    </w:lvl>
  </w:abstractNum>
  <w:abstractNum w:abstractNumId="11">
    <w:nsid w:val="11760F63"/>
    <w:multiLevelType w:val="multilevel"/>
    <w:tmpl w:val="11760F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F21646A"/>
    <w:multiLevelType w:val="multilevel"/>
    <w:tmpl w:val="1F21646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5FF627E"/>
    <w:multiLevelType w:val="multilevel"/>
    <w:tmpl w:val="25FF627E"/>
    <w:lvl w:ilvl="0" w:tentative="0">
      <w:start w:val="2"/>
      <w:numFmt w:val="decimal"/>
      <w:lvlText w:val="%1"/>
      <w:lvlJc w:val="left"/>
      <w:pPr>
        <w:ind w:left="570" w:hanging="570"/>
      </w:pPr>
      <w:rPr>
        <w:rFonts w:hint="default" w:cstheme="minorBidi"/>
      </w:rPr>
    </w:lvl>
    <w:lvl w:ilvl="1" w:tentative="0">
      <w:start w:val="2"/>
      <w:numFmt w:val="decimal"/>
      <w:lvlText w:val="%1.%2"/>
      <w:lvlJc w:val="left"/>
      <w:pPr>
        <w:ind w:left="570" w:hanging="570"/>
      </w:pPr>
      <w:rPr>
        <w:rFonts w:hint="default" w:cstheme="minorBidi"/>
      </w:rPr>
    </w:lvl>
    <w:lvl w:ilvl="2" w:tentative="0">
      <w:start w:val="3"/>
      <w:numFmt w:val="decimal"/>
      <w:lvlText w:val="%1.%2.%3"/>
      <w:lvlJc w:val="left"/>
      <w:pPr>
        <w:ind w:left="720" w:hanging="720"/>
      </w:pPr>
      <w:rPr>
        <w:rFonts w:hint="default" w:cstheme="minorBidi"/>
      </w:rPr>
    </w:lvl>
    <w:lvl w:ilvl="3" w:tentative="0">
      <w:start w:val="1"/>
      <w:numFmt w:val="decimal"/>
      <w:lvlText w:val="%1.%2.%3.%4"/>
      <w:lvlJc w:val="left"/>
      <w:pPr>
        <w:ind w:left="1080" w:hanging="1080"/>
      </w:pPr>
      <w:rPr>
        <w:rFonts w:hint="default" w:cstheme="minorBidi"/>
      </w:rPr>
    </w:lvl>
    <w:lvl w:ilvl="4" w:tentative="0">
      <w:start w:val="1"/>
      <w:numFmt w:val="decimal"/>
      <w:lvlText w:val="%1.%2.%3.%4.%5"/>
      <w:lvlJc w:val="left"/>
      <w:pPr>
        <w:ind w:left="1080" w:hanging="1080"/>
      </w:pPr>
      <w:rPr>
        <w:rFonts w:hint="default" w:cstheme="minorBidi"/>
      </w:rPr>
    </w:lvl>
    <w:lvl w:ilvl="5" w:tentative="0">
      <w:start w:val="1"/>
      <w:numFmt w:val="decimal"/>
      <w:lvlText w:val="%1.%2.%3.%4.%5.%6"/>
      <w:lvlJc w:val="left"/>
      <w:pPr>
        <w:ind w:left="1440" w:hanging="1440"/>
      </w:pPr>
      <w:rPr>
        <w:rFonts w:hint="default" w:cstheme="minorBidi"/>
      </w:rPr>
    </w:lvl>
    <w:lvl w:ilvl="6" w:tentative="0">
      <w:start w:val="1"/>
      <w:numFmt w:val="decimal"/>
      <w:lvlText w:val="%1.%2.%3.%4.%5.%6.%7"/>
      <w:lvlJc w:val="left"/>
      <w:pPr>
        <w:ind w:left="1440" w:hanging="1440"/>
      </w:pPr>
      <w:rPr>
        <w:rFonts w:hint="default" w:cstheme="minorBidi"/>
      </w:rPr>
    </w:lvl>
    <w:lvl w:ilvl="7" w:tentative="0">
      <w:start w:val="1"/>
      <w:numFmt w:val="decimal"/>
      <w:lvlText w:val="%1.%2.%3.%4.%5.%6.%7.%8"/>
      <w:lvlJc w:val="left"/>
      <w:pPr>
        <w:ind w:left="1800" w:hanging="1800"/>
      </w:pPr>
      <w:rPr>
        <w:rFonts w:hint="default" w:cstheme="minorBidi"/>
      </w:rPr>
    </w:lvl>
    <w:lvl w:ilvl="8" w:tentative="0">
      <w:start w:val="1"/>
      <w:numFmt w:val="decimal"/>
      <w:lvlText w:val="%1.%2.%3.%4.%5.%6.%7.%8.%9"/>
      <w:lvlJc w:val="left"/>
      <w:pPr>
        <w:ind w:left="1800" w:hanging="1800"/>
      </w:pPr>
      <w:rPr>
        <w:rFonts w:hint="default" w:cstheme="minorBidi"/>
      </w:rPr>
    </w:lvl>
  </w:abstractNum>
  <w:abstractNum w:abstractNumId="14">
    <w:nsid w:val="2D460B9B"/>
    <w:multiLevelType w:val="multilevel"/>
    <w:tmpl w:val="2D460B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9F539C7"/>
    <w:multiLevelType w:val="multilevel"/>
    <w:tmpl w:val="39F539C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57FF7EC6"/>
    <w:multiLevelType w:val="singleLevel"/>
    <w:tmpl w:val="57FF7EC6"/>
    <w:lvl w:ilvl="0" w:tentative="0">
      <w:start w:val="15"/>
      <w:numFmt w:val="decimal"/>
      <w:suff w:val="space"/>
      <w:lvlText w:val="%1."/>
      <w:lvlJc w:val="left"/>
    </w:lvl>
  </w:abstractNum>
  <w:num w:numId="1">
    <w:abstractNumId w:val="6"/>
  </w:num>
  <w:num w:numId="2">
    <w:abstractNumId w:val="4"/>
  </w:num>
  <w:num w:numId="3">
    <w:abstractNumId w:val="9"/>
  </w:num>
  <w:num w:numId="4">
    <w:abstractNumId w:val="8"/>
  </w:num>
  <w:num w:numId="5">
    <w:abstractNumId w:val="16"/>
  </w:num>
  <w:num w:numId="6">
    <w:abstractNumId w:val="7"/>
  </w:num>
  <w:num w:numId="7">
    <w:abstractNumId w:val="2"/>
  </w:num>
  <w:num w:numId="8">
    <w:abstractNumId w:val="14"/>
  </w:num>
  <w:num w:numId="9">
    <w:abstractNumId w:val="1"/>
  </w:num>
  <w:num w:numId="10">
    <w:abstractNumId w:val="11"/>
  </w:num>
  <w:num w:numId="11">
    <w:abstractNumId w:val="0"/>
  </w:num>
  <w:num w:numId="12">
    <w:abstractNumId w:val="10"/>
  </w:num>
  <w:num w:numId="13">
    <w:abstractNumId w:val="13"/>
  </w:num>
  <w:num w:numId="14">
    <w:abstractNumId w:val="12"/>
  </w:num>
  <w:num w:numId="15">
    <w:abstractNumId w:val="15"/>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21A79"/>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9F5E97"/>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0"/>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0"/>
    <w:qFormat/>
    <w:uiPriority w:val="99"/>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88</Pages>
  <Words>15122</Words>
  <Characters>16298</Characters>
  <Lines>295</Lines>
  <Paragraphs>83</Paragraphs>
  <TotalTime>1</TotalTime>
  <ScaleCrop>false</ScaleCrop>
  <LinksUpToDate>false</LinksUpToDate>
  <CharactersWithSpaces>16729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北极熊不吃鱼</cp:lastModifiedBy>
  <cp:lastPrinted>2022-01-03T19:06:00Z</cp:lastPrinted>
  <dcterms:modified xsi:type="dcterms:W3CDTF">2025-06-20T01:48:58Z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CDBF7C3517EF437C906B0D967426F621_13</vt:lpwstr>
  </property>
  <property fmtid="{D5CDD505-2E9C-101B-9397-08002B2CF9AE}" pid="5" name="KSOTemplateDocerSaveRecord">
    <vt:lpwstr>eyJoZGlkIjoiZDdiNDMxZjc3NTlkYzkwMzdjMTMwZTRlYmNiNjExOTEiLCJ1c2VySWQiOiIzNTYxMDIxMDMifQ==</vt:lpwstr>
  </property>
</Properties>
</file>